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06B9" w:rsidR="00B60421" w:rsidP="007E0FEE" w:rsidRDefault="006F7ADB" w14:paraId="470A32F1" w14:textId="43EC1983">
      <w:pPr>
        <w:tabs>
          <w:tab w:val="center" w:pos="4680"/>
          <w:tab w:val="right" w:pos="9360"/>
        </w:tabs>
        <w:spacing w:line="240" w:lineRule="auto"/>
        <w:ind w:firstLine="0"/>
      </w:pPr>
      <w:r w:rsidRPr="008C06B9">
        <w:t>ALJ</w:t>
      </w:r>
      <w:r w:rsidRPr="008C06B9" w:rsidR="00DA7B5D">
        <w:t>/</w:t>
      </w:r>
      <w:r w:rsidRPr="008C06B9">
        <w:t>ABT</w:t>
      </w:r>
      <w:r w:rsidRPr="008C06B9" w:rsidR="00DA7B5D">
        <w:t>/</w:t>
      </w:r>
      <w:r w:rsidR="005A4ADB">
        <w:t>nd3</w:t>
      </w:r>
      <w:r w:rsidRPr="008C06B9" w:rsidR="007E0FEE">
        <w:tab/>
      </w:r>
      <w:r w:rsidRPr="008C06B9" w:rsidR="00DA7B5D">
        <w:rPr>
          <w:rFonts w:cs="Arial"/>
          <w:b/>
          <w:szCs w:val="32"/>
        </w:rPr>
        <w:t>PROPOSED DECISION</w:t>
      </w:r>
      <w:r w:rsidRPr="008C06B9" w:rsidR="00DA7B5D">
        <w:tab/>
      </w:r>
      <w:r w:rsidRPr="008C06B9" w:rsidR="00DA7B5D">
        <w:rPr>
          <w:b/>
        </w:rPr>
        <w:t>Agenda ID #</w:t>
      </w:r>
      <w:r w:rsidRPr="00981283" w:rsidR="00981283">
        <w:rPr>
          <w:b/>
        </w:rPr>
        <w:t>24095</w:t>
      </w:r>
      <w:r w:rsidR="0087736E">
        <w:rPr>
          <w:b/>
        </w:rPr>
        <w:t xml:space="preserve"> </w:t>
      </w:r>
      <w:r w:rsidRPr="0087736E" w:rsidR="0087736E">
        <w:rPr>
          <w:b/>
        </w:rPr>
        <w:t>(Rev.1)</w:t>
      </w:r>
    </w:p>
    <w:p w:rsidR="00DA7B5D" w:rsidP="00632207" w:rsidRDefault="008C06B9" w14:paraId="6D511AF2" w14:textId="205B2AA6">
      <w:pPr>
        <w:spacing w:line="240" w:lineRule="auto"/>
        <w:jc w:val="right"/>
        <w:rPr>
          <w:b/>
        </w:rPr>
      </w:pPr>
      <w:r>
        <w:rPr>
          <w:b/>
        </w:rPr>
        <w:t>Ratesetting</w:t>
      </w:r>
    </w:p>
    <w:p w:rsidRPr="008C06B9" w:rsidR="0087736E" w:rsidP="00632207" w:rsidRDefault="0087736E" w14:paraId="0F5FFBE6" w14:textId="50BABCD0">
      <w:pPr>
        <w:spacing w:line="240" w:lineRule="auto"/>
        <w:jc w:val="right"/>
        <w:rPr>
          <w:b/>
        </w:rPr>
      </w:pPr>
      <w:r>
        <w:rPr>
          <w:b/>
        </w:rPr>
        <w:t>4/30/2026  Item #</w:t>
      </w:r>
      <w:r w:rsidRPr="00CE599C" w:rsidR="00CE599C">
        <w:rPr>
          <w:b/>
        </w:rPr>
        <w:t>33</w:t>
      </w:r>
    </w:p>
    <w:p w:rsidR="00DA7B5D" w:rsidP="008C06B9" w:rsidRDefault="00DA7B5D" w14:paraId="5B83961F" w14:textId="77777777">
      <w:pPr>
        <w:spacing w:line="240" w:lineRule="auto"/>
        <w:ind w:firstLine="0"/>
      </w:pPr>
    </w:p>
    <w:p w:rsidR="008C06B9" w:rsidP="008C06B9" w:rsidRDefault="008C06B9" w14:paraId="683D7B01" w14:textId="77777777">
      <w:pPr>
        <w:spacing w:line="240" w:lineRule="auto"/>
        <w:ind w:firstLine="0"/>
      </w:pPr>
    </w:p>
    <w:p w:rsidRPr="00EE3060" w:rsidR="00DA7B5D" w:rsidP="008C06B9" w:rsidRDefault="00DA7B5D" w14:paraId="622305CA" w14:textId="346E8A38">
      <w:pPr>
        <w:spacing w:line="240" w:lineRule="auto"/>
        <w:ind w:left="1080" w:hanging="1080"/>
      </w:pPr>
      <w:r>
        <w:t xml:space="preserve">Decision </w:t>
      </w:r>
      <w:r w:rsidRPr="008C033E" w:rsidR="00E73308">
        <w:rPr>
          <w:b/>
          <w:bCs/>
          <w:u w:val="single"/>
        </w:rPr>
        <w:t xml:space="preserve">PROPOSED DECISION OF ALJ </w:t>
      </w:r>
      <w:r w:rsidR="00240166">
        <w:rPr>
          <w:b/>
          <w:bCs/>
          <w:u w:val="single"/>
        </w:rPr>
        <w:t>ROSAS</w:t>
      </w:r>
      <w:r w:rsidRPr="008C033E" w:rsidR="00E73308">
        <w:rPr>
          <w:b/>
          <w:bCs/>
        </w:rPr>
        <w:t xml:space="preserve"> (</w:t>
      </w:r>
      <w:r w:rsidR="00E73308">
        <w:rPr>
          <w:b/>
          <w:bCs/>
        </w:rPr>
        <w:t xml:space="preserve">Mailed </w:t>
      </w:r>
      <w:r w:rsidR="00981283">
        <w:rPr>
          <w:b/>
          <w:bCs/>
        </w:rPr>
        <w:t>3/13</w:t>
      </w:r>
      <w:r w:rsidR="00E73308">
        <w:rPr>
          <w:b/>
          <w:bCs/>
        </w:rPr>
        <w:t>/2026</w:t>
      </w:r>
      <w:r w:rsidRPr="008C033E" w:rsidR="00E73308">
        <w:rPr>
          <w:b/>
          <w:bCs/>
        </w:rPr>
        <w:t>)</w:t>
      </w:r>
    </w:p>
    <w:p w:rsidR="00DA7B5D" w:rsidP="008C06B9" w:rsidRDefault="00DA7B5D" w14:paraId="74A2111D" w14:textId="77777777">
      <w:pPr>
        <w:spacing w:line="240" w:lineRule="auto"/>
        <w:ind w:firstLine="0"/>
        <w:rPr>
          <w:u w:val="single"/>
        </w:rPr>
      </w:pPr>
    </w:p>
    <w:p w:rsidR="008C06B9" w:rsidP="008C06B9" w:rsidRDefault="008C06B9" w14:paraId="666D40B2" w14:textId="77777777">
      <w:pPr>
        <w:spacing w:line="240" w:lineRule="auto"/>
        <w:ind w:firstLine="0"/>
        <w:rPr>
          <w:u w:val="single"/>
        </w:rPr>
      </w:pPr>
    </w:p>
    <w:p w:rsidR="00DA7B5D" w:rsidP="00BB0243" w:rsidRDefault="00DA7B5D" w14:paraId="0877739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99AD4B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580"/>
        <w:gridCol w:w="3780"/>
      </w:tblGrid>
      <w:tr w:rsidR="00DA7B5D" w:rsidTr="004E7C6A" w14:paraId="2E1841FB" w14:textId="77777777">
        <w:trPr>
          <w:jc w:val="center"/>
        </w:trPr>
        <w:tc>
          <w:tcPr>
            <w:tcW w:w="5580" w:type="dxa"/>
            <w:tcBorders>
              <w:top w:val="nil"/>
              <w:left w:val="nil"/>
              <w:bottom w:val="single" w:color="auto" w:sz="4" w:space="0"/>
              <w:right w:val="single" w:color="auto" w:sz="4" w:space="0"/>
            </w:tcBorders>
          </w:tcPr>
          <w:p w:rsidR="00DA7B5D" w:rsidP="00C10B5F" w:rsidRDefault="00720E00" w14:paraId="29861A04" w14:textId="6EA37CCC">
            <w:pPr>
              <w:spacing w:line="240" w:lineRule="auto"/>
              <w:ind w:firstLine="0"/>
              <w:rPr>
                <w:rFonts w:eastAsia="Times New Roman"/>
                <w:szCs w:val="20"/>
              </w:rPr>
            </w:pPr>
            <w:r w:rsidRPr="00720E00">
              <w:rPr>
                <w:rFonts w:eastAsia="Times New Roman"/>
                <w:szCs w:val="20"/>
              </w:rPr>
              <w:t>In the Matter of the Application of CALIFORNIA WATER SERVICE COMPANY (U60W), a California corporation, for an order (1)</w:t>
            </w:r>
            <w:r w:rsidR="00AA73F1">
              <w:rPr>
                <w:rFonts w:eastAsia="Times New Roman"/>
                <w:szCs w:val="20"/>
              </w:rPr>
              <w:t> </w:t>
            </w:r>
            <w:r w:rsidRPr="00720E00">
              <w:rPr>
                <w:rFonts w:eastAsia="Times New Roman"/>
                <w:szCs w:val="20"/>
              </w:rPr>
              <w:t>authorizing it to increase rates for water service by $140,558,101 or 17.1% in test year 2026, (2)</w:t>
            </w:r>
            <w:r w:rsidR="00AA73F1">
              <w:rPr>
                <w:rFonts w:eastAsia="Times New Roman"/>
                <w:szCs w:val="20"/>
              </w:rPr>
              <w:t> </w:t>
            </w:r>
            <w:r w:rsidRPr="00720E00">
              <w:rPr>
                <w:rFonts w:eastAsia="Times New Roman"/>
                <w:szCs w:val="20"/>
              </w:rPr>
              <w:t xml:space="preserve">authorizing it to increase rates on </w:t>
            </w:r>
            <w:r w:rsidR="00AA73F1">
              <w:rPr>
                <w:rFonts w:eastAsia="Times New Roman"/>
                <w:szCs w:val="20"/>
              </w:rPr>
              <w:t>January </w:t>
            </w:r>
            <w:r w:rsidRPr="00720E00">
              <w:rPr>
                <w:rFonts w:eastAsia="Times New Roman"/>
                <w:szCs w:val="20"/>
              </w:rPr>
              <w:t>1, 2027 by $74,162,564 or 7.7%, (3)</w:t>
            </w:r>
            <w:r w:rsidR="00AA73F1">
              <w:rPr>
                <w:rFonts w:eastAsia="Times New Roman"/>
                <w:szCs w:val="20"/>
              </w:rPr>
              <w:t> </w:t>
            </w:r>
            <w:r w:rsidRPr="00720E00">
              <w:rPr>
                <w:rFonts w:eastAsia="Times New Roman"/>
                <w:szCs w:val="20"/>
              </w:rPr>
              <w:t xml:space="preserve">authorizing it to increase rates on </w:t>
            </w:r>
            <w:r w:rsidR="00AA73F1">
              <w:rPr>
                <w:rFonts w:eastAsia="Times New Roman"/>
                <w:szCs w:val="20"/>
              </w:rPr>
              <w:t>January </w:t>
            </w:r>
            <w:r w:rsidRPr="00720E00">
              <w:rPr>
                <w:rFonts w:eastAsia="Times New Roman"/>
                <w:szCs w:val="20"/>
              </w:rPr>
              <w:t>1, 2028 by $83,574,190 or 8.1% in accordance with the Rate Case Plan, and (4)</w:t>
            </w:r>
            <w:r w:rsidR="00AA73F1">
              <w:rPr>
                <w:rFonts w:eastAsia="Times New Roman"/>
                <w:szCs w:val="20"/>
              </w:rPr>
              <w:t> </w:t>
            </w:r>
            <w:r w:rsidRPr="00720E00">
              <w:rPr>
                <w:rFonts w:eastAsia="Times New Roman"/>
                <w:szCs w:val="20"/>
              </w:rPr>
              <w:t>adopting other related rulings and relief necessary to implement the Commissions ratemaking policies.</w:t>
            </w:r>
          </w:p>
          <w:p w:rsidRPr="00DA7B5D" w:rsidR="00720E00" w:rsidP="00C10B5F" w:rsidRDefault="00720E00" w14:paraId="73DEDD99" w14:textId="1FB16132">
            <w:pPr>
              <w:spacing w:line="240" w:lineRule="auto"/>
              <w:ind w:firstLine="0"/>
              <w:rPr>
                <w:rFonts w:cs="Arial"/>
                <w:szCs w:val="26"/>
              </w:rPr>
            </w:pPr>
          </w:p>
        </w:tc>
        <w:tc>
          <w:tcPr>
            <w:tcW w:w="3780" w:type="dxa"/>
            <w:tcBorders>
              <w:top w:val="nil"/>
              <w:left w:val="single" w:color="auto" w:sz="4" w:space="0"/>
              <w:bottom w:val="nil"/>
              <w:right w:val="nil"/>
            </w:tcBorders>
            <w:vAlign w:val="center"/>
          </w:tcPr>
          <w:p w:rsidRPr="00DA7B5D" w:rsidR="00DA7B5D" w:rsidP="004E7C6A" w:rsidRDefault="00ED6E61" w14:paraId="47E8191D" w14:textId="6E918E8C">
            <w:pPr>
              <w:spacing w:line="240" w:lineRule="auto"/>
              <w:ind w:firstLine="0"/>
              <w:jc w:val="center"/>
              <w:rPr>
                <w:rFonts w:cs="Arial"/>
                <w:szCs w:val="26"/>
              </w:rPr>
            </w:pPr>
            <w:bookmarkStart w:name="_Hlk35572581" w:id="0"/>
            <w:r w:rsidRPr="00925D84">
              <w:rPr>
                <w:rFonts w:eastAsia="Times New Roman"/>
                <w:szCs w:val="20"/>
              </w:rPr>
              <w:t>Application</w:t>
            </w:r>
            <w:r w:rsidR="004E7C6A">
              <w:rPr>
                <w:rFonts w:eastAsia="Times New Roman"/>
                <w:szCs w:val="20"/>
              </w:rPr>
              <w:t xml:space="preserve"> </w:t>
            </w:r>
            <w:r w:rsidRPr="00925D84">
              <w:rPr>
                <w:rFonts w:eastAsia="Times New Roman"/>
                <w:szCs w:val="20"/>
              </w:rPr>
              <w:t>24</w:t>
            </w:r>
            <w:r w:rsidR="00270999">
              <w:rPr>
                <w:rFonts w:eastAsia="Times New Roman"/>
                <w:szCs w:val="20"/>
              </w:rPr>
              <w:noBreakHyphen/>
            </w:r>
            <w:r w:rsidRPr="00925D84">
              <w:rPr>
                <w:rFonts w:eastAsia="Times New Roman"/>
                <w:szCs w:val="20"/>
              </w:rPr>
              <w:t>07</w:t>
            </w:r>
            <w:r w:rsidR="00270999">
              <w:rPr>
                <w:rFonts w:eastAsia="Times New Roman"/>
                <w:szCs w:val="20"/>
              </w:rPr>
              <w:noBreakHyphen/>
            </w:r>
            <w:r w:rsidRPr="00925D84">
              <w:rPr>
                <w:rFonts w:eastAsia="Times New Roman"/>
                <w:szCs w:val="20"/>
              </w:rPr>
              <w:t>0</w:t>
            </w:r>
            <w:bookmarkEnd w:id="0"/>
            <w:r w:rsidRPr="00925D84">
              <w:rPr>
                <w:rFonts w:eastAsia="Times New Roman"/>
                <w:szCs w:val="20"/>
              </w:rPr>
              <w:t>03</w:t>
            </w:r>
          </w:p>
        </w:tc>
      </w:tr>
    </w:tbl>
    <w:p w:rsidR="00DA7B5D" w:rsidP="008F0116" w:rsidRDefault="00DA7B5D" w14:paraId="73A808DB" w14:textId="77777777">
      <w:pPr>
        <w:spacing w:line="240" w:lineRule="auto"/>
        <w:ind w:firstLine="0"/>
        <w:rPr>
          <w:rFonts w:ascii="Arial" w:hAnsi="Arial" w:cs="Arial"/>
          <w:sz w:val="24"/>
          <w:szCs w:val="24"/>
        </w:rPr>
      </w:pPr>
    </w:p>
    <w:p w:rsidR="00DA7B5D" w:rsidP="008F0116" w:rsidRDefault="00DA7B5D" w14:paraId="1068AF20" w14:textId="77777777">
      <w:pPr>
        <w:spacing w:line="240" w:lineRule="auto"/>
        <w:ind w:firstLine="0"/>
        <w:rPr>
          <w:rFonts w:ascii="Arial" w:hAnsi="Arial" w:cs="Arial"/>
          <w:sz w:val="24"/>
          <w:szCs w:val="24"/>
        </w:rPr>
      </w:pPr>
    </w:p>
    <w:p w:rsidR="000770CD" w:rsidP="00A42F49" w:rsidRDefault="00A42F49" w14:paraId="714A8A08" w14:textId="23B161FF">
      <w:pPr>
        <w:pStyle w:val="Dummy"/>
        <w:jc w:val="center"/>
      </w:pPr>
      <w:r>
        <w:fldChar w:fldCharType="begin"/>
      </w:r>
      <w:r>
        <w:instrText xml:space="preserve"> REF Title \h  \* MERGEFORMAT </w:instrText>
      </w:r>
      <w:r>
        <w:fldChar w:fldCharType="separate"/>
      </w:r>
      <w:bookmarkStart w:name="_Toc222305239" w:id="1"/>
      <w:bookmarkStart w:name="_Toc228294663" w:id="2"/>
      <w:r w:rsidR="000901F8">
        <w:t>DECISION ADOPTING PARTIAL SETTLEMENT AGREEMENT; A</w:t>
      </w:r>
      <w:r w:rsidRPr="000901F8" w:rsidR="000901F8">
        <w:t>UTHORIZING RATE INCREASES IN TEST YEAR 2026,</w:t>
      </w:r>
      <w:r w:rsidRPr="000901F8" w:rsidR="000901F8">
        <w:br/>
        <w:t>AND IN 2027 AND 2028 ESCALATION YEARS ON JANUARY 1, 2027,</w:t>
      </w:r>
      <w:r w:rsidRPr="000901F8" w:rsidR="000901F8">
        <w:br/>
        <w:t>AND ON JANUARY 1, 2028; AND ADOPTING OTHER RELIEF NECESSARY</w:t>
      </w:r>
      <w:r w:rsidRPr="000901F8" w:rsidR="000901F8">
        <w:br/>
        <w:t>TO IMPLEMENT THE COMMISSION’S RATEMAKING POLICIES</w:t>
      </w:r>
      <w:bookmarkEnd w:id="1"/>
      <w:bookmarkEnd w:id="2"/>
      <w:r>
        <w:fldChar w:fldCharType="end"/>
      </w:r>
    </w:p>
    <w:p w:rsidR="000770CD" w:rsidP="000770CD" w:rsidRDefault="000770CD" w14:paraId="70543577" w14:textId="77777777">
      <w:pPr>
        <w:ind w:firstLine="0"/>
      </w:pPr>
    </w:p>
    <w:p w:rsidRPr="000770CD" w:rsidR="000770CD" w:rsidP="000770CD" w:rsidRDefault="000770CD" w14:paraId="79120000" w14:textId="77777777">
      <w:pPr>
        <w:sectPr w:rsidRPr="000770CD" w:rsidR="000770CD" w:rsidSect="008F5AE3">
          <w:headerReference w:type="default" r:id="rId12"/>
          <w:footerReference w:type="default" r:id="rId13"/>
          <w:headerReference w:type="first" r:id="rId14"/>
          <w:footerReference w:type="first" r:id="rId15"/>
          <w:pgSz w:w="12240" w:h="15840"/>
          <w:pgMar w:top="1728" w:right="1440" w:bottom="1440" w:left="1440" w:header="720" w:footer="720" w:gutter="0"/>
          <w:pgNumType w:start="1"/>
          <w:cols w:space="720"/>
          <w:titlePg/>
          <w:docGrid w:linePitch="360"/>
        </w:sectPr>
      </w:pPr>
    </w:p>
    <w:p w:rsidRPr="001E2A62" w:rsidR="00D50119" w:rsidP="00A42F49" w:rsidRDefault="00D50119" w14:paraId="45A48160" w14:textId="77777777">
      <w:pPr>
        <w:pStyle w:val="TOCHeading"/>
      </w:pPr>
      <w:r w:rsidRPr="001E2A62">
        <w:lastRenderedPageBreak/>
        <w:t>TABLE OF CONTENTS</w:t>
      </w:r>
    </w:p>
    <w:p w:rsidRPr="00D50119" w:rsidR="00D50119" w:rsidP="00A42F49" w:rsidRDefault="00D50119" w14:paraId="53042181"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0901F8" w:rsidP="000901F8" w:rsidRDefault="008C7413" w14:paraId="285DB884" w14:textId="4C992D1E">
          <w:pPr>
            <w:pStyle w:val="TOC1"/>
            <w:tabs>
              <w:tab w:val="right" w:leader="dot" w:pos="9350"/>
            </w:tabs>
            <w:ind w:left="0" w:firstLine="0"/>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28294663">
            <w:r w:rsidRPr="001E10DF" w:rsidR="000901F8">
              <w:rPr>
                <w:rStyle w:val="Hyperlink"/>
                <w:noProof/>
              </w:rPr>
              <w:t>DECISION ADOPTING PARTIAL SETTLEMENT AGREEMENT; AUTHORIZING RATE INCREASES IN TEST YEAR 2026, AND IN 2027 AND 2028 ESCALATION YEARS ON JANUARY 1, 2027, AND ON JANUARY 1, 2028; AND ADOPTING OTHER RELIEF NECESSARY TO IMPLEMENT THE COMMISSION’S RATEMAKING POLICIES</w:t>
            </w:r>
            <w:r w:rsidR="000901F8">
              <w:rPr>
                <w:noProof/>
                <w:webHidden/>
              </w:rPr>
              <w:tab/>
            </w:r>
            <w:r w:rsidR="000901F8">
              <w:rPr>
                <w:noProof/>
                <w:webHidden/>
              </w:rPr>
              <w:fldChar w:fldCharType="begin"/>
            </w:r>
            <w:r w:rsidR="000901F8">
              <w:rPr>
                <w:noProof/>
                <w:webHidden/>
              </w:rPr>
              <w:instrText xml:space="preserve"> PAGEREF _Toc228294663 \h </w:instrText>
            </w:r>
            <w:r w:rsidR="000901F8">
              <w:rPr>
                <w:noProof/>
                <w:webHidden/>
              </w:rPr>
            </w:r>
            <w:r w:rsidR="000901F8">
              <w:rPr>
                <w:noProof/>
                <w:webHidden/>
              </w:rPr>
              <w:fldChar w:fldCharType="separate"/>
            </w:r>
            <w:r w:rsidR="000901F8">
              <w:rPr>
                <w:noProof/>
                <w:webHidden/>
              </w:rPr>
              <w:t>1</w:t>
            </w:r>
            <w:r w:rsidR="000901F8">
              <w:rPr>
                <w:noProof/>
                <w:webHidden/>
              </w:rPr>
              <w:fldChar w:fldCharType="end"/>
            </w:r>
          </w:hyperlink>
        </w:p>
        <w:p w:rsidR="000901F8" w:rsidRDefault="000901F8" w14:paraId="2E7C638A" w14:textId="4F7C82EB">
          <w:pPr>
            <w:pStyle w:val="TOC1"/>
            <w:tabs>
              <w:tab w:val="right" w:leader="dot" w:pos="9350"/>
            </w:tabs>
            <w:rPr>
              <w:rFonts w:asciiTheme="minorHAnsi" w:hAnsiTheme="minorHAnsi" w:cstheme="minorBidi"/>
              <w:noProof/>
              <w:kern w:val="2"/>
              <w:sz w:val="24"/>
              <w:szCs w:val="24"/>
              <w14:ligatures w14:val="standardContextual"/>
            </w:rPr>
          </w:pPr>
          <w:hyperlink w:history="1" w:anchor="_Toc228294664">
            <w:r w:rsidRPr="001E10DF">
              <w:rPr>
                <w:rStyle w:val="Hyperlink"/>
                <w:noProof/>
              </w:rPr>
              <w:t>Summary</w:t>
            </w:r>
            <w:r>
              <w:rPr>
                <w:noProof/>
                <w:webHidden/>
              </w:rPr>
              <w:tab/>
            </w:r>
            <w:r>
              <w:rPr>
                <w:noProof/>
                <w:webHidden/>
              </w:rPr>
              <w:fldChar w:fldCharType="begin"/>
            </w:r>
            <w:r>
              <w:rPr>
                <w:noProof/>
                <w:webHidden/>
              </w:rPr>
              <w:instrText xml:space="preserve"> PAGEREF _Toc228294664 \h </w:instrText>
            </w:r>
            <w:r>
              <w:rPr>
                <w:noProof/>
                <w:webHidden/>
              </w:rPr>
            </w:r>
            <w:r>
              <w:rPr>
                <w:noProof/>
                <w:webHidden/>
              </w:rPr>
              <w:fldChar w:fldCharType="separate"/>
            </w:r>
            <w:r>
              <w:rPr>
                <w:noProof/>
                <w:webHidden/>
              </w:rPr>
              <w:t>2</w:t>
            </w:r>
            <w:r>
              <w:rPr>
                <w:noProof/>
                <w:webHidden/>
              </w:rPr>
              <w:fldChar w:fldCharType="end"/>
            </w:r>
          </w:hyperlink>
        </w:p>
        <w:p w:rsidR="000901F8" w:rsidRDefault="000901F8" w14:paraId="750378D3" w14:textId="743CC0B6">
          <w:pPr>
            <w:pStyle w:val="TOC1"/>
            <w:tabs>
              <w:tab w:val="right" w:leader="dot" w:pos="9350"/>
            </w:tabs>
            <w:rPr>
              <w:rFonts w:asciiTheme="minorHAnsi" w:hAnsiTheme="minorHAnsi" w:cstheme="minorBidi"/>
              <w:noProof/>
              <w:kern w:val="2"/>
              <w:sz w:val="24"/>
              <w:szCs w:val="24"/>
              <w14:ligatures w14:val="standardContextual"/>
            </w:rPr>
          </w:pPr>
          <w:hyperlink w:history="1" w:anchor="_Toc228294665">
            <w:r w:rsidRPr="001E10DF">
              <w:rPr>
                <w:rStyle w:val="Hyperlink"/>
                <w:noProof/>
              </w:rPr>
              <w:t>1.</w:t>
            </w:r>
            <w:r>
              <w:rPr>
                <w:rFonts w:asciiTheme="minorHAnsi" w:hAnsiTheme="minorHAnsi" w:cstheme="minorBidi"/>
                <w:noProof/>
                <w:kern w:val="2"/>
                <w:sz w:val="24"/>
                <w:szCs w:val="24"/>
                <w14:ligatures w14:val="standardContextual"/>
              </w:rPr>
              <w:tab/>
            </w:r>
            <w:r w:rsidRPr="001E10DF">
              <w:rPr>
                <w:rStyle w:val="Hyperlink"/>
                <w:noProof/>
              </w:rPr>
              <w:t>Background</w:t>
            </w:r>
            <w:r>
              <w:rPr>
                <w:noProof/>
                <w:webHidden/>
              </w:rPr>
              <w:tab/>
            </w:r>
            <w:r>
              <w:rPr>
                <w:noProof/>
                <w:webHidden/>
              </w:rPr>
              <w:fldChar w:fldCharType="begin"/>
            </w:r>
            <w:r>
              <w:rPr>
                <w:noProof/>
                <w:webHidden/>
              </w:rPr>
              <w:instrText xml:space="preserve"> PAGEREF _Toc228294665 \h </w:instrText>
            </w:r>
            <w:r>
              <w:rPr>
                <w:noProof/>
                <w:webHidden/>
              </w:rPr>
            </w:r>
            <w:r>
              <w:rPr>
                <w:noProof/>
                <w:webHidden/>
              </w:rPr>
              <w:fldChar w:fldCharType="separate"/>
            </w:r>
            <w:r>
              <w:rPr>
                <w:noProof/>
                <w:webHidden/>
              </w:rPr>
              <w:t>3</w:t>
            </w:r>
            <w:r>
              <w:rPr>
                <w:noProof/>
                <w:webHidden/>
              </w:rPr>
              <w:fldChar w:fldCharType="end"/>
            </w:r>
          </w:hyperlink>
        </w:p>
        <w:p w:rsidR="000901F8" w:rsidRDefault="000901F8" w14:paraId="213F32BC" w14:textId="513DC1C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66">
            <w:r w:rsidRPr="001E10DF">
              <w:rPr>
                <w:rStyle w:val="Hyperlink"/>
                <w:noProof/>
              </w:rPr>
              <w:t>1.1.</w:t>
            </w:r>
            <w:r>
              <w:rPr>
                <w:rFonts w:asciiTheme="minorHAnsi" w:hAnsiTheme="minorHAnsi" w:cstheme="minorBidi"/>
                <w:noProof/>
                <w:kern w:val="2"/>
                <w:sz w:val="24"/>
                <w:szCs w:val="24"/>
                <w14:ligatures w14:val="standardContextual"/>
              </w:rPr>
              <w:tab/>
            </w:r>
            <w:r w:rsidRPr="001E10DF">
              <w:rPr>
                <w:rStyle w:val="Hyperlink"/>
                <w:noProof/>
              </w:rPr>
              <w:t>Submission Date</w:t>
            </w:r>
            <w:r>
              <w:rPr>
                <w:noProof/>
                <w:webHidden/>
              </w:rPr>
              <w:tab/>
            </w:r>
            <w:r>
              <w:rPr>
                <w:noProof/>
                <w:webHidden/>
              </w:rPr>
              <w:fldChar w:fldCharType="begin"/>
            </w:r>
            <w:r>
              <w:rPr>
                <w:noProof/>
                <w:webHidden/>
              </w:rPr>
              <w:instrText xml:space="preserve"> PAGEREF _Toc228294666 \h </w:instrText>
            </w:r>
            <w:r>
              <w:rPr>
                <w:noProof/>
                <w:webHidden/>
              </w:rPr>
            </w:r>
            <w:r>
              <w:rPr>
                <w:noProof/>
                <w:webHidden/>
              </w:rPr>
              <w:fldChar w:fldCharType="separate"/>
            </w:r>
            <w:r>
              <w:rPr>
                <w:noProof/>
                <w:webHidden/>
              </w:rPr>
              <w:t>5</w:t>
            </w:r>
            <w:r>
              <w:rPr>
                <w:noProof/>
                <w:webHidden/>
              </w:rPr>
              <w:fldChar w:fldCharType="end"/>
            </w:r>
          </w:hyperlink>
        </w:p>
        <w:p w:rsidR="000901F8" w:rsidRDefault="000901F8" w14:paraId="108A2859" w14:textId="2D7EA14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67">
            <w:r w:rsidRPr="001E10DF">
              <w:rPr>
                <w:rStyle w:val="Hyperlink"/>
                <w:noProof/>
              </w:rPr>
              <w:t>1.2.</w:t>
            </w:r>
            <w:r>
              <w:rPr>
                <w:rFonts w:asciiTheme="minorHAnsi" w:hAnsiTheme="minorHAnsi" w:cstheme="minorBidi"/>
                <w:noProof/>
                <w:kern w:val="2"/>
                <w:sz w:val="24"/>
                <w:szCs w:val="24"/>
                <w14:ligatures w14:val="standardContextual"/>
              </w:rPr>
              <w:tab/>
            </w:r>
            <w:r w:rsidRPr="001E10DF">
              <w:rPr>
                <w:rStyle w:val="Hyperlink"/>
                <w:noProof/>
              </w:rPr>
              <w:t>Burden of Proof</w:t>
            </w:r>
            <w:r>
              <w:rPr>
                <w:noProof/>
                <w:webHidden/>
              </w:rPr>
              <w:tab/>
            </w:r>
            <w:r>
              <w:rPr>
                <w:noProof/>
                <w:webHidden/>
              </w:rPr>
              <w:fldChar w:fldCharType="begin"/>
            </w:r>
            <w:r>
              <w:rPr>
                <w:noProof/>
                <w:webHidden/>
              </w:rPr>
              <w:instrText xml:space="preserve"> PAGEREF _Toc228294667 \h </w:instrText>
            </w:r>
            <w:r>
              <w:rPr>
                <w:noProof/>
                <w:webHidden/>
              </w:rPr>
            </w:r>
            <w:r>
              <w:rPr>
                <w:noProof/>
                <w:webHidden/>
              </w:rPr>
              <w:fldChar w:fldCharType="separate"/>
            </w:r>
            <w:r>
              <w:rPr>
                <w:noProof/>
                <w:webHidden/>
              </w:rPr>
              <w:t>5</w:t>
            </w:r>
            <w:r>
              <w:rPr>
                <w:noProof/>
                <w:webHidden/>
              </w:rPr>
              <w:fldChar w:fldCharType="end"/>
            </w:r>
          </w:hyperlink>
        </w:p>
        <w:p w:rsidR="000901F8" w:rsidRDefault="000901F8" w14:paraId="1F3A8DD7" w14:textId="278C8CAD">
          <w:pPr>
            <w:pStyle w:val="TOC1"/>
            <w:tabs>
              <w:tab w:val="right" w:leader="dot" w:pos="9350"/>
            </w:tabs>
            <w:rPr>
              <w:rFonts w:asciiTheme="minorHAnsi" w:hAnsiTheme="minorHAnsi" w:cstheme="minorBidi"/>
              <w:noProof/>
              <w:kern w:val="2"/>
              <w:sz w:val="24"/>
              <w:szCs w:val="24"/>
              <w14:ligatures w14:val="standardContextual"/>
            </w:rPr>
          </w:pPr>
          <w:hyperlink w:history="1" w:anchor="_Toc228294668">
            <w:r w:rsidRPr="001E10DF">
              <w:rPr>
                <w:rStyle w:val="Hyperlink"/>
                <w:noProof/>
              </w:rPr>
              <w:t>2.</w:t>
            </w:r>
            <w:r>
              <w:rPr>
                <w:rFonts w:asciiTheme="minorHAnsi" w:hAnsiTheme="minorHAnsi" w:cstheme="minorBidi"/>
                <w:noProof/>
                <w:kern w:val="2"/>
                <w:sz w:val="24"/>
                <w:szCs w:val="24"/>
                <w14:ligatures w14:val="standardContextual"/>
              </w:rPr>
              <w:tab/>
            </w:r>
            <w:r w:rsidRPr="001E10DF">
              <w:rPr>
                <w:rStyle w:val="Hyperlink"/>
                <w:noProof/>
              </w:rPr>
              <w:t>Issues Before the Commission</w:t>
            </w:r>
            <w:r>
              <w:rPr>
                <w:noProof/>
                <w:webHidden/>
              </w:rPr>
              <w:tab/>
            </w:r>
            <w:r>
              <w:rPr>
                <w:noProof/>
                <w:webHidden/>
              </w:rPr>
              <w:fldChar w:fldCharType="begin"/>
            </w:r>
            <w:r>
              <w:rPr>
                <w:noProof/>
                <w:webHidden/>
              </w:rPr>
              <w:instrText xml:space="preserve"> PAGEREF _Toc228294668 \h </w:instrText>
            </w:r>
            <w:r>
              <w:rPr>
                <w:noProof/>
                <w:webHidden/>
              </w:rPr>
            </w:r>
            <w:r>
              <w:rPr>
                <w:noProof/>
                <w:webHidden/>
              </w:rPr>
              <w:fldChar w:fldCharType="separate"/>
            </w:r>
            <w:r>
              <w:rPr>
                <w:noProof/>
                <w:webHidden/>
              </w:rPr>
              <w:t>7</w:t>
            </w:r>
            <w:r>
              <w:rPr>
                <w:noProof/>
                <w:webHidden/>
              </w:rPr>
              <w:fldChar w:fldCharType="end"/>
            </w:r>
          </w:hyperlink>
        </w:p>
        <w:p w:rsidR="000901F8" w:rsidRDefault="000901F8" w14:paraId="24602ABA" w14:textId="7BEA278A">
          <w:pPr>
            <w:pStyle w:val="TOC1"/>
            <w:tabs>
              <w:tab w:val="right" w:leader="dot" w:pos="9350"/>
            </w:tabs>
            <w:rPr>
              <w:rFonts w:asciiTheme="minorHAnsi" w:hAnsiTheme="minorHAnsi" w:cstheme="minorBidi"/>
              <w:noProof/>
              <w:kern w:val="2"/>
              <w:sz w:val="24"/>
              <w:szCs w:val="24"/>
              <w14:ligatures w14:val="standardContextual"/>
            </w:rPr>
          </w:pPr>
          <w:hyperlink w:history="1" w:anchor="_Toc228294669">
            <w:r w:rsidRPr="001E10DF">
              <w:rPr>
                <w:rStyle w:val="Hyperlink"/>
                <w:noProof/>
              </w:rPr>
              <w:t>3.</w:t>
            </w:r>
            <w:r>
              <w:rPr>
                <w:rFonts w:asciiTheme="minorHAnsi" w:hAnsiTheme="minorHAnsi" w:cstheme="minorBidi"/>
                <w:noProof/>
                <w:kern w:val="2"/>
                <w:sz w:val="24"/>
                <w:szCs w:val="24"/>
                <w14:ligatures w14:val="standardContextual"/>
              </w:rPr>
              <w:tab/>
            </w:r>
            <w:r w:rsidRPr="001E10DF">
              <w:rPr>
                <w:rStyle w:val="Hyperlink"/>
                <w:noProof/>
              </w:rPr>
              <w:t>Partial Settlement Agreement</w:t>
            </w:r>
            <w:r>
              <w:rPr>
                <w:noProof/>
                <w:webHidden/>
              </w:rPr>
              <w:tab/>
            </w:r>
            <w:r>
              <w:rPr>
                <w:noProof/>
                <w:webHidden/>
              </w:rPr>
              <w:fldChar w:fldCharType="begin"/>
            </w:r>
            <w:r>
              <w:rPr>
                <w:noProof/>
                <w:webHidden/>
              </w:rPr>
              <w:instrText xml:space="preserve"> PAGEREF _Toc228294669 \h </w:instrText>
            </w:r>
            <w:r>
              <w:rPr>
                <w:noProof/>
                <w:webHidden/>
              </w:rPr>
            </w:r>
            <w:r>
              <w:rPr>
                <w:noProof/>
                <w:webHidden/>
              </w:rPr>
              <w:fldChar w:fldCharType="separate"/>
            </w:r>
            <w:r>
              <w:rPr>
                <w:noProof/>
                <w:webHidden/>
              </w:rPr>
              <w:t>11</w:t>
            </w:r>
            <w:r>
              <w:rPr>
                <w:noProof/>
                <w:webHidden/>
              </w:rPr>
              <w:fldChar w:fldCharType="end"/>
            </w:r>
          </w:hyperlink>
        </w:p>
        <w:p w:rsidR="000901F8" w:rsidRDefault="000901F8" w14:paraId="1853EF33" w14:textId="39E73D5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70">
            <w:r w:rsidRPr="001E10DF">
              <w:rPr>
                <w:rStyle w:val="Hyperlink"/>
                <w:noProof/>
              </w:rPr>
              <w:t>3.1.</w:t>
            </w:r>
            <w:r>
              <w:rPr>
                <w:rFonts w:asciiTheme="minorHAnsi" w:hAnsiTheme="minorHAnsi" w:cstheme="minorBidi"/>
                <w:noProof/>
                <w:kern w:val="2"/>
                <w:sz w:val="24"/>
                <w:szCs w:val="24"/>
                <w14:ligatures w14:val="standardContextual"/>
              </w:rPr>
              <w:tab/>
            </w:r>
            <w:r w:rsidRPr="001E10DF">
              <w:rPr>
                <w:rStyle w:val="Hyperlink"/>
                <w:noProof/>
              </w:rPr>
              <w:t>Analysis of Partial Settlement Agreement</w:t>
            </w:r>
            <w:r>
              <w:rPr>
                <w:noProof/>
                <w:webHidden/>
              </w:rPr>
              <w:tab/>
            </w:r>
            <w:r>
              <w:rPr>
                <w:noProof/>
                <w:webHidden/>
              </w:rPr>
              <w:fldChar w:fldCharType="begin"/>
            </w:r>
            <w:r>
              <w:rPr>
                <w:noProof/>
                <w:webHidden/>
              </w:rPr>
              <w:instrText xml:space="preserve"> PAGEREF _Toc228294670 \h </w:instrText>
            </w:r>
            <w:r>
              <w:rPr>
                <w:noProof/>
                <w:webHidden/>
              </w:rPr>
            </w:r>
            <w:r>
              <w:rPr>
                <w:noProof/>
                <w:webHidden/>
              </w:rPr>
              <w:fldChar w:fldCharType="separate"/>
            </w:r>
            <w:r>
              <w:rPr>
                <w:noProof/>
                <w:webHidden/>
              </w:rPr>
              <w:t>14</w:t>
            </w:r>
            <w:r>
              <w:rPr>
                <w:noProof/>
                <w:webHidden/>
              </w:rPr>
              <w:fldChar w:fldCharType="end"/>
            </w:r>
          </w:hyperlink>
        </w:p>
        <w:p w:rsidR="000901F8" w:rsidRDefault="000901F8" w14:paraId="670C31E5" w14:textId="5842C80A">
          <w:pPr>
            <w:pStyle w:val="TOC1"/>
            <w:tabs>
              <w:tab w:val="right" w:leader="dot" w:pos="9350"/>
            </w:tabs>
            <w:rPr>
              <w:rFonts w:asciiTheme="minorHAnsi" w:hAnsiTheme="minorHAnsi" w:cstheme="minorBidi"/>
              <w:noProof/>
              <w:kern w:val="2"/>
              <w:sz w:val="24"/>
              <w:szCs w:val="24"/>
              <w14:ligatures w14:val="standardContextual"/>
            </w:rPr>
          </w:pPr>
          <w:hyperlink w:history="1" w:anchor="_Toc228294671">
            <w:r w:rsidRPr="001E10DF">
              <w:rPr>
                <w:rStyle w:val="Hyperlink"/>
                <w:noProof/>
              </w:rPr>
              <w:t>4.</w:t>
            </w:r>
            <w:r>
              <w:rPr>
                <w:rFonts w:asciiTheme="minorHAnsi" w:hAnsiTheme="minorHAnsi" w:cstheme="minorBidi"/>
                <w:noProof/>
                <w:kern w:val="2"/>
                <w:sz w:val="24"/>
                <w:szCs w:val="24"/>
                <w14:ligatures w14:val="standardContextual"/>
              </w:rPr>
              <w:tab/>
            </w:r>
            <w:r w:rsidRPr="001E10DF">
              <w:rPr>
                <w:rStyle w:val="Hyperlink"/>
                <w:noProof/>
              </w:rPr>
              <w:t>Discussion and Analysis of the 25 Scoped Issues</w:t>
            </w:r>
            <w:r>
              <w:rPr>
                <w:noProof/>
                <w:webHidden/>
              </w:rPr>
              <w:tab/>
            </w:r>
            <w:r>
              <w:rPr>
                <w:noProof/>
                <w:webHidden/>
              </w:rPr>
              <w:fldChar w:fldCharType="begin"/>
            </w:r>
            <w:r>
              <w:rPr>
                <w:noProof/>
                <w:webHidden/>
              </w:rPr>
              <w:instrText xml:space="preserve"> PAGEREF _Toc228294671 \h </w:instrText>
            </w:r>
            <w:r>
              <w:rPr>
                <w:noProof/>
                <w:webHidden/>
              </w:rPr>
            </w:r>
            <w:r>
              <w:rPr>
                <w:noProof/>
                <w:webHidden/>
              </w:rPr>
              <w:fldChar w:fldCharType="separate"/>
            </w:r>
            <w:r>
              <w:rPr>
                <w:noProof/>
                <w:webHidden/>
              </w:rPr>
              <w:t>19</w:t>
            </w:r>
            <w:r>
              <w:rPr>
                <w:noProof/>
                <w:webHidden/>
              </w:rPr>
              <w:fldChar w:fldCharType="end"/>
            </w:r>
          </w:hyperlink>
        </w:p>
        <w:p w:rsidR="000901F8" w:rsidRDefault="000901F8" w14:paraId="59E30B23" w14:textId="665CA5B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72">
            <w:r w:rsidRPr="001E10DF">
              <w:rPr>
                <w:rStyle w:val="Hyperlink"/>
                <w:noProof/>
              </w:rPr>
              <w:t>4.1.</w:t>
            </w:r>
            <w:r>
              <w:rPr>
                <w:rFonts w:asciiTheme="minorHAnsi" w:hAnsiTheme="minorHAnsi" w:cstheme="minorBidi"/>
                <w:noProof/>
                <w:kern w:val="2"/>
                <w:sz w:val="24"/>
                <w:szCs w:val="24"/>
                <w14:ligatures w14:val="standardContextual"/>
              </w:rPr>
              <w:tab/>
            </w:r>
            <w:r w:rsidRPr="001E10DF">
              <w:rPr>
                <w:rStyle w:val="Hyperlink"/>
                <w:noProof/>
              </w:rPr>
              <w:t>Scoped Issue #1:  Whether California Water Service Company’s Proposed Rate Increases for the Test and Escalation Years Are Just and Reasonable</w:t>
            </w:r>
            <w:r>
              <w:rPr>
                <w:noProof/>
                <w:webHidden/>
              </w:rPr>
              <w:tab/>
            </w:r>
            <w:r>
              <w:rPr>
                <w:noProof/>
                <w:webHidden/>
              </w:rPr>
              <w:fldChar w:fldCharType="begin"/>
            </w:r>
            <w:r>
              <w:rPr>
                <w:noProof/>
                <w:webHidden/>
              </w:rPr>
              <w:instrText xml:space="preserve"> PAGEREF _Toc228294672 \h </w:instrText>
            </w:r>
            <w:r>
              <w:rPr>
                <w:noProof/>
                <w:webHidden/>
              </w:rPr>
            </w:r>
            <w:r>
              <w:rPr>
                <w:noProof/>
                <w:webHidden/>
              </w:rPr>
              <w:fldChar w:fldCharType="separate"/>
            </w:r>
            <w:r>
              <w:rPr>
                <w:noProof/>
                <w:webHidden/>
              </w:rPr>
              <w:t>19</w:t>
            </w:r>
            <w:r>
              <w:rPr>
                <w:noProof/>
                <w:webHidden/>
              </w:rPr>
              <w:fldChar w:fldCharType="end"/>
            </w:r>
          </w:hyperlink>
        </w:p>
        <w:p w:rsidR="000901F8" w:rsidRDefault="000901F8" w14:paraId="762F1B99" w14:textId="320BCE4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73">
            <w:r w:rsidRPr="001E10DF">
              <w:rPr>
                <w:rStyle w:val="Hyperlink"/>
                <w:noProof/>
              </w:rPr>
              <w:t>4.1.1.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_Toc228294673 \h </w:instrText>
            </w:r>
            <w:r>
              <w:rPr>
                <w:noProof/>
                <w:webHidden/>
              </w:rPr>
            </w:r>
            <w:r>
              <w:rPr>
                <w:noProof/>
                <w:webHidden/>
              </w:rPr>
              <w:fldChar w:fldCharType="separate"/>
            </w:r>
            <w:r>
              <w:rPr>
                <w:noProof/>
                <w:webHidden/>
              </w:rPr>
              <w:t>21</w:t>
            </w:r>
            <w:r>
              <w:rPr>
                <w:noProof/>
                <w:webHidden/>
              </w:rPr>
              <w:fldChar w:fldCharType="end"/>
            </w:r>
          </w:hyperlink>
        </w:p>
        <w:p w:rsidR="000901F8" w:rsidRDefault="000901F8" w14:paraId="0842AD47" w14:textId="2A3BF2F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74">
            <w:r w:rsidRPr="001E10DF">
              <w:rPr>
                <w:rStyle w:val="Hyperlink"/>
                <w:noProof/>
              </w:rPr>
              <w:t>4.1.2.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_Toc228294674 \h </w:instrText>
            </w:r>
            <w:r>
              <w:rPr>
                <w:noProof/>
                <w:webHidden/>
              </w:rPr>
            </w:r>
            <w:r>
              <w:rPr>
                <w:noProof/>
                <w:webHidden/>
              </w:rPr>
              <w:fldChar w:fldCharType="separate"/>
            </w:r>
            <w:r>
              <w:rPr>
                <w:noProof/>
                <w:webHidden/>
              </w:rPr>
              <w:t>21</w:t>
            </w:r>
            <w:r>
              <w:rPr>
                <w:noProof/>
                <w:webHidden/>
              </w:rPr>
              <w:fldChar w:fldCharType="end"/>
            </w:r>
          </w:hyperlink>
        </w:p>
        <w:p w:rsidR="000901F8" w:rsidRDefault="000901F8" w14:paraId="00FE3777" w14:textId="584DE5C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75">
            <w:r w:rsidRPr="001E10DF">
              <w:rPr>
                <w:rStyle w:val="Hyperlink"/>
                <w:noProof/>
              </w:rPr>
              <w:t>4.2.</w:t>
            </w:r>
            <w:r>
              <w:rPr>
                <w:rFonts w:asciiTheme="minorHAnsi" w:hAnsiTheme="minorHAnsi" w:cstheme="minorBidi"/>
                <w:noProof/>
                <w:kern w:val="2"/>
                <w:sz w:val="24"/>
                <w:szCs w:val="24"/>
                <w14:ligatures w14:val="standardContextual"/>
              </w:rPr>
              <w:tab/>
            </w:r>
            <w:r w:rsidRPr="001E10DF">
              <w:rPr>
                <w:rStyle w:val="Hyperlink"/>
                <w:noProof/>
              </w:rPr>
              <w:t>Scoped Issue #2:  Whether California Water Service Company’s Estimates of Its Operation and Maintenance, and Administrative and General Expenses Are Reasonable</w:t>
            </w:r>
            <w:r>
              <w:rPr>
                <w:noProof/>
                <w:webHidden/>
              </w:rPr>
              <w:tab/>
            </w:r>
            <w:r>
              <w:rPr>
                <w:noProof/>
                <w:webHidden/>
              </w:rPr>
              <w:fldChar w:fldCharType="begin"/>
            </w:r>
            <w:r>
              <w:rPr>
                <w:noProof/>
                <w:webHidden/>
              </w:rPr>
              <w:instrText xml:space="preserve"> PAGEREF _Toc228294675 \h </w:instrText>
            </w:r>
            <w:r>
              <w:rPr>
                <w:noProof/>
                <w:webHidden/>
              </w:rPr>
            </w:r>
            <w:r>
              <w:rPr>
                <w:noProof/>
                <w:webHidden/>
              </w:rPr>
              <w:fldChar w:fldCharType="separate"/>
            </w:r>
            <w:r>
              <w:rPr>
                <w:noProof/>
                <w:webHidden/>
              </w:rPr>
              <w:t>28</w:t>
            </w:r>
            <w:r>
              <w:rPr>
                <w:noProof/>
                <w:webHidden/>
              </w:rPr>
              <w:fldChar w:fldCharType="end"/>
            </w:r>
          </w:hyperlink>
        </w:p>
        <w:p w:rsidR="000901F8" w:rsidRDefault="000901F8" w14:paraId="33A28C53" w14:textId="257C129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76">
            <w:r w:rsidRPr="001E10DF">
              <w:rPr>
                <w:rStyle w:val="Hyperlink"/>
                <w:noProof/>
              </w:rPr>
              <w:t>4.2.1.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_Toc228294676 \h </w:instrText>
            </w:r>
            <w:r>
              <w:rPr>
                <w:noProof/>
                <w:webHidden/>
              </w:rPr>
            </w:r>
            <w:r>
              <w:rPr>
                <w:noProof/>
                <w:webHidden/>
              </w:rPr>
              <w:fldChar w:fldCharType="separate"/>
            </w:r>
            <w:r>
              <w:rPr>
                <w:noProof/>
                <w:webHidden/>
              </w:rPr>
              <w:t>29</w:t>
            </w:r>
            <w:r>
              <w:rPr>
                <w:noProof/>
                <w:webHidden/>
              </w:rPr>
              <w:fldChar w:fldCharType="end"/>
            </w:r>
          </w:hyperlink>
        </w:p>
        <w:p w:rsidR="000901F8" w:rsidRDefault="000901F8" w14:paraId="7DEE198D" w14:textId="371EEA2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77">
            <w:r w:rsidRPr="001E10DF">
              <w:rPr>
                <w:rStyle w:val="Hyperlink"/>
                <w:noProof/>
              </w:rPr>
              <w:t>4.2.2.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_Toc228294677 \h </w:instrText>
            </w:r>
            <w:r>
              <w:rPr>
                <w:noProof/>
                <w:webHidden/>
              </w:rPr>
            </w:r>
            <w:r>
              <w:rPr>
                <w:noProof/>
                <w:webHidden/>
              </w:rPr>
              <w:fldChar w:fldCharType="separate"/>
            </w:r>
            <w:r>
              <w:rPr>
                <w:noProof/>
                <w:webHidden/>
              </w:rPr>
              <w:t>29</w:t>
            </w:r>
            <w:r>
              <w:rPr>
                <w:noProof/>
                <w:webHidden/>
              </w:rPr>
              <w:fldChar w:fldCharType="end"/>
            </w:r>
          </w:hyperlink>
        </w:p>
        <w:p w:rsidR="000901F8" w:rsidRDefault="000901F8" w14:paraId="325733EB" w14:textId="044F343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78">
            <w:r w:rsidRPr="001E10DF">
              <w:rPr>
                <w:rStyle w:val="Hyperlink"/>
                <w:noProof/>
              </w:rPr>
              <w:t>4.3.</w:t>
            </w:r>
            <w:r>
              <w:rPr>
                <w:rFonts w:asciiTheme="minorHAnsi" w:hAnsiTheme="minorHAnsi" w:cstheme="minorBidi"/>
                <w:noProof/>
                <w:kern w:val="2"/>
                <w:sz w:val="24"/>
                <w:szCs w:val="24"/>
                <w14:ligatures w14:val="standardContextual"/>
              </w:rPr>
              <w:tab/>
            </w:r>
            <w:r w:rsidRPr="001E10DF">
              <w:rPr>
                <w:rStyle w:val="Hyperlink"/>
                <w:noProof/>
              </w:rPr>
              <w:t xml:space="preserve">Scoped Issue #3:  </w:t>
            </w:r>
            <w:r w:rsidRPr="001E10DF">
              <w:rPr>
                <w:rStyle w:val="Hyperlink"/>
                <w:bCs/>
                <w:noProof/>
              </w:rPr>
              <w:t>Whether California Water Service Company’s Proposed Plant Additions Are Accurate, Reasonable, and Justified</w:t>
            </w:r>
            <w:r>
              <w:rPr>
                <w:noProof/>
                <w:webHidden/>
              </w:rPr>
              <w:tab/>
            </w:r>
            <w:r>
              <w:rPr>
                <w:noProof/>
                <w:webHidden/>
              </w:rPr>
              <w:fldChar w:fldCharType="begin"/>
            </w:r>
            <w:r>
              <w:rPr>
                <w:noProof/>
                <w:webHidden/>
              </w:rPr>
              <w:instrText xml:space="preserve"> PAGEREF _Toc228294678 \h </w:instrText>
            </w:r>
            <w:r>
              <w:rPr>
                <w:noProof/>
                <w:webHidden/>
              </w:rPr>
            </w:r>
            <w:r>
              <w:rPr>
                <w:noProof/>
                <w:webHidden/>
              </w:rPr>
              <w:fldChar w:fldCharType="separate"/>
            </w:r>
            <w:r>
              <w:rPr>
                <w:noProof/>
                <w:webHidden/>
              </w:rPr>
              <w:t>40</w:t>
            </w:r>
            <w:r>
              <w:rPr>
                <w:noProof/>
                <w:webHidden/>
              </w:rPr>
              <w:fldChar w:fldCharType="end"/>
            </w:r>
          </w:hyperlink>
        </w:p>
        <w:p w:rsidR="000901F8" w:rsidRDefault="000901F8" w14:paraId="566F79A3" w14:textId="42EEDB9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79">
            <w:r w:rsidRPr="001E10DF">
              <w:rPr>
                <w:rStyle w:val="Hyperlink"/>
                <w:noProof/>
              </w:rPr>
              <w:t>4.3.1.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_Toc228294679 \h </w:instrText>
            </w:r>
            <w:r>
              <w:rPr>
                <w:noProof/>
                <w:webHidden/>
              </w:rPr>
            </w:r>
            <w:r>
              <w:rPr>
                <w:noProof/>
                <w:webHidden/>
              </w:rPr>
              <w:fldChar w:fldCharType="separate"/>
            </w:r>
            <w:r>
              <w:rPr>
                <w:noProof/>
                <w:webHidden/>
              </w:rPr>
              <w:t>42</w:t>
            </w:r>
            <w:r>
              <w:rPr>
                <w:noProof/>
                <w:webHidden/>
              </w:rPr>
              <w:fldChar w:fldCharType="end"/>
            </w:r>
          </w:hyperlink>
        </w:p>
        <w:p w:rsidR="000901F8" w:rsidRDefault="000901F8" w14:paraId="0D9A560F" w14:textId="0218691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0">
            <w:r w:rsidRPr="001E10DF">
              <w:rPr>
                <w:rStyle w:val="Hyperlink"/>
                <w:noProof/>
              </w:rPr>
              <w:t>4.3.2.</w:t>
            </w:r>
            <w:r>
              <w:rPr>
                <w:rFonts w:asciiTheme="minorHAnsi" w:hAnsiTheme="minorHAnsi" w:cstheme="minorBidi"/>
                <w:noProof/>
                <w:kern w:val="2"/>
                <w:sz w:val="24"/>
                <w:szCs w:val="24"/>
                <w14:ligatures w14:val="standardContextual"/>
              </w:rPr>
              <w:tab/>
            </w:r>
            <w:r w:rsidRPr="001E10DF">
              <w:rPr>
                <w:rStyle w:val="Hyperlink"/>
                <w:noProof/>
              </w:rPr>
              <w:t>Analysis of Disputed Capital Projects</w:t>
            </w:r>
            <w:r>
              <w:rPr>
                <w:noProof/>
                <w:webHidden/>
              </w:rPr>
              <w:tab/>
            </w:r>
            <w:r>
              <w:rPr>
                <w:noProof/>
                <w:webHidden/>
              </w:rPr>
              <w:fldChar w:fldCharType="begin"/>
            </w:r>
            <w:r>
              <w:rPr>
                <w:noProof/>
                <w:webHidden/>
              </w:rPr>
              <w:instrText xml:space="preserve"> PAGEREF _Toc228294680 \h </w:instrText>
            </w:r>
            <w:r>
              <w:rPr>
                <w:noProof/>
                <w:webHidden/>
              </w:rPr>
            </w:r>
            <w:r>
              <w:rPr>
                <w:noProof/>
                <w:webHidden/>
              </w:rPr>
              <w:fldChar w:fldCharType="separate"/>
            </w:r>
            <w:r>
              <w:rPr>
                <w:noProof/>
                <w:webHidden/>
              </w:rPr>
              <w:t>42</w:t>
            </w:r>
            <w:r>
              <w:rPr>
                <w:noProof/>
                <w:webHidden/>
              </w:rPr>
              <w:fldChar w:fldCharType="end"/>
            </w:r>
          </w:hyperlink>
        </w:p>
        <w:p w:rsidR="000901F8" w:rsidRDefault="000901F8" w14:paraId="74E429E1" w14:textId="6A8200D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1">
            <w:r w:rsidRPr="001E10DF">
              <w:rPr>
                <w:rStyle w:val="Hyperlink"/>
                <w:noProof/>
              </w:rPr>
              <w:t>4.3.3.</w:t>
            </w:r>
            <w:r>
              <w:rPr>
                <w:rFonts w:asciiTheme="minorHAnsi" w:hAnsiTheme="minorHAnsi" w:cstheme="minorBidi"/>
                <w:noProof/>
                <w:kern w:val="2"/>
                <w:sz w:val="24"/>
                <w:szCs w:val="24"/>
                <w14:ligatures w14:val="standardContextual"/>
              </w:rPr>
              <w:tab/>
            </w:r>
            <w:r w:rsidRPr="001E10DF">
              <w:rPr>
                <w:rStyle w:val="Hyperlink"/>
                <w:noProof/>
              </w:rPr>
              <w:t>Deferred Projects from the Prior General Rate Case</w:t>
            </w:r>
            <w:r>
              <w:rPr>
                <w:noProof/>
                <w:webHidden/>
              </w:rPr>
              <w:tab/>
            </w:r>
            <w:r>
              <w:rPr>
                <w:noProof/>
                <w:webHidden/>
              </w:rPr>
              <w:fldChar w:fldCharType="begin"/>
            </w:r>
            <w:r>
              <w:rPr>
                <w:noProof/>
                <w:webHidden/>
              </w:rPr>
              <w:instrText xml:space="preserve"> PAGEREF _Toc228294681 \h </w:instrText>
            </w:r>
            <w:r>
              <w:rPr>
                <w:noProof/>
                <w:webHidden/>
              </w:rPr>
            </w:r>
            <w:r>
              <w:rPr>
                <w:noProof/>
                <w:webHidden/>
              </w:rPr>
              <w:fldChar w:fldCharType="separate"/>
            </w:r>
            <w:r>
              <w:rPr>
                <w:noProof/>
                <w:webHidden/>
              </w:rPr>
              <w:t>54</w:t>
            </w:r>
            <w:r>
              <w:rPr>
                <w:noProof/>
                <w:webHidden/>
              </w:rPr>
              <w:fldChar w:fldCharType="end"/>
            </w:r>
          </w:hyperlink>
        </w:p>
        <w:p w:rsidR="000901F8" w:rsidRDefault="000901F8" w14:paraId="702791EC" w14:textId="735FAE4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2">
            <w:r w:rsidRPr="001E10DF">
              <w:rPr>
                <w:rStyle w:val="Hyperlink"/>
                <w:noProof/>
              </w:rPr>
              <w:t>4.3.4.</w:t>
            </w:r>
            <w:r>
              <w:rPr>
                <w:rFonts w:asciiTheme="minorHAnsi" w:hAnsiTheme="minorHAnsi" w:cstheme="minorBidi"/>
                <w:noProof/>
                <w:kern w:val="2"/>
                <w:sz w:val="24"/>
                <w:szCs w:val="24"/>
                <w14:ligatures w14:val="standardContextual"/>
              </w:rPr>
              <w:tab/>
            </w:r>
            <w:r w:rsidRPr="001E10DF">
              <w:rPr>
                <w:rStyle w:val="Hyperlink"/>
                <w:noProof/>
              </w:rPr>
              <w:t>Contingency Allowances</w:t>
            </w:r>
            <w:r>
              <w:rPr>
                <w:noProof/>
                <w:webHidden/>
              </w:rPr>
              <w:tab/>
            </w:r>
            <w:r>
              <w:rPr>
                <w:noProof/>
                <w:webHidden/>
              </w:rPr>
              <w:fldChar w:fldCharType="begin"/>
            </w:r>
            <w:r>
              <w:rPr>
                <w:noProof/>
                <w:webHidden/>
              </w:rPr>
              <w:instrText xml:space="preserve"> PAGEREF _Toc228294682 \h </w:instrText>
            </w:r>
            <w:r>
              <w:rPr>
                <w:noProof/>
                <w:webHidden/>
              </w:rPr>
            </w:r>
            <w:r>
              <w:rPr>
                <w:noProof/>
                <w:webHidden/>
              </w:rPr>
              <w:fldChar w:fldCharType="separate"/>
            </w:r>
            <w:r>
              <w:rPr>
                <w:noProof/>
                <w:webHidden/>
              </w:rPr>
              <w:t>56</w:t>
            </w:r>
            <w:r>
              <w:rPr>
                <w:noProof/>
                <w:webHidden/>
              </w:rPr>
              <w:fldChar w:fldCharType="end"/>
            </w:r>
          </w:hyperlink>
        </w:p>
        <w:p w:rsidR="000901F8" w:rsidRDefault="000901F8" w14:paraId="39160E3C" w14:textId="7FA527F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3">
            <w:r w:rsidRPr="001E10DF">
              <w:rPr>
                <w:rStyle w:val="Hyperlink"/>
                <w:noProof/>
              </w:rPr>
              <w:t>4.3.5.</w:t>
            </w:r>
            <w:r>
              <w:rPr>
                <w:rFonts w:asciiTheme="minorHAnsi" w:hAnsiTheme="minorHAnsi" w:cstheme="minorBidi"/>
                <w:noProof/>
                <w:kern w:val="2"/>
                <w:sz w:val="24"/>
                <w:szCs w:val="24"/>
                <w14:ligatures w14:val="standardContextual"/>
              </w:rPr>
              <w:tab/>
            </w:r>
            <w:r w:rsidRPr="001E10DF">
              <w:rPr>
                <w:rStyle w:val="Hyperlink"/>
                <w:noProof/>
              </w:rPr>
              <w:t>Non</w:t>
            </w:r>
            <w:r w:rsidRPr="001E10DF">
              <w:rPr>
                <w:rStyle w:val="Hyperlink"/>
                <w:noProof/>
              </w:rPr>
              <w:noBreakHyphen/>
              <w:t>Specifics and Unscheduled Budgets Provide Operational Flexibility</w:t>
            </w:r>
            <w:r>
              <w:rPr>
                <w:noProof/>
                <w:webHidden/>
              </w:rPr>
              <w:tab/>
            </w:r>
            <w:r>
              <w:rPr>
                <w:noProof/>
                <w:webHidden/>
              </w:rPr>
              <w:fldChar w:fldCharType="begin"/>
            </w:r>
            <w:r>
              <w:rPr>
                <w:noProof/>
                <w:webHidden/>
              </w:rPr>
              <w:instrText xml:space="preserve"> PAGEREF _Toc228294683 \h </w:instrText>
            </w:r>
            <w:r>
              <w:rPr>
                <w:noProof/>
                <w:webHidden/>
              </w:rPr>
            </w:r>
            <w:r>
              <w:rPr>
                <w:noProof/>
                <w:webHidden/>
              </w:rPr>
              <w:fldChar w:fldCharType="separate"/>
            </w:r>
            <w:r>
              <w:rPr>
                <w:noProof/>
                <w:webHidden/>
              </w:rPr>
              <w:t>57</w:t>
            </w:r>
            <w:r>
              <w:rPr>
                <w:noProof/>
                <w:webHidden/>
              </w:rPr>
              <w:fldChar w:fldCharType="end"/>
            </w:r>
          </w:hyperlink>
        </w:p>
        <w:p w:rsidR="000901F8" w:rsidRDefault="000901F8" w14:paraId="1E2CE53F" w14:textId="44E36ED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84">
            <w:r w:rsidRPr="001E10DF">
              <w:rPr>
                <w:rStyle w:val="Hyperlink"/>
                <w:noProof/>
              </w:rPr>
              <w:t>4.4.</w:t>
            </w:r>
            <w:r>
              <w:rPr>
                <w:rFonts w:asciiTheme="minorHAnsi" w:hAnsiTheme="minorHAnsi" w:cstheme="minorBidi"/>
                <w:noProof/>
                <w:kern w:val="2"/>
                <w:sz w:val="24"/>
                <w:szCs w:val="24"/>
                <w14:ligatures w14:val="standardContextual"/>
              </w:rPr>
              <w:tab/>
            </w:r>
            <w:r w:rsidRPr="001E10DF">
              <w:rPr>
                <w:rStyle w:val="Hyperlink"/>
                <w:noProof/>
              </w:rPr>
              <w:t xml:space="preserve">Scoped Issue #4:  </w:t>
            </w:r>
            <w:r w:rsidRPr="001E10DF">
              <w:rPr>
                <w:rStyle w:val="Hyperlink"/>
                <w:bCs/>
                <w:noProof/>
              </w:rPr>
              <w:t>Whether California Water Service Company’s Proposed Revenue Requirement Is Just and Reasonable</w:t>
            </w:r>
            <w:r>
              <w:rPr>
                <w:noProof/>
                <w:webHidden/>
              </w:rPr>
              <w:tab/>
            </w:r>
            <w:r>
              <w:rPr>
                <w:noProof/>
                <w:webHidden/>
              </w:rPr>
              <w:fldChar w:fldCharType="begin"/>
            </w:r>
            <w:r>
              <w:rPr>
                <w:noProof/>
                <w:webHidden/>
              </w:rPr>
              <w:instrText xml:space="preserve"> PAGEREF _Toc228294684 \h </w:instrText>
            </w:r>
            <w:r>
              <w:rPr>
                <w:noProof/>
                <w:webHidden/>
              </w:rPr>
            </w:r>
            <w:r>
              <w:rPr>
                <w:noProof/>
                <w:webHidden/>
              </w:rPr>
              <w:fldChar w:fldCharType="separate"/>
            </w:r>
            <w:r>
              <w:rPr>
                <w:noProof/>
                <w:webHidden/>
              </w:rPr>
              <w:t>59</w:t>
            </w:r>
            <w:r>
              <w:rPr>
                <w:noProof/>
                <w:webHidden/>
              </w:rPr>
              <w:fldChar w:fldCharType="end"/>
            </w:r>
          </w:hyperlink>
        </w:p>
        <w:p w:rsidR="000901F8" w:rsidRDefault="000901F8" w14:paraId="3B63665F" w14:textId="429A52F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5">
            <w:r w:rsidRPr="001E10DF">
              <w:rPr>
                <w:rStyle w:val="Hyperlink"/>
                <w:noProof/>
              </w:rPr>
              <w:t>4.4.1.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_Toc228294685 \h </w:instrText>
            </w:r>
            <w:r>
              <w:rPr>
                <w:noProof/>
                <w:webHidden/>
              </w:rPr>
            </w:r>
            <w:r>
              <w:rPr>
                <w:noProof/>
                <w:webHidden/>
              </w:rPr>
              <w:fldChar w:fldCharType="separate"/>
            </w:r>
            <w:r>
              <w:rPr>
                <w:noProof/>
                <w:webHidden/>
              </w:rPr>
              <w:t>60</w:t>
            </w:r>
            <w:r>
              <w:rPr>
                <w:noProof/>
                <w:webHidden/>
              </w:rPr>
              <w:fldChar w:fldCharType="end"/>
            </w:r>
          </w:hyperlink>
        </w:p>
        <w:p w:rsidR="000901F8" w:rsidRDefault="000901F8" w14:paraId="6F5B2519" w14:textId="70546CF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6">
            <w:r w:rsidRPr="001E10DF">
              <w:rPr>
                <w:rStyle w:val="Hyperlink"/>
                <w:noProof/>
              </w:rPr>
              <w:t>4.4.2.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_Toc228294686 \h </w:instrText>
            </w:r>
            <w:r>
              <w:rPr>
                <w:noProof/>
                <w:webHidden/>
              </w:rPr>
            </w:r>
            <w:r>
              <w:rPr>
                <w:noProof/>
                <w:webHidden/>
              </w:rPr>
              <w:fldChar w:fldCharType="separate"/>
            </w:r>
            <w:r>
              <w:rPr>
                <w:noProof/>
                <w:webHidden/>
              </w:rPr>
              <w:t>61</w:t>
            </w:r>
            <w:r>
              <w:rPr>
                <w:noProof/>
                <w:webHidden/>
              </w:rPr>
              <w:fldChar w:fldCharType="end"/>
            </w:r>
          </w:hyperlink>
        </w:p>
        <w:p w:rsidR="000901F8" w:rsidRDefault="000901F8" w14:paraId="16AB2114" w14:textId="1D01D7F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87">
            <w:r w:rsidRPr="001E10DF">
              <w:rPr>
                <w:rStyle w:val="Hyperlink"/>
                <w:bCs/>
                <w:noProof/>
              </w:rPr>
              <w:t>4.5.</w:t>
            </w:r>
            <w:r>
              <w:rPr>
                <w:rFonts w:asciiTheme="minorHAnsi" w:hAnsiTheme="minorHAnsi" w:cstheme="minorBidi"/>
                <w:noProof/>
                <w:kern w:val="2"/>
                <w:sz w:val="24"/>
                <w:szCs w:val="24"/>
                <w14:ligatures w14:val="standardContextual"/>
              </w:rPr>
              <w:tab/>
            </w:r>
            <w:r w:rsidRPr="001E10DF">
              <w:rPr>
                <w:rStyle w:val="Hyperlink"/>
                <w:noProof/>
              </w:rPr>
              <w:t>Scoped Issues #5, #7, and #15</w:t>
            </w:r>
            <w:r>
              <w:rPr>
                <w:noProof/>
                <w:webHidden/>
              </w:rPr>
              <w:tab/>
            </w:r>
            <w:r>
              <w:rPr>
                <w:noProof/>
                <w:webHidden/>
              </w:rPr>
              <w:fldChar w:fldCharType="begin"/>
            </w:r>
            <w:r>
              <w:rPr>
                <w:noProof/>
                <w:webHidden/>
              </w:rPr>
              <w:instrText xml:space="preserve"> PAGEREF _Toc228294687 \h </w:instrText>
            </w:r>
            <w:r>
              <w:rPr>
                <w:noProof/>
                <w:webHidden/>
              </w:rPr>
            </w:r>
            <w:r>
              <w:rPr>
                <w:noProof/>
                <w:webHidden/>
              </w:rPr>
              <w:fldChar w:fldCharType="separate"/>
            </w:r>
            <w:r>
              <w:rPr>
                <w:noProof/>
                <w:webHidden/>
              </w:rPr>
              <w:t>66</w:t>
            </w:r>
            <w:r>
              <w:rPr>
                <w:noProof/>
                <w:webHidden/>
              </w:rPr>
              <w:fldChar w:fldCharType="end"/>
            </w:r>
          </w:hyperlink>
        </w:p>
        <w:p w:rsidR="000901F8" w:rsidRDefault="000901F8" w14:paraId="3E20AC72" w14:textId="090B15E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8">
            <w:r w:rsidRPr="001E10DF">
              <w:rPr>
                <w:rStyle w:val="Hyperlink"/>
                <w:bCs/>
                <w:noProof/>
              </w:rPr>
              <w:t>4.5.1.</w:t>
            </w:r>
            <w:r>
              <w:rPr>
                <w:rFonts w:asciiTheme="minorHAnsi" w:hAnsiTheme="minorHAnsi" w:cstheme="minorBidi"/>
                <w:noProof/>
                <w:kern w:val="2"/>
                <w:sz w:val="24"/>
                <w:szCs w:val="24"/>
                <w14:ligatures w14:val="standardContextual"/>
              </w:rPr>
              <w:tab/>
            </w:r>
            <w:r w:rsidRPr="001E10DF">
              <w:rPr>
                <w:rStyle w:val="Hyperlink"/>
                <w:bCs/>
                <w:noProof/>
              </w:rPr>
              <w:t>Partial Settlement</w:t>
            </w:r>
            <w:r>
              <w:rPr>
                <w:noProof/>
                <w:webHidden/>
              </w:rPr>
              <w:tab/>
            </w:r>
            <w:r>
              <w:rPr>
                <w:noProof/>
                <w:webHidden/>
              </w:rPr>
              <w:fldChar w:fldCharType="begin"/>
            </w:r>
            <w:r>
              <w:rPr>
                <w:noProof/>
                <w:webHidden/>
              </w:rPr>
              <w:instrText xml:space="preserve"> PAGEREF _Toc228294688 \h </w:instrText>
            </w:r>
            <w:r>
              <w:rPr>
                <w:noProof/>
                <w:webHidden/>
              </w:rPr>
            </w:r>
            <w:r>
              <w:rPr>
                <w:noProof/>
                <w:webHidden/>
              </w:rPr>
              <w:fldChar w:fldCharType="separate"/>
            </w:r>
            <w:r>
              <w:rPr>
                <w:noProof/>
                <w:webHidden/>
              </w:rPr>
              <w:t>67</w:t>
            </w:r>
            <w:r>
              <w:rPr>
                <w:noProof/>
                <w:webHidden/>
              </w:rPr>
              <w:fldChar w:fldCharType="end"/>
            </w:r>
          </w:hyperlink>
        </w:p>
        <w:p w:rsidR="000901F8" w:rsidRDefault="000901F8" w14:paraId="06846364" w14:textId="5A7A0A6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89">
            <w:r w:rsidRPr="001E10DF">
              <w:rPr>
                <w:rStyle w:val="Hyperlink"/>
                <w:bCs/>
                <w:noProof/>
              </w:rPr>
              <w:t>4.5.2.</w:t>
            </w:r>
            <w:r>
              <w:rPr>
                <w:rFonts w:asciiTheme="minorHAnsi" w:hAnsiTheme="minorHAnsi" w:cstheme="minorBidi"/>
                <w:noProof/>
                <w:kern w:val="2"/>
                <w:sz w:val="24"/>
                <w:szCs w:val="24"/>
                <w14:ligatures w14:val="standardContextual"/>
              </w:rPr>
              <w:tab/>
            </w:r>
            <w:r w:rsidRPr="001E10DF">
              <w:rPr>
                <w:rStyle w:val="Hyperlink"/>
                <w:noProof/>
              </w:rPr>
              <w:t>Positions of the Parties</w:t>
            </w:r>
            <w:r>
              <w:rPr>
                <w:noProof/>
                <w:webHidden/>
              </w:rPr>
              <w:tab/>
            </w:r>
            <w:r>
              <w:rPr>
                <w:noProof/>
                <w:webHidden/>
              </w:rPr>
              <w:fldChar w:fldCharType="begin"/>
            </w:r>
            <w:r>
              <w:rPr>
                <w:noProof/>
                <w:webHidden/>
              </w:rPr>
              <w:instrText xml:space="preserve"> PAGEREF _Toc228294689 \h </w:instrText>
            </w:r>
            <w:r>
              <w:rPr>
                <w:noProof/>
                <w:webHidden/>
              </w:rPr>
            </w:r>
            <w:r>
              <w:rPr>
                <w:noProof/>
                <w:webHidden/>
              </w:rPr>
              <w:fldChar w:fldCharType="separate"/>
            </w:r>
            <w:r>
              <w:rPr>
                <w:noProof/>
                <w:webHidden/>
              </w:rPr>
              <w:t>67</w:t>
            </w:r>
            <w:r>
              <w:rPr>
                <w:noProof/>
                <w:webHidden/>
              </w:rPr>
              <w:fldChar w:fldCharType="end"/>
            </w:r>
          </w:hyperlink>
        </w:p>
        <w:p w:rsidR="000901F8" w:rsidRDefault="000901F8" w14:paraId="1FE59BDE" w14:textId="3BD80928">
          <w:pPr>
            <w:pStyle w:val="TOC4"/>
            <w:tabs>
              <w:tab w:val="left" w:pos="3007"/>
            </w:tabs>
            <w:rPr>
              <w:rFonts w:asciiTheme="minorHAnsi" w:hAnsiTheme="minorHAnsi" w:eastAsiaTheme="minorEastAsia"/>
              <w:noProof/>
              <w:kern w:val="2"/>
              <w:sz w:val="24"/>
              <w:szCs w:val="24"/>
              <w14:ligatures w14:val="standardContextual"/>
            </w:rPr>
          </w:pPr>
          <w:hyperlink w:history="1" w:anchor="_Toc228294690">
            <w:r w:rsidRPr="001E10DF">
              <w:rPr>
                <w:rStyle w:val="Hyperlink"/>
                <w:bCs/>
                <w:noProof/>
              </w:rPr>
              <w:t>4.5.2.1.</w:t>
            </w:r>
            <w:r>
              <w:rPr>
                <w:rFonts w:asciiTheme="minorHAnsi" w:hAnsiTheme="minorHAnsi" w:eastAsiaTheme="minorEastAsia"/>
                <w:noProof/>
                <w:kern w:val="2"/>
                <w:sz w:val="24"/>
                <w:szCs w:val="24"/>
                <w14:ligatures w14:val="standardContextual"/>
              </w:rPr>
              <w:tab/>
            </w:r>
            <w:r w:rsidRPr="001E10DF">
              <w:rPr>
                <w:rStyle w:val="Hyperlink"/>
                <w:noProof/>
              </w:rPr>
              <w:t>California Water Service Company’s Proposal</w:t>
            </w:r>
            <w:r>
              <w:rPr>
                <w:noProof/>
                <w:webHidden/>
              </w:rPr>
              <w:tab/>
            </w:r>
            <w:r>
              <w:rPr>
                <w:noProof/>
                <w:webHidden/>
              </w:rPr>
              <w:fldChar w:fldCharType="begin"/>
            </w:r>
            <w:r>
              <w:rPr>
                <w:noProof/>
                <w:webHidden/>
              </w:rPr>
              <w:instrText xml:space="preserve"> PAGEREF _Toc228294690 \h </w:instrText>
            </w:r>
            <w:r>
              <w:rPr>
                <w:noProof/>
                <w:webHidden/>
              </w:rPr>
            </w:r>
            <w:r>
              <w:rPr>
                <w:noProof/>
                <w:webHidden/>
              </w:rPr>
              <w:fldChar w:fldCharType="separate"/>
            </w:r>
            <w:r>
              <w:rPr>
                <w:noProof/>
                <w:webHidden/>
              </w:rPr>
              <w:t>67</w:t>
            </w:r>
            <w:r>
              <w:rPr>
                <w:noProof/>
                <w:webHidden/>
              </w:rPr>
              <w:fldChar w:fldCharType="end"/>
            </w:r>
          </w:hyperlink>
        </w:p>
        <w:p w:rsidR="000901F8" w:rsidRDefault="000901F8" w14:paraId="46995164" w14:textId="6CFD3190">
          <w:pPr>
            <w:pStyle w:val="TOC4"/>
            <w:tabs>
              <w:tab w:val="left" w:pos="3007"/>
            </w:tabs>
            <w:rPr>
              <w:rFonts w:asciiTheme="minorHAnsi" w:hAnsiTheme="minorHAnsi" w:eastAsiaTheme="minorEastAsia"/>
              <w:noProof/>
              <w:kern w:val="2"/>
              <w:sz w:val="24"/>
              <w:szCs w:val="24"/>
              <w14:ligatures w14:val="standardContextual"/>
            </w:rPr>
          </w:pPr>
          <w:hyperlink w:history="1" w:anchor="_Toc228294691">
            <w:r w:rsidRPr="001E10DF">
              <w:rPr>
                <w:rStyle w:val="Hyperlink"/>
                <w:noProof/>
              </w:rPr>
              <w:t>4.5.2.2.</w:t>
            </w:r>
            <w:r>
              <w:rPr>
                <w:rFonts w:asciiTheme="minorHAnsi" w:hAnsiTheme="minorHAnsi" w:eastAsiaTheme="minorEastAsia"/>
                <w:noProof/>
                <w:kern w:val="2"/>
                <w:sz w:val="24"/>
                <w:szCs w:val="24"/>
                <w14:ligatures w14:val="standardContextual"/>
              </w:rPr>
              <w:tab/>
            </w:r>
            <w:r w:rsidRPr="001E10DF">
              <w:rPr>
                <w:rStyle w:val="Hyperlink"/>
                <w:noProof/>
              </w:rPr>
              <w:t>Cal Advocates’ Proposal</w:t>
            </w:r>
            <w:r>
              <w:rPr>
                <w:noProof/>
                <w:webHidden/>
              </w:rPr>
              <w:tab/>
            </w:r>
            <w:r>
              <w:rPr>
                <w:noProof/>
                <w:webHidden/>
              </w:rPr>
              <w:fldChar w:fldCharType="begin"/>
            </w:r>
            <w:r>
              <w:rPr>
                <w:noProof/>
                <w:webHidden/>
              </w:rPr>
              <w:instrText xml:space="preserve"> PAGEREF _Toc228294691 \h </w:instrText>
            </w:r>
            <w:r>
              <w:rPr>
                <w:noProof/>
                <w:webHidden/>
              </w:rPr>
            </w:r>
            <w:r>
              <w:rPr>
                <w:noProof/>
                <w:webHidden/>
              </w:rPr>
              <w:fldChar w:fldCharType="separate"/>
            </w:r>
            <w:r>
              <w:rPr>
                <w:noProof/>
                <w:webHidden/>
              </w:rPr>
              <w:t>71</w:t>
            </w:r>
            <w:r>
              <w:rPr>
                <w:noProof/>
                <w:webHidden/>
              </w:rPr>
              <w:fldChar w:fldCharType="end"/>
            </w:r>
          </w:hyperlink>
        </w:p>
        <w:p w:rsidR="000901F8" w:rsidRDefault="000901F8" w14:paraId="02D43695" w14:textId="27111D2B">
          <w:pPr>
            <w:pStyle w:val="TOC4"/>
            <w:tabs>
              <w:tab w:val="left" w:pos="3007"/>
            </w:tabs>
            <w:rPr>
              <w:rFonts w:asciiTheme="minorHAnsi" w:hAnsiTheme="minorHAnsi" w:eastAsiaTheme="minorEastAsia"/>
              <w:noProof/>
              <w:kern w:val="2"/>
              <w:sz w:val="24"/>
              <w:szCs w:val="24"/>
              <w14:ligatures w14:val="standardContextual"/>
            </w:rPr>
          </w:pPr>
          <w:hyperlink w:history="1" w:anchor="_Toc228294692">
            <w:r w:rsidRPr="001E10DF">
              <w:rPr>
                <w:rStyle w:val="Hyperlink"/>
                <w:noProof/>
              </w:rPr>
              <w:t>4.5.2.3.</w:t>
            </w:r>
            <w:r>
              <w:rPr>
                <w:rFonts w:asciiTheme="minorHAnsi" w:hAnsiTheme="minorHAnsi" w:eastAsiaTheme="minorEastAsia"/>
                <w:noProof/>
                <w:kern w:val="2"/>
                <w:sz w:val="24"/>
                <w:szCs w:val="24"/>
                <w14:ligatures w14:val="standardContextual"/>
              </w:rPr>
              <w:tab/>
            </w:r>
            <w:r w:rsidRPr="001E10DF">
              <w:rPr>
                <w:rStyle w:val="Hyperlink"/>
                <w:noProof/>
              </w:rPr>
              <w:t>National Association of Water Companies and California Water Association’s Position</w:t>
            </w:r>
            <w:r>
              <w:rPr>
                <w:noProof/>
                <w:webHidden/>
              </w:rPr>
              <w:tab/>
            </w:r>
            <w:r>
              <w:rPr>
                <w:noProof/>
                <w:webHidden/>
              </w:rPr>
              <w:fldChar w:fldCharType="begin"/>
            </w:r>
            <w:r>
              <w:rPr>
                <w:noProof/>
                <w:webHidden/>
              </w:rPr>
              <w:instrText xml:space="preserve"> PAGEREF _Toc228294692 \h </w:instrText>
            </w:r>
            <w:r>
              <w:rPr>
                <w:noProof/>
                <w:webHidden/>
              </w:rPr>
            </w:r>
            <w:r>
              <w:rPr>
                <w:noProof/>
                <w:webHidden/>
              </w:rPr>
              <w:fldChar w:fldCharType="separate"/>
            </w:r>
            <w:r>
              <w:rPr>
                <w:noProof/>
                <w:webHidden/>
              </w:rPr>
              <w:t>75</w:t>
            </w:r>
            <w:r>
              <w:rPr>
                <w:noProof/>
                <w:webHidden/>
              </w:rPr>
              <w:fldChar w:fldCharType="end"/>
            </w:r>
          </w:hyperlink>
        </w:p>
        <w:p w:rsidR="000901F8" w:rsidRDefault="000901F8" w14:paraId="223EB006" w14:textId="3D7802EE">
          <w:pPr>
            <w:pStyle w:val="TOC4"/>
            <w:tabs>
              <w:tab w:val="left" w:pos="3007"/>
            </w:tabs>
            <w:rPr>
              <w:rFonts w:asciiTheme="minorHAnsi" w:hAnsiTheme="minorHAnsi" w:eastAsiaTheme="minorEastAsia"/>
              <w:noProof/>
              <w:kern w:val="2"/>
              <w:sz w:val="24"/>
              <w:szCs w:val="24"/>
              <w14:ligatures w14:val="standardContextual"/>
            </w:rPr>
          </w:pPr>
          <w:hyperlink w:history="1" w:anchor="_Toc228294693">
            <w:r w:rsidRPr="001E10DF">
              <w:rPr>
                <w:rStyle w:val="Hyperlink"/>
                <w:noProof/>
              </w:rPr>
              <w:t>4.5.2.4.</w:t>
            </w:r>
            <w:r>
              <w:rPr>
                <w:rFonts w:asciiTheme="minorHAnsi" w:hAnsiTheme="minorHAnsi" w:eastAsiaTheme="minorEastAsia"/>
                <w:noProof/>
                <w:kern w:val="2"/>
                <w:sz w:val="24"/>
                <w:szCs w:val="24"/>
                <w14:ligatures w14:val="standardContextual"/>
              </w:rPr>
              <w:tab/>
            </w:r>
            <w:r w:rsidRPr="001E10DF">
              <w:rPr>
                <w:rStyle w:val="Hyperlink"/>
                <w:noProof/>
              </w:rPr>
              <w:t>California Water Service Company’s Response to Cal Advocates’ Proposal</w:t>
            </w:r>
            <w:r>
              <w:rPr>
                <w:noProof/>
                <w:webHidden/>
              </w:rPr>
              <w:tab/>
            </w:r>
            <w:r>
              <w:rPr>
                <w:noProof/>
                <w:webHidden/>
              </w:rPr>
              <w:fldChar w:fldCharType="begin"/>
            </w:r>
            <w:r>
              <w:rPr>
                <w:noProof/>
                <w:webHidden/>
              </w:rPr>
              <w:instrText xml:space="preserve"> PAGEREF _Toc228294693 \h </w:instrText>
            </w:r>
            <w:r>
              <w:rPr>
                <w:noProof/>
                <w:webHidden/>
              </w:rPr>
            </w:r>
            <w:r>
              <w:rPr>
                <w:noProof/>
                <w:webHidden/>
              </w:rPr>
              <w:fldChar w:fldCharType="separate"/>
            </w:r>
            <w:r>
              <w:rPr>
                <w:noProof/>
                <w:webHidden/>
              </w:rPr>
              <w:t>76</w:t>
            </w:r>
            <w:r>
              <w:rPr>
                <w:noProof/>
                <w:webHidden/>
              </w:rPr>
              <w:fldChar w:fldCharType="end"/>
            </w:r>
          </w:hyperlink>
        </w:p>
        <w:p w:rsidR="000901F8" w:rsidRDefault="000901F8" w14:paraId="59F38B01" w14:textId="0B59F24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94">
            <w:r w:rsidRPr="001E10DF">
              <w:rPr>
                <w:rStyle w:val="Hyperlink"/>
                <w:noProof/>
              </w:rPr>
              <w:t>4.5.3.</w:t>
            </w:r>
            <w:r>
              <w:rPr>
                <w:rFonts w:asciiTheme="minorHAnsi" w:hAnsiTheme="minorHAnsi" w:cstheme="minorBidi"/>
                <w:noProof/>
                <w:kern w:val="2"/>
                <w:sz w:val="24"/>
                <w:szCs w:val="24"/>
                <w14:ligatures w14:val="standardContextual"/>
              </w:rPr>
              <w:tab/>
            </w:r>
            <w:r w:rsidRPr="001E10DF">
              <w:rPr>
                <w:rStyle w:val="Hyperlink"/>
                <w:noProof/>
              </w:rPr>
              <w:t>Discussion</w:t>
            </w:r>
            <w:r>
              <w:rPr>
                <w:noProof/>
                <w:webHidden/>
              </w:rPr>
              <w:tab/>
            </w:r>
            <w:r>
              <w:rPr>
                <w:noProof/>
                <w:webHidden/>
              </w:rPr>
              <w:fldChar w:fldCharType="begin"/>
            </w:r>
            <w:r>
              <w:rPr>
                <w:noProof/>
                <w:webHidden/>
              </w:rPr>
              <w:instrText xml:space="preserve"> PAGEREF _Toc228294694 \h </w:instrText>
            </w:r>
            <w:r>
              <w:rPr>
                <w:noProof/>
                <w:webHidden/>
              </w:rPr>
            </w:r>
            <w:r>
              <w:rPr>
                <w:noProof/>
                <w:webHidden/>
              </w:rPr>
              <w:fldChar w:fldCharType="separate"/>
            </w:r>
            <w:r>
              <w:rPr>
                <w:noProof/>
                <w:webHidden/>
              </w:rPr>
              <w:t>77</w:t>
            </w:r>
            <w:r>
              <w:rPr>
                <w:noProof/>
                <w:webHidden/>
              </w:rPr>
              <w:fldChar w:fldCharType="end"/>
            </w:r>
          </w:hyperlink>
        </w:p>
        <w:p w:rsidR="000901F8" w:rsidRDefault="000901F8" w14:paraId="6F289860" w14:textId="2D33E33C">
          <w:pPr>
            <w:pStyle w:val="TOC4"/>
            <w:tabs>
              <w:tab w:val="left" w:pos="3007"/>
            </w:tabs>
            <w:rPr>
              <w:rFonts w:asciiTheme="minorHAnsi" w:hAnsiTheme="minorHAnsi" w:eastAsiaTheme="minorEastAsia"/>
              <w:noProof/>
              <w:kern w:val="2"/>
              <w:sz w:val="24"/>
              <w:szCs w:val="24"/>
              <w14:ligatures w14:val="standardContextual"/>
            </w:rPr>
          </w:pPr>
          <w:hyperlink w:history="1" w:anchor="_Toc228294695">
            <w:r w:rsidRPr="001E10DF">
              <w:rPr>
                <w:rStyle w:val="Hyperlink"/>
                <w:noProof/>
              </w:rPr>
              <w:t>4.5.3.1.</w:t>
            </w:r>
            <w:r>
              <w:rPr>
                <w:rFonts w:asciiTheme="minorHAnsi" w:hAnsiTheme="minorHAnsi" w:eastAsiaTheme="minorEastAsia"/>
                <w:noProof/>
                <w:kern w:val="2"/>
                <w:sz w:val="24"/>
                <w:szCs w:val="24"/>
                <w14:ligatures w14:val="standardContextual"/>
              </w:rPr>
              <w:tab/>
            </w:r>
            <w:r w:rsidRPr="001E10DF">
              <w:rPr>
                <w:rStyle w:val="Hyperlink"/>
                <w:noProof/>
              </w:rPr>
              <w:t>Adopted Rate Design</w:t>
            </w:r>
            <w:r>
              <w:rPr>
                <w:noProof/>
                <w:webHidden/>
              </w:rPr>
              <w:tab/>
            </w:r>
            <w:r>
              <w:rPr>
                <w:noProof/>
                <w:webHidden/>
              </w:rPr>
              <w:fldChar w:fldCharType="begin"/>
            </w:r>
            <w:r>
              <w:rPr>
                <w:noProof/>
                <w:webHidden/>
              </w:rPr>
              <w:instrText xml:space="preserve"> PAGEREF _Toc228294695 \h </w:instrText>
            </w:r>
            <w:r>
              <w:rPr>
                <w:noProof/>
                <w:webHidden/>
              </w:rPr>
            </w:r>
            <w:r>
              <w:rPr>
                <w:noProof/>
                <w:webHidden/>
              </w:rPr>
              <w:fldChar w:fldCharType="separate"/>
            </w:r>
            <w:r>
              <w:rPr>
                <w:noProof/>
                <w:webHidden/>
              </w:rPr>
              <w:t>78</w:t>
            </w:r>
            <w:r>
              <w:rPr>
                <w:noProof/>
                <w:webHidden/>
              </w:rPr>
              <w:fldChar w:fldCharType="end"/>
            </w:r>
          </w:hyperlink>
        </w:p>
        <w:p w:rsidR="000901F8" w:rsidRDefault="000901F8" w14:paraId="036A941D" w14:textId="57A64828">
          <w:pPr>
            <w:pStyle w:val="TOC4"/>
            <w:tabs>
              <w:tab w:val="left" w:pos="3007"/>
            </w:tabs>
            <w:rPr>
              <w:rFonts w:asciiTheme="minorHAnsi" w:hAnsiTheme="minorHAnsi" w:eastAsiaTheme="minorEastAsia"/>
              <w:noProof/>
              <w:kern w:val="2"/>
              <w:sz w:val="24"/>
              <w:szCs w:val="24"/>
              <w14:ligatures w14:val="standardContextual"/>
            </w:rPr>
          </w:pPr>
          <w:hyperlink w:history="1" w:anchor="_Toc228294696">
            <w:r w:rsidRPr="001E10DF">
              <w:rPr>
                <w:rStyle w:val="Hyperlink"/>
                <w:noProof/>
              </w:rPr>
              <w:t>4.5.3.2.</w:t>
            </w:r>
            <w:r>
              <w:rPr>
                <w:rFonts w:asciiTheme="minorHAnsi" w:hAnsiTheme="minorHAnsi" w:eastAsiaTheme="minorEastAsia"/>
                <w:noProof/>
                <w:kern w:val="2"/>
                <w:sz w:val="24"/>
                <w:szCs w:val="24"/>
                <w14:ligatures w14:val="standardContextual"/>
              </w:rPr>
              <w:tab/>
            </w:r>
            <w:r w:rsidRPr="001E10DF">
              <w:rPr>
                <w:rStyle w:val="Hyperlink"/>
                <w:noProof/>
              </w:rPr>
              <w:t>Monterey Water Revenue Adjustment Mechanism and Sales Reconciliation Mechanism</w:t>
            </w:r>
            <w:r>
              <w:rPr>
                <w:noProof/>
                <w:webHidden/>
              </w:rPr>
              <w:tab/>
            </w:r>
            <w:r>
              <w:rPr>
                <w:noProof/>
                <w:webHidden/>
              </w:rPr>
              <w:fldChar w:fldCharType="begin"/>
            </w:r>
            <w:r>
              <w:rPr>
                <w:noProof/>
                <w:webHidden/>
              </w:rPr>
              <w:instrText xml:space="preserve"> PAGEREF _Toc228294696 \h </w:instrText>
            </w:r>
            <w:r>
              <w:rPr>
                <w:noProof/>
                <w:webHidden/>
              </w:rPr>
            </w:r>
            <w:r>
              <w:rPr>
                <w:noProof/>
                <w:webHidden/>
              </w:rPr>
              <w:fldChar w:fldCharType="separate"/>
            </w:r>
            <w:r>
              <w:rPr>
                <w:noProof/>
                <w:webHidden/>
              </w:rPr>
              <w:t>84</w:t>
            </w:r>
            <w:r>
              <w:rPr>
                <w:noProof/>
                <w:webHidden/>
              </w:rPr>
              <w:fldChar w:fldCharType="end"/>
            </w:r>
          </w:hyperlink>
        </w:p>
        <w:p w:rsidR="000901F8" w:rsidRDefault="000901F8" w14:paraId="2AC0CC1E" w14:textId="09B16E9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697">
            <w:r w:rsidRPr="001E10DF">
              <w:rPr>
                <w:rStyle w:val="Hyperlink"/>
                <w:bCs/>
                <w:noProof/>
              </w:rPr>
              <w:t>4.6.</w:t>
            </w:r>
            <w:r>
              <w:rPr>
                <w:rFonts w:asciiTheme="minorHAnsi" w:hAnsiTheme="minorHAnsi" w:cstheme="minorBidi"/>
                <w:noProof/>
                <w:kern w:val="2"/>
                <w:sz w:val="24"/>
                <w:szCs w:val="24"/>
                <w14:ligatures w14:val="standardContextual"/>
              </w:rPr>
              <w:tab/>
            </w:r>
            <w:r w:rsidRPr="001E10DF">
              <w:rPr>
                <w:rStyle w:val="Hyperlink"/>
                <w:noProof/>
              </w:rPr>
              <w:t xml:space="preserve">Scoped Issue #6:  </w:t>
            </w:r>
            <w:r w:rsidRPr="001E10DF">
              <w:rPr>
                <w:rStyle w:val="Hyperlink"/>
                <w:bCs/>
                <w:noProof/>
              </w:rPr>
              <w:t>Whether California Water Service Company Service Has Complied With Prior Commission Orders</w:t>
            </w:r>
            <w:r>
              <w:rPr>
                <w:noProof/>
                <w:webHidden/>
              </w:rPr>
              <w:tab/>
            </w:r>
            <w:r>
              <w:rPr>
                <w:noProof/>
                <w:webHidden/>
              </w:rPr>
              <w:fldChar w:fldCharType="begin"/>
            </w:r>
            <w:r>
              <w:rPr>
                <w:noProof/>
                <w:webHidden/>
              </w:rPr>
              <w:instrText xml:space="preserve"> PAGEREF _Toc228294697 \h </w:instrText>
            </w:r>
            <w:r>
              <w:rPr>
                <w:noProof/>
                <w:webHidden/>
              </w:rPr>
            </w:r>
            <w:r>
              <w:rPr>
                <w:noProof/>
                <w:webHidden/>
              </w:rPr>
              <w:fldChar w:fldCharType="separate"/>
            </w:r>
            <w:r>
              <w:rPr>
                <w:noProof/>
                <w:webHidden/>
              </w:rPr>
              <w:t>86</w:t>
            </w:r>
            <w:r>
              <w:rPr>
                <w:noProof/>
                <w:webHidden/>
              </w:rPr>
              <w:fldChar w:fldCharType="end"/>
            </w:r>
          </w:hyperlink>
        </w:p>
        <w:p w:rsidR="000901F8" w:rsidRDefault="000901F8" w14:paraId="41635B7D" w14:textId="4CB684D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98">
            <w:r w:rsidRPr="001E10DF">
              <w:rPr>
                <w:rStyle w:val="Hyperlink"/>
                <w:noProof/>
              </w:rPr>
              <w:t>4.6.1.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_Toc228294698 \h </w:instrText>
            </w:r>
            <w:r>
              <w:rPr>
                <w:noProof/>
                <w:webHidden/>
              </w:rPr>
            </w:r>
            <w:r>
              <w:rPr>
                <w:noProof/>
                <w:webHidden/>
              </w:rPr>
              <w:fldChar w:fldCharType="separate"/>
            </w:r>
            <w:r>
              <w:rPr>
                <w:noProof/>
                <w:webHidden/>
              </w:rPr>
              <w:t>87</w:t>
            </w:r>
            <w:r>
              <w:rPr>
                <w:noProof/>
                <w:webHidden/>
              </w:rPr>
              <w:fldChar w:fldCharType="end"/>
            </w:r>
          </w:hyperlink>
        </w:p>
        <w:p w:rsidR="000901F8" w:rsidRDefault="000901F8" w14:paraId="1BB993EB" w14:textId="2CD3281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28294699">
            <w:r w:rsidRPr="001E10DF">
              <w:rPr>
                <w:rStyle w:val="Hyperlink"/>
                <w:noProof/>
              </w:rPr>
              <w:t>4.6.2.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_Toc228294699 \h </w:instrText>
            </w:r>
            <w:r>
              <w:rPr>
                <w:noProof/>
                <w:webHidden/>
              </w:rPr>
            </w:r>
            <w:r>
              <w:rPr>
                <w:noProof/>
                <w:webHidden/>
              </w:rPr>
              <w:fldChar w:fldCharType="separate"/>
            </w:r>
            <w:r>
              <w:rPr>
                <w:noProof/>
                <w:webHidden/>
              </w:rPr>
              <w:t>87</w:t>
            </w:r>
            <w:r>
              <w:rPr>
                <w:noProof/>
                <w:webHidden/>
              </w:rPr>
              <w:fldChar w:fldCharType="end"/>
            </w:r>
          </w:hyperlink>
        </w:p>
        <w:p w:rsidR="000901F8" w:rsidRDefault="000901F8" w14:paraId="396C591E" w14:textId="6031CFA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700">
            <w:r w:rsidRPr="001E10DF">
              <w:rPr>
                <w:rStyle w:val="Hyperlink"/>
                <w:bCs/>
                <w:noProof/>
              </w:rPr>
              <w:t>4.7.</w:t>
            </w:r>
            <w:r>
              <w:rPr>
                <w:rFonts w:asciiTheme="minorHAnsi" w:hAnsiTheme="minorHAnsi" w:cstheme="minorBidi"/>
                <w:noProof/>
                <w:kern w:val="2"/>
                <w:sz w:val="24"/>
                <w:szCs w:val="24"/>
                <w14:ligatures w14:val="standardContextual"/>
              </w:rPr>
              <w:tab/>
            </w:r>
            <w:r w:rsidRPr="001E10DF">
              <w:rPr>
                <w:rStyle w:val="Hyperlink"/>
                <w:noProof/>
              </w:rPr>
              <w:t xml:space="preserve">Scoped Issue #7:  </w:t>
            </w:r>
            <w:r w:rsidRPr="001E10DF">
              <w:rPr>
                <w:rStyle w:val="Hyperlink"/>
                <w:bCs/>
                <w:noProof/>
              </w:rPr>
              <w:t xml:space="preserve">Whether California Water Service Company’s Proposal for the </w:t>
            </w:r>
            <w:r w:rsidRPr="001E10DF">
              <w:rPr>
                <w:rStyle w:val="Hyperlink"/>
                <w:noProof/>
              </w:rPr>
              <w:t xml:space="preserve">Low Use Water Equity Program </w:t>
            </w:r>
            <w:r w:rsidRPr="001E10DF">
              <w:rPr>
                <w:rStyle w:val="Hyperlink"/>
                <w:bCs/>
                <w:noProof/>
              </w:rPr>
              <w:t>Is Just and Reasonable</w:t>
            </w:r>
            <w:r>
              <w:rPr>
                <w:noProof/>
                <w:webHidden/>
              </w:rPr>
              <w:tab/>
            </w:r>
            <w:r>
              <w:rPr>
                <w:noProof/>
                <w:webHidden/>
              </w:rPr>
              <w:fldChar w:fldCharType="begin"/>
            </w:r>
            <w:r>
              <w:rPr>
                <w:noProof/>
                <w:webHidden/>
              </w:rPr>
              <w:instrText xml:space="preserve"> PAGEREF _Toc228294700 \h </w:instrText>
            </w:r>
            <w:r>
              <w:rPr>
                <w:noProof/>
                <w:webHidden/>
              </w:rPr>
            </w:r>
            <w:r>
              <w:rPr>
                <w:noProof/>
                <w:webHidden/>
              </w:rPr>
              <w:fldChar w:fldCharType="separate"/>
            </w:r>
            <w:r>
              <w:rPr>
                <w:noProof/>
                <w:webHidden/>
              </w:rPr>
              <w:t>90</w:t>
            </w:r>
            <w:r>
              <w:rPr>
                <w:noProof/>
                <w:webHidden/>
              </w:rPr>
              <w:fldChar w:fldCharType="end"/>
            </w:r>
          </w:hyperlink>
        </w:p>
        <w:p w:rsidR="000901F8" w:rsidRDefault="000901F8" w14:paraId="0CA396F6" w14:textId="377DC88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701">
            <w:r w:rsidRPr="001E10DF">
              <w:rPr>
                <w:rStyle w:val="Hyperlink"/>
                <w:noProof/>
              </w:rPr>
              <w:t>4.8.</w:t>
            </w:r>
            <w:r>
              <w:rPr>
                <w:rFonts w:asciiTheme="minorHAnsi" w:hAnsiTheme="minorHAnsi" w:cstheme="minorBidi"/>
                <w:noProof/>
                <w:kern w:val="2"/>
                <w:sz w:val="24"/>
                <w:szCs w:val="24"/>
                <w14:ligatures w14:val="standardContextual"/>
              </w:rPr>
              <w:tab/>
            </w:r>
            <w:r w:rsidRPr="001E10DF">
              <w:rPr>
                <w:rStyle w:val="Hyperlink"/>
                <w:noProof/>
              </w:rPr>
              <w:t>Scoped Issue #8:  Whether California Water Service Company’s Water Rights Leases Comply with Prior Commission Orders</w:t>
            </w:r>
            <w:r>
              <w:rPr>
                <w:noProof/>
                <w:webHidden/>
              </w:rPr>
              <w:tab/>
            </w:r>
            <w:r>
              <w:rPr>
                <w:noProof/>
                <w:webHidden/>
              </w:rPr>
              <w:fldChar w:fldCharType="begin"/>
            </w:r>
            <w:r>
              <w:rPr>
                <w:noProof/>
                <w:webHidden/>
              </w:rPr>
              <w:instrText xml:space="preserve"> PAGEREF _Toc228294701 \h </w:instrText>
            </w:r>
            <w:r>
              <w:rPr>
                <w:noProof/>
                <w:webHidden/>
              </w:rPr>
            </w:r>
            <w:r>
              <w:rPr>
                <w:noProof/>
                <w:webHidden/>
              </w:rPr>
              <w:fldChar w:fldCharType="separate"/>
            </w:r>
            <w:r>
              <w:rPr>
                <w:noProof/>
                <w:webHidden/>
              </w:rPr>
              <w:t>90</w:t>
            </w:r>
            <w:r>
              <w:rPr>
                <w:noProof/>
                <w:webHidden/>
              </w:rPr>
              <w:fldChar w:fldCharType="end"/>
            </w:r>
          </w:hyperlink>
        </w:p>
        <w:p w:rsidR="000901F8" w:rsidRDefault="000901F8" w14:paraId="7AE324A5" w14:textId="1C37F70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28294702">
            <w:r w:rsidRPr="001E10DF">
              <w:rPr>
                <w:rStyle w:val="Hyperlink"/>
                <w:noProof/>
              </w:rPr>
              <w:t>4.9.</w:t>
            </w:r>
            <w:r>
              <w:rPr>
                <w:rFonts w:asciiTheme="minorHAnsi" w:hAnsiTheme="minorHAnsi" w:cstheme="minorBidi"/>
                <w:noProof/>
                <w:kern w:val="2"/>
                <w:sz w:val="24"/>
                <w:szCs w:val="24"/>
                <w14:ligatures w14:val="standardContextual"/>
              </w:rPr>
              <w:tab/>
            </w:r>
            <w:r w:rsidRPr="001E10DF">
              <w:rPr>
                <w:rStyle w:val="Hyperlink"/>
                <w:noProof/>
              </w:rPr>
              <w:t>Scoped Issue #9:  Whether California Water Service Company Is In Compliance with California’s Regulatory Requirements for the Provision of Safe and Reliable Water Service, Including but Not Limited to Adequate Emergency Preparedness Plans, the Low</w:t>
            </w:r>
            <w:r w:rsidRPr="001E10DF">
              <w:rPr>
                <w:rStyle w:val="Hyperlink"/>
                <w:noProof/>
              </w:rPr>
              <w:noBreakHyphen/>
              <w:t>Income Rate Assistance Program, and Any Other Conservation, Accessibility, and Water Equity Safeguards</w:t>
            </w:r>
            <w:r>
              <w:rPr>
                <w:noProof/>
                <w:webHidden/>
              </w:rPr>
              <w:tab/>
            </w:r>
            <w:r>
              <w:rPr>
                <w:noProof/>
                <w:webHidden/>
              </w:rPr>
              <w:fldChar w:fldCharType="begin"/>
            </w:r>
            <w:r>
              <w:rPr>
                <w:noProof/>
                <w:webHidden/>
              </w:rPr>
              <w:instrText xml:space="preserve"> PAGEREF _Toc228294702 \h </w:instrText>
            </w:r>
            <w:r>
              <w:rPr>
                <w:noProof/>
                <w:webHidden/>
              </w:rPr>
            </w:r>
            <w:r>
              <w:rPr>
                <w:noProof/>
                <w:webHidden/>
              </w:rPr>
              <w:fldChar w:fldCharType="separate"/>
            </w:r>
            <w:r>
              <w:rPr>
                <w:noProof/>
                <w:webHidden/>
              </w:rPr>
              <w:t>91</w:t>
            </w:r>
            <w:r>
              <w:rPr>
                <w:noProof/>
                <w:webHidden/>
              </w:rPr>
              <w:fldChar w:fldCharType="end"/>
            </w:r>
          </w:hyperlink>
        </w:p>
        <w:p w:rsidR="000901F8" w:rsidRDefault="000901F8" w14:paraId="7701C081" w14:textId="668ED488">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03">
            <w:r w:rsidRPr="001E10DF">
              <w:rPr>
                <w:rStyle w:val="Hyperlink"/>
                <w:bCs/>
                <w:noProof/>
              </w:rPr>
              <w:t>4.10.</w:t>
            </w:r>
            <w:r>
              <w:rPr>
                <w:rFonts w:asciiTheme="minorHAnsi" w:hAnsiTheme="minorHAnsi" w:cstheme="minorBidi"/>
                <w:noProof/>
                <w:kern w:val="2"/>
                <w:sz w:val="24"/>
                <w:szCs w:val="24"/>
                <w14:ligatures w14:val="standardContextual"/>
              </w:rPr>
              <w:tab/>
            </w:r>
            <w:r w:rsidRPr="001E10DF">
              <w:rPr>
                <w:rStyle w:val="Hyperlink"/>
                <w:noProof/>
              </w:rPr>
              <w:t xml:space="preserve">Scoped Issue #10:  </w:t>
            </w:r>
            <w:r w:rsidRPr="001E10DF">
              <w:rPr>
                <w:rStyle w:val="Hyperlink"/>
                <w:bCs/>
                <w:noProof/>
              </w:rPr>
              <w:t>Whether California Water Service Company’s Water Quality Meets All Applicable Local, State, and Federal Drinking Water Standards and Other Provisions of General Order 103</w:t>
            </w:r>
            <w:r w:rsidRPr="001E10DF">
              <w:rPr>
                <w:rStyle w:val="Hyperlink"/>
                <w:bCs/>
                <w:noProof/>
              </w:rPr>
              <w:noBreakHyphen/>
              <w:t>A</w:t>
            </w:r>
            <w:r>
              <w:rPr>
                <w:noProof/>
                <w:webHidden/>
              </w:rPr>
              <w:tab/>
            </w:r>
            <w:r>
              <w:rPr>
                <w:noProof/>
                <w:webHidden/>
              </w:rPr>
              <w:fldChar w:fldCharType="begin"/>
            </w:r>
            <w:r>
              <w:rPr>
                <w:noProof/>
                <w:webHidden/>
              </w:rPr>
              <w:instrText xml:space="preserve"> PAGEREF _Toc228294703 \h </w:instrText>
            </w:r>
            <w:r>
              <w:rPr>
                <w:noProof/>
                <w:webHidden/>
              </w:rPr>
            </w:r>
            <w:r>
              <w:rPr>
                <w:noProof/>
                <w:webHidden/>
              </w:rPr>
              <w:fldChar w:fldCharType="separate"/>
            </w:r>
            <w:r>
              <w:rPr>
                <w:noProof/>
                <w:webHidden/>
              </w:rPr>
              <w:t>92</w:t>
            </w:r>
            <w:r>
              <w:rPr>
                <w:noProof/>
                <w:webHidden/>
              </w:rPr>
              <w:fldChar w:fldCharType="end"/>
            </w:r>
          </w:hyperlink>
        </w:p>
        <w:p w:rsidR="000901F8" w:rsidRDefault="000901F8" w14:paraId="19430ABA" w14:textId="0B9E4E06">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04">
            <w:r w:rsidRPr="001E10DF">
              <w:rPr>
                <w:rStyle w:val="Hyperlink"/>
                <w:noProof/>
              </w:rPr>
              <w:t>4.10.1.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_Toc228294704 \h </w:instrText>
            </w:r>
            <w:r>
              <w:rPr>
                <w:noProof/>
                <w:webHidden/>
              </w:rPr>
            </w:r>
            <w:r>
              <w:rPr>
                <w:noProof/>
                <w:webHidden/>
              </w:rPr>
              <w:fldChar w:fldCharType="separate"/>
            </w:r>
            <w:r>
              <w:rPr>
                <w:noProof/>
                <w:webHidden/>
              </w:rPr>
              <w:t>93</w:t>
            </w:r>
            <w:r>
              <w:rPr>
                <w:noProof/>
                <w:webHidden/>
              </w:rPr>
              <w:fldChar w:fldCharType="end"/>
            </w:r>
          </w:hyperlink>
        </w:p>
        <w:p w:rsidR="000901F8" w:rsidRDefault="000901F8" w14:paraId="3BFF50C5" w14:textId="2731B4BC">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05">
            <w:r w:rsidRPr="001E10DF">
              <w:rPr>
                <w:rStyle w:val="Hyperlink"/>
                <w:noProof/>
              </w:rPr>
              <w:t>4.10.2.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_Toc228294705 \h </w:instrText>
            </w:r>
            <w:r>
              <w:rPr>
                <w:noProof/>
                <w:webHidden/>
              </w:rPr>
            </w:r>
            <w:r>
              <w:rPr>
                <w:noProof/>
                <w:webHidden/>
              </w:rPr>
              <w:fldChar w:fldCharType="separate"/>
            </w:r>
            <w:r>
              <w:rPr>
                <w:noProof/>
                <w:webHidden/>
              </w:rPr>
              <w:t>93</w:t>
            </w:r>
            <w:r>
              <w:rPr>
                <w:noProof/>
                <w:webHidden/>
              </w:rPr>
              <w:fldChar w:fldCharType="end"/>
            </w:r>
          </w:hyperlink>
        </w:p>
        <w:p w:rsidR="000901F8" w:rsidRDefault="000901F8" w14:paraId="4CCA6F2E" w14:textId="535A574D">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06">
            <w:r w:rsidRPr="001E10DF">
              <w:rPr>
                <w:rStyle w:val="Hyperlink"/>
                <w:bCs/>
                <w:noProof/>
              </w:rPr>
              <w:t>4.11.</w:t>
            </w:r>
            <w:r>
              <w:rPr>
                <w:rFonts w:asciiTheme="minorHAnsi" w:hAnsiTheme="minorHAnsi" w:cstheme="minorBidi"/>
                <w:noProof/>
                <w:kern w:val="2"/>
                <w:sz w:val="24"/>
                <w:szCs w:val="24"/>
                <w14:ligatures w14:val="standardContextual"/>
              </w:rPr>
              <w:tab/>
            </w:r>
            <w:r w:rsidRPr="001E10DF">
              <w:rPr>
                <w:rStyle w:val="Hyperlink"/>
                <w:noProof/>
              </w:rPr>
              <w:t xml:space="preserve">Scoped Issue #11:  </w:t>
            </w:r>
            <w:r w:rsidRPr="001E10DF">
              <w:rPr>
                <w:rStyle w:val="Hyperlink"/>
                <w:bCs/>
                <w:noProof/>
              </w:rPr>
              <w:t>Whether California Water Service Company’s Application Supports the Goals and Objectives of the Commission’s Environmental and Social Justice Action Plan</w:t>
            </w:r>
            <w:r>
              <w:rPr>
                <w:noProof/>
                <w:webHidden/>
              </w:rPr>
              <w:tab/>
            </w:r>
            <w:r>
              <w:rPr>
                <w:noProof/>
                <w:webHidden/>
              </w:rPr>
              <w:fldChar w:fldCharType="begin"/>
            </w:r>
            <w:r>
              <w:rPr>
                <w:noProof/>
                <w:webHidden/>
              </w:rPr>
              <w:instrText xml:space="preserve"> PAGEREF _Toc228294706 \h </w:instrText>
            </w:r>
            <w:r>
              <w:rPr>
                <w:noProof/>
                <w:webHidden/>
              </w:rPr>
            </w:r>
            <w:r>
              <w:rPr>
                <w:noProof/>
                <w:webHidden/>
              </w:rPr>
              <w:fldChar w:fldCharType="separate"/>
            </w:r>
            <w:r>
              <w:rPr>
                <w:noProof/>
                <w:webHidden/>
              </w:rPr>
              <w:t>96</w:t>
            </w:r>
            <w:r>
              <w:rPr>
                <w:noProof/>
                <w:webHidden/>
              </w:rPr>
              <w:fldChar w:fldCharType="end"/>
            </w:r>
          </w:hyperlink>
        </w:p>
        <w:p w:rsidR="000901F8" w:rsidRDefault="000901F8" w14:paraId="0D181AD8" w14:textId="1F4ABE95">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07">
            <w:r w:rsidRPr="001E10DF">
              <w:rPr>
                <w:rStyle w:val="Hyperlink"/>
                <w:noProof/>
              </w:rPr>
              <w:t>4.11.1.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_Toc228294707 \h </w:instrText>
            </w:r>
            <w:r>
              <w:rPr>
                <w:noProof/>
                <w:webHidden/>
              </w:rPr>
            </w:r>
            <w:r>
              <w:rPr>
                <w:noProof/>
                <w:webHidden/>
              </w:rPr>
              <w:fldChar w:fldCharType="separate"/>
            </w:r>
            <w:r>
              <w:rPr>
                <w:noProof/>
                <w:webHidden/>
              </w:rPr>
              <w:t>97</w:t>
            </w:r>
            <w:r>
              <w:rPr>
                <w:noProof/>
                <w:webHidden/>
              </w:rPr>
              <w:fldChar w:fldCharType="end"/>
            </w:r>
          </w:hyperlink>
        </w:p>
        <w:p w:rsidR="000901F8" w:rsidRDefault="000901F8" w14:paraId="70CA8FDB" w14:textId="2C8EFCF7">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08">
            <w:r w:rsidRPr="001E10DF">
              <w:rPr>
                <w:rStyle w:val="Hyperlink"/>
                <w:noProof/>
              </w:rPr>
              <w:t>4.11.2.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_Toc228294708 \h </w:instrText>
            </w:r>
            <w:r>
              <w:rPr>
                <w:noProof/>
                <w:webHidden/>
              </w:rPr>
            </w:r>
            <w:r>
              <w:rPr>
                <w:noProof/>
                <w:webHidden/>
              </w:rPr>
              <w:fldChar w:fldCharType="separate"/>
            </w:r>
            <w:r>
              <w:rPr>
                <w:noProof/>
                <w:webHidden/>
              </w:rPr>
              <w:t>97</w:t>
            </w:r>
            <w:r>
              <w:rPr>
                <w:noProof/>
                <w:webHidden/>
              </w:rPr>
              <w:fldChar w:fldCharType="end"/>
            </w:r>
          </w:hyperlink>
        </w:p>
        <w:p w:rsidR="000901F8" w:rsidRDefault="000901F8" w14:paraId="25FDB806" w14:textId="6F810432">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09">
            <w:r w:rsidRPr="001E10DF">
              <w:rPr>
                <w:rStyle w:val="Hyperlink"/>
                <w:bCs/>
                <w:noProof/>
              </w:rPr>
              <w:t>4.12.</w:t>
            </w:r>
            <w:r>
              <w:rPr>
                <w:rFonts w:asciiTheme="minorHAnsi" w:hAnsiTheme="minorHAnsi" w:cstheme="minorBidi"/>
                <w:noProof/>
                <w:kern w:val="2"/>
                <w:sz w:val="24"/>
                <w:szCs w:val="24"/>
                <w14:ligatures w14:val="standardContextual"/>
              </w:rPr>
              <w:tab/>
            </w:r>
            <w:r w:rsidRPr="001E10DF">
              <w:rPr>
                <w:rStyle w:val="Hyperlink"/>
                <w:noProof/>
              </w:rPr>
              <w:t>Scoped Issue #12 and Issues #20</w:t>
            </w:r>
            <w:r w:rsidRPr="001E10DF">
              <w:rPr>
                <w:rStyle w:val="Hyperlink"/>
                <w:noProof/>
              </w:rPr>
              <w:noBreakHyphen/>
              <w:t>#23</w:t>
            </w:r>
            <w:r>
              <w:rPr>
                <w:noProof/>
                <w:webHidden/>
              </w:rPr>
              <w:tab/>
            </w:r>
            <w:r>
              <w:rPr>
                <w:noProof/>
                <w:webHidden/>
              </w:rPr>
              <w:fldChar w:fldCharType="begin"/>
            </w:r>
            <w:r>
              <w:rPr>
                <w:noProof/>
                <w:webHidden/>
              </w:rPr>
              <w:instrText xml:space="preserve"> PAGEREF _Toc228294709 \h </w:instrText>
            </w:r>
            <w:r>
              <w:rPr>
                <w:noProof/>
                <w:webHidden/>
              </w:rPr>
            </w:r>
            <w:r>
              <w:rPr>
                <w:noProof/>
                <w:webHidden/>
              </w:rPr>
              <w:fldChar w:fldCharType="separate"/>
            </w:r>
            <w:r>
              <w:rPr>
                <w:noProof/>
                <w:webHidden/>
              </w:rPr>
              <w:t>101</w:t>
            </w:r>
            <w:r>
              <w:rPr>
                <w:noProof/>
                <w:webHidden/>
              </w:rPr>
              <w:fldChar w:fldCharType="end"/>
            </w:r>
          </w:hyperlink>
        </w:p>
        <w:p w:rsidR="000901F8" w:rsidRDefault="000901F8" w14:paraId="11899493" w14:textId="442A95C6">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10">
            <w:r w:rsidRPr="001E10DF">
              <w:rPr>
                <w:rStyle w:val="Hyperlink"/>
                <w:noProof/>
              </w:rPr>
              <w:t>4.12.1.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_Toc228294710 \h </w:instrText>
            </w:r>
            <w:r>
              <w:rPr>
                <w:noProof/>
                <w:webHidden/>
              </w:rPr>
            </w:r>
            <w:r>
              <w:rPr>
                <w:noProof/>
                <w:webHidden/>
              </w:rPr>
              <w:fldChar w:fldCharType="separate"/>
            </w:r>
            <w:r>
              <w:rPr>
                <w:noProof/>
                <w:webHidden/>
              </w:rPr>
              <w:t>102</w:t>
            </w:r>
            <w:r>
              <w:rPr>
                <w:noProof/>
                <w:webHidden/>
              </w:rPr>
              <w:fldChar w:fldCharType="end"/>
            </w:r>
          </w:hyperlink>
        </w:p>
        <w:p w:rsidR="000901F8" w:rsidRDefault="000901F8" w14:paraId="66158F6F" w14:textId="6C0C6B3E">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11">
            <w:r w:rsidRPr="001E10DF">
              <w:rPr>
                <w:rStyle w:val="Hyperlink"/>
                <w:noProof/>
              </w:rPr>
              <w:t>4.12.2.</w:t>
            </w:r>
            <w:r>
              <w:rPr>
                <w:rFonts w:asciiTheme="minorHAnsi" w:hAnsiTheme="minorHAnsi" w:cstheme="minorBidi"/>
                <w:noProof/>
                <w:kern w:val="2"/>
                <w:sz w:val="24"/>
                <w:szCs w:val="24"/>
                <w14:ligatures w14:val="standardContextual"/>
              </w:rPr>
              <w:tab/>
            </w:r>
            <w:r w:rsidRPr="001E10DF">
              <w:rPr>
                <w:rStyle w:val="Hyperlink"/>
                <w:noProof/>
              </w:rPr>
              <w:t xml:space="preserve">Scoped Issue #12:  </w:t>
            </w:r>
            <w:r w:rsidRPr="001E10DF">
              <w:rPr>
                <w:rStyle w:val="Hyperlink"/>
                <w:bCs/>
                <w:noProof/>
              </w:rPr>
              <w:t>Whether California Water Service Company’s Proposed Balancing and Memorandum Accounts Are Reasonable and In the Public Interest</w:t>
            </w:r>
            <w:r>
              <w:rPr>
                <w:noProof/>
                <w:webHidden/>
              </w:rPr>
              <w:tab/>
            </w:r>
            <w:r>
              <w:rPr>
                <w:noProof/>
                <w:webHidden/>
              </w:rPr>
              <w:fldChar w:fldCharType="begin"/>
            </w:r>
            <w:r>
              <w:rPr>
                <w:noProof/>
                <w:webHidden/>
              </w:rPr>
              <w:instrText xml:space="preserve"> PAGEREF _Toc228294711 \h </w:instrText>
            </w:r>
            <w:r>
              <w:rPr>
                <w:noProof/>
                <w:webHidden/>
              </w:rPr>
            </w:r>
            <w:r>
              <w:rPr>
                <w:noProof/>
                <w:webHidden/>
              </w:rPr>
              <w:fldChar w:fldCharType="separate"/>
            </w:r>
            <w:r>
              <w:rPr>
                <w:noProof/>
                <w:webHidden/>
              </w:rPr>
              <w:t>103</w:t>
            </w:r>
            <w:r>
              <w:rPr>
                <w:noProof/>
                <w:webHidden/>
              </w:rPr>
              <w:fldChar w:fldCharType="end"/>
            </w:r>
          </w:hyperlink>
        </w:p>
        <w:p w:rsidR="000901F8" w:rsidRDefault="000901F8" w14:paraId="642C92D4" w14:textId="13845E5B">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12">
            <w:r w:rsidRPr="001E10DF">
              <w:rPr>
                <w:rStyle w:val="Hyperlink"/>
                <w:noProof/>
              </w:rPr>
              <w:t>4.12.3.</w:t>
            </w:r>
            <w:r>
              <w:rPr>
                <w:rFonts w:asciiTheme="minorHAnsi" w:hAnsiTheme="minorHAnsi" w:cstheme="minorBidi"/>
                <w:noProof/>
                <w:kern w:val="2"/>
                <w:sz w:val="24"/>
                <w:szCs w:val="24"/>
                <w14:ligatures w14:val="standardContextual"/>
              </w:rPr>
              <w:tab/>
            </w:r>
            <w:r w:rsidRPr="001E10DF">
              <w:rPr>
                <w:rStyle w:val="Hyperlink"/>
                <w:noProof/>
              </w:rPr>
              <w:t>Scoped Issue #20:  Special Request #8: Amortizing Balancing Accounts</w:t>
            </w:r>
            <w:r>
              <w:rPr>
                <w:noProof/>
                <w:webHidden/>
              </w:rPr>
              <w:tab/>
            </w:r>
            <w:r>
              <w:rPr>
                <w:noProof/>
                <w:webHidden/>
              </w:rPr>
              <w:fldChar w:fldCharType="begin"/>
            </w:r>
            <w:r>
              <w:rPr>
                <w:noProof/>
                <w:webHidden/>
              </w:rPr>
              <w:instrText xml:space="preserve"> PAGEREF _Toc228294712 \h </w:instrText>
            </w:r>
            <w:r>
              <w:rPr>
                <w:noProof/>
                <w:webHidden/>
              </w:rPr>
            </w:r>
            <w:r>
              <w:rPr>
                <w:noProof/>
                <w:webHidden/>
              </w:rPr>
              <w:fldChar w:fldCharType="separate"/>
            </w:r>
            <w:r>
              <w:rPr>
                <w:noProof/>
                <w:webHidden/>
              </w:rPr>
              <w:t>104</w:t>
            </w:r>
            <w:r>
              <w:rPr>
                <w:noProof/>
                <w:webHidden/>
              </w:rPr>
              <w:fldChar w:fldCharType="end"/>
            </w:r>
          </w:hyperlink>
        </w:p>
        <w:p w:rsidR="000901F8" w:rsidRDefault="000901F8" w14:paraId="1D09B25F" w14:textId="0DEC615D">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13">
            <w:r w:rsidRPr="001E10DF">
              <w:rPr>
                <w:rStyle w:val="Hyperlink"/>
                <w:noProof/>
              </w:rPr>
              <w:t>4.12.4.</w:t>
            </w:r>
            <w:r>
              <w:rPr>
                <w:rFonts w:asciiTheme="minorHAnsi" w:hAnsiTheme="minorHAnsi" w:cstheme="minorBidi"/>
                <w:noProof/>
                <w:kern w:val="2"/>
                <w:sz w:val="24"/>
                <w:szCs w:val="24"/>
                <w14:ligatures w14:val="standardContextual"/>
              </w:rPr>
              <w:tab/>
            </w:r>
            <w:r w:rsidRPr="001E10DF">
              <w:rPr>
                <w:rStyle w:val="Hyperlink"/>
                <w:noProof/>
              </w:rPr>
              <w:t xml:space="preserve">Scoped Issue #21:  </w:t>
            </w:r>
            <w:r w:rsidRPr="001E10DF">
              <w:rPr>
                <w:rStyle w:val="Hyperlink"/>
                <w:bCs/>
                <w:noProof/>
              </w:rPr>
              <w:t>Special Request #9: Reauthorizing Balancing Accounts</w:t>
            </w:r>
            <w:r>
              <w:rPr>
                <w:noProof/>
                <w:webHidden/>
              </w:rPr>
              <w:tab/>
            </w:r>
            <w:r>
              <w:rPr>
                <w:noProof/>
                <w:webHidden/>
              </w:rPr>
              <w:fldChar w:fldCharType="begin"/>
            </w:r>
            <w:r>
              <w:rPr>
                <w:noProof/>
                <w:webHidden/>
              </w:rPr>
              <w:instrText xml:space="preserve"> PAGEREF _Toc228294713 \h </w:instrText>
            </w:r>
            <w:r>
              <w:rPr>
                <w:noProof/>
                <w:webHidden/>
              </w:rPr>
            </w:r>
            <w:r>
              <w:rPr>
                <w:noProof/>
                <w:webHidden/>
              </w:rPr>
              <w:fldChar w:fldCharType="separate"/>
            </w:r>
            <w:r>
              <w:rPr>
                <w:noProof/>
                <w:webHidden/>
              </w:rPr>
              <w:t>107</w:t>
            </w:r>
            <w:r>
              <w:rPr>
                <w:noProof/>
                <w:webHidden/>
              </w:rPr>
              <w:fldChar w:fldCharType="end"/>
            </w:r>
          </w:hyperlink>
        </w:p>
        <w:p w:rsidR="000901F8" w:rsidRDefault="000901F8" w14:paraId="180CBACF" w14:textId="39451AD9">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14">
            <w:r w:rsidRPr="001E10DF">
              <w:rPr>
                <w:rStyle w:val="Hyperlink"/>
                <w:noProof/>
              </w:rPr>
              <w:t>4.12.5.</w:t>
            </w:r>
            <w:r>
              <w:rPr>
                <w:rFonts w:asciiTheme="minorHAnsi" w:hAnsiTheme="minorHAnsi" w:cstheme="minorBidi"/>
                <w:noProof/>
                <w:kern w:val="2"/>
                <w:sz w:val="24"/>
                <w:szCs w:val="24"/>
                <w14:ligatures w14:val="standardContextual"/>
              </w:rPr>
              <w:tab/>
            </w:r>
            <w:r w:rsidRPr="001E10DF">
              <w:rPr>
                <w:rStyle w:val="Hyperlink"/>
                <w:noProof/>
              </w:rPr>
              <w:t>Scoped Issue #22:  Special Request #10: Request for Liability Insurance Account</w:t>
            </w:r>
            <w:r>
              <w:rPr>
                <w:noProof/>
                <w:webHidden/>
              </w:rPr>
              <w:tab/>
            </w:r>
            <w:r>
              <w:rPr>
                <w:noProof/>
                <w:webHidden/>
              </w:rPr>
              <w:fldChar w:fldCharType="begin"/>
            </w:r>
            <w:r>
              <w:rPr>
                <w:noProof/>
                <w:webHidden/>
              </w:rPr>
              <w:instrText xml:space="preserve"> PAGEREF _Toc228294714 \h </w:instrText>
            </w:r>
            <w:r>
              <w:rPr>
                <w:noProof/>
                <w:webHidden/>
              </w:rPr>
            </w:r>
            <w:r>
              <w:rPr>
                <w:noProof/>
                <w:webHidden/>
              </w:rPr>
              <w:fldChar w:fldCharType="separate"/>
            </w:r>
            <w:r>
              <w:rPr>
                <w:noProof/>
                <w:webHidden/>
              </w:rPr>
              <w:t>111</w:t>
            </w:r>
            <w:r>
              <w:rPr>
                <w:noProof/>
                <w:webHidden/>
              </w:rPr>
              <w:fldChar w:fldCharType="end"/>
            </w:r>
          </w:hyperlink>
        </w:p>
        <w:p w:rsidR="000901F8" w:rsidRDefault="000901F8" w14:paraId="3B6757F0" w14:textId="1828C6BD">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15">
            <w:r w:rsidRPr="001E10DF">
              <w:rPr>
                <w:rStyle w:val="Hyperlink"/>
                <w:noProof/>
              </w:rPr>
              <w:t>4.12.6.</w:t>
            </w:r>
            <w:r>
              <w:rPr>
                <w:rFonts w:asciiTheme="minorHAnsi" w:hAnsiTheme="minorHAnsi" w:cstheme="minorBidi"/>
                <w:noProof/>
                <w:kern w:val="2"/>
                <w:sz w:val="24"/>
                <w:szCs w:val="24"/>
                <w14:ligatures w14:val="standardContextual"/>
              </w:rPr>
              <w:tab/>
            </w:r>
            <w:r w:rsidRPr="001E10DF">
              <w:rPr>
                <w:rStyle w:val="Hyperlink"/>
                <w:noProof/>
              </w:rPr>
              <w:t>Scoped Issue #23:  Special Request #11: Request for Water Contamination Remediation Memo Account</w:t>
            </w:r>
            <w:r>
              <w:rPr>
                <w:noProof/>
                <w:webHidden/>
              </w:rPr>
              <w:tab/>
            </w:r>
            <w:r>
              <w:rPr>
                <w:noProof/>
                <w:webHidden/>
              </w:rPr>
              <w:fldChar w:fldCharType="begin"/>
            </w:r>
            <w:r>
              <w:rPr>
                <w:noProof/>
                <w:webHidden/>
              </w:rPr>
              <w:instrText xml:space="preserve"> PAGEREF _Toc228294715 \h </w:instrText>
            </w:r>
            <w:r>
              <w:rPr>
                <w:noProof/>
                <w:webHidden/>
              </w:rPr>
            </w:r>
            <w:r>
              <w:rPr>
                <w:noProof/>
                <w:webHidden/>
              </w:rPr>
              <w:fldChar w:fldCharType="separate"/>
            </w:r>
            <w:r>
              <w:rPr>
                <w:noProof/>
                <w:webHidden/>
              </w:rPr>
              <w:t>115</w:t>
            </w:r>
            <w:r>
              <w:rPr>
                <w:noProof/>
                <w:webHidden/>
              </w:rPr>
              <w:fldChar w:fldCharType="end"/>
            </w:r>
          </w:hyperlink>
        </w:p>
        <w:p w:rsidR="000901F8" w:rsidRDefault="000901F8" w14:paraId="06A569A2" w14:textId="5AF22130">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16">
            <w:r w:rsidRPr="001E10DF">
              <w:rPr>
                <w:rStyle w:val="Hyperlink"/>
                <w:noProof/>
              </w:rPr>
              <w:t>4.13.</w:t>
            </w:r>
            <w:r>
              <w:rPr>
                <w:rFonts w:asciiTheme="minorHAnsi" w:hAnsiTheme="minorHAnsi" w:cstheme="minorBidi"/>
                <w:noProof/>
                <w:kern w:val="2"/>
                <w:sz w:val="24"/>
                <w:szCs w:val="24"/>
                <w14:ligatures w14:val="standardContextual"/>
              </w:rPr>
              <w:tab/>
            </w:r>
            <w:r w:rsidRPr="001E10DF">
              <w:rPr>
                <w:rStyle w:val="Hyperlink"/>
                <w:noProof/>
              </w:rPr>
              <w:t>Scoped Issue #13:  Special Request #1: Enhancing Affordability Through Consolidation</w:t>
            </w:r>
            <w:r>
              <w:rPr>
                <w:noProof/>
                <w:webHidden/>
              </w:rPr>
              <w:tab/>
            </w:r>
            <w:r>
              <w:rPr>
                <w:noProof/>
                <w:webHidden/>
              </w:rPr>
              <w:fldChar w:fldCharType="begin"/>
            </w:r>
            <w:r>
              <w:rPr>
                <w:noProof/>
                <w:webHidden/>
              </w:rPr>
              <w:instrText xml:space="preserve"> PAGEREF _Toc228294716 \h </w:instrText>
            </w:r>
            <w:r>
              <w:rPr>
                <w:noProof/>
                <w:webHidden/>
              </w:rPr>
            </w:r>
            <w:r>
              <w:rPr>
                <w:noProof/>
                <w:webHidden/>
              </w:rPr>
              <w:fldChar w:fldCharType="separate"/>
            </w:r>
            <w:r>
              <w:rPr>
                <w:noProof/>
                <w:webHidden/>
              </w:rPr>
              <w:t>118</w:t>
            </w:r>
            <w:r>
              <w:rPr>
                <w:noProof/>
                <w:webHidden/>
              </w:rPr>
              <w:fldChar w:fldCharType="end"/>
            </w:r>
          </w:hyperlink>
        </w:p>
        <w:p w:rsidR="000901F8" w:rsidRDefault="000901F8" w14:paraId="12D21E5B" w14:textId="38123415">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17">
            <w:r w:rsidRPr="001E10DF">
              <w:rPr>
                <w:rStyle w:val="Hyperlink"/>
                <w:noProof/>
              </w:rPr>
              <w:t>4.14.</w:t>
            </w:r>
            <w:r>
              <w:rPr>
                <w:rFonts w:asciiTheme="minorHAnsi" w:hAnsiTheme="minorHAnsi" w:cstheme="minorBidi"/>
                <w:noProof/>
                <w:kern w:val="2"/>
                <w:sz w:val="24"/>
                <w:szCs w:val="24"/>
                <w14:ligatures w14:val="standardContextual"/>
              </w:rPr>
              <w:tab/>
            </w:r>
            <w:r w:rsidRPr="001E10DF">
              <w:rPr>
                <w:rStyle w:val="Hyperlink"/>
                <w:noProof/>
              </w:rPr>
              <w:t>Scoped Issue #14:  Special Request #2: Updating the Rate Support Fund</w:t>
            </w:r>
            <w:r>
              <w:rPr>
                <w:noProof/>
                <w:webHidden/>
              </w:rPr>
              <w:tab/>
            </w:r>
            <w:r>
              <w:rPr>
                <w:noProof/>
                <w:webHidden/>
              </w:rPr>
              <w:fldChar w:fldCharType="begin"/>
            </w:r>
            <w:r>
              <w:rPr>
                <w:noProof/>
                <w:webHidden/>
              </w:rPr>
              <w:instrText xml:space="preserve"> PAGEREF _Toc228294717 \h </w:instrText>
            </w:r>
            <w:r>
              <w:rPr>
                <w:noProof/>
                <w:webHidden/>
              </w:rPr>
            </w:r>
            <w:r>
              <w:rPr>
                <w:noProof/>
                <w:webHidden/>
              </w:rPr>
              <w:fldChar w:fldCharType="separate"/>
            </w:r>
            <w:r>
              <w:rPr>
                <w:noProof/>
                <w:webHidden/>
              </w:rPr>
              <w:t>119</w:t>
            </w:r>
            <w:r>
              <w:rPr>
                <w:noProof/>
                <w:webHidden/>
              </w:rPr>
              <w:fldChar w:fldCharType="end"/>
            </w:r>
          </w:hyperlink>
        </w:p>
        <w:p w:rsidR="000901F8" w:rsidRDefault="000901F8" w14:paraId="21E34CDF" w14:textId="103E1DE0">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18">
            <w:r w:rsidRPr="001E10DF">
              <w:rPr>
                <w:rStyle w:val="Hyperlink"/>
                <w:bCs/>
                <w:noProof/>
              </w:rPr>
              <w:t>4.15.</w:t>
            </w:r>
            <w:r>
              <w:rPr>
                <w:rFonts w:asciiTheme="minorHAnsi" w:hAnsiTheme="minorHAnsi" w:cstheme="minorBidi"/>
                <w:noProof/>
                <w:kern w:val="2"/>
                <w:sz w:val="24"/>
                <w:szCs w:val="24"/>
                <w14:ligatures w14:val="standardContextual"/>
              </w:rPr>
              <w:tab/>
            </w:r>
            <w:r w:rsidRPr="001E10DF">
              <w:rPr>
                <w:rStyle w:val="Hyperlink"/>
                <w:noProof/>
              </w:rPr>
              <w:t xml:space="preserve">Scoped Issue #15:  </w:t>
            </w:r>
            <w:r w:rsidRPr="001E10DF">
              <w:rPr>
                <w:rStyle w:val="Hyperlink"/>
                <w:bCs/>
                <w:noProof/>
              </w:rPr>
              <w:t>Special Request #3: Authorizing Decoupling and Sales Reconciliation Mechanism</w:t>
            </w:r>
            <w:r>
              <w:rPr>
                <w:noProof/>
                <w:webHidden/>
              </w:rPr>
              <w:tab/>
            </w:r>
            <w:r>
              <w:rPr>
                <w:noProof/>
                <w:webHidden/>
              </w:rPr>
              <w:fldChar w:fldCharType="begin"/>
            </w:r>
            <w:r>
              <w:rPr>
                <w:noProof/>
                <w:webHidden/>
              </w:rPr>
              <w:instrText xml:space="preserve"> PAGEREF _Toc228294718 \h </w:instrText>
            </w:r>
            <w:r>
              <w:rPr>
                <w:noProof/>
                <w:webHidden/>
              </w:rPr>
            </w:r>
            <w:r>
              <w:rPr>
                <w:noProof/>
                <w:webHidden/>
              </w:rPr>
              <w:fldChar w:fldCharType="separate"/>
            </w:r>
            <w:r>
              <w:rPr>
                <w:noProof/>
                <w:webHidden/>
              </w:rPr>
              <w:t>119</w:t>
            </w:r>
            <w:r>
              <w:rPr>
                <w:noProof/>
                <w:webHidden/>
              </w:rPr>
              <w:fldChar w:fldCharType="end"/>
            </w:r>
          </w:hyperlink>
        </w:p>
        <w:p w:rsidR="000901F8" w:rsidRDefault="000901F8" w14:paraId="2808C940" w14:textId="19BD64CC">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19">
            <w:r w:rsidRPr="001E10DF">
              <w:rPr>
                <w:rStyle w:val="Hyperlink"/>
                <w:noProof/>
              </w:rPr>
              <w:t>4.16.</w:t>
            </w:r>
            <w:r>
              <w:rPr>
                <w:rFonts w:asciiTheme="minorHAnsi" w:hAnsiTheme="minorHAnsi" w:cstheme="minorBidi"/>
                <w:noProof/>
                <w:kern w:val="2"/>
                <w:sz w:val="24"/>
                <w:szCs w:val="24"/>
                <w14:ligatures w14:val="standardContextual"/>
              </w:rPr>
              <w:tab/>
            </w:r>
            <w:r w:rsidRPr="001E10DF">
              <w:rPr>
                <w:rStyle w:val="Hyperlink"/>
                <w:noProof/>
              </w:rPr>
              <w:t>Scoped Issue #16:  Special Request #4: Authorizing Annual Sales and Services Forecasts</w:t>
            </w:r>
            <w:r>
              <w:rPr>
                <w:noProof/>
                <w:webHidden/>
              </w:rPr>
              <w:tab/>
            </w:r>
            <w:r>
              <w:rPr>
                <w:noProof/>
                <w:webHidden/>
              </w:rPr>
              <w:fldChar w:fldCharType="begin"/>
            </w:r>
            <w:r>
              <w:rPr>
                <w:noProof/>
                <w:webHidden/>
              </w:rPr>
              <w:instrText xml:space="preserve"> PAGEREF _Toc228294719 \h </w:instrText>
            </w:r>
            <w:r>
              <w:rPr>
                <w:noProof/>
                <w:webHidden/>
              </w:rPr>
            </w:r>
            <w:r>
              <w:rPr>
                <w:noProof/>
                <w:webHidden/>
              </w:rPr>
              <w:fldChar w:fldCharType="separate"/>
            </w:r>
            <w:r>
              <w:rPr>
                <w:noProof/>
                <w:webHidden/>
              </w:rPr>
              <w:t>119</w:t>
            </w:r>
            <w:r>
              <w:rPr>
                <w:noProof/>
                <w:webHidden/>
              </w:rPr>
              <w:fldChar w:fldCharType="end"/>
            </w:r>
          </w:hyperlink>
        </w:p>
        <w:p w:rsidR="000901F8" w:rsidRDefault="000901F8" w14:paraId="741D659A" w14:textId="0F46EBA0">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0">
            <w:r w:rsidRPr="001E10DF">
              <w:rPr>
                <w:rStyle w:val="Hyperlink"/>
                <w:noProof/>
              </w:rPr>
              <w:t>4.17.</w:t>
            </w:r>
            <w:r>
              <w:rPr>
                <w:rFonts w:asciiTheme="minorHAnsi" w:hAnsiTheme="minorHAnsi" w:cstheme="minorBidi"/>
                <w:noProof/>
                <w:kern w:val="2"/>
                <w:sz w:val="24"/>
                <w:szCs w:val="24"/>
                <w14:ligatures w14:val="standardContextual"/>
              </w:rPr>
              <w:tab/>
            </w:r>
            <w:r w:rsidRPr="001E10DF">
              <w:rPr>
                <w:rStyle w:val="Hyperlink"/>
                <w:noProof/>
              </w:rPr>
              <w:t>Scoped Issue #17:  Special Request #5: Incorporating Subsequent Rate Changes into Final Rates</w:t>
            </w:r>
            <w:r>
              <w:rPr>
                <w:noProof/>
                <w:webHidden/>
              </w:rPr>
              <w:tab/>
            </w:r>
            <w:r>
              <w:rPr>
                <w:noProof/>
                <w:webHidden/>
              </w:rPr>
              <w:fldChar w:fldCharType="begin"/>
            </w:r>
            <w:r>
              <w:rPr>
                <w:noProof/>
                <w:webHidden/>
              </w:rPr>
              <w:instrText xml:space="preserve"> PAGEREF _Toc228294720 \h </w:instrText>
            </w:r>
            <w:r>
              <w:rPr>
                <w:noProof/>
                <w:webHidden/>
              </w:rPr>
            </w:r>
            <w:r>
              <w:rPr>
                <w:noProof/>
                <w:webHidden/>
              </w:rPr>
              <w:fldChar w:fldCharType="separate"/>
            </w:r>
            <w:r>
              <w:rPr>
                <w:noProof/>
                <w:webHidden/>
              </w:rPr>
              <w:t>120</w:t>
            </w:r>
            <w:r>
              <w:rPr>
                <w:noProof/>
                <w:webHidden/>
              </w:rPr>
              <w:fldChar w:fldCharType="end"/>
            </w:r>
          </w:hyperlink>
        </w:p>
        <w:p w:rsidR="000901F8" w:rsidRDefault="000901F8" w14:paraId="26CFBE7B" w14:textId="1B491F7A">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1">
            <w:r w:rsidRPr="001E10DF">
              <w:rPr>
                <w:rStyle w:val="Hyperlink"/>
                <w:noProof/>
              </w:rPr>
              <w:t>4.18.</w:t>
            </w:r>
            <w:r>
              <w:rPr>
                <w:rFonts w:asciiTheme="minorHAnsi" w:hAnsiTheme="minorHAnsi" w:cstheme="minorBidi"/>
                <w:noProof/>
                <w:kern w:val="2"/>
                <w:sz w:val="24"/>
                <w:szCs w:val="24"/>
                <w14:ligatures w14:val="standardContextual"/>
              </w:rPr>
              <w:tab/>
            </w:r>
            <w:r w:rsidRPr="001E10DF">
              <w:rPr>
                <w:rStyle w:val="Hyperlink"/>
                <w:noProof/>
              </w:rPr>
              <w:t>Scoped Issue #18:  Special Request #6: Updating Escalation Factors for Final Rates</w:t>
            </w:r>
            <w:r>
              <w:rPr>
                <w:noProof/>
                <w:webHidden/>
              </w:rPr>
              <w:tab/>
            </w:r>
            <w:r>
              <w:rPr>
                <w:noProof/>
                <w:webHidden/>
              </w:rPr>
              <w:fldChar w:fldCharType="begin"/>
            </w:r>
            <w:r>
              <w:rPr>
                <w:noProof/>
                <w:webHidden/>
              </w:rPr>
              <w:instrText xml:space="preserve"> PAGEREF _Toc228294721 \h </w:instrText>
            </w:r>
            <w:r>
              <w:rPr>
                <w:noProof/>
                <w:webHidden/>
              </w:rPr>
            </w:r>
            <w:r>
              <w:rPr>
                <w:noProof/>
                <w:webHidden/>
              </w:rPr>
              <w:fldChar w:fldCharType="separate"/>
            </w:r>
            <w:r>
              <w:rPr>
                <w:noProof/>
                <w:webHidden/>
              </w:rPr>
              <w:t>120</w:t>
            </w:r>
            <w:r>
              <w:rPr>
                <w:noProof/>
                <w:webHidden/>
              </w:rPr>
              <w:fldChar w:fldCharType="end"/>
            </w:r>
          </w:hyperlink>
        </w:p>
        <w:p w:rsidR="000901F8" w:rsidRDefault="000901F8" w14:paraId="0ACB4024" w14:textId="1B988024">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2">
            <w:r w:rsidRPr="001E10DF">
              <w:rPr>
                <w:rStyle w:val="Hyperlink"/>
                <w:noProof/>
              </w:rPr>
              <w:t>4.19.</w:t>
            </w:r>
            <w:r>
              <w:rPr>
                <w:rFonts w:asciiTheme="minorHAnsi" w:hAnsiTheme="minorHAnsi" w:cstheme="minorBidi"/>
                <w:noProof/>
                <w:kern w:val="2"/>
                <w:sz w:val="24"/>
                <w:szCs w:val="24"/>
                <w14:ligatures w14:val="standardContextual"/>
              </w:rPr>
              <w:tab/>
            </w:r>
            <w:r w:rsidRPr="001E10DF">
              <w:rPr>
                <w:rStyle w:val="Hyperlink"/>
                <w:noProof/>
              </w:rPr>
              <w:t>Scoped Issue #19:  Special Request #7: Payroll Escalation Based on Union Contract</w:t>
            </w:r>
            <w:r>
              <w:rPr>
                <w:noProof/>
                <w:webHidden/>
              </w:rPr>
              <w:tab/>
            </w:r>
            <w:r>
              <w:rPr>
                <w:noProof/>
                <w:webHidden/>
              </w:rPr>
              <w:fldChar w:fldCharType="begin"/>
            </w:r>
            <w:r>
              <w:rPr>
                <w:noProof/>
                <w:webHidden/>
              </w:rPr>
              <w:instrText xml:space="preserve"> PAGEREF _Toc228294722 \h </w:instrText>
            </w:r>
            <w:r>
              <w:rPr>
                <w:noProof/>
                <w:webHidden/>
              </w:rPr>
            </w:r>
            <w:r>
              <w:rPr>
                <w:noProof/>
                <w:webHidden/>
              </w:rPr>
              <w:fldChar w:fldCharType="separate"/>
            </w:r>
            <w:r>
              <w:rPr>
                <w:noProof/>
                <w:webHidden/>
              </w:rPr>
              <w:t>121</w:t>
            </w:r>
            <w:r>
              <w:rPr>
                <w:noProof/>
                <w:webHidden/>
              </w:rPr>
              <w:fldChar w:fldCharType="end"/>
            </w:r>
          </w:hyperlink>
        </w:p>
        <w:p w:rsidR="000901F8" w:rsidRDefault="000901F8" w14:paraId="3268552F" w14:textId="63CBB6E0">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23">
            <w:r w:rsidRPr="001E10DF">
              <w:rPr>
                <w:rStyle w:val="Hyperlink"/>
                <w:noProof/>
              </w:rPr>
              <w:t>4.19.1.</w:t>
            </w:r>
            <w:r>
              <w:rPr>
                <w:rFonts w:asciiTheme="minorHAnsi" w:hAnsiTheme="minorHAnsi" w:cstheme="minorBidi"/>
                <w:noProof/>
                <w:kern w:val="2"/>
                <w:sz w:val="24"/>
                <w:szCs w:val="24"/>
                <w14:ligatures w14:val="standardContextual"/>
              </w:rPr>
              <w:tab/>
            </w:r>
            <w:r w:rsidRPr="001E10DF">
              <w:rPr>
                <w:rStyle w:val="Hyperlink"/>
                <w:noProof/>
              </w:rPr>
              <w:t>Partial Settlement</w:t>
            </w:r>
            <w:r>
              <w:rPr>
                <w:noProof/>
                <w:webHidden/>
              </w:rPr>
              <w:tab/>
            </w:r>
            <w:r>
              <w:rPr>
                <w:noProof/>
                <w:webHidden/>
              </w:rPr>
              <w:fldChar w:fldCharType="begin"/>
            </w:r>
            <w:r>
              <w:rPr>
                <w:noProof/>
                <w:webHidden/>
              </w:rPr>
              <w:instrText xml:space="preserve"> PAGEREF _Toc228294723 \h </w:instrText>
            </w:r>
            <w:r>
              <w:rPr>
                <w:noProof/>
                <w:webHidden/>
              </w:rPr>
            </w:r>
            <w:r>
              <w:rPr>
                <w:noProof/>
                <w:webHidden/>
              </w:rPr>
              <w:fldChar w:fldCharType="separate"/>
            </w:r>
            <w:r>
              <w:rPr>
                <w:noProof/>
                <w:webHidden/>
              </w:rPr>
              <w:t>122</w:t>
            </w:r>
            <w:r>
              <w:rPr>
                <w:noProof/>
                <w:webHidden/>
              </w:rPr>
              <w:fldChar w:fldCharType="end"/>
            </w:r>
          </w:hyperlink>
        </w:p>
        <w:p w:rsidR="000901F8" w:rsidRDefault="000901F8" w14:paraId="6798B713" w14:textId="69910FBC">
          <w:pPr>
            <w:pStyle w:val="TOC3"/>
            <w:tabs>
              <w:tab w:val="left" w:pos="2995"/>
              <w:tab w:val="right" w:leader="dot" w:pos="9350"/>
            </w:tabs>
            <w:rPr>
              <w:rFonts w:asciiTheme="minorHAnsi" w:hAnsiTheme="minorHAnsi" w:cstheme="minorBidi"/>
              <w:noProof/>
              <w:kern w:val="2"/>
              <w:sz w:val="24"/>
              <w:szCs w:val="24"/>
              <w14:ligatures w14:val="standardContextual"/>
            </w:rPr>
          </w:pPr>
          <w:hyperlink w:history="1" w:anchor="_Toc228294724">
            <w:r w:rsidRPr="001E10DF">
              <w:rPr>
                <w:rStyle w:val="Hyperlink"/>
                <w:noProof/>
              </w:rPr>
              <w:t>4.19.2.</w:t>
            </w:r>
            <w:r>
              <w:rPr>
                <w:rFonts w:asciiTheme="minorHAnsi" w:hAnsiTheme="minorHAnsi" w:cstheme="minorBidi"/>
                <w:noProof/>
                <w:kern w:val="2"/>
                <w:sz w:val="24"/>
                <w:szCs w:val="24"/>
                <w14:ligatures w14:val="standardContextual"/>
              </w:rPr>
              <w:tab/>
            </w:r>
            <w:r w:rsidRPr="001E10DF">
              <w:rPr>
                <w:rStyle w:val="Hyperlink"/>
                <w:noProof/>
              </w:rPr>
              <w:t>Analysis</w:t>
            </w:r>
            <w:r>
              <w:rPr>
                <w:noProof/>
                <w:webHidden/>
              </w:rPr>
              <w:tab/>
            </w:r>
            <w:r>
              <w:rPr>
                <w:noProof/>
                <w:webHidden/>
              </w:rPr>
              <w:fldChar w:fldCharType="begin"/>
            </w:r>
            <w:r>
              <w:rPr>
                <w:noProof/>
                <w:webHidden/>
              </w:rPr>
              <w:instrText xml:space="preserve"> PAGEREF _Toc228294724 \h </w:instrText>
            </w:r>
            <w:r>
              <w:rPr>
                <w:noProof/>
                <w:webHidden/>
              </w:rPr>
            </w:r>
            <w:r>
              <w:rPr>
                <w:noProof/>
                <w:webHidden/>
              </w:rPr>
              <w:fldChar w:fldCharType="separate"/>
            </w:r>
            <w:r>
              <w:rPr>
                <w:noProof/>
                <w:webHidden/>
              </w:rPr>
              <w:t>122</w:t>
            </w:r>
            <w:r>
              <w:rPr>
                <w:noProof/>
                <w:webHidden/>
              </w:rPr>
              <w:fldChar w:fldCharType="end"/>
            </w:r>
          </w:hyperlink>
        </w:p>
        <w:p w:rsidR="000901F8" w:rsidRDefault="000901F8" w14:paraId="68B44D49" w14:textId="410AC961">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5">
            <w:r w:rsidRPr="001E10DF">
              <w:rPr>
                <w:rStyle w:val="Hyperlink"/>
                <w:noProof/>
              </w:rPr>
              <w:t>4.20.</w:t>
            </w:r>
            <w:r>
              <w:rPr>
                <w:rFonts w:asciiTheme="minorHAnsi" w:hAnsiTheme="minorHAnsi" w:cstheme="minorBidi"/>
                <w:noProof/>
                <w:kern w:val="2"/>
                <w:sz w:val="24"/>
                <w:szCs w:val="24"/>
                <w14:ligatures w14:val="standardContextual"/>
              </w:rPr>
              <w:tab/>
            </w:r>
            <w:r w:rsidRPr="001E10DF">
              <w:rPr>
                <w:rStyle w:val="Hyperlink"/>
                <w:noProof/>
              </w:rPr>
              <w:t>Scoped Issue #20:  Special Request #8: Amortizing Balancing Accounts</w:t>
            </w:r>
            <w:r>
              <w:rPr>
                <w:noProof/>
                <w:webHidden/>
              </w:rPr>
              <w:tab/>
            </w:r>
            <w:r>
              <w:rPr>
                <w:noProof/>
                <w:webHidden/>
              </w:rPr>
              <w:fldChar w:fldCharType="begin"/>
            </w:r>
            <w:r>
              <w:rPr>
                <w:noProof/>
                <w:webHidden/>
              </w:rPr>
              <w:instrText xml:space="preserve"> PAGEREF _Toc228294725 \h </w:instrText>
            </w:r>
            <w:r>
              <w:rPr>
                <w:noProof/>
                <w:webHidden/>
              </w:rPr>
            </w:r>
            <w:r>
              <w:rPr>
                <w:noProof/>
                <w:webHidden/>
              </w:rPr>
              <w:fldChar w:fldCharType="separate"/>
            </w:r>
            <w:r>
              <w:rPr>
                <w:noProof/>
                <w:webHidden/>
              </w:rPr>
              <w:t>124</w:t>
            </w:r>
            <w:r>
              <w:rPr>
                <w:noProof/>
                <w:webHidden/>
              </w:rPr>
              <w:fldChar w:fldCharType="end"/>
            </w:r>
          </w:hyperlink>
        </w:p>
        <w:p w:rsidR="000901F8" w:rsidRDefault="000901F8" w14:paraId="6805CD3F" w14:textId="046C0F1D">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6">
            <w:r w:rsidRPr="001E10DF">
              <w:rPr>
                <w:rStyle w:val="Hyperlink"/>
                <w:noProof/>
              </w:rPr>
              <w:t>4.21.</w:t>
            </w:r>
            <w:r>
              <w:rPr>
                <w:rFonts w:asciiTheme="minorHAnsi" w:hAnsiTheme="minorHAnsi" w:cstheme="minorBidi"/>
                <w:noProof/>
                <w:kern w:val="2"/>
                <w:sz w:val="24"/>
                <w:szCs w:val="24"/>
                <w14:ligatures w14:val="standardContextual"/>
              </w:rPr>
              <w:tab/>
            </w:r>
            <w:r w:rsidRPr="001E10DF">
              <w:rPr>
                <w:rStyle w:val="Hyperlink"/>
                <w:noProof/>
              </w:rPr>
              <w:t>Scoped Issue #21:  Special Request #9: Reauthorizing Balancing Accounts</w:t>
            </w:r>
            <w:r>
              <w:rPr>
                <w:noProof/>
                <w:webHidden/>
              </w:rPr>
              <w:tab/>
            </w:r>
            <w:r>
              <w:rPr>
                <w:noProof/>
                <w:webHidden/>
              </w:rPr>
              <w:fldChar w:fldCharType="begin"/>
            </w:r>
            <w:r>
              <w:rPr>
                <w:noProof/>
                <w:webHidden/>
              </w:rPr>
              <w:instrText xml:space="preserve"> PAGEREF _Toc228294726 \h </w:instrText>
            </w:r>
            <w:r>
              <w:rPr>
                <w:noProof/>
                <w:webHidden/>
              </w:rPr>
            </w:r>
            <w:r>
              <w:rPr>
                <w:noProof/>
                <w:webHidden/>
              </w:rPr>
              <w:fldChar w:fldCharType="separate"/>
            </w:r>
            <w:r>
              <w:rPr>
                <w:noProof/>
                <w:webHidden/>
              </w:rPr>
              <w:t>124</w:t>
            </w:r>
            <w:r>
              <w:rPr>
                <w:noProof/>
                <w:webHidden/>
              </w:rPr>
              <w:fldChar w:fldCharType="end"/>
            </w:r>
          </w:hyperlink>
        </w:p>
        <w:p w:rsidR="000901F8" w:rsidRDefault="000901F8" w14:paraId="419FE106" w14:textId="67EEB366">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7">
            <w:r w:rsidRPr="001E10DF">
              <w:rPr>
                <w:rStyle w:val="Hyperlink"/>
                <w:noProof/>
              </w:rPr>
              <w:t>4.22.</w:t>
            </w:r>
            <w:r>
              <w:rPr>
                <w:rFonts w:asciiTheme="minorHAnsi" w:hAnsiTheme="minorHAnsi" w:cstheme="minorBidi"/>
                <w:noProof/>
                <w:kern w:val="2"/>
                <w:sz w:val="24"/>
                <w:szCs w:val="24"/>
                <w14:ligatures w14:val="standardContextual"/>
              </w:rPr>
              <w:tab/>
            </w:r>
            <w:r w:rsidRPr="001E10DF">
              <w:rPr>
                <w:rStyle w:val="Hyperlink"/>
                <w:noProof/>
              </w:rPr>
              <w:t>Scoped Issue #22:  Special Request #10: Request for Liability Insurance Account</w:t>
            </w:r>
            <w:r>
              <w:rPr>
                <w:noProof/>
                <w:webHidden/>
              </w:rPr>
              <w:tab/>
            </w:r>
            <w:r>
              <w:rPr>
                <w:noProof/>
                <w:webHidden/>
              </w:rPr>
              <w:fldChar w:fldCharType="begin"/>
            </w:r>
            <w:r>
              <w:rPr>
                <w:noProof/>
                <w:webHidden/>
              </w:rPr>
              <w:instrText xml:space="preserve"> PAGEREF _Toc228294727 \h </w:instrText>
            </w:r>
            <w:r>
              <w:rPr>
                <w:noProof/>
                <w:webHidden/>
              </w:rPr>
            </w:r>
            <w:r>
              <w:rPr>
                <w:noProof/>
                <w:webHidden/>
              </w:rPr>
              <w:fldChar w:fldCharType="separate"/>
            </w:r>
            <w:r>
              <w:rPr>
                <w:noProof/>
                <w:webHidden/>
              </w:rPr>
              <w:t>124</w:t>
            </w:r>
            <w:r>
              <w:rPr>
                <w:noProof/>
                <w:webHidden/>
              </w:rPr>
              <w:fldChar w:fldCharType="end"/>
            </w:r>
          </w:hyperlink>
        </w:p>
        <w:p w:rsidR="000901F8" w:rsidRDefault="000901F8" w14:paraId="2D8875AD" w14:textId="06CADC6A">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8">
            <w:r w:rsidRPr="001E10DF">
              <w:rPr>
                <w:rStyle w:val="Hyperlink"/>
                <w:noProof/>
              </w:rPr>
              <w:t>4.23.</w:t>
            </w:r>
            <w:r>
              <w:rPr>
                <w:rFonts w:asciiTheme="minorHAnsi" w:hAnsiTheme="minorHAnsi" w:cstheme="minorBidi"/>
                <w:noProof/>
                <w:kern w:val="2"/>
                <w:sz w:val="24"/>
                <w:szCs w:val="24"/>
                <w14:ligatures w14:val="standardContextual"/>
              </w:rPr>
              <w:tab/>
            </w:r>
            <w:r w:rsidRPr="001E10DF">
              <w:rPr>
                <w:rStyle w:val="Hyperlink"/>
                <w:noProof/>
              </w:rPr>
              <w:t>Scoped Issue #23:  Special Request #11: Request for Water Contamination Remediation Memo Account</w:t>
            </w:r>
            <w:r>
              <w:rPr>
                <w:noProof/>
                <w:webHidden/>
              </w:rPr>
              <w:tab/>
            </w:r>
            <w:r>
              <w:rPr>
                <w:noProof/>
                <w:webHidden/>
              </w:rPr>
              <w:fldChar w:fldCharType="begin"/>
            </w:r>
            <w:r>
              <w:rPr>
                <w:noProof/>
                <w:webHidden/>
              </w:rPr>
              <w:instrText xml:space="preserve"> PAGEREF _Toc228294728 \h </w:instrText>
            </w:r>
            <w:r>
              <w:rPr>
                <w:noProof/>
                <w:webHidden/>
              </w:rPr>
            </w:r>
            <w:r>
              <w:rPr>
                <w:noProof/>
                <w:webHidden/>
              </w:rPr>
              <w:fldChar w:fldCharType="separate"/>
            </w:r>
            <w:r>
              <w:rPr>
                <w:noProof/>
                <w:webHidden/>
              </w:rPr>
              <w:t>124</w:t>
            </w:r>
            <w:r>
              <w:rPr>
                <w:noProof/>
                <w:webHidden/>
              </w:rPr>
              <w:fldChar w:fldCharType="end"/>
            </w:r>
          </w:hyperlink>
        </w:p>
        <w:p w:rsidR="000901F8" w:rsidRDefault="000901F8" w14:paraId="67174729" w14:textId="6FCA3933">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29">
            <w:r w:rsidRPr="001E10DF">
              <w:rPr>
                <w:rStyle w:val="Hyperlink"/>
                <w:noProof/>
              </w:rPr>
              <w:t>4.24.</w:t>
            </w:r>
            <w:r>
              <w:rPr>
                <w:rFonts w:asciiTheme="minorHAnsi" w:hAnsiTheme="minorHAnsi" w:cstheme="minorBidi"/>
                <w:noProof/>
                <w:kern w:val="2"/>
                <w:sz w:val="24"/>
                <w:szCs w:val="24"/>
                <w14:ligatures w14:val="standardContextual"/>
              </w:rPr>
              <w:tab/>
            </w:r>
            <w:r w:rsidRPr="001E10DF">
              <w:rPr>
                <w:rStyle w:val="Hyperlink"/>
                <w:noProof/>
              </w:rPr>
              <w:t>Scoped Issue #24:  Special Request #14: Attrition Year Normalization</w:t>
            </w:r>
            <w:r>
              <w:rPr>
                <w:noProof/>
                <w:webHidden/>
              </w:rPr>
              <w:tab/>
            </w:r>
            <w:r>
              <w:rPr>
                <w:noProof/>
                <w:webHidden/>
              </w:rPr>
              <w:fldChar w:fldCharType="begin"/>
            </w:r>
            <w:r>
              <w:rPr>
                <w:noProof/>
                <w:webHidden/>
              </w:rPr>
              <w:instrText xml:space="preserve"> PAGEREF _Toc228294729 \h </w:instrText>
            </w:r>
            <w:r>
              <w:rPr>
                <w:noProof/>
                <w:webHidden/>
              </w:rPr>
            </w:r>
            <w:r>
              <w:rPr>
                <w:noProof/>
                <w:webHidden/>
              </w:rPr>
              <w:fldChar w:fldCharType="separate"/>
            </w:r>
            <w:r>
              <w:rPr>
                <w:noProof/>
                <w:webHidden/>
              </w:rPr>
              <w:t>124</w:t>
            </w:r>
            <w:r>
              <w:rPr>
                <w:noProof/>
                <w:webHidden/>
              </w:rPr>
              <w:fldChar w:fldCharType="end"/>
            </w:r>
          </w:hyperlink>
        </w:p>
        <w:p w:rsidR="000901F8" w:rsidRDefault="000901F8" w14:paraId="0311DD85" w14:textId="19A5BAA6">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28294730">
            <w:r w:rsidRPr="001E10DF">
              <w:rPr>
                <w:rStyle w:val="Hyperlink"/>
                <w:noProof/>
              </w:rPr>
              <w:t>4.25.</w:t>
            </w:r>
            <w:r>
              <w:rPr>
                <w:rFonts w:asciiTheme="minorHAnsi" w:hAnsiTheme="minorHAnsi" w:cstheme="minorBidi"/>
                <w:noProof/>
                <w:kern w:val="2"/>
                <w:sz w:val="24"/>
                <w:szCs w:val="24"/>
                <w14:ligatures w14:val="standardContextual"/>
              </w:rPr>
              <w:tab/>
            </w:r>
            <w:r w:rsidRPr="001E10DF">
              <w:rPr>
                <w:rStyle w:val="Hyperlink"/>
                <w:noProof/>
              </w:rPr>
              <w:t>Scoped Issue #25:  Special Request #15: Deferred Tax Liability with Current Year Capital Additions</w:t>
            </w:r>
            <w:r>
              <w:rPr>
                <w:noProof/>
                <w:webHidden/>
              </w:rPr>
              <w:tab/>
            </w:r>
            <w:r>
              <w:rPr>
                <w:noProof/>
                <w:webHidden/>
              </w:rPr>
              <w:fldChar w:fldCharType="begin"/>
            </w:r>
            <w:r>
              <w:rPr>
                <w:noProof/>
                <w:webHidden/>
              </w:rPr>
              <w:instrText xml:space="preserve"> PAGEREF _Toc228294730 \h </w:instrText>
            </w:r>
            <w:r>
              <w:rPr>
                <w:noProof/>
                <w:webHidden/>
              </w:rPr>
            </w:r>
            <w:r>
              <w:rPr>
                <w:noProof/>
                <w:webHidden/>
              </w:rPr>
              <w:fldChar w:fldCharType="separate"/>
            </w:r>
            <w:r>
              <w:rPr>
                <w:noProof/>
                <w:webHidden/>
              </w:rPr>
              <w:t>125</w:t>
            </w:r>
            <w:r>
              <w:rPr>
                <w:noProof/>
                <w:webHidden/>
              </w:rPr>
              <w:fldChar w:fldCharType="end"/>
            </w:r>
          </w:hyperlink>
        </w:p>
        <w:p w:rsidR="000901F8" w:rsidRDefault="000901F8" w14:paraId="5F6BE0D3" w14:textId="5383A83E">
          <w:pPr>
            <w:pStyle w:val="TOC1"/>
            <w:tabs>
              <w:tab w:val="right" w:leader="dot" w:pos="9350"/>
            </w:tabs>
            <w:rPr>
              <w:rFonts w:asciiTheme="minorHAnsi" w:hAnsiTheme="minorHAnsi" w:cstheme="minorBidi"/>
              <w:noProof/>
              <w:kern w:val="2"/>
              <w:sz w:val="24"/>
              <w:szCs w:val="24"/>
              <w14:ligatures w14:val="standardContextual"/>
            </w:rPr>
          </w:pPr>
          <w:hyperlink w:history="1" w:anchor="_Toc228294731">
            <w:r w:rsidRPr="001E10DF">
              <w:rPr>
                <w:rStyle w:val="Hyperlink"/>
                <w:noProof/>
              </w:rPr>
              <w:t>5.</w:t>
            </w:r>
            <w:r>
              <w:rPr>
                <w:rFonts w:asciiTheme="minorHAnsi" w:hAnsiTheme="minorHAnsi" w:cstheme="minorBidi"/>
                <w:noProof/>
                <w:kern w:val="2"/>
                <w:sz w:val="24"/>
                <w:szCs w:val="24"/>
                <w14:ligatures w14:val="standardContextual"/>
              </w:rPr>
              <w:tab/>
            </w:r>
            <w:r w:rsidRPr="001E10DF">
              <w:rPr>
                <w:rStyle w:val="Hyperlink"/>
                <w:noProof/>
              </w:rPr>
              <w:t>Summary of Public Comment</w:t>
            </w:r>
            <w:r>
              <w:rPr>
                <w:noProof/>
                <w:webHidden/>
              </w:rPr>
              <w:tab/>
            </w:r>
            <w:r>
              <w:rPr>
                <w:noProof/>
                <w:webHidden/>
              </w:rPr>
              <w:fldChar w:fldCharType="begin"/>
            </w:r>
            <w:r>
              <w:rPr>
                <w:noProof/>
                <w:webHidden/>
              </w:rPr>
              <w:instrText xml:space="preserve"> PAGEREF _Toc228294731 \h </w:instrText>
            </w:r>
            <w:r>
              <w:rPr>
                <w:noProof/>
                <w:webHidden/>
              </w:rPr>
            </w:r>
            <w:r>
              <w:rPr>
                <w:noProof/>
                <w:webHidden/>
              </w:rPr>
              <w:fldChar w:fldCharType="separate"/>
            </w:r>
            <w:r>
              <w:rPr>
                <w:noProof/>
                <w:webHidden/>
              </w:rPr>
              <w:t>125</w:t>
            </w:r>
            <w:r>
              <w:rPr>
                <w:noProof/>
                <w:webHidden/>
              </w:rPr>
              <w:fldChar w:fldCharType="end"/>
            </w:r>
          </w:hyperlink>
        </w:p>
        <w:p w:rsidR="000901F8" w:rsidRDefault="000901F8" w14:paraId="489CF09F" w14:textId="5C17F899">
          <w:pPr>
            <w:pStyle w:val="TOC1"/>
            <w:tabs>
              <w:tab w:val="right" w:leader="dot" w:pos="9350"/>
            </w:tabs>
            <w:rPr>
              <w:rFonts w:asciiTheme="minorHAnsi" w:hAnsiTheme="minorHAnsi" w:cstheme="minorBidi"/>
              <w:noProof/>
              <w:kern w:val="2"/>
              <w:sz w:val="24"/>
              <w:szCs w:val="24"/>
              <w14:ligatures w14:val="standardContextual"/>
            </w:rPr>
          </w:pPr>
          <w:hyperlink w:history="1" w:anchor="_Toc228294732">
            <w:r w:rsidRPr="001E10DF">
              <w:rPr>
                <w:rStyle w:val="Hyperlink"/>
                <w:noProof/>
              </w:rPr>
              <w:t>6.</w:t>
            </w:r>
            <w:r>
              <w:rPr>
                <w:rFonts w:asciiTheme="minorHAnsi" w:hAnsiTheme="minorHAnsi" w:cstheme="minorBidi"/>
                <w:noProof/>
                <w:kern w:val="2"/>
                <w:sz w:val="24"/>
                <w:szCs w:val="24"/>
                <w14:ligatures w14:val="standardContextual"/>
              </w:rPr>
              <w:tab/>
            </w:r>
            <w:r w:rsidRPr="001E10DF">
              <w:rPr>
                <w:rStyle w:val="Hyperlink"/>
                <w:noProof/>
              </w:rPr>
              <w:t>Procedural Matters</w:t>
            </w:r>
            <w:r>
              <w:rPr>
                <w:noProof/>
                <w:webHidden/>
              </w:rPr>
              <w:tab/>
            </w:r>
            <w:r>
              <w:rPr>
                <w:noProof/>
                <w:webHidden/>
              </w:rPr>
              <w:fldChar w:fldCharType="begin"/>
            </w:r>
            <w:r>
              <w:rPr>
                <w:noProof/>
                <w:webHidden/>
              </w:rPr>
              <w:instrText xml:space="preserve"> PAGEREF _Toc228294732 \h </w:instrText>
            </w:r>
            <w:r>
              <w:rPr>
                <w:noProof/>
                <w:webHidden/>
              </w:rPr>
            </w:r>
            <w:r>
              <w:rPr>
                <w:noProof/>
                <w:webHidden/>
              </w:rPr>
              <w:fldChar w:fldCharType="separate"/>
            </w:r>
            <w:r>
              <w:rPr>
                <w:noProof/>
                <w:webHidden/>
              </w:rPr>
              <w:t>126</w:t>
            </w:r>
            <w:r>
              <w:rPr>
                <w:noProof/>
                <w:webHidden/>
              </w:rPr>
              <w:fldChar w:fldCharType="end"/>
            </w:r>
          </w:hyperlink>
        </w:p>
        <w:p w:rsidR="000901F8" w:rsidRDefault="000901F8" w14:paraId="47C7D8CE" w14:textId="51B7EB13">
          <w:pPr>
            <w:pStyle w:val="TOC1"/>
            <w:tabs>
              <w:tab w:val="right" w:leader="dot" w:pos="9350"/>
            </w:tabs>
            <w:rPr>
              <w:rFonts w:asciiTheme="minorHAnsi" w:hAnsiTheme="minorHAnsi" w:cstheme="minorBidi"/>
              <w:noProof/>
              <w:kern w:val="2"/>
              <w:sz w:val="24"/>
              <w:szCs w:val="24"/>
              <w14:ligatures w14:val="standardContextual"/>
            </w:rPr>
          </w:pPr>
          <w:hyperlink w:history="1" w:anchor="_Toc228294733">
            <w:r w:rsidRPr="001E10DF">
              <w:rPr>
                <w:rStyle w:val="Hyperlink"/>
                <w:noProof/>
              </w:rPr>
              <w:t>7.</w:t>
            </w:r>
            <w:r>
              <w:rPr>
                <w:rFonts w:asciiTheme="minorHAnsi" w:hAnsiTheme="minorHAnsi" w:cstheme="minorBidi"/>
                <w:noProof/>
                <w:kern w:val="2"/>
                <w:sz w:val="24"/>
                <w:szCs w:val="24"/>
                <w14:ligatures w14:val="standardContextual"/>
              </w:rPr>
              <w:tab/>
            </w:r>
            <w:r w:rsidRPr="001E10DF">
              <w:rPr>
                <w:rStyle w:val="Hyperlink"/>
                <w:noProof/>
              </w:rPr>
              <w:t>Comments on Proposed Decision</w:t>
            </w:r>
            <w:r>
              <w:rPr>
                <w:noProof/>
                <w:webHidden/>
              </w:rPr>
              <w:tab/>
            </w:r>
            <w:r>
              <w:rPr>
                <w:noProof/>
                <w:webHidden/>
              </w:rPr>
              <w:fldChar w:fldCharType="begin"/>
            </w:r>
            <w:r>
              <w:rPr>
                <w:noProof/>
                <w:webHidden/>
              </w:rPr>
              <w:instrText xml:space="preserve"> PAGEREF _Toc228294733 \h </w:instrText>
            </w:r>
            <w:r>
              <w:rPr>
                <w:noProof/>
                <w:webHidden/>
              </w:rPr>
            </w:r>
            <w:r>
              <w:rPr>
                <w:noProof/>
                <w:webHidden/>
              </w:rPr>
              <w:fldChar w:fldCharType="separate"/>
            </w:r>
            <w:r>
              <w:rPr>
                <w:noProof/>
                <w:webHidden/>
              </w:rPr>
              <w:t>126</w:t>
            </w:r>
            <w:r>
              <w:rPr>
                <w:noProof/>
                <w:webHidden/>
              </w:rPr>
              <w:fldChar w:fldCharType="end"/>
            </w:r>
          </w:hyperlink>
        </w:p>
        <w:p w:rsidR="000901F8" w:rsidRDefault="000901F8" w14:paraId="58D536E5" w14:textId="0D461FA5">
          <w:pPr>
            <w:pStyle w:val="TOC1"/>
            <w:tabs>
              <w:tab w:val="right" w:leader="dot" w:pos="9350"/>
            </w:tabs>
            <w:rPr>
              <w:rFonts w:asciiTheme="minorHAnsi" w:hAnsiTheme="minorHAnsi" w:cstheme="minorBidi"/>
              <w:noProof/>
              <w:kern w:val="2"/>
              <w:sz w:val="24"/>
              <w:szCs w:val="24"/>
              <w14:ligatures w14:val="standardContextual"/>
            </w:rPr>
          </w:pPr>
          <w:hyperlink w:history="1" w:anchor="_Toc228294734">
            <w:r w:rsidRPr="001E10DF">
              <w:rPr>
                <w:rStyle w:val="Hyperlink"/>
                <w:noProof/>
              </w:rPr>
              <w:t>8.</w:t>
            </w:r>
            <w:r>
              <w:rPr>
                <w:rFonts w:asciiTheme="minorHAnsi" w:hAnsiTheme="minorHAnsi" w:cstheme="minorBidi"/>
                <w:noProof/>
                <w:kern w:val="2"/>
                <w:sz w:val="24"/>
                <w:szCs w:val="24"/>
                <w14:ligatures w14:val="standardContextual"/>
              </w:rPr>
              <w:tab/>
            </w:r>
            <w:r w:rsidRPr="001E10DF">
              <w:rPr>
                <w:rStyle w:val="Hyperlink"/>
                <w:noProof/>
              </w:rPr>
              <w:t>Assignment of Proceeding</w:t>
            </w:r>
            <w:r>
              <w:rPr>
                <w:noProof/>
                <w:webHidden/>
              </w:rPr>
              <w:tab/>
            </w:r>
            <w:r>
              <w:rPr>
                <w:noProof/>
                <w:webHidden/>
              </w:rPr>
              <w:fldChar w:fldCharType="begin"/>
            </w:r>
            <w:r>
              <w:rPr>
                <w:noProof/>
                <w:webHidden/>
              </w:rPr>
              <w:instrText xml:space="preserve"> PAGEREF _Toc228294734 \h </w:instrText>
            </w:r>
            <w:r>
              <w:rPr>
                <w:noProof/>
                <w:webHidden/>
              </w:rPr>
            </w:r>
            <w:r>
              <w:rPr>
                <w:noProof/>
                <w:webHidden/>
              </w:rPr>
              <w:fldChar w:fldCharType="separate"/>
            </w:r>
            <w:r>
              <w:rPr>
                <w:noProof/>
                <w:webHidden/>
              </w:rPr>
              <w:t>129</w:t>
            </w:r>
            <w:r>
              <w:rPr>
                <w:noProof/>
                <w:webHidden/>
              </w:rPr>
              <w:fldChar w:fldCharType="end"/>
            </w:r>
          </w:hyperlink>
        </w:p>
        <w:p w:rsidR="000901F8" w:rsidRDefault="000901F8" w14:paraId="06A7C3CA" w14:textId="57E04A06">
          <w:pPr>
            <w:pStyle w:val="TOC1"/>
            <w:tabs>
              <w:tab w:val="right" w:leader="dot" w:pos="9350"/>
            </w:tabs>
            <w:rPr>
              <w:rFonts w:asciiTheme="minorHAnsi" w:hAnsiTheme="minorHAnsi" w:cstheme="minorBidi"/>
              <w:noProof/>
              <w:kern w:val="2"/>
              <w:sz w:val="24"/>
              <w:szCs w:val="24"/>
              <w14:ligatures w14:val="standardContextual"/>
            </w:rPr>
          </w:pPr>
          <w:hyperlink w:history="1" w:anchor="_Toc228294735">
            <w:r w:rsidRPr="001E10DF">
              <w:rPr>
                <w:rStyle w:val="Hyperlink"/>
                <w:noProof/>
              </w:rPr>
              <w:t>Findings of Fact</w:t>
            </w:r>
            <w:r>
              <w:rPr>
                <w:noProof/>
                <w:webHidden/>
              </w:rPr>
              <w:tab/>
            </w:r>
            <w:r>
              <w:rPr>
                <w:noProof/>
                <w:webHidden/>
              </w:rPr>
              <w:fldChar w:fldCharType="begin"/>
            </w:r>
            <w:r>
              <w:rPr>
                <w:noProof/>
                <w:webHidden/>
              </w:rPr>
              <w:instrText xml:space="preserve"> PAGEREF _Toc228294735 \h </w:instrText>
            </w:r>
            <w:r>
              <w:rPr>
                <w:noProof/>
                <w:webHidden/>
              </w:rPr>
            </w:r>
            <w:r>
              <w:rPr>
                <w:noProof/>
                <w:webHidden/>
              </w:rPr>
              <w:fldChar w:fldCharType="separate"/>
            </w:r>
            <w:r>
              <w:rPr>
                <w:noProof/>
                <w:webHidden/>
              </w:rPr>
              <w:t>130</w:t>
            </w:r>
            <w:r>
              <w:rPr>
                <w:noProof/>
                <w:webHidden/>
              </w:rPr>
              <w:fldChar w:fldCharType="end"/>
            </w:r>
          </w:hyperlink>
        </w:p>
        <w:p w:rsidR="000901F8" w:rsidRDefault="000901F8" w14:paraId="6D0ED2A1" w14:textId="487E8680">
          <w:pPr>
            <w:pStyle w:val="TOC1"/>
            <w:tabs>
              <w:tab w:val="right" w:leader="dot" w:pos="9350"/>
            </w:tabs>
            <w:rPr>
              <w:rFonts w:asciiTheme="minorHAnsi" w:hAnsiTheme="minorHAnsi" w:cstheme="minorBidi"/>
              <w:noProof/>
              <w:kern w:val="2"/>
              <w:sz w:val="24"/>
              <w:szCs w:val="24"/>
              <w14:ligatures w14:val="standardContextual"/>
            </w:rPr>
          </w:pPr>
          <w:hyperlink w:history="1" w:anchor="_Toc228294736">
            <w:r w:rsidRPr="001E10DF">
              <w:rPr>
                <w:rStyle w:val="Hyperlink"/>
                <w:noProof/>
              </w:rPr>
              <w:t>Conclusions of Law</w:t>
            </w:r>
            <w:r>
              <w:rPr>
                <w:noProof/>
                <w:webHidden/>
              </w:rPr>
              <w:tab/>
            </w:r>
            <w:r>
              <w:rPr>
                <w:noProof/>
                <w:webHidden/>
              </w:rPr>
              <w:fldChar w:fldCharType="begin"/>
            </w:r>
            <w:r>
              <w:rPr>
                <w:noProof/>
                <w:webHidden/>
              </w:rPr>
              <w:instrText xml:space="preserve"> PAGEREF _Toc228294736 \h </w:instrText>
            </w:r>
            <w:r>
              <w:rPr>
                <w:noProof/>
                <w:webHidden/>
              </w:rPr>
            </w:r>
            <w:r>
              <w:rPr>
                <w:noProof/>
                <w:webHidden/>
              </w:rPr>
              <w:fldChar w:fldCharType="separate"/>
            </w:r>
            <w:r>
              <w:rPr>
                <w:noProof/>
                <w:webHidden/>
              </w:rPr>
              <w:t>138</w:t>
            </w:r>
            <w:r>
              <w:rPr>
                <w:noProof/>
                <w:webHidden/>
              </w:rPr>
              <w:fldChar w:fldCharType="end"/>
            </w:r>
          </w:hyperlink>
        </w:p>
        <w:p w:rsidR="000901F8" w:rsidRDefault="000901F8" w14:paraId="6CB357CE" w14:textId="06B8E7B1">
          <w:pPr>
            <w:pStyle w:val="TOC1"/>
            <w:tabs>
              <w:tab w:val="right" w:leader="dot" w:pos="9350"/>
            </w:tabs>
            <w:rPr>
              <w:rFonts w:asciiTheme="minorHAnsi" w:hAnsiTheme="minorHAnsi" w:cstheme="minorBidi"/>
              <w:noProof/>
              <w:kern w:val="2"/>
              <w:sz w:val="24"/>
              <w:szCs w:val="24"/>
              <w14:ligatures w14:val="standardContextual"/>
            </w:rPr>
          </w:pPr>
          <w:hyperlink w:history="1" w:anchor="_Toc228294737">
            <w:r w:rsidRPr="001E10DF">
              <w:rPr>
                <w:rStyle w:val="Hyperlink"/>
                <w:noProof/>
              </w:rPr>
              <w:t>ORDER</w:t>
            </w:r>
            <w:r>
              <w:rPr>
                <w:noProof/>
                <w:webHidden/>
              </w:rPr>
              <w:tab/>
            </w:r>
            <w:r>
              <w:rPr>
                <w:noProof/>
                <w:webHidden/>
              </w:rPr>
              <w:fldChar w:fldCharType="begin"/>
            </w:r>
            <w:r>
              <w:rPr>
                <w:noProof/>
                <w:webHidden/>
              </w:rPr>
              <w:instrText xml:space="preserve"> PAGEREF _Toc228294737 \h </w:instrText>
            </w:r>
            <w:r>
              <w:rPr>
                <w:noProof/>
                <w:webHidden/>
              </w:rPr>
            </w:r>
            <w:r>
              <w:rPr>
                <w:noProof/>
                <w:webHidden/>
              </w:rPr>
              <w:fldChar w:fldCharType="separate"/>
            </w:r>
            <w:r>
              <w:rPr>
                <w:noProof/>
                <w:webHidden/>
              </w:rPr>
              <w:t>148</w:t>
            </w:r>
            <w:r>
              <w:rPr>
                <w:noProof/>
                <w:webHidden/>
              </w:rPr>
              <w:fldChar w:fldCharType="end"/>
            </w:r>
          </w:hyperlink>
        </w:p>
        <w:p w:rsidR="00084FF1" w:rsidP="00084FF1" w:rsidRDefault="008C7413" w14:paraId="11453046" w14:textId="373C7AA3">
          <w:pPr>
            <w:pStyle w:val="TOC1"/>
            <w:tabs>
              <w:tab w:val="right" w:leader="dot" w:pos="9350"/>
            </w:tabs>
            <w:rPr>
              <w:b/>
              <w:bCs/>
              <w:noProof/>
            </w:rPr>
          </w:pPr>
          <w:r>
            <w:rPr>
              <w:rFonts w:asciiTheme="minorHAnsi" w:hAnsiTheme="minorHAnsi"/>
              <w:sz w:val="22"/>
            </w:rPr>
            <w:fldChar w:fldCharType="end"/>
          </w:r>
        </w:p>
      </w:sdtContent>
    </w:sdt>
    <w:p w:rsidR="00084FF1" w:rsidP="000805F3" w:rsidRDefault="00084FF1" w14:paraId="5A0CA888" w14:textId="77777777">
      <w:pPr>
        <w:spacing w:line="240" w:lineRule="auto"/>
        <w:ind w:firstLine="0"/>
        <w:rPr>
          <w:rFonts w:cs="Arial"/>
          <w:b/>
          <w:szCs w:val="26"/>
          <w:u w:val="single"/>
        </w:rPr>
      </w:pPr>
    </w:p>
    <w:p w:rsidRPr="00A24983" w:rsidR="0098655A" w:rsidP="00647D48" w:rsidRDefault="00546180" w14:paraId="5D42AF48" w14:textId="25E2441D">
      <w:pPr>
        <w:keepNext/>
        <w:tabs>
          <w:tab w:val="left" w:pos="1526"/>
        </w:tabs>
        <w:spacing w:line="240" w:lineRule="auto"/>
        <w:ind w:left="1858" w:hanging="1858"/>
        <w:rPr>
          <w:bCs/>
        </w:rPr>
      </w:pPr>
      <w:r>
        <w:rPr>
          <w:rFonts w:cs="Arial"/>
          <w:bCs/>
          <w:szCs w:val="26"/>
        </w:rPr>
        <w:t>Appendix </w:t>
      </w:r>
      <w:r w:rsidRPr="00A24983" w:rsidR="0098655A">
        <w:rPr>
          <w:bCs/>
        </w:rPr>
        <w:t>A</w:t>
      </w:r>
      <w:r w:rsidRPr="00A24983" w:rsidR="0077680C">
        <w:rPr>
          <w:bCs/>
        </w:rPr>
        <w:tab/>
        <w:t>—</w:t>
      </w:r>
      <w:r w:rsidRPr="00A24983" w:rsidR="0077680C">
        <w:rPr>
          <w:bCs/>
        </w:rPr>
        <w:tab/>
      </w:r>
      <w:r w:rsidRPr="001B66CE" w:rsidR="001B66CE">
        <w:rPr>
          <w:bCs/>
        </w:rPr>
        <w:t>Adopted Revenue Changes, Escalation Rates, Adopted Pensions and Healthcare Benefits, and Subsequent Offsets</w:t>
      </w:r>
    </w:p>
    <w:p w:rsidRPr="00A24983" w:rsidR="00084FF1" w:rsidP="00A24983" w:rsidRDefault="00546180" w14:paraId="1C5E29CB" w14:textId="493F2FFA">
      <w:pPr>
        <w:tabs>
          <w:tab w:val="left" w:pos="1526"/>
        </w:tabs>
        <w:spacing w:line="240" w:lineRule="auto"/>
        <w:ind w:left="1858" w:hanging="1858"/>
        <w:rPr>
          <w:bCs/>
        </w:rPr>
      </w:pPr>
      <w:r>
        <w:rPr>
          <w:bCs/>
        </w:rPr>
        <w:t>Appendix </w:t>
      </w:r>
      <w:r w:rsidRPr="00A24983" w:rsidR="00084FF1">
        <w:rPr>
          <w:bCs/>
        </w:rPr>
        <w:t>B</w:t>
      </w:r>
      <w:r w:rsidRPr="00A24983" w:rsidR="0077680C">
        <w:rPr>
          <w:bCs/>
        </w:rPr>
        <w:tab/>
        <w:t>—</w:t>
      </w:r>
      <w:r w:rsidRPr="00A24983" w:rsidR="0077680C">
        <w:rPr>
          <w:bCs/>
        </w:rPr>
        <w:tab/>
      </w:r>
      <w:r w:rsidRPr="00321ECB" w:rsidR="00084FF1">
        <w:rPr>
          <w:bCs/>
        </w:rPr>
        <w:t>Bakersfield District</w:t>
      </w:r>
    </w:p>
    <w:p w:rsidRPr="00321ECB" w:rsidR="00084FF1" w:rsidP="00A24983" w:rsidRDefault="00546180" w14:paraId="63761441" w14:textId="2B4636F8">
      <w:pPr>
        <w:tabs>
          <w:tab w:val="left" w:pos="1526"/>
        </w:tabs>
        <w:spacing w:line="240" w:lineRule="auto"/>
        <w:ind w:left="1858" w:hanging="1858"/>
        <w:rPr>
          <w:bCs/>
        </w:rPr>
      </w:pPr>
      <w:r>
        <w:rPr>
          <w:bCs/>
        </w:rPr>
        <w:t>Appendix </w:t>
      </w:r>
      <w:r w:rsidRPr="00A24983" w:rsidR="00084FF1">
        <w:rPr>
          <w:bCs/>
        </w:rPr>
        <w:t>C</w:t>
      </w:r>
      <w:r w:rsidRPr="00A24983" w:rsidR="0077680C">
        <w:rPr>
          <w:bCs/>
        </w:rPr>
        <w:tab/>
        <w:t>—</w:t>
      </w:r>
      <w:r w:rsidRPr="00A24983" w:rsidR="0077680C">
        <w:rPr>
          <w:bCs/>
        </w:rPr>
        <w:tab/>
      </w:r>
      <w:r w:rsidRPr="00321ECB" w:rsidR="00084FF1">
        <w:rPr>
          <w:bCs/>
        </w:rPr>
        <w:t>Bay Area Region</w:t>
      </w:r>
    </w:p>
    <w:p w:rsidRPr="00321ECB" w:rsidR="00084FF1" w:rsidP="00A24983" w:rsidRDefault="00546180" w14:paraId="5D409C5D" w14:textId="7EF50BB9">
      <w:pPr>
        <w:tabs>
          <w:tab w:val="left" w:pos="1526"/>
        </w:tabs>
        <w:spacing w:line="240" w:lineRule="auto"/>
        <w:ind w:left="1858" w:hanging="1858"/>
        <w:rPr>
          <w:bCs/>
        </w:rPr>
      </w:pPr>
      <w:r>
        <w:rPr>
          <w:bCs/>
        </w:rPr>
        <w:t>Appendix </w:t>
      </w:r>
      <w:r w:rsidRPr="00321ECB" w:rsidR="00084FF1">
        <w:rPr>
          <w:bCs/>
        </w:rPr>
        <w:t>D</w:t>
      </w:r>
      <w:r w:rsidRPr="00321ECB" w:rsidR="0077680C">
        <w:rPr>
          <w:bCs/>
        </w:rPr>
        <w:tab/>
        <w:t>—</w:t>
      </w:r>
      <w:r w:rsidRPr="00321ECB" w:rsidR="0077680C">
        <w:rPr>
          <w:bCs/>
        </w:rPr>
        <w:tab/>
      </w:r>
      <w:r w:rsidRPr="00321ECB" w:rsidR="00084FF1">
        <w:rPr>
          <w:bCs/>
        </w:rPr>
        <w:t>Bear Gulch District</w:t>
      </w:r>
    </w:p>
    <w:p w:rsidRPr="00321ECB" w:rsidR="00084FF1" w:rsidP="00A24983" w:rsidRDefault="00546180" w14:paraId="202BAC7B" w14:textId="4F4FF7FF">
      <w:pPr>
        <w:tabs>
          <w:tab w:val="left" w:pos="1526"/>
        </w:tabs>
        <w:spacing w:line="240" w:lineRule="auto"/>
        <w:ind w:left="1858" w:hanging="1858"/>
        <w:rPr>
          <w:bCs/>
        </w:rPr>
      </w:pPr>
      <w:r>
        <w:rPr>
          <w:bCs/>
        </w:rPr>
        <w:t>Appendix </w:t>
      </w:r>
      <w:r w:rsidRPr="00321ECB" w:rsidR="00084FF1">
        <w:rPr>
          <w:bCs/>
        </w:rPr>
        <w:t>E</w:t>
      </w:r>
      <w:r w:rsidRPr="00321ECB" w:rsidR="0077680C">
        <w:rPr>
          <w:bCs/>
        </w:rPr>
        <w:tab/>
        <w:t>—</w:t>
      </w:r>
      <w:r w:rsidRPr="00321ECB" w:rsidR="0077680C">
        <w:rPr>
          <w:bCs/>
        </w:rPr>
        <w:tab/>
      </w:r>
      <w:r w:rsidRPr="00321ECB" w:rsidR="00084FF1">
        <w:rPr>
          <w:bCs/>
        </w:rPr>
        <w:t>Diablo Ranch Region</w:t>
      </w:r>
    </w:p>
    <w:p w:rsidRPr="00321ECB" w:rsidR="00084FF1" w:rsidP="00A24983" w:rsidRDefault="00546180" w14:paraId="4684AB59" w14:textId="7E00D307">
      <w:pPr>
        <w:tabs>
          <w:tab w:val="left" w:pos="1526"/>
        </w:tabs>
        <w:spacing w:line="240" w:lineRule="auto"/>
        <w:ind w:left="1858" w:hanging="1858"/>
        <w:rPr>
          <w:bCs/>
        </w:rPr>
      </w:pPr>
      <w:r>
        <w:rPr>
          <w:bCs/>
        </w:rPr>
        <w:t>Appendix </w:t>
      </w:r>
      <w:r w:rsidRPr="00321ECB" w:rsidR="00084FF1">
        <w:rPr>
          <w:bCs/>
        </w:rPr>
        <w:t>F</w:t>
      </w:r>
      <w:r w:rsidRPr="00321ECB" w:rsidR="0077680C">
        <w:rPr>
          <w:bCs/>
        </w:rPr>
        <w:tab/>
        <w:t>—</w:t>
      </w:r>
      <w:r w:rsidRPr="00321ECB" w:rsidR="0077680C">
        <w:rPr>
          <w:bCs/>
        </w:rPr>
        <w:tab/>
      </w:r>
      <w:r w:rsidRPr="00321ECB" w:rsidR="00084FF1">
        <w:rPr>
          <w:bCs/>
        </w:rPr>
        <w:t xml:space="preserve">East </w:t>
      </w:r>
      <w:r w:rsidR="004941FE">
        <w:rPr>
          <w:bCs/>
        </w:rPr>
        <w:t>Los </w:t>
      </w:r>
      <w:r w:rsidRPr="00321ECB" w:rsidR="00084FF1">
        <w:rPr>
          <w:bCs/>
        </w:rPr>
        <w:t>Angeles District</w:t>
      </w:r>
    </w:p>
    <w:p w:rsidRPr="00321ECB" w:rsidR="00084FF1" w:rsidP="00A24983" w:rsidRDefault="00546180" w14:paraId="6AAE45CE" w14:textId="3D290AAE">
      <w:pPr>
        <w:tabs>
          <w:tab w:val="left" w:pos="1526"/>
        </w:tabs>
        <w:spacing w:line="240" w:lineRule="auto"/>
        <w:ind w:left="1858" w:hanging="1858"/>
        <w:rPr>
          <w:bCs/>
        </w:rPr>
      </w:pPr>
      <w:r>
        <w:rPr>
          <w:bCs/>
        </w:rPr>
        <w:t>Appendix </w:t>
      </w:r>
      <w:r w:rsidRPr="00321ECB" w:rsidR="00084FF1">
        <w:rPr>
          <w:bCs/>
        </w:rPr>
        <w:t>G</w:t>
      </w:r>
      <w:r w:rsidRPr="00321ECB" w:rsidR="0077680C">
        <w:rPr>
          <w:bCs/>
        </w:rPr>
        <w:tab/>
        <w:t>—</w:t>
      </w:r>
      <w:r w:rsidRPr="00321ECB" w:rsidR="0077680C">
        <w:rPr>
          <w:bCs/>
        </w:rPr>
        <w:tab/>
      </w:r>
      <w:r w:rsidRPr="00321ECB" w:rsidR="00084FF1">
        <w:rPr>
          <w:bCs/>
        </w:rPr>
        <w:t>Kern River Valley District</w:t>
      </w:r>
    </w:p>
    <w:p w:rsidRPr="00321ECB" w:rsidR="00084FF1" w:rsidP="00A24983" w:rsidRDefault="00546180" w14:paraId="3AB8CCD3" w14:textId="7BAF412F">
      <w:pPr>
        <w:tabs>
          <w:tab w:val="left" w:pos="1526"/>
        </w:tabs>
        <w:spacing w:line="240" w:lineRule="auto"/>
        <w:ind w:left="1858" w:hanging="1858"/>
        <w:rPr>
          <w:bCs/>
        </w:rPr>
      </w:pPr>
      <w:r>
        <w:rPr>
          <w:bCs/>
        </w:rPr>
        <w:t>Appendix </w:t>
      </w:r>
      <w:r w:rsidRPr="00321ECB" w:rsidR="00084FF1">
        <w:rPr>
          <w:bCs/>
        </w:rPr>
        <w:t>H</w:t>
      </w:r>
      <w:r w:rsidRPr="00321ECB" w:rsidR="0077680C">
        <w:rPr>
          <w:bCs/>
        </w:rPr>
        <w:tab/>
        <w:t>—</w:t>
      </w:r>
      <w:r w:rsidRPr="00321ECB" w:rsidR="0077680C">
        <w:rPr>
          <w:bCs/>
        </w:rPr>
        <w:tab/>
      </w:r>
      <w:r w:rsidR="004941FE">
        <w:rPr>
          <w:bCs/>
        </w:rPr>
        <w:t>Los </w:t>
      </w:r>
      <w:r w:rsidRPr="00321ECB" w:rsidR="00084FF1">
        <w:rPr>
          <w:bCs/>
        </w:rPr>
        <w:t>Altos District</w:t>
      </w:r>
    </w:p>
    <w:p w:rsidRPr="00321ECB" w:rsidR="00084FF1" w:rsidP="00A24983" w:rsidRDefault="00546180" w14:paraId="5E967E16" w14:textId="67CF7D91">
      <w:pPr>
        <w:tabs>
          <w:tab w:val="left" w:pos="1526"/>
        </w:tabs>
        <w:spacing w:line="240" w:lineRule="auto"/>
        <w:ind w:left="1858" w:hanging="1858"/>
        <w:rPr>
          <w:bCs/>
        </w:rPr>
      </w:pPr>
      <w:r>
        <w:rPr>
          <w:bCs/>
        </w:rPr>
        <w:t>Appendix </w:t>
      </w:r>
      <w:r w:rsidRPr="00321ECB" w:rsidR="00084FF1">
        <w:rPr>
          <w:bCs/>
        </w:rPr>
        <w:t>I</w:t>
      </w:r>
      <w:r w:rsidRPr="00321ECB" w:rsidR="0077680C">
        <w:rPr>
          <w:bCs/>
        </w:rPr>
        <w:tab/>
        <w:t>—</w:t>
      </w:r>
      <w:r w:rsidRPr="00321ECB" w:rsidR="0077680C">
        <w:rPr>
          <w:bCs/>
        </w:rPr>
        <w:tab/>
      </w:r>
      <w:r w:rsidR="004941FE">
        <w:rPr>
          <w:bCs/>
        </w:rPr>
        <w:t>Los </w:t>
      </w:r>
      <w:r w:rsidRPr="00321ECB" w:rsidR="00084FF1">
        <w:rPr>
          <w:bCs/>
        </w:rPr>
        <w:t>Angeles County Region</w:t>
      </w:r>
    </w:p>
    <w:p w:rsidRPr="00321ECB" w:rsidR="00084FF1" w:rsidP="00A24983" w:rsidRDefault="00546180" w14:paraId="4E6FFE1D" w14:textId="16B3961E">
      <w:pPr>
        <w:tabs>
          <w:tab w:val="left" w:pos="1526"/>
        </w:tabs>
        <w:spacing w:line="240" w:lineRule="auto"/>
        <w:ind w:left="1858" w:hanging="1858"/>
        <w:rPr>
          <w:bCs/>
        </w:rPr>
      </w:pPr>
      <w:r>
        <w:rPr>
          <w:bCs/>
        </w:rPr>
        <w:t>Appendix </w:t>
      </w:r>
      <w:r w:rsidRPr="00321ECB" w:rsidR="00084FF1">
        <w:rPr>
          <w:bCs/>
        </w:rPr>
        <w:t>J</w:t>
      </w:r>
      <w:r w:rsidRPr="00321ECB" w:rsidR="0077680C">
        <w:rPr>
          <w:bCs/>
        </w:rPr>
        <w:tab/>
        <w:t>—</w:t>
      </w:r>
      <w:r w:rsidRPr="00321ECB" w:rsidR="0077680C">
        <w:rPr>
          <w:bCs/>
        </w:rPr>
        <w:tab/>
      </w:r>
      <w:r w:rsidRPr="00321ECB" w:rsidR="00084FF1">
        <w:rPr>
          <w:bCs/>
        </w:rPr>
        <w:t>Marysville District</w:t>
      </w:r>
    </w:p>
    <w:p w:rsidRPr="00321ECB" w:rsidR="00084FF1" w:rsidP="00A24983" w:rsidRDefault="00546180" w14:paraId="12B89F1D" w14:textId="531766EE">
      <w:pPr>
        <w:tabs>
          <w:tab w:val="left" w:pos="1526"/>
        </w:tabs>
        <w:spacing w:line="240" w:lineRule="auto"/>
        <w:ind w:left="1858" w:hanging="1858"/>
        <w:rPr>
          <w:bCs/>
        </w:rPr>
      </w:pPr>
      <w:r>
        <w:rPr>
          <w:bCs/>
        </w:rPr>
        <w:t>Appendix </w:t>
      </w:r>
      <w:r w:rsidRPr="00321ECB" w:rsidR="00084FF1">
        <w:rPr>
          <w:bCs/>
        </w:rPr>
        <w:t>K</w:t>
      </w:r>
      <w:r w:rsidRPr="00321ECB" w:rsidR="0077680C">
        <w:rPr>
          <w:bCs/>
        </w:rPr>
        <w:tab/>
        <w:t>—</w:t>
      </w:r>
      <w:r w:rsidRPr="00321ECB" w:rsidR="0077680C">
        <w:rPr>
          <w:bCs/>
        </w:rPr>
        <w:tab/>
      </w:r>
      <w:r w:rsidRPr="00321ECB" w:rsidR="00084FF1">
        <w:rPr>
          <w:bCs/>
        </w:rPr>
        <w:t>North Valley Region</w:t>
      </w:r>
    </w:p>
    <w:p w:rsidRPr="00321ECB" w:rsidR="00084FF1" w:rsidP="00A24983" w:rsidRDefault="00546180" w14:paraId="4FBCDC33" w14:textId="4F3982E9">
      <w:pPr>
        <w:tabs>
          <w:tab w:val="left" w:pos="1526"/>
        </w:tabs>
        <w:spacing w:line="240" w:lineRule="auto"/>
        <w:ind w:left="1858" w:hanging="1858"/>
        <w:rPr>
          <w:bCs/>
        </w:rPr>
      </w:pPr>
      <w:r>
        <w:rPr>
          <w:bCs/>
        </w:rPr>
        <w:t>Appendix </w:t>
      </w:r>
      <w:r w:rsidRPr="00321ECB" w:rsidR="00084FF1">
        <w:rPr>
          <w:bCs/>
        </w:rPr>
        <w:t>L</w:t>
      </w:r>
      <w:r w:rsidRPr="00321ECB" w:rsidR="0077680C">
        <w:rPr>
          <w:bCs/>
        </w:rPr>
        <w:tab/>
        <w:t>—</w:t>
      </w:r>
      <w:r w:rsidRPr="00321ECB" w:rsidR="0077680C">
        <w:rPr>
          <w:bCs/>
        </w:rPr>
        <w:tab/>
      </w:r>
      <w:r w:rsidRPr="00321ECB" w:rsidR="00084FF1">
        <w:rPr>
          <w:bCs/>
        </w:rPr>
        <w:t>Palos Verdes Pipeline</w:t>
      </w:r>
    </w:p>
    <w:p w:rsidRPr="00321ECB" w:rsidR="00084FF1" w:rsidP="00A24983" w:rsidRDefault="00546180" w14:paraId="1B586101" w14:textId="3BDA93E4">
      <w:pPr>
        <w:tabs>
          <w:tab w:val="left" w:pos="1526"/>
        </w:tabs>
        <w:spacing w:line="240" w:lineRule="auto"/>
        <w:ind w:left="1858" w:hanging="1858"/>
        <w:rPr>
          <w:bCs/>
        </w:rPr>
      </w:pPr>
      <w:r>
        <w:rPr>
          <w:bCs/>
        </w:rPr>
        <w:t>Appendix </w:t>
      </w:r>
      <w:r w:rsidRPr="00321ECB" w:rsidR="00084FF1">
        <w:rPr>
          <w:bCs/>
        </w:rPr>
        <w:t>M</w:t>
      </w:r>
      <w:r w:rsidRPr="00321ECB" w:rsidR="0077680C">
        <w:rPr>
          <w:bCs/>
        </w:rPr>
        <w:tab/>
        <w:t>—</w:t>
      </w:r>
      <w:r w:rsidRPr="00321ECB" w:rsidR="0077680C">
        <w:rPr>
          <w:bCs/>
        </w:rPr>
        <w:tab/>
      </w:r>
      <w:r w:rsidRPr="00321ECB" w:rsidR="00084FF1">
        <w:rPr>
          <w:bCs/>
        </w:rPr>
        <w:t>Salinas Valley Region</w:t>
      </w:r>
    </w:p>
    <w:p w:rsidRPr="00321ECB" w:rsidR="00084FF1" w:rsidP="00A24983" w:rsidRDefault="00546180" w14:paraId="288E19FD" w14:textId="7C53FAB1">
      <w:pPr>
        <w:tabs>
          <w:tab w:val="left" w:pos="1526"/>
        </w:tabs>
        <w:spacing w:line="240" w:lineRule="auto"/>
        <w:ind w:left="1858" w:hanging="1858"/>
        <w:rPr>
          <w:bCs/>
        </w:rPr>
      </w:pPr>
      <w:r>
        <w:rPr>
          <w:bCs/>
        </w:rPr>
        <w:t>Appendix </w:t>
      </w:r>
      <w:r w:rsidRPr="00321ECB" w:rsidR="00084FF1">
        <w:rPr>
          <w:bCs/>
        </w:rPr>
        <w:t>N</w:t>
      </w:r>
      <w:r w:rsidRPr="00321ECB" w:rsidR="0077680C">
        <w:rPr>
          <w:bCs/>
        </w:rPr>
        <w:tab/>
        <w:t>—</w:t>
      </w:r>
      <w:r w:rsidRPr="00321ECB" w:rsidR="0077680C">
        <w:rPr>
          <w:bCs/>
        </w:rPr>
        <w:tab/>
      </w:r>
      <w:r w:rsidRPr="00321ECB" w:rsidR="00084FF1">
        <w:rPr>
          <w:bCs/>
        </w:rPr>
        <w:t>Selma District</w:t>
      </w:r>
    </w:p>
    <w:p w:rsidRPr="00321ECB" w:rsidR="00084FF1" w:rsidP="00A24983" w:rsidRDefault="00546180" w14:paraId="6E87C258" w14:textId="78B06C51">
      <w:pPr>
        <w:tabs>
          <w:tab w:val="left" w:pos="1526"/>
        </w:tabs>
        <w:spacing w:line="240" w:lineRule="auto"/>
        <w:ind w:left="1858" w:hanging="1858"/>
        <w:rPr>
          <w:bCs/>
        </w:rPr>
      </w:pPr>
      <w:r>
        <w:rPr>
          <w:bCs/>
        </w:rPr>
        <w:t>Appendix </w:t>
      </w:r>
      <w:r w:rsidRPr="00321ECB" w:rsidR="00084FF1">
        <w:rPr>
          <w:bCs/>
        </w:rPr>
        <w:t>O</w:t>
      </w:r>
      <w:r w:rsidRPr="00321ECB" w:rsidR="0077680C">
        <w:rPr>
          <w:bCs/>
        </w:rPr>
        <w:tab/>
        <w:t>—</w:t>
      </w:r>
      <w:r w:rsidRPr="00321ECB" w:rsidR="0077680C">
        <w:rPr>
          <w:bCs/>
        </w:rPr>
        <w:tab/>
      </w:r>
      <w:r w:rsidRPr="00321ECB" w:rsidR="00084FF1">
        <w:rPr>
          <w:bCs/>
        </w:rPr>
        <w:t>South Bay Region</w:t>
      </w:r>
    </w:p>
    <w:p w:rsidRPr="00321ECB" w:rsidR="00084FF1" w:rsidP="00A24983" w:rsidRDefault="00546180" w14:paraId="7FE8B361" w14:textId="422CF284">
      <w:pPr>
        <w:tabs>
          <w:tab w:val="left" w:pos="1526"/>
        </w:tabs>
        <w:spacing w:line="240" w:lineRule="auto"/>
        <w:ind w:left="1858" w:hanging="1858"/>
        <w:rPr>
          <w:bCs/>
        </w:rPr>
      </w:pPr>
      <w:r>
        <w:rPr>
          <w:bCs/>
        </w:rPr>
        <w:t>Appendix </w:t>
      </w:r>
      <w:r w:rsidRPr="00321ECB" w:rsidR="00084FF1">
        <w:rPr>
          <w:bCs/>
        </w:rPr>
        <w:t>P</w:t>
      </w:r>
      <w:r w:rsidRPr="00321ECB" w:rsidR="0077680C">
        <w:rPr>
          <w:bCs/>
        </w:rPr>
        <w:tab/>
        <w:t>—</w:t>
      </w:r>
      <w:r w:rsidRPr="00321ECB" w:rsidR="0077680C">
        <w:rPr>
          <w:bCs/>
        </w:rPr>
        <w:tab/>
      </w:r>
      <w:r w:rsidRPr="00321ECB" w:rsidR="00084FF1">
        <w:rPr>
          <w:bCs/>
        </w:rPr>
        <w:t>Stockton Region</w:t>
      </w:r>
    </w:p>
    <w:p w:rsidRPr="00321ECB" w:rsidR="00084FF1" w:rsidP="00A24983" w:rsidRDefault="00546180" w14:paraId="1D369E28" w14:textId="0204C3B9">
      <w:pPr>
        <w:tabs>
          <w:tab w:val="left" w:pos="1526"/>
        </w:tabs>
        <w:spacing w:line="240" w:lineRule="auto"/>
        <w:ind w:left="1858" w:hanging="1858"/>
        <w:rPr>
          <w:bCs/>
        </w:rPr>
      </w:pPr>
      <w:r>
        <w:rPr>
          <w:bCs/>
        </w:rPr>
        <w:t>Appendix </w:t>
      </w:r>
      <w:r w:rsidRPr="00321ECB" w:rsidR="00084FF1">
        <w:rPr>
          <w:bCs/>
        </w:rPr>
        <w:t>Q</w:t>
      </w:r>
      <w:r w:rsidRPr="00321ECB" w:rsidR="0077680C">
        <w:rPr>
          <w:bCs/>
        </w:rPr>
        <w:tab/>
        <w:t>—</w:t>
      </w:r>
      <w:r w:rsidRPr="00321ECB" w:rsidR="0077680C">
        <w:rPr>
          <w:bCs/>
        </w:rPr>
        <w:tab/>
      </w:r>
      <w:r w:rsidRPr="00321ECB" w:rsidR="00084FF1">
        <w:rPr>
          <w:bCs/>
        </w:rPr>
        <w:t>Travis District</w:t>
      </w:r>
    </w:p>
    <w:p w:rsidRPr="00321ECB" w:rsidR="00084FF1" w:rsidP="00A24983" w:rsidRDefault="00546180" w14:paraId="535E1934" w14:textId="0C87654D">
      <w:pPr>
        <w:tabs>
          <w:tab w:val="left" w:pos="1526"/>
        </w:tabs>
        <w:spacing w:line="240" w:lineRule="auto"/>
        <w:ind w:left="1858" w:hanging="1858"/>
        <w:rPr>
          <w:bCs/>
        </w:rPr>
      </w:pPr>
      <w:r>
        <w:rPr>
          <w:bCs/>
        </w:rPr>
        <w:t>Appendix </w:t>
      </w:r>
      <w:r w:rsidRPr="00321ECB" w:rsidR="00084FF1">
        <w:rPr>
          <w:bCs/>
        </w:rPr>
        <w:t>R</w:t>
      </w:r>
      <w:r w:rsidRPr="00321ECB" w:rsidR="0077680C">
        <w:rPr>
          <w:bCs/>
        </w:rPr>
        <w:tab/>
        <w:t>—</w:t>
      </w:r>
      <w:r w:rsidRPr="00321ECB" w:rsidR="0077680C">
        <w:rPr>
          <w:bCs/>
        </w:rPr>
        <w:tab/>
      </w:r>
      <w:r w:rsidRPr="00321ECB" w:rsidR="00084FF1">
        <w:rPr>
          <w:bCs/>
        </w:rPr>
        <w:t>Visalia District</w:t>
      </w:r>
    </w:p>
    <w:p w:rsidR="00084FF1" w:rsidP="006F07F5" w:rsidRDefault="00546180" w14:paraId="5BF9D454" w14:textId="311E7B62">
      <w:pPr>
        <w:tabs>
          <w:tab w:val="left" w:pos="1526"/>
        </w:tabs>
        <w:spacing w:line="240" w:lineRule="auto"/>
        <w:ind w:left="1858" w:hanging="1858"/>
        <w:rPr>
          <w:bCs/>
        </w:rPr>
      </w:pPr>
      <w:r>
        <w:rPr>
          <w:bCs/>
        </w:rPr>
        <w:t>Appendix </w:t>
      </w:r>
      <w:r w:rsidRPr="00321ECB" w:rsidR="00084FF1">
        <w:rPr>
          <w:bCs/>
        </w:rPr>
        <w:t>S</w:t>
      </w:r>
      <w:r w:rsidRPr="00321ECB" w:rsidR="0077680C">
        <w:rPr>
          <w:bCs/>
        </w:rPr>
        <w:tab/>
        <w:t>—</w:t>
      </w:r>
      <w:r w:rsidRPr="00321ECB" w:rsidR="0077680C">
        <w:rPr>
          <w:bCs/>
        </w:rPr>
        <w:tab/>
      </w:r>
      <w:r w:rsidRPr="00321ECB" w:rsidR="00084FF1">
        <w:rPr>
          <w:bCs/>
        </w:rPr>
        <w:t>Westlake District</w:t>
      </w:r>
    </w:p>
    <w:p w:rsidRPr="00321ECB" w:rsidR="00CE758C" w:rsidP="006F07F5" w:rsidRDefault="00CE758C" w14:paraId="4F760F31" w14:textId="1DD1FBDA">
      <w:pPr>
        <w:tabs>
          <w:tab w:val="left" w:pos="1526"/>
        </w:tabs>
        <w:spacing w:line="240" w:lineRule="auto"/>
        <w:ind w:left="1858" w:hanging="1858"/>
        <w:rPr>
          <w:bCs/>
        </w:rPr>
      </w:pPr>
      <w:r>
        <w:rPr>
          <w:bCs/>
        </w:rPr>
        <w:t>Appendix</w:t>
      </w:r>
      <w:r w:rsidR="00546180">
        <w:rPr>
          <w:bCs/>
        </w:rPr>
        <w:t> </w:t>
      </w:r>
      <w:r>
        <w:rPr>
          <w:bCs/>
        </w:rPr>
        <w:t>T</w:t>
      </w:r>
      <w:r w:rsidRPr="00321ECB">
        <w:rPr>
          <w:bCs/>
        </w:rPr>
        <w:tab/>
        <w:t>—</w:t>
      </w:r>
      <w:r w:rsidRPr="00321ECB">
        <w:rPr>
          <w:bCs/>
        </w:rPr>
        <w:tab/>
      </w:r>
      <w:r>
        <w:rPr>
          <w:bCs/>
        </w:rPr>
        <w:t>Willows District</w:t>
      </w:r>
    </w:p>
    <w:p w:rsidR="00084FF1" w:rsidP="006E5FDA" w:rsidRDefault="00546180" w14:paraId="1A537EB3" w14:textId="745BDA02">
      <w:pPr>
        <w:tabs>
          <w:tab w:val="left" w:pos="1526"/>
        </w:tabs>
        <w:spacing w:line="240" w:lineRule="auto"/>
        <w:ind w:left="1858" w:hanging="1858"/>
        <w:rPr>
          <w:bCs/>
        </w:rPr>
      </w:pPr>
      <w:r>
        <w:rPr>
          <w:bCs/>
        </w:rPr>
        <w:t>Appendix </w:t>
      </w:r>
      <w:r w:rsidR="00CE758C">
        <w:rPr>
          <w:bCs/>
        </w:rPr>
        <w:t>U</w:t>
      </w:r>
      <w:r w:rsidRPr="00321ECB" w:rsidR="0077680C">
        <w:rPr>
          <w:bCs/>
        </w:rPr>
        <w:tab/>
        <w:t>—</w:t>
      </w:r>
      <w:r w:rsidRPr="00A24983" w:rsidR="0077680C">
        <w:rPr>
          <w:bCs/>
        </w:rPr>
        <w:tab/>
      </w:r>
      <w:r w:rsidR="001947C4">
        <w:rPr>
          <w:bCs/>
        </w:rPr>
        <w:t>Customer Support Services</w:t>
      </w:r>
    </w:p>
    <w:p w:rsidR="006E5FDA" w:rsidP="006E5FDA" w:rsidRDefault="006E5FDA" w14:paraId="6D9CE85B" w14:textId="020056A3">
      <w:pPr>
        <w:tabs>
          <w:tab w:val="left" w:pos="1526"/>
        </w:tabs>
        <w:spacing w:line="240" w:lineRule="auto"/>
        <w:ind w:left="1858" w:hanging="1858"/>
        <w:rPr>
          <w:bCs/>
        </w:rPr>
      </w:pPr>
      <w:r>
        <w:rPr>
          <w:bCs/>
        </w:rPr>
        <w:t>Appendix V</w:t>
      </w:r>
      <w:r w:rsidRPr="00321ECB" w:rsidR="005F73F0">
        <w:rPr>
          <w:bCs/>
        </w:rPr>
        <w:tab/>
        <w:t>—</w:t>
      </w:r>
      <w:r w:rsidRPr="00A24983" w:rsidR="005F73F0">
        <w:rPr>
          <w:bCs/>
        </w:rPr>
        <w:tab/>
      </w:r>
      <w:r w:rsidR="005F73F0">
        <w:rPr>
          <w:bCs/>
        </w:rPr>
        <w:t xml:space="preserve">Depreciation </w:t>
      </w:r>
      <w:r w:rsidR="001947C4">
        <w:rPr>
          <w:bCs/>
        </w:rPr>
        <w:t>Tables</w:t>
      </w:r>
    </w:p>
    <w:p w:rsidR="006E5FDA" w:rsidRDefault="006E5FDA" w14:paraId="69C345B5" w14:textId="7DFA3E8D">
      <w:pPr>
        <w:tabs>
          <w:tab w:val="left" w:pos="1526"/>
        </w:tabs>
        <w:spacing w:line="240" w:lineRule="auto"/>
        <w:ind w:left="1858" w:hanging="1858"/>
        <w:rPr>
          <w:bCs/>
        </w:rPr>
      </w:pPr>
      <w:r>
        <w:rPr>
          <w:bCs/>
        </w:rPr>
        <w:t>Appendix</w:t>
      </w:r>
      <w:r w:rsidR="000C23E5">
        <w:rPr>
          <w:bCs/>
        </w:rPr>
        <w:t xml:space="preserve"> W</w:t>
      </w:r>
      <w:r w:rsidRPr="00321ECB" w:rsidR="005F73F0">
        <w:rPr>
          <w:bCs/>
        </w:rPr>
        <w:tab/>
        <w:t>—</w:t>
      </w:r>
      <w:r w:rsidRPr="00A24983" w:rsidR="005F73F0">
        <w:rPr>
          <w:bCs/>
        </w:rPr>
        <w:tab/>
      </w:r>
      <w:r w:rsidR="00FC7EF4">
        <w:rPr>
          <w:bCs/>
        </w:rPr>
        <w:t>Plant</w:t>
      </w:r>
      <w:r w:rsidR="00416F54">
        <w:rPr>
          <w:bCs/>
        </w:rPr>
        <w:t xml:space="preserve"> Tables</w:t>
      </w:r>
    </w:p>
    <w:p w:rsidR="001947C4" w:rsidP="006F07F5" w:rsidRDefault="001947C4" w14:paraId="36EA55AC" w14:textId="07A46B24">
      <w:pPr>
        <w:keepNext/>
        <w:tabs>
          <w:tab w:val="left" w:pos="1526"/>
        </w:tabs>
        <w:spacing w:line="240" w:lineRule="auto"/>
        <w:ind w:left="1858" w:hanging="1858"/>
        <w:rPr>
          <w:bCs/>
        </w:rPr>
      </w:pPr>
      <w:r>
        <w:rPr>
          <w:bCs/>
        </w:rPr>
        <w:t>Appendix X</w:t>
      </w:r>
      <w:r w:rsidRPr="00321ECB">
        <w:rPr>
          <w:bCs/>
        </w:rPr>
        <w:tab/>
        <w:t>—</w:t>
      </w:r>
      <w:r w:rsidRPr="00A24983">
        <w:rPr>
          <w:bCs/>
        </w:rPr>
        <w:tab/>
      </w:r>
      <w:r>
        <w:rPr>
          <w:bCs/>
        </w:rPr>
        <w:t xml:space="preserve">Average Bill Impacts </w:t>
      </w:r>
    </w:p>
    <w:p w:rsidR="006E5FDA" w:rsidP="006F07F5" w:rsidRDefault="00DE1296" w14:paraId="7121167D" w14:textId="03217CA5">
      <w:pPr>
        <w:tabs>
          <w:tab w:val="left" w:pos="1526"/>
        </w:tabs>
        <w:spacing w:after="480" w:line="240" w:lineRule="auto"/>
        <w:ind w:left="1858" w:hanging="1858"/>
      </w:pPr>
      <w:r>
        <w:rPr>
          <w:bCs/>
        </w:rPr>
        <w:t xml:space="preserve">Appendix </w:t>
      </w:r>
      <w:r w:rsidR="001947C4">
        <w:rPr>
          <w:bCs/>
        </w:rPr>
        <w:t>Y</w:t>
      </w:r>
      <w:r w:rsidRPr="00321ECB">
        <w:rPr>
          <w:bCs/>
        </w:rPr>
        <w:tab/>
        <w:t>—</w:t>
      </w:r>
      <w:r w:rsidRPr="00A24983">
        <w:rPr>
          <w:bCs/>
        </w:rPr>
        <w:tab/>
      </w:r>
      <w:r>
        <w:rPr>
          <w:bCs/>
        </w:rPr>
        <w:t>Partial Settlement Agreement</w:t>
      </w:r>
    </w:p>
    <w:p w:rsidR="00D26DBF" w:rsidP="00647D48" w:rsidRDefault="009702C9" w14:paraId="65ACDBA8" w14:textId="7308CF86">
      <w:pPr>
        <w:keepNext/>
        <w:spacing w:line="240" w:lineRule="auto"/>
        <w:ind w:firstLine="0"/>
        <w:jc w:val="center"/>
        <w:rPr>
          <w:b/>
          <w:bCs/>
          <w:u w:val="single"/>
        </w:rPr>
      </w:pPr>
      <w:r>
        <w:rPr>
          <w:b/>
          <w:bCs/>
          <w:u w:val="single"/>
        </w:rPr>
        <w:lastRenderedPageBreak/>
        <w:t xml:space="preserve">Partial </w:t>
      </w:r>
      <w:r w:rsidRPr="009702C9">
        <w:rPr>
          <w:b/>
          <w:bCs/>
          <w:u w:val="single"/>
        </w:rPr>
        <w:t>List of Abbreviations</w:t>
      </w:r>
    </w:p>
    <w:p w:rsidRPr="00595087" w:rsidR="009702C9" w:rsidP="00647D48" w:rsidRDefault="00D26DBF" w14:paraId="5DC3E27C" w14:textId="64B8268C">
      <w:pPr>
        <w:keepNext/>
        <w:spacing w:after="240" w:line="240" w:lineRule="auto"/>
        <w:ind w:firstLine="0"/>
        <w:jc w:val="center"/>
      </w:pPr>
      <w:r w:rsidRPr="00595087">
        <w:t>(in alphabetical order)</w:t>
      </w:r>
    </w:p>
    <w:p w:rsidR="00CE0158" w:rsidP="00647D48" w:rsidRDefault="00902810" w14:paraId="08311AA4" w14:textId="77777777">
      <w:pPr>
        <w:keepNext/>
        <w:tabs>
          <w:tab w:val="left" w:pos="1440"/>
        </w:tabs>
        <w:spacing w:line="240" w:lineRule="auto"/>
        <w:ind w:firstLine="0"/>
        <w:rPr>
          <w:szCs w:val="26"/>
        </w:rPr>
      </w:pPr>
      <w:r w:rsidRPr="003E665C">
        <w:rPr>
          <w:szCs w:val="26"/>
        </w:rPr>
        <w:t>A&amp;G</w:t>
      </w:r>
      <w:r>
        <w:rPr>
          <w:szCs w:val="26"/>
        </w:rPr>
        <w:tab/>
      </w:r>
      <w:r w:rsidRPr="003E665C">
        <w:rPr>
          <w:szCs w:val="26"/>
        </w:rPr>
        <w:t>Administrative and General</w:t>
      </w:r>
    </w:p>
    <w:p w:rsidR="00CE0158" w:rsidP="003C3665" w:rsidRDefault="00902810" w14:paraId="13F1AAA0" w14:textId="77777777">
      <w:pPr>
        <w:tabs>
          <w:tab w:val="left" w:pos="1440"/>
        </w:tabs>
        <w:spacing w:line="240" w:lineRule="auto"/>
        <w:ind w:firstLine="0"/>
        <w:rPr>
          <w:bCs/>
          <w:szCs w:val="26"/>
        </w:rPr>
      </w:pPr>
      <w:r w:rsidRPr="003E665C">
        <w:rPr>
          <w:bCs/>
          <w:szCs w:val="26"/>
        </w:rPr>
        <w:t>AMI</w:t>
      </w:r>
      <w:r w:rsidR="00A24DA5">
        <w:rPr>
          <w:bCs/>
          <w:szCs w:val="26"/>
        </w:rPr>
        <w:tab/>
      </w:r>
      <w:r w:rsidRPr="003E665C">
        <w:rPr>
          <w:bCs/>
          <w:szCs w:val="26"/>
        </w:rPr>
        <w:t>Advanced Metering Infrastructure</w:t>
      </w:r>
    </w:p>
    <w:p w:rsidR="005110C7" w:rsidP="003C3665" w:rsidRDefault="00902810" w14:paraId="0DB6CBF6" w14:textId="5ED7B2C2">
      <w:pPr>
        <w:tabs>
          <w:tab w:val="left" w:pos="1440"/>
        </w:tabs>
        <w:spacing w:line="240" w:lineRule="auto"/>
        <w:ind w:firstLine="0"/>
        <w:rPr>
          <w:bCs/>
          <w:szCs w:val="26"/>
        </w:rPr>
      </w:pPr>
      <w:r w:rsidRPr="003C3665">
        <w:rPr>
          <w:bCs/>
          <w:szCs w:val="26"/>
        </w:rPr>
        <w:t>ADR</w:t>
      </w:r>
      <w:r w:rsidR="003C3665">
        <w:rPr>
          <w:bCs/>
          <w:szCs w:val="26"/>
        </w:rPr>
        <w:tab/>
      </w:r>
      <w:r w:rsidRPr="003C3665">
        <w:rPr>
          <w:bCs/>
          <w:szCs w:val="26"/>
        </w:rPr>
        <w:t>Alternative Dispute Resolution</w:t>
      </w:r>
    </w:p>
    <w:p w:rsidR="00CE0158" w:rsidP="003C3665" w:rsidRDefault="00902810" w14:paraId="527677D7" w14:textId="77777777">
      <w:pPr>
        <w:tabs>
          <w:tab w:val="left" w:pos="1440"/>
        </w:tabs>
        <w:spacing w:line="240" w:lineRule="auto"/>
        <w:ind w:firstLine="0"/>
        <w:rPr>
          <w:bCs/>
          <w:szCs w:val="26"/>
        </w:rPr>
      </w:pPr>
      <w:r w:rsidRPr="003C3665">
        <w:rPr>
          <w:bCs/>
          <w:szCs w:val="26"/>
        </w:rPr>
        <w:t>AMP</w:t>
      </w:r>
      <w:r w:rsidRPr="003C3665" w:rsidR="00A24DA5">
        <w:rPr>
          <w:bCs/>
          <w:szCs w:val="26"/>
        </w:rPr>
        <w:tab/>
      </w:r>
      <w:r w:rsidRPr="003C3665">
        <w:rPr>
          <w:bCs/>
          <w:szCs w:val="26"/>
        </w:rPr>
        <w:t>Arrearage Management Program</w:t>
      </w:r>
    </w:p>
    <w:p w:rsidRPr="003C3665" w:rsidR="00902810" w:rsidP="003C3665" w:rsidRDefault="00902810" w14:paraId="768A6F50" w14:textId="392B700D">
      <w:pPr>
        <w:tabs>
          <w:tab w:val="left" w:pos="1440"/>
        </w:tabs>
        <w:spacing w:line="240" w:lineRule="auto"/>
        <w:ind w:firstLine="0"/>
        <w:rPr>
          <w:bCs/>
          <w:szCs w:val="26"/>
        </w:rPr>
      </w:pPr>
      <w:r w:rsidRPr="003C3665">
        <w:rPr>
          <w:bCs/>
          <w:szCs w:val="26"/>
        </w:rPr>
        <w:t>ALMA</w:t>
      </w:r>
      <w:r w:rsidR="003C3665">
        <w:rPr>
          <w:bCs/>
          <w:szCs w:val="26"/>
        </w:rPr>
        <w:tab/>
      </w:r>
      <w:r w:rsidRPr="003C3665">
        <w:rPr>
          <w:bCs/>
          <w:szCs w:val="26"/>
        </w:rPr>
        <w:t>Asbestos Litigation Memorandum Account</w:t>
      </w:r>
    </w:p>
    <w:p w:rsidRPr="003C3665" w:rsidR="00902810" w:rsidP="003C3665" w:rsidRDefault="00902810" w14:paraId="37DD3584" w14:textId="3FA5799D">
      <w:pPr>
        <w:tabs>
          <w:tab w:val="left" w:pos="1440"/>
        </w:tabs>
        <w:spacing w:line="240" w:lineRule="auto"/>
        <w:ind w:firstLine="0"/>
        <w:rPr>
          <w:bCs/>
          <w:szCs w:val="26"/>
        </w:rPr>
      </w:pPr>
      <w:r w:rsidRPr="003C3665">
        <w:rPr>
          <w:bCs/>
          <w:szCs w:val="26"/>
        </w:rPr>
        <w:t>BAMA</w:t>
      </w:r>
      <w:r w:rsidRPr="003C3665" w:rsidR="00A24DA5">
        <w:rPr>
          <w:bCs/>
          <w:szCs w:val="26"/>
        </w:rPr>
        <w:tab/>
      </w:r>
      <w:r w:rsidRPr="003C3665">
        <w:rPr>
          <w:bCs/>
          <w:szCs w:val="26"/>
        </w:rPr>
        <w:t>Balancing and Memorandum Account</w:t>
      </w:r>
    </w:p>
    <w:p w:rsidRPr="003C3665" w:rsidR="00A24DA5" w:rsidP="003C3665" w:rsidRDefault="00902810" w14:paraId="2BF6D653" w14:textId="4A375E6A">
      <w:pPr>
        <w:tabs>
          <w:tab w:val="left" w:pos="1440"/>
        </w:tabs>
        <w:spacing w:line="240" w:lineRule="auto"/>
        <w:ind w:firstLine="0"/>
        <w:rPr>
          <w:bCs/>
          <w:szCs w:val="26"/>
        </w:rPr>
      </w:pPr>
      <w:r w:rsidRPr="003C3665">
        <w:rPr>
          <w:bCs/>
          <w:szCs w:val="26"/>
        </w:rPr>
        <w:t>CEMA</w:t>
      </w:r>
      <w:r w:rsidRPr="003C3665" w:rsidR="00A24DA5">
        <w:rPr>
          <w:bCs/>
          <w:szCs w:val="26"/>
        </w:rPr>
        <w:tab/>
      </w:r>
      <w:r w:rsidRPr="003C3665">
        <w:rPr>
          <w:bCs/>
          <w:szCs w:val="26"/>
        </w:rPr>
        <w:t>Catastrophic Event Memorandum Account</w:t>
      </w:r>
    </w:p>
    <w:p w:rsidRPr="003C3665" w:rsidR="00902810" w:rsidP="003C3665" w:rsidRDefault="00902810" w14:paraId="056ADB0B" w14:textId="0CE7C26B">
      <w:pPr>
        <w:tabs>
          <w:tab w:val="left" w:pos="1440"/>
        </w:tabs>
        <w:spacing w:line="240" w:lineRule="auto"/>
        <w:ind w:firstLine="0"/>
        <w:rPr>
          <w:bCs/>
          <w:szCs w:val="26"/>
        </w:rPr>
      </w:pPr>
      <w:r w:rsidRPr="003C3665">
        <w:rPr>
          <w:bCs/>
          <w:szCs w:val="26"/>
        </w:rPr>
        <w:t>CBA</w:t>
      </w:r>
      <w:r w:rsidR="003C3665">
        <w:rPr>
          <w:bCs/>
          <w:szCs w:val="26"/>
        </w:rPr>
        <w:tab/>
      </w:r>
      <w:r w:rsidRPr="003C3665">
        <w:rPr>
          <w:bCs/>
          <w:szCs w:val="26"/>
        </w:rPr>
        <w:t>Collective Bargaining Agreement</w:t>
      </w:r>
    </w:p>
    <w:p w:rsidRPr="003C3665" w:rsidR="00A24DA5" w:rsidP="003C3665" w:rsidRDefault="00902810" w14:paraId="62E5A223" w14:textId="492DF54E">
      <w:pPr>
        <w:tabs>
          <w:tab w:val="left" w:pos="1440"/>
        </w:tabs>
        <w:spacing w:line="240" w:lineRule="auto"/>
        <w:ind w:firstLine="0"/>
        <w:rPr>
          <w:bCs/>
          <w:szCs w:val="26"/>
        </w:rPr>
      </w:pPr>
      <w:r w:rsidRPr="003C3665">
        <w:rPr>
          <w:bCs/>
          <w:szCs w:val="26"/>
        </w:rPr>
        <w:t>CEBA</w:t>
      </w:r>
      <w:r w:rsidRPr="003C3665" w:rsidR="00A24DA5">
        <w:rPr>
          <w:bCs/>
          <w:szCs w:val="26"/>
        </w:rPr>
        <w:tab/>
      </w:r>
      <w:r w:rsidRPr="003C3665">
        <w:rPr>
          <w:bCs/>
          <w:szCs w:val="26"/>
        </w:rPr>
        <w:t>Conservation Expense Balancing Account</w:t>
      </w:r>
    </w:p>
    <w:p w:rsidRPr="003C3665" w:rsidR="00A24DA5" w:rsidP="003C3665" w:rsidRDefault="00902810" w14:paraId="76026710" w14:textId="30FA5925">
      <w:pPr>
        <w:tabs>
          <w:tab w:val="left" w:pos="1440"/>
        </w:tabs>
        <w:spacing w:line="240" w:lineRule="auto"/>
        <w:ind w:firstLine="0"/>
        <w:rPr>
          <w:bCs/>
          <w:szCs w:val="26"/>
        </w:rPr>
      </w:pPr>
      <w:r w:rsidRPr="003C3665">
        <w:rPr>
          <w:bCs/>
          <w:szCs w:val="26"/>
        </w:rPr>
        <w:t>CAP</w:t>
      </w:r>
      <w:r w:rsidR="003C3665">
        <w:rPr>
          <w:bCs/>
          <w:szCs w:val="26"/>
        </w:rPr>
        <w:tab/>
      </w:r>
      <w:r w:rsidRPr="003C3665">
        <w:rPr>
          <w:bCs/>
          <w:szCs w:val="26"/>
        </w:rPr>
        <w:t>Customer Assistance Program</w:t>
      </w:r>
    </w:p>
    <w:p w:rsidRPr="003C3665" w:rsidR="00A24DA5" w:rsidP="003C3665" w:rsidRDefault="00902810" w14:paraId="71D35AFF" w14:textId="5A627554">
      <w:pPr>
        <w:tabs>
          <w:tab w:val="left" w:pos="1440"/>
        </w:tabs>
        <w:spacing w:line="240" w:lineRule="auto"/>
        <w:ind w:firstLine="0"/>
        <w:rPr>
          <w:bCs/>
          <w:szCs w:val="26"/>
        </w:rPr>
      </w:pPr>
      <w:r w:rsidRPr="003C3665">
        <w:rPr>
          <w:bCs/>
          <w:szCs w:val="26"/>
        </w:rPr>
        <w:t>DAC</w:t>
      </w:r>
      <w:r w:rsidR="003C3665">
        <w:rPr>
          <w:bCs/>
          <w:szCs w:val="26"/>
        </w:rPr>
        <w:tab/>
      </w:r>
      <w:r w:rsidRPr="003C3665">
        <w:rPr>
          <w:bCs/>
          <w:szCs w:val="26"/>
        </w:rPr>
        <w:t>Disadvantaged Community</w:t>
      </w:r>
    </w:p>
    <w:p w:rsidRPr="003C3665" w:rsidR="00A24DA5" w:rsidP="003C3665" w:rsidRDefault="00902810" w14:paraId="6413FF3F" w14:textId="43F4A017">
      <w:pPr>
        <w:tabs>
          <w:tab w:val="left" w:pos="1440"/>
        </w:tabs>
        <w:spacing w:line="240" w:lineRule="auto"/>
        <w:ind w:firstLine="0"/>
        <w:rPr>
          <w:bCs/>
          <w:szCs w:val="26"/>
        </w:rPr>
      </w:pPr>
      <w:r w:rsidRPr="003C3665">
        <w:rPr>
          <w:bCs/>
          <w:szCs w:val="26"/>
        </w:rPr>
        <w:t>DWFBA</w:t>
      </w:r>
      <w:r w:rsidRPr="003C3665" w:rsidR="00A24DA5">
        <w:rPr>
          <w:bCs/>
          <w:szCs w:val="26"/>
        </w:rPr>
        <w:tab/>
      </w:r>
      <w:r w:rsidRPr="003C3665">
        <w:rPr>
          <w:bCs/>
          <w:szCs w:val="26"/>
        </w:rPr>
        <w:t>Drinking Water Fees Balancing Account</w:t>
      </w:r>
    </w:p>
    <w:p w:rsidRPr="003C3665" w:rsidR="00A24DA5" w:rsidP="003C3665" w:rsidRDefault="00902810" w14:paraId="535D4AFC" w14:textId="2DE8F33F">
      <w:pPr>
        <w:tabs>
          <w:tab w:val="left" w:pos="1440"/>
        </w:tabs>
        <w:spacing w:line="240" w:lineRule="auto"/>
        <w:ind w:firstLine="0"/>
        <w:rPr>
          <w:bCs/>
          <w:szCs w:val="26"/>
        </w:rPr>
      </w:pPr>
      <w:r w:rsidRPr="003C3665">
        <w:rPr>
          <w:bCs/>
          <w:szCs w:val="26"/>
        </w:rPr>
        <w:t>ESJ</w:t>
      </w:r>
      <w:r w:rsidR="003C3665">
        <w:rPr>
          <w:bCs/>
          <w:szCs w:val="26"/>
        </w:rPr>
        <w:tab/>
      </w:r>
      <w:r w:rsidRPr="003C3665">
        <w:rPr>
          <w:bCs/>
          <w:szCs w:val="26"/>
        </w:rPr>
        <w:t>Environmental and Social Justice</w:t>
      </w:r>
    </w:p>
    <w:p w:rsidRPr="003C3665" w:rsidR="00A24DA5" w:rsidP="003C3665" w:rsidRDefault="00902810" w14:paraId="0C691013" w14:textId="154C2117">
      <w:pPr>
        <w:tabs>
          <w:tab w:val="left" w:pos="1440"/>
        </w:tabs>
        <w:spacing w:line="240" w:lineRule="auto"/>
        <w:ind w:firstLine="0"/>
        <w:rPr>
          <w:bCs/>
          <w:szCs w:val="26"/>
        </w:rPr>
      </w:pPr>
      <w:r w:rsidRPr="003C3665">
        <w:rPr>
          <w:bCs/>
          <w:szCs w:val="26"/>
        </w:rPr>
        <w:t>EY</w:t>
      </w:r>
      <w:r w:rsidR="003C3665">
        <w:rPr>
          <w:bCs/>
          <w:szCs w:val="26"/>
        </w:rPr>
        <w:tab/>
      </w:r>
      <w:r w:rsidRPr="003C3665">
        <w:rPr>
          <w:bCs/>
          <w:szCs w:val="26"/>
        </w:rPr>
        <w:t>Escalation Year</w:t>
      </w:r>
    </w:p>
    <w:p w:rsidRPr="003C3665" w:rsidR="00A24DA5" w:rsidP="003C3665" w:rsidRDefault="00902810" w14:paraId="7F0CB506" w14:textId="63B07FC5">
      <w:pPr>
        <w:tabs>
          <w:tab w:val="left" w:pos="1440"/>
        </w:tabs>
        <w:spacing w:line="240" w:lineRule="auto"/>
        <w:ind w:firstLine="0"/>
        <w:rPr>
          <w:bCs/>
          <w:szCs w:val="26"/>
        </w:rPr>
      </w:pPr>
      <w:r w:rsidRPr="003C3665">
        <w:rPr>
          <w:bCs/>
          <w:szCs w:val="26"/>
        </w:rPr>
        <w:t>GO</w:t>
      </w:r>
      <w:r w:rsidR="003C3665">
        <w:rPr>
          <w:bCs/>
          <w:szCs w:val="26"/>
        </w:rPr>
        <w:tab/>
      </w:r>
      <w:r w:rsidRPr="003C3665">
        <w:rPr>
          <w:bCs/>
          <w:szCs w:val="26"/>
        </w:rPr>
        <w:t>General Order</w:t>
      </w:r>
    </w:p>
    <w:p w:rsidRPr="003C3665" w:rsidR="00A24DA5" w:rsidP="003C3665" w:rsidRDefault="00902810" w14:paraId="6EF48E81" w14:textId="1BB1B643">
      <w:pPr>
        <w:tabs>
          <w:tab w:val="left" w:pos="1440"/>
        </w:tabs>
        <w:spacing w:line="240" w:lineRule="auto"/>
        <w:ind w:firstLine="0"/>
        <w:rPr>
          <w:bCs/>
          <w:szCs w:val="26"/>
        </w:rPr>
      </w:pPr>
      <w:r w:rsidRPr="003C3665">
        <w:rPr>
          <w:bCs/>
          <w:szCs w:val="26"/>
        </w:rPr>
        <w:t>GRC</w:t>
      </w:r>
      <w:r w:rsidR="003C3665">
        <w:rPr>
          <w:bCs/>
          <w:szCs w:val="26"/>
        </w:rPr>
        <w:tab/>
      </w:r>
      <w:r w:rsidRPr="003C3665">
        <w:rPr>
          <w:bCs/>
          <w:szCs w:val="26"/>
        </w:rPr>
        <w:t>General Rate Case</w:t>
      </w:r>
    </w:p>
    <w:p w:rsidRPr="003C3665" w:rsidR="00A24DA5" w:rsidP="003C3665" w:rsidRDefault="00902810" w14:paraId="031ED335" w14:textId="140F4981">
      <w:pPr>
        <w:tabs>
          <w:tab w:val="left" w:pos="1440"/>
        </w:tabs>
        <w:spacing w:line="240" w:lineRule="auto"/>
        <w:ind w:firstLine="0"/>
        <w:rPr>
          <w:bCs/>
          <w:szCs w:val="26"/>
        </w:rPr>
      </w:pPr>
      <w:r w:rsidRPr="003C3665">
        <w:rPr>
          <w:bCs/>
          <w:szCs w:val="26"/>
        </w:rPr>
        <w:t>HCBA</w:t>
      </w:r>
      <w:r w:rsidRPr="003C3665" w:rsidR="00A24DA5">
        <w:rPr>
          <w:bCs/>
          <w:szCs w:val="26"/>
        </w:rPr>
        <w:tab/>
      </w:r>
      <w:r w:rsidRPr="003C3665">
        <w:rPr>
          <w:bCs/>
          <w:szCs w:val="26"/>
        </w:rPr>
        <w:t>Health Cost Balancing Account</w:t>
      </w:r>
    </w:p>
    <w:p w:rsidRPr="003C3665" w:rsidR="00A24DA5" w:rsidP="003C3665" w:rsidRDefault="00902810" w14:paraId="23DF05CC" w14:textId="29839788">
      <w:pPr>
        <w:tabs>
          <w:tab w:val="left" w:pos="1440"/>
        </w:tabs>
        <w:spacing w:line="240" w:lineRule="auto"/>
        <w:ind w:firstLine="0"/>
        <w:rPr>
          <w:bCs/>
          <w:szCs w:val="26"/>
        </w:rPr>
      </w:pPr>
      <w:r w:rsidRPr="003C3665">
        <w:rPr>
          <w:bCs/>
          <w:szCs w:val="26"/>
        </w:rPr>
        <w:t>ICBA</w:t>
      </w:r>
      <w:r w:rsidRPr="003C3665" w:rsidR="00A24DA5">
        <w:rPr>
          <w:bCs/>
          <w:szCs w:val="26"/>
        </w:rPr>
        <w:tab/>
      </w:r>
      <w:r w:rsidRPr="003C3665">
        <w:rPr>
          <w:bCs/>
          <w:szCs w:val="26"/>
        </w:rPr>
        <w:t>Incremental Cost Balancing Account</w:t>
      </w:r>
    </w:p>
    <w:p w:rsidRPr="003C3665" w:rsidR="00A24DA5" w:rsidP="003C3665" w:rsidRDefault="00902810" w14:paraId="188D2252" w14:textId="385902B1">
      <w:pPr>
        <w:tabs>
          <w:tab w:val="left" w:pos="1440"/>
        </w:tabs>
        <w:spacing w:line="240" w:lineRule="auto"/>
        <w:ind w:firstLine="0"/>
        <w:rPr>
          <w:bCs/>
          <w:szCs w:val="26"/>
        </w:rPr>
      </w:pPr>
      <w:r w:rsidRPr="003C3665">
        <w:rPr>
          <w:bCs/>
          <w:szCs w:val="26"/>
        </w:rPr>
        <w:t>LIBA</w:t>
      </w:r>
      <w:r w:rsidRPr="003C3665" w:rsidR="00A24DA5">
        <w:rPr>
          <w:bCs/>
          <w:szCs w:val="26"/>
        </w:rPr>
        <w:tab/>
      </w:r>
      <w:r w:rsidRPr="003C3665">
        <w:rPr>
          <w:bCs/>
          <w:szCs w:val="26"/>
        </w:rPr>
        <w:t>Liability Insurance Balancing Account</w:t>
      </w:r>
    </w:p>
    <w:p w:rsidRPr="003C3665" w:rsidR="00A24DA5" w:rsidP="003C3665" w:rsidRDefault="00902810" w14:paraId="32272BF4" w14:textId="49C90250">
      <w:pPr>
        <w:tabs>
          <w:tab w:val="left" w:pos="1440"/>
        </w:tabs>
        <w:spacing w:line="240" w:lineRule="auto"/>
        <w:ind w:firstLine="0"/>
        <w:rPr>
          <w:bCs/>
          <w:szCs w:val="26"/>
        </w:rPr>
      </w:pPr>
      <w:r w:rsidRPr="003C3665">
        <w:rPr>
          <w:bCs/>
          <w:szCs w:val="26"/>
        </w:rPr>
        <w:t>LUWEP</w:t>
      </w:r>
      <w:r w:rsidRPr="003C3665" w:rsidR="00A24DA5">
        <w:rPr>
          <w:bCs/>
          <w:szCs w:val="26"/>
        </w:rPr>
        <w:tab/>
      </w:r>
      <w:r w:rsidRPr="003C3665">
        <w:rPr>
          <w:bCs/>
          <w:szCs w:val="26"/>
        </w:rPr>
        <w:t>Low Use Water Equity Program</w:t>
      </w:r>
    </w:p>
    <w:p w:rsidR="00CE0158" w:rsidP="003C3665" w:rsidRDefault="00902810" w14:paraId="2AEE9AD3" w14:textId="77777777">
      <w:pPr>
        <w:tabs>
          <w:tab w:val="left" w:pos="1440"/>
        </w:tabs>
        <w:spacing w:line="240" w:lineRule="auto"/>
        <w:ind w:firstLine="0"/>
        <w:rPr>
          <w:bCs/>
          <w:szCs w:val="26"/>
        </w:rPr>
      </w:pPr>
      <w:r w:rsidRPr="003C3665">
        <w:rPr>
          <w:bCs/>
          <w:szCs w:val="26"/>
        </w:rPr>
        <w:t>MCBA</w:t>
      </w:r>
      <w:r w:rsidRPr="003C3665" w:rsidR="00A24DA5">
        <w:rPr>
          <w:bCs/>
          <w:szCs w:val="26"/>
        </w:rPr>
        <w:tab/>
      </w:r>
      <w:r w:rsidRPr="003C3665">
        <w:rPr>
          <w:bCs/>
          <w:szCs w:val="26"/>
        </w:rPr>
        <w:t>Modified Cost Balancing Account</w:t>
      </w:r>
    </w:p>
    <w:p w:rsidRPr="003C3665" w:rsidR="00A24DA5" w:rsidP="003C3665" w:rsidRDefault="00902810" w14:paraId="6CCE5653" w14:textId="3F04E894">
      <w:pPr>
        <w:tabs>
          <w:tab w:val="left" w:pos="1440"/>
        </w:tabs>
        <w:spacing w:line="240" w:lineRule="auto"/>
        <w:ind w:firstLine="0"/>
        <w:rPr>
          <w:bCs/>
          <w:szCs w:val="26"/>
        </w:rPr>
      </w:pPr>
      <w:r w:rsidRPr="003C3665">
        <w:rPr>
          <w:bCs/>
          <w:szCs w:val="26"/>
        </w:rPr>
        <w:t>M</w:t>
      </w:r>
      <w:r w:rsidR="00270999">
        <w:rPr>
          <w:bCs/>
          <w:szCs w:val="26"/>
        </w:rPr>
        <w:noBreakHyphen/>
      </w:r>
      <w:r w:rsidRPr="003C3665">
        <w:rPr>
          <w:bCs/>
          <w:szCs w:val="26"/>
        </w:rPr>
        <w:t>WRAM</w:t>
      </w:r>
      <w:r w:rsidRPr="003C3665" w:rsidR="00D26DBF">
        <w:rPr>
          <w:bCs/>
          <w:szCs w:val="26"/>
        </w:rPr>
        <w:tab/>
      </w:r>
      <w:r w:rsidRPr="003C3665">
        <w:rPr>
          <w:bCs/>
          <w:szCs w:val="26"/>
        </w:rPr>
        <w:t>Monterey Water Revenue Adjustment Mechanism</w:t>
      </w:r>
    </w:p>
    <w:p w:rsidRPr="003C3665" w:rsidR="00A24DA5" w:rsidP="003C3665" w:rsidRDefault="00902810" w14:paraId="5AD44F8F" w14:textId="0F03AB5C">
      <w:pPr>
        <w:tabs>
          <w:tab w:val="left" w:pos="1440"/>
        </w:tabs>
        <w:spacing w:line="240" w:lineRule="auto"/>
        <w:ind w:firstLine="0"/>
        <w:rPr>
          <w:bCs/>
          <w:szCs w:val="26"/>
        </w:rPr>
      </w:pPr>
      <w:r w:rsidRPr="003C3665">
        <w:rPr>
          <w:bCs/>
          <w:szCs w:val="26"/>
        </w:rPr>
        <w:t>OB</w:t>
      </w:r>
      <w:r w:rsidR="003C3665">
        <w:rPr>
          <w:bCs/>
          <w:szCs w:val="26"/>
        </w:rPr>
        <w:tab/>
      </w:r>
      <w:r w:rsidRPr="003C3665">
        <w:rPr>
          <w:bCs/>
          <w:szCs w:val="26"/>
        </w:rPr>
        <w:t>Opening Brief</w:t>
      </w:r>
    </w:p>
    <w:p w:rsidRPr="003C3665" w:rsidR="00A24DA5" w:rsidP="003C3665" w:rsidRDefault="00902810" w14:paraId="044D6570" w14:textId="41BB9AE6">
      <w:pPr>
        <w:tabs>
          <w:tab w:val="left" w:pos="1440"/>
        </w:tabs>
        <w:spacing w:line="240" w:lineRule="auto"/>
        <w:ind w:firstLine="0"/>
        <w:rPr>
          <w:bCs/>
          <w:szCs w:val="26"/>
        </w:rPr>
      </w:pPr>
      <w:r w:rsidRPr="003C3665">
        <w:rPr>
          <w:bCs/>
          <w:szCs w:val="26"/>
        </w:rPr>
        <w:t>O&amp;M</w:t>
      </w:r>
      <w:r w:rsidRPr="003C3665" w:rsidR="00A24DA5">
        <w:rPr>
          <w:bCs/>
          <w:szCs w:val="26"/>
        </w:rPr>
        <w:tab/>
      </w:r>
      <w:r w:rsidRPr="003C3665">
        <w:rPr>
          <w:bCs/>
          <w:szCs w:val="26"/>
        </w:rPr>
        <w:t>Operation and Maintenance</w:t>
      </w:r>
    </w:p>
    <w:p w:rsidRPr="003C3665" w:rsidR="00A24DA5" w:rsidP="003C3665" w:rsidRDefault="00902810" w14:paraId="0937F592" w14:textId="5F7BBC54">
      <w:pPr>
        <w:tabs>
          <w:tab w:val="left" w:pos="1440"/>
        </w:tabs>
        <w:spacing w:line="240" w:lineRule="auto"/>
        <w:ind w:firstLine="0"/>
        <w:rPr>
          <w:bCs/>
          <w:szCs w:val="26"/>
        </w:rPr>
      </w:pPr>
      <w:r w:rsidRPr="003C3665">
        <w:rPr>
          <w:bCs/>
          <w:szCs w:val="26"/>
        </w:rPr>
        <w:t>PCBA</w:t>
      </w:r>
      <w:r w:rsidRPr="003C3665" w:rsidR="00A24DA5">
        <w:rPr>
          <w:bCs/>
          <w:szCs w:val="26"/>
        </w:rPr>
        <w:tab/>
      </w:r>
      <w:r w:rsidRPr="003C3665">
        <w:rPr>
          <w:bCs/>
          <w:szCs w:val="26"/>
        </w:rPr>
        <w:t>Pension Cost Balancing Account</w:t>
      </w:r>
    </w:p>
    <w:p w:rsidRPr="003C3665" w:rsidR="00A32423" w:rsidP="003C3665" w:rsidRDefault="00A32423" w14:paraId="29810FD0" w14:textId="762E5A09">
      <w:pPr>
        <w:tabs>
          <w:tab w:val="left" w:pos="1440"/>
        </w:tabs>
        <w:spacing w:line="240" w:lineRule="auto"/>
        <w:ind w:firstLine="0"/>
        <w:rPr>
          <w:bCs/>
          <w:szCs w:val="26"/>
        </w:rPr>
      </w:pPr>
      <w:r w:rsidRPr="003C3665">
        <w:rPr>
          <w:bCs/>
          <w:szCs w:val="26"/>
        </w:rPr>
        <w:t>PID</w:t>
      </w:r>
      <w:r w:rsidR="003C3665">
        <w:rPr>
          <w:bCs/>
          <w:szCs w:val="26"/>
        </w:rPr>
        <w:tab/>
      </w:r>
      <w:r w:rsidRPr="003C3665">
        <w:rPr>
          <w:bCs/>
          <w:szCs w:val="26"/>
        </w:rPr>
        <w:t>Project Identification</w:t>
      </w:r>
    </w:p>
    <w:p w:rsidRPr="003C3665" w:rsidR="00A24DA5" w:rsidP="003C3665" w:rsidRDefault="00902810" w14:paraId="2F49371B" w14:textId="5A719158">
      <w:pPr>
        <w:tabs>
          <w:tab w:val="left" w:pos="1440"/>
        </w:tabs>
        <w:spacing w:line="240" w:lineRule="auto"/>
        <w:ind w:firstLine="0"/>
        <w:rPr>
          <w:bCs/>
          <w:szCs w:val="26"/>
        </w:rPr>
      </w:pPr>
      <w:r w:rsidRPr="003C3665">
        <w:rPr>
          <w:bCs/>
          <w:szCs w:val="26"/>
        </w:rPr>
        <w:t>PFAS</w:t>
      </w:r>
      <w:r w:rsidRPr="003C3665" w:rsidR="00A24DA5">
        <w:rPr>
          <w:bCs/>
          <w:szCs w:val="26"/>
        </w:rPr>
        <w:tab/>
      </w:r>
      <w:r w:rsidRPr="003C3665">
        <w:rPr>
          <w:bCs/>
          <w:szCs w:val="26"/>
        </w:rPr>
        <w:t>Per</w:t>
      </w:r>
      <w:r w:rsidR="00270999">
        <w:rPr>
          <w:bCs/>
          <w:szCs w:val="26"/>
        </w:rPr>
        <w:noBreakHyphen/>
      </w:r>
      <w:r w:rsidRPr="003C3665">
        <w:rPr>
          <w:bCs/>
          <w:szCs w:val="26"/>
        </w:rPr>
        <w:t xml:space="preserve"> and Polyfluoroalkyl Substances</w:t>
      </w:r>
    </w:p>
    <w:p w:rsidRPr="003C3665" w:rsidR="00A24DA5" w:rsidP="003C3665" w:rsidRDefault="00902810" w14:paraId="0E986E75" w14:textId="5C9364D5">
      <w:pPr>
        <w:tabs>
          <w:tab w:val="left" w:pos="1440"/>
        </w:tabs>
        <w:spacing w:line="240" w:lineRule="auto"/>
        <w:ind w:firstLine="0"/>
        <w:rPr>
          <w:bCs/>
          <w:szCs w:val="26"/>
        </w:rPr>
      </w:pPr>
      <w:r w:rsidRPr="003C3665">
        <w:rPr>
          <w:bCs/>
          <w:szCs w:val="26"/>
        </w:rPr>
        <w:t>PSPS MA</w:t>
      </w:r>
      <w:r w:rsidRPr="003C3665" w:rsidR="00A24DA5">
        <w:rPr>
          <w:bCs/>
          <w:szCs w:val="26"/>
        </w:rPr>
        <w:tab/>
      </w:r>
      <w:r w:rsidRPr="003C3665">
        <w:rPr>
          <w:bCs/>
          <w:szCs w:val="26"/>
        </w:rPr>
        <w:t>Public Safety Shut</w:t>
      </w:r>
      <w:r w:rsidR="00270999">
        <w:rPr>
          <w:bCs/>
          <w:szCs w:val="26"/>
        </w:rPr>
        <w:noBreakHyphen/>
      </w:r>
      <w:r w:rsidRPr="003C3665">
        <w:rPr>
          <w:bCs/>
          <w:szCs w:val="26"/>
        </w:rPr>
        <w:t>Off Memorandum Account</w:t>
      </w:r>
    </w:p>
    <w:p w:rsidRPr="003C3665" w:rsidR="00A24DA5" w:rsidP="003C3665" w:rsidRDefault="00902810" w14:paraId="267E3B42" w14:textId="36769454">
      <w:pPr>
        <w:tabs>
          <w:tab w:val="left" w:pos="1440"/>
        </w:tabs>
        <w:spacing w:line="240" w:lineRule="auto"/>
        <w:ind w:firstLine="0"/>
        <w:rPr>
          <w:bCs/>
          <w:szCs w:val="26"/>
        </w:rPr>
      </w:pPr>
      <w:r w:rsidRPr="003C3665">
        <w:rPr>
          <w:bCs/>
          <w:szCs w:val="26"/>
        </w:rPr>
        <w:t>RSF</w:t>
      </w:r>
      <w:r w:rsidR="003C3665">
        <w:rPr>
          <w:bCs/>
          <w:szCs w:val="26"/>
        </w:rPr>
        <w:tab/>
      </w:r>
      <w:r w:rsidRPr="003C3665">
        <w:rPr>
          <w:bCs/>
          <w:szCs w:val="26"/>
        </w:rPr>
        <w:t>Rate Support Fund</w:t>
      </w:r>
    </w:p>
    <w:p w:rsidRPr="003C3665" w:rsidR="00A24DA5" w:rsidP="003C3665" w:rsidRDefault="00902810" w14:paraId="4A9899A1" w14:textId="74EBD201">
      <w:pPr>
        <w:tabs>
          <w:tab w:val="left" w:pos="1440"/>
        </w:tabs>
        <w:spacing w:line="240" w:lineRule="auto"/>
        <w:ind w:firstLine="0"/>
        <w:rPr>
          <w:bCs/>
          <w:szCs w:val="26"/>
        </w:rPr>
      </w:pPr>
      <w:r w:rsidRPr="003C3665">
        <w:rPr>
          <w:bCs/>
          <w:szCs w:val="26"/>
        </w:rPr>
        <w:t>RB</w:t>
      </w:r>
      <w:r w:rsidR="003C3665">
        <w:rPr>
          <w:bCs/>
          <w:szCs w:val="26"/>
        </w:rPr>
        <w:tab/>
      </w:r>
      <w:r w:rsidRPr="003C3665">
        <w:rPr>
          <w:bCs/>
          <w:szCs w:val="26"/>
        </w:rPr>
        <w:t>Reply Brief</w:t>
      </w:r>
    </w:p>
    <w:p w:rsidRPr="003C3665" w:rsidR="00A24DA5" w:rsidP="003C3665" w:rsidRDefault="00902810" w14:paraId="14DBB01B" w14:textId="745563BC">
      <w:pPr>
        <w:tabs>
          <w:tab w:val="left" w:pos="1440"/>
        </w:tabs>
        <w:spacing w:line="240" w:lineRule="auto"/>
        <w:ind w:firstLine="0"/>
        <w:rPr>
          <w:bCs/>
          <w:szCs w:val="26"/>
        </w:rPr>
      </w:pPr>
      <w:r w:rsidRPr="003C3665">
        <w:rPr>
          <w:bCs/>
          <w:szCs w:val="26"/>
        </w:rPr>
        <w:t>RO</w:t>
      </w:r>
      <w:r w:rsidR="003C3665">
        <w:rPr>
          <w:bCs/>
          <w:szCs w:val="26"/>
        </w:rPr>
        <w:tab/>
      </w:r>
      <w:r w:rsidRPr="003C3665">
        <w:rPr>
          <w:bCs/>
          <w:szCs w:val="26"/>
        </w:rPr>
        <w:t>Results of Operations</w:t>
      </w:r>
    </w:p>
    <w:p w:rsidRPr="003C3665" w:rsidR="00A24DA5" w:rsidP="003C3665" w:rsidRDefault="00902810" w14:paraId="74B09A52" w14:textId="52BEE2D5">
      <w:pPr>
        <w:tabs>
          <w:tab w:val="left" w:pos="1440"/>
        </w:tabs>
        <w:spacing w:line="240" w:lineRule="auto"/>
        <w:ind w:firstLine="0"/>
        <w:rPr>
          <w:bCs/>
          <w:szCs w:val="26"/>
        </w:rPr>
      </w:pPr>
      <w:r w:rsidRPr="003C3665">
        <w:rPr>
          <w:bCs/>
          <w:szCs w:val="26"/>
        </w:rPr>
        <w:t>SRM</w:t>
      </w:r>
      <w:r w:rsidR="003C3665">
        <w:rPr>
          <w:bCs/>
          <w:szCs w:val="26"/>
        </w:rPr>
        <w:tab/>
      </w:r>
      <w:r w:rsidRPr="003C3665">
        <w:rPr>
          <w:bCs/>
          <w:szCs w:val="26"/>
        </w:rPr>
        <w:t>Sales Reconciliation Mechanism</w:t>
      </w:r>
    </w:p>
    <w:p w:rsidRPr="003C3665" w:rsidR="00A24DA5" w:rsidP="003C3665" w:rsidRDefault="00902810" w14:paraId="312A347A" w14:textId="10B0D4B6">
      <w:pPr>
        <w:tabs>
          <w:tab w:val="left" w:pos="1440"/>
        </w:tabs>
        <w:spacing w:line="240" w:lineRule="auto"/>
        <w:ind w:firstLine="0"/>
        <w:rPr>
          <w:bCs/>
          <w:szCs w:val="26"/>
        </w:rPr>
      </w:pPr>
      <w:r w:rsidRPr="003C3665">
        <w:rPr>
          <w:bCs/>
          <w:szCs w:val="26"/>
        </w:rPr>
        <w:t>SWRCB</w:t>
      </w:r>
      <w:r w:rsidRPr="003C3665" w:rsidR="00A24DA5">
        <w:rPr>
          <w:bCs/>
          <w:szCs w:val="26"/>
        </w:rPr>
        <w:tab/>
      </w:r>
      <w:r w:rsidRPr="003C3665">
        <w:rPr>
          <w:bCs/>
          <w:szCs w:val="26"/>
        </w:rPr>
        <w:t>State Water Resources Control Board</w:t>
      </w:r>
    </w:p>
    <w:p w:rsidRPr="003C3665" w:rsidR="00A24DA5" w:rsidP="003C3665" w:rsidRDefault="00902810" w14:paraId="34030052" w14:textId="6ADCFBA5">
      <w:pPr>
        <w:tabs>
          <w:tab w:val="left" w:pos="1440"/>
        </w:tabs>
        <w:spacing w:line="240" w:lineRule="auto"/>
        <w:ind w:firstLine="0"/>
        <w:rPr>
          <w:bCs/>
          <w:szCs w:val="26"/>
        </w:rPr>
      </w:pPr>
      <w:r w:rsidRPr="003C3665">
        <w:rPr>
          <w:bCs/>
          <w:szCs w:val="26"/>
        </w:rPr>
        <w:t>SERP</w:t>
      </w:r>
      <w:r w:rsidRPr="003C3665" w:rsidR="00A24DA5">
        <w:rPr>
          <w:bCs/>
          <w:szCs w:val="26"/>
        </w:rPr>
        <w:tab/>
      </w:r>
      <w:r w:rsidRPr="003C3665">
        <w:rPr>
          <w:bCs/>
          <w:szCs w:val="26"/>
        </w:rPr>
        <w:t>Supplemental Executive Retirement Plan</w:t>
      </w:r>
    </w:p>
    <w:p w:rsidRPr="003C3665" w:rsidR="00A24DA5" w:rsidP="003C3665" w:rsidRDefault="00902810" w14:paraId="51D2EE09" w14:textId="21CEDED6">
      <w:pPr>
        <w:tabs>
          <w:tab w:val="left" w:pos="1440"/>
        </w:tabs>
        <w:spacing w:line="240" w:lineRule="auto"/>
        <w:ind w:firstLine="0"/>
        <w:rPr>
          <w:bCs/>
          <w:szCs w:val="26"/>
        </w:rPr>
      </w:pPr>
      <w:r w:rsidRPr="003C3665">
        <w:rPr>
          <w:bCs/>
          <w:szCs w:val="26"/>
        </w:rPr>
        <w:t>TY</w:t>
      </w:r>
      <w:r w:rsidR="003C3665">
        <w:rPr>
          <w:bCs/>
          <w:szCs w:val="26"/>
        </w:rPr>
        <w:tab/>
      </w:r>
      <w:r w:rsidRPr="003C3665">
        <w:rPr>
          <w:bCs/>
          <w:szCs w:val="26"/>
        </w:rPr>
        <w:t>Test Year</w:t>
      </w:r>
    </w:p>
    <w:p w:rsidR="00CE0158" w:rsidP="005110C7" w:rsidRDefault="00902810" w14:paraId="5798F003" w14:textId="77777777">
      <w:pPr>
        <w:keepNext/>
        <w:tabs>
          <w:tab w:val="left" w:pos="1440"/>
        </w:tabs>
        <w:spacing w:line="240" w:lineRule="auto"/>
        <w:ind w:firstLine="0"/>
        <w:rPr>
          <w:bCs/>
          <w:szCs w:val="26"/>
        </w:rPr>
      </w:pPr>
      <w:r w:rsidRPr="003C3665">
        <w:rPr>
          <w:bCs/>
          <w:szCs w:val="26"/>
        </w:rPr>
        <w:lastRenderedPageBreak/>
        <w:t>WCRMA</w:t>
      </w:r>
      <w:r w:rsidRPr="003C3665" w:rsidR="00A24DA5">
        <w:rPr>
          <w:bCs/>
          <w:szCs w:val="26"/>
        </w:rPr>
        <w:tab/>
      </w:r>
      <w:r w:rsidRPr="003C3665">
        <w:rPr>
          <w:bCs/>
          <w:szCs w:val="26"/>
        </w:rPr>
        <w:t>Water Contamination Remediation Memorandum Account</w:t>
      </w:r>
    </w:p>
    <w:p w:rsidRPr="00AD53A0" w:rsidR="009702C9" w:rsidP="003C3665" w:rsidRDefault="00902810" w14:paraId="50AA3F7B" w14:textId="1EB66DA4">
      <w:pPr>
        <w:tabs>
          <w:tab w:val="left" w:pos="1440"/>
        </w:tabs>
        <w:spacing w:line="240" w:lineRule="auto"/>
        <w:ind w:firstLine="0"/>
        <w:rPr>
          <w:szCs w:val="26"/>
        </w:rPr>
      </w:pPr>
      <w:r w:rsidRPr="003C3665">
        <w:rPr>
          <w:bCs/>
          <w:szCs w:val="26"/>
        </w:rPr>
        <w:t>WRAM</w:t>
      </w:r>
      <w:r w:rsidRPr="003C3665" w:rsidR="00A24DA5">
        <w:rPr>
          <w:bCs/>
          <w:szCs w:val="26"/>
        </w:rPr>
        <w:tab/>
      </w:r>
      <w:r w:rsidRPr="003C3665">
        <w:rPr>
          <w:bCs/>
          <w:szCs w:val="26"/>
        </w:rPr>
        <w:t>Water Reven</w:t>
      </w:r>
      <w:r w:rsidRPr="003E665C">
        <w:rPr>
          <w:szCs w:val="26"/>
        </w:rPr>
        <w:t>ue Adjustment Mechanism</w:t>
      </w:r>
    </w:p>
    <w:p w:rsidR="009702C9" w:rsidP="00D44DB6" w:rsidRDefault="009702C9" w14:paraId="0976DD3D" w14:textId="77777777">
      <w:pPr>
        <w:spacing w:line="240" w:lineRule="auto"/>
        <w:ind w:firstLine="0"/>
      </w:pPr>
    </w:p>
    <w:p w:rsidRPr="00B00C87" w:rsidR="009702C9" w:rsidP="009702C9" w:rsidRDefault="009702C9" w14:paraId="51564699" w14:textId="5EBC715C">
      <w:pPr>
        <w:spacing w:line="240" w:lineRule="auto"/>
        <w:ind w:firstLine="0"/>
        <w:jc w:val="center"/>
        <w:rPr>
          <w:rFonts w:cs="Arial"/>
          <w:szCs w:val="26"/>
        </w:rPr>
        <w:sectPr w:rsidRPr="00B00C87" w:rsidR="009702C9" w:rsidSect="003922FD">
          <w:pgSz w:w="12240" w:h="15840"/>
          <w:pgMar w:top="1728" w:right="1440" w:bottom="1440" w:left="1440" w:header="720" w:footer="720" w:gutter="0"/>
          <w:pgNumType w:fmt="lowerRoman" w:start="1"/>
          <w:cols w:space="720"/>
          <w:docGrid w:linePitch="360"/>
        </w:sectPr>
      </w:pPr>
    </w:p>
    <w:p w:rsidR="00374E78" w:rsidP="00A42F49" w:rsidRDefault="00374E78" w14:paraId="6F2A7F16" w14:textId="16193580">
      <w:pPr>
        <w:pStyle w:val="Main"/>
        <w:rPr>
          <w:rFonts w:eastAsia="Times New Roman"/>
          <w:szCs w:val="20"/>
        </w:rPr>
      </w:pPr>
      <w:bookmarkStart w:name="Title" w:id="3"/>
      <w:r>
        <w:lastRenderedPageBreak/>
        <w:t>DECISION ADOPTING PARTIAL SETTLEMENT AGREEMENT; A</w:t>
      </w:r>
      <w:r w:rsidRPr="1B28B7B6">
        <w:rPr>
          <w:rFonts w:eastAsia="Times New Roman"/>
        </w:rPr>
        <w:t>UTHORIZING RATE INCREASES IN TEST YEAR</w:t>
      </w:r>
      <w:r w:rsidR="00B8666D">
        <w:rPr>
          <w:rFonts w:eastAsia="Times New Roman"/>
        </w:rPr>
        <w:t> </w:t>
      </w:r>
      <w:r w:rsidRPr="1B28B7B6">
        <w:rPr>
          <w:rFonts w:eastAsia="Times New Roman"/>
        </w:rPr>
        <w:t>2026</w:t>
      </w:r>
      <w:r w:rsidR="001B7ED7">
        <w:rPr>
          <w:rFonts w:eastAsia="Times New Roman"/>
        </w:rPr>
        <w:t>,</w:t>
      </w:r>
      <w:r w:rsidR="00112F3D">
        <w:rPr>
          <w:rFonts w:eastAsia="Times New Roman"/>
        </w:rPr>
        <w:br/>
      </w:r>
      <w:r w:rsidRPr="1B28B7B6">
        <w:rPr>
          <w:rFonts w:eastAsia="Times New Roman"/>
        </w:rPr>
        <w:t>AND IN 2027</w:t>
      </w:r>
      <w:r w:rsidR="00112F3D">
        <w:rPr>
          <w:rFonts w:eastAsia="Times New Roman"/>
        </w:rPr>
        <w:t xml:space="preserve"> </w:t>
      </w:r>
      <w:r w:rsidRPr="1B28B7B6">
        <w:rPr>
          <w:rFonts w:eastAsia="Times New Roman"/>
        </w:rPr>
        <w:t>AND 2028</w:t>
      </w:r>
      <w:r>
        <w:rPr>
          <w:rFonts w:eastAsia="Times New Roman"/>
        </w:rPr>
        <w:t xml:space="preserve"> </w:t>
      </w:r>
      <w:r w:rsidRPr="1B28B7B6">
        <w:rPr>
          <w:rFonts w:eastAsia="Times New Roman"/>
        </w:rPr>
        <w:t>ESCALATION YEARS ON JANUARY</w:t>
      </w:r>
      <w:r w:rsidR="00A42F49">
        <w:rPr>
          <w:rFonts w:eastAsia="Times New Roman"/>
        </w:rPr>
        <w:t> </w:t>
      </w:r>
      <w:r w:rsidRPr="1B28B7B6">
        <w:rPr>
          <w:rFonts w:eastAsia="Times New Roman"/>
        </w:rPr>
        <w:t>1, 2027,</w:t>
      </w:r>
      <w:r w:rsidR="00112F3D">
        <w:rPr>
          <w:rFonts w:eastAsia="Times New Roman"/>
        </w:rPr>
        <w:br/>
      </w:r>
      <w:r w:rsidRPr="1B28B7B6">
        <w:rPr>
          <w:rFonts w:eastAsia="Times New Roman"/>
        </w:rPr>
        <w:t>AND ON JANUARY</w:t>
      </w:r>
      <w:r w:rsidR="00A42F49">
        <w:rPr>
          <w:rFonts w:eastAsia="Times New Roman"/>
        </w:rPr>
        <w:t> </w:t>
      </w:r>
      <w:r w:rsidRPr="1B28B7B6">
        <w:rPr>
          <w:rFonts w:eastAsia="Times New Roman"/>
        </w:rPr>
        <w:t>1, 2028; AND ADOPTING</w:t>
      </w:r>
      <w:r>
        <w:rPr>
          <w:rFonts w:eastAsia="Times New Roman"/>
        </w:rPr>
        <w:t xml:space="preserve"> </w:t>
      </w:r>
      <w:r w:rsidRPr="1B28B7B6">
        <w:rPr>
          <w:rFonts w:eastAsia="Times New Roman"/>
        </w:rPr>
        <w:t>OTHER RELIEF NECESSARY</w:t>
      </w:r>
      <w:r w:rsidR="00112F3D">
        <w:rPr>
          <w:rFonts w:eastAsia="Times New Roman"/>
        </w:rPr>
        <w:br/>
      </w:r>
      <w:r w:rsidRPr="1B28B7B6">
        <w:rPr>
          <w:rFonts w:eastAsia="Times New Roman"/>
        </w:rPr>
        <w:t xml:space="preserve">TO IMPLEMENT </w:t>
      </w:r>
      <w:r w:rsidRPr="00560B37">
        <w:rPr>
          <w:rFonts w:eastAsia="Times New Roman"/>
          <w:szCs w:val="20"/>
        </w:rPr>
        <w:t>THE COMMISSION</w:t>
      </w:r>
      <w:r w:rsidR="000C0896">
        <w:rPr>
          <w:rFonts w:eastAsia="Times New Roman"/>
          <w:szCs w:val="20"/>
        </w:rPr>
        <w:t>’</w:t>
      </w:r>
      <w:r>
        <w:rPr>
          <w:rFonts w:eastAsia="Times New Roman"/>
          <w:szCs w:val="20"/>
        </w:rPr>
        <w:t>S</w:t>
      </w:r>
      <w:r w:rsidRPr="00560B37">
        <w:rPr>
          <w:rFonts w:eastAsia="Times New Roman"/>
          <w:szCs w:val="20"/>
        </w:rPr>
        <w:t xml:space="preserve"> </w:t>
      </w:r>
      <w:r>
        <w:rPr>
          <w:rFonts w:eastAsia="Times New Roman"/>
          <w:szCs w:val="20"/>
        </w:rPr>
        <w:t>R</w:t>
      </w:r>
      <w:r w:rsidRPr="00560B37">
        <w:rPr>
          <w:rFonts w:eastAsia="Times New Roman"/>
          <w:szCs w:val="20"/>
        </w:rPr>
        <w:t>ATEMAKING</w:t>
      </w:r>
      <w:r>
        <w:rPr>
          <w:rFonts w:eastAsia="Times New Roman"/>
          <w:szCs w:val="20"/>
        </w:rPr>
        <w:t xml:space="preserve"> P</w:t>
      </w:r>
      <w:r w:rsidRPr="00560B37">
        <w:rPr>
          <w:rFonts w:eastAsia="Times New Roman"/>
          <w:szCs w:val="20"/>
        </w:rPr>
        <w:t>OLICIES</w:t>
      </w:r>
      <w:bookmarkEnd w:id="3"/>
    </w:p>
    <w:p w:rsidRPr="00DA1D2C" w:rsidR="00DA1D2C" w:rsidP="00374E78" w:rsidRDefault="00DA1D2C" w14:paraId="2FA0DECF" w14:textId="77777777">
      <w:pPr>
        <w:pStyle w:val="Main"/>
        <w:jc w:val="left"/>
      </w:pPr>
    </w:p>
    <w:p w:rsidR="005A148C" w:rsidP="0024656E" w:rsidRDefault="005A148C" w14:paraId="1141C8B1" w14:textId="77777777">
      <w:pPr>
        <w:pStyle w:val="Dummy"/>
      </w:pPr>
      <w:bookmarkStart w:name="_Toc8123714" w:id="4"/>
      <w:bookmarkStart w:name="_Toc222305240" w:id="5"/>
      <w:bookmarkStart w:name="_Toc228294664" w:id="6"/>
      <w:r w:rsidRPr="0024656E">
        <w:t>Summary</w:t>
      </w:r>
      <w:bookmarkEnd w:id="4"/>
      <w:bookmarkEnd w:id="5"/>
      <w:bookmarkEnd w:id="6"/>
    </w:p>
    <w:p w:rsidR="0084292E" w:rsidP="1B28B7B6" w:rsidRDefault="00274468" w14:paraId="7ADB77A7" w14:textId="1BB7AEA4">
      <w:pPr>
        <w:pStyle w:val="Standard"/>
        <w:rPr>
          <w:rFonts w:cs="TimesNewRomanPSMT"/>
        </w:rPr>
      </w:pPr>
      <w:r>
        <w:t>This decision adopts rates for Cal</w:t>
      </w:r>
      <w:r w:rsidR="00914F82">
        <w:t>ifornia</w:t>
      </w:r>
      <w:r>
        <w:t xml:space="preserve"> Water </w:t>
      </w:r>
      <w:r w:rsidR="003021E9">
        <w:t xml:space="preserve">Service </w:t>
      </w:r>
      <w:r>
        <w:t>Company for Test Year 202</w:t>
      </w:r>
      <w:r w:rsidR="003021E9">
        <w:t>6</w:t>
      </w:r>
      <w:r>
        <w:t xml:space="preserve"> and two subsequent attrition years, 202</w:t>
      </w:r>
      <w:r w:rsidR="003021E9">
        <w:t>7</w:t>
      </w:r>
      <w:r>
        <w:t xml:space="preserve"> and 202</w:t>
      </w:r>
      <w:r w:rsidR="2AFC80EC">
        <w:t>8</w:t>
      </w:r>
      <w:r>
        <w:t xml:space="preserve">. </w:t>
      </w:r>
      <w:r w:rsidR="00FE49DE">
        <w:t xml:space="preserve">This decision grants the joint motion of California Water Service Company, </w:t>
      </w:r>
      <w:r w:rsidR="00D42EFE">
        <w:t xml:space="preserve">the </w:t>
      </w:r>
      <w:r w:rsidR="00FE49DE">
        <w:t>Public Advocates Office</w:t>
      </w:r>
      <w:r w:rsidR="003025E1">
        <w:t xml:space="preserve"> at the California Public Utilities Commission</w:t>
      </w:r>
      <w:r w:rsidR="00FE49DE">
        <w:t xml:space="preserve">, California Water Association, and National Association of Water Companies for adoption of their Partial Settlement Agreement </w:t>
      </w:r>
      <w:r w:rsidRPr="1B28B7B6" w:rsidR="00FE49DE">
        <w:rPr>
          <w:rFonts w:cs="TimesNewRomanPSMT"/>
        </w:rPr>
        <w:t xml:space="preserve">that </w:t>
      </w:r>
      <w:r w:rsidRPr="1B28B7B6" w:rsidR="005510D2">
        <w:rPr>
          <w:rFonts w:cs="TimesNewRomanPSMT"/>
        </w:rPr>
        <w:t xml:space="preserve">partially </w:t>
      </w:r>
      <w:r w:rsidRPr="1B28B7B6" w:rsidR="00FE49DE">
        <w:rPr>
          <w:rFonts w:cs="TimesNewRomanPSMT"/>
        </w:rPr>
        <w:t xml:space="preserve">resolves </w:t>
      </w:r>
      <w:r w:rsidRPr="1B28B7B6" w:rsidR="005510D2">
        <w:rPr>
          <w:rFonts w:cs="TimesNewRomanPSMT"/>
        </w:rPr>
        <w:t xml:space="preserve">some of the </w:t>
      </w:r>
      <w:r w:rsidRPr="1B28B7B6" w:rsidR="00FE49DE">
        <w:rPr>
          <w:rFonts w:cs="TimesNewRomanPSMT"/>
        </w:rPr>
        <w:t>issues in scope in this proceeding.</w:t>
      </w:r>
      <w:r w:rsidRPr="1B28B7B6" w:rsidR="004E1CD5">
        <w:rPr>
          <w:rFonts w:cs="TimesNewRomanPSMT"/>
        </w:rPr>
        <w:t xml:space="preserve"> We also </w:t>
      </w:r>
      <w:r w:rsidRPr="1B28B7B6" w:rsidR="00AF1133">
        <w:rPr>
          <w:rFonts w:cs="TimesNewRomanPSMT"/>
        </w:rPr>
        <w:t xml:space="preserve">adopt the </w:t>
      </w:r>
      <w:r w:rsidRPr="1B28B7B6" w:rsidR="00E26072">
        <w:rPr>
          <w:rFonts w:cs="TimesNewRomanPSMT"/>
        </w:rPr>
        <w:t xml:space="preserve">settled </w:t>
      </w:r>
      <w:r w:rsidRPr="1B28B7B6" w:rsidR="00AF1133">
        <w:rPr>
          <w:rFonts w:cs="TimesNewRomanPSMT"/>
        </w:rPr>
        <w:t>issues where there were no disputes and the parties stipulated to</w:t>
      </w:r>
      <w:r w:rsidRPr="1B28B7B6" w:rsidR="0718FF58">
        <w:rPr>
          <w:rFonts w:cs="TimesNewRomanPSMT"/>
        </w:rPr>
        <w:t xml:space="preserve"> a</w:t>
      </w:r>
      <w:r w:rsidRPr="1B28B7B6" w:rsidR="00AF1133">
        <w:rPr>
          <w:rFonts w:cs="TimesNewRomanPSMT"/>
        </w:rPr>
        <w:t xml:space="preserve"> forecast. </w:t>
      </w:r>
      <w:r w:rsidRPr="1B28B7B6" w:rsidR="005510D2">
        <w:rPr>
          <w:rFonts w:cs="TimesNewRomanPSMT"/>
        </w:rPr>
        <w:t>As to those issues not resolved by the Partial Settlement Agreement, this decision adjudicate</w:t>
      </w:r>
      <w:r w:rsidRPr="1B28B7B6" w:rsidR="00C81D7E">
        <w:rPr>
          <w:rFonts w:cs="TimesNewRomanPSMT"/>
        </w:rPr>
        <w:t>s</w:t>
      </w:r>
      <w:r w:rsidRPr="1B28B7B6" w:rsidR="005510D2">
        <w:rPr>
          <w:rFonts w:cs="TimesNewRomanPSMT"/>
        </w:rPr>
        <w:t xml:space="preserve"> and resolves those </w:t>
      </w:r>
      <w:r w:rsidRPr="1B28B7B6" w:rsidR="004E1CD5">
        <w:rPr>
          <w:rFonts w:cs="TimesNewRomanPSMT"/>
        </w:rPr>
        <w:t>contested</w:t>
      </w:r>
      <w:r w:rsidRPr="1B28B7B6" w:rsidR="005510D2">
        <w:rPr>
          <w:rFonts w:cs="TimesNewRomanPSMT"/>
        </w:rPr>
        <w:t xml:space="preserve"> issues in scope in this proceeding by weighing the evidence, considering the arguments made in this proceeding, and apply</w:t>
      </w:r>
      <w:r w:rsidRPr="1B28B7B6" w:rsidR="00133B21">
        <w:rPr>
          <w:rFonts w:cs="TimesNewRomanPSMT"/>
        </w:rPr>
        <w:t>ing</w:t>
      </w:r>
      <w:r w:rsidRPr="1B28B7B6" w:rsidR="005510D2">
        <w:rPr>
          <w:rFonts w:cs="TimesNewRomanPSMT"/>
        </w:rPr>
        <w:t xml:space="preserve"> the law to the facts and evidence in this proceeding.</w:t>
      </w:r>
    </w:p>
    <w:p w:rsidR="005F7016" w:rsidP="006560D0" w:rsidRDefault="004437A5" w14:paraId="4B4B4010" w14:textId="4EDCFCA6">
      <w:pPr>
        <w:pStyle w:val="Standard"/>
        <w:rPr>
          <w:rFonts w:eastAsia="Times New Roman"/>
          <w:szCs w:val="20"/>
        </w:rPr>
      </w:pPr>
      <w:r w:rsidRPr="00DA1D2C">
        <w:rPr>
          <w:rFonts w:cs="TimesNewRomanPSMT"/>
          <w:szCs w:val="26"/>
        </w:rPr>
        <w:t>This decision a</w:t>
      </w:r>
      <w:r w:rsidRPr="00DA1D2C">
        <w:rPr>
          <w:rFonts w:eastAsia="Times New Roman"/>
          <w:szCs w:val="20"/>
        </w:rPr>
        <w:t>uthorizes a</w:t>
      </w:r>
      <w:r>
        <w:rPr>
          <w:rFonts w:eastAsia="Times New Roman"/>
          <w:szCs w:val="20"/>
        </w:rPr>
        <w:t xml:space="preserve"> total revenue requirement of</w:t>
      </w:r>
      <w:r w:rsidRPr="00DA1D2C">
        <w:rPr>
          <w:rFonts w:eastAsia="Times New Roman"/>
          <w:szCs w:val="20"/>
        </w:rPr>
        <w:t xml:space="preserve"> </w:t>
      </w:r>
      <w:r w:rsidR="001B2749">
        <w:t>$923,651,400</w:t>
      </w:r>
      <w:r w:rsidRPr="00A63D35" w:rsidR="005F7016">
        <w:t xml:space="preserve"> </w:t>
      </w:r>
      <w:r w:rsidR="005F7016">
        <w:t>(</w:t>
      </w:r>
      <w:r w:rsidR="005F7016">
        <w:rPr>
          <w:rFonts w:eastAsia="Times New Roman"/>
          <w:szCs w:val="20"/>
        </w:rPr>
        <w:t xml:space="preserve">a </w:t>
      </w:r>
      <w:r w:rsidRPr="00DA1D2C" w:rsidR="005F7016">
        <w:rPr>
          <w:rFonts w:eastAsia="Times New Roman"/>
          <w:szCs w:val="20"/>
        </w:rPr>
        <w:t>rate increase of</w:t>
      </w:r>
      <w:r w:rsidR="005F7016">
        <w:t xml:space="preserve"> </w:t>
      </w:r>
      <w:r w:rsidR="002C01FE">
        <w:t>$90,503,500 or</w:t>
      </w:r>
      <w:r w:rsidDel="001B2749" w:rsidR="002C01FE">
        <w:t xml:space="preserve"> </w:t>
      </w:r>
      <w:r w:rsidR="001B2749">
        <w:t>10.9</w:t>
      </w:r>
      <w:r w:rsidR="00E132D2">
        <w:rPr>
          <w:rFonts w:eastAsia="Times New Roman"/>
          <w:szCs w:val="20"/>
        </w:rPr>
        <w:t> </w:t>
      </w:r>
      <w:r w:rsidR="005F7016">
        <w:t>percent)</w:t>
      </w:r>
      <w:r w:rsidRPr="00DA1D2C">
        <w:rPr>
          <w:rFonts w:eastAsia="Times New Roman"/>
          <w:szCs w:val="20"/>
        </w:rPr>
        <w:t xml:space="preserve"> in test year </w:t>
      </w:r>
      <w:r w:rsidRPr="00560B37">
        <w:rPr>
          <w:rFonts w:eastAsia="Times New Roman"/>
          <w:szCs w:val="20"/>
        </w:rPr>
        <w:t>2026</w:t>
      </w:r>
      <w:r>
        <w:rPr>
          <w:rFonts w:eastAsia="Times New Roman"/>
          <w:szCs w:val="20"/>
        </w:rPr>
        <w:t>;</w:t>
      </w:r>
      <w:r w:rsidRPr="00560B37">
        <w:rPr>
          <w:rFonts w:eastAsia="Times New Roman"/>
          <w:szCs w:val="20"/>
        </w:rPr>
        <w:t xml:space="preserve"> </w:t>
      </w:r>
      <w:r>
        <w:rPr>
          <w:rFonts w:eastAsia="Times New Roman"/>
          <w:szCs w:val="20"/>
        </w:rPr>
        <w:t xml:space="preserve">total revenue requirement of </w:t>
      </w:r>
      <w:r w:rsidR="001B2749">
        <w:t>$966,839,000</w:t>
      </w:r>
      <w:r w:rsidR="006560D0">
        <w:t xml:space="preserve"> (</w:t>
      </w:r>
      <w:r w:rsidR="006560D0">
        <w:rPr>
          <w:rFonts w:eastAsia="Times New Roman"/>
          <w:szCs w:val="20"/>
        </w:rPr>
        <w:t xml:space="preserve">a </w:t>
      </w:r>
      <w:r w:rsidRPr="00DA1D2C" w:rsidR="006560D0">
        <w:rPr>
          <w:rFonts w:eastAsia="Times New Roman"/>
          <w:szCs w:val="20"/>
        </w:rPr>
        <w:t>rate increase of</w:t>
      </w:r>
      <w:r w:rsidR="00547E4A">
        <w:rPr>
          <w:rFonts w:eastAsia="Times New Roman"/>
          <w:szCs w:val="20"/>
        </w:rPr>
        <w:t xml:space="preserve"> </w:t>
      </w:r>
      <w:r w:rsidR="00547E4A">
        <w:t>$43,187,600 or</w:t>
      </w:r>
      <w:r w:rsidR="006560D0">
        <w:t xml:space="preserve"> </w:t>
      </w:r>
      <w:r w:rsidR="001B2749">
        <w:t>4.7</w:t>
      </w:r>
      <w:r w:rsidR="00E132D2">
        <w:rPr>
          <w:rFonts w:eastAsia="Times New Roman"/>
          <w:szCs w:val="20"/>
        </w:rPr>
        <w:t> </w:t>
      </w:r>
      <w:r w:rsidR="006560D0">
        <w:t>percent)</w:t>
      </w:r>
      <w:r w:rsidRPr="00560B37">
        <w:rPr>
          <w:rFonts w:eastAsia="Times New Roman"/>
          <w:szCs w:val="20"/>
        </w:rPr>
        <w:t xml:space="preserve"> on </w:t>
      </w:r>
      <w:r w:rsidR="000C0896">
        <w:rPr>
          <w:rFonts w:eastAsia="Times New Roman"/>
          <w:szCs w:val="20"/>
        </w:rPr>
        <w:t>January </w:t>
      </w:r>
      <w:r w:rsidRPr="00560B37">
        <w:rPr>
          <w:rFonts w:eastAsia="Times New Roman"/>
          <w:szCs w:val="20"/>
        </w:rPr>
        <w:t>1, 2027</w:t>
      </w:r>
      <w:r>
        <w:rPr>
          <w:rFonts w:eastAsia="Times New Roman"/>
          <w:szCs w:val="20"/>
        </w:rPr>
        <w:t>;</w:t>
      </w:r>
      <w:r w:rsidRPr="00560B37">
        <w:rPr>
          <w:rFonts w:eastAsia="Times New Roman"/>
          <w:szCs w:val="20"/>
        </w:rPr>
        <w:t xml:space="preserve"> </w:t>
      </w:r>
      <w:r>
        <w:rPr>
          <w:rFonts w:eastAsia="Times New Roman"/>
          <w:szCs w:val="20"/>
        </w:rPr>
        <w:t xml:space="preserve">and total revenue requirement of </w:t>
      </w:r>
      <w:r w:rsidR="001B2749">
        <w:t>$1,015,749,250</w:t>
      </w:r>
      <w:r w:rsidR="006560D0">
        <w:t xml:space="preserve"> (</w:t>
      </w:r>
      <w:r w:rsidR="006560D0">
        <w:rPr>
          <w:rFonts w:eastAsia="Times New Roman"/>
          <w:szCs w:val="20"/>
        </w:rPr>
        <w:t xml:space="preserve">a </w:t>
      </w:r>
      <w:r w:rsidRPr="00DA1D2C" w:rsidR="006560D0">
        <w:rPr>
          <w:rFonts w:eastAsia="Times New Roman"/>
          <w:szCs w:val="20"/>
        </w:rPr>
        <w:t>rate increase of</w:t>
      </w:r>
      <w:r w:rsidR="006560D0">
        <w:t xml:space="preserve"> </w:t>
      </w:r>
      <w:r w:rsidR="007754F5">
        <w:t>$48,910,300 or</w:t>
      </w:r>
      <w:r w:rsidDel="001B2749" w:rsidR="007754F5">
        <w:t xml:space="preserve"> </w:t>
      </w:r>
      <w:r w:rsidR="001B2749">
        <w:t>5.1</w:t>
      </w:r>
      <w:r w:rsidR="00E132D2">
        <w:rPr>
          <w:rFonts w:eastAsia="Times New Roman"/>
          <w:szCs w:val="20"/>
        </w:rPr>
        <w:t> </w:t>
      </w:r>
      <w:r w:rsidR="006560D0">
        <w:t>percent)</w:t>
      </w:r>
      <w:r w:rsidRPr="00560B37">
        <w:rPr>
          <w:rFonts w:eastAsia="Times New Roman"/>
          <w:szCs w:val="20"/>
        </w:rPr>
        <w:t xml:space="preserve"> on </w:t>
      </w:r>
      <w:r w:rsidR="000C0896">
        <w:rPr>
          <w:rFonts w:eastAsia="Times New Roman"/>
          <w:szCs w:val="20"/>
        </w:rPr>
        <w:t>January </w:t>
      </w:r>
      <w:r w:rsidRPr="00560B37">
        <w:rPr>
          <w:rFonts w:eastAsia="Times New Roman"/>
          <w:szCs w:val="20"/>
        </w:rPr>
        <w:t>1, 2028</w:t>
      </w:r>
      <w:r>
        <w:rPr>
          <w:rFonts w:eastAsia="Times New Roman"/>
          <w:szCs w:val="20"/>
        </w:rPr>
        <w:t>.</w:t>
      </w:r>
    </w:p>
    <w:p w:rsidRPr="00E26072" w:rsidR="00DA1D2C" w:rsidP="00FE49DE" w:rsidRDefault="001030D6" w14:paraId="268EEE21" w14:textId="3EB82A20">
      <w:pPr>
        <w:pStyle w:val="Standard"/>
        <w:rPr>
          <w:rFonts w:eastAsia="Times New Roman"/>
          <w:szCs w:val="20"/>
        </w:rPr>
      </w:pPr>
      <w:r>
        <w:rPr>
          <w:rFonts w:eastAsia="Times New Roman"/>
          <w:szCs w:val="20"/>
        </w:rPr>
        <w:t>This decision</w:t>
      </w:r>
      <w:r w:rsidRPr="00560B37" w:rsidR="00DA1D2C">
        <w:rPr>
          <w:rFonts w:eastAsia="Times New Roman"/>
          <w:szCs w:val="20"/>
        </w:rPr>
        <w:t xml:space="preserve"> </w:t>
      </w:r>
      <w:r w:rsidRPr="00E26072" w:rsidR="00DA1D2C">
        <w:rPr>
          <w:rFonts w:eastAsia="Times New Roman"/>
          <w:szCs w:val="20"/>
        </w:rPr>
        <w:t xml:space="preserve">adopts other </w:t>
      </w:r>
      <w:r w:rsidRPr="00E26072">
        <w:rPr>
          <w:rFonts w:eastAsia="Times New Roman"/>
          <w:szCs w:val="20"/>
        </w:rPr>
        <w:t xml:space="preserve">orders as </w:t>
      </w:r>
      <w:r w:rsidRPr="00E26072" w:rsidR="00DA1D2C">
        <w:rPr>
          <w:rFonts w:eastAsia="Times New Roman"/>
          <w:szCs w:val="20"/>
        </w:rPr>
        <w:t xml:space="preserve">necessary to implement the </w:t>
      </w:r>
      <w:r w:rsidRPr="00B545FE" w:rsidR="003025E1">
        <w:t>California Public Utilities Commission</w:t>
      </w:r>
      <w:r w:rsidR="000C0896">
        <w:rPr>
          <w:rFonts w:eastAsia="Times New Roman"/>
          <w:szCs w:val="20"/>
        </w:rPr>
        <w:t>’</w:t>
      </w:r>
      <w:r w:rsidRPr="00E26072" w:rsidR="00DA1D2C">
        <w:rPr>
          <w:rFonts w:eastAsia="Times New Roman"/>
          <w:szCs w:val="20"/>
        </w:rPr>
        <w:t>s ratemaking policies.</w:t>
      </w:r>
    </w:p>
    <w:p w:rsidRPr="005510D2" w:rsidR="005510D2" w:rsidP="006E6574" w:rsidRDefault="005510D2" w14:paraId="3872F418" w14:textId="5B216775">
      <w:pPr>
        <w:pStyle w:val="Standard"/>
      </w:pPr>
      <w:r>
        <w:t>This proceeding is closed.</w:t>
      </w:r>
    </w:p>
    <w:p w:rsidR="005A148C" w:rsidP="00C35CED" w:rsidRDefault="002C7FE9" w14:paraId="4CD500F2" w14:textId="77777777">
      <w:pPr>
        <w:pStyle w:val="Heading1"/>
      </w:pPr>
      <w:bookmarkStart w:name="_Toc8123715" w:id="7"/>
      <w:bookmarkStart w:name="_Toc222305241" w:id="8"/>
      <w:bookmarkStart w:name="_Toc228294665" w:id="9"/>
      <w:r w:rsidRPr="00121089">
        <w:lastRenderedPageBreak/>
        <w:t>Background</w:t>
      </w:r>
      <w:bookmarkEnd w:id="7"/>
      <w:bookmarkEnd w:id="8"/>
      <w:bookmarkEnd w:id="9"/>
    </w:p>
    <w:p w:rsidRPr="00B545FE" w:rsidR="00B545FE" w:rsidP="005804B5" w:rsidRDefault="00B545FE" w14:paraId="67A33533" w14:textId="4ECC9F0A">
      <w:pPr>
        <w:pStyle w:val="Standard"/>
      </w:pPr>
      <w:r w:rsidRPr="00B545FE">
        <w:t xml:space="preserve">On </w:t>
      </w:r>
      <w:r w:rsidR="009E399D">
        <w:t>July </w:t>
      </w:r>
      <w:r w:rsidRPr="00B545FE">
        <w:t>8, 2024, California Water Service Company (</w:t>
      </w:r>
      <w:r w:rsidR="00EB50F8">
        <w:t>Cal Water</w:t>
      </w:r>
      <w:r w:rsidRPr="00B545FE">
        <w:t>) filed Application (A.)</w:t>
      </w:r>
      <w:r w:rsidR="0080343B">
        <w:t> </w:t>
      </w:r>
      <w:r w:rsidRPr="00B545FE">
        <w:t>24</w:t>
      </w:r>
      <w:r w:rsidR="00270999">
        <w:noBreakHyphen/>
      </w:r>
      <w:r w:rsidRPr="00B545FE">
        <w:t>07</w:t>
      </w:r>
      <w:r w:rsidR="00270999">
        <w:noBreakHyphen/>
      </w:r>
      <w:r w:rsidRPr="00B545FE">
        <w:t xml:space="preserve">003 </w:t>
      </w:r>
      <w:r w:rsidRPr="00B545FE" w:rsidR="23FF6D80">
        <w:t xml:space="preserve">for a </w:t>
      </w:r>
      <w:r w:rsidR="00191DA5">
        <w:t>g</w:t>
      </w:r>
      <w:r w:rsidRPr="00B545FE" w:rsidR="00191DA5">
        <w:t xml:space="preserve">eneral </w:t>
      </w:r>
      <w:r w:rsidR="00191DA5">
        <w:t>r</w:t>
      </w:r>
      <w:r w:rsidRPr="00B545FE" w:rsidR="23FF6D80">
        <w:t xml:space="preserve">ate </w:t>
      </w:r>
      <w:r w:rsidR="00191DA5">
        <w:t>i</w:t>
      </w:r>
      <w:r w:rsidRPr="00B545FE" w:rsidR="00191DA5">
        <w:t xml:space="preserve">ncrease </w:t>
      </w:r>
      <w:r w:rsidRPr="00B545FE">
        <w:t xml:space="preserve">with the </w:t>
      </w:r>
      <w:bookmarkStart w:name="_Hlk212639237" w:id="10"/>
      <w:r w:rsidRPr="00B545FE">
        <w:t>California Public Utilities Commission</w:t>
      </w:r>
      <w:bookmarkEnd w:id="10"/>
      <w:r w:rsidRPr="00B545FE">
        <w:t xml:space="preserve"> (Commission</w:t>
      </w:r>
      <w:r w:rsidR="0008334E">
        <w:t xml:space="preserve"> or CPUC</w:t>
      </w:r>
      <w:r w:rsidRPr="00B545FE">
        <w:t>)</w:t>
      </w:r>
      <w:r w:rsidR="007917F0">
        <w:t>.</w:t>
      </w:r>
      <w:r w:rsidR="006449CC">
        <w:rPr>
          <w:rStyle w:val="FootnoteReference"/>
        </w:rPr>
        <w:footnoteReference w:id="2"/>
      </w:r>
      <w:r w:rsidR="006449CC">
        <w:t xml:space="preserve"> </w:t>
      </w:r>
      <w:r w:rsidR="00EB50F8">
        <w:t>Cal Water</w:t>
      </w:r>
      <w:r w:rsidRPr="004E458B" w:rsidR="007917F0">
        <w:t xml:space="preserve"> is the largest subsidiary of the California Water Service Group, which also includes Washington Water Service, New Mexico Water Service, Texas Water Service, and Hawaii Water Service.</w:t>
      </w:r>
      <w:r w:rsidR="007917F0">
        <w:rPr>
          <w:rStyle w:val="FootnoteReference"/>
        </w:rPr>
        <w:footnoteReference w:id="3"/>
      </w:r>
      <w:r w:rsidRPr="004E458B" w:rsidR="007917F0">
        <w:t xml:space="preserve"> </w:t>
      </w:r>
      <w:r w:rsidR="00EB50F8">
        <w:t>Cal Water</w:t>
      </w:r>
      <w:r w:rsidR="007917F0">
        <w:t xml:space="preserve"> </w:t>
      </w:r>
      <w:r w:rsidRPr="00B545FE">
        <w:t>seek</w:t>
      </w:r>
      <w:r w:rsidR="007917F0">
        <w:t>s</w:t>
      </w:r>
      <w:r w:rsidRPr="00B545FE">
        <w:t xml:space="preserve"> authority</w:t>
      </w:r>
      <w:r w:rsidR="00BF5181">
        <w:rPr>
          <w:rStyle w:val="FootnoteReference"/>
        </w:rPr>
        <w:footnoteReference w:id="4"/>
      </w:r>
      <w:r w:rsidRPr="00B545FE">
        <w:t xml:space="preserve"> to increase rates for water service by $140,558,101, or 17.1</w:t>
      </w:r>
      <w:r w:rsidR="0032703D">
        <w:t> percent</w:t>
      </w:r>
      <w:r w:rsidRPr="00B545FE">
        <w:t>, in test year 2026; by $74,162,564, or 7.7</w:t>
      </w:r>
      <w:r w:rsidR="0032703D">
        <w:t> percent</w:t>
      </w:r>
      <w:r w:rsidRPr="00B545FE">
        <w:t xml:space="preserve">, on </w:t>
      </w:r>
      <w:r w:rsidR="000C0896">
        <w:t>January </w:t>
      </w:r>
      <w:r w:rsidRPr="00B545FE">
        <w:t>1, 2027; and by $83,574,190, or 8.1</w:t>
      </w:r>
      <w:r w:rsidR="0032703D">
        <w:t> percent</w:t>
      </w:r>
      <w:r w:rsidRPr="00B545FE">
        <w:t xml:space="preserve">, on </w:t>
      </w:r>
      <w:r w:rsidR="000C0896">
        <w:t>January </w:t>
      </w:r>
      <w:r w:rsidRPr="00B545FE">
        <w:t>1, 2028. The Application also requested approval of various Special Requests and other related relief.</w:t>
      </w:r>
    </w:p>
    <w:p w:rsidRPr="00B545FE" w:rsidR="00B545FE" w:rsidP="005804B5" w:rsidRDefault="00B545FE" w14:paraId="7B3CE50D" w14:textId="39B62CFD">
      <w:pPr>
        <w:pStyle w:val="Standard"/>
      </w:pPr>
      <w:r w:rsidRPr="00B545FE">
        <w:t xml:space="preserve">On </w:t>
      </w:r>
      <w:r w:rsidR="009E399D">
        <w:t>August </w:t>
      </w:r>
      <w:r w:rsidRPr="00B545FE">
        <w:t xml:space="preserve">7, 2024, the City of Carson protested the Application. On </w:t>
      </w:r>
      <w:r w:rsidR="009E399D">
        <w:t>August </w:t>
      </w:r>
      <w:r w:rsidRPr="00B545FE">
        <w:t xml:space="preserve">8, 2024, the </w:t>
      </w:r>
      <w:bookmarkStart w:name="_Hlk212639281" w:id="11"/>
      <w:r w:rsidR="003025E1">
        <w:t xml:space="preserve">Public Advocates Office at the California Public Utilities Commission </w:t>
      </w:r>
      <w:r w:rsidRPr="00B545FE">
        <w:t>(</w:t>
      </w:r>
      <w:r w:rsidR="00EB50F8">
        <w:t>Cal Advocates</w:t>
      </w:r>
      <w:r w:rsidRPr="00B545FE">
        <w:t>) filed its protest, and the California Water Association (CWA) and the National Association of Water Companies (NAWC)</w:t>
      </w:r>
      <w:bookmarkEnd w:id="11"/>
      <w:r w:rsidRPr="00B545FE">
        <w:t xml:space="preserve"> submitted responses. On </w:t>
      </w:r>
      <w:r w:rsidR="009E399D">
        <w:t>August </w:t>
      </w:r>
      <w:r w:rsidRPr="00B545FE">
        <w:t xml:space="preserve">16, 2024, the City of Bakersfield moved for party status. </w:t>
      </w:r>
      <w:r w:rsidR="00EB50F8">
        <w:t>Cal Water</w:t>
      </w:r>
      <w:r w:rsidRPr="00B545FE">
        <w:t xml:space="preserve"> filed replies to the protests of </w:t>
      </w:r>
      <w:r w:rsidR="00EB50F8">
        <w:t>Cal Advocates</w:t>
      </w:r>
      <w:r w:rsidRPr="00B545FE">
        <w:t xml:space="preserve"> and the City of Carson on </w:t>
      </w:r>
      <w:r w:rsidR="0068306C">
        <w:t>August </w:t>
      </w:r>
      <w:r w:rsidRPr="00B545FE">
        <w:t>19, 2024.</w:t>
      </w:r>
    </w:p>
    <w:p w:rsidRPr="00B545FE" w:rsidR="00B545FE" w:rsidP="005804B5" w:rsidRDefault="00B545FE" w14:paraId="6A2C29C4" w14:textId="0A392642">
      <w:pPr>
        <w:pStyle w:val="Standard"/>
      </w:pPr>
      <w:r w:rsidRPr="00B545FE">
        <w:t xml:space="preserve">On </w:t>
      </w:r>
      <w:r w:rsidR="0068306C">
        <w:t>August </w:t>
      </w:r>
      <w:r w:rsidRPr="00B545FE">
        <w:t xml:space="preserve">26, 2024, the Commission appointed </w:t>
      </w:r>
      <w:bookmarkStart w:name="_Hlk212639551" w:id="12"/>
      <w:r w:rsidRPr="00B545FE">
        <w:t>Administrative Law Judges (ALJs) Jacob Rambo and Peter Wercinski as Alternative Dispute Resolution (ADR)</w:t>
      </w:r>
      <w:bookmarkEnd w:id="12"/>
      <w:r w:rsidRPr="00B545FE">
        <w:t xml:space="preserve"> neutrals. The parties met with the ALJ neutrals on </w:t>
      </w:r>
      <w:r w:rsidR="0068306C">
        <w:t>September </w:t>
      </w:r>
      <w:r w:rsidRPr="00B545FE">
        <w:t>19, 2024, for an initial discussion of the ADR process.</w:t>
      </w:r>
    </w:p>
    <w:p w:rsidRPr="00B545FE" w:rsidR="00B545FE" w:rsidP="005804B5" w:rsidRDefault="00B545FE" w14:paraId="3B4B42C2" w14:textId="27B21EB1">
      <w:pPr>
        <w:pStyle w:val="Standard"/>
      </w:pPr>
      <w:r w:rsidRPr="00B545FE">
        <w:lastRenderedPageBreak/>
        <w:t xml:space="preserve">Pursuant to </w:t>
      </w:r>
      <w:r w:rsidR="00CB7EB9">
        <w:t>the</w:t>
      </w:r>
      <w:r w:rsidRPr="00B545FE">
        <w:t xml:space="preserve"> </w:t>
      </w:r>
      <w:r w:rsidR="0068306C">
        <w:t>August </w:t>
      </w:r>
      <w:r w:rsidRPr="00B545FE">
        <w:t xml:space="preserve">30, 2024 </w:t>
      </w:r>
      <w:r w:rsidR="0032369C">
        <w:t xml:space="preserve">ALJ </w:t>
      </w:r>
      <w:r w:rsidRPr="00B545FE">
        <w:t xml:space="preserve">ruling, </w:t>
      </w:r>
      <w:r w:rsidR="00EB50F8">
        <w:t>Cal Water</w:t>
      </w:r>
      <w:r w:rsidRPr="00B545FE">
        <w:t xml:space="preserve">, </w:t>
      </w:r>
      <w:r w:rsidR="00EB50F8">
        <w:t>Cal Advocates</w:t>
      </w:r>
      <w:r w:rsidRPr="00B545FE">
        <w:t xml:space="preserve">, the City of Carson, the City of Bakersfield, CWA, and NAWC filed a joint </w:t>
      </w:r>
      <w:bookmarkStart w:name="_Hlk212639652" w:id="13"/>
      <w:r w:rsidRPr="00B545FE">
        <w:t>prehearing conference</w:t>
      </w:r>
      <w:bookmarkEnd w:id="13"/>
      <w:r w:rsidRPr="00B545FE">
        <w:t xml:space="preserve"> statement on </w:t>
      </w:r>
      <w:r w:rsidR="0068306C">
        <w:t>September </w:t>
      </w:r>
      <w:r w:rsidRPr="00B545FE">
        <w:t xml:space="preserve">23, 2024, proposing a procedural schedule, recommending a proceeding category, and identifying a preliminary list of issues. The </w:t>
      </w:r>
      <w:r w:rsidR="002F4FE3">
        <w:t>prehearing conference</w:t>
      </w:r>
      <w:r w:rsidRPr="00B545FE">
        <w:t xml:space="preserve"> was held on </w:t>
      </w:r>
      <w:r w:rsidR="0068306C">
        <w:t>September </w:t>
      </w:r>
      <w:r w:rsidRPr="00B545FE">
        <w:t>30, 2024.</w:t>
      </w:r>
    </w:p>
    <w:p w:rsidR="0084292E" w:rsidP="005804B5" w:rsidRDefault="00B545FE" w14:paraId="018884DC" w14:textId="272AD5C7">
      <w:pPr>
        <w:pStyle w:val="Standard"/>
      </w:pPr>
      <w:r w:rsidRPr="00B545FE">
        <w:t>The Assigned Commissioner</w:t>
      </w:r>
      <w:r w:rsidR="000C0896">
        <w:t>’</w:t>
      </w:r>
      <w:r w:rsidRPr="00B545FE">
        <w:t xml:space="preserve">s Scoping Memo and Ruling was issued on </w:t>
      </w:r>
      <w:r w:rsidR="0068306C">
        <w:t>November </w:t>
      </w:r>
      <w:r w:rsidRPr="00B545FE">
        <w:t xml:space="preserve">8, 2024, followed by the Amended Scoping Memo and Ruling on </w:t>
      </w:r>
      <w:r w:rsidR="000C0896">
        <w:t>March </w:t>
      </w:r>
      <w:r w:rsidRPr="00B545FE">
        <w:t>13, 2025. The Amended Scoping Memo established the scope and category of the proceeding, set the procedural schedule, provided direction for the ADR process, and listed the locations for mandatory public participation hearings</w:t>
      </w:r>
      <w:r w:rsidR="002F4FE3">
        <w:t xml:space="preserve"> (the t</w:t>
      </w:r>
      <w:r w:rsidRPr="00B545FE">
        <w:t xml:space="preserve">wo </w:t>
      </w:r>
      <w:r w:rsidR="002F4FE3">
        <w:t xml:space="preserve">hearings </w:t>
      </w:r>
      <w:r w:rsidRPr="00B545FE">
        <w:t xml:space="preserve">were held on </w:t>
      </w:r>
      <w:r w:rsidR="000C0896">
        <w:t>January </w:t>
      </w:r>
      <w:r w:rsidRPr="00B545FE">
        <w:t>23, 2025</w:t>
      </w:r>
      <w:r w:rsidR="002F4FE3">
        <w:t>)</w:t>
      </w:r>
      <w:r w:rsidRPr="00B545FE">
        <w:t>.</w:t>
      </w:r>
    </w:p>
    <w:p w:rsidRPr="00B545FE" w:rsidR="00B545FE" w:rsidP="005804B5" w:rsidRDefault="00EB50F8" w14:paraId="0CF8F0F0" w14:textId="4CFAB9B6">
      <w:pPr>
        <w:pStyle w:val="Standard"/>
      </w:pPr>
      <w:r>
        <w:t>Cal Advocates</w:t>
      </w:r>
      <w:r w:rsidRPr="00B545FE" w:rsidR="00B545FE">
        <w:t xml:space="preserve"> served its direct testimony on </w:t>
      </w:r>
      <w:r w:rsidR="000C0896">
        <w:t>January </w:t>
      </w:r>
      <w:r w:rsidRPr="00B545FE" w:rsidR="00B545FE">
        <w:t xml:space="preserve">28, 2025; CWA and NAWC served testimony on </w:t>
      </w:r>
      <w:r w:rsidR="000C0896">
        <w:t>February </w:t>
      </w:r>
      <w:r w:rsidRPr="00B545FE" w:rsidR="00B545FE">
        <w:t xml:space="preserve">11, 2025; and </w:t>
      </w:r>
      <w:r>
        <w:t>Cal Water</w:t>
      </w:r>
      <w:r w:rsidRPr="00B545FE" w:rsidR="00B545FE">
        <w:t xml:space="preserve"> served its rebuttal testimony on </w:t>
      </w:r>
      <w:r w:rsidR="000C0896">
        <w:t>March </w:t>
      </w:r>
      <w:r w:rsidRPr="00B545FE" w:rsidR="00B545FE">
        <w:t xml:space="preserve">28, 2025. </w:t>
      </w:r>
      <w:r>
        <w:t>Cal Advocates</w:t>
      </w:r>
      <w:r w:rsidRPr="00B545FE" w:rsidR="00B545FE">
        <w:t xml:space="preserve"> submitted minor corrections to its testimony on </w:t>
      </w:r>
      <w:r w:rsidR="000C0896">
        <w:t>May </w:t>
      </w:r>
      <w:r w:rsidRPr="00B545FE" w:rsidR="00B545FE">
        <w:t xml:space="preserve">5 and </w:t>
      </w:r>
      <w:r w:rsidR="000C0896">
        <w:t>May </w:t>
      </w:r>
      <w:r w:rsidRPr="00B545FE" w:rsidR="00B545FE">
        <w:t>19, 2025.</w:t>
      </w:r>
    </w:p>
    <w:p w:rsidRPr="00B545FE" w:rsidR="00B545FE" w:rsidP="005804B5" w:rsidRDefault="00EB50F8" w14:paraId="453FED2C" w14:textId="6FDCDD55">
      <w:pPr>
        <w:pStyle w:val="Standard"/>
      </w:pPr>
      <w:r>
        <w:t>Cal Water</w:t>
      </w:r>
      <w:r w:rsidRPr="00B545FE" w:rsidR="00B545FE">
        <w:t xml:space="preserve"> and </w:t>
      </w:r>
      <w:r>
        <w:t>Cal Advocates</w:t>
      </w:r>
      <w:r w:rsidRPr="00B545FE" w:rsidR="00B545FE">
        <w:t xml:space="preserve"> filed a joint motion requesting evidentiary hearings on </w:t>
      </w:r>
      <w:r w:rsidR="000C0896">
        <w:t>April </w:t>
      </w:r>
      <w:r w:rsidRPr="00B545FE" w:rsidR="00B545FE">
        <w:t>22, 2025. Although the parties agreed to waive cross</w:t>
      </w:r>
      <w:r w:rsidR="00270999">
        <w:noBreakHyphen/>
      </w:r>
      <w:r w:rsidRPr="00B545FE" w:rsidR="00B545FE">
        <w:t xml:space="preserve">examination of witnesses, evidentiary hearings were held at the request of the assigned ALJ on </w:t>
      </w:r>
      <w:r w:rsidR="000C0896">
        <w:t>May </w:t>
      </w:r>
      <w:r w:rsidRPr="00B545FE" w:rsidR="00B545FE">
        <w:t>14</w:t>
      </w:r>
      <w:r w:rsidR="00270999">
        <w:noBreakHyphen/>
      </w:r>
      <w:r w:rsidRPr="00B545FE" w:rsidR="00B545FE">
        <w:t xml:space="preserve">15 and </w:t>
      </w:r>
      <w:r w:rsidR="003C25E6">
        <w:t>May </w:t>
      </w:r>
      <w:r w:rsidRPr="00B545FE" w:rsidR="00B545FE">
        <w:t>21, 2025, to allow the ALJ to question witnesses regarding their testimony.</w:t>
      </w:r>
    </w:p>
    <w:p w:rsidR="00B545FE" w:rsidP="005804B5" w:rsidRDefault="00B545FE" w14:paraId="407A7D7D" w14:textId="16D7C73D">
      <w:pPr>
        <w:pStyle w:val="Standard"/>
      </w:pPr>
      <w:r>
        <w:t xml:space="preserve">Status conferences were held on </w:t>
      </w:r>
      <w:r w:rsidR="0068306C">
        <w:t>November </w:t>
      </w:r>
      <w:r>
        <w:t xml:space="preserve">20, 2024, </w:t>
      </w:r>
      <w:r w:rsidR="000C0896">
        <w:t>January </w:t>
      </w:r>
      <w:r>
        <w:t xml:space="preserve">29, 2025, </w:t>
      </w:r>
      <w:r w:rsidR="000C0896">
        <w:t>April </w:t>
      </w:r>
      <w:r>
        <w:t xml:space="preserve">29, 2025, and </w:t>
      </w:r>
      <w:r w:rsidR="000C0896">
        <w:t>June </w:t>
      </w:r>
      <w:r>
        <w:t xml:space="preserve">17, 2025. Following the </w:t>
      </w:r>
      <w:r w:rsidR="000C0896">
        <w:t>June </w:t>
      </w:r>
      <w:r>
        <w:t xml:space="preserve">17 status conference, the briefing schedule was revised, setting </w:t>
      </w:r>
      <w:r w:rsidR="5FB430B6">
        <w:t xml:space="preserve">the filing of </w:t>
      </w:r>
      <w:r>
        <w:t xml:space="preserve">opening briefs </w:t>
      </w:r>
      <w:r w:rsidR="7E14EC6A">
        <w:t>by</w:t>
      </w:r>
      <w:r>
        <w:t xml:space="preserve"> </w:t>
      </w:r>
      <w:r w:rsidR="009E399D">
        <w:t>July </w:t>
      </w:r>
      <w:r>
        <w:t xml:space="preserve">7, 2025, and reply briefs </w:t>
      </w:r>
      <w:r w:rsidR="5BDF8048">
        <w:t>by</w:t>
      </w:r>
      <w:r>
        <w:t xml:space="preserve"> </w:t>
      </w:r>
      <w:r w:rsidR="009E399D">
        <w:t>July </w:t>
      </w:r>
      <w:r>
        <w:t>28, 2025.</w:t>
      </w:r>
    </w:p>
    <w:p w:rsidR="00814338" w:rsidP="005804B5" w:rsidRDefault="00814338" w14:paraId="745D35B5" w14:textId="5CDEBDB5">
      <w:pPr>
        <w:pStyle w:val="Standard"/>
      </w:pPr>
      <w:r w:rsidRPr="00814338">
        <w:t xml:space="preserve">On </w:t>
      </w:r>
      <w:r w:rsidR="000C0896">
        <w:t>June </w:t>
      </w:r>
      <w:r w:rsidRPr="00814338">
        <w:t xml:space="preserve">13, 2025, </w:t>
      </w:r>
      <w:r w:rsidR="00EB50F8">
        <w:t>Cal Water</w:t>
      </w:r>
      <w:r w:rsidRPr="00814338">
        <w:t xml:space="preserve"> filed a </w:t>
      </w:r>
      <w:r w:rsidR="002F4FE3">
        <w:t>m</w:t>
      </w:r>
      <w:r w:rsidRPr="00814338">
        <w:t xml:space="preserve">otion for </w:t>
      </w:r>
      <w:r w:rsidR="002F4FE3">
        <w:t>i</w:t>
      </w:r>
      <w:r w:rsidRPr="00814338">
        <w:t xml:space="preserve">nterim </w:t>
      </w:r>
      <w:r w:rsidR="002F4FE3">
        <w:t>r</w:t>
      </w:r>
      <w:r w:rsidRPr="00814338">
        <w:t xml:space="preserve">ates to track the difference between the interim rates in effect starting </w:t>
      </w:r>
      <w:r w:rsidR="000C0896">
        <w:t>January </w:t>
      </w:r>
      <w:r w:rsidRPr="00814338">
        <w:t xml:space="preserve">1, 2026, and the </w:t>
      </w:r>
      <w:r w:rsidRPr="00814338">
        <w:lastRenderedPageBreak/>
        <w:t>Commission</w:t>
      </w:r>
      <w:r w:rsidR="00270999">
        <w:noBreakHyphen/>
      </w:r>
      <w:r w:rsidRPr="00814338">
        <w:t>approved final rates that would have been in effect during the interim period until final rates are implemented.</w:t>
      </w:r>
    </w:p>
    <w:p w:rsidRPr="00B545FE" w:rsidR="00B545FE" w:rsidP="005804B5" w:rsidRDefault="00B545FE" w14:paraId="362CE958" w14:textId="5C2053B9">
      <w:pPr>
        <w:pStyle w:val="Standard"/>
      </w:pPr>
      <w:r w:rsidRPr="00B545FE">
        <w:t xml:space="preserve">On </w:t>
      </w:r>
      <w:r w:rsidR="000C0896">
        <w:t>June </w:t>
      </w:r>
      <w:r w:rsidRPr="00B545FE">
        <w:t xml:space="preserve">23 and </w:t>
      </w:r>
      <w:r w:rsidR="000C0896">
        <w:t>June </w:t>
      </w:r>
      <w:r w:rsidRPr="00B545FE">
        <w:t xml:space="preserve">25, 2025, the City of Bakersfield and the City of Carson, respectively, filed motions for inactive party status. On </w:t>
      </w:r>
      <w:r w:rsidR="009E399D">
        <w:t>July </w:t>
      </w:r>
      <w:r w:rsidRPr="00B545FE">
        <w:t xml:space="preserve">7, 2025, </w:t>
      </w:r>
      <w:r w:rsidR="00EB50F8">
        <w:t>Cal Water</w:t>
      </w:r>
      <w:r w:rsidRPr="00B545FE">
        <w:t xml:space="preserve"> and other parties filed a joint motion to move exhibits into evidence, and on </w:t>
      </w:r>
      <w:r w:rsidR="009E399D">
        <w:t>July </w:t>
      </w:r>
      <w:r w:rsidRPr="00B545FE">
        <w:t>29, 2025, the parties submitted a joint comparison exhibit.</w:t>
      </w:r>
    </w:p>
    <w:p w:rsidR="00814338" w:rsidP="005804B5" w:rsidRDefault="00B545FE" w14:paraId="460AC7AC" w14:textId="7F97C736">
      <w:pPr>
        <w:pStyle w:val="Standard"/>
      </w:pPr>
      <w:r w:rsidRPr="00B545FE">
        <w:t xml:space="preserve">A formal settlement conference was properly noticed on </w:t>
      </w:r>
      <w:r w:rsidR="009E399D">
        <w:t>July </w:t>
      </w:r>
      <w:r w:rsidRPr="00B545FE">
        <w:t xml:space="preserve">24, 2025, pursuant to </w:t>
      </w:r>
      <w:r w:rsidR="003A5B7D">
        <w:t>Rule </w:t>
      </w:r>
      <w:r w:rsidRPr="00B545FE">
        <w:t>12.1(b)</w:t>
      </w:r>
      <w:r w:rsidR="003A5B7D">
        <w:t xml:space="preserve"> </w:t>
      </w:r>
      <w:r w:rsidR="009D3337">
        <w:t xml:space="preserve">of the </w:t>
      </w:r>
      <w:r w:rsidRPr="003A5B7D" w:rsidR="003A5B7D">
        <w:t>Commission</w:t>
      </w:r>
      <w:r w:rsidR="000C0896">
        <w:t>’</w:t>
      </w:r>
      <w:r w:rsidRPr="003A5B7D" w:rsidR="003A5B7D">
        <w:t>s Rules of Practice and Procedure (Rules)</w:t>
      </w:r>
      <w:r w:rsidRPr="00B545FE">
        <w:t xml:space="preserve">, and held on </w:t>
      </w:r>
      <w:r w:rsidR="009E399D">
        <w:t>July </w:t>
      </w:r>
      <w:r w:rsidRPr="00B545FE">
        <w:t>31, 2025, with participation from interested parties.</w:t>
      </w:r>
    </w:p>
    <w:p w:rsidR="00814338" w:rsidP="005804B5" w:rsidRDefault="00814338" w14:paraId="7DE14066" w14:textId="75EB4F93">
      <w:pPr>
        <w:pStyle w:val="Standard"/>
      </w:pPr>
      <w:r>
        <w:t xml:space="preserve">Pursuant to an </w:t>
      </w:r>
      <w:r w:rsidR="0068306C">
        <w:t>October </w:t>
      </w:r>
      <w:r>
        <w:t xml:space="preserve">3, 2025 ALJ ruling, </w:t>
      </w:r>
      <w:r w:rsidR="00EB50F8">
        <w:t>Cal Water</w:t>
      </w:r>
      <w:r>
        <w:t xml:space="preserve"> was directed </w:t>
      </w:r>
      <w:r w:rsidR="002F3F2D">
        <w:t xml:space="preserve">to </w:t>
      </w:r>
      <w:r>
        <w:t xml:space="preserve">file a </w:t>
      </w:r>
      <w:r w:rsidR="00EB50F8">
        <w:t>Tier 1</w:t>
      </w:r>
      <w:r>
        <w:t xml:space="preserve"> </w:t>
      </w:r>
      <w:r w:rsidR="00752B5D">
        <w:t>advice letter</w:t>
      </w:r>
      <w:r w:rsidR="002F3F2D">
        <w:t xml:space="preserve"> by </w:t>
      </w:r>
      <w:r w:rsidR="0068306C">
        <w:t>November </w:t>
      </w:r>
      <w:r w:rsidR="002F3F2D">
        <w:t xml:space="preserve">17, 2025, </w:t>
      </w:r>
      <w:r>
        <w:t xml:space="preserve">to implement interim rates effective </w:t>
      </w:r>
      <w:r w:rsidR="000C0896">
        <w:t>January </w:t>
      </w:r>
      <w:r>
        <w:t>1, 2026, and establish a 2026 Interim Rates Memorandum Account</w:t>
      </w:r>
      <w:r w:rsidR="002F3F2D">
        <w:t>.</w:t>
      </w:r>
      <w:r w:rsidR="00553F3D">
        <w:t xml:space="preserve"> </w:t>
      </w:r>
      <w:r w:rsidR="00EB50F8">
        <w:t>Cal Water</w:t>
      </w:r>
      <w:r w:rsidR="00553F3D">
        <w:t xml:space="preserve"> filed this required advice letter on </w:t>
      </w:r>
      <w:r w:rsidR="0068306C">
        <w:t>November </w:t>
      </w:r>
      <w:r w:rsidR="00553F3D">
        <w:t>14, 2025.</w:t>
      </w:r>
    </w:p>
    <w:p w:rsidR="009C53AA" w:rsidP="005804B5" w:rsidRDefault="00E01F52" w14:paraId="18EE51E1" w14:textId="7C175C77">
      <w:pPr>
        <w:pStyle w:val="Standard"/>
      </w:pPr>
      <w:r w:rsidRPr="00E01F52">
        <w:t xml:space="preserve">An </w:t>
      </w:r>
      <w:r w:rsidRPr="00E01F52" w:rsidR="009C53AA">
        <w:t>Assigned Commissioner</w:t>
      </w:r>
      <w:r w:rsidR="000C0896">
        <w:t>’</w:t>
      </w:r>
      <w:r w:rsidRPr="00E01F52" w:rsidR="009C53AA">
        <w:t>s Ruling</w:t>
      </w:r>
      <w:r w:rsidRPr="00E01F52">
        <w:t xml:space="preserve"> was issued on </w:t>
      </w:r>
      <w:r w:rsidR="0068306C">
        <w:t>November </w:t>
      </w:r>
      <w:r w:rsidRPr="00E01F52">
        <w:t>14, 2025,</w:t>
      </w:r>
      <w:r w:rsidRPr="00E01F52" w:rsidR="009C53AA">
        <w:t xml:space="preserve"> amending </w:t>
      </w:r>
      <w:r w:rsidRPr="00E01F52">
        <w:t xml:space="preserve">the </w:t>
      </w:r>
      <w:r w:rsidRPr="00E01F52" w:rsidR="009C53AA">
        <w:t xml:space="preserve">prohibitions on </w:t>
      </w:r>
      <w:r w:rsidRPr="0080343B" w:rsidR="009C53AA">
        <w:rPr>
          <w:i/>
          <w:iCs/>
        </w:rPr>
        <w:t>ex</w:t>
      </w:r>
      <w:r w:rsidR="0080343B">
        <w:rPr>
          <w:i/>
          <w:iCs/>
        </w:rPr>
        <w:t> </w:t>
      </w:r>
      <w:r w:rsidRPr="0080343B" w:rsidR="009C53AA">
        <w:rPr>
          <w:i/>
          <w:iCs/>
        </w:rPr>
        <w:t>parte</w:t>
      </w:r>
      <w:r w:rsidRPr="00E01F52" w:rsidR="009C53AA">
        <w:t xml:space="preserve"> communication.</w:t>
      </w:r>
    </w:p>
    <w:p w:rsidRPr="00E01F52" w:rsidR="00565CBA" w:rsidP="005804B5" w:rsidRDefault="00565CBA" w14:paraId="7B9779F1" w14:textId="587281D2">
      <w:pPr>
        <w:pStyle w:val="Standard"/>
      </w:pPr>
      <w:r>
        <w:t xml:space="preserve">Oral Argument was held in person on April </w:t>
      </w:r>
      <w:r w:rsidR="00453B57">
        <w:t>6, 2026, at the Commission’s headquarters in San Francisco.</w:t>
      </w:r>
    </w:p>
    <w:p w:rsidR="00683B2C" w:rsidP="00683B2C" w:rsidRDefault="00683B2C" w14:paraId="34174D4E" w14:textId="786C7761">
      <w:pPr>
        <w:pStyle w:val="Heading2"/>
      </w:pPr>
      <w:bookmarkStart w:name="_Toc222305242" w:id="14"/>
      <w:bookmarkStart w:name="_Toc228294666" w:id="15"/>
      <w:r>
        <w:t>Submission Date</w:t>
      </w:r>
      <w:bookmarkEnd w:id="14"/>
      <w:bookmarkEnd w:id="15"/>
    </w:p>
    <w:p w:rsidR="00683B2C" w:rsidP="00CA2648" w:rsidRDefault="00683B2C" w14:paraId="21D54718" w14:textId="0D488292">
      <w:pPr>
        <w:pStyle w:val="Standard"/>
      </w:pPr>
      <w:r w:rsidRPr="009C53AA">
        <w:t>This matter was submitted on</w:t>
      </w:r>
      <w:r w:rsidR="00553F3D">
        <w:t xml:space="preserve"> </w:t>
      </w:r>
      <w:r w:rsidR="000C0896">
        <w:t>January </w:t>
      </w:r>
      <w:r w:rsidR="002D5576">
        <w:t>5</w:t>
      </w:r>
      <w:r w:rsidR="00553F3D">
        <w:t>, 2026,</w:t>
      </w:r>
      <w:r w:rsidRPr="00A63D35">
        <w:t xml:space="preserve"> </w:t>
      </w:r>
      <w:r w:rsidRPr="00FF0265">
        <w:t xml:space="preserve">upon </w:t>
      </w:r>
      <w:r w:rsidR="00CA2648">
        <w:t xml:space="preserve">the issuance of the </w:t>
      </w:r>
      <w:r w:rsidR="002F4FE3">
        <w:t>ALJ</w:t>
      </w:r>
      <w:r w:rsidR="000C0896">
        <w:t>’</w:t>
      </w:r>
      <w:r w:rsidR="00CA2648">
        <w:t>s Ruling Setting Submission Date.</w:t>
      </w:r>
    </w:p>
    <w:p w:rsidR="00CA2648" w:rsidP="00CA2648" w:rsidRDefault="00CA2648" w14:paraId="674677D4" w14:textId="55938F05">
      <w:pPr>
        <w:pStyle w:val="Heading2"/>
      </w:pPr>
      <w:bookmarkStart w:name="_Toc222305243" w:id="16"/>
      <w:bookmarkStart w:name="_Toc228294667" w:id="17"/>
      <w:r>
        <w:t>Burden of Proof</w:t>
      </w:r>
      <w:bookmarkEnd w:id="16"/>
      <w:bookmarkEnd w:id="17"/>
    </w:p>
    <w:p w:rsidR="0084292E" w:rsidP="00CC5C5D" w:rsidRDefault="00CC5C5D" w14:paraId="3C0C39FA" w14:textId="70B39840">
      <w:pPr>
        <w:pStyle w:val="Standard"/>
      </w:pPr>
      <w:r w:rsidRPr="00CC5C5D">
        <w:t xml:space="preserve">In </w:t>
      </w:r>
      <w:r w:rsidR="00191DA5">
        <w:t>a General Rate Case</w:t>
      </w:r>
      <w:r w:rsidRPr="00CC5C5D" w:rsidR="00191DA5">
        <w:t xml:space="preserve"> </w:t>
      </w:r>
      <w:r w:rsidR="00191DA5">
        <w:t>(</w:t>
      </w:r>
      <w:r w:rsidRPr="00CC5C5D">
        <w:t>GRC</w:t>
      </w:r>
      <w:r w:rsidR="00191DA5">
        <w:t>)</w:t>
      </w:r>
      <w:r w:rsidRPr="00CC5C5D">
        <w:t xml:space="preserve">, </w:t>
      </w:r>
      <w:r w:rsidR="00191DA5">
        <w:t>the applicant utility</w:t>
      </w:r>
      <w:r w:rsidRPr="00CC5C5D">
        <w:t xml:space="preserve"> bears the burden of </w:t>
      </w:r>
      <w:r w:rsidR="00F30B2C">
        <w:t>proving</w:t>
      </w:r>
      <w:r w:rsidRPr="00CC5C5D">
        <w:t xml:space="preserve"> that it is entitled to the rate relief and other regulatory authorizations it requests. </w:t>
      </w:r>
      <w:bookmarkStart w:name="_Hlk212640736" w:id="18"/>
      <w:r w:rsidRPr="00CC5C5D">
        <w:t xml:space="preserve">Under Public Utilities </w:t>
      </w:r>
      <w:r w:rsidR="00AA2770">
        <w:t>(</w:t>
      </w:r>
      <w:r w:rsidR="003A5B7D">
        <w:t>Pub. Util.</w:t>
      </w:r>
      <w:r w:rsidR="00AA2770">
        <w:t xml:space="preserve">) </w:t>
      </w:r>
      <w:r w:rsidRPr="00CC5C5D">
        <w:t xml:space="preserve">Code </w:t>
      </w:r>
      <w:bookmarkStart w:name="_Hlk212640828" w:id="19"/>
      <w:bookmarkEnd w:id="18"/>
      <w:r w:rsidR="00EF3DDB">
        <w:t>S</w:t>
      </w:r>
      <w:r w:rsidR="00AA2770">
        <w:t>ection</w:t>
      </w:r>
      <w:bookmarkEnd w:id="19"/>
      <w:r w:rsidR="00EF3DDB">
        <w:t> </w:t>
      </w:r>
      <w:r w:rsidRPr="00CC5C5D">
        <w:t xml:space="preserve">451 and </w:t>
      </w:r>
      <w:r w:rsidR="00EF3DDB">
        <w:t>Section </w:t>
      </w:r>
      <w:r w:rsidRPr="00CC5C5D">
        <w:t>454, all rates and charges demanded or received by a public utility must be just and reasonable, and no rate change shall be m</w:t>
      </w:r>
      <w:r w:rsidRPr="00AA2770">
        <w:t xml:space="preserve">ade except upon a showing before the </w:t>
      </w:r>
      <w:r w:rsidRPr="00AA2770">
        <w:lastRenderedPageBreak/>
        <w:t>Commission that the new rate is justified.</w:t>
      </w:r>
      <w:r w:rsidR="007875AD">
        <w:rPr>
          <w:rStyle w:val="FootnoteReference"/>
        </w:rPr>
        <w:footnoteReference w:id="5"/>
      </w:r>
      <w:r w:rsidRPr="00AA2770">
        <w:t xml:space="preserve"> </w:t>
      </w:r>
      <w:r w:rsidR="00A23D11">
        <w:t>“</w:t>
      </w:r>
      <w:r w:rsidRPr="00AA2770">
        <w:t>Every unjust or unreasonable charge dem</w:t>
      </w:r>
      <w:r w:rsidRPr="00CC5C5D">
        <w:t>anded or received for such product or commodity or service is unlawful.</w:t>
      </w:r>
      <w:r w:rsidR="00A23D11">
        <w:t>”</w:t>
      </w:r>
      <w:r w:rsidR="007875AD">
        <w:rPr>
          <w:rStyle w:val="FootnoteReference"/>
        </w:rPr>
        <w:footnoteReference w:id="6"/>
      </w:r>
    </w:p>
    <w:p w:rsidRPr="00CC5C5D" w:rsidR="00CC5C5D" w:rsidP="00CC5C5D" w:rsidRDefault="00CC5C5D" w14:paraId="2042A335" w14:textId="6D5DA191">
      <w:pPr>
        <w:pStyle w:val="Standard"/>
      </w:pPr>
      <w:r w:rsidRPr="00CC5C5D">
        <w:t xml:space="preserve">The burden of proof in Commission proceedings such as this rests with the applicant utility. The utility must affirmatively demonstrate that its proposed rates and associated </w:t>
      </w:r>
      <w:r w:rsidRPr="00AA2770">
        <w:t>ratemaking mechanisms are just, reasonable, and supported by the evidence of record.</w:t>
      </w:r>
      <w:r w:rsidR="007875AD">
        <w:rPr>
          <w:rStyle w:val="FootnoteReference"/>
        </w:rPr>
        <w:footnoteReference w:id="7"/>
      </w:r>
      <w:r w:rsidRPr="00AA2770">
        <w:t xml:space="preserve"> As the Commission has long held, the applicant bears the obligation to</w:t>
      </w:r>
      <w:r w:rsidRPr="00CC5C5D">
        <w:t xml:space="preserve"> present sufficient evidence to substantiate its requests; the fact that other parties may contest specific elements of the application does not shift the ultimate burden of proof away from the utility.</w:t>
      </w:r>
    </w:p>
    <w:p w:rsidR="001B3B98" w:rsidP="001B3B98" w:rsidRDefault="00CC5C5D" w14:paraId="0ABD3DB2" w14:textId="020BA601">
      <w:pPr>
        <w:pStyle w:val="Standard"/>
      </w:pPr>
      <w:r w:rsidRPr="00CC5C5D">
        <w:t xml:space="preserve">The standard of proof required is the preponderance of the evidence. The Commission has defined this standard as </w:t>
      </w:r>
      <w:r w:rsidR="00A23D11">
        <w:t>“</w:t>
      </w:r>
      <w:r w:rsidRPr="00CC5C5D">
        <w:t xml:space="preserve">such evidence as, when weighed with that opposed to it, has </w:t>
      </w:r>
      <w:r w:rsidRPr="00AA2770">
        <w:t>more convincing force and the greater probability of truth.</w:t>
      </w:r>
      <w:r w:rsidR="00A23D11">
        <w:t>”</w:t>
      </w:r>
      <w:r w:rsidR="007875AD">
        <w:rPr>
          <w:rStyle w:val="FootnoteReference"/>
        </w:rPr>
        <w:footnoteReference w:id="8"/>
      </w:r>
      <w:r w:rsidRPr="00AA2770">
        <w:t xml:space="preserve"> California law similarly provides that the party bringing</w:t>
      </w:r>
      <w:r w:rsidRPr="00CC5C5D">
        <w:t xml:space="preserve"> a claim generally bears the burden of proving that claim by a preponderance of the </w:t>
      </w:r>
      <w:r w:rsidRPr="00837935">
        <w:t>evidence.</w:t>
      </w:r>
      <w:r w:rsidR="007875AD">
        <w:rPr>
          <w:rStyle w:val="FootnoteReference"/>
        </w:rPr>
        <w:footnoteReference w:id="9"/>
      </w:r>
    </w:p>
    <w:p w:rsidRPr="0063491C" w:rsidR="0063491C" w:rsidP="001B3B98" w:rsidRDefault="00CC5C5D" w14:paraId="5DCB00EF" w14:textId="7A12B5DC">
      <w:pPr>
        <w:pStyle w:val="Standard"/>
      </w:pPr>
      <w:r w:rsidRPr="00AA2770">
        <w:t>Accordingly, in this proceeding</w:t>
      </w:r>
      <w:r w:rsidR="00F30B2C">
        <w:t>,</w:t>
      </w:r>
      <w:r w:rsidRPr="00AA2770">
        <w:t xml:space="preserve"> </w:t>
      </w:r>
      <w:r w:rsidR="00EB50F8">
        <w:t>Cal Water</w:t>
      </w:r>
      <w:r w:rsidRPr="00AA2770">
        <w:t xml:space="preserve"> m</w:t>
      </w:r>
      <w:r w:rsidRPr="00CC5C5D">
        <w:t>ust establish, by a preponderance of the evidence, that the rate increases, ratemaking mechanisms, and other forms of relief it seeks are just and reasonable and consistent with California law and Commission policy.</w:t>
      </w:r>
    </w:p>
    <w:p w:rsidR="005A148C" w:rsidP="005939A5" w:rsidRDefault="005939A5" w14:paraId="4FEFB1B5" w14:textId="71ADF2FC">
      <w:pPr>
        <w:pStyle w:val="Heading1"/>
      </w:pPr>
      <w:bookmarkStart w:name="_Toc8123719" w:id="21"/>
      <w:bookmarkStart w:name="_Toc222305244" w:id="22"/>
      <w:bookmarkStart w:name="_Hlk209604015" w:id="23"/>
      <w:bookmarkStart w:name="_Toc228294668" w:id="24"/>
      <w:r>
        <w:lastRenderedPageBreak/>
        <w:t xml:space="preserve">Issues Before the </w:t>
      </w:r>
      <w:bookmarkEnd w:id="21"/>
      <w:r w:rsidR="008A08BF">
        <w:t>Commission</w:t>
      </w:r>
      <w:bookmarkEnd w:id="22"/>
      <w:bookmarkEnd w:id="24"/>
    </w:p>
    <w:p w:rsidR="000C0896" w:rsidP="007C76E2" w:rsidRDefault="00177420" w14:paraId="2395A465" w14:textId="5E8A42F3">
      <w:pPr>
        <w:pStyle w:val="Standard"/>
      </w:pPr>
      <w:r w:rsidRPr="001B3B98">
        <w:t>As the proceeding progressed, the parties</w:t>
      </w:r>
      <w:r w:rsidR="000C0896">
        <w:t>’</w:t>
      </w:r>
      <w:r w:rsidRPr="001B3B98" w:rsidR="007C3A7F">
        <w:t xml:space="preserve"> analysis and discussions grouped the issues shown below into three categories</w:t>
      </w:r>
      <w:r w:rsidR="000C0896">
        <w:t xml:space="preserve">:  </w:t>
      </w:r>
      <w:r w:rsidR="006237E8">
        <w:t>(1) </w:t>
      </w:r>
      <w:r w:rsidRPr="001B3B98" w:rsidR="00960A23">
        <w:t xml:space="preserve">undisputed </w:t>
      </w:r>
      <w:r w:rsidRPr="001B3B98" w:rsidR="001E6926">
        <w:t xml:space="preserve">stipulated issues where there were no disagreements and the parties were both satisfied with the forecast; </w:t>
      </w:r>
      <w:r w:rsidR="006237E8">
        <w:t>(2) </w:t>
      </w:r>
      <w:r w:rsidRPr="001B3B98" w:rsidR="00E5259F">
        <w:t xml:space="preserve">settled issues where the parties were able to </w:t>
      </w:r>
      <w:r w:rsidRPr="001B3B98" w:rsidR="003D3994">
        <w:t>reach mutually acceptable trade</w:t>
      </w:r>
      <w:r w:rsidR="00270999">
        <w:noBreakHyphen/>
      </w:r>
      <w:r w:rsidRPr="001B3B98" w:rsidR="003D3994">
        <w:t>offs</w:t>
      </w:r>
      <w:r w:rsidRPr="001B3B98" w:rsidR="001721A3">
        <w:t xml:space="preserve">; and </w:t>
      </w:r>
      <w:r w:rsidR="006237E8">
        <w:t>(3) </w:t>
      </w:r>
      <w:r w:rsidRPr="001B3B98" w:rsidR="001721A3">
        <w:t xml:space="preserve">the disputed issues litigated before the Commission. We </w:t>
      </w:r>
      <w:r w:rsidRPr="001B3B98" w:rsidR="00A2132D">
        <w:t>have reviewed the entire evidentiary record throughout the course of the proceeding</w:t>
      </w:r>
      <w:r w:rsidRPr="001B3B98" w:rsidR="0069746C">
        <w:t xml:space="preserve">. Based on our review </w:t>
      </w:r>
      <w:r w:rsidRPr="001B3B98" w:rsidR="00066828">
        <w:t>of the record</w:t>
      </w:r>
      <w:r w:rsidRPr="001B3B98" w:rsidR="001B3B98">
        <w:t>,</w:t>
      </w:r>
      <w:r w:rsidRPr="001B3B98" w:rsidR="00066828">
        <w:t xml:space="preserve"> </w:t>
      </w:r>
      <w:r w:rsidRPr="001B3B98" w:rsidR="0069746C">
        <w:t xml:space="preserve">we </w:t>
      </w:r>
      <w:r w:rsidR="041EC591">
        <w:t>will</w:t>
      </w:r>
      <w:r w:rsidR="00305740">
        <w:t xml:space="preserve"> </w:t>
      </w:r>
      <w:r w:rsidRPr="001B3B98" w:rsidR="0069746C">
        <w:t xml:space="preserve">accept the stipulated </w:t>
      </w:r>
      <w:r w:rsidRPr="001B3B98" w:rsidR="00EA38B0">
        <w:t>issues, and by applying our settlement rules,</w:t>
      </w:r>
      <w:r w:rsidRPr="001B3B98" w:rsidR="00960A23">
        <w:t xml:space="preserve"> </w:t>
      </w:r>
      <w:r w:rsidRPr="001B3B98" w:rsidR="00066828">
        <w:t xml:space="preserve">we </w:t>
      </w:r>
      <w:r w:rsidR="3F75E89D">
        <w:t>will</w:t>
      </w:r>
      <w:r w:rsidRPr="001B3B98" w:rsidR="00066828">
        <w:t xml:space="preserve"> </w:t>
      </w:r>
      <w:r w:rsidRPr="001B3B98" w:rsidR="00960A23">
        <w:t>also</w:t>
      </w:r>
      <w:r w:rsidRPr="001B3B98" w:rsidR="00EA38B0">
        <w:t xml:space="preserve"> accept the partial settlement. In the remainder of the </w:t>
      </w:r>
      <w:r w:rsidRPr="001B3B98" w:rsidR="00BF0E25">
        <w:t>decision,</w:t>
      </w:r>
      <w:r w:rsidRPr="001B3B98" w:rsidR="00EA38B0">
        <w:t xml:space="preserve"> we resolve the litigated, or contested issues</w:t>
      </w:r>
      <w:r w:rsidRPr="001B3B98" w:rsidR="00BF0E25">
        <w:t xml:space="preserve"> based on the evidentiary record, the applicable law, and our </w:t>
      </w:r>
      <w:r w:rsidRPr="001B3B98" w:rsidR="00066828">
        <w:t xml:space="preserve">general </w:t>
      </w:r>
      <w:r w:rsidRPr="001B3B98" w:rsidR="00BF0E25">
        <w:t>ratemaking practices and principles.</w:t>
      </w:r>
    </w:p>
    <w:p w:rsidR="007C76E2" w:rsidP="007C76E2" w:rsidRDefault="00307F01" w14:paraId="5166C810" w14:textId="0FA22147">
      <w:pPr>
        <w:pStyle w:val="Standard"/>
      </w:pPr>
      <w:r w:rsidRPr="001B3B98">
        <w:t>A</w:t>
      </w:r>
      <w:r w:rsidRPr="001B3B98" w:rsidR="007C76E2">
        <w:t xml:space="preserve">s </w:t>
      </w:r>
      <w:r w:rsidRPr="001B3B98" w:rsidR="00066828">
        <w:t xml:space="preserve">identified </w:t>
      </w:r>
      <w:r w:rsidRPr="001B3B98" w:rsidR="007C76E2">
        <w:t>in the Assigned Commissioner</w:t>
      </w:r>
      <w:r w:rsidR="000C0896">
        <w:t>’</w:t>
      </w:r>
      <w:r w:rsidRPr="001B3B98" w:rsidR="007C76E2">
        <w:t xml:space="preserve">s Amended Scoping Memo, the issues before the Commission are </w:t>
      </w:r>
      <w:r w:rsidR="007C76E2">
        <w:t>as follows:</w:t>
      </w:r>
    </w:p>
    <w:p w:rsidRPr="00793490" w:rsidR="007C76E2" w:rsidP="0055448F" w:rsidRDefault="007C76E2" w14:paraId="6F15F4D6" w14:textId="77777777">
      <w:pPr>
        <w:pStyle w:val="Subsection"/>
      </w:pPr>
      <w:r w:rsidRPr="00793490">
        <w:t>General Issues</w:t>
      </w:r>
    </w:p>
    <w:p w:rsidRPr="003C3377" w:rsidR="007C76E2" w:rsidP="008D5E78" w:rsidRDefault="007C76E2" w14:paraId="385EAC94" w14:textId="19A911F1">
      <w:pPr>
        <w:pStyle w:val="BlockQuoteH033"/>
        <w:numPr>
          <w:ilvl w:val="6"/>
          <w:numId w:val="7"/>
        </w:numPr>
        <w:tabs>
          <w:tab w:val="clear" w:pos="1080"/>
        </w:tabs>
        <w:ind w:left="1195" w:hanging="475"/>
      </w:pPr>
      <w:r>
        <w:t xml:space="preserve">Whether </w:t>
      </w:r>
      <w:r w:rsidR="00EB50F8">
        <w:t>Cal Water</w:t>
      </w:r>
      <w:r w:rsidR="000C0896">
        <w:t>’</w:t>
      </w:r>
      <w:r>
        <w:t xml:space="preserve">s proposed rate increases for the Test and </w:t>
      </w:r>
      <w:r w:rsidR="002D5576">
        <w:t>Escalation</w:t>
      </w:r>
      <w:r w:rsidR="182DBE32">
        <w:t xml:space="preserve"> </w:t>
      </w:r>
      <w:r>
        <w:t>Years are just and reasonable;</w:t>
      </w:r>
    </w:p>
    <w:p w:rsidR="00CE0158" w:rsidP="008D5E78" w:rsidRDefault="007C76E2" w14:paraId="2F1DD971" w14:textId="6279D46F">
      <w:pPr>
        <w:pStyle w:val="BlockQuoteH033"/>
        <w:numPr>
          <w:ilvl w:val="6"/>
          <w:numId w:val="7"/>
        </w:numPr>
        <w:tabs>
          <w:tab w:val="clear" w:pos="1080"/>
        </w:tabs>
        <w:ind w:left="1195" w:hanging="475"/>
      </w:pPr>
      <w:r w:rsidRPr="003C3377">
        <w:t xml:space="preserve">Whether </w:t>
      </w:r>
      <w:r w:rsidR="00EB50F8">
        <w:t>Cal Water</w:t>
      </w:r>
      <w:r w:rsidR="000C0896">
        <w:t>’</w:t>
      </w:r>
      <w:r w:rsidRPr="003C3377">
        <w:t>s estimates of its operation and maintenance</w:t>
      </w:r>
      <w:r w:rsidR="00640A72">
        <w:t xml:space="preserve"> (O&amp;M)</w:t>
      </w:r>
      <w:r w:rsidRPr="003C3377">
        <w:t>, and administrative and general</w:t>
      </w:r>
      <w:r w:rsidR="00640A72">
        <w:t xml:space="preserve"> (A&amp;G)</w:t>
      </w:r>
      <w:r w:rsidRPr="003C3377">
        <w:t xml:space="preserve"> expenses are reasonable;</w:t>
      </w:r>
    </w:p>
    <w:p w:rsidRPr="003C3377" w:rsidR="007C76E2" w:rsidP="008D5E78" w:rsidRDefault="007C76E2" w14:paraId="25B71D4B" w14:textId="496FE279">
      <w:pPr>
        <w:pStyle w:val="BlockQuoteH033"/>
        <w:numPr>
          <w:ilvl w:val="6"/>
          <w:numId w:val="7"/>
        </w:numPr>
        <w:tabs>
          <w:tab w:val="clear" w:pos="1080"/>
        </w:tabs>
        <w:ind w:left="1195" w:hanging="475"/>
      </w:pPr>
      <w:r w:rsidRPr="003C3377">
        <w:t xml:space="preserve">Whether </w:t>
      </w:r>
      <w:r w:rsidR="00EB50F8">
        <w:t>Cal Water</w:t>
      </w:r>
      <w:r w:rsidR="000C0896">
        <w:t>’</w:t>
      </w:r>
      <w:r w:rsidRPr="003C3377">
        <w:t>s proposed plant additions are accurate, reasonable, and justified;</w:t>
      </w:r>
    </w:p>
    <w:p w:rsidR="00CE0158" w:rsidP="008D5E78" w:rsidRDefault="007C76E2" w14:paraId="4FEECE95" w14:textId="71E4E7CF">
      <w:pPr>
        <w:pStyle w:val="BlockQuoteH033"/>
        <w:numPr>
          <w:ilvl w:val="6"/>
          <w:numId w:val="7"/>
        </w:numPr>
        <w:tabs>
          <w:tab w:val="clear" w:pos="1080"/>
        </w:tabs>
        <w:ind w:left="1195" w:hanging="475"/>
      </w:pPr>
      <w:r w:rsidRPr="003C3377">
        <w:t xml:space="preserve">Whether </w:t>
      </w:r>
      <w:r w:rsidR="00EB50F8">
        <w:t>Cal Water</w:t>
      </w:r>
      <w:r w:rsidR="000C0896">
        <w:t>’</w:t>
      </w:r>
      <w:r w:rsidRPr="003C3377">
        <w:t>s proposed revenue requirement is just and reasonable;</w:t>
      </w:r>
    </w:p>
    <w:p w:rsidR="00CE0158" w:rsidP="008D5E78" w:rsidRDefault="007C76E2" w14:paraId="70C033F0" w14:textId="46AF3614">
      <w:pPr>
        <w:pStyle w:val="BlockQuoteH033"/>
        <w:numPr>
          <w:ilvl w:val="6"/>
          <w:numId w:val="7"/>
        </w:numPr>
        <w:tabs>
          <w:tab w:val="clear" w:pos="1080"/>
        </w:tabs>
        <w:ind w:left="1195" w:hanging="475"/>
      </w:pPr>
      <w:r w:rsidRPr="003C3377">
        <w:t xml:space="preserve">Whether </w:t>
      </w:r>
      <w:r w:rsidR="00EB50F8">
        <w:t>Cal Water</w:t>
      </w:r>
      <w:r w:rsidR="000C0896">
        <w:t>’</w:t>
      </w:r>
      <w:r w:rsidRPr="003C3377">
        <w:t>s proposed rate designs are just and reasonable;</w:t>
      </w:r>
    </w:p>
    <w:p w:rsidR="00CE0158" w:rsidP="008D5E78" w:rsidRDefault="007C76E2" w14:paraId="362AC199" w14:textId="24439C8C">
      <w:pPr>
        <w:pStyle w:val="BlockQuoteH033"/>
        <w:numPr>
          <w:ilvl w:val="6"/>
          <w:numId w:val="7"/>
        </w:numPr>
        <w:tabs>
          <w:tab w:val="clear" w:pos="1080"/>
        </w:tabs>
        <w:ind w:left="1195" w:hanging="475"/>
      </w:pPr>
      <w:r w:rsidRPr="003C3377">
        <w:t xml:space="preserve">Whether </w:t>
      </w:r>
      <w:r w:rsidR="00EB50F8">
        <w:t>Cal Water</w:t>
      </w:r>
      <w:r w:rsidRPr="003C3377">
        <w:t xml:space="preserve"> has complied with prior Commission orders, including but not limited to those in the decision that resolved </w:t>
      </w:r>
      <w:r w:rsidR="00EB50F8">
        <w:t>Cal Water</w:t>
      </w:r>
      <w:r w:rsidR="000C0896">
        <w:t>’</w:t>
      </w:r>
      <w:r w:rsidRPr="003C3377">
        <w:t>s last GRC, D.20</w:t>
      </w:r>
      <w:r w:rsidR="00270999">
        <w:noBreakHyphen/>
      </w:r>
      <w:r w:rsidRPr="003C3377">
        <w:t>12</w:t>
      </w:r>
      <w:r w:rsidR="00270999">
        <w:noBreakHyphen/>
      </w:r>
      <w:r w:rsidRPr="003C3377">
        <w:t>007;</w:t>
      </w:r>
    </w:p>
    <w:p w:rsidR="00CE0158" w:rsidP="008D5E78" w:rsidRDefault="007C76E2" w14:paraId="5D9AF612" w14:textId="7D0270BA">
      <w:pPr>
        <w:pStyle w:val="BlockQuoteH033"/>
        <w:numPr>
          <w:ilvl w:val="6"/>
          <w:numId w:val="7"/>
        </w:numPr>
        <w:tabs>
          <w:tab w:val="clear" w:pos="1080"/>
        </w:tabs>
        <w:ind w:left="1195" w:hanging="475"/>
      </w:pPr>
      <w:r w:rsidRPr="003C3377">
        <w:lastRenderedPageBreak/>
        <w:t xml:space="preserve">Whether </w:t>
      </w:r>
      <w:r w:rsidR="00EB50F8">
        <w:t>Cal Water</w:t>
      </w:r>
      <w:r w:rsidR="000C0896">
        <w:t>’</w:t>
      </w:r>
      <w:r w:rsidRPr="003C3377">
        <w:t xml:space="preserve">s proposal for the </w:t>
      </w:r>
      <w:bookmarkStart w:name="_Hlk212641330" w:id="25"/>
      <w:r w:rsidRPr="003C3377">
        <w:t>Low Use Water Equity Program (LUWEP)</w:t>
      </w:r>
      <w:bookmarkEnd w:id="25"/>
      <w:r w:rsidRPr="003C3377">
        <w:t xml:space="preserve"> is just and reasonable;</w:t>
      </w:r>
    </w:p>
    <w:p w:rsidR="00CE0158" w:rsidP="008D5E78" w:rsidRDefault="007C76E2" w14:paraId="2E903FE3" w14:textId="0B16CEF1">
      <w:pPr>
        <w:pStyle w:val="BlockQuoteH033"/>
        <w:numPr>
          <w:ilvl w:val="6"/>
          <w:numId w:val="7"/>
        </w:numPr>
        <w:tabs>
          <w:tab w:val="clear" w:pos="1080"/>
        </w:tabs>
        <w:ind w:left="1195" w:hanging="475"/>
      </w:pPr>
      <w:r w:rsidRPr="003C3377">
        <w:t xml:space="preserve">Whether </w:t>
      </w:r>
      <w:r w:rsidR="00EB50F8">
        <w:t>Cal Water</w:t>
      </w:r>
      <w:r w:rsidR="000C0896">
        <w:t>’</w:t>
      </w:r>
      <w:r w:rsidRPr="003C3377">
        <w:t>s Water Rights Leases comply with prior Commission orders;</w:t>
      </w:r>
    </w:p>
    <w:p w:rsidR="00CE0158" w:rsidP="008D5E78" w:rsidRDefault="007C76E2" w14:paraId="7BBB62D4" w14:textId="3400ED7E">
      <w:pPr>
        <w:pStyle w:val="BlockQuoteH033"/>
        <w:numPr>
          <w:ilvl w:val="6"/>
          <w:numId w:val="7"/>
        </w:numPr>
        <w:tabs>
          <w:tab w:val="clear" w:pos="1080"/>
        </w:tabs>
        <w:ind w:left="1195" w:hanging="475"/>
      </w:pPr>
      <w:r w:rsidRPr="003C3377">
        <w:t xml:space="preserve">Whether </w:t>
      </w:r>
      <w:r w:rsidR="00EB50F8">
        <w:t>Cal Water</w:t>
      </w:r>
      <w:r w:rsidRPr="003C3377">
        <w:t xml:space="preserve"> is in compliance with California</w:t>
      </w:r>
      <w:r w:rsidR="000C0896">
        <w:t>’</w:t>
      </w:r>
      <w:r w:rsidRPr="003C3377">
        <w:t xml:space="preserve">s regulatory requirements for the provision of safe and reliable water service, including but not limited to adequate Emergency Preparedness Plans, the </w:t>
      </w:r>
      <w:bookmarkStart w:name="_Hlk212644977" w:id="26"/>
      <w:r w:rsidRPr="003C3377">
        <w:t>Low</w:t>
      </w:r>
      <w:r w:rsidR="00270999">
        <w:noBreakHyphen/>
      </w:r>
      <w:r w:rsidRPr="003C3377">
        <w:t xml:space="preserve">Income Rate Assistance </w:t>
      </w:r>
      <w:bookmarkEnd w:id="26"/>
      <w:r w:rsidR="00EE757F">
        <w:t xml:space="preserve">(LIRA) </w:t>
      </w:r>
      <w:r w:rsidRPr="003C3377">
        <w:t>program, and any other conservation, accessibility, and water equity safeguards;</w:t>
      </w:r>
    </w:p>
    <w:p w:rsidR="00CE0158" w:rsidP="008D5E78" w:rsidRDefault="007C76E2" w14:paraId="399B09E7" w14:textId="529957DF">
      <w:pPr>
        <w:pStyle w:val="BlockQuoteH033"/>
        <w:numPr>
          <w:ilvl w:val="6"/>
          <w:numId w:val="7"/>
        </w:numPr>
        <w:tabs>
          <w:tab w:val="clear" w:pos="1080"/>
        </w:tabs>
        <w:ind w:left="1195" w:hanging="475"/>
      </w:pPr>
      <w:r w:rsidRPr="003C3377">
        <w:t xml:space="preserve">Whether </w:t>
      </w:r>
      <w:r w:rsidR="00EB50F8">
        <w:t>Cal Water</w:t>
      </w:r>
      <w:r w:rsidR="000C0896">
        <w:t>’</w:t>
      </w:r>
      <w:r w:rsidRPr="003C3377">
        <w:t xml:space="preserve">s water quality meets all applicable local, state and federal drinking water standards and other provisions of </w:t>
      </w:r>
      <w:r w:rsidRPr="002348AD" w:rsidR="00AC0B25">
        <w:t>General Order (GO)</w:t>
      </w:r>
      <w:r w:rsidR="00AC0B25">
        <w:t> </w:t>
      </w:r>
      <w:r w:rsidRPr="003C3377">
        <w:t>103</w:t>
      </w:r>
      <w:r w:rsidR="00270999">
        <w:noBreakHyphen/>
      </w:r>
      <w:r w:rsidRPr="003C3377">
        <w:t>A;</w:t>
      </w:r>
    </w:p>
    <w:p w:rsidRPr="003C3377" w:rsidR="007C76E2" w:rsidP="008D5E78" w:rsidRDefault="007C76E2" w14:paraId="6EB36F93" w14:textId="22AE9694">
      <w:pPr>
        <w:pStyle w:val="BlockQuoteH033"/>
        <w:numPr>
          <w:ilvl w:val="6"/>
          <w:numId w:val="7"/>
        </w:numPr>
        <w:tabs>
          <w:tab w:val="clear" w:pos="1080"/>
        </w:tabs>
        <w:ind w:left="1195" w:hanging="475"/>
      </w:pPr>
      <w:r w:rsidRPr="003C3377">
        <w:t xml:space="preserve">Whether </w:t>
      </w:r>
      <w:r w:rsidR="00EB50F8">
        <w:t>Cal Water</w:t>
      </w:r>
      <w:r w:rsidR="000C0896">
        <w:t>’</w:t>
      </w:r>
      <w:r w:rsidRPr="003C3377">
        <w:t>s Application supports the goals and objectives of the Commission</w:t>
      </w:r>
      <w:r w:rsidR="000C0896">
        <w:t>’</w:t>
      </w:r>
      <w:r w:rsidRPr="003C3377">
        <w:t xml:space="preserve">s Environmental and Social Justice </w:t>
      </w:r>
      <w:r w:rsidR="00B74C1D">
        <w:t xml:space="preserve">(ESJ) </w:t>
      </w:r>
      <w:r w:rsidRPr="003C3377">
        <w:t>Action Plan;</w:t>
      </w:r>
    </w:p>
    <w:p w:rsidRPr="003C3377" w:rsidR="007C76E2" w:rsidP="008D5E78" w:rsidRDefault="007C76E2" w14:paraId="74CC55BB" w14:textId="15ED7D67">
      <w:pPr>
        <w:pStyle w:val="BlockQuoteH033"/>
        <w:numPr>
          <w:ilvl w:val="6"/>
          <w:numId w:val="7"/>
        </w:numPr>
        <w:tabs>
          <w:tab w:val="clear" w:pos="1080"/>
        </w:tabs>
        <w:ind w:left="1195" w:hanging="475"/>
      </w:pPr>
      <w:r w:rsidRPr="003C3377">
        <w:t xml:space="preserve">Whether </w:t>
      </w:r>
      <w:r w:rsidR="00EB50F8">
        <w:t>Cal Water</w:t>
      </w:r>
      <w:r w:rsidR="000C0896">
        <w:t>’</w:t>
      </w:r>
      <w:r w:rsidRPr="003C3377">
        <w:t xml:space="preserve">s proposed </w:t>
      </w:r>
      <w:r w:rsidRPr="003C3377" w:rsidR="0032302E">
        <w:t xml:space="preserve">Balancing </w:t>
      </w:r>
      <w:r w:rsidR="009A0E40">
        <w:t>a</w:t>
      </w:r>
      <w:r w:rsidRPr="003C3377" w:rsidR="009A0E40">
        <w:t xml:space="preserve">nd </w:t>
      </w:r>
      <w:r w:rsidRPr="003C3377" w:rsidR="0032302E">
        <w:t>Memorandum Accounts</w:t>
      </w:r>
      <w:r w:rsidR="0032302E">
        <w:t xml:space="preserve"> </w:t>
      </w:r>
      <w:r w:rsidR="005925FC">
        <w:t>(BAMAs)</w:t>
      </w:r>
      <w:r w:rsidRPr="003C3377">
        <w:t xml:space="preserve"> are reasonable and in the public interest;</w:t>
      </w:r>
    </w:p>
    <w:p w:rsidRPr="0055448F" w:rsidR="007C76E2" w:rsidP="0055448F" w:rsidRDefault="007C76E2" w14:paraId="5E01E689" w14:textId="77777777">
      <w:pPr>
        <w:pStyle w:val="Subsection"/>
      </w:pPr>
      <w:r w:rsidRPr="003C3377">
        <w:t>Special Requests</w:t>
      </w:r>
    </w:p>
    <w:p w:rsidR="00CE0158" w:rsidP="008D5E78" w:rsidRDefault="007C76E2" w14:paraId="6F378739" w14:textId="49E9FB4D">
      <w:pPr>
        <w:pStyle w:val="BlockQuoteH033"/>
        <w:numPr>
          <w:ilvl w:val="6"/>
          <w:numId w:val="7"/>
        </w:numPr>
        <w:tabs>
          <w:tab w:val="clear" w:pos="1080"/>
        </w:tabs>
        <w:ind w:left="1195" w:hanging="475"/>
      </w:pPr>
      <w:r w:rsidRPr="003C3377">
        <w:t>Whether Special Request</w:t>
      </w:r>
      <w:r w:rsidR="00D92D0A">
        <w:t> #</w:t>
      </w:r>
      <w:r w:rsidRPr="003C3377">
        <w:t>1 is reasonable (Special Request</w:t>
      </w:r>
      <w:r w:rsidR="00D92D0A">
        <w:t> #</w:t>
      </w:r>
      <w:r w:rsidRPr="003C3377">
        <w:t>1</w:t>
      </w:r>
      <w:r w:rsidR="000C0896">
        <w:t xml:space="preserve">:  </w:t>
      </w:r>
      <w:r w:rsidRPr="003C3377">
        <w:t>Enhancing Affordability Through Consolidation, which would remove the Rate Support Fund subsidy that is currently embedded in the rates for Dixon customers, and to instead address the affordability concerns of the area by consolidating Dixon</w:t>
      </w:r>
      <w:r w:rsidR="000C0896">
        <w:t>’</w:t>
      </w:r>
      <w:r w:rsidRPr="003C3377">
        <w:t>s revenue requirements with that of the Livermore Districts</w:t>
      </w:r>
      <w:r w:rsidR="00FF364D">
        <w:t>);</w:t>
      </w:r>
    </w:p>
    <w:p w:rsidR="00CE0158" w:rsidP="008D5E78" w:rsidRDefault="007C76E2" w14:paraId="2C531988" w14:textId="55F98A45">
      <w:pPr>
        <w:pStyle w:val="BlockQuoteH033"/>
        <w:numPr>
          <w:ilvl w:val="6"/>
          <w:numId w:val="7"/>
        </w:numPr>
        <w:tabs>
          <w:tab w:val="clear" w:pos="1080"/>
        </w:tabs>
        <w:ind w:left="1195" w:hanging="475"/>
      </w:pPr>
      <w:r w:rsidRPr="003C3377">
        <w:t>Whether Special Request</w:t>
      </w:r>
      <w:r w:rsidR="00D92D0A">
        <w:t> #</w:t>
      </w:r>
      <w:r w:rsidRPr="003C3377">
        <w:t>2 is reasonable (Special Request</w:t>
      </w:r>
      <w:r w:rsidR="00D92D0A">
        <w:t> #</w:t>
      </w:r>
      <w:r w:rsidRPr="003C3377">
        <w:t>2</w:t>
      </w:r>
      <w:r w:rsidR="000C0896">
        <w:t xml:space="preserve">:  </w:t>
      </w:r>
      <w:r w:rsidRPr="003C3377">
        <w:t>Updating the Rate Support Fund (RSF), which would retain the RSF subsidies for the Kern River Valley and Willows Districts, eliminate the annual subsidy currently provided to the Dixon District, and apply an annual RSF subsidy to decrease the revenue requirement and mitigate bill impacts for customers in the small, economically disadvantaged Selma District</w:t>
      </w:r>
      <w:r w:rsidR="00FF364D">
        <w:t>);</w:t>
      </w:r>
    </w:p>
    <w:p w:rsidR="00CE0158" w:rsidP="008D5E78" w:rsidRDefault="007C76E2" w14:paraId="30AD08EF" w14:textId="11897952">
      <w:pPr>
        <w:pStyle w:val="BlockQuoteH033"/>
        <w:numPr>
          <w:ilvl w:val="6"/>
          <w:numId w:val="7"/>
        </w:numPr>
        <w:tabs>
          <w:tab w:val="clear" w:pos="1080"/>
        </w:tabs>
        <w:ind w:left="1195" w:hanging="475"/>
      </w:pPr>
      <w:r w:rsidRPr="003C3377">
        <w:lastRenderedPageBreak/>
        <w:t>Whether Special Request</w:t>
      </w:r>
      <w:r w:rsidR="00D92D0A">
        <w:t> #</w:t>
      </w:r>
      <w:r w:rsidRPr="003C3377">
        <w:t>3 is reasonable (Special Request</w:t>
      </w:r>
      <w:r w:rsidR="00D92D0A">
        <w:t> #</w:t>
      </w:r>
      <w:r w:rsidR="00FF364D">
        <w:t>3</w:t>
      </w:r>
      <w:r w:rsidR="000C0896">
        <w:t xml:space="preserve">:  </w:t>
      </w:r>
      <w:r w:rsidRPr="003C3377">
        <w:t>Authorizing Decoupling and Sales Reconciliation Mechanism, which includes</w:t>
      </w:r>
      <w:r w:rsidR="006237E8">
        <w:t xml:space="preserve">: </w:t>
      </w:r>
      <w:r w:rsidRPr="003C3377">
        <w:t xml:space="preserve"> </w:t>
      </w:r>
      <w:r w:rsidR="006237E8">
        <w:t>(</w:t>
      </w:r>
      <w:r w:rsidRPr="003C3377">
        <w:t>1</w:t>
      </w:r>
      <w:r w:rsidR="006237E8">
        <w:t>) a </w:t>
      </w:r>
      <w:r w:rsidRPr="003C3377">
        <w:t>Safe Infrastructure Balancing Account to track the difference between actual and adopted revenues;</w:t>
      </w:r>
      <w:r w:rsidR="006237E8">
        <w:t xml:space="preserve"> (2) a </w:t>
      </w:r>
      <w:r w:rsidRPr="003C3377">
        <w:t>Supply Cost Balancing Account to track the difference between actual and adopted production expenses;</w:t>
      </w:r>
      <w:r w:rsidR="006237E8">
        <w:t xml:space="preserve"> (3) a </w:t>
      </w:r>
      <w:r w:rsidRPr="003C3377">
        <w:t xml:space="preserve">proposal to amortize net decoupling program balances in base rates using the adopted rate design (as opposed to separate surcharges or </w:t>
      </w:r>
      <w:proofErr w:type="spellStart"/>
      <w:r w:rsidRPr="003C3377">
        <w:t>surcredits</w:t>
      </w:r>
      <w:proofErr w:type="spellEnd"/>
      <w:r w:rsidRPr="003C3377">
        <w:t xml:space="preserve">); and 4) reinstating and modifying the </w:t>
      </w:r>
      <w:bookmarkStart w:name="_Hlk212705868" w:id="27"/>
      <w:r w:rsidRPr="003C3377">
        <w:t>Sales Reconciliation Mechanism (SRM)</w:t>
      </w:r>
      <w:bookmarkEnd w:id="27"/>
      <w:r w:rsidR="00FF364D">
        <w:t>);</w:t>
      </w:r>
    </w:p>
    <w:p w:rsidR="00CE0158" w:rsidP="008D5E78" w:rsidRDefault="007C76E2" w14:paraId="215DD1C1" w14:textId="1ACF7F92">
      <w:pPr>
        <w:pStyle w:val="BlockQuoteH033"/>
        <w:numPr>
          <w:ilvl w:val="6"/>
          <w:numId w:val="7"/>
        </w:numPr>
        <w:tabs>
          <w:tab w:val="clear" w:pos="1080"/>
        </w:tabs>
        <w:ind w:left="1195" w:hanging="475"/>
      </w:pPr>
      <w:r w:rsidRPr="003C3377">
        <w:t>Whether Special Request</w:t>
      </w:r>
      <w:r w:rsidR="00D92D0A">
        <w:t> #</w:t>
      </w:r>
      <w:r w:rsidRPr="003C3377">
        <w:t>4 is reasonable (Special Request</w:t>
      </w:r>
      <w:r w:rsidR="00D92D0A">
        <w:t> #</w:t>
      </w:r>
      <w:r w:rsidRPr="003C3377">
        <w:t>4</w:t>
      </w:r>
      <w:r w:rsidR="000C0896">
        <w:t xml:space="preserve">:  </w:t>
      </w:r>
      <w:r w:rsidRPr="003C3377">
        <w:t>Authorizing Annual Sales and Services Forecasts, which would provide discrete annual sales and services forecasts over the GRC period</w:t>
      </w:r>
      <w:r w:rsidR="00FF364D">
        <w:t>);</w:t>
      </w:r>
    </w:p>
    <w:p w:rsidR="00CE0158" w:rsidP="008D5E78" w:rsidRDefault="007C76E2" w14:paraId="0EC92C63" w14:textId="7EA414DD">
      <w:pPr>
        <w:pStyle w:val="BlockQuoteH033"/>
        <w:numPr>
          <w:ilvl w:val="6"/>
          <w:numId w:val="7"/>
        </w:numPr>
        <w:tabs>
          <w:tab w:val="clear" w:pos="1080"/>
        </w:tabs>
        <w:ind w:left="1195" w:hanging="475"/>
      </w:pPr>
      <w:r w:rsidRPr="003C3377">
        <w:t>Whether Special Request</w:t>
      </w:r>
      <w:r w:rsidR="00D92D0A">
        <w:t> #</w:t>
      </w:r>
      <w:r w:rsidRPr="003C3377">
        <w:t>5 is reasonable (Special Request</w:t>
      </w:r>
      <w:r w:rsidR="00D92D0A">
        <w:t> #</w:t>
      </w:r>
      <w:r w:rsidRPr="003C3377">
        <w:t>5</w:t>
      </w:r>
      <w:r w:rsidR="000C0896">
        <w:t xml:space="preserve">:  </w:t>
      </w:r>
      <w:r w:rsidRPr="003C3377">
        <w:t>Incorporating Subsequent Rate Changes into Final Rates, which would incorporate rate changes due to other proceedings or the advice letter process into the calculations of final rates in this proceeding</w:t>
      </w:r>
      <w:r w:rsidR="00FF364D">
        <w:t>);</w:t>
      </w:r>
    </w:p>
    <w:p w:rsidR="00CE0158" w:rsidP="008D5E78" w:rsidRDefault="007C76E2" w14:paraId="0381A815" w14:textId="45522376">
      <w:pPr>
        <w:pStyle w:val="BlockQuoteH033"/>
        <w:numPr>
          <w:ilvl w:val="6"/>
          <w:numId w:val="7"/>
        </w:numPr>
        <w:tabs>
          <w:tab w:val="clear" w:pos="1080"/>
        </w:tabs>
        <w:ind w:left="1195" w:hanging="475"/>
      </w:pPr>
      <w:r w:rsidRPr="003C3377">
        <w:t>Whether Special Request</w:t>
      </w:r>
      <w:r w:rsidR="00D92D0A">
        <w:t> #</w:t>
      </w:r>
      <w:r w:rsidRPr="003C3377">
        <w:t>6 is reasonable (Special Request</w:t>
      </w:r>
      <w:r w:rsidR="00D92D0A">
        <w:t> #</w:t>
      </w:r>
      <w:r w:rsidRPr="003C3377">
        <w:t>6</w:t>
      </w:r>
      <w:r w:rsidR="000C0896">
        <w:t xml:space="preserve">:  </w:t>
      </w:r>
      <w:r w:rsidRPr="003C3377">
        <w:t>Updating Escalation Factors for Final Rates, which would require the Water Division to use the most current Commission escalation rates for expenses and capital when calculating the final revenue requirement and rates for the final decision in this proceeding</w:t>
      </w:r>
      <w:r w:rsidR="00FF364D">
        <w:t>);</w:t>
      </w:r>
    </w:p>
    <w:p w:rsidR="00CE0158" w:rsidP="008D5E78" w:rsidRDefault="007C76E2" w14:paraId="1E28001A" w14:textId="3677F20B">
      <w:pPr>
        <w:pStyle w:val="BlockQuoteH033"/>
        <w:numPr>
          <w:ilvl w:val="6"/>
          <w:numId w:val="7"/>
        </w:numPr>
        <w:tabs>
          <w:tab w:val="clear" w:pos="1080"/>
        </w:tabs>
        <w:ind w:left="1195" w:hanging="475"/>
      </w:pPr>
      <w:r w:rsidRPr="003C3377">
        <w:t>Whether Special Request</w:t>
      </w:r>
      <w:r w:rsidR="00D92D0A">
        <w:t> #</w:t>
      </w:r>
      <w:r w:rsidRPr="003C3377">
        <w:t>7 is reasonable (Special Request</w:t>
      </w:r>
      <w:r w:rsidR="00D92D0A">
        <w:t> #</w:t>
      </w:r>
      <w:r w:rsidRPr="003C3377">
        <w:t>7</w:t>
      </w:r>
      <w:r w:rsidR="000C0896">
        <w:t xml:space="preserve">:  </w:t>
      </w:r>
      <w:r w:rsidRPr="003C3377">
        <w:t xml:space="preserve">Payroll Escalation Based on Union Contract, which would calculate the labor expenses for </w:t>
      </w:r>
      <w:r w:rsidR="00EB50F8">
        <w:t>Cal Water</w:t>
      </w:r>
      <w:r w:rsidR="000C0896">
        <w:t>’</w:t>
      </w:r>
      <w:r w:rsidRPr="003C3377">
        <w:t>s escalation and attrition year step filings using the company</w:t>
      </w:r>
      <w:r w:rsidR="000C0896">
        <w:t>’</w:t>
      </w:r>
      <w:r w:rsidRPr="003C3377">
        <w:t>s actual union contract annual wage increases</w:t>
      </w:r>
      <w:r w:rsidR="00FF364D">
        <w:t>);</w:t>
      </w:r>
    </w:p>
    <w:p w:rsidRPr="003C3377" w:rsidR="007C76E2" w:rsidP="008D5E78" w:rsidRDefault="007C76E2" w14:paraId="489627FA" w14:textId="50614F20">
      <w:pPr>
        <w:pStyle w:val="BlockQuoteH033"/>
        <w:numPr>
          <w:ilvl w:val="6"/>
          <w:numId w:val="7"/>
        </w:numPr>
        <w:tabs>
          <w:tab w:val="clear" w:pos="1080"/>
        </w:tabs>
        <w:ind w:left="1195" w:hanging="475"/>
      </w:pPr>
      <w:r w:rsidRPr="003C3377">
        <w:t>Whether Special Request</w:t>
      </w:r>
      <w:r w:rsidR="00D92D0A">
        <w:t> #</w:t>
      </w:r>
      <w:r w:rsidRPr="003C3377">
        <w:t>8 is reasonable (Special Request</w:t>
      </w:r>
      <w:r w:rsidR="00D92D0A">
        <w:t> #</w:t>
      </w:r>
      <w:r w:rsidRPr="003C3377">
        <w:t>8</w:t>
      </w:r>
      <w:r w:rsidR="000C0896">
        <w:t xml:space="preserve">:  </w:t>
      </w:r>
      <w:r w:rsidRPr="003C3377">
        <w:t xml:space="preserve">Amortizing Balancing Accounts, which would allow </w:t>
      </w:r>
      <w:r w:rsidR="00EB50F8">
        <w:t>Cal Water</w:t>
      </w:r>
      <w:r w:rsidRPr="003C3377">
        <w:t xml:space="preserve"> to amortize the balances in the following </w:t>
      </w:r>
      <w:r w:rsidR="00CC5786">
        <w:t>BAMAs</w:t>
      </w:r>
      <w:r w:rsidRPr="003C3377">
        <w:t xml:space="preserve"> within 90 days or more of a final decision</w:t>
      </w:r>
      <w:r w:rsidR="000C0896">
        <w:t xml:space="preserve">:  </w:t>
      </w:r>
      <w:r w:rsidRPr="003C3377">
        <w:t>Conservation Expense Balancing Account (CEBA</w:t>
      </w:r>
      <w:r w:rsidR="00FB5022">
        <w:t> 5</w:t>
      </w:r>
      <w:r w:rsidRPr="003C3377">
        <w:t>), Pension Cost Balancing Account (PCBA</w:t>
      </w:r>
      <w:r w:rsidR="00FB5022">
        <w:t> 5</w:t>
      </w:r>
      <w:r w:rsidRPr="003C3377">
        <w:t xml:space="preserve">), </w:t>
      </w:r>
      <w:r w:rsidRPr="003C3377">
        <w:lastRenderedPageBreak/>
        <w:t>Healthcare Cost Balancing Account (HCBA</w:t>
      </w:r>
      <w:r w:rsidR="00FB5022">
        <w:t> 5</w:t>
      </w:r>
      <w:r w:rsidRPr="003C3377">
        <w:t xml:space="preserve">), General District Balancing Account (District BA), </w:t>
      </w:r>
      <w:bookmarkStart w:name="_Hlk212706274" w:id="28"/>
      <w:r w:rsidRPr="003C3377">
        <w:t xml:space="preserve">Catastrophic Event Memorandum Account (CEMA), </w:t>
      </w:r>
      <w:bookmarkStart w:name="_Hlk212708278" w:id="29"/>
      <w:bookmarkEnd w:id="28"/>
      <w:r w:rsidRPr="003C3377">
        <w:t>Asbestos Litigation Memorandum Account (ALMA)</w:t>
      </w:r>
      <w:bookmarkEnd w:id="29"/>
      <w:r w:rsidRPr="003C3377">
        <w:t xml:space="preserve">, </w:t>
      </w:r>
      <w:bookmarkStart w:name="_Hlk212708302" w:id="30"/>
      <w:r w:rsidRPr="003C3377">
        <w:t>Public Safety Shut</w:t>
      </w:r>
      <w:r w:rsidR="00270999">
        <w:noBreakHyphen/>
      </w:r>
      <w:r w:rsidRPr="003C3377">
        <w:t>Off Memorandum Account (PSPS MA)</w:t>
      </w:r>
      <w:bookmarkEnd w:id="30"/>
      <w:r w:rsidRPr="003C3377">
        <w:t xml:space="preserve">, and </w:t>
      </w:r>
      <w:bookmarkStart w:name="_Hlk212708373" w:id="31"/>
      <w:r w:rsidRPr="003C3377">
        <w:t>Drinking Water Fees Balancing Account (DWFBA)</w:t>
      </w:r>
      <w:bookmarkEnd w:id="31"/>
      <w:r w:rsidR="00FF364D">
        <w:t>);</w:t>
      </w:r>
    </w:p>
    <w:p w:rsidR="00CE0158" w:rsidP="008D5E78" w:rsidRDefault="007C76E2" w14:paraId="1C9CA27F" w14:textId="7790F2EE">
      <w:pPr>
        <w:pStyle w:val="BlockQuoteH033"/>
        <w:numPr>
          <w:ilvl w:val="6"/>
          <w:numId w:val="7"/>
        </w:numPr>
        <w:tabs>
          <w:tab w:val="clear" w:pos="1080"/>
        </w:tabs>
        <w:ind w:left="1195" w:hanging="475"/>
      </w:pPr>
      <w:r w:rsidRPr="003C3377">
        <w:t>Whether Special Request</w:t>
      </w:r>
      <w:r w:rsidR="00D92D0A">
        <w:t> #</w:t>
      </w:r>
      <w:r w:rsidRPr="003C3377">
        <w:t>9 is reasonable (Special Request</w:t>
      </w:r>
      <w:r w:rsidR="00D92D0A">
        <w:t> #</w:t>
      </w:r>
      <w:r w:rsidRPr="003C3377">
        <w:t>9</w:t>
      </w:r>
      <w:r w:rsidR="000C0896">
        <w:t xml:space="preserve">:  </w:t>
      </w:r>
      <w:r w:rsidRPr="003C3377">
        <w:t>Reauthorizing Balancing Accounts, which would re</w:t>
      </w:r>
      <w:r w:rsidR="00270999">
        <w:noBreakHyphen/>
      </w:r>
      <w:r w:rsidRPr="003C3377">
        <w:t xml:space="preserve">authorize the Conservation Expense Balancing Account (CEBA), </w:t>
      </w:r>
      <w:bookmarkStart w:name="_Hlk212706494" w:id="32"/>
      <w:r w:rsidRPr="003C3377">
        <w:t>Pension Cost Balancing Account (PCBA)</w:t>
      </w:r>
      <w:bookmarkEnd w:id="32"/>
      <w:r w:rsidRPr="003C3377">
        <w:t xml:space="preserve">, and </w:t>
      </w:r>
      <w:bookmarkStart w:name="_Hlk212706571" w:id="33"/>
      <w:r w:rsidRPr="003C3377">
        <w:t>Health Cost Balancing Account (HCBA)</w:t>
      </w:r>
      <w:r w:rsidR="00FF364D">
        <w:t>);</w:t>
      </w:r>
      <w:bookmarkEnd w:id="33"/>
    </w:p>
    <w:p w:rsidR="00CE0158" w:rsidP="008D5E78" w:rsidRDefault="007C76E2" w14:paraId="23787FEB" w14:textId="26D54CEF">
      <w:pPr>
        <w:pStyle w:val="BlockQuoteH033"/>
        <w:numPr>
          <w:ilvl w:val="6"/>
          <w:numId w:val="7"/>
        </w:numPr>
        <w:tabs>
          <w:tab w:val="clear" w:pos="1080"/>
        </w:tabs>
        <w:ind w:left="1195" w:hanging="475"/>
      </w:pPr>
      <w:r w:rsidRPr="003C3377">
        <w:t xml:space="preserve">Whether Special </w:t>
      </w:r>
      <w:r w:rsidR="00D92D0A">
        <w:t>Request #</w:t>
      </w:r>
      <w:r w:rsidRPr="003C3377">
        <w:t xml:space="preserve">10 is reasonable (Special </w:t>
      </w:r>
      <w:r w:rsidR="00D92D0A">
        <w:t>Request #</w:t>
      </w:r>
      <w:r w:rsidRPr="003C3377">
        <w:t>10</w:t>
      </w:r>
      <w:r w:rsidR="000C0896">
        <w:t xml:space="preserve">:  </w:t>
      </w:r>
      <w:r w:rsidRPr="003C3377">
        <w:t>Request for Liability Insurance Account, which would establish a two</w:t>
      </w:r>
      <w:r w:rsidR="00270999">
        <w:noBreakHyphen/>
      </w:r>
      <w:r w:rsidRPr="003C3377">
        <w:t xml:space="preserve">way balancing account for liability insurance costs (Liability Insurance Balancing Account). The Liability Insurance Balancing Account would track the difference between the liability insurance expense (third party premium amounts for general liability, excess liability and umbrella policies) included in the revenue requirement and the actual liability insurance expense </w:t>
      </w:r>
      <w:r w:rsidR="00EB50F8">
        <w:t>Cal Water</w:t>
      </w:r>
      <w:r w:rsidRPr="003C3377">
        <w:t xml:space="preserve"> incurs</w:t>
      </w:r>
      <w:r w:rsidR="00FF364D">
        <w:t>);</w:t>
      </w:r>
    </w:p>
    <w:p w:rsidR="00CE0158" w:rsidP="008D5E78" w:rsidRDefault="007C76E2" w14:paraId="2984C5EF" w14:textId="3408CAA3">
      <w:pPr>
        <w:pStyle w:val="BlockQuoteH033"/>
        <w:numPr>
          <w:ilvl w:val="6"/>
          <w:numId w:val="7"/>
        </w:numPr>
        <w:tabs>
          <w:tab w:val="clear" w:pos="1080"/>
        </w:tabs>
        <w:ind w:left="1195" w:hanging="475"/>
      </w:pPr>
      <w:r w:rsidRPr="003C3377">
        <w:t xml:space="preserve">Whether Special </w:t>
      </w:r>
      <w:r w:rsidR="00D92D0A">
        <w:t>Request #</w:t>
      </w:r>
      <w:r w:rsidRPr="003C3377">
        <w:t xml:space="preserve">11 is reasonable (Special </w:t>
      </w:r>
      <w:r w:rsidR="00D92D0A">
        <w:t>Request #</w:t>
      </w:r>
      <w:r w:rsidRPr="003C3377">
        <w:t>11</w:t>
      </w:r>
      <w:r w:rsidR="000C0896">
        <w:t xml:space="preserve">:  </w:t>
      </w:r>
      <w:r w:rsidRPr="003C3377">
        <w:t>Request for Water Contamination Remediation Memo Account</w:t>
      </w:r>
      <w:r w:rsidR="00FB5022">
        <w:t xml:space="preserve"> </w:t>
      </w:r>
      <w:r w:rsidRPr="00E97406" w:rsidR="00FB5022">
        <w:t>(WCRMA)</w:t>
      </w:r>
      <w:r w:rsidRPr="003C3377">
        <w:t>, which would establish a Contamination Remediation Memorandum Account in place of multiple, contaminant</w:t>
      </w:r>
      <w:r w:rsidR="00270999">
        <w:noBreakHyphen/>
      </w:r>
      <w:r w:rsidRPr="003C3377">
        <w:t>specific memo accounts);</w:t>
      </w:r>
    </w:p>
    <w:p w:rsidR="00CE0158" w:rsidP="008D5E78" w:rsidRDefault="007C76E2" w14:paraId="4EF937D8" w14:textId="41A9E94A">
      <w:pPr>
        <w:pStyle w:val="BlockQuoteH033"/>
        <w:numPr>
          <w:ilvl w:val="6"/>
          <w:numId w:val="7"/>
        </w:numPr>
        <w:tabs>
          <w:tab w:val="clear" w:pos="1080"/>
        </w:tabs>
        <w:ind w:left="1195" w:hanging="475"/>
      </w:pPr>
      <w:r w:rsidRPr="003C3377">
        <w:t xml:space="preserve">Whether Special </w:t>
      </w:r>
      <w:r w:rsidR="00D92D0A">
        <w:t>Request #</w:t>
      </w:r>
      <w:r w:rsidRPr="003C3377">
        <w:t xml:space="preserve">14 is reasonable (Special </w:t>
      </w:r>
      <w:r w:rsidR="00D92D0A">
        <w:t>Request #</w:t>
      </w:r>
      <w:r w:rsidRPr="003C3377">
        <w:t>14</w:t>
      </w:r>
      <w:r w:rsidR="000C0896">
        <w:t xml:space="preserve">:  </w:t>
      </w:r>
      <w:r w:rsidRPr="003C3377">
        <w:t xml:space="preserve">Attrition Year Normalization, which would authorize </w:t>
      </w:r>
      <w:r w:rsidR="00EB50F8">
        <w:t>Cal Water</w:t>
      </w:r>
      <w:r w:rsidRPr="003C3377">
        <w:t xml:space="preserve"> to deviate from the Rate Case Plan to update its practice for applying deferred taxes during the attrition year (</w:t>
      </w:r>
      <w:r w:rsidRPr="0080343B" w:rsidR="0080343B">
        <w:rPr>
          <w:i/>
          <w:iCs/>
        </w:rPr>
        <w:t>i.e.</w:t>
      </w:r>
      <w:r w:rsidRPr="003C3377">
        <w:t>, third year) of the GRC cycle to avoid a normalization violation); and</w:t>
      </w:r>
    </w:p>
    <w:p w:rsidR="007C76E2" w:rsidP="008D5E78" w:rsidRDefault="007C76E2" w14:paraId="4D10473A" w14:textId="55A89A3C">
      <w:pPr>
        <w:pStyle w:val="BlockQuoteH033"/>
        <w:numPr>
          <w:ilvl w:val="6"/>
          <w:numId w:val="7"/>
        </w:numPr>
        <w:tabs>
          <w:tab w:val="clear" w:pos="1080"/>
        </w:tabs>
        <w:ind w:left="1195" w:hanging="475"/>
      </w:pPr>
      <w:r w:rsidRPr="003C3377">
        <w:t xml:space="preserve">Whether Special </w:t>
      </w:r>
      <w:r w:rsidR="00D92D0A">
        <w:t>Request #</w:t>
      </w:r>
      <w:r w:rsidRPr="003C3377">
        <w:t xml:space="preserve">15 is reasonable (Special </w:t>
      </w:r>
      <w:r w:rsidR="00D92D0A">
        <w:t>Request #</w:t>
      </w:r>
      <w:r w:rsidRPr="003C3377">
        <w:t>15</w:t>
      </w:r>
      <w:r w:rsidR="000C0896">
        <w:t xml:space="preserve">:  </w:t>
      </w:r>
      <w:r w:rsidRPr="003C3377">
        <w:t xml:space="preserve">Deferred Tax Liability with Current Year Capital Additions, which authorize </w:t>
      </w:r>
      <w:r w:rsidR="00EB50F8">
        <w:t>Cal Water</w:t>
      </w:r>
      <w:r w:rsidRPr="003C3377">
        <w:t xml:space="preserve"> to modify its practice for prorating deferred tax liabilities for current </w:t>
      </w:r>
      <w:r w:rsidRPr="003C3377">
        <w:lastRenderedPageBreak/>
        <w:t>year capital additions to conform with the normalization proration rules.)</w:t>
      </w:r>
    </w:p>
    <w:p w:rsidR="00CA2648" w:rsidP="00CA2648" w:rsidRDefault="00CA2648" w14:paraId="4C691B07" w14:textId="5AF3AED0">
      <w:pPr>
        <w:pStyle w:val="Heading1"/>
      </w:pPr>
      <w:bookmarkStart w:name="_Toc222305245" w:id="34"/>
      <w:bookmarkStart w:name="_Toc8123720" w:id="35"/>
      <w:bookmarkStart w:name="_Toc228294669" w:id="36"/>
      <w:bookmarkEnd w:id="23"/>
      <w:r>
        <w:t>Partial Settlement Agreement</w:t>
      </w:r>
      <w:bookmarkEnd w:id="34"/>
      <w:bookmarkEnd w:id="36"/>
    </w:p>
    <w:p w:rsidR="00CE0158" w:rsidP="00307F01" w:rsidRDefault="004C788D" w14:paraId="383179FA" w14:textId="26CB6CCC">
      <w:pPr>
        <w:pStyle w:val="Standard"/>
      </w:pPr>
      <w:r>
        <w:t xml:space="preserve">On </w:t>
      </w:r>
      <w:bookmarkStart w:name="_Hlk212708471" w:id="37"/>
      <w:r w:rsidR="0068306C">
        <w:t>August </w:t>
      </w:r>
      <w:r>
        <w:t xml:space="preserve">4, 2025, </w:t>
      </w:r>
      <w:bookmarkStart w:name="_Hlk212708461" w:id="38"/>
      <w:r w:rsidR="00EB50F8">
        <w:t>Cal Advocates</w:t>
      </w:r>
      <w:r>
        <w:t xml:space="preserve">, </w:t>
      </w:r>
      <w:r w:rsidR="00EB50F8">
        <w:t>Cal Water</w:t>
      </w:r>
      <w:r>
        <w:t>, CWA, and NAWC (Settling Parties)</w:t>
      </w:r>
      <w:bookmarkEnd w:id="38"/>
      <w:r>
        <w:t xml:space="preserve"> filed a </w:t>
      </w:r>
      <w:bookmarkStart w:name="_Hlk212640494" w:id="39"/>
      <w:r w:rsidR="007A2749">
        <w:t>Joint Motion for Adoption of Partial Settlement</w:t>
      </w:r>
      <w:r>
        <w:t xml:space="preserve"> </w:t>
      </w:r>
      <w:r w:rsidR="007A2749">
        <w:t>A</w:t>
      </w:r>
      <w:r>
        <w:t>greement</w:t>
      </w:r>
      <w:r w:rsidR="007A2749">
        <w:t xml:space="preserve"> (Motion for Partial Settlement)</w:t>
      </w:r>
      <w:bookmarkEnd w:id="39"/>
      <w:r>
        <w:t xml:space="preserve">, </w:t>
      </w:r>
      <w:bookmarkEnd w:id="37"/>
      <w:r>
        <w:t xml:space="preserve">which included a copy of the Partial Settlement Agreement dated </w:t>
      </w:r>
      <w:r w:rsidR="0068306C">
        <w:t>August </w:t>
      </w:r>
      <w:r>
        <w:t xml:space="preserve">4, 2025. </w:t>
      </w:r>
      <w:r w:rsidR="00307F01">
        <w:t xml:space="preserve">This Partial Settlement Agreement is attached </w:t>
      </w:r>
      <w:r w:rsidRPr="00CB19AD" w:rsidR="00307F01">
        <w:t xml:space="preserve">thereto as </w:t>
      </w:r>
      <w:r w:rsidR="00546180">
        <w:t>Appendix </w:t>
      </w:r>
      <w:r w:rsidR="001947C4">
        <w:t>Y</w:t>
      </w:r>
      <w:r w:rsidRPr="001B3B98" w:rsidR="005C63E3">
        <w:t xml:space="preserve"> </w:t>
      </w:r>
      <w:r w:rsidR="00FF6990">
        <w:t>and</w:t>
      </w:r>
      <w:r w:rsidRPr="00CB19AD" w:rsidR="00307F01">
        <w:t xml:space="preserve"> includes a corrected version of the </w:t>
      </w:r>
      <w:r w:rsidR="00A23D11">
        <w:t>“</w:t>
      </w:r>
      <w:r w:rsidRPr="00CB19AD" w:rsidR="00307F01">
        <w:t>List of Undisputed Issues and Partially Resolved Capital Projects</w:t>
      </w:r>
      <w:r w:rsidR="00A23D11">
        <w:t>”</w:t>
      </w:r>
      <w:r w:rsidRPr="00CB19AD" w:rsidR="00307F01">
        <w:t xml:space="preserve"> (</w:t>
      </w:r>
      <w:r w:rsidR="00A23D11">
        <w:t>“</w:t>
      </w:r>
      <w:r w:rsidRPr="00CB19AD" w:rsidR="00307F01">
        <w:t xml:space="preserve">Undisputed Issues </w:t>
      </w:r>
      <w:r w:rsidRPr="00FE78AD" w:rsidR="00307F01">
        <w:t>List</w:t>
      </w:r>
      <w:r w:rsidR="00A23D11">
        <w:t>”</w:t>
      </w:r>
      <w:r w:rsidRPr="00FE78AD" w:rsidR="00307F01">
        <w:t>)</w:t>
      </w:r>
      <w:r w:rsidRPr="00FE78AD" w:rsidR="001B3B98">
        <w:t>;</w:t>
      </w:r>
      <w:r w:rsidRPr="00FE78AD" w:rsidR="00307F01">
        <w:t xml:space="preserve"> </w:t>
      </w:r>
      <w:r w:rsidRPr="00FE78AD" w:rsidR="001B3B98">
        <w:t xml:space="preserve">these are </w:t>
      </w:r>
      <w:r w:rsidRPr="00FE78AD" w:rsidR="00FE78AD">
        <w:t xml:space="preserve">attached and incorporated herein as </w:t>
      </w:r>
      <w:r w:rsidR="00546180">
        <w:t>Appendix </w:t>
      </w:r>
      <w:r w:rsidR="001947C4">
        <w:t>Y</w:t>
      </w:r>
      <w:r w:rsidRPr="00FE78AD" w:rsidR="00F94ED9">
        <w:t xml:space="preserve"> </w:t>
      </w:r>
      <w:r w:rsidRPr="00FE78AD" w:rsidR="00FE78AD">
        <w:t>to this decision.</w:t>
      </w:r>
    </w:p>
    <w:p w:rsidR="00CE0158" w:rsidP="00307F01" w:rsidRDefault="00437EC6" w14:paraId="5F4F4384" w14:textId="65199058">
      <w:pPr>
        <w:pStyle w:val="Standard"/>
      </w:pPr>
      <w:r w:rsidRPr="00CB19AD">
        <w:t xml:space="preserve">When it comes to sales and services, the parties agree that </w:t>
      </w:r>
      <w:r w:rsidR="00A23D11">
        <w:t>“</w:t>
      </w:r>
      <w:r w:rsidRPr="00CB19AD">
        <w:t>[w]</w:t>
      </w:r>
      <w:proofErr w:type="spellStart"/>
      <w:r w:rsidRPr="00CB19AD">
        <w:t>hile</w:t>
      </w:r>
      <w:proofErr w:type="spellEnd"/>
      <w:r w:rsidRPr="00CB19AD">
        <w:t xml:space="preserve"> the amount of sales remains in dispute, the Commission should adopt sales</w:t>
      </w:r>
      <w:r w:rsidR="00270999">
        <w:noBreakHyphen/>
      </w:r>
      <w:r w:rsidR="007754F5">
        <w:t>p</w:t>
      </w:r>
      <w:r w:rsidRPr="00CB19AD" w:rsidR="32D1987F">
        <w:t>er</w:t>
      </w:r>
      <w:r w:rsidR="00270999">
        <w:noBreakHyphen/>
      </w:r>
      <w:r w:rsidRPr="00CB19AD">
        <w:t xml:space="preserve">customer figures for each year such as those shown in </w:t>
      </w:r>
      <w:r w:rsidR="00DC5B03">
        <w:t>Attachment </w:t>
      </w:r>
      <w:r w:rsidRPr="00CB19AD">
        <w:t>2 to this Partial Settlement.</w:t>
      </w:r>
      <w:r w:rsidR="00A23D11">
        <w:t>”</w:t>
      </w:r>
      <w:r w:rsidR="007875AD">
        <w:rPr>
          <w:rStyle w:val="FootnoteReference"/>
        </w:rPr>
        <w:footnoteReference w:id="10"/>
      </w:r>
      <w:r w:rsidRPr="00CB19AD" w:rsidR="00F61008">
        <w:t xml:space="preserve"> This attachment, which is included here as</w:t>
      </w:r>
      <w:r w:rsidRPr="00CB19AD" w:rsidR="00CB19AD">
        <w:t xml:space="preserve"> part of</w:t>
      </w:r>
      <w:r w:rsidRPr="00CB19AD" w:rsidR="00F61008">
        <w:t xml:space="preserve"> </w:t>
      </w:r>
      <w:r w:rsidR="00546180">
        <w:t>Appendix </w:t>
      </w:r>
      <w:r w:rsidR="001947C4">
        <w:t>Y</w:t>
      </w:r>
      <w:r w:rsidRPr="00CB19AD" w:rsidR="00F61008">
        <w:t xml:space="preserve">, consists of </w:t>
      </w:r>
      <w:r w:rsidR="00EB50F8">
        <w:t>Cal Water</w:t>
      </w:r>
      <w:r w:rsidR="000C0896">
        <w:t>’</w:t>
      </w:r>
      <w:r w:rsidRPr="00CB19AD" w:rsidR="00F61008">
        <w:t xml:space="preserve">s 2024 GRC Sales Forecast Report. </w:t>
      </w:r>
      <w:r w:rsidR="00A23D11">
        <w:t>“</w:t>
      </w:r>
      <w:r w:rsidRPr="00CB19AD">
        <w:t>For service connections,</w:t>
      </w:r>
      <w:r w:rsidR="00A23D11">
        <w:t>”</w:t>
      </w:r>
      <w:r w:rsidRPr="00CB19AD" w:rsidR="00F61008">
        <w:t xml:space="preserve"> an attachment to the </w:t>
      </w:r>
      <w:r w:rsidR="00AC36CF">
        <w:t xml:space="preserve">Partial Settlement Agreement </w:t>
      </w:r>
      <w:r w:rsidR="00A23D11">
        <w:t>“</w:t>
      </w:r>
      <w:r w:rsidRPr="00CB19AD">
        <w:t>provides the agreed</w:t>
      </w:r>
      <w:r w:rsidR="00270999">
        <w:noBreakHyphen/>
      </w:r>
      <w:r w:rsidRPr="00CB19AD">
        <w:t>upon number for each customer class and operating district or sub</w:t>
      </w:r>
      <w:r w:rsidR="00270999">
        <w:noBreakHyphen/>
      </w:r>
      <w:r w:rsidRPr="00CB19AD">
        <w:t>district.</w:t>
      </w:r>
      <w:r w:rsidR="00A23D11">
        <w:t>”</w:t>
      </w:r>
    </w:p>
    <w:p w:rsidR="00307F01" w:rsidP="00307F01" w:rsidRDefault="00307F01" w14:paraId="014B41AA" w14:textId="1C01DD73">
      <w:pPr>
        <w:pStyle w:val="Standard"/>
      </w:pPr>
      <w:r>
        <w:t xml:space="preserve">The Settling Parties indicate that </w:t>
      </w:r>
      <w:r w:rsidR="00A23D11">
        <w:t>“</w:t>
      </w:r>
      <w:r>
        <w:t>[o]</w:t>
      </w:r>
      <w:proofErr w:type="spellStart"/>
      <w:r w:rsidRPr="00307F01">
        <w:t>ther</w:t>
      </w:r>
      <w:proofErr w:type="spellEnd"/>
      <w:r w:rsidRPr="00307F01">
        <w:t xml:space="preserve"> than the issues reflected in either the proposed Partial Settlement</w:t>
      </w:r>
      <w:r w:rsidR="00AC36CF">
        <w:t xml:space="preserve"> Agreement</w:t>
      </w:r>
      <w:r w:rsidRPr="00307F01">
        <w:t xml:space="preserve"> or the Undisputed Issues List, the remaining issues in this proceeding are contested by the Settling Parties and are addressed in opening and reply briefs.</w:t>
      </w:r>
      <w:r w:rsidR="00A23D11">
        <w:t>”</w:t>
      </w:r>
      <w:r w:rsidR="007875AD">
        <w:rPr>
          <w:rStyle w:val="FootnoteReference"/>
        </w:rPr>
        <w:footnoteReference w:id="11"/>
      </w:r>
    </w:p>
    <w:p w:rsidRPr="001B3B98" w:rsidR="001B3B98" w:rsidP="001B3B98" w:rsidRDefault="00EB50F8" w14:paraId="3A0F60C1" w14:textId="3FA4E29D">
      <w:pPr>
        <w:pStyle w:val="Standard"/>
        <w:spacing w:after="120"/>
      </w:pPr>
      <w:r>
        <w:lastRenderedPageBreak/>
        <w:t>Table 1</w:t>
      </w:r>
      <w:r w:rsidRPr="001B3B98" w:rsidR="00531BEE">
        <w:t xml:space="preserve"> </w:t>
      </w:r>
      <w:r w:rsidR="001B3B98">
        <w:t>below</w:t>
      </w:r>
      <w:r w:rsidRPr="001B3B98" w:rsidR="00307F01">
        <w:t xml:space="preserve"> show</w:t>
      </w:r>
      <w:r w:rsidR="001B3B98">
        <w:t>s</w:t>
      </w:r>
      <w:r w:rsidRPr="001B3B98" w:rsidR="00307F01">
        <w:t xml:space="preserve"> whether the scoped issues are addressed in either the Partial Settlement Agreement, </w:t>
      </w:r>
      <w:r w:rsidRPr="001B3B98" w:rsidR="0050550C">
        <w:t>as part of the</w:t>
      </w:r>
      <w:r w:rsidRPr="001B3B98" w:rsidR="00307F01">
        <w:t xml:space="preserve"> Undisputed Issues List, or </w:t>
      </w:r>
      <w:r w:rsidRPr="001B3B98" w:rsidR="0050550C">
        <w:t xml:space="preserve">as part of the </w:t>
      </w:r>
      <w:r w:rsidRPr="001B3B98" w:rsidR="00307F01">
        <w:t>disputed issue</w:t>
      </w:r>
      <w:r w:rsidRPr="001B3B98" w:rsidR="0050550C">
        <w:t>s</w:t>
      </w:r>
      <w:r w:rsidRPr="001B3B98" w:rsidR="00307F01">
        <w:t xml:space="preserve"> addressed in the party briefs:</w:t>
      </w:r>
    </w:p>
    <w:p w:rsidRPr="00253D9F" w:rsidR="004E0588" w:rsidP="00FC7DB1" w:rsidRDefault="00EB50F8" w14:paraId="30417223" w14:textId="2D1D4A42">
      <w:pPr>
        <w:pStyle w:val="TableTitleBody"/>
        <w:spacing w:after="0"/>
        <w:rPr>
          <w:b w:val="0"/>
          <w:bCs w:val="0"/>
          <w:u w:val="single"/>
        </w:rPr>
      </w:pPr>
      <w:bookmarkStart w:name="_Hlk218773223" w:id="40"/>
      <w:r>
        <w:rPr>
          <w:u w:val="single"/>
        </w:rPr>
        <w:t>Table 1</w:t>
      </w:r>
    </w:p>
    <w:p w:rsidRPr="00253D9F" w:rsidR="00DB104A" w:rsidP="00FC7DB1" w:rsidRDefault="00253D9F" w14:paraId="4453C251" w14:textId="7BB49FC5">
      <w:pPr>
        <w:pStyle w:val="TableTitleBodyT09"/>
      </w:pPr>
      <w:r w:rsidRPr="00253D9F">
        <w:t>(</w:t>
      </w:r>
      <w:r w:rsidRPr="00253D9F" w:rsidR="00DB104A">
        <w:t>Roadmap</w:t>
      </w:r>
      <w:r w:rsidRPr="00253D9F" w:rsidR="00A911E0">
        <w:t xml:space="preserve"> of Issues</w:t>
      </w:r>
      <w:r w:rsidRPr="00253D9F">
        <w:t>)</w:t>
      </w:r>
    </w:p>
    <w:tbl>
      <w:tblPr>
        <w:tblStyle w:val="TableGrid"/>
        <w:tblW w:w="10555" w:type="dxa"/>
        <w:jc w:val="center"/>
        <w:tblLayout w:type="fixed"/>
        <w:tblCellMar>
          <w:top w:w="58" w:type="dxa"/>
          <w:bottom w:w="58" w:type="dxa"/>
        </w:tblCellMar>
        <w:tblLook w:val="04A0" w:firstRow="1" w:lastRow="0" w:firstColumn="1" w:lastColumn="0" w:noHBand="0" w:noVBand="1"/>
      </w:tblPr>
      <w:tblGrid>
        <w:gridCol w:w="2611"/>
        <w:gridCol w:w="2109"/>
        <w:gridCol w:w="2894"/>
        <w:gridCol w:w="2941"/>
      </w:tblGrid>
      <w:tr w:rsidRPr="007D3EB6" w:rsidR="00D06B6C" w:rsidTr="00BF0EF3" w14:paraId="4FD12C4E" w14:textId="77777777">
        <w:trPr>
          <w:tblHeader/>
          <w:jc w:val="center"/>
        </w:trPr>
        <w:tc>
          <w:tcPr>
            <w:tcW w:w="2313" w:type="dxa"/>
            <w:shd w:val="clear" w:color="auto" w:fill="D9D9D9" w:themeFill="background1" w:themeFillShade="D9"/>
          </w:tcPr>
          <w:p w:rsidRPr="007D3EB6" w:rsidR="00D06B6C" w:rsidP="00E65A67" w:rsidRDefault="00D06B6C" w14:paraId="4F469C2B" w14:textId="77777777">
            <w:pPr>
              <w:keepNext/>
              <w:spacing w:line="240" w:lineRule="auto"/>
              <w:ind w:firstLine="0"/>
              <w:jc w:val="center"/>
              <w:rPr>
                <w:b/>
                <w:bCs/>
                <w:szCs w:val="26"/>
                <w:u w:val="single"/>
              </w:rPr>
            </w:pPr>
            <w:bookmarkStart w:name="_Hlk209605126" w:id="41"/>
            <w:r w:rsidRPr="007D3EB6">
              <w:rPr>
                <w:b/>
                <w:bCs/>
                <w:szCs w:val="26"/>
                <w:u w:val="single"/>
              </w:rPr>
              <w:t>Scoped Issues</w:t>
            </w:r>
          </w:p>
        </w:tc>
        <w:tc>
          <w:tcPr>
            <w:tcW w:w="1868" w:type="dxa"/>
            <w:shd w:val="clear" w:color="auto" w:fill="D9D9D9" w:themeFill="background1" w:themeFillShade="D9"/>
          </w:tcPr>
          <w:p w:rsidRPr="007D3EB6" w:rsidR="00D06B6C" w:rsidP="00E65A67" w:rsidRDefault="00D06B6C" w14:paraId="62E203F9" w14:textId="77777777">
            <w:pPr>
              <w:keepNext/>
              <w:spacing w:line="240" w:lineRule="auto"/>
              <w:ind w:firstLine="0"/>
              <w:jc w:val="center"/>
              <w:rPr>
                <w:b/>
                <w:bCs/>
                <w:szCs w:val="26"/>
                <w:u w:val="single"/>
              </w:rPr>
            </w:pPr>
            <w:r w:rsidRPr="007D3EB6">
              <w:rPr>
                <w:b/>
                <w:bCs/>
                <w:szCs w:val="26"/>
                <w:u w:val="single"/>
              </w:rPr>
              <w:t>Settled Issues</w:t>
            </w:r>
          </w:p>
          <w:p w:rsidRPr="007D3EB6" w:rsidR="00D06B6C" w:rsidP="00E65A67" w:rsidRDefault="00D06B6C" w14:paraId="13BF45F2" w14:textId="004BB3A8">
            <w:pPr>
              <w:keepNext/>
              <w:spacing w:line="240" w:lineRule="auto"/>
              <w:ind w:firstLine="0"/>
              <w:jc w:val="center"/>
              <w:rPr>
                <w:i/>
                <w:iCs/>
                <w:sz w:val="20"/>
                <w:szCs w:val="20"/>
              </w:rPr>
            </w:pPr>
            <w:r w:rsidRPr="007D3EB6">
              <w:rPr>
                <w:i/>
                <w:iCs/>
                <w:sz w:val="20"/>
                <w:szCs w:val="20"/>
              </w:rPr>
              <w:t>(See Partial</w:t>
            </w:r>
          </w:p>
          <w:p w:rsidRPr="007D3EB6" w:rsidR="00D06B6C" w:rsidP="00E65A67" w:rsidRDefault="00D06B6C" w14:paraId="2BEB0A44" w14:textId="77777777">
            <w:pPr>
              <w:keepNext/>
              <w:spacing w:line="240" w:lineRule="auto"/>
              <w:ind w:firstLine="0"/>
              <w:jc w:val="center"/>
              <w:rPr>
                <w:i/>
                <w:iCs/>
                <w:szCs w:val="20"/>
              </w:rPr>
            </w:pPr>
            <w:r w:rsidRPr="007D3EB6">
              <w:rPr>
                <w:i/>
                <w:iCs/>
                <w:sz w:val="20"/>
                <w:szCs w:val="20"/>
              </w:rPr>
              <w:t>Settlement Agreement)</w:t>
            </w:r>
          </w:p>
        </w:tc>
        <w:tc>
          <w:tcPr>
            <w:tcW w:w="2564" w:type="dxa"/>
            <w:shd w:val="clear" w:color="auto" w:fill="D9D9D9" w:themeFill="background1" w:themeFillShade="D9"/>
          </w:tcPr>
          <w:p w:rsidRPr="007D3EB6" w:rsidR="00D06B6C" w:rsidP="00E65A67" w:rsidRDefault="00D06B6C" w14:paraId="72F592C4" w14:textId="7337EA47">
            <w:pPr>
              <w:keepNext/>
              <w:spacing w:line="240" w:lineRule="auto"/>
              <w:ind w:firstLine="0"/>
              <w:jc w:val="center"/>
              <w:rPr>
                <w:szCs w:val="26"/>
              </w:rPr>
            </w:pPr>
            <w:r w:rsidRPr="007D3EB6">
              <w:rPr>
                <w:b/>
                <w:bCs/>
                <w:szCs w:val="26"/>
                <w:u w:val="single"/>
              </w:rPr>
              <w:t>Undisputed Issues</w:t>
            </w:r>
          </w:p>
          <w:p w:rsidRPr="007D3EB6" w:rsidR="00D06B6C" w:rsidP="00E65A67" w:rsidRDefault="00D06B6C" w14:paraId="11131AE6" w14:textId="5A2B97F8">
            <w:pPr>
              <w:keepNext/>
              <w:spacing w:line="240" w:lineRule="auto"/>
              <w:ind w:firstLine="0"/>
              <w:jc w:val="center"/>
              <w:rPr>
                <w:i/>
                <w:iCs/>
                <w:sz w:val="20"/>
                <w:szCs w:val="20"/>
              </w:rPr>
            </w:pPr>
            <w:r w:rsidRPr="007D3EB6">
              <w:rPr>
                <w:i/>
                <w:iCs/>
                <w:sz w:val="20"/>
                <w:szCs w:val="20"/>
              </w:rPr>
              <w:t>(See Undisputed</w:t>
            </w:r>
          </w:p>
          <w:p w:rsidRPr="007D3EB6" w:rsidR="00D06B6C" w:rsidP="00E65A67" w:rsidRDefault="00D06B6C" w14:paraId="520C4EA8" w14:textId="1144A24D">
            <w:pPr>
              <w:keepNext/>
              <w:spacing w:line="240" w:lineRule="auto"/>
              <w:ind w:firstLine="0"/>
              <w:jc w:val="center"/>
              <w:rPr>
                <w:i/>
                <w:iCs/>
                <w:szCs w:val="20"/>
              </w:rPr>
            </w:pPr>
            <w:r w:rsidRPr="007D3EB6">
              <w:rPr>
                <w:i/>
                <w:iCs/>
                <w:sz w:val="20"/>
                <w:szCs w:val="20"/>
              </w:rPr>
              <w:t>Issues List)</w:t>
            </w:r>
          </w:p>
        </w:tc>
        <w:tc>
          <w:tcPr>
            <w:tcW w:w="2605" w:type="dxa"/>
            <w:shd w:val="clear" w:color="auto" w:fill="D9D9D9" w:themeFill="background1" w:themeFillShade="D9"/>
          </w:tcPr>
          <w:p w:rsidRPr="007D3EB6" w:rsidR="00D06B6C" w:rsidP="00E65A67" w:rsidRDefault="00D06B6C" w14:paraId="3D325AC6" w14:textId="5B62471E">
            <w:pPr>
              <w:keepNext/>
              <w:spacing w:line="240" w:lineRule="auto"/>
              <w:ind w:firstLine="0"/>
              <w:jc w:val="center"/>
              <w:rPr>
                <w:szCs w:val="20"/>
              </w:rPr>
            </w:pPr>
            <w:r w:rsidRPr="007D3EB6">
              <w:rPr>
                <w:b/>
                <w:bCs/>
                <w:szCs w:val="26"/>
                <w:u w:val="single"/>
              </w:rPr>
              <w:t>Disputed Issues</w:t>
            </w:r>
            <w:r w:rsidRPr="007D3EB6">
              <w:rPr>
                <w:b/>
                <w:bCs/>
                <w:szCs w:val="20"/>
                <w:u w:val="single"/>
              </w:rPr>
              <w:t xml:space="preserve"> </w:t>
            </w:r>
          </w:p>
        </w:tc>
      </w:tr>
      <w:tr w:rsidRPr="00CD47C0" w:rsidR="00D06B6C" w:rsidTr="00E65A67" w14:paraId="0EC945B4" w14:textId="77777777">
        <w:trPr>
          <w:jc w:val="center"/>
        </w:trPr>
        <w:tc>
          <w:tcPr>
            <w:tcW w:w="2313" w:type="dxa"/>
          </w:tcPr>
          <w:p w:rsidRPr="00CD47C0" w:rsidR="00D06B6C" w:rsidP="00904E96" w:rsidRDefault="00D06B6C" w14:paraId="269D8607" w14:textId="1157921F">
            <w:pPr>
              <w:pStyle w:val="Table1Issues"/>
            </w:pPr>
            <w:r w:rsidRPr="00CD47C0">
              <w:t xml:space="preserve">Whether </w:t>
            </w:r>
            <w:r w:rsidR="00EB50F8">
              <w:t>Cal Water</w:t>
            </w:r>
            <w:r w:rsidR="000C0896">
              <w:t>’</w:t>
            </w:r>
            <w:r w:rsidRPr="00CD47C0">
              <w:t>s proposed rate increases for the Test and Escalation Years are just and reasonable.</w:t>
            </w:r>
          </w:p>
        </w:tc>
        <w:tc>
          <w:tcPr>
            <w:tcW w:w="1868" w:type="dxa"/>
          </w:tcPr>
          <w:p w:rsidRPr="00CD47C0" w:rsidR="00D06B6C" w:rsidRDefault="00D06B6C" w14:paraId="042B7E48" w14:textId="77777777">
            <w:pPr>
              <w:pStyle w:val="ListNum"/>
              <w:numPr>
                <w:ilvl w:val="0"/>
                <w:numId w:val="0"/>
              </w:numPr>
              <w:ind w:left="-30"/>
              <w:jc w:val="center"/>
              <w:rPr>
                <w:sz w:val="40"/>
                <w:szCs w:val="40"/>
              </w:rPr>
            </w:pPr>
            <w:r w:rsidRPr="00CD47C0">
              <w:rPr>
                <w:sz w:val="40"/>
                <w:szCs w:val="40"/>
              </w:rPr>
              <w:t>X</w:t>
            </w:r>
          </w:p>
        </w:tc>
        <w:tc>
          <w:tcPr>
            <w:tcW w:w="2564" w:type="dxa"/>
          </w:tcPr>
          <w:p w:rsidRPr="00CD47C0" w:rsidR="00D06B6C" w:rsidP="00BE550A" w:rsidRDefault="00D06B6C" w14:paraId="13984B6D" w14:textId="77777777">
            <w:pPr>
              <w:pStyle w:val="ListNum"/>
              <w:numPr>
                <w:ilvl w:val="0"/>
                <w:numId w:val="0"/>
              </w:numPr>
              <w:ind w:left="-30"/>
              <w:jc w:val="center"/>
              <w:rPr>
                <w:sz w:val="40"/>
                <w:szCs w:val="40"/>
              </w:rPr>
            </w:pPr>
            <w:r w:rsidRPr="00CD47C0">
              <w:rPr>
                <w:sz w:val="40"/>
                <w:szCs w:val="40"/>
              </w:rPr>
              <w:t>X</w:t>
            </w:r>
          </w:p>
        </w:tc>
        <w:tc>
          <w:tcPr>
            <w:tcW w:w="2605" w:type="dxa"/>
          </w:tcPr>
          <w:p w:rsidRPr="00CD47C0" w:rsidR="00D06B6C" w:rsidP="00BE550A" w:rsidRDefault="00D06B6C" w14:paraId="54926213" w14:textId="77777777">
            <w:pPr>
              <w:pStyle w:val="ListNum"/>
              <w:numPr>
                <w:ilvl w:val="0"/>
                <w:numId w:val="0"/>
              </w:numPr>
              <w:ind w:left="-30"/>
              <w:jc w:val="center"/>
              <w:rPr>
                <w:sz w:val="40"/>
                <w:szCs w:val="40"/>
              </w:rPr>
            </w:pPr>
            <w:r w:rsidRPr="00CD47C0">
              <w:rPr>
                <w:sz w:val="40"/>
                <w:szCs w:val="40"/>
              </w:rPr>
              <w:t>X</w:t>
            </w:r>
          </w:p>
        </w:tc>
      </w:tr>
      <w:bookmarkEnd w:id="40"/>
      <w:tr w:rsidRPr="00CD47C0" w:rsidR="00D06B6C" w:rsidTr="00E65A67" w14:paraId="33AAF7B3" w14:textId="77777777">
        <w:trPr>
          <w:jc w:val="center"/>
        </w:trPr>
        <w:tc>
          <w:tcPr>
            <w:tcW w:w="2313" w:type="dxa"/>
          </w:tcPr>
          <w:p w:rsidRPr="00CD47C0" w:rsidR="00D06B6C" w:rsidP="00904E96" w:rsidRDefault="00D06B6C" w14:paraId="5A83B2DA" w14:textId="35FD9F3D">
            <w:pPr>
              <w:pStyle w:val="Table1Issues"/>
            </w:pPr>
            <w:r w:rsidRPr="00CD47C0">
              <w:t xml:space="preserve">Whether </w:t>
            </w:r>
            <w:r w:rsidR="00EB50F8">
              <w:t>Cal Water</w:t>
            </w:r>
            <w:r w:rsidR="000C0896">
              <w:t>’</w:t>
            </w:r>
            <w:r w:rsidRPr="00CD47C0">
              <w:t xml:space="preserve">s estimates of its </w:t>
            </w:r>
            <w:r w:rsidR="00640A72">
              <w:t>O&amp;M</w:t>
            </w:r>
            <w:r w:rsidRPr="00CD47C0">
              <w:t xml:space="preserve"> and </w:t>
            </w:r>
            <w:r w:rsidR="00640A72">
              <w:t xml:space="preserve">A&amp;G </w:t>
            </w:r>
            <w:r w:rsidRPr="00CD47C0">
              <w:t xml:space="preserve">expenses are reasonable. </w:t>
            </w:r>
          </w:p>
        </w:tc>
        <w:tc>
          <w:tcPr>
            <w:tcW w:w="1868" w:type="dxa"/>
          </w:tcPr>
          <w:p w:rsidRPr="00CD47C0" w:rsidR="00D06B6C" w:rsidRDefault="00D06B6C" w14:paraId="09713256" w14:textId="77777777">
            <w:pPr>
              <w:pStyle w:val="ListNum"/>
              <w:numPr>
                <w:ilvl w:val="0"/>
                <w:numId w:val="0"/>
              </w:numPr>
              <w:ind w:left="-30"/>
              <w:jc w:val="center"/>
              <w:rPr>
                <w:sz w:val="40"/>
                <w:szCs w:val="40"/>
              </w:rPr>
            </w:pPr>
            <w:r w:rsidRPr="00CD47C0">
              <w:rPr>
                <w:sz w:val="40"/>
                <w:szCs w:val="40"/>
              </w:rPr>
              <w:t>X</w:t>
            </w:r>
          </w:p>
        </w:tc>
        <w:tc>
          <w:tcPr>
            <w:tcW w:w="2564" w:type="dxa"/>
          </w:tcPr>
          <w:p w:rsidRPr="00CD47C0" w:rsidR="00D06B6C" w:rsidP="00BE550A" w:rsidRDefault="00D06B6C" w14:paraId="56A4B840" w14:textId="77777777">
            <w:pPr>
              <w:pStyle w:val="ListNum"/>
              <w:numPr>
                <w:ilvl w:val="0"/>
                <w:numId w:val="0"/>
              </w:numPr>
              <w:ind w:left="-30"/>
              <w:jc w:val="center"/>
              <w:rPr>
                <w:sz w:val="40"/>
                <w:szCs w:val="40"/>
              </w:rPr>
            </w:pPr>
            <w:r w:rsidRPr="00CD47C0">
              <w:rPr>
                <w:sz w:val="40"/>
                <w:szCs w:val="40"/>
              </w:rPr>
              <w:t>X</w:t>
            </w:r>
          </w:p>
        </w:tc>
        <w:tc>
          <w:tcPr>
            <w:tcW w:w="2605" w:type="dxa"/>
          </w:tcPr>
          <w:p w:rsidRPr="00CD47C0" w:rsidR="00D06B6C" w:rsidP="00BE550A" w:rsidRDefault="00D06B6C" w14:paraId="083D5322" w14:textId="77777777">
            <w:pPr>
              <w:pStyle w:val="ListNum"/>
              <w:numPr>
                <w:ilvl w:val="0"/>
                <w:numId w:val="0"/>
              </w:numPr>
              <w:ind w:left="-30"/>
              <w:jc w:val="center"/>
              <w:rPr>
                <w:sz w:val="40"/>
                <w:szCs w:val="40"/>
              </w:rPr>
            </w:pPr>
            <w:r w:rsidRPr="00CD47C0">
              <w:rPr>
                <w:sz w:val="40"/>
                <w:szCs w:val="40"/>
              </w:rPr>
              <w:t>X</w:t>
            </w:r>
          </w:p>
        </w:tc>
      </w:tr>
      <w:tr w:rsidRPr="00CD47C0" w:rsidR="00D06B6C" w:rsidTr="00E65A67" w14:paraId="7F04500E" w14:textId="77777777">
        <w:trPr>
          <w:jc w:val="center"/>
        </w:trPr>
        <w:tc>
          <w:tcPr>
            <w:tcW w:w="2313" w:type="dxa"/>
          </w:tcPr>
          <w:p w:rsidRPr="00CD47C0" w:rsidR="00D06B6C" w:rsidP="00904E96" w:rsidRDefault="00D06B6C" w14:paraId="40ED5848" w14:textId="77C49FDE">
            <w:pPr>
              <w:pStyle w:val="Table1Issues"/>
            </w:pPr>
            <w:r w:rsidRPr="00CD47C0">
              <w:t xml:space="preserve">Whether </w:t>
            </w:r>
            <w:r w:rsidR="00EB50F8">
              <w:t>Cal Water</w:t>
            </w:r>
            <w:r w:rsidR="000C0896">
              <w:t>’</w:t>
            </w:r>
            <w:r w:rsidRPr="00CD47C0">
              <w:t>s proposed plant additions are accurate, reasonable, and justified.</w:t>
            </w:r>
          </w:p>
        </w:tc>
        <w:tc>
          <w:tcPr>
            <w:tcW w:w="1868" w:type="dxa"/>
          </w:tcPr>
          <w:p w:rsidRPr="00CD47C0" w:rsidR="00D06B6C" w:rsidRDefault="00D06B6C" w14:paraId="6C609C38" w14:textId="77777777">
            <w:pPr>
              <w:pStyle w:val="ListNum"/>
              <w:numPr>
                <w:ilvl w:val="0"/>
                <w:numId w:val="0"/>
              </w:numPr>
              <w:ind w:left="-30"/>
              <w:jc w:val="center"/>
              <w:rPr>
                <w:sz w:val="40"/>
                <w:szCs w:val="40"/>
              </w:rPr>
            </w:pPr>
          </w:p>
        </w:tc>
        <w:tc>
          <w:tcPr>
            <w:tcW w:w="2564" w:type="dxa"/>
          </w:tcPr>
          <w:p w:rsidRPr="00CD47C0" w:rsidR="00D06B6C" w:rsidP="00BE550A" w:rsidRDefault="00D06B6C" w14:paraId="5155F6EB" w14:textId="77777777">
            <w:pPr>
              <w:pStyle w:val="ListNum"/>
              <w:numPr>
                <w:ilvl w:val="0"/>
                <w:numId w:val="0"/>
              </w:numPr>
              <w:ind w:left="-30"/>
              <w:jc w:val="center"/>
              <w:rPr>
                <w:sz w:val="40"/>
                <w:szCs w:val="40"/>
              </w:rPr>
            </w:pPr>
            <w:r w:rsidRPr="00CD47C0">
              <w:rPr>
                <w:sz w:val="40"/>
                <w:szCs w:val="40"/>
              </w:rPr>
              <w:t>X</w:t>
            </w:r>
          </w:p>
        </w:tc>
        <w:tc>
          <w:tcPr>
            <w:tcW w:w="2605" w:type="dxa"/>
          </w:tcPr>
          <w:p w:rsidRPr="00CD47C0" w:rsidR="00D06B6C" w:rsidP="00BE550A" w:rsidRDefault="00D06B6C" w14:paraId="69EE88D5" w14:textId="77777777">
            <w:pPr>
              <w:pStyle w:val="ListNum"/>
              <w:numPr>
                <w:ilvl w:val="0"/>
                <w:numId w:val="0"/>
              </w:numPr>
              <w:ind w:left="-30"/>
              <w:jc w:val="center"/>
              <w:rPr>
                <w:sz w:val="40"/>
                <w:szCs w:val="40"/>
              </w:rPr>
            </w:pPr>
            <w:r w:rsidRPr="00CD47C0">
              <w:rPr>
                <w:sz w:val="40"/>
                <w:szCs w:val="40"/>
              </w:rPr>
              <w:t>X</w:t>
            </w:r>
          </w:p>
        </w:tc>
      </w:tr>
      <w:tr w:rsidRPr="00CD47C0" w:rsidR="00D06B6C" w:rsidTr="00E65A67" w14:paraId="7E8AC99E" w14:textId="77777777">
        <w:trPr>
          <w:jc w:val="center"/>
        </w:trPr>
        <w:tc>
          <w:tcPr>
            <w:tcW w:w="2313" w:type="dxa"/>
          </w:tcPr>
          <w:p w:rsidRPr="00CD47C0" w:rsidR="00D06B6C" w:rsidP="00904E96" w:rsidRDefault="00D06B6C" w14:paraId="638032E1" w14:textId="2E6D55A2">
            <w:pPr>
              <w:pStyle w:val="Table1Issues"/>
            </w:pPr>
            <w:r w:rsidRPr="00CD47C0">
              <w:t xml:space="preserve">Whether </w:t>
            </w:r>
            <w:r w:rsidR="00EB50F8">
              <w:t>Cal Water</w:t>
            </w:r>
            <w:r w:rsidR="000C0896">
              <w:t>’</w:t>
            </w:r>
            <w:r w:rsidRPr="00CD47C0">
              <w:t xml:space="preserve">s proposed revenue requirement is just and reasonable. </w:t>
            </w:r>
          </w:p>
        </w:tc>
        <w:tc>
          <w:tcPr>
            <w:tcW w:w="1868" w:type="dxa"/>
          </w:tcPr>
          <w:p w:rsidRPr="00CD47C0" w:rsidR="00D06B6C" w:rsidRDefault="00D06B6C" w14:paraId="482CBD13" w14:textId="77777777">
            <w:pPr>
              <w:pStyle w:val="ListNum"/>
              <w:numPr>
                <w:ilvl w:val="0"/>
                <w:numId w:val="0"/>
              </w:numPr>
              <w:ind w:left="-30"/>
              <w:jc w:val="center"/>
              <w:rPr>
                <w:sz w:val="40"/>
                <w:szCs w:val="40"/>
              </w:rPr>
            </w:pPr>
            <w:r w:rsidRPr="00CD47C0">
              <w:rPr>
                <w:sz w:val="40"/>
                <w:szCs w:val="40"/>
              </w:rPr>
              <w:t>X</w:t>
            </w:r>
          </w:p>
        </w:tc>
        <w:tc>
          <w:tcPr>
            <w:tcW w:w="2564" w:type="dxa"/>
          </w:tcPr>
          <w:p w:rsidRPr="00CD47C0" w:rsidR="00D06B6C" w:rsidP="00BE550A" w:rsidRDefault="00D06B6C" w14:paraId="775E6BD9" w14:textId="77777777">
            <w:pPr>
              <w:pStyle w:val="ListNum"/>
              <w:numPr>
                <w:ilvl w:val="0"/>
                <w:numId w:val="0"/>
              </w:numPr>
              <w:ind w:left="-30"/>
              <w:jc w:val="center"/>
              <w:rPr>
                <w:sz w:val="40"/>
                <w:szCs w:val="40"/>
              </w:rPr>
            </w:pPr>
            <w:r w:rsidRPr="00CD47C0">
              <w:rPr>
                <w:sz w:val="40"/>
                <w:szCs w:val="40"/>
              </w:rPr>
              <w:t>X</w:t>
            </w:r>
          </w:p>
        </w:tc>
        <w:tc>
          <w:tcPr>
            <w:tcW w:w="2605" w:type="dxa"/>
          </w:tcPr>
          <w:p w:rsidRPr="00CD47C0" w:rsidR="00D06B6C" w:rsidP="00BE550A" w:rsidRDefault="00D06B6C" w14:paraId="7C5C5DE3" w14:textId="77777777">
            <w:pPr>
              <w:pStyle w:val="ListNum"/>
              <w:numPr>
                <w:ilvl w:val="0"/>
                <w:numId w:val="0"/>
              </w:numPr>
              <w:ind w:left="-30"/>
              <w:jc w:val="center"/>
              <w:rPr>
                <w:sz w:val="40"/>
                <w:szCs w:val="40"/>
              </w:rPr>
            </w:pPr>
            <w:r w:rsidRPr="00CD47C0">
              <w:rPr>
                <w:sz w:val="40"/>
                <w:szCs w:val="40"/>
              </w:rPr>
              <w:t>X</w:t>
            </w:r>
          </w:p>
        </w:tc>
      </w:tr>
      <w:tr w:rsidRPr="00CD47C0" w:rsidR="00D06B6C" w:rsidTr="00E65A67" w14:paraId="6C7AFAEF" w14:textId="77777777">
        <w:trPr>
          <w:jc w:val="center"/>
        </w:trPr>
        <w:tc>
          <w:tcPr>
            <w:tcW w:w="2313" w:type="dxa"/>
          </w:tcPr>
          <w:p w:rsidRPr="00CD47C0" w:rsidR="00D06B6C" w:rsidP="00904E96" w:rsidRDefault="00D06B6C" w14:paraId="2D65B1DA" w14:textId="1013DF74">
            <w:pPr>
              <w:pStyle w:val="Table1Issues"/>
            </w:pPr>
            <w:r w:rsidRPr="00CD47C0">
              <w:t xml:space="preserve">Whether </w:t>
            </w:r>
            <w:r w:rsidR="00EB50F8">
              <w:t>Cal Water</w:t>
            </w:r>
            <w:r w:rsidR="000C0896">
              <w:t>’</w:t>
            </w:r>
            <w:r w:rsidRPr="00CD47C0">
              <w:t xml:space="preserve">s proposed rate designs are just and reasonable. </w:t>
            </w:r>
          </w:p>
        </w:tc>
        <w:tc>
          <w:tcPr>
            <w:tcW w:w="1868" w:type="dxa"/>
          </w:tcPr>
          <w:p w:rsidRPr="00CD47C0" w:rsidR="00D06B6C" w:rsidRDefault="00D06B6C" w14:paraId="3164D0FD" w14:textId="77777777">
            <w:pPr>
              <w:pStyle w:val="ListNum"/>
              <w:numPr>
                <w:ilvl w:val="0"/>
                <w:numId w:val="0"/>
              </w:numPr>
              <w:ind w:left="-30"/>
              <w:jc w:val="center"/>
              <w:rPr>
                <w:sz w:val="20"/>
                <w:szCs w:val="20"/>
              </w:rPr>
            </w:pPr>
          </w:p>
        </w:tc>
        <w:tc>
          <w:tcPr>
            <w:tcW w:w="2564" w:type="dxa"/>
          </w:tcPr>
          <w:p w:rsidRPr="00CD47C0" w:rsidR="00D06B6C" w:rsidP="00BE550A" w:rsidRDefault="00D06B6C" w14:paraId="03B236C2" w14:textId="77777777">
            <w:pPr>
              <w:pStyle w:val="ListNum"/>
              <w:numPr>
                <w:ilvl w:val="0"/>
                <w:numId w:val="0"/>
              </w:numPr>
              <w:ind w:left="-30"/>
              <w:jc w:val="center"/>
              <w:rPr>
                <w:sz w:val="20"/>
                <w:szCs w:val="20"/>
              </w:rPr>
            </w:pPr>
          </w:p>
        </w:tc>
        <w:tc>
          <w:tcPr>
            <w:tcW w:w="2605" w:type="dxa"/>
          </w:tcPr>
          <w:p w:rsidRPr="00CD47C0" w:rsidR="00D06B6C" w:rsidP="00BE550A" w:rsidRDefault="00D06B6C" w14:paraId="66EB5078"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5A033331" w14:textId="77777777">
        <w:trPr>
          <w:jc w:val="center"/>
        </w:trPr>
        <w:tc>
          <w:tcPr>
            <w:tcW w:w="2313" w:type="dxa"/>
          </w:tcPr>
          <w:p w:rsidRPr="00CD47C0" w:rsidR="00D06B6C" w:rsidP="00904E96" w:rsidRDefault="00D06B6C" w14:paraId="44F99FE1" w14:textId="16A42BA3">
            <w:pPr>
              <w:pStyle w:val="Table1Issues"/>
            </w:pPr>
            <w:r w:rsidRPr="00CD47C0">
              <w:t xml:space="preserve">Whether </w:t>
            </w:r>
            <w:r w:rsidR="00EB50F8">
              <w:t>Cal Water</w:t>
            </w:r>
            <w:r w:rsidRPr="00CD47C0">
              <w:t xml:space="preserve"> has complied with prior Commission orders. </w:t>
            </w:r>
          </w:p>
        </w:tc>
        <w:tc>
          <w:tcPr>
            <w:tcW w:w="1868" w:type="dxa"/>
          </w:tcPr>
          <w:p w:rsidRPr="00CD47C0" w:rsidR="00D06B6C" w:rsidRDefault="00D06B6C" w14:paraId="37775AB9" w14:textId="77777777">
            <w:pPr>
              <w:pStyle w:val="ListNum"/>
              <w:numPr>
                <w:ilvl w:val="0"/>
                <w:numId w:val="0"/>
              </w:numPr>
              <w:ind w:left="-30"/>
              <w:jc w:val="center"/>
              <w:rPr>
                <w:sz w:val="20"/>
                <w:szCs w:val="20"/>
              </w:rPr>
            </w:pPr>
          </w:p>
        </w:tc>
        <w:tc>
          <w:tcPr>
            <w:tcW w:w="2564" w:type="dxa"/>
          </w:tcPr>
          <w:p w:rsidRPr="00CD47C0" w:rsidR="00D06B6C" w:rsidP="00BE550A" w:rsidRDefault="00D06B6C" w14:paraId="78E038D4" w14:textId="77777777">
            <w:pPr>
              <w:pStyle w:val="ListNum"/>
              <w:numPr>
                <w:ilvl w:val="0"/>
                <w:numId w:val="0"/>
              </w:numPr>
              <w:ind w:left="-30"/>
              <w:jc w:val="center"/>
              <w:rPr>
                <w:sz w:val="20"/>
                <w:szCs w:val="20"/>
              </w:rPr>
            </w:pPr>
          </w:p>
        </w:tc>
        <w:tc>
          <w:tcPr>
            <w:tcW w:w="2605" w:type="dxa"/>
          </w:tcPr>
          <w:p w:rsidRPr="00CD47C0" w:rsidR="00D06B6C" w:rsidP="00BE550A" w:rsidRDefault="00D06B6C" w14:paraId="4CF1241C"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690FB3D4" w14:textId="77777777">
        <w:trPr>
          <w:jc w:val="center"/>
        </w:trPr>
        <w:tc>
          <w:tcPr>
            <w:tcW w:w="2313" w:type="dxa"/>
          </w:tcPr>
          <w:p w:rsidRPr="00CD47C0" w:rsidR="00D06B6C" w:rsidP="00904E96" w:rsidRDefault="00D06B6C" w14:paraId="47CFC3A7" w14:textId="0A6D5673">
            <w:pPr>
              <w:pStyle w:val="Table1Issues"/>
            </w:pPr>
            <w:r w:rsidRPr="00CD47C0">
              <w:t xml:space="preserve">Whether </w:t>
            </w:r>
            <w:r w:rsidR="00EB50F8">
              <w:t>Cal Water</w:t>
            </w:r>
            <w:r w:rsidR="000C0896">
              <w:t>’</w:t>
            </w:r>
            <w:r w:rsidRPr="00CD47C0">
              <w:t xml:space="preserve">s proposal for the LUWEP is just and reasonable. </w:t>
            </w:r>
          </w:p>
        </w:tc>
        <w:tc>
          <w:tcPr>
            <w:tcW w:w="1868" w:type="dxa"/>
          </w:tcPr>
          <w:p w:rsidRPr="00CD47C0" w:rsidR="00D06B6C" w:rsidRDefault="00D06B6C" w14:paraId="0891CA3E" w14:textId="77777777">
            <w:pPr>
              <w:pStyle w:val="ListNum"/>
              <w:numPr>
                <w:ilvl w:val="0"/>
                <w:numId w:val="0"/>
              </w:numPr>
              <w:ind w:left="-30"/>
              <w:jc w:val="center"/>
              <w:rPr>
                <w:sz w:val="20"/>
                <w:szCs w:val="20"/>
              </w:rPr>
            </w:pPr>
          </w:p>
        </w:tc>
        <w:tc>
          <w:tcPr>
            <w:tcW w:w="2564" w:type="dxa"/>
          </w:tcPr>
          <w:p w:rsidRPr="00CD47C0" w:rsidR="00D06B6C" w:rsidP="00BE550A" w:rsidRDefault="00D06B6C" w14:paraId="5C086791" w14:textId="77777777">
            <w:pPr>
              <w:pStyle w:val="ListNum"/>
              <w:numPr>
                <w:ilvl w:val="0"/>
                <w:numId w:val="0"/>
              </w:numPr>
              <w:ind w:left="-30"/>
              <w:jc w:val="center"/>
              <w:rPr>
                <w:sz w:val="20"/>
                <w:szCs w:val="20"/>
              </w:rPr>
            </w:pPr>
          </w:p>
        </w:tc>
        <w:tc>
          <w:tcPr>
            <w:tcW w:w="2605" w:type="dxa"/>
          </w:tcPr>
          <w:p w:rsidRPr="00CD47C0" w:rsidR="00D06B6C" w:rsidP="00BE550A" w:rsidRDefault="00D06B6C" w14:paraId="497A049C"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196F46A4" w14:textId="77777777">
        <w:trPr>
          <w:jc w:val="center"/>
        </w:trPr>
        <w:tc>
          <w:tcPr>
            <w:tcW w:w="2313" w:type="dxa"/>
          </w:tcPr>
          <w:p w:rsidRPr="00CD47C0" w:rsidR="00D06B6C" w:rsidP="00904E96" w:rsidRDefault="00D06B6C" w14:paraId="1A72C015" w14:textId="7A173927">
            <w:pPr>
              <w:pStyle w:val="Table1Issues"/>
            </w:pPr>
            <w:r w:rsidRPr="00CD47C0">
              <w:t xml:space="preserve">Whether </w:t>
            </w:r>
            <w:r w:rsidR="00EB50F8">
              <w:t>Cal Water</w:t>
            </w:r>
            <w:r w:rsidR="000C0896">
              <w:t>’</w:t>
            </w:r>
            <w:r w:rsidRPr="00CD47C0">
              <w:t xml:space="preserve">s Water Rights Leases </w:t>
            </w:r>
            <w:r w:rsidRPr="00CD47C0">
              <w:lastRenderedPageBreak/>
              <w:t xml:space="preserve">comply with prior Commission orders. </w:t>
            </w:r>
          </w:p>
        </w:tc>
        <w:tc>
          <w:tcPr>
            <w:tcW w:w="1868" w:type="dxa"/>
          </w:tcPr>
          <w:p w:rsidRPr="00CD47C0" w:rsidR="00D06B6C" w:rsidRDefault="00D06B6C" w14:paraId="3F3FA6F7" w14:textId="77777777">
            <w:pPr>
              <w:pStyle w:val="ListNum"/>
              <w:numPr>
                <w:ilvl w:val="0"/>
                <w:numId w:val="0"/>
              </w:numPr>
              <w:ind w:left="-30"/>
              <w:jc w:val="center"/>
              <w:rPr>
                <w:sz w:val="20"/>
                <w:szCs w:val="20"/>
              </w:rPr>
            </w:pPr>
          </w:p>
        </w:tc>
        <w:tc>
          <w:tcPr>
            <w:tcW w:w="2564" w:type="dxa"/>
          </w:tcPr>
          <w:p w:rsidRPr="00CD47C0" w:rsidR="00D06B6C" w:rsidP="00BE550A" w:rsidRDefault="00D06B6C" w14:paraId="07F53A8F"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65D437D8" w14:textId="77777777">
            <w:pPr>
              <w:pStyle w:val="ListNum"/>
              <w:numPr>
                <w:ilvl w:val="0"/>
                <w:numId w:val="0"/>
              </w:numPr>
              <w:ind w:left="-30"/>
              <w:jc w:val="center"/>
              <w:rPr>
                <w:sz w:val="20"/>
                <w:szCs w:val="20"/>
              </w:rPr>
            </w:pPr>
          </w:p>
        </w:tc>
      </w:tr>
      <w:tr w:rsidRPr="00CD47C0" w:rsidR="00D06B6C" w:rsidTr="00E65A67" w14:paraId="78BDE700" w14:textId="77777777">
        <w:trPr>
          <w:jc w:val="center"/>
        </w:trPr>
        <w:tc>
          <w:tcPr>
            <w:tcW w:w="2313" w:type="dxa"/>
          </w:tcPr>
          <w:p w:rsidRPr="00CD47C0" w:rsidR="00D06B6C" w:rsidP="00904E96" w:rsidRDefault="00D06B6C" w14:paraId="5CF5CE01" w14:textId="41FE8DBE">
            <w:pPr>
              <w:pStyle w:val="Table1Issues"/>
            </w:pPr>
            <w:r w:rsidRPr="00CD47C0">
              <w:t xml:space="preserve">Whether </w:t>
            </w:r>
            <w:r w:rsidR="00EB50F8">
              <w:t>Cal Water</w:t>
            </w:r>
            <w:r w:rsidRPr="00CD47C0">
              <w:t xml:space="preserve"> is in compliance with California</w:t>
            </w:r>
            <w:r w:rsidR="000C0896">
              <w:t>’</w:t>
            </w:r>
            <w:r w:rsidRPr="00CD47C0">
              <w:t xml:space="preserve">s regulatory requirements for the provision of safe and reliable water service. </w:t>
            </w:r>
          </w:p>
        </w:tc>
        <w:tc>
          <w:tcPr>
            <w:tcW w:w="1868" w:type="dxa"/>
          </w:tcPr>
          <w:p w:rsidRPr="00CD47C0" w:rsidR="00D06B6C" w:rsidRDefault="00D06B6C" w14:paraId="5CECE0B1" w14:textId="77777777">
            <w:pPr>
              <w:pStyle w:val="ListNum"/>
              <w:numPr>
                <w:ilvl w:val="0"/>
                <w:numId w:val="0"/>
              </w:numPr>
              <w:ind w:left="-30"/>
              <w:jc w:val="center"/>
              <w:rPr>
                <w:sz w:val="20"/>
                <w:szCs w:val="20"/>
              </w:rPr>
            </w:pPr>
            <w:r w:rsidRPr="00CD47C0">
              <w:rPr>
                <w:sz w:val="40"/>
                <w:szCs w:val="40"/>
              </w:rPr>
              <w:t>X</w:t>
            </w:r>
          </w:p>
        </w:tc>
        <w:tc>
          <w:tcPr>
            <w:tcW w:w="2564" w:type="dxa"/>
          </w:tcPr>
          <w:p w:rsidRPr="00CD47C0" w:rsidR="00D06B6C" w:rsidP="00BE550A" w:rsidRDefault="00D06B6C" w14:paraId="0674C876"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493B0865" w14:textId="77777777">
            <w:pPr>
              <w:pStyle w:val="ListNum"/>
              <w:numPr>
                <w:ilvl w:val="0"/>
                <w:numId w:val="0"/>
              </w:numPr>
              <w:ind w:left="-30"/>
              <w:jc w:val="center"/>
              <w:rPr>
                <w:sz w:val="20"/>
                <w:szCs w:val="20"/>
              </w:rPr>
            </w:pPr>
          </w:p>
        </w:tc>
      </w:tr>
      <w:tr w:rsidRPr="00CD47C0" w:rsidR="00D06B6C" w:rsidTr="00E65A67" w14:paraId="4DE75707" w14:textId="77777777">
        <w:trPr>
          <w:jc w:val="center"/>
        </w:trPr>
        <w:tc>
          <w:tcPr>
            <w:tcW w:w="2313" w:type="dxa"/>
          </w:tcPr>
          <w:p w:rsidRPr="00CD47C0" w:rsidR="00D06B6C" w:rsidP="00904E96" w:rsidRDefault="00D06B6C" w14:paraId="2853E2D0" w14:textId="40196602">
            <w:pPr>
              <w:pStyle w:val="Table1Issues"/>
            </w:pPr>
            <w:r w:rsidRPr="00CD47C0">
              <w:t xml:space="preserve">Whether </w:t>
            </w:r>
            <w:r w:rsidR="00EB50F8">
              <w:t>Cal Water</w:t>
            </w:r>
            <w:r w:rsidR="000C0896">
              <w:t>’</w:t>
            </w:r>
            <w:r w:rsidRPr="00CD47C0">
              <w:t xml:space="preserve">s water quality meets all applicable local, state and federal drinking water standards and other provisions of </w:t>
            </w:r>
            <w:r w:rsidR="00AC0B25">
              <w:t>GO </w:t>
            </w:r>
            <w:r w:rsidRPr="00CD47C0">
              <w:t>103</w:t>
            </w:r>
            <w:r w:rsidR="00270999">
              <w:noBreakHyphen/>
            </w:r>
            <w:r w:rsidRPr="00CD47C0">
              <w:t xml:space="preserve">A. </w:t>
            </w:r>
          </w:p>
        </w:tc>
        <w:tc>
          <w:tcPr>
            <w:tcW w:w="1868" w:type="dxa"/>
          </w:tcPr>
          <w:p w:rsidRPr="00CD47C0" w:rsidR="00D06B6C" w:rsidRDefault="00D06B6C" w14:paraId="35310A1F" w14:textId="77777777">
            <w:pPr>
              <w:pStyle w:val="ListNum"/>
              <w:numPr>
                <w:ilvl w:val="0"/>
                <w:numId w:val="0"/>
              </w:numPr>
              <w:ind w:left="-30"/>
              <w:jc w:val="center"/>
              <w:rPr>
                <w:sz w:val="20"/>
                <w:szCs w:val="20"/>
              </w:rPr>
            </w:pPr>
            <w:r w:rsidRPr="00CD47C0">
              <w:rPr>
                <w:sz w:val="40"/>
                <w:szCs w:val="40"/>
              </w:rPr>
              <w:t>X</w:t>
            </w:r>
          </w:p>
        </w:tc>
        <w:tc>
          <w:tcPr>
            <w:tcW w:w="2564" w:type="dxa"/>
          </w:tcPr>
          <w:p w:rsidRPr="00CD47C0" w:rsidR="00D06B6C" w:rsidP="00BE550A" w:rsidRDefault="00D06B6C" w14:paraId="355E28D2" w14:textId="77777777">
            <w:pPr>
              <w:pStyle w:val="ListNum"/>
              <w:numPr>
                <w:ilvl w:val="0"/>
                <w:numId w:val="0"/>
              </w:numPr>
              <w:jc w:val="center"/>
              <w:rPr>
                <w:sz w:val="20"/>
                <w:szCs w:val="20"/>
              </w:rPr>
            </w:pPr>
            <w:r w:rsidRPr="00CD47C0">
              <w:rPr>
                <w:sz w:val="40"/>
                <w:szCs w:val="40"/>
              </w:rPr>
              <w:t>X</w:t>
            </w:r>
          </w:p>
        </w:tc>
        <w:tc>
          <w:tcPr>
            <w:tcW w:w="2605" w:type="dxa"/>
          </w:tcPr>
          <w:p w:rsidRPr="00CD47C0" w:rsidR="00D06B6C" w:rsidP="00BE550A" w:rsidRDefault="00D06B6C" w14:paraId="7850C6CB"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312E7D9F" w14:textId="77777777">
        <w:trPr>
          <w:jc w:val="center"/>
        </w:trPr>
        <w:tc>
          <w:tcPr>
            <w:tcW w:w="2313" w:type="dxa"/>
          </w:tcPr>
          <w:p w:rsidRPr="00CD47C0" w:rsidR="00D06B6C" w:rsidP="00904E96" w:rsidRDefault="00D06B6C" w14:paraId="3F0275FE" w14:textId="6A78A97A">
            <w:pPr>
              <w:pStyle w:val="Table1Issues"/>
            </w:pPr>
            <w:r w:rsidRPr="00CD47C0">
              <w:t xml:space="preserve">Whether </w:t>
            </w:r>
            <w:r w:rsidR="00EB50F8">
              <w:t>Cal Water</w:t>
            </w:r>
            <w:r w:rsidR="000C0896">
              <w:t>’</w:t>
            </w:r>
            <w:r w:rsidRPr="00CD47C0">
              <w:t>s Application supports the goals and objectives of the Commission</w:t>
            </w:r>
            <w:r w:rsidR="000C0896">
              <w:t>’</w:t>
            </w:r>
            <w:r w:rsidRPr="00CD47C0">
              <w:t xml:space="preserve">s </w:t>
            </w:r>
            <w:r w:rsidR="00B74C1D">
              <w:t>ESJ</w:t>
            </w:r>
            <w:r w:rsidRPr="00CD47C0">
              <w:t xml:space="preserve"> Action Plan.</w:t>
            </w:r>
          </w:p>
        </w:tc>
        <w:tc>
          <w:tcPr>
            <w:tcW w:w="1868" w:type="dxa"/>
          </w:tcPr>
          <w:p w:rsidRPr="00CD47C0" w:rsidR="00D06B6C" w:rsidRDefault="00D06B6C" w14:paraId="5C7571EE" w14:textId="77777777">
            <w:pPr>
              <w:pStyle w:val="ListNum"/>
              <w:numPr>
                <w:ilvl w:val="0"/>
                <w:numId w:val="0"/>
              </w:numPr>
              <w:ind w:left="-30"/>
              <w:jc w:val="center"/>
              <w:rPr>
                <w:sz w:val="20"/>
                <w:szCs w:val="20"/>
              </w:rPr>
            </w:pPr>
          </w:p>
        </w:tc>
        <w:tc>
          <w:tcPr>
            <w:tcW w:w="2564" w:type="dxa"/>
          </w:tcPr>
          <w:p w:rsidRPr="00CD47C0" w:rsidR="00D06B6C" w:rsidP="00BE550A" w:rsidRDefault="00D06B6C" w14:paraId="20A09D71" w14:textId="77777777">
            <w:pPr>
              <w:pStyle w:val="ListNum"/>
              <w:numPr>
                <w:ilvl w:val="0"/>
                <w:numId w:val="0"/>
              </w:numPr>
              <w:jc w:val="center"/>
              <w:rPr>
                <w:sz w:val="20"/>
                <w:szCs w:val="20"/>
              </w:rPr>
            </w:pPr>
          </w:p>
        </w:tc>
        <w:tc>
          <w:tcPr>
            <w:tcW w:w="2605" w:type="dxa"/>
          </w:tcPr>
          <w:p w:rsidRPr="00CD47C0" w:rsidR="00D06B6C" w:rsidP="00BE550A" w:rsidRDefault="00D06B6C" w14:paraId="4CC4B3B1"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0F5E4945" w14:textId="77777777">
        <w:trPr>
          <w:jc w:val="center"/>
        </w:trPr>
        <w:tc>
          <w:tcPr>
            <w:tcW w:w="2313" w:type="dxa"/>
          </w:tcPr>
          <w:p w:rsidRPr="00CD47C0" w:rsidR="00D06B6C" w:rsidP="00904E96" w:rsidRDefault="00D06B6C" w14:paraId="5F95FAF3" w14:textId="5C6DF958">
            <w:pPr>
              <w:pStyle w:val="Table1Issues"/>
            </w:pPr>
            <w:r w:rsidRPr="00CD47C0">
              <w:t xml:space="preserve">Whether </w:t>
            </w:r>
            <w:r w:rsidR="00EB50F8">
              <w:t>Cal Water</w:t>
            </w:r>
            <w:r w:rsidR="000C0896">
              <w:t>’</w:t>
            </w:r>
            <w:r w:rsidRPr="00CD47C0">
              <w:t xml:space="preserve">s proposed </w:t>
            </w:r>
            <w:r w:rsidR="005925FC">
              <w:t>BAMA</w:t>
            </w:r>
            <w:r w:rsidRPr="00CD47C0">
              <w:t>s are reasonable and in the public interest.</w:t>
            </w:r>
          </w:p>
        </w:tc>
        <w:tc>
          <w:tcPr>
            <w:tcW w:w="1868" w:type="dxa"/>
          </w:tcPr>
          <w:p w:rsidRPr="00CD47C0" w:rsidR="00D06B6C" w:rsidRDefault="00D06B6C" w14:paraId="17C93357" w14:textId="77777777">
            <w:pPr>
              <w:pStyle w:val="ListNum"/>
              <w:numPr>
                <w:ilvl w:val="0"/>
                <w:numId w:val="0"/>
              </w:numPr>
              <w:ind w:left="-30"/>
              <w:jc w:val="center"/>
              <w:rPr>
                <w:sz w:val="20"/>
                <w:szCs w:val="20"/>
              </w:rPr>
            </w:pPr>
            <w:r w:rsidRPr="00CD47C0">
              <w:rPr>
                <w:sz w:val="40"/>
                <w:szCs w:val="40"/>
              </w:rPr>
              <w:t>X</w:t>
            </w:r>
          </w:p>
        </w:tc>
        <w:tc>
          <w:tcPr>
            <w:tcW w:w="2564" w:type="dxa"/>
          </w:tcPr>
          <w:p w:rsidRPr="00CD47C0" w:rsidR="00D06B6C" w:rsidP="00BE550A" w:rsidRDefault="00D06B6C" w14:paraId="1CC35C23"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0DB261CA"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7E1F1DE8" w14:textId="77777777">
        <w:trPr>
          <w:jc w:val="center"/>
        </w:trPr>
        <w:tc>
          <w:tcPr>
            <w:tcW w:w="2313" w:type="dxa"/>
          </w:tcPr>
          <w:p w:rsidRPr="00CD47C0" w:rsidR="00D06B6C" w:rsidP="00904E96" w:rsidRDefault="00D06B6C" w14:paraId="2F2D891A" w14:textId="45C67617">
            <w:pPr>
              <w:pStyle w:val="Table1Issues"/>
            </w:pPr>
            <w:r w:rsidRPr="00CD47C0">
              <w:t xml:space="preserve">Whether Special </w:t>
            </w:r>
            <w:r w:rsidR="00D92D0A">
              <w:t>Request #</w:t>
            </w:r>
            <w:r w:rsidRPr="00CD47C0">
              <w:t xml:space="preserve">1 is reasonable. </w:t>
            </w:r>
          </w:p>
        </w:tc>
        <w:tc>
          <w:tcPr>
            <w:tcW w:w="1868" w:type="dxa"/>
          </w:tcPr>
          <w:p w:rsidRPr="00CD47C0" w:rsidR="00D06B6C" w:rsidRDefault="00D06B6C" w14:paraId="00F1644B" w14:textId="77777777">
            <w:pPr>
              <w:pStyle w:val="ListNum"/>
              <w:numPr>
                <w:ilvl w:val="0"/>
                <w:numId w:val="0"/>
              </w:numPr>
              <w:ind w:left="-30"/>
              <w:jc w:val="center"/>
              <w:rPr>
                <w:sz w:val="20"/>
                <w:szCs w:val="20"/>
              </w:rPr>
            </w:pPr>
            <w:r w:rsidRPr="00CD47C0">
              <w:rPr>
                <w:sz w:val="40"/>
                <w:szCs w:val="40"/>
              </w:rPr>
              <w:t>X</w:t>
            </w:r>
          </w:p>
        </w:tc>
        <w:tc>
          <w:tcPr>
            <w:tcW w:w="2564" w:type="dxa"/>
          </w:tcPr>
          <w:p w:rsidRPr="00CD47C0" w:rsidR="00D06B6C" w:rsidP="00BE550A" w:rsidRDefault="00D06B6C" w14:paraId="47A14D6A"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1223AFE2" w14:textId="77777777">
            <w:pPr>
              <w:pStyle w:val="ListNum"/>
              <w:numPr>
                <w:ilvl w:val="0"/>
                <w:numId w:val="0"/>
              </w:numPr>
              <w:ind w:left="-30"/>
              <w:jc w:val="center"/>
              <w:rPr>
                <w:sz w:val="20"/>
                <w:szCs w:val="20"/>
              </w:rPr>
            </w:pPr>
          </w:p>
        </w:tc>
      </w:tr>
      <w:tr w:rsidRPr="00CD47C0" w:rsidR="00D06B6C" w:rsidTr="00E65A67" w14:paraId="47648F8D" w14:textId="77777777">
        <w:trPr>
          <w:jc w:val="center"/>
        </w:trPr>
        <w:tc>
          <w:tcPr>
            <w:tcW w:w="2313" w:type="dxa"/>
          </w:tcPr>
          <w:p w:rsidRPr="00CD47C0" w:rsidR="00D06B6C" w:rsidP="00904E96" w:rsidRDefault="00D06B6C" w14:paraId="0ACB3EF3" w14:textId="35B0F563">
            <w:pPr>
              <w:pStyle w:val="Table1Issues"/>
            </w:pPr>
            <w:r w:rsidRPr="00CD47C0">
              <w:t xml:space="preserve">Whether Special </w:t>
            </w:r>
            <w:r w:rsidR="00D92D0A">
              <w:t>Request #</w:t>
            </w:r>
            <w:r w:rsidRPr="00CD47C0">
              <w:t xml:space="preserve">2 is reasonable. </w:t>
            </w:r>
          </w:p>
        </w:tc>
        <w:tc>
          <w:tcPr>
            <w:tcW w:w="1868" w:type="dxa"/>
          </w:tcPr>
          <w:p w:rsidRPr="00CD47C0" w:rsidR="00D06B6C" w:rsidRDefault="00D06B6C" w14:paraId="323AB8E2" w14:textId="77777777">
            <w:pPr>
              <w:pStyle w:val="ListNum"/>
              <w:numPr>
                <w:ilvl w:val="0"/>
                <w:numId w:val="0"/>
              </w:numPr>
              <w:jc w:val="center"/>
              <w:rPr>
                <w:sz w:val="20"/>
                <w:szCs w:val="20"/>
              </w:rPr>
            </w:pPr>
            <w:r w:rsidRPr="00CD47C0">
              <w:rPr>
                <w:sz w:val="40"/>
                <w:szCs w:val="40"/>
              </w:rPr>
              <w:t>X</w:t>
            </w:r>
          </w:p>
        </w:tc>
        <w:tc>
          <w:tcPr>
            <w:tcW w:w="2564" w:type="dxa"/>
          </w:tcPr>
          <w:p w:rsidRPr="00CD47C0" w:rsidR="00D06B6C" w:rsidP="00BE550A" w:rsidRDefault="00D06B6C" w14:paraId="11D39052" w14:textId="77777777">
            <w:pPr>
              <w:pStyle w:val="ListNum"/>
              <w:numPr>
                <w:ilvl w:val="0"/>
                <w:numId w:val="0"/>
              </w:numPr>
              <w:jc w:val="center"/>
              <w:rPr>
                <w:sz w:val="20"/>
                <w:szCs w:val="20"/>
              </w:rPr>
            </w:pPr>
            <w:r w:rsidRPr="00CD47C0">
              <w:rPr>
                <w:sz w:val="40"/>
                <w:szCs w:val="40"/>
              </w:rPr>
              <w:t>X</w:t>
            </w:r>
          </w:p>
        </w:tc>
        <w:tc>
          <w:tcPr>
            <w:tcW w:w="2605" w:type="dxa"/>
          </w:tcPr>
          <w:p w:rsidRPr="00CD47C0" w:rsidR="00D06B6C" w:rsidP="00BE550A" w:rsidRDefault="00D06B6C" w14:paraId="7C544193" w14:textId="77777777">
            <w:pPr>
              <w:pStyle w:val="ListNum"/>
              <w:numPr>
                <w:ilvl w:val="0"/>
                <w:numId w:val="0"/>
              </w:numPr>
              <w:jc w:val="center"/>
              <w:rPr>
                <w:sz w:val="20"/>
                <w:szCs w:val="20"/>
              </w:rPr>
            </w:pPr>
          </w:p>
        </w:tc>
      </w:tr>
      <w:tr w:rsidRPr="00CD47C0" w:rsidR="00D06B6C" w:rsidTr="00E65A67" w14:paraId="0C561E2F" w14:textId="77777777">
        <w:trPr>
          <w:jc w:val="center"/>
        </w:trPr>
        <w:tc>
          <w:tcPr>
            <w:tcW w:w="2313" w:type="dxa"/>
          </w:tcPr>
          <w:p w:rsidRPr="00CD47C0" w:rsidR="00D06B6C" w:rsidP="00904E96" w:rsidRDefault="00D06B6C" w14:paraId="77E3E478" w14:textId="24510B30">
            <w:pPr>
              <w:pStyle w:val="Table1Issues"/>
            </w:pPr>
            <w:r w:rsidRPr="00CD47C0">
              <w:t xml:space="preserve">Whether Special </w:t>
            </w:r>
            <w:r w:rsidR="00D92D0A">
              <w:t>Request #</w:t>
            </w:r>
            <w:r w:rsidRPr="00CD47C0">
              <w:t xml:space="preserve">3 is reasonable. </w:t>
            </w:r>
            <w:r>
              <w:t>(Decoupling)</w:t>
            </w:r>
          </w:p>
        </w:tc>
        <w:tc>
          <w:tcPr>
            <w:tcW w:w="1868" w:type="dxa"/>
          </w:tcPr>
          <w:p w:rsidRPr="00CD47C0" w:rsidR="00D06B6C" w:rsidRDefault="00D06B6C" w14:paraId="7CC0BE09" w14:textId="77777777">
            <w:pPr>
              <w:pStyle w:val="ListNum"/>
              <w:numPr>
                <w:ilvl w:val="0"/>
                <w:numId w:val="0"/>
              </w:numPr>
              <w:ind w:left="1080" w:hanging="360"/>
              <w:jc w:val="center"/>
              <w:rPr>
                <w:sz w:val="20"/>
                <w:szCs w:val="20"/>
              </w:rPr>
            </w:pPr>
          </w:p>
        </w:tc>
        <w:tc>
          <w:tcPr>
            <w:tcW w:w="2564" w:type="dxa"/>
          </w:tcPr>
          <w:p w:rsidRPr="00CD47C0" w:rsidR="00D06B6C" w:rsidP="00BE550A" w:rsidRDefault="00D06B6C" w14:paraId="09475596" w14:textId="77777777">
            <w:pPr>
              <w:pStyle w:val="ListNum"/>
              <w:numPr>
                <w:ilvl w:val="0"/>
                <w:numId w:val="0"/>
              </w:numPr>
              <w:ind w:left="1080" w:hanging="360"/>
              <w:jc w:val="center"/>
              <w:rPr>
                <w:sz w:val="20"/>
                <w:szCs w:val="20"/>
              </w:rPr>
            </w:pPr>
          </w:p>
        </w:tc>
        <w:tc>
          <w:tcPr>
            <w:tcW w:w="2605" w:type="dxa"/>
          </w:tcPr>
          <w:p w:rsidRPr="00CD47C0" w:rsidR="00D06B6C" w:rsidP="00BE550A" w:rsidRDefault="00D06B6C" w14:paraId="10AB07C7" w14:textId="77777777">
            <w:pPr>
              <w:pStyle w:val="ListNum"/>
              <w:numPr>
                <w:ilvl w:val="0"/>
                <w:numId w:val="0"/>
              </w:numPr>
              <w:jc w:val="center"/>
              <w:rPr>
                <w:sz w:val="20"/>
                <w:szCs w:val="20"/>
              </w:rPr>
            </w:pPr>
            <w:r w:rsidRPr="00CD47C0">
              <w:rPr>
                <w:sz w:val="40"/>
                <w:szCs w:val="40"/>
              </w:rPr>
              <w:t>X</w:t>
            </w:r>
          </w:p>
        </w:tc>
      </w:tr>
      <w:tr w:rsidRPr="00CD47C0" w:rsidR="00D06B6C" w:rsidTr="00E65A67" w14:paraId="07C0EFA4" w14:textId="77777777">
        <w:trPr>
          <w:jc w:val="center"/>
        </w:trPr>
        <w:tc>
          <w:tcPr>
            <w:tcW w:w="2313" w:type="dxa"/>
          </w:tcPr>
          <w:p w:rsidRPr="00CD47C0" w:rsidR="00D06B6C" w:rsidP="00904E96" w:rsidRDefault="00D06B6C" w14:paraId="5ED0B016" w14:textId="75863CB5">
            <w:pPr>
              <w:pStyle w:val="Table1Issues"/>
            </w:pPr>
            <w:r w:rsidRPr="00CD47C0">
              <w:t xml:space="preserve">Whether Special </w:t>
            </w:r>
            <w:r w:rsidR="00D92D0A">
              <w:t>Request #</w:t>
            </w:r>
            <w:r w:rsidRPr="00CD47C0">
              <w:t xml:space="preserve">4 is reasonable. </w:t>
            </w:r>
          </w:p>
        </w:tc>
        <w:tc>
          <w:tcPr>
            <w:tcW w:w="1868" w:type="dxa"/>
          </w:tcPr>
          <w:p w:rsidRPr="00CD47C0" w:rsidR="00D06B6C" w:rsidRDefault="00D06B6C" w14:paraId="070032FB" w14:textId="77777777">
            <w:pPr>
              <w:pStyle w:val="ListNum"/>
              <w:numPr>
                <w:ilvl w:val="0"/>
                <w:numId w:val="0"/>
              </w:numPr>
              <w:jc w:val="center"/>
              <w:rPr>
                <w:sz w:val="20"/>
                <w:szCs w:val="20"/>
              </w:rPr>
            </w:pPr>
            <w:r w:rsidRPr="00CD47C0">
              <w:rPr>
                <w:sz w:val="40"/>
                <w:szCs w:val="40"/>
              </w:rPr>
              <w:t>X</w:t>
            </w:r>
          </w:p>
        </w:tc>
        <w:tc>
          <w:tcPr>
            <w:tcW w:w="2564" w:type="dxa"/>
          </w:tcPr>
          <w:p w:rsidRPr="00CD47C0" w:rsidR="00D06B6C" w:rsidP="00BE550A" w:rsidRDefault="00D06B6C" w14:paraId="2DB08BBF" w14:textId="77777777">
            <w:pPr>
              <w:pStyle w:val="ListNum"/>
              <w:numPr>
                <w:ilvl w:val="0"/>
                <w:numId w:val="0"/>
              </w:numPr>
              <w:jc w:val="center"/>
              <w:rPr>
                <w:sz w:val="20"/>
                <w:szCs w:val="20"/>
              </w:rPr>
            </w:pPr>
            <w:r w:rsidRPr="00CD47C0">
              <w:rPr>
                <w:sz w:val="40"/>
                <w:szCs w:val="40"/>
              </w:rPr>
              <w:t>X</w:t>
            </w:r>
          </w:p>
        </w:tc>
        <w:tc>
          <w:tcPr>
            <w:tcW w:w="2605" w:type="dxa"/>
          </w:tcPr>
          <w:p w:rsidRPr="00CD47C0" w:rsidR="00D06B6C" w:rsidP="00BE550A" w:rsidRDefault="00D06B6C" w14:paraId="68EDD994" w14:textId="77777777">
            <w:pPr>
              <w:pStyle w:val="ListNum"/>
              <w:numPr>
                <w:ilvl w:val="0"/>
                <w:numId w:val="0"/>
              </w:numPr>
              <w:jc w:val="center"/>
              <w:rPr>
                <w:sz w:val="20"/>
                <w:szCs w:val="20"/>
              </w:rPr>
            </w:pPr>
          </w:p>
        </w:tc>
      </w:tr>
      <w:tr w:rsidRPr="00CD47C0" w:rsidR="00D06B6C" w:rsidTr="00E65A67" w14:paraId="4EBA66BC" w14:textId="77777777">
        <w:trPr>
          <w:jc w:val="center"/>
        </w:trPr>
        <w:tc>
          <w:tcPr>
            <w:tcW w:w="2313" w:type="dxa"/>
          </w:tcPr>
          <w:p w:rsidRPr="00CD47C0" w:rsidR="00D06B6C" w:rsidP="00904E96" w:rsidRDefault="00D06B6C" w14:paraId="0FB61723" w14:textId="11A2ACAB">
            <w:pPr>
              <w:pStyle w:val="Table1Issues"/>
            </w:pPr>
            <w:r w:rsidRPr="00CD47C0">
              <w:t xml:space="preserve">Whether Special </w:t>
            </w:r>
            <w:r w:rsidR="00D92D0A">
              <w:t>Request #</w:t>
            </w:r>
            <w:r w:rsidRPr="00CD47C0">
              <w:t xml:space="preserve">5 is reasonable. </w:t>
            </w:r>
          </w:p>
        </w:tc>
        <w:tc>
          <w:tcPr>
            <w:tcW w:w="1868" w:type="dxa"/>
          </w:tcPr>
          <w:p w:rsidRPr="00CD47C0" w:rsidR="00D06B6C" w:rsidRDefault="00D06B6C" w14:paraId="57A241CD" w14:textId="77777777">
            <w:pPr>
              <w:pStyle w:val="ListNum"/>
              <w:numPr>
                <w:ilvl w:val="0"/>
                <w:numId w:val="0"/>
              </w:numPr>
              <w:ind w:left="-30"/>
              <w:jc w:val="center"/>
              <w:rPr>
                <w:sz w:val="20"/>
                <w:szCs w:val="20"/>
              </w:rPr>
            </w:pPr>
          </w:p>
        </w:tc>
        <w:tc>
          <w:tcPr>
            <w:tcW w:w="2564" w:type="dxa"/>
          </w:tcPr>
          <w:p w:rsidRPr="00CD47C0" w:rsidR="00D06B6C" w:rsidP="00BE550A" w:rsidRDefault="00D06B6C" w14:paraId="06C33622"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0A0075F8" w14:textId="77777777">
            <w:pPr>
              <w:pStyle w:val="ListNum"/>
              <w:numPr>
                <w:ilvl w:val="0"/>
                <w:numId w:val="0"/>
              </w:numPr>
              <w:ind w:left="-30"/>
              <w:jc w:val="center"/>
              <w:rPr>
                <w:sz w:val="20"/>
                <w:szCs w:val="20"/>
              </w:rPr>
            </w:pPr>
          </w:p>
        </w:tc>
      </w:tr>
      <w:tr w:rsidRPr="00CD47C0" w:rsidR="00D06B6C" w:rsidTr="00E65A67" w14:paraId="4A1F36F8" w14:textId="77777777">
        <w:trPr>
          <w:jc w:val="center"/>
        </w:trPr>
        <w:tc>
          <w:tcPr>
            <w:tcW w:w="2313" w:type="dxa"/>
          </w:tcPr>
          <w:p w:rsidRPr="00CD47C0" w:rsidR="00D06B6C" w:rsidP="00904E96" w:rsidRDefault="00D06B6C" w14:paraId="60042A9D" w14:textId="6F89C191">
            <w:pPr>
              <w:pStyle w:val="Table1Issues"/>
            </w:pPr>
            <w:r w:rsidRPr="00CD47C0">
              <w:lastRenderedPageBreak/>
              <w:t xml:space="preserve">Whether Special </w:t>
            </w:r>
            <w:r w:rsidR="00D92D0A">
              <w:t>Request #</w:t>
            </w:r>
            <w:r w:rsidRPr="00CD47C0">
              <w:t>6 is reasonable.</w:t>
            </w:r>
          </w:p>
        </w:tc>
        <w:tc>
          <w:tcPr>
            <w:tcW w:w="1868" w:type="dxa"/>
          </w:tcPr>
          <w:p w:rsidRPr="00CD47C0" w:rsidR="00D06B6C" w:rsidRDefault="00D06B6C" w14:paraId="1AE3AD97" w14:textId="77777777">
            <w:pPr>
              <w:pStyle w:val="ListNum"/>
              <w:numPr>
                <w:ilvl w:val="0"/>
                <w:numId w:val="0"/>
              </w:numPr>
              <w:ind w:left="1080" w:hanging="360"/>
              <w:rPr>
                <w:sz w:val="20"/>
                <w:szCs w:val="20"/>
              </w:rPr>
            </w:pPr>
          </w:p>
        </w:tc>
        <w:tc>
          <w:tcPr>
            <w:tcW w:w="2564" w:type="dxa"/>
          </w:tcPr>
          <w:p w:rsidRPr="00CD47C0" w:rsidR="00D06B6C" w:rsidP="00BE550A" w:rsidRDefault="00D06B6C" w14:paraId="2B874A8E" w14:textId="77777777">
            <w:pPr>
              <w:pStyle w:val="ListNum"/>
              <w:numPr>
                <w:ilvl w:val="0"/>
                <w:numId w:val="0"/>
              </w:numPr>
              <w:jc w:val="center"/>
              <w:rPr>
                <w:sz w:val="20"/>
                <w:szCs w:val="20"/>
              </w:rPr>
            </w:pPr>
            <w:r w:rsidRPr="00CD47C0">
              <w:rPr>
                <w:sz w:val="40"/>
                <w:szCs w:val="40"/>
              </w:rPr>
              <w:t>X</w:t>
            </w:r>
          </w:p>
        </w:tc>
        <w:tc>
          <w:tcPr>
            <w:tcW w:w="2605" w:type="dxa"/>
          </w:tcPr>
          <w:p w:rsidRPr="00CD47C0" w:rsidR="00D06B6C" w:rsidP="00BE550A" w:rsidRDefault="00D06B6C" w14:paraId="0043F51E" w14:textId="77777777">
            <w:pPr>
              <w:pStyle w:val="ListNum"/>
              <w:numPr>
                <w:ilvl w:val="0"/>
                <w:numId w:val="0"/>
              </w:numPr>
              <w:jc w:val="center"/>
              <w:rPr>
                <w:sz w:val="20"/>
                <w:szCs w:val="20"/>
              </w:rPr>
            </w:pPr>
          </w:p>
        </w:tc>
      </w:tr>
      <w:tr w:rsidRPr="00CD47C0" w:rsidR="00D06B6C" w:rsidTr="00E65A67" w14:paraId="3DA1B752" w14:textId="77777777">
        <w:trPr>
          <w:jc w:val="center"/>
        </w:trPr>
        <w:tc>
          <w:tcPr>
            <w:tcW w:w="2313" w:type="dxa"/>
          </w:tcPr>
          <w:p w:rsidRPr="00CD47C0" w:rsidR="00D06B6C" w:rsidP="00904E96" w:rsidRDefault="00D06B6C" w14:paraId="2A8CB558" w14:textId="64CE3BE5">
            <w:pPr>
              <w:pStyle w:val="Table1Issues"/>
            </w:pPr>
            <w:r w:rsidRPr="00CD47C0">
              <w:t xml:space="preserve">Whether Special </w:t>
            </w:r>
            <w:r w:rsidR="00D92D0A">
              <w:t>Request #</w:t>
            </w:r>
            <w:r w:rsidRPr="00CD47C0">
              <w:t xml:space="preserve">7 is reasonable. </w:t>
            </w:r>
          </w:p>
        </w:tc>
        <w:tc>
          <w:tcPr>
            <w:tcW w:w="1868" w:type="dxa"/>
          </w:tcPr>
          <w:p w:rsidRPr="00CD47C0" w:rsidR="00D06B6C" w:rsidRDefault="00D06B6C" w14:paraId="7315AC62" w14:textId="77777777">
            <w:pPr>
              <w:pStyle w:val="ListNum"/>
              <w:numPr>
                <w:ilvl w:val="0"/>
                <w:numId w:val="0"/>
              </w:numPr>
              <w:ind w:left="1080" w:hanging="360"/>
              <w:jc w:val="center"/>
              <w:rPr>
                <w:sz w:val="20"/>
                <w:szCs w:val="20"/>
              </w:rPr>
            </w:pPr>
          </w:p>
        </w:tc>
        <w:tc>
          <w:tcPr>
            <w:tcW w:w="2564" w:type="dxa"/>
          </w:tcPr>
          <w:p w:rsidRPr="00CD47C0" w:rsidR="00D06B6C" w:rsidP="00BE550A" w:rsidRDefault="00D06B6C" w14:paraId="21832D61" w14:textId="2B07B589">
            <w:pPr>
              <w:pStyle w:val="ListNum"/>
              <w:numPr>
                <w:ilvl w:val="0"/>
                <w:numId w:val="0"/>
              </w:numPr>
              <w:ind w:left="720"/>
              <w:jc w:val="center"/>
              <w:rPr>
                <w:sz w:val="20"/>
                <w:szCs w:val="20"/>
              </w:rPr>
            </w:pPr>
          </w:p>
        </w:tc>
        <w:tc>
          <w:tcPr>
            <w:tcW w:w="2605" w:type="dxa"/>
          </w:tcPr>
          <w:p w:rsidRPr="00CD47C0" w:rsidR="00D06B6C" w:rsidP="00233D6B" w:rsidRDefault="00233D6B" w14:paraId="4070ACCB" w14:textId="3801758F">
            <w:pPr>
              <w:pStyle w:val="ListNum"/>
              <w:numPr>
                <w:ilvl w:val="0"/>
                <w:numId w:val="0"/>
              </w:numPr>
              <w:jc w:val="center"/>
              <w:rPr>
                <w:sz w:val="40"/>
                <w:szCs w:val="40"/>
              </w:rPr>
            </w:pPr>
            <w:r>
              <w:rPr>
                <w:sz w:val="40"/>
                <w:szCs w:val="40"/>
              </w:rPr>
              <w:t>X</w:t>
            </w:r>
          </w:p>
        </w:tc>
      </w:tr>
      <w:tr w:rsidRPr="00CD47C0" w:rsidR="00D06B6C" w:rsidTr="00E65A67" w14:paraId="23944EC4" w14:textId="77777777">
        <w:trPr>
          <w:jc w:val="center"/>
        </w:trPr>
        <w:tc>
          <w:tcPr>
            <w:tcW w:w="2313" w:type="dxa"/>
          </w:tcPr>
          <w:p w:rsidRPr="00CD47C0" w:rsidR="00D06B6C" w:rsidP="00904E96" w:rsidRDefault="00D06B6C" w14:paraId="00029AE3" w14:textId="68F10C5C">
            <w:pPr>
              <w:pStyle w:val="Table1Issues"/>
            </w:pPr>
            <w:r w:rsidRPr="00CD47C0">
              <w:t xml:space="preserve">Whether Special </w:t>
            </w:r>
            <w:r w:rsidR="00D92D0A">
              <w:t>Request #</w:t>
            </w:r>
            <w:r w:rsidRPr="00CD47C0">
              <w:t>8 is reasonable.</w:t>
            </w:r>
          </w:p>
        </w:tc>
        <w:tc>
          <w:tcPr>
            <w:tcW w:w="1868" w:type="dxa"/>
          </w:tcPr>
          <w:p w:rsidRPr="00CD47C0" w:rsidR="00D06B6C" w:rsidRDefault="00D06B6C" w14:paraId="7EFC9E9F" w14:textId="77777777">
            <w:pPr>
              <w:pStyle w:val="ListNum"/>
              <w:numPr>
                <w:ilvl w:val="0"/>
                <w:numId w:val="0"/>
              </w:numPr>
              <w:ind w:left="-30"/>
              <w:jc w:val="center"/>
              <w:rPr>
                <w:sz w:val="20"/>
                <w:szCs w:val="20"/>
              </w:rPr>
            </w:pPr>
          </w:p>
        </w:tc>
        <w:tc>
          <w:tcPr>
            <w:tcW w:w="2564" w:type="dxa"/>
          </w:tcPr>
          <w:p w:rsidRPr="00CD47C0" w:rsidR="00D06B6C" w:rsidP="00BE550A" w:rsidRDefault="00D06B6C" w14:paraId="3C5E47C1"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07F38079"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51514E18" w14:textId="77777777">
        <w:trPr>
          <w:jc w:val="center"/>
        </w:trPr>
        <w:tc>
          <w:tcPr>
            <w:tcW w:w="2313" w:type="dxa"/>
          </w:tcPr>
          <w:p w:rsidRPr="00CD47C0" w:rsidR="00D06B6C" w:rsidP="00904E96" w:rsidRDefault="00D06B6C" w14:paraId="0B9E8082" w14:textId="39F73DC7">
            <w:pPr>
              <w:pStyle w:val="Table1Issues"/>
            </w:pPr>
            <w:r w:rsidRPr="00CD47C0">
              <w:t xml:space="preserve">Whether Special </w:t>
            </w:r>
            <w:r w:rsidR="00D92D0A">
              <w:t>Request #</w:t>
            </w:r>
            <w:r w:rsidRPr="00CD47C0">
              <w:t xml:space="preserve">9 is reasonable. </w:t>
            </w:r>
          </w:p>
        </w:tc>
        <w:tc>
          <w:tcPr>
            <w:tcW w:w="1868" w:type="dxa"/>
          </w:tcPr>
          <w:p w:rsidRPr="00CD47C0" w:rsidR="00D06B6C" w:rsidRDefault="00D06B6C" w14:paraId="5AB4C3C1" w14:textId="77777777">
            <w:pPr>
              <w:pStyle w:val="ListNum"/>
              <w:numPr>
                <w:ilvl w:val="0"/>
                <w:numId w:val="0"/>
              </w:numPr>
              <w:ind w:left="1080" w:hanging="360"/>
              <w:jc w:val="center"/>
              <w:rPr>
                <w:sz w:val="20"/>
                <w:szCs w:val="20"/>
              </w:rPr>
            </w:pPr>
          </w:p>
        </w:tc>
        <w:tc>
          <w:tcPr>
            <w:tcW w:w="2564" w:type="dxa"/>
          </w:tcPr>
          <w:p w:rsidRPr="00CD47C0" w:rsidR="00D06B6C" w:rsidP="00BE550A" w:rsidRDefault="00D06B6C" w14:paraId="63C6BCB8" w14:textId="77777777">
            <w:pPr>
              <w:pStyle w:val="ListNum"/>
              <w:numPr>
                <w:ilvl w:val="0"/>
                <w:numId w:val="0"/>
              </w:numPr>
              <w:jc w:val="center"/>
              <w:rPr>
                <w:b/>
                <w:bCs/>
                <w:sz w:val="20"/>
                <w:szCs w:val="20"/>
              </w:rPr>
            </w:pPr>
            <w:r w:rsidRPr="00CD47C0">
              <w:rPr>
                <w:sz w:val="40"/>
                <w:szCs w:val="40"/>
              </w:rPr>
              <w:t>X</w:t>
            </w:r>
          </w:p>
        </w:tc>
        <w:tc>
          <w:tcPr>
            <w:tcW w:w="2605" w:type="dxa"/>
          </w:tcPr>
          <w:p w:rsidRPr="00CD47C0" w:rsidR="00D06B6C" w:rsidP="00BE550A" w:rsidRDefault="00D06B6C" w14:paraId="5A42D77A" w14:textId="77777777">
            <w:pPr>
              <w:pStyle w:val="ListNum"/>
              <w:numPr>
                <w:ilvl w:val="0"/>
                <w:numId w:val="0"/>
              </w:numPr>
              <w:jc w:val="center"/>
              <w:rPr>
                <w:sz w:val="20"/>
                <w:szCs w:val="20"/>
              </w:rPr>
            </w:pPr>
            <w:r w:rsidRPr="00CD47C0">
              <w:rPr>
                <w:sz w:val="40"/>
                <w:szCs w:val="40"/>
              </w:rPr>
              <w:t>X</w:t>
            </w:r>
          </w:p>
        </w:tc>
      </w:tr>
      <w:tr w:rsidRPr="00CD47C0" w:rsidR="00D06B6C" w:rsidTr="00E65A67" w14:paraId="33A6808F" w14:textId="77777777">
        <w:trPr>
          <w:jc w:val="center"/>
        </w:trPr>
        <w:tc>
          <w:tcPr>
            <w:tcW w:w="2313" w:type="dxa"/>
          </w:tcPr>
          <w:p w:rsidRPr="00CD47C0" w:rsidR="00D06B6C" w:rsidP="00904E96" w:rsidRDefault="00D06B6C" w14:paraId="372DC257" w14:textId="59B32B05">
            <w:pPr>
              <w:pStyle w:val="Table1Issues"/>
            </w:pPr>
            <w:r w:rsidRPr="00CD47C0">
              <w:t xml:space="preserve">Whether Special </w:t>
            </w:r>
            <w:r w:rsidR="00D92D0A">
              <w:t>Request #</w:t>
            </w:r>
            <w:r w:rsidRPr="00CD47C0">
              <w:t>10 is reasonable.</w:t>
            </w:r>
          </w:p>
        </w:tc>
        <w:tc>
          <w:tcPr>
            <w:tcW w:w="1868" w:type="dxa"/>
          </w:tcPr>
          <w:p w:rsidRPr="00CD47C0" w:rsidR="00D06B6C" w:rsidRDefault="00D06B6C" w14:paraId="7185525A" w14:textId="77777777">
            <w:pPr>
              <w:pStyle w:val="ListNum"/>
              <w:numPr>
                <w:ilvl w:val="0"/>
                <w:numId w:val="0"/>
              </w:numPr>
              <w:ind w:left="-30"/>
              <w:jc w:val="center"/>
              <w:rPr>
                <w:sz w:val="20"/>
                <w:szCs w:val="20"/>
              </w:rPr>
            </w:pPr>
          </w:p>
        </w:tc>
        <w:tc>
          <w:tcPr>
            <w:tcW w:w="2564" w:type="dxa"/>
          </w:tcPr>
          <w:p w:rsidRPr="00CD47C0" w:rsidR="00D06B6C" w:rsidP="00BE550A" w:rsidRDefault="00D06B6C" w14:paraId="22B5433A" w14:textId="77777777">
            <w:pPr>
              <w:pStyle w:val="ListNum"/>
              <w:numPr>
                <w:ilvl w:val="0"/>
                <w:numId w:val="0"/>
              </w:numPr>
              <w:ind w:left="-30"/>
              <w:jc w:val="center"/>
              <w:rPr>
                <w:sz w:val="20"/>
                <w:szCs w:val="20"/>
              </w:rPr>
            </w:pPr>
          </w:p>
        </w:tc>
        <w:tc>
          <w:tcPr>
            <w:tcW w:w="2605" w:type="dxa"/>
          </w:tcPr>
          <w:p w:rsidRPr="00CD47C0" w:rsidR="00D06B6C" w:rsidP="00BE550A" w:rsidRDefault="00D06B6C" w14:paraId="1EE0DDB7"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04D95F5B" w14:textId="77777777">
        <w:trPr>
          <w:jc w:val="center"/>
        </w:trPr>
        <w:tc>
          <w:tcPr>
            <w:tcW w:w="2313" w:type="dxa"/>
          </w:tcPr>
          <w:p w:rsidRPr="00CD47C0" w:rsidR="00D06B6C" w:rsidP="00904E96" w:rsidRDefault="00D06B6C" w14:paraId="159EC7F1" w14:textId="41D8A16C">
            <w:pPr>
              <w:pStyle w:val="Table1Issues"/>
            </w:pPr>
            <w:r w:rsidRPr="00CD47C0">
              <w:t xml:space="preserve">Whether Special </w:t>
            </w:r>
            <w:r w:rsidR="00D92D0A">
              <w:t>Request #</w:t>
            </w:r>
            <w:r w:rsidRPr="00CD47C0">
              <w:t xml:space="preserve">11 is reasonable. </w:t>
            </w:r>
          </w:p>
        </w:tc>
        <w:tc>
          <w:tcPr>
            <w:tcW w:w="1868" w:type="dxa"/>
          </w:tcPr>
          <w:p w:rsidRPr="00CD47C0" w:rsidR="00D06B6C" w:rsidRDefault="00D06B6C" w14:paraId="076921CD" w14:textId="77777777">
            <w:pPr>
              <w:pStyle w:val="ListNum"/>
              <w:numPr>
                <w:ilvl w:val="0"/>
                <w:numId w:val="0"/>
              </w:numPr>
              <w:ind w:left="-30"/>
              <w:jc w:val="center"/>
              <w:rPr>
                <w:sz w:val="20"/>
                <w:szCs w:val="20"/>
              </w:rPr>
            </w:pPr>
          </w:p>
        </w:tc>
        <w:tc>
          <w:tcPr>
            <w:tcW w:w="2564" w:type="dxa"/>
          </w:tcPr>
          <w:p w:rsidRPr="00CD47C0" w:rsidR="00D06B6C" w:rsidP="00BE550A" w:rsidRDefault="00D06B6C" w14:paraId="67426041" w14:textId="77777777">
            <w:pPr>
              <w:pStyle w:val="ListNum"/>
              <w:numPr>
                <w:ilvl w:val="0"/>
                <w:numId w:val="0"/>
              </w:numPr>
              <w:ind w:left="-30"/>
              <w:jc w:val="center"/>
              <w:rPr>
                <w:sz w:val="20"/>
                <w:szCs w:val="20"/>
              </w:rPr>
            </w:pPr>
          </w:p>
        </w:tc>
        <w:tc>
          <w:tcPr>
            <w:tcW w:w="2605" w:type="dxa"/>
          </w:tcPr>
          <w:p w:rsidRPr="00CD47C0" w:rsidR="00D06B6C" w:rsidP="00BE550A" w:rsidRDefault="00D06B6C" w14:paraId="787392F3" w14:textId="77777777">
            <w:pPr>
              <w:pStyle w:val="ListNum"/>
              <w:numPr>
                <w:ilvl w:val="0"/>
                <w:numId w:val="0"/>
              </w:numPr>
              <w:ind w:left="-30"/>
              <w:jc w:val="center"/>
              <w:rPr>
                <w:sz w:val="20"/>
                <w:szCs w:val="20"/>
              </w:rPr>
            </w:pPr>
            <w:r w:rsidRPr="00CD47C0">
              <w:rPr>
                <w:sz w:val="40"/>
                <w:szCs w:val="40"/>
              </w:rPr>
              <w:t>X</w:t>
            </w:r>
          </w:p>
        </w:tc>
      </w:tr>
      <w:tr w:rsidRPr="00CD47C0" w:rsidR="00D06B6C" w:rsidTr="00E65A67" w14:paraId="38CC42A1" w14:textId="77777777">
        <w:trPr>
          <w:jc w:val="center"/>
        </w:trPr>
        <w:tc>
          <w:tcPr>
            <w:tcW w:w="2313" w:type="dxa"/>
          </w:tcPr>
          <w:p w:rsidRPr="00CD47C0" w:rsidR="00D06B6C" w:rsidP="00904E96" w:rsidRDefault="00D06B6C" w14:paraId="222BC8E7" w14:textId="0358AA6D">
            <w:pPr>
              <w:pStyle w:val="Table1Issues"/>
            </w:pPr>
            <w:r w:rsidRPr="00CD47C0">
              <w:t xml:space="preserve">Whether Special </w:t>
            </w:r>
            <w:r w:rsidR="00D92D0A">
              <w:t>Request #</w:t>
            </w:r>
            <w:r w:rsidRPr="00CD47C0">
              <w:t>14 is reasonable.</w:t>
            </w:r>
          </w:p>
        </w:tc>
        <w:tc>
          <w:tcPr>
            <w:tcW w:w="1868" w:type="dxa"/>
          </w:tcPr>
          <w:p w:rsidRPr="00CD47C0" w:rsidR="00D06B6C" w:rsidRDefault="00D06B6C" w14:paraId="04C70B28" w14:textId="77777777">
            <w:pPr>
              <w:pStyle w:val="ListNum"/>
              <w:numPr>
                <w:ilvl w:val="0"/>
                <w:numId w:val="0"/>
              </w:numPr>
              <w:jc w:val="center"/>
              <w:rPr>
                <w:sz w:val="20"/>
                <w:szCs w:val="20"/>
              </w:rPr>
            </w:pPr>
            <w:r w:rsidRPr="00CD47C0">
              <w:rPr>
                <w:sz w:val="40"/>
                <w:szCs w:val="40"/>
              </w:rPr>
              <w:t>X</w:t>
            </w:r>
          </w:p>
        </w:tc>
        <w:tc>
          <w:tcPr>
            <w:tcW w:w="2564" w:type="dxa"/>
          </w:tcPr>
          <w:p w:rsidRPr="00CD47C0" w:rsidR="00D06B6C" w:rsidP="00BE550A" w:rsidRDefault="00D06B6C" w14:paraId="6303AAB6" w14:textId="77777777">
            <w:pPr>
              <w:pStyle w:val="ListNum"/>
              <w:numPr>
                <w:ilvl w:val="0"/>
                <w:numId w:val="0"/>
              </w:numPr>
              <w:jc w:val="center"/>
              <w:rPr>
                <w:sz w:val="20"/>
                <w:szCs w:val="20"/>
              </w:rPr>
            </w:pPr>
            <w:r w:rsidRPr="00CD47C0">
              <w:rPr>
                <w:sz w:val="40"/>
                <w:szCs w:val="40"/>
              </w:rPr>
              <w:t>X</w:t>
            </w:r>
          </w:p>
        </w:tc>
        <w:tc>
          <w:tcPr>
            <w:tcW w:w="2605" w:type="dxa"/>
          </w:tcPr>
          <w:p w:rsidRPr="00CD47C0" w:rsidR="00D06B6C" w:rsidP="00BE550A" w:rsidRDefault="00D06B6C" w14:paraId="1EB8F644" w14:textId="77777777">
            <w:pPr>
              <w:pStyle w:val="ListNum"/>
              <w:numPr>
                <w:ilvl w:val="0"/>
                <w:numId w:val="0"/>
              </w:numPr>
              <w:jc w:val="center"/>
              <w:rPr>
                <w:sz w:val="20"/>
                <w:szCs w:val="20"/>
              </w:rPr>
            </w:pPr>
          </w:p>
        </w:tc>
      </w:tr>
      <w:tr w:rsidRPr="00CD47C0" w:rsidR="00D06B6C" w:rsidTr="00E65A67" w14:paraId="4EB89307" w14:textId="77777777">
        <w:trPr>
          <w:jc w:val="center"/>
        </w:trPr>
        <w:tc>
          <w:tcPr>
            <w:tcW w:w="2313" w:type="dxa"/>
          </w:tcPr>
          <w:p w:rsidRPr="00CD47C0" w:rsidR="00D06B6C" w:rsidP="00904E96" w:rsidRDefault="00D06B6C" w14:paraId="0F24EF9C" w14:textId="2EFD75FE">
            <w:pPr>
              <w:pStyle w:val="Table1Issues"/>
            </w:pPr>
            <w:r w:rsidRPr="00CD47C0">
              <w:t xml:space="preserve">Whether Special </w:t>
            </w:r>
            <w:r w:rsidR="00D92D0A">
              <w:t>Request #</w:t>
            </w:r>
            <w:r w:rsidRPr="00CD47C0">
              <w:t>15 is reasonable.</w:t>
            </w:r>
          </w:p>
        </w:tc>
        <w:tc>
          <w:tcPr>
            <w:tcW w:w="1868" w:type="dxa"/>
          </w:tcPr>
          <w:p w:rsidRPr="00CD47C0" w:rsidR="00D06B6C" w:rsidRDefault="00D06B6C" w14:paraId="1708F456" w14:textId="77777777">
            <w:pPr>
              <w:pStyle w:val="ListNum"/>
              <w:numPr>
                <w:ilvl w:val="0"/>
                <w:numId w:val="0"/>
              </w:numPr>
              <w:ind w:left="-30"/>
              <w:jc w:val="center"/>
              <w:rPr>
                <w:sz w:val="20"/>
                <w:szCs w:val="20"/>
              </w:rPr>
            </w:pPr>
            <w:r w:rsidRPr="00CD47C0">
              <w:rPr>
                <w:sz w:val="40"/>
                <w:szCs w:val="40"/>
              </w:rPr>
              <w:t>X</w:t>
            </w:r>
          </w:p>
        </w:tc>
        <w:tc>
          <w:tcPr>
            <w:tcW w:w="2564" w:type="dxa"/>
          </w:tcPr>
          <w:p w:rsidRPr="00CD47C0" w:rsidR="00D06B6C" w:rsidP="00BE550A" w:rsidRDefault="00D06B6C" w14:paraId="4D9257B7" w14:textId="77777777">
            <w:pPr>
              <w:pStyle w:val="ListNum"/>
              <w:numPr>
                <w:ilvl w:val="0"/>
                <w:numId w:val="0"/>
              </w:numPr>
              <w:ind w:left="-30"/>
              <w:jc w:val="center"/>
              <w:rPr>
                <w:sz w:val="20"/>
                <w:szCs w:val="20"/>
              </w:rPr>
            </w:pPr>
            <w:r w:rsidRPr="00CD47C0">
              <w:rPr>
                <w:sz w:val="40"/>
                <w:szCs w:val="40"/>
              </w:rPr>
              <w:t>X</w:t>
            </w:r>
          </w:p>
        </w:tc>
        <w:tc>
          <w:tcPr>
            <w:tcW w:w="2605" w:type="dxa"/>
          </w:tcPr>
          <w:p w:rsidRPr="00CD47C0" w:rsidR="00D06B6C" w:rsidP="00BE550A" w:rsidRDefault="00D06B6C" w14:paraId="023BE478" w14:textId="77777777">
            <w:pPr>
              <w:pStyle w:val="ListNum"/>
              <w:numPr>
                <w:ilvl w:val="0"/>
                <w:numId w:val="0"/>
              </w:numPr>
              <w:ind w:left="-30"/>
              <w:jc w:val="center"/>
              <w:rPr>
                <w:sz w:val="20"/>
                <w:szCs w:val="20"/>
              </w:rPr>
            </w:pPr>
          </w:p>
        </w:tc>
      </w:tr>
    </w:tbl>
    <w:p w:rsidRPr="00CD47C0" w:rsidR="00D06B6C" w:rsidP="00323804" w:rsidRDefault="00D06B6C" w14:paraId="19ED5FAB" w14:textId="77777777">
      <w:pPr>
        <w:pStyle w:val="TableSub"/>
      </w:pPr>
      <w:bookmarkStart w:name="_Hlk212717844" w:id="42"/>
    </w:p>
    <w:p w:rsidR="00CB19AD" w:rsidP="00CB19AD" w:rsidRDefault="00CB19AD" w14:paraId="2C055483" w14:textId="12D63B74">
      <w:pPr>
        <w:pStyle w:val="Heading2"/>
      </w:pPr>
      <w:bookmarkStart w:name="_Toc222305246" w:id="43"/>
      <w:bookmarkStart w:name="_Toc228294670" w:id="44"/>
      <w:bookmarkEnd w:id="41"/>
      <w:r>
        <w:t>Analysis of Partial Settlement Agreement</w:t>
      </w:r>
      <w:bookmarkEnd w:id="43"/>
      <w:bookmarkEnd w:id="44"/>
    </w:p>
    <w:p w:rsidR="00F82201" w:rsidP="00CA2648" w:rsidRDefault="00F82201" w14:paraId="1EF6A350" w14:textId="2745D5F7">
      <w:pPr>
        <w:pStyle w:val="Standard"/>
      </w:pPr>
      <w:r>
        <w:t xml:space="preserve">To determine if the </w:t>
      </w:r>
      <w:r w:rsidR="004C788D">
        <w:t xml:space="preserve">Partial </w:t>
      </w:r>
      <w:r w:rsidRPr="00BA1535">
        <w:rPr>
          <w:rFonts w:cs="TimesNewRomanPS-ItalicMT"/>
          <w:szCs w:val="26"/>
        </w:rPr>
        <w:t xml:space="preserve">Settlement Agreement </w:t>
      </w:r>
      <w:r>
        <w:rPr>
          <w:rFonts w:ascii="TimesNewRomanPSMT" w:hAnsi="TimesNewRomanPSMT" w:cs="TimesNewRomanPSMT"/>
          <w:sz w:val="24"/>
          <w:szCs w:val="24"/>
        </w:rPr>
        <w:t>s</w:t>
      </w:r>
      <w:r>
        <w:t>hould be approved in whole or in part, or rejected outright, this decision analyzes the settlement in accordance with Article 12 of the Commission</w:t>
      </w:r>
      <w:r w:rsidR="000C0896">
        <w:t>’</w:t>
      </w:r>
      <w:r>
        <w:t xml:space="preserve">s </w:t>
      </w:r>
      <w:r w:rsidRPr="0007486D">
        <w:t>Rules of Practice and Procedure</w:t>
      </w:r>
      <w:r>
        <w:t xml:space="preserve">, which applies to contested and uncontested settlements. The </w:t>
      </w:r>
      <w:r w:rsidR="004C788D">
        <w:t xml:space="preserve">Partial </w:t>
      </w:r>
      <w:r w:rsidRPr="007139C5">
        <w:t>Settlement</w:t>
      </w:r>
      <w:r>
        <w:t xml:space="preserve"> Agreement is uncontested. The Commission has long favored the settlement of disputes. Under </w:t>
      </w:r>
      <w:r w:rsidR="003A5B7D">
        <w:t>Rule </w:t>
      </w:r>
      <w:r>
        <w:t>12.1(d), the Commission will not approve a settlement unless it is reasonable in light of the whole record, consistent with law, and in the public interest.</w:t>
      </w:r>
    </w:p>
    <w:p w:rsidR="00CE0158" w:rsidP="00FE78AD" w:rsidRDefault="002564D2" w14:paraId="258A0AD1" w14:textId="77777777">
      <w:pPr>
        <w:pStyle w:val="Standard"/>
        <w:spacing w:after="120"/>
      </w:pPr>
      <w:r>
        <w:lastRenderedPageBreak/>
        <w:t xml:space="preserve">On whether the settlement is reasonable in light of the whole record, the parties point out in their </w:t>
      </w:r>
      <w:r w:rsidR="007A2749">
        <w:t>Motion for Partial Settlement</w:t>
      </w:r>
      <w:r>
        <w:t xml:space="preserve"> that:</w:t>
      </w:r>
    </w:p>
    <w:p w:rsidR="002564D2" w:rsidP="00AC44A9" w:rsidRDefault="002564D2" w14:paraId="4A8AC978" w14:textId="3174B274">
      <w:pPr>
        <w:pStyle w:val="BlockQuote0"/>
      </w:pPr>
      <w:r w:rsidRPr="002564D2">
        <w:t xml:space="preserve">The Partial Settlement is a reasonable resolution of certain issues presented in this proceeding. </w:t>
      </w:r>
      <w:r w:rsidR="00EB50F8">
        <w:t>Cal Advocates</w:t>
      </w:r>
      <w:r w:rsidRPr="002564D2">
        <w:t xml:space="preserve"> and </w:t>
      </w:r>
      <w:r w:rsidR="00EB50F8">
        <w:t>Cal Water</w:t>
      </w:r>
      <w:r w:rsidRPr="002564D2">
        <w:t xml:space="preserve"> entered into the Partial Settlement based upon independent investigation and analysis performed by each party</w:t>
      </w:r>
      <w:r w:rsidR="000C0896">
        <w:t>’</w:t>
      </w:r>
      <w:r w:rsidRPr="002564D2">
        <w:t xml:space="preserve">s respective representatives with expertise in various subject areas and based on the record in this proceeding. </w:t>
      </w:r>
      <w:r w:rsidR="00EB50F8">
        <w:t>Cal Advocates</w:t>
      </w:r>
      <w:r w:rsidRPr="002564D2">
        <w:t xml:space="preserve"> and </w:t>
      </w:r>
      <w:r w:rsidR="00EB50F8">
        <w:t>Cal Water</w:t>
      </w:r>
      <w:r w:rsidRPr="002564D2">
        <w:t xml:space="preserve"> fully evaluated their respective positions and the record in this proceeding and find the Partial Settlement to be a reasonable and fair resolution of the issues addressed in the Settlement Agreement. The other active parties, CWA and NAWC, are supportive of the Partial Settlement but do not take a stance on specific issues</w:t>
      </w:r>
      <w:r>
        <w:t>.</w:t>
      </w:r>
      <w:r w:rsidR="007875AD">
        <w:rPr>
          <w:rStyle w:val="FootnoteReference"/>
        </w:rPr>
        <w:footnoteReference w:id="12"/>
      </w:r>
    </w:p>
    <w:p w:rsidR="00CE0158" w:rsidP="00AC44A9" w:rsidRDefault="002564D2" w14:paraId="5CA46031" w14:textId="77777777">
      <w:pPr>
        <w:pStyle w:val="Standard"/>
        <w:keepNext/>
        <w:ind w:firstLine="0"/>
      </w:pPr>
      <w:r>
        <w:t>In their joint motion, on the issue of consistency with the law, the parties also point out that:</w:t>
      </w:r>
    </w:p>
    <w:p w:rsidR="002564D2" w:rsidP="00AC44A9" w:rsidRDefault="002564D2" w14:paraId="5CE7272D" w14:textId="3BCDAE4C">
      <w:pPr>
        <w:pStyle w:val="BlockQuote0"/>
      </w:pPr>
      <w:r w:rsidRPr="002564D2">
        <w:t>The Settling Parties are aware of no statutory provision or prior Commission decision that would be contravened or compromised by the Settlement Agreement. The issues resolved in the Partial Settlement are within the scope of this proceeding. Resolution of the issues as addressed in the Partial Settlement will contribute to just and reasonable rates.</w:t>
      </w:r>
      <w:r w:rsidR="007875AD">
        <w:rPr>
          <w:rStyle w:val="FootnoteReference"/>
        </w:rPr>
        <w:footnoteReference w:id="13"/>
      </w:r>
    </w:p>
    <w:p w:rsidR="002564D2" w:rsidP="00AC44A9" w:rsidRDefault="002564D2" w14:paraId="0B9D9F07" w14:textId="50A1A44C">
      <w:pPr>
        <w:pStyle w:val="Standard"/>
        <w:keepNext/>
        <w:spacing w:after="120"/>
        <w:ind w:firstLine="0"/>
      </w:pPr>
      <w:r>
        <w:t>Finally, on the issue of public interest, the parties also point out that:</w:t>
      </w:r>
    </w:p>
    <w:p w:rsidR="002564D2" w:rsidP="00AC44A9" w:rsidRDefault="002564D2" w14:paraId="42F42E74" w14:textId="73716A27">
      <w:pPr>
        <w:pStyle w:val="BlockQuote0"/>
      </w:pPr>
      <w:r>
        <w:t>T</w:t>
      </w:r>
      <w:r w:rsidRPr="002564D2">
        <w:t xml:space="preserve">he Partial Settlement will result in a reduction in </w:t>
      </w:r>
      <w:r w:rsidR="00EB50F8">
        <w:t>Cal Water</w:t>
      </w:r>
      <w:r w:rsidR="000C0896">
        <w:t>’</w:t>
      </w:r>
      <w:r w:rsidRPr="002564D2">
        <w:t xml:space="preserve">s revenue requirement request in its Application while still providing, for those issues addressed in the Settlement Agreement, reasonable estimates of </w:t>
      </w:r>
      <w:r w:rsidR="00EB50F8">
        <w:t>Cal Water</w:t>
      </w:r>
      <w:r w:rsidR="000C0896">
        <w:t>’</w:t>
      </w:r>
      <w:r w:rsidRPr="002564D2">
        <w:t>s expected costs and expenses, and capital budget to complete much</w:t>
      </w:r>
      <w:r w:rsidR="00270999">
        <w:noBreakHyphen/>
      </w:r>
      <w:r w:rsidRPr="002564D2">
        <w:t xml:space="preserve">needed capital projects to deliver safe and reliable water service at reasonable rates. The Partial Settlement </w:t>
      </w:r>
      <w:r w:rsidRPr="002564D2">
        <w:lastRenderedPageBreak/>
        <w:t xml:space="preserve">advances this interest by ensuring, with regard to those issues addressed in the Settlement Agreement, that </w:t>
      </w:r>
      <w:r w:rsidR="00EB50F8">
        <w:t>Cal Water</w:t>
      </w:r>
      <w:r w:rsidRPr="002564D2">
        <w:t xml:space="preserve"> will continue to provide consumers with safe and reliable water service at reasonable rates.</w:t>
      </w:r>
      <w:r w:rsidR="007875AD">
        <w:rPr>
          <w:rStyle w:val="FootnoteReference"/>
        </w:rPr>
        <w:footnoteReference w:id="14"/>
      </w:r>
    </w:p>
    <w:p w:rsidRPr="00530172" w:rsidR="00530172" w:rsidP="00530172" w:rsidRDefault="00530172" w14:paraId="60887369" w14:textId="7950A105">
      <w:pPr>
        <w:pStyle w:val="Standard"/>
      </w:pPr>
      <w:r w:rsidRPr="00530172">
        <w:t>In reviewing the Partial Settlement Agreement, the Commission applies the standards set forth in Article 12 of the Commission</w:t>
      </w:r>
      <w:r w:rsidR="000C0896">
        <w:t>’</w:t>
      </w:r>
      <w:r w:rsidRPr="00530172">
        <w:t xml:space="preserve">s Rules of Practice and Procedure. Under </w:t>
      </w:r>
      <w:r w:rsidR="003A5B7D">
        <w:t>Rule </w:t>
      </w:r>
      <w:r w:rsidRPr="00530172">
        <w:t>12.1(d), the Commission will not approve a settlement unless it is reasonable in light of the whole record, consistent with law, and in the public interest.</w:t>
      </w:r>
    </w:p>
    <w:p w:rsidR="00530172" w:rsidP="00530172" w:rsidRDefault="00530172" w14:paraId="6DC06B5E" w14:textId="41574DC3">
      <w:pPr>
        <w:pStyle w:val="Standard"/>
      </w:pPr>
      <w:r w:rsidRPr="00530172">
        <w:t>California courts have long recognized that the evaluation of a settlement is not an exercise in deciding the underlying merits of the case but an assessment of whether the agreement as a whole is fair and reasonable.</w:t>
      </w:r>
      <w:r w:rsidR="007875AD">
        <w:rPr>
          <w:rStyle w:val="FootnoteReference"/>
        </w:rPr>
        <w:footnoteReference w:id="15"/>
      </w:r>
      <w:r w:rsidRPr="00530172">
        <w:t xml:space="preserve"> The trial court, or in this context the Commission, </w:t>
      </w:r>
      <w:r w:rsidR="00A23D11">
        <w:t>“</w:t>
      </w:r>
      <w:r w:rsidRPr="00530172">
        <w:t>does not try out or attempt to decide the merits of the controversy</w:t>
      </w:r>
      <w:r w:rsidR="00A23D11">
        <w:t>”</w:t>
      </w:r>
      <w:r w:rsidRPr="00530172">
        <w:t xml:space="preserve"> but instead determines whether the settlement meets established fairness criteria.</w:t>
      </w:r>
      <w:r w:rsidR="007875AD">
        <w:rPr>
          <w:rStyle w:val="FootnoteReference"/>
        </w:rPr>
        <w:footnoteReference w:id="16"/>
      </w:r>
      <w:r w:rsidRPr="00530172">
        <w:t xml:space="preserve"> As explained in </w:t>
      </w:r>
      <w:r w:rsidRPr="5C375D65">
        <w:rPr>
          <w:i/>
          <w:iCs/>
        </w:rPr>
        <w:t>7</w:t>
      </w:r>
      <w:r w:rsidR="00270999">
        <w:rPr>
          <w:i/>
          <w:iCs/>
        </w:rPr>
        <w:noBreakHyphen/>
      </w:r>
      <w:r w:rsidRPr="5C375D65">
        <w:rPr>
          <w:i/>
          <w:iCs/>
        </w:rPr>
        <w:t>Eleven Owners for Fair Franchising</w:t>
      </w:r>
      <w:r w:rsidRPr="5C375D65" w:rsidR="008605EE">
        <w:rPr>
          <w:i/>
          <w:iCs/>
        </w:rPr>
        <w:t xml:space="preserve"> v. </w:t>
      </w:r>
      <w:r w:rsidRPr="5C375D65">
        <w:rPr>
          <w:i/>
          <w:iCs/>
        </w:rPr>
        <w:t>Southland Corp.</w:t>
      </w:r>
      <w:r w:rsidRPr="00530172">
        <w:t xml:space="preserve"> (2000) 85</w:t>
      </w:r>
      <w:r w:rsidR="005F668F">
        <w:t> Cal.</w:t>
      </w:r>
      <w:r w:rsidRPr="00530172">
        <w:t>App.4th 1135, 1146, courts exercise broad discretion in evaluating settlements and consider a range of factors, including the strength of the parties</w:t>
      </w:r>
      <w:r w:rsidR="000C0896">
        <w:t>’</w:t>
      </w:r>
      <w:r w:rsidRPr="00530172">
        <w:t xml:space="preserve"> positions, the risks and expense of further litigation, the extent of discovery, and the experience and views of counsel. Similarly, in </w:t>
      </w:r>
      <w:r w:rsidRPr="5C375D65">
        <w:rPr>
          <w:i/>
          <w:iCs/>
        </w:rPr>
        <w:t>Dunk</w:t>
      </w:r>
      <w:r w:rsidRPr="5C375D65" w:rsidR="008605EE">
        <w:rPr>
          <w:i/>
          <w:iCs/>
        </w:rPr>
        <w:t xml:space="preserve"> v. </w:t>
      </w:r>
      <w:r w:rsidRPr="5C375D65">
        <w:rPr>
          <w:i/>
          <w:iCs/>
        </w:rPr>
        <w:t>Ford Motor Co.</w:t>
      </w:r>
      <w:r w:rsidRPr="00530172">
        <w:t xml:space="preserve"> (1996) 48</w:t>
      </w:r>
      <w:r w:rsidR="005F668F">
        <w:t> Cal.</w:t>
      </w:r>
      <w:r w:rsidRPr="00530172">
        <w:t>App.4th 1794, the court recognized a presumption of fairness when</w:t>
      </w:r>
      <w:r w:rsidR="000C0896">
        <w:t xml:space="preserve">:  </w:t>
      </w:r>
      <w:r w:rsidR="006237E8">
        <w:t>(1) </w:t>
      </w:r>
      <w:r w:rsidRPr="00530172">
        <w:t>the settlement is reached through arm</w:t>
      </w:r>
      <w:r w:rsidR="000C0896">
        <w:t>’</w:t>
      </w:r>
      <w:r w:rsidRPr="00530172">
        <w:t>s</w:t>
      </w:r>
      <w:r w:rsidR="00270999">
        <w:noBreakHyphen/>
      </w:r>
      <w:r w:rsidRPr="00530172">
        <w:t xml:space="preserve">length bargaining; </w:t>
      </w:r>
      <w:r w:rsidR="006237E8">
        <w:t>(2) </w:t>
      </w:r>
      <w:r w:rsidRPr="00530172">
        <w:t xml:space="preserve">investigation and discovery are sufficient to allow counsel and the tribunal to act intelligently; </w:t>
      </w:r>
      <w:r w:rsidR="006237E8">
        <w:t>(3) </w:t>
      </w:r>
      <w:r w:rsidRPr="00530172">
        <w:t xml:space="preserve">counsel are experienced in similar matters; and </w:t>
      </w:r>
      <w:r w:rsidR="000C051D">
        <w:t>(4) </w:t>
      </w:r>
      <w:r w:rsidRPr="00530172">
        <w:t>there is little or no opposition to the settlement.</w:t>
      </w:r>
    </w:p>
    <w:p w:rsidRPr="00530172" w:rsidR="00CB729D" w:rsidP="00530172" w:rsidRDefault="00CB729D" w14:paraId="4CF1CD59" w14:textId="3CF1D0C0">
      <w:pPr>
        <w:pStyle w:val="Standard"/>
      </w:pPr>
      <w:r w:rsidRPr="00CB729D">
        <w:lastRenderedPageBreak/>
        <w:t>Federal precedent is to the same effect. As the Ninth Circuit observed</w:t>
      </w:r>
      <w:r>
        <w:t xml:space="preserve"> in </w:t>
      </w:r>
      <w:r w:rsidRPr="5C375D65">
        <w:rPr>
          <w:i/>
          <w:iCs/>
        </w:rPr>
        <w:t>Hanlon</w:t>
      </w:r>
      <w:r w:rsidRPr="5C375D65" w:rsidR="008605EE">
        <w:rPr>
          <w:i/>
          <w:iCs/>
        </w:rPr>
        <w:t xml:space="preserve"> v. </w:t>
      </w:r>
      <w:r w:rsidRPr="5C375D65">
        <w:rPr>
          <w:i/>
          <w:iCs/>
        </w:rPr>
        <w:t>Chrysler Corp.</w:t>
      </w:r>
      <w:r w:rsidRPr="00CB729D">
        <w:t xml:space="preserve"> (9th Cir. 1998) 150</w:t>
      </w:r>
      <w:r w:rsidR="00A13909">
        <w:t> F.</w:t>
      </w:r>
      <w:r w:rsidRPr="00CB729D">
        <w:t xml:space="preserve">3d 1011, 1027, </w:t>
      </w:r>
      <w:r w:rsidR="00A23D11">
        <w:t>“</w:t>
      </w:r>
      <w:r w:rsidRPr="00CB729D">
        <w:t>Settlement is the offspring of compromise; the question we address is not whether the final product could be prettier, smarter or snazzier, but whether it is fair, adequate and free from collusion.</w:t>
      </w:r>
      <w:r w:rsidR="00A23D11">
        <w:t>”</w:t>
      </w:r>
      <w:r w:rsidRPr="00CB729D">
        <w:t xml:space="preserve"> This pragmatic approach aligns with the Commission</w:t>
      </w:r>
      <w:r w:rsidR="000C0896">
        <w:t>’</w:t>
      </w:r>
      <w:r w:rsidRPr="00CB729D">
        <w:t>s policy favoring settlements as efficient, equitable, and resource</w:t>
      </w:r>
      <w:r w:rsidR="00270999">
        <w:noBreakHyphen/>
      </w:r>
      <w:r w:rsidRPr="00CB729D">
        <w:t>conserving resolutions of complex regulatory disputes. The focus is not on whether the agreement achieves the optimal result for any one party, but whether the negotiated outcome as a whole advances fairness, reasonableness, and the public interest.</w:t>
      </w:r>
    </w:p>
    <w:p w:rsidRPr="00530172" w:rsidR="00530172" w:rsidP="00530172" w:rsidRDefault="00530172" w14:paraId="09E3E864" w14:textId="1D45AB7A">
      <w:pPr>
        <w:pStyle w:val="Standard"/>
      </w:pPr>
      <w:r w:rsidRPr="00530172">
        <w:t xml:space="preserve">Applying these principles, the Commission concludes that the Partial Settlement Agreement satisfies the </w:t>
      </w:r>
      <w:r w:rsidR="003A5B7D">
        <w:t>Rule </w:t>
      </w:r>
      <w:r w:rsidRPr="00530172">
        <w:t xml:space="preserve">12.1(d) criteria in its entirety. The record demonstrates that the settlement was the product of </w:t>
      </w:r>
      <w:r w:rsidRPr="00530172" w:rsidR="11347BA8">
        <w:t>arm</w:t>
      </w:r>
      <w:r w:rsidRPr="00530172" w:rsidR="1C407CB8">
        <w:t>s</w:t>
      </w:r>
      <w:r w:rsidR="00270999">
        <w:noBreakHyphen/>
      </w:r>
      <w:r w:rsidRPr="00530172">
        <w:t>length negotiations between knowledgeable and well</w:t>
      </w:r>
      <w:r w:rsidR="00270999">
        <w:noBreakHyphen/>
      </w:r>
      <w:r w:rsidRPr="00530172">
        <w:t xml:space="preserve">represented parties, each with extensive experience in Commission proceedings. The </w:t>
      </w:r>
      <w:r w:rsidR="00FE10A5">
        <w:t>S</w:t>
      </w:r>
      <w:r w:rsidRPr="00530172">
        <w:t xml:space="preserve">ettling </w:t>
      </w:r>
      <w:r w:rsidR="00FE10A5">
        <w:t>P</w:t>
      </w:r>
      <w:r w:rsidRPr="00530172">
        <w:t>arties</w:t>
      </w:r>
      <w:r w:rsidR="00FE10A5">
        <w:t xml:space="preserve"> </w:t>
      </w:r>
      <w:r w:rsidRPr="00530172">
        <w:t>collectively represent a broad and balanced range of interests, including those of ratepayers, regulated utilities, and the broader water industry.</w:t>
      </w:r>
    </w:p>
    <w:p w:rsidRPr="00530172" w:rsidR="00530172" w:rsidP="00530172" w:rsidRDefault="00530172" w14:paraId="3089D332" w14:textId="77777777">
      <w:pPr>
        <w:pStyle w:val="Standard"/>
      </w:pPr>
      <w:r w:rsidRPr="00530172">
        <w:t>The Commission finds the Partial Settlement Agreement to be reasonable in light of the whole record. The settlement was reached after discovery, evidentiary hearings, and submission of extensive written testimony. It resolves numerous issues supported by the evidentiary record and narrows the scope of remaining disputes. The agreement reflects compromises grounded in the data and testimony presented, resulting in rate and policy outcomes that are balanced and supported by the record as a whole.</w:t>
      </w:r>
    </w:p>
    <w:p w:rsidRPr="00530172" w:rsidR="00530172" w:rsidP="00530172" w:rsidRDefault="00530172" w14:paraId="3F4DE8BE" w14:textId="3048EE0D">
      <w:pPr>
        <w:pStyle w:val="Standard"/>
      </w:pPr>
      <w:r w:rsidRPr="00530172">
        <w:t xml:space="preserve">The settlement is also consistent with </w:t>
      </w:r>
      <w:r w:rsidR="009A6AA0">
        <w:t xml:space="preserve">the </w:t>
      </w:r>
      <w:r w:rsidRPr="00530172">
        <w:t xml:space="preserve">law. The </w:t>
      </w:r>
      <w:r w:rsidR="00FE10A5">
        <w:t>S</w:t>
      </w:r>
      <w:r w:rsidRPr="00530172">
        <w:t xml:space="preserve">ettling </w:t>
      </w:r>
      <w:r w:rsidR="00FE10A5">
        <w:t>P</w:t>
      </w:r>
      <w:r w:rsidRPr="00530172">
        <w:t xml:space="preserve">arties represent that no term of the agreement contravenes any statute or prior </w:t>
      </w:r>
      <w:r w:rsidRPr="00530172">
        <w:lastRenderedPageBreak/>
        <w:t>Commission decision, and the Commission</w:t>
      </w:r>
      <w:r w:rsidR="000C0896">
        <w:t>’</w:t>
      </w:r>
      <w:r w:rsidRPr="00530172">
        <w:t xml:space="preserve">s independent review finds no conflict with governing law. The settlement complies with </w:t>
      </w:r>
      <w:r w:rsidR="003A5B7D">
        <w:t>Pub. Util.</w:t>
      </w:r>
      <w:r w:rsidR="00AA2770">
        <w:t xml:space="preserve"> Code</w:t>
      </w:r>
      <w:r w:rsidRPr="00530172">
        <w:t xml:space="preserve"> </w:t>
      </w:r>
      <w:r w:rsidR="00EF3DDB">
        <w:t>Section</w:t>
      </w:r>
      <w:r w:rsidR="009A6AA0">
        <w:t>s</w:t>
      </w:r>
      <w:r w:rsidR="00EF3DDB">
        <w:t> </w:t>
      </w:r>
      <w:r w:rsidRPr="00530172">
        <w:t>451 and 454, which require that all rates be just and reasonable and that no rate change occur without Commission authorization. The settlement also aligns with longstanding Commission pr</w:t>
      </w:r>
      <w:r w:rsidR="00BD356B">
        <w:t>actice</w:t>
      </w:r>
      <w:r w:rsidRPr="00530172">
        <w:t xml:space="preserve"> approving partial settlements that advance administrative efficiency and conserve public and party resources.</w:t>
      </w:r>
    </w:p>
    <w:p w:rsidRPr="00530172" w:rsidR="00530172" w:rsidP="00530172" w:rsidRDefault="00530172" w14:paraId="6DF7C920" w14:textId="07A33522">
      <w:pPr>
        <w:pStyle w:val="Standard"/>
      </w:pPr>
      <w:r w:rsidRPr="00530172">
        <w:t xml:space="preserve">Finally, the Partial Settlement Agreement is in the public interest. It provides rate and policy outcomes that will reduce litigation costs, conserve regulatory resources, and enhance regulatory certainty for both the utility and customers. The settlement </w:t>
      </w:r>
      <w:r w:rsidR="009A6AA0">
        <w:t>reduces</w:t>
      </w:r>
      <w:r w:rsidRPr="00530172" w:rsidR="009A6AA0">
        <w:t xml:space="preserve"> </w:t>
      </w:r>
      <w:r w:rsidR="00EB50F8">
        <w:t>Cal Water</w:t>
      </w:r>
      <w:r w:rsidR="000C0896">
        <w:t>’</w:t>
      </w:r>
      <w:r w:rsidRPr="00530172">
        <w:t xml:space="preserve">s requested revenue requirement while still ensuring the utility can continue to provide safe and reliable water service at reasonable rates. The participation of </w:t>
      </w:r>
      <w:r w:rsidR="00EB50F8">
        <w:t>Cal Advocates</w:t>
      </w:r>
      <w:r w:rsidR="00AE44B3">
        <w:t xml:space="preserve"> — </w:t>
      </w:r>
      <w:r w:rsidRPr="00530172">
        <w:t xml:space="preserve">the </w:t>
      </w:r>
      <w:r w:rsidR="009A6AA0">
        <w:t>ratepayer’s</w:t>
      </w:r>
      <w:r w:rsidRPr="00530172" w:rsidR="009A6AA0">
        <w:t xml:space="preserve"> </w:t>
      </w:r>
      <w:r w:rsidRPr="00530172">
        <w:t>independent consumer advocate</w:t>
      </w:r>
      <w:r w:rsidR="00AE44B3">
        <w:t xml:space="preserve"> — </w:t>
      </w:r>
      <w:r w:rsidRPr="00530172">
        <w:t>further supports the conclusion that the settlement protects the interests of ratepayers, including residential and low</w:t>
      </w:r>
      <w:r w:rsidR="00270999">
        <w:noBreakHyphen/>
      </w:r>
      <w:r w:rsidRPr="00530172">
        <w:t>income customers.</w:t>
      </w:r>
    </w:p>
    <w:p w:rsidR="005B1B52" w:rsidP="005B1B52" w:rsidRDefault="00530172" w14:paraId="582EF563" w14:textId="536CEA28">
      <w:pPr>
        <w:pStyle w:val="Standard"/>
      </w:pPr>
      <w:r w:rsidRPr="00530172">
        <w:t>Consistent with judicial and administrative precedent, the Commission</w:t>
      </w:r>
      <w:r w:rsidR="000C0896">
        <w:t>’</w:t>
      </w:r>
      <w:r w:rsidRPr="00530172">
        <w:t>s review of the settlement does not require parceling each fact or issue resolved therein.</w:t>
      </w:r>
      <w:r w:rsidR="007875AD">
        <w:rPr>
          <w:rStyle w:val="FootnoteReference"/>
        </w:rPr>
        <w:footnoteReference w:id="17"/>
      </w:r>
      <w:r w:rsidRPr="00530172">
        <w:t xml:space="preserve"> The Commission</w:t>
      </w:r>
      <w:r w:rsidR="000C0896">
        <w:t>’</w:t>
      </w:r>
      <w:r w:rsidRPr="00530172">
        <w:t xml:space="preserve">s role is to ensure that the agreement as a whole </w:t>
      </w:r>
      <w:r w:rsidR="009A6AA0">
        <w:t xml:space="preserve">complies with </w:t>
      </w:r>
      <w:r w:rsidR="003A5B7D">
        <w:t>Rule </w:t>
      </w:r>
      <w:r w:rsidRPr="00530172">
        <w:t>12.1(d). Having conducted a comprehensive, high</w:t>
      </w:r>
      <w:r w:rsidR="00270999">
        <w:noBreakHyphen/>
      </w:r>
      <w:r w:rsidRPr="00530172">
        <w:t>level assessment of the settlement and the corresponding evidentiary record, the Commission concludes that the Partial Settlement Agreement, taken in its entirety, is reasonable in light of the whole record, consistent with law, and in the public interest.</w:t>
      </w:r>
      <w:bookmarkEnd w:id="42"/>
    </w:p>
    <w:p w:rsidR="005939A5" w:rsidP="005939A5" w:rsidRDefault="005939A5" w14:paraId="2EB1F013" w14:textId="157624B4">
      <w:pPr>
        <w:pStyle w:val="Heading1"/>
      </w:pPr>
      <w:bookmarkStart w:name="_Toc222305247" w:id="45"/>
      <w:bookmarkStart w:name="_Toc228294671" w:id="46"/>
      <w:r>
        <w:lastRenderedPageBreak/>
        <w:t>Discussion</w:t>
      </w:r>
      <w:r w:rsidR="007D4964">
        <w:t xml:space="preserve"> and Analysis</w:t>
      </w:r>
      <w:r>
        <w:t xml:space="preserve"> </w:t>
      </w:r>
      <w:bookmarkEnd w:id="35"/>
      <w:r w:rsidR="00747E8A">
        <w:t xml:space="preserve">of </w:t>
      </w:r>
      <w:r w:rsidR="007D4964">
        <w:t xml:space="preserve">the 25 </w:t>
      </w:r>
      <w:r w:rsidR="00747E8A">
        <w:t>Scoped Issues</w:t>
      </w:r>
      <w:bookmarkEnd w:id="45"/>
      <w:bookmarkEnd w:id="46"/>
    </w:p>
    <w:p w:rsidR="00CE0158" w:rsidP="00AD712C" w:rsidRDefault="009B65E8" w14:paraId="294BCB45" w14:textId="31BA592D">
      <w:pPr>
        <w:pStyle w:val="Standard"/>
      </w:pPr>
      <w:r>
        <w:t xml:space="preserve">Below is </w:t>
      </w:r>
      <w:r w:rsidR="00E60486">
        <w:t xml:space="preserve">the </w:t>
      </w:r>
      <w:r>
        <w:t xml:space="preserve">discussion and analysis of the 25 issues within the scope of this proceeding. For each scoped issue, we </w:t>
      </w:r>
      <w:r w:rsidR="009A6AA0">
        <w:t>briefly summarize</w:t>
      </w:r>
      <w:r>
        <w:t xml:space="preserve"> party positions. </w:t>
      </w:r>
      <w:r w:rsidR="00EF43B3">
        <w:t xml:space="preserve">We briefly address whether </w:t>
      </w:r>
      <w:r>
        <w:t>the scoped issue is one that</w:t>
      </w:r>
      <w:r w:rsidR="00684686">
        <w:t xml:space="preserve"> the parties addressed in</w:t>
      </w:r>
      <w:r>
        <w:t xml:space="preserve"> the Partial Settlement Agreement and/or Undisputed Issues List. We include an analysis</w:t>
      </w:r>
      <w:r w:rsidRPr="00E60D77" w:rsidR="00826D3F">
        <w:t xml:space="preserve"> of </w:t>
      </w:r>
      <w:r w:rsidR="00AD712C">
        <w:t xml:space="preserve">the </w:t>
      </w:r>
      <w:r w:rsidR="00826D3F">
        <w:t>scoped issue</w:t>
      </w:r>
      <w:r w:rsidRPr="00E60D77" w:rsidR="00826D3F">
        <w:t>.</w:t>
      </w:r>
      <w:r w:rsidR="00826D3F">
        <w:t xml:space="preserve"> </w:t>
      </w:r>
      <w:r>
        <w:t xml:space="preserve">Finally, </w:t>
      </w:r>
      <w:r w:rsidR="00FB3B9D">
        <w:t xml:space="preserve">as to those issues that are not fully resolved through settlement, </w:t>
      </w:r>
      <w:r>
        <w:t xml:space="preserve">we provide a conclusion as to the adjudication of each </w:t>
      </w:r>
      <w:r w:rsidR="00FB3B9D">
        <w:t xml:space="preserve">unsettled </w:t>
      </w:r>
      <w:r>
        <w:t>issue.</w:t>
      </w:r>
    </w:p>
    <w:p w:rsidR="00CE0158" w:rsidP="00D4243A" w:rsidRDefault="00747E8A" w14:paraId="35719EC1" w14:textId="32F1414C">
      <w:pPr>
        <w:pStyle w:val="Heading2"/>
      </w:pPr>
      <w:bookmarkStart w:name="_Toc222305248" w:id="47"/>
      <w:bookmarkStart w:name="_Toc228294672" w:id="48"/>
      <w:r>
        <w:t xml:space="preserve">Scoped </w:t>
      </w:r>
      <w:r w:rsidR="009D287A">
        <w:t>Issue #</w:t>
      </w:r>
      <w:r>
        <w:t>1</w:t>
      </w:r>
      <w:r w:rsidR="000C0896">
        <w:t xml:space="preserve">:  </w:t>
      </w:r>
      <w:r w:rsidRPr="003C3377" w:rsidR="009B65E8">
        <w:t xml:space="preserve">Whether </w:t>
      </w:r>
      <w:r w:rsidRPr="001A36AE" w:rsidR="001A36AE">
        <w:t>California Water Service Company</w:t>
      </w:r>
      <w:r w:rsidR="000C0896">
        <w:t>’</w:t>
      </w:r>
      <w:r w:rsidRPr="003C3377" w:rsidR="009B65E8">
        <w:t xml:space="preserve">s </w:t>
      </w:r>
      <w:r w:rsidRPr="003C3377" w:rsidR="006706BB">
        <w:t xml:space="preserve">Proposed Rate Increases </w:t>
      </w:r>
      <w:r w:rsidRPr="003C3377" w:rsidR="009B65E8">
        <w:t xml:space="preserve">for the Test and Escalation Years </w:t>
      </w:r>
      <w:r w:rsidRPr="003C3377" w:rsidR="006706BB">
        <w:t xml:space="preserve">Are Just </w:t>
      </w:r>
      <w:r w:rsidRPr="003C3377" w:rsidR="009B65E8">
        <w:t xml:space="preserve">and </w:t>
      </w:r>
      <w:r w:rsidRPr="003C3377" w:rsidR="006706BB">
        <w:t>Reasonable</w:t>
      </w:r>
      <w:bookmarkEnd w:id="47"/>
      <w:bookmarkEnd w:id="48"/>
    </w:p>
    <w:p w:rsidRPr="00E523C4" w:rsidR="00D4243A" w:rsidP="005804B5" w:rsidRDefault="00D4243A" w14:paraId="290E8BFD" w14:textId="11C89172">
      <w:pPr>
        <w:pStyle w:val="Standard"/>
      </w:pPr>
      <w:r w:rsidRPr="00E523C4">
        <w:t xml:space="preserve">Scoped </w:t>
      </w:r>
      <w:r w:rsidR="009D287A">
        <w:t>Issue #</w:t>
      </w:r>
      <w:r w:rsidRPr="00E523C4">
        <w:t xml:space="preserve">1 serves as the overarching framework for evaluating </w:t>
      </w:r>
      <w:r w:rsidR="00EB50F8">
        <w:t>Cal Water</w:t>
      </w:r>
      <w:r w:rsidR="000C0896">
        <w:t>’</w:t>
      </w:r>
      <w:r w:rsidRPr="00E523C4">
        <w:t xml:space="preserve">s proposed </w:t>
      </w:r>
      <w:r w:rsidRPr="00E523C4" w:rsidR="00DC77E7">
        <w:t>Test Year (TY) and Escalation Year (EY)</w:t>
      </w:r>
      <w:r w:rsidRPr="00E523C4">
        <w:t xml:space="preserve"> rate increases. The Commission</w:t>
      </w:r>
      <w:r w:rsidR="000C0896">
        <w:t>’</w:t>
      </w:r>
      <w:r w:rsidRPr="00E523C4">
        <w:t>s determination on this issue reflects the integrated results of the more detailed analyses contained in Scoped Issues #2 through #5, which address the individual cost components of the revenue requirement</w:t>
      </w:r>
      <w:r w:rsidR="00AE44B3">
        <w:t xml:space="preserve"> — </w:t>
      </w:r>
      <w:bookmarkStart w:name="_Hlk212709786" w:id="49"/>
      <w:r w:rsidRPr="00E523C4">
        <w:t>O&amp;M</w:t>
      </w:r>
      <w:bookmarkEnd w:id="49"/>
      <w:r w:rsidR="00640A72">
        <w:t xml:space="preserve"> </w:t>
      </w:r>
      <w:r w:rsidRPr="00E523C4">
        <w:t xml:space="preserve">and A&amp;G expenses, capital additions, revenue requirement methodology, and rate design. Collectively, those determinations establish the evidentiary foundation for assessing whether </w:t>
      </w:r>
      <w:r w:rsidR="00EB50F8">
        <w:t>Cal Water</w:t>
      </w:r>
      <w:r w:rsidR="000C0896">
        <w:t>’</w:t>
      </w:r>
      <w:r w:rsidRPr="00E523C4">
        <w:t>s overall rate increases are just and reasonable. This section</w:t>
      </w:r>
      <w:r w:rsidR="001C494D">
        <w:t>,</w:t>
      </w:r>
      <w:r w:rsidRPr="00E523C4">
        <w:t xml:space="preserve"> therefore</w:t>
      </w:r>
      <w:r w:rsidR="001C494D">
        <w:t>,</w:t>
      </w:r>
      <w:r w:rsidRPr="00E523C4">
        <w:t xml:space="preserve"> synthesizes the record on </w:t>
      </w:r>
      <w:r w:rsidR="00EB50F8">
        <w:t>Cal Water</w:t>
      </w:r>
      <w:r w:rsidR="000C0896">
        <w:t>’</w:t>
      </w:r>
      <w:r w:rsidRPr="00E523C4">
        <w:t>s rate increase proposal, the Partial Settlement Agreement, and the Commission</w:t>
      </w:r>
      <w:r w:rsidR="000C0896">
        <w:t>’</w:t>
      </w:r>
      <w:r w:rsidRPr="00E523C4">
        <w:t>s evaluation of the remaining disputed issues in light of the statutory and precedent</w:t>
      </w:r>
      <w:r w:rsidR="00270999">
        <w:noBreakHyphen/>
      </w:r>
      <w:r w:rsidRPr="00E523C4">
        <w:t>based standards for reasonableness.</w:t>
      </w:r>
      <w:r w:rsidRPr="00E523C4" w:rsidR="00DF4C6E">
        <w:t xml:space="preserve"> The specific adopted TY and EY revenue requirements and </w:t>
      </w:r>
      <w:r w:rsidR="009A6AA0">
        <w:t xml:space="preserve">the </w:t>
      </w:r>
      <w:r w:rsidRPr="00E523C4" w:rsidR="00DF4C6E">
        <w:t xml:space="preserve">average systemwide percentage rate increases are set forth in </w:t>
      </w:r>
      <w:r w:rsidR="009A779A">
        <w:t>Appendices </w:t>
      </w:r>
      <w:r w:rsidR="00341211">
        <w:t>A</w:t>
      </w:r>
      <w:r w:rsidR="009A779A">
        <w:t xml:space="preserve"> </w:t>
      </w:r>
      <w:r w:rsidR="00092737">
        <w:t>through </w:t>
      </w:r>
      <w:r w:rsidR="00341211">
        <w:t>X</w:t>
      </w:r>
      <w:r w:rsidRPr="00E523C4" w:rsidR="00DF4C6E">
        <w:t>.</w:t>
      </w:r>
    </w:p>
    <w:p w:rsidRPr="00E523C4" w:rsidR="00AD712C" w:rsidP="005804B5" w:rsidRDefault="00EB50F8" w14:paraId="38676321" w14:textId="2C84949C">
      <w:pPr>
        <w:pStyle w:val="Standard"/>
      </w:pPr>
      <w:r>
        <w:lastRenderedPageBreak/>
        <w:t>Cal Water</w:t>
      </w:r>
      <w:r w:rsidRPr="00E523C4" w:rsidR="00AD712C">
        <w:t xml:space="preserve"> requests Commission authorization for rate increases in the </w:t>
      </w:r>
      <w:bookmarkStart w:name="_Hlk212710403" w:id="50"/>
      <w:r w:rsidRPr="00E523C4" w:rsidR="00AD712C">
        <w:t>TY and EYs</w:t>
      </w:r>
      <w:bookmarkEnd w:id="50"/>
      <w:r w:rsidRPr="00E523C4" w:rsidR="00AD712C">
        <w:t xml:space="preserve"> to recover costs associated with regulatory compliance, system reliability, and infrastructure investment. The company asserts that the proposed increases are fully supported by its cost</w:t>
      </w:r>
      <w:r w:rsidR="00FD6045">
        <w:noBreakHyphen/>
      </w:r>
      <w:r w:rsidRPr="00E523C4" w:rsidR="00AD712C">
        <w:t>of</w:t>
      </w:r>
      <w:r w:rsidR="00FD6045">
        <w:noBreakHyphen/>
      </w:r>
      <w:r w:rsidRPr="00E523C4" w:rsidR="00AD712C">
        <w:t>service showing, which includes capital investment requirements, inflationary pressures, and necessary operational spending.</w:t>
      </w:r>
      <w:r w:rsidRPr="00E523C4" w:rsidR="007875AD">
        <w:rPr>
          <w:rStyle w:val="FootnoteReference"/>
        </w:rPr>
        <w:footnoteReference w:id="18"/>
      </w:r>
      <w:r w:rsidRPr="00E523C4" w:rsidR="00AD712C">
        <w:t xml:space="preserve"> </w:t>
      </w:r>
      <w:r>
        <w:t>Cal Water</w:t>
      </w:r>
      <w:r w:rsidRPr="00E523C4" w:rsidR="00AD712C">
        <w:t xml:space="preserve"> maintains that its forecast is consistent with Commission precedent and reflects prudent utility management as required under </w:t>
      </w:r>
      <w:r w:rsidR="003A5B7D">
        <w:t>Pub. Util.</w:t>
      </w:r>
      <w:r w:rsidRPr="00E523C4" w:rsidR="00AA2770">
        <w:t xml:space="preserve"> Code</w:t>
      </w:r>
      <w:r w:rsidRPr="00E523C4" w:rsidR="00AD712C">
        <w:t xml:space="preserve"> </w:t>
      </w:r>
      <w:r w:rsidR="009A6AA0">
        <w:t>Sections </w:t>
      </w:r>
      <w:r w:rsidRPr="00E523C4" w:rsidR="00AD712C">
        <w:t>451 and 454.</w:t>
      </w:r>
    </w:p>
    <w:p w:rsidRPr="00E523C4" w:rsidR="00AD712C" w:rsidP="005804B5" w:rsidRDefault="00EB50F8" w14:paraId="7152CD8A" w14:textId="0C07EE41">
      <w:pPr>
        <w:pStyle w:val="Standard"/>
      </w:pPr>
      <w:r>
        <w:t>Cal Advocates</w:t>
      </w:r>
      <w:r w:rsidRPr="00E523C4" w:rsidR="00AD712C">
        <w:t xml:space="preserve"> opposes the magnitude of the proposed increases, arguing that </w:t>
      </w:r>
      <w:r>
        <w:t>Cal Water</w:t>
      </w:r>
      <w:r w:rsidR="000C0896">
        <w:t>’</w:t>
      </w:r>
      <w:r w:rsidRPr="00E523C4" w:rsidR="00AD712C">
        <w:t>s forecasts are overstated and that many capital projects are premature or insufficiently supported</w:t>
      </w:r>
      <w:r w:rsidRPr="00E523C4" w:rsidR="007875AD">
        <w:t>.</w:t>
      </w:r>
      <w:r w:rsidRPr="00E523C4" w:rsidR="007875AD">
        <w:rPr>
          <w:rStyle w:val="FootnoteReference"/>
        </w:rPr>
        <w:footnoteReference w:id="19"/>
      </w:r>
      <w:r w:rsidRPr="00E523C4" w:rsidR="00AD712C">
        <w:t xml:space="preserve"> </w:t>
      </w:r>
      <w:r>
        <w:t>Cal Advocates</w:t>
      </w:r>
      <w:r w:rsidRPr="00E523C4" w:rsidR="00AD712C">
        <w:t xml:space="preserve"> contends that the Commission should adopt its lower forecasts, which it asserts are sufficient to maintain safe and reliable service while protecting customers from unnecessary rate impacts</w:t>
      </w:r>
      <w:r w:rsidRPr="00E523C4" w:rsidR="007875AD">
        <w:t>.</w:t>
      </w:r>
      <w:r w:rsidRPr="00E523C4" w:rsidR="007875AD">
        <w:rPr>
          <w:rStyle w:val="FootnoteReference"/>
        </w:rPr>
        <w:footnoteReference w:id="20"/>
      </w:r>
    </w:p>
    <w:p w:rsidRPr="00E523C4" w:rsidR="00AD712C" w:rsidP="005804B5" w:rsidRDefault="00AD712C" w14:paraId="10A41E32" w14:textId="3B43703B">
      <w:pPr>
        <w:pStyle w:val="Standard"/>
      </w:pPr>
      <w:r w:rsidRPr="00E523C4">
        <w:t xml:space="preserve">NAWC and CWA support </w:t>
      </w:r>
      <w:r w:rsidR="00EB50F8">
        <w:t>Cal Water</w:t>
      </w:r>
      <w:r w:rsidR="000C0896">
        <w:t>’</w:t>
      </w:r>
      <w:r w:rsidRPr="00E523C4">
        <w:t>s proposal. NAWC emphasizes that the proposed increases are necessary to sustain system reinvestment, ensure compliance with water</w:t>
      </w:r>
      <w:r w:rsidR="00270999">
        <w:noBreakHyphen/>
      </w:r>
      <w:r w:rsidRPr="00E523C4">
        <w:t>quality regulations, and maintain industry stability</w:t>
      </w:r>
      <w:r w:rsidRPr="00E523C4" w:rsidR="007875AD">
        <w:t>.</w:t>
      </w:r>
      <w:r w:rsidRPr="00E523C4" w:rsidR="007875AD">
        <w:rPr>
          <w:rStyle w:val="FootnoteReference"/>
        </w:rPr>
        <w:footnoteReference w:id="21"/>
      </w:r>
      <w:r w:rsidRPr="00E523C4">
        <w:t xml:space="preserve"> CWA highlights the statewide policy need for adequate cost recovery to preserve reliability and resiliency in essential water infrastructure.</w:t>
      </w:r>
      <w:r w:rsidRPr="00E523C4" w:rsidR="007875AD">
        <w:rPr>
          <w:rStyle w:val="FootnoteReference"/>
        </w:rPr>
        <w:footnoteReference w:id="22"/>
      </w:r>
    </w:p>
    <w:p w:rsidRPr="00E523C4" w:rsidR="00AD712C" w:rsidP="005804B5" w:rsidRDefault="00AD712C" w14:paraId="675D8110" w14:textId="063EC5DD">
      <w:pPr>
        <w:pStyle w:val="Standard"/>
      </w:pPr>
      <w:r w:rsidRPr="00E523C4">
        <w:t xml:space="preserve">This issue overlaps substantively with Scoped Issues #2 through #5, which evaluate specific components of </w:t>
      </w:r>
      <w:r w:rsidR="00EB50F8">
        <w:t>Cal Water</w:t>
      </w:r>
      <w:r w:rsidR="000C0896">
        <w:t>’</w:t>
      </w:r>
      <w:r w:rsidRPr="00E523C4">
        <w:t xml:space="preserve">s cost structure (O&amp;M, capital </w:t>
      </w:r>
      <w:r w:rsidRPr="00E523C4">
        <w:lastRenderedPageBreak/>
        <w:t>additions, revenue requirement, and rate design). This section addresses the overall reasonableness of the requested rate increases in light of those component determinations.</w:t>
      </w:r>
      <w:r w:rsidRPr="00E523C4" w:rsidR="00DF4C6E">
        <w:t xml:space="preserve"> For modeling and implementation purposes, the Commission adopts</w:t>
      </w:r>
      <w:r w:rsidR="006237E8">
        <w:t xml:space="preserve">: </w:t>
      </w:r>
      <w:r w:rsidRPr="00E523C4" w:rsidR="00DF4C6E">
        <w:t xml:space="preserve"> (1)</w:t>
      </w:r>
      <w:r w:rsidR="00DE2A84">
        <w:t> </w:t>
      </w:r>
      <w:r w:rsidRPr="00E523C4" w:rsidR="00DF4C6E">
        <w:t>the test</w:t>
      </w:r>
      <w:r w:rsidR="00270999">
        <w:noBreakHyphen/>
      </w:r>
      <w:r w:rsidRPr="00E523C4" w:rsidR="00DF4C6E">
        <w:t>year and escalation</w:t>
      </w:r>
      <w:r w:rsidR="00270999">
        <w:noBreakHyphen/>
      </w:r>
      <w:r w:rsidRPr="00E523C4" w:rsidR="00DF4C6E">
        <w:t xml:space="preserve">year O&amp;M and A&amp;G expense levels derived from the adjustments adopted in Scoped </w:t>
      </w:r>
      <w:r w:rsidR="009D287A">
        <w:t>Issue #</w:t>
      </w:r>
      <w:r w:rsidRPr="00E523C4" w:rsidR="00DF4C6E">
        <w:t>2</w:t>
      </w:r>
      <w:r w:rsidR="006237E8">
        <w:t>; (2) </w:t>
      </w:r>
      <w:r w:rsidRPr="00E523C4" w:rsidR="00DF4C6E">
        <w:t xml:space="preserve">the utility plant in service and related capital additions adopted in Scoped </w:t>
      </w:r>
      <w:r w:rsidR="009D287A">
        <w:t>Issue #</w:t>
      </w:r>
      <w:r w:rsidRPr="00E523C4" w:rsidR="00DF4C6E">
        <w:t>3</w:t>
      </w:r>
      <w:r w:rsidR="00121044">
        <w:t>;</w:t>
      </w:r>
      <w:r w:rsidRPr="00E523C4" w:rsidR="00DF4C6E">
        <w:t xml:space="preserve"> </w:t>
      </w:r>
      <w:r w:rsidR="006237E8">
        <w:t>(3) </w:t>
      </w:r>
      <w:r w:rsidRPr="00E523C4" w:rsidR="00DF4C6E">
        <w:t xml:space="preserve">the revenue requirement methodology adopted in Scoped </w:t>
      </w:r>
      <w:r w:rsidR="009D287A">
        <w:t>Issue #</w:t>
      </w:r>
      <w:r w:rsidRPr="00E523C4" w:rsidR="00DF4C6E">
        <w:t>4</w:t>
      </w:r>
      <w:r w:rsidR="006237E8">
        <w:t xml:space="preserve">; and </w:t>
      </w:r>
      <w:r w:rsidR="000C051D">
        <w:t>(4) </w:t>
      </w:r>
      <w:r w:rsidRPr="00E523C4" w:rsidR="00DF4C6E">
        <w:t xml:space="preserve">the rate design adopted in Scoped </w:t>
      </w:r>
      <w:r w:rsidR="009D287A">
        <w:t>Issue #</w:t>
      </w:r>
      <w:r w:rsidRPr="00E523C4" w:rsidR="00DF4C6E">
        <w:t xml:space="preserve">5, as the numerical basis for the TY and EY revenue requirements and rate increases used in the </w:t>
      </w:r>
      <w:r w:rsidRPr="00BF555A" w:rsidR="00BF555A">
        <w:t>Results of Operations</w:t>
      </w:r>
      <w:r w:rsidR="00BF555A">
        <w:t xml:space="preserve"> (</w:t>
      </w:r>
      <w:r w:rsidRPr="00E523C4" w:rsidR="00DF4C6E">
        <w:t>RO</w:t>
      </w:r>
      <w:r w:rsidR="00BF555A">
        <w:t>)</w:t>
      </w:r>
      <w:r w:rsidRPr="00E523C4" w:rsidR="00DF4C6E">
        <w:t xml:space="preserve"> Model.</w:t>
      </w:r>
    </w:p>
    <w:p w:rsidR="00747E8A" w:rsidP="00747E8A" w:rsidRDefault="00747E8A" w14:paraId="334428E9" w14:textId="79020860">
      <w:pPr>
        <w:pStyle w:val="Heading3"/>
      </w:pPr>
      <w:bookmarkStart w:name="_Toc222305249" w:id="51"/>
      <w:bookmarkStart w:name="_Hlk212708747" w:id="52"/>
      <w:bookmarkStart w:name="_Toc228294673" w:id="53"/>
      <w:r>
        <w:t>Partial Settlement</w:t>
      </w:r>
      <w:bookmarkEnd w:id="51"/>
      <w:bookmarkEnd w:id="53"/>
    </w:p>
    <w:bookmarkEnd w:id="52"/>
    <w:p w:rsidRPr="00E523C4" w:rsidR="00AD712C" w:rsidP="00AD712C" w:rsidRDefault="00AD712C" w14:paraId="07583C9C" w14:textId="56E1328C">
      <w:pPr>
        <w:pStyle w:val="Standard"/>
      </w:pPr>
      <w:r w:rsidRPr="00E523C4">
        <w:t>The</w:t>
      </w:r>
      <w:r w:rsidRPr="00E523C4" w:rsidR="00C85AEF">
        <w:t xml:space="preserve"> S</w:t>
      </w:r>
      <w:r w:rsidRPr="00E523C4" w:rsidR="003F743D">
        <w:t xml:space="preserve">ettling </w:t>
      </w:r>
      <w:r w:rsidRPr="00E523C4" w:rsidR="00C85AEF">
        <w:t>P</w:t>
      </w:r>
      <w:r w:rsidRPr="00E523C4" w:rsidR="003F743D">
        <w:t>arties</w:t>
      </w:r>
      <w:r w:rsidR="000C0896">
        <w:t>’</w:t>
      </w:r>
      <w:r w:rsidRPr="00E523C4" w:rsidR="003F743D">
        <w:t xml:space="preserve"> </w:t>
      </w:r>
      <w:r w:rsidRPr="00E523C4" w:rsidR="007A2749">
        <w:t>j</w:t>
      </w:r>
      <w:r w:rsidRPr="00E523C4">
        <w:t xml:space="preserve">oint </w:t>
      </w:r>
      <w:r w:rsidRPr="00E523C4" w:rsidR="007A2749">
        <w:t>m</w:t>
      </w:r>
      <w:r w:rsidRPr="00E523C4">
        <w:t>otion and accompanying Undisputed Issues List resolve certain cost components affecting the proposed rate increases, including general office expenses, depreciation, property taxes, and overhead</w:t>
      </w:r>
      <w:r>
        <w:t xml:space="preserve"> </w:t>
      </w:r>
      <w:r w:rsidRPr="00E523C4">
        <w:t>allocations.</w:t>
      </w:r>
      <w:r w:rsidRPr="00E523C4" w:rsidR="006640BC">
        <w:rPr>
          <w:rStyle w:val="FootnoteReference"/>
        </w:rPr>
        <w:footnoteReference w:id="23"/>
      </w:r>
      <w:r w:rsidRPr="00E523C4" w:rsidR="001E255A">
        <w:t xml:space="preserve"> What follows is an analysis of the unsettled portions of this scoped issue.</w:t>
      </w:r>
      <w:r w:rsidRPr="00E523C4" w:rsidR="00DF4C6E">
        <w:t xml:space="preserve"> For purposes of the RO Model, the settled items are implemented by using the adopted general office, depreciation, property tax, and overhead allocation amounts and calculations reflected in Joint </w:t>
      </w:r>
      <w:r w:rsidR="00D14F9F">
        <w:t>Exhibit </w:t>
      </w:r>
      <w:r w:rsidRPr="00E523C4" w:rsidR="00DF4C6E">
        <w:t>2 (Undisputed Issues) and the corresponding workpapers</w:t>
      </w:r>
      <w:r w:rsidR="0006566C">
        <w:t>.</w:t>
      </w:r>
    </w:p>
    <w:p w:rsidR="00747E8A" w:rsidP="00747E8A" w:rsidRDefault="00747E8A" w14:paraId="04088B6C" w14:textId="5642A0B2">
      <w:pPr>
        <w:pStyle w:val="Heading3"/>
      </w:pPr>
      <w:bookmarkStart w:name="_Toc222305250" w:id="54"/>
      <w:bookmarkStart w:name="_Toc228294674" w:id="55"/>
      <w:r>
        <w:t>Analysis</w:t>
      </w:r>
      <w:bookmarkEnd w:id="54"/>
      <w:bookmarkEnd w:id="55"/>
    </w:p>
    <w:p w:rsidRPr="00AD712C" w:rsidR="00AD712C" w:rsidP="00AD712C" w:rsidRDefault="00A45F57" w14:paraId="586D784E" w14:textId="405D1620">
      <w:pPr>
        <w:pStyle w:val="Standard"/>
      </w:pPr>
      <w:r>
        <w:t>Revenue requirement should be based on the utility’s cost of service to provide safe and reliable service</w:t>
      </w:r>
      <w:r w:rsidRPr="00AD712C" w:rsidR="00AD712C">
        <w:t>.</w:t>
      </w:r>
    </w:p>
    <w:p w:rsidR="00CE0158" w:rsidP="00AD712C" w:rsidRDefault="00EB50F8" w14:paraId="6499D6C7" w14:textId="4C8BFAC6">
      <w:pPr>
        <w:pStyle w:val="Standard"/>
      </w:pPr>
      <w:r>
        <w:t>Cal Water</w:t>
      </w:r>
      <w:r w:rsidRPr="00AD712C" w:rsidR="00AD712C">
        <w:t xml:space="preserve"> asserts that its proposed increases reflect necessary cost recovery driven by inflation, regulatory mandates, and long</w:t>
      </w:r>
      <w:r w:rsidR="00270999">
        <w:noBreakHyphen/>
      </w:r>
      <w:r w:rsidRPr="00AD712C" w:rsidR="00AD712C">
        <w:t>term infrastructure renewal.</w:t>
      </w:r>
      <w:r w:rsidR="006640BC">
        <w:rPr>
          <w:rStyle w:val="FootnoteReference"/>
        </w:rPr>
        <w:footnoteReference w:id="24"/>
      </w:r>
      <w:r w:rsidRPr="00AD712C" w:rsidR="00AD712C">
        <w:t xml:space="preserve"> It argues that its forecast is built on detailed cost</w:t>
      </w:r>
      <w:r w:rsidR="00FD6045">
        <w:noBreakHyphen/>
      </w:r>
      <w:r w:rsidRPr="00AD712C" w:rsidR="00AD712C">
        <w:t>of</w:t>
      </w:r>
      <w:r w:rsidR="00FD6045">
        <w:noBreakHyphen/>
      </w:r>
      <w:r w:rsidRPr="00AD712C" w:rsidR="00AD712C">
        <w:t xml:space="preserve">service analyses </w:t>
      </w:r>
      <w:r w:rsidRPr="00AD712C" w:rsidR="00AD712C">
        <w:lastRenderedPageBreak/>
        <w:t xml:space="preserve">covering O&amp;M, </w:t>
      </w:r>
      <w:r w:rsidR="00640A72">
        <w:t xml:space="preserve">A&amp;G </w:t>
      </w:r>
      <w:r w:rsidRPr="00AD712C" w:rsidR="00AD712C">
        <w:t xml:space="preserve">expenses, and plant additions. </w:t>
      </w:r>
      <w:r>
        <w:t>Cal Water</w:t>
      </w:r>
      <w:r w:rsidRPr="00AD712C" w:rsidR="00AD712C">
        <w:t xml:space="preserve"> cites D.19</w:t>
      </w:r>
      <w:r w:rsidR="00270999">
        <w:noBreakHyphen/>
      </w:r>
      <w:r w:rsidRPr="00AD712C" w:rsidR="00AD712C">
        <w:t>05</w:t>
      </w:r>
      <w:r w:rsidR="00270999">
        <w:noBreakHyphen/>
      </w:r>
      <w:r w:rsidRPr="00AD712C" w:rsidR="00AD712C">
        <w:t>044 to emphasize that rate increases are just and reasonable when supported by demonstrable evidence of prudence and necessity. It further notes that disallowing recovery of prudent costs could impair the utility</w:t>
      </w:r>
      <w:r w:rsidR="000C0896">
        <w:t>’</w:t>
      </w:r>
      <w:r w:rsidRPr="00AD712C" w:rsidR="00AD712C">
        <w:t>s ability to maintain compliance with drinking</w:t>
      </w:r>
      <w:r w:rsidR="00270999">
        <w:noBreakHyphen/>
      </w:r>
      <w:r w:rsidRPr="00AD712C" w:rsidR="00AD712C">
        <w:t>water and safety standards</w:t>
      </w:r>
      <w:r w:rsidR="006640BC">
        <w:t>.</w:t>
      </w:r>
      <w:r w:rsidR="006640BC">
        <w:rPr>
          <w:rStyle w:val="FootnoteReference"/>
        </w:rPr>
        <w:footnoteReference w:id="25"/>
      </w:r>
    </w:p>
    <w:p w:rsidR="00CE0158" w:rsidP="00AD712C" w:rsidRDefault="007614A1" w14:paraId="0D98B5B6" w14:textId="3149E32B">
      <w:pPr>
        <w:pStyle w:val="Standard"/>
      </w:pPr>
      <w:r w:rsidRPr="007614A1">
        <w:t xml:space="preserve">In its opening brief, </w:t>
      </w:r>
      <w:r w:rsidR="00EB50F8">
        <w:t>Cal Water</w:t>
      </w:r>
      <w:r w:rsidRPr="007614A1">
        <w:t xml:space="preserve"> further explains that the company</w:t>
      </w:r>
      <w:r w:rsidR="000C0896">
        <w:t>’</w:t>
      </w:r>
      <w:r w:rsidRPr="007614A1">
        <w:t>s systemwide cost pressures reflect state and federal regulatory mandates</w:t>
      </w:r>
      <w:r w:rsidR="00AE44B3">
        <w:t xml:space="preserve"> — </w:t>
      </w:r>
      <w:r w:rsidRPr="007614A1">
        <w:t>particularly those relating to emerging contaminants, cybersecurity, and drought resilience</w:t>
      </w:r>
      <w:r w:rsidR="00AE44B3">
        <w:t xml:space="preserve"> — </w:t>
      </w:r>
      <w:r w:rsidRPr="007614A1">
        <w:t>which justify moderate but necessary rate adjustments</w:t>
      </w:r>
      <w:r w:rsidR="006640BC">
        <w:t>.</w:t>
      </w:r>
      <w:r w:rsidR="006640BC">
        <w:rPr>
          <w:rStyle w:val="FootnoteReference"/>
        </w:rPr>
        <w:footnoteReference w:id="26"/>
      </w:r>
    </w:p>
    <w:p w:rsidR="00CE0158" w:rsidP="00AD712C" w:rsidRDefault="00EB50F8" w14:paraId="5C6E332B" w14:textId="242DAE2E">
      <w:pPr>
        <w:pStyle w:val="Standard"/>
      </w:pPr>
      <w:r>
        <w:t>Cal Advocates</w:t>
      </w:r>
      <w:r w:rsidRPr="00AD712C" w:rsidR="00AD712C">
        <w:t xml:space="preserve"> contends that </w:t>
      </w:r>
      <w:r>
        <w:t>Cal Water</w:t>
      </w:r>
      <w:r w:rsidR="000C0896">
        <w:t>’</w:t>
      </w:r>
      <w:r w:rsidRPr="00AD712C" w:rsidR="00AD712C">
        <w:t>s proposed increases are excessive, asserting that the company</w:t>
      </w:r>
      <w:r w:rsidR="000C0896">
        <w:t>’</w:t>
      </w:r>
      <w:r w:rsidRPr="00AD712C" w:rsidR="00AD712C">
        <w:t>s escalation assumptions and capital forecasts exceed historic spending trends without adequate support</w:t>
      </w:r>
      <w:r w:rsidR="006640BC">
        <w:t>.</w:t>
      </w:r>
      <w:r w:rsidR="006640BC">
        <w:rPr>
          <w:rStyle w:val="FootnoteReference"/>
        </w:rPr>
        <w:footnoteReference w:id="27"/>
      </w:r>
      <w:r w:rsidRPr="00AD712C" w:rsidR="00AD712C">
        <w:t xml:space="preserve"> </w:t>
      </w:r>
      <w:r>
        <w:t>Cal Advocates</w:t>
      </w:r>
      <w:r w:rsidRPr="00AD712C" w:rsidR="00AD712C">
        <w:t xml:space="preserve"> recommends applying lower escalation factors derived from inflation indices and historical averages, consistent with Commission practice in prior </w:t>
      </w:r>
      <w:r w:rsidR="0008334E">
        <w:t>GRCs</w:t>
      </w:r>
      <w:r w:rsidR="006640BC">
        <w:t>.</w:t>
      </w:r>
      <w:r w:rsidR="006640BC">
        <w:rPr>
          <w:rStyle w:val="FootnoteReference"/>
        </w:rPr>
        <w:footnoteReference w:id="28"/>
      </w:r>
      <w:r w:rsidRPr="00AD712C" w:rsidR="00AD712C">
        <w:t xml:space="preserve"> It also argues that several major capital additions lack sufficient project documentation and that rate increases based on such forecasts would not meet the </w:t>
      </w:r>
      <w:r w:rsidR="003A5B7D">
        <w:t>Pub. Util.</w:t>
      </w:r>
      <w:r w:rsidR="006640BC">
        <w:t xml:space="preserve"> Code </w:t>
      </w:r>
      <w:r w:rsidR="004E5107">
        <w:t>Section </w:t>
      </w:r>
      <w:r w:rsidRPr="00AD712C" w:rsidR="00AD712C">
        <w:t>451 standard of reasonableness.</w:t>
      </w:r>
      <w:r w:rsidR="007614A1">
        <w:t xml:space="preserve"> </w:t>
      </w:r>
      <w:r>
        <w:t>Cal Advocates</w:t>
      </w:r>
      <w:r w:rsidRPr="007614A1" w:rsidR="007614A1">
        <w:t xml:space="preserve"> emphasizes that </w:t>
      </w:r>
      <w:r w:rsidR="00A23D11">
        <w:t>“</w:t>
      </w:r>
      <w:r w:rsidRPr="007614A1" w:rsidR="007614A1">
        <w:t>empirical, project</w:t>
      </w:r>
      <w:r w:rsidR="00270999">
        <w:noBreakHyphen/>
      </w:r>
      <w:r w:rsidRPr="007614A1" w:rsidR="007614A1">
        <w:t>specific documentation</w:t>
      </w:r>
      <w:r w:rsidR="00A23D11">
        <w:t>”</w:t>
      </w:r>
      <w:r w:rsidRPr="007614A1" w:rsidR="007614A1">
        <w:t xml:space="preserve"> must substantiate any forecasted capital work before rate recovery may be granted</w:t>
      </w:r>
      <w:r w:rsidR="006640BC">
        <w:t>.</w:t>
      </w:r>
      <w:r w:rsidR="006640BC">
        <w:rPr>
          <w:rStyle w:val="FootnoteReference"/>
        </w:rPr>
        <w:footnoteReference w:id="29"/>
      </w:r>
    </w:p>
    <w:p w:rsidRPr="00E523C4" w:rsidR="00DF4C6E" w:rsidP="005804B5" w:rsidRDefault="00DF4C6E" w14:paraId="29721441" w14:textId="43CAD019">
      <w:pPr>
        <w:pStyle w:val="Standard"/>
      </w:pPr>
      <w:r w:rsidRPr="00E523C4">
        <w:t xml:space="preserve">For </w:t>
      </w:r>
      <w:r w:rsidRPr="00A23F7E">
        <w:t>non</w:t>
      </w:r>
      <w:r w:rsidR="00270999">
        <w:noBreakHyphen/>
      </w:r>
      <w:r w:rsidRPr="00A23F7E">
        <w:t>production O&amp;M and non</w:t>
      </w:r>
      <w:r w:rsidR="00FD6045">
        <w:noBreakHyphen/>
      </w:r>
      <w:r w:rsidRPr="00A23F7E">
        <w:t>actuarial A&amp;G expenses</w:t>
      </w:r>
      <w:r w:rsidRPr="00E523C4">
        <w:t>, the Commission adopts a hybrid escalation framework that</w:t>
      </w:r>
      <w:r w:rsidR="000C0896">
        <w:t xml:space="preserve">:  </w:t>
      </w:r>
      <w:r w:rsidR="006237E8">
        <w:t>(1) </w:t>
      </w:r>
      <w:r w:rsidRPr="00E523C4">
        <w:t xml:space="preserve">starts from the </w:t>
      </w:r>
      <w:r w:rsidRPr="00E523C4">
        <w:lastRenderedPageBreak/>
        <w:t>recorded and forecast test</w:t>
      </w:r>
      <w:r w:rsidR="00270999">
        <w:noBreakHyphen/>
      </w:r>
      <w:r w:rsidRPr="00E523C4">
        <w:t xml:space="preserve">year expense levels (by account and by district) as presented in </w:t>
      </w:r>
      <w:r w:rsidR="00EB50F8">
        <w:t>Cal Water</w:t>
      </w:r>
      <w:r w:rsidR="000C0896">
        <w:t>’</w:t>
      </w:r>
      <w:r w:rsidRPr="00E523C4">
        <w:t xml:space="preserve">s testimony and Minimum Data Requirement (MDR) workpapers, as modified by the specific disallowances and adjustments recommended by </w:t>
      </w:r>
      <w:r w:rsidR="005060BD">
        <w:t>Cal</w:t>
      </w:r>
      <w:r w:rsidR="00452CC2">
        <w:t> </w:t>
      </w:r>
      <w:r w:rsidR="005060BD">
        <w:t>Advocates</w:t>
      </w:r>
      <w:r w:rsidRPr="00E523C4">
        <w:t xml:space="preserve"> and adopted in Scoped </w:t>
      </w:r>
      <w:r w:rsidR="009D287A">
        <w:t>Issue #</w:t>
      </w:r>
      <w:r w:rsidRPr="00E523C4">
        <w:t xml:space="preserve">2; and </w:t>
      </w:r>
      <w:r w:rsidR="006237E8">
        <w:t>(2) </w:t>
      </w:r>
      <w:r w:rsidRPr="00E523C4">
        <w:t>applies the most recent Commission escalation memo factors</w:t>
      </w:r>
      <w:r w:rsidR="005803CD">
        <w:rPr>
          <w:rStyle w:val="FootnoteReference"/>
        </w:rPr>
        <w:footnoteReference w:id="30"/>
      </w:r>
      <w:r w:rsidRPr="00E523C4">
        <w:t xml:space="preserve"> for labor and non</w:t>
      </w:r>
      <w:r w:rsidR="00270999">
        <w:noBreakHyphen/>
      </w:r>
      <w:r w:rsidRPr="00E523C4">
        <w:t>labor expenses available at the time the RO Model</w:t>
      </w:r>
      <w:r w:rsidR="0094525A">
        <w:t xml:space="preserve"> is finalized</w:t>
      </w:r>
      <w:r w:rsidRPr="00E523C4">
        <w:t xml:space="preserve">, consistent with the normal GRC practice described in </w:t>
      </w:r>
      <w:r w:rsidR="00EB50F8">
        <w:t>Cal Water</w:t>
      </w:r>
      <w:r w:rsidR="000C0896">
        <w:t>’</w:t>
      </w:r>
      <w:r w:rsidRPr="00E523C4">
        <w:t xml:space="preserve">s Special </w:t>
      </w:r>
      <w:r w:rsidR="00D92D0A">
        <w:t>Request #</w:t>
      </w:r>
      <w:r w:rsidRPr="00E523C4">
        <w:t>6 testimony.</w:t>
      </w:r>
    </w:p>
    <w:p w:rsidRPr="00E523C4" w:rsidR="00DF4C6E" w:rsidP="00950E5D" w:rsidRDefault="00DF4C6E" w14:paraId="187FBF48" w14:textId="77777777">
      <w:pPr>
        <w:pStyle w:val="Standard"/>
        <w:keepNext/>
      </w:pPr>
      <w:r w:rsidRPr="00E523C4">
        <w:t>Specifically:</w:t>
      </w:r>
    </w:p>
    <w:p w:rsidRPr="00E523C4" w:rsidR="00DF4C6E" w:rsidP="008D5E78" w:rsidRDefault="00DF4C6E" w14:paraId="77D9F370" w14:textId="0A728FFB">
      <w:pPr>
        <w:pStyle w:val="BlockQuoteBullet1"/>
        <w:numPr>
          <w:ilvl w:val="0"/>
          <w:numId w:val="15"/>
        </w:numPr>
        <w:tabs>
          <w:tab w:val="clear" w:pos="720"/>
        </w:tabs>
        <w:ind w:left="1080"/>
      </w:pPr>
      <w:r w:rsidRPr="00E523C4">
        <w:t>For labor</w:t>
      </w:r>
      <w:r w:rsidR="00FD6045">
        <w:noBreakHyphen/>
      </w:r>
      <w:r w:rsidRPr="00E523C4">
        <w:t>related O&amp;M and A&amp;G accounts, the RO Model shall apply the Commission</w:t>
      </w:r>
      <w:r w:rsidR="000C0896">
        <w:t>’</w:t>
      </w:r>
      <w:r w:rsidRPr="00E523C4">
        <w:t>s latest labor escalation factors from the Commission</w:t>
      </w:r>
      <w:r w:rsidR="000C0896">
        <w:t>’</w:t>
      </w:r>
      <w:r w:rsidRPr="00E523C4">
        <w:t xml:space="preserve">s escalation memo, rather than </w:t>
      </w:r>
      <w:r w:rsidR="00EB50F8">
        <w:t>Cal Water</w:t>
      </w:r>
      <w:r w:rsidR="000C0896">
        <w:t>’</w:t>
      </w:r>
      <w:r w:rsidRPr="00E523C4">
        <w:t>s proposed union</w:t>
      </w:r>
      <w:r w:rsidR="00270999">
        <w:noBreakHyphen/>
      </w:r>
      <w:r w:rsidRPr="00E523C4">
        <w:t>contract</w:t>
      </w:r>
      <w:r w:rsidR="00270999">
        <w:noBreakHyphen/>
      </w:r>
      <w:r w:rsidRPr="00E523C4">
        <w:t xml:space="preserve">based payroll escalation mechanism. This is consistent with the </w:t>
      </w:r>
      <w:r w:rsidR="005060BD">
        <w:t>Cal</w:t>
      </w:r>
      <w:r w:rsidR="007C7830">
        <w:t> </w:t>
      </w:r>
      <w:r w:rsidRPr="00E523C4">
        <w:t>Advocates</w:t>
      </w:r>
      <w:r w:rsidR="005060BD">
        <w:t>’</w:t>
      </w:r>
      <w:r w:rsidRPr="00E523C4">
        <w:t xml:space="preserve"> position that escalation</w:t>
      </w:r>
      <w:r w:rsidR="00270999">
        <w:noBreakHyphen/>
      </w:r>
      <w:r w:rsidRPr="00E523C4">
        <w:t>year labor costs should be calculated using the standard Commission labor indices and with the Rate Case Plan</w:t>
      </w:r>
      <w:r w:rsidR="000C0896">
        <w:t>’</w:t>
      </w:r>
      <w:r w:rsidRPr="00E523C4">
        <w:t>s reference to Commission memo inflation factors.</w:t>
      </w:r>
    </w:p>
    <w:p w:rsidRPr="00E523C4" w:rsidR="00DF4C6E" w:rsidP="008D5E78" w:rsidRDefault="00DF4C6E" w14:paraId="7F5CF80F" w14:textId="352C195D">
      <w:pPr>
        <w:pStyle w:val="BlockQuoteBullet1"/>
        <w:numPr>
          <w:ilvl w:val="0"/>
          <w:numId w:val="15"/>
        </w:numPr>
        <w:tabs>
          <w:tab w:val="clear" w:pos="720"/>
        </w:tabs>
        <w:ind w:left="1080"/>
      </w:pPr>
      <w:r w:rsidRPr="00E523C4">
        <w:t>For non</w:t>
      </w:r>
      <w:r w:rsidR="00270999">
        <w:noBreakHyphen/>
      </w:r>
      <w:r w:rsidRPr="00E523C4">
        <w:t>labor O&amp;M and non</w:t>
      </w:r>
      <w:r w:rsidR="00270999">
        <w:noBreakHyphen/>
      </w:r>
      <w:r w:rsidRPr="00E523C4">
        <w:t>actuarial A&amp;G accounts, the RO Model shall apply the latest Commission non</w:t>
      </w:r>
      <w:r w:rsidR="00270999">
        <w:noBreakHyphen/>
      </w:r>
      <w:r w:rsidRPr="00E523C4">
        <w:t>labor escalation factors (</w:t>
      </w:r>
      <w:r w:rsidRPr="5C375D65" w:rsidR="0080343B">
        <w:rPr>
          <w:i/>
          <w:iCs/>
        </w:rPr>
        <w:t>e.g.</w:t>
      </w:r>
      <w:r w:rsidRPr="00E523C4">
        <w:t xml:space="preserve">, </w:t>
      </w:r>
      <w:r w:rsidR="00085254">
        <w:t>Consumer Price Index for All Urban Consumers (</w:t>
      </w:r>
      <w:r w:rsidRPr="00E523C4">
        <w:t>CPI</w:t>
      </w:r>
      <w:r w:rsidR="00270999">
        <w:noBreakHyphen/>
      </w:r>
      <w:r w:rsidRPr="00E523C4">
        <w:t>U</w:t>
      </w:r>
      <w:r w:rsidR="00085254">
        <w:t>)</w:t>
      </w:r>
      <w:r w:rsidRPr="00E523C4">
        <w:t>/</w:t>
      </w:r>
      <w:r w:rsidR="00085254">
        <w:t>Gross Domestic Product (</w:t>
      </w:r>
      <w:r w:rsidRPr="00E523C4">
        <w:t>GDP</w:t>
      </w:r>
      <w:r w:rsidR="00085254">
        <w:t>)</w:t>
      </w:r>
      <w:r w:rsidRPr="00E523C4">
        <w:t xml:space="preserve"> price deflator</w:t>
      </w:r>
      <w:r w:rsidR="00270999">
        <w:noBreakHyphen/>
      </w:r>
      <w:r w:rsidRPr="00E523C4">
        <w:t>based indices) used in the Commission</w:t>
      </w:r>
      <w:r w:rsidR="000C0896">
        <w:t>’</w:t>
      </w:r>
      <w:r w:rsidRPr="00E523C4">
        <w:t>s escalation memo, consistent with the</w:t>
      </w:r>
      <w:r w:rsidR="003F56A7">
        <w:t xml:space="preserve"> </w:t>
      </w:r>
      <w:r w:rsidRPr="00E523C4">
        <w:t xml:space="preserve">approach advocated by </w:t>
      </w:r>
      <w:r w:rsidR="005060BD">
        <w:t>Cal</w:t>
      </w:r>
      <w:r w:rsidR="00274685">
        <w:t> </w:t>
      </w:r>
      <w:r w:rsidRPr="00E523C4">
        <w:t xml:space="preserve">Advocates, in place of </w:t>
      </w:r>
      <w:r w:rsidR="00EB50F8">
        <w:t>Cal Water</w:t>
      </w:r>
      <w:r w:rsidR="000C0896">
        <w:t>’</w:t>
      </w:r>
      <w:r w:rsidRPr="00E523C4">
        <w:t>s higher inflation assumptions where the record does not support those higher assumptions.</w:t>
      </w:r>
    </w:p>
    <w:p w:rsidRPr="00E523C4" w:rsidR="00DF4C6E" w:rsidP="008D5E78" w:rsidRDefault="00DF4C6E" w14:paraId="05537B95" w14:textId="6983711B">
      <w:pPr>
        <w:pStyle w:val="BlockQuoteBullet1"/>
        <w:numPr>
          <w:ilvl w:val="0"/>
          <w:numId w:val="15"/>
        </w:numPr>
        <w:tabs>
          <w:tab w:val="clear" w:pos="720"/>
        </w:tabs>
        <w:ind w:left="1080"/>
      </w:pPr>
      <w:r w:rsidRPr="00E523C4">
        <w:lastRenderedPageBreak/>
        <w:t>For production</w:t>
      </w:r>
      <w:r w:rsidR="00270999">
        <w:noBreakHyphen/>
      </w:r>
      <w:r w:rsidRPr="00E523C4">
        <w:t>related source of supply, pumping, and purchased</w:t>
      </w:r>
      <w:r w:rsidR="00270999">
        <w:noBreakHyphen/>
      </w:r>
      <w:r w:rsidRPr="00E523C4">
        <w:t>water costs that are subject to balancing</w:t>
      </w:r>
      <w:r w:rsidR="00270999">
        <w:noBreakHyphen/>
      </w:r>
      <w:r w:rsidRPr="00E523C4">
        <w:t>account treatment (</w:t>
      </w:r>
      <w:r w:rsidRPr="5C375D65" w:rsidR="0080343B">
        <w:rPr>
          <w:i/>
          <w:iCs/>
        </w:rPr>
        <w:t>e.g.</w:t>
      </w:r>
      <w:r w:rsidRPr="00E523C4">
        <w:t>, Independent Commodity Balancing Account (ICBA) and purveyor tariff pass</w:t>
      </w:r>
      <w:r w:rsidR="00270999">
        <w:noBreakHyphen/>
      </w:r>
      <w:r w:rsidRPr="00E523C4">
        <w:t>throughs), the RO Model shall not apply general O&amp;M escalation factors to the underlying unit prices. Instead, those costs shall be modeled using the adopted balancing</w:t>
      </w:r>
      <w:r w:rsidR="00270999">
        <w:noBreakHyphen/>
      </w:r>
      <w:r w:rsidRPr="00E523C4">
        <w:t>account and tariff mechanisms described in Scoped Issues #2 and #5 (including the ICBA structure), so that recovery reflects actual recorded costs and adopted purveyor tariffs rather than forecast escalation adders.</w:t>
      </w:r>
    </w:p>
    <w:p w:rsidRPr="00E523C4" w:rsidR="00DF4C6E" w:rsidP="008D5E78" w:rsidRDefault="00DF4C6E" w14:paraId="65E65D2C" w14:textId="6F1CE1AE">
      <w:pPr>
        <w:pStyle w:val="BlockQuoteBullet1"/>
        <w:numPr>
          <w:ilvl w:val="0"/>
          <w:numId w:val="15"/>
        </w:numPr>
        <w:tabs>
          <w:tab w:val="clear" w:pos="720"/>
        </w:tabs>
        <w:ind w:left="1080"/>
      </w:pPr>
      <w:r w:rsidRPr="00E523C4">
        <w:t xml:space="preserve">For pension, </w:t>
      </w:r>
      <w:r w:rsidR="00085254">
        <w:t>Other Post</w:t>
      </w:r>
      <w:r w:rsidR="00FD6045">
        <w:noBreakHyphen/>
      </w:r>
      <w:r w:rsidR="00085254">
        <w:t>Employment Benefits (</w:t>
      </w:r>
      <w:r w:rsidRPr="00E523C4">
        <w:t>OPEB</w:t>
      </w:r>
      <w:r w:rsidR="00085254">
        <w:t>)</w:t>
      </w:r>
      <w:r w:rsidRPr="00E523C4">
        <w:t xml:space="preserve">, and other actuarially determined benefit expenses, the RO Model shall use the actuarial forecasts and methodologies adopted in Scoped </w:t>
      </w:r>
      <w:r w:rsidR="009D287A">
        <w:t>Issue #</w:t>
      </w:r>
      <w:r w:rsidRPr="00E523C4">
        <w:t>2, rather than applying generic non</w:t>
      </w:r>
      <w:r w:rsidR="00270999">
        <w:noBreakHyphen/>
      </w:r>
      <w:r w:rsidRPr="00E523C4">
        <w:t>labor escalation factors.</w:t>
      </w:r>
    </w:p>
    <w:p w:rsidRPr="00E523C4" w:rsidR="00CD6C73" w:rsidP="003F56A7" w:rsidRDefault="003F56A7" w14:paraId="3F5A7C7D" w14:textId="42A76B16">
      <w:pPr>
        <w:pStyle w:val="Standard"/>
      </w:pPr>
      <w:r w:rsidRPr="00E523C4">
        <w:t xml:space="preserve">The record indicates that </w:t>
      </w:r>
      <w:r w:rsidR="00EB50F8">
        <w:t>Cal Water</w:t>
      </w:r>
      <w:r w:rsidR="000C0896">
        <w:t>’</w:t>
      </w:r>
      <w:r w:rsidRPr="00E523C4">
        <w:t xml:space="preserve">s escalation methodology generally aligns with Commission precedent and past GRC practices. </w:t>
      </w:r>
      <w:r>
        <w:t>A</w:t>
      </w:r>
      <w:r w:rsidRPr="00E523C4">
        <w:t>lternative escalation methodologies</w:t>
      </w:r>
      <w:r>
        <w:t xml:space="preserve">, however, </w:t>
      </w:r>
      <w:r w:rsidRPr="00E523C4">
        <w:t>such as those incorporating lower inflation assumptions or adjusted demand</w:t>
      </w:r>
      <w:r w:rsidR="00270999">
        <w:noBreakHyphen/>
      </w:r>
      <w:r w:rsidRPr="00E523C4">
        <w:t>growth projections</w:t>
      </w:r>
      <w:r>
        <w:t xml:space="preserve">, </w:t>
      </w:r>
      <w:r w:rsidRPr="00E523C4">
        <w:t>offer a more balanced approach to cost recovery and affordability.</w:t>
      </w:r>
      <w:r>
        <w:t xml:space="preserve"> </w:t>
      </w:r>
      <w:r w:rsidRPr="00E523C4" w:rsidR="00DF4C6E">
        <w:t xml:space="preserve">The Commission adopts </w:t>
      </w:r>
      <w:r w:rsidR="00EB50F8">
        <w:t>Cal Advocates</w:t>
      </w:r>
      <w:r w:rsidR="000C0896">
        <w:t>’</w:t>
      </w:r>
      <w:r w:rsidRPr="00E523C4" w:rsidR="00DF4C6E">
        <w:t xml:space="preserve"> use of current escalation indices for labor and non</w:t>
      </w:r>
      <w:r w:rsidR="00270999">
        <w:noBreakHyphen/>
      </w:r>
      <w:r w:rsidRPr="00E523C4" w:rsidR="00DF4C6E">
        <w:t xml:space="preserve">labor expenses as the modeling default, supplemented by the more recent escalation memo factors requested by </w:t>
      </w:r>
      <w:r w:rsidR="00EB50F8">
        <w:t>Cal Water</w:t>
      </w:r>
      <w:r w:rsidRPr="00E523C4" w:rsidR="00DF4C6E">
        <w:t xml:space="preserve"> in Special </w:t>
      </w:r>
      <w:r w:rsidR="00D92D0A">
        <w:t>Request #</w:t>
      </w:r>
      <w:r w:rsidRPr="00E523C4" w:rsidR="00DF4C6E">
        <w:t>6.</w:t>
      </w:r>
    </w:p>
    <w:p w:rsidRPr="00E523C4" w:rsidR="00A23F7E" w:rsidP="00A23F7E" w:rsidRDefault="00AD712C" w14:paraId="7272D484" w14:textId="65B6D2EC">
      <w:pPr>
        <w:pStyle w:val="Standard"/>
      </w:pPr>
      <w:r w:rsidRPr="00E523C4">
        <w:t xml:space="preserve">The record demonstrates that while </w:t>
      </w:r>
      <w:r w:rsidR="00EB50F8">
        <w:t>Cal Water</w:t>
      </w:r>
      <w:r w:rsidRPr="00E523C4">
        <w:t xml:space="preserve"> has substantiated the need for continued infrastructure and compliance investment, certain components of its proposed increases</w:t>
      </w:r>
      <w:r w:rsidR="00AE44B3">
        <w:t xml:space="preserve"> — </w:t>
      </w:r>
      <w:r w:rsidRPr="00E523C4">
        <w:t>particularly those based on aggressive escalation assumptions</w:t>
      </w:r>
      <w:r w:rsidR="00AE44B3">
        <w:t xml:space="preserve"> — </w:t>
      </w:r>
      <w:r w:rsidRPr="00E523C4">
        <w:t>are not fully supported by the evidence.</w:t>
      </w:r>
    </w:p>
    <w:p w:rsidRPr="00E523C4" w:rsidR="00AD712C" w:rsidP="00AD712C" w:rsidRDefault="00252652" w14:paraId="47DFADDA" w14:textId="66C1FC3F">
      <w:pPr>
        <w:pStyle w:val="Standard"/>
      </w:pPr>
      <w:r>
        <w:t>A</w:t>
      </w:r>
      <w:r w:rsidRPr="00E523C4" w:rsidR="00AD712C">
        <w:t xml:space="preserve">djustments to O&amp;M and capital forecasts are warranted to ensure ratepayer protection. Incorporating those adjustments yields moderated rate increases that continue to provide </w:t>
      </w:r>
      <w:r w:rsidR="00EB50F8">
        <w:t>Cal Water</w:t>
      </w:r>
      <w:r w:rsidRPr="00E523C4" w:rsidR="00AD712C">
        <w:t xml:space="preserve"> with adequate revenues to meet its </w:t>
      </w:r>
      <w:r w:rsidRPr="00E523C4" w:rsidR="00AD712C">
        <w:lastRenderedPageBreak/>
        <w:t>service obligations.</w:t>
      </w:r>
      <w:r w:rsidRPr="00E523C4" w:rsidR="00DF4C6E">
        <w:t xml:space="preserve"> For capital additions, the RO Model shall implement the adopted plant</w:t>
      </w:r>
      <w:r w:rsidR="00270999">
        <w:noBreakHyphen/>
      </w:r>
      <w:r w:rsidRPr="00E523C4" w:rsidR="00DF4C6E">
        <w:t>in</w:t>
      </w:r>
      <w:r w:rsidR="00270999">
        <w:noBreakHyphen/>
      </w:r>
      <w:r w:rsidRPr="00E523C4" w:rsidR="00DF4C6E">
        <w:t xml:space="preserve">service balances and related </w:t>
      </w:r>
      <w:r w:rsidRPr="00E523C4" w:rsidR="00A45F57">
        <w:t xml:space="preserve">Interest During Construction </w:t>
      </w:r>
      <w:r w:rsidR="00A45F57">
        <w:t>(</w:t>
      </w:r>
      <w:r w:rsidRPr="00E523C4" w:rsidR="00DF4C6E">
        <w:t>IDC</w:t>
      </w:r>
      <w:r w:rsidR="00A45F57">
        <w:t>)</w:t>
      </w:r>
      <w:r w:rsidRPr="00E523C4" w:rsidR="00DF4C6E">
        <w:t>/</w:t>
      </w:r>
      <w:r w:rsidRPr="00073F01" w:rsidR="00A45F57">
        <w:t>A</w:t>
      </w:r>
      <w:r w:rsidRPr="007A0D12" w:rsidR="00A45F57">
        <w:t>llowance for Funds Used During Construction</w:t>
      </w:r>
      <w:r w:rsidRPr="00E523C4" w:rsidR="00A45F57">
        <w:t xml:space="preserve"> </w:t>
      </w:r>
      <w:r w:rsidR="00A45F57">
        <w:t>(</w:t>
      </w:r>
      <w:r w:rsidRPr="00E523C4" w:rsidR="00DF4C6E">
        <w:t>AFUDC</w:t>
      </w:r>
      <w:r w:rsidR="00A45F57">
        <w:t>)</w:t>
      </w:r>
      <w:r w:rsidRPr="00E523C4" w:rsidR="00DF4C6E">
        <w:t xml:space="preserve"> assumptions as set forth in Scoped </w:t>
      </w:r>
      <w:r w:rsidR="009D287A">
        <w:t>Issue #</w:t>
      </w:r>
      <w:r w:rsidRPr="00E523C4" w:rsidR="00DF4C6E">
        <w:t xml:space="preserve">3, including the reduction of </w:t>
      </w:r>
      <w:r w:rsidR="00EB50F8">
        <w:t>Cal Water</w:t>
      </w:r>
      <w:r w:rsidR="000C0896">
        <w:t>’</w:t>
      </w:r>
      <w:r w:rsidRPr="00E523C4" w:rsidR="00DF4C6E">
        <w:t xml:space="preserve">s proposed AFUDC rate to the IDC rate adopted in that section, as recommended by </w:t>
      </w:r>
      <w:r w:rsidR="00EB50F8">
        <w:t>Cal Advocates</w:t>
      </w:r>
      <w:r w:rsidRPr="00E523C4" w:rsidR="00DF4C6E">
        <w:t>.</w:t>
      </w:r>
    </w:p>
    <w:p w:rsidRPr="00E523C4" w:rsidR="00AD712C" w:rsidP="00AD712C" w:rsidRDefault="00AD712C" w14:paraId="6B1D61C7" w14:textId="0462B26F">
      <w:pPr>
        <w:pStyle w:val="Standard"/>
      </w:pPr>
      <w:r w:rsidRPr="00E523C4">
        <w:t xml:space="preserve">The NAWC and CWA policy arguments underscore the importance of maintaining </w:t>
      </w:r>
      <w:r w:rsidR="005060BD">
        <w:t xml:space="preserve">a </w:t>
      </w:r>
      <w:r w:rsidRPr="00E523C4">
        <w:t xml:space="preserve">sufficient rate recovery to support infrastructure resilience and regulatory compliance. These considerations are consistent with Commission </w:t>
      </w:r>
      <w:r w:rsidRPr="00E523C4" w:rsidR="008C5AAF">
        <w:t>policy</w:t>
      </w:r>
      <w:r w:rsidRPr="00E523C4">
        <w:t xml:space="preserve"> recognizing that safe and reliable water service requires ongoing capital reinvestment. At the same time, the Commission must balance those needs with affordability concerns, particularly for low</w:t>
      </w:r>
      <w:r w:rsidR="00270999">
        <w:noBreakHyphen/>
      </w:r>
      <w:r w:rsidRPr="00E523C4">
        <w:t>income customers.</w:t>
      </w:r>
    </w:p>
    <w:p w:rsidRPr="00E523C4" w:rsidR="00A74833" w:rsidP="00AD712C" w:rsidRDefault="00AD712C" w14:paraId="42471352" w14:textId="18152A91">
      <w:pPr>
        <w:pStyle w:val="Standard"/>
      </w:pPr>
      <w:r w:rsidRPr="00E523C4">
        <w:t>Consistent with D.19</w:t>
      </w:r>
      <w:r w:rsidR="00270999">
        <w:noBreakHyphen/>
      </w:r>
      <w:r w:rsidRPr="00E523C4">
        <w:t>05</w:t>
      </w:r>
      <w:r w:rsidR="00270999">
        <w:noBreakHyphen/>
      </w:r>
      <w:r w:rsidRPr="00E523C4">
        <w:t xml:space="preserve">044, the Commission concludes that a partial approval of </w:t>
      </w:r>
      <w:r w:rsidR="00EB50F8">
        <w:t>Cal Water</w:t>
      </w:r>
      <w:r w:rsidR="000C0896">
        <w:t>’</w:t>
      </w:r>
      <w:r w:rsidRPr="00E523C4">
        <w:t>s proposed rate increases</w:t>
      </w:r>
      <w:r w:rsidR="00AE44B3">
        <w:t xml:space="preserve"> — </w:t>
      </w:r>
      <w:r w:rsidRPr="00E523C4">
        <w:t>limited to demonstrably necessary and prudently supported costs</w:t>
      </w:r>
      <w:r w:rsidR="00AE44B3">
        <w:t xml:space="preserve"> — </w:t>
      </w:r>
      <w:r w:rsidRPr="00E523C4">
        <w:t xml:space="preserve">best meets the statutory </w:t>
      </w:r>
      <w:r w:rsidR="00A23D11">
        <w:t>“</w:t>
      </w:r>
      <w:r w:rsidRPr="00E523C4">
        <w:t>just and reasonable</w:t>
      </w:r>
      <w:r w:rsidR="00A23D11">
        <w:t>”</w:t>
      </w:r>
      <w:r w:rsidRPr="00E523C4">
        <w:t xml:space="preserve"> standard. This approach allows cost recovery for verified compliance and safety obligations while applying </w:t>
      </w:r>
      <w:r w:rsidR="00EB50F8">
        <w:t>Cal Advocates</w:t>
      </w:r>
      <w:r w:rsidR="000C0896">
        <w:t>’</w:t>
      </w:r>
      <w:r w:rsidRPr="00E523C4">
        <w:t xml:space="preserve"> more conservative escalation factors where </w:t>
      </w:r>
      <w:r w:rsidR="00EB50F8">
        <w:t>Cal Water</w:t>
      </w:r>
      <w:r w:rsidR="000C0896">
        <w:t>’</w:t>
      </w:r>
      <w:r w:rsidRPr="00E523C4">
        <w:t>s evidence is insufficient.</w:t>
      </w:r>
      <w:r w:rsidRPr="00E523C4" w:rsidR="00DF4C6E">
        <w:t xml:space="preserve"> The resulting adopted revenue requirements and percentage rate changes, by district and customer class, are shown in </w:t>
      </w:r>
      <w:r w:rsidR="009A779A">
        <w:t>Appendices </w:t>
      </w:r>
      <w:r w:rsidR="00341211">
        <w:t>A</w:t>
      </w:r>
      <w:r w:rsidR="009A779A">
        <w:t xml:space="preserve"> </w:t>
      </w:r>
      <w:r w:rsidR="00092737">
        <w:t>through </w:t>
      </w:r>
      <w:r w:rsidR="00341211">
        <w:t>X</w:t>
      </w:r>
      <w:r w:rsidRPr="00E523C4" w:rsidR="00DF4C6E">
        <w:t xml:space="preserve"> and shall be used as the controlling numerical inputs to the RO Model.</w:t>
      </w:r>
    </w:p>
    <w:p w:rsidRPr="00E523C4" w:rsidR="00DF4C6E" w:rsidP="005804B5" w:rsidRDefault="00EB50F8" w14:paraId="4120B735" w14:textId="7F0EA9EE">
      <w:pPr>
        <w:pStyle w:val="Standard"/>
      </w:pPr>
      <w:r>
        <w:t>Cal Water</w:t>
      </w:r>
      <w:r w:rsidR="000C0896">
        <w:t>’</w:t>
      </w:r>
      <w:r w:rsidRPr="007614A1" w:rsidR="007614A1">
        <w:t xml:space="preserve">s escalation forecasts incorporate assumptions consistent with </w:t>
      </w:r>
      <w:r w:rsidRPr="007614A1" w:rsidDel="00851281" w:rsidR="007614A1">
        <w:t xml:space="preserve">the </w:t>
      </w:r>
      <w:r w:rsidRPr="007614A1" w:rsidR="007614A1">
        <w:t>Office of Ratepayer Advocates</w:t>
      </w:r>
      <w:r w:rsidR="000C0896">
        <w:t>’</w:t>
      </w:r>
      <w:r w:rsidRPr="007614A1" w:rsidR="5FD21B6E">
        <w:t xml:space="preserve"> (currently </w:t>
      </w:r>
      <w:r>
        <w:t>Cal Advocates</w:t>
      </w:r>
      <w:r w:rsidRPr="007614A1" w:rsidR="5FD21B6E">
        <w:t>)</w:t>
      </w:r>
      <w:r w:rsidRPr="007614A1" w:rsidDel="00851281" w:rsidR="007614A1">
        <w:t xml:space="preserve"> historical inflation indices used in</w:t>
      </w:r>
      <w:r w:rsidRPr="007614A1" w:rsidR="007614A1">
        <w:t xml:space="preserve"> D.19</w:t>
      </w:r>
      <w:r w:rsidR="00270999">
        <w:noBreakHyphen/>
      </w:r>
      <w:r w:rsidRPr="007614A1" w:rsidR="007614A1">
        <w:t>05</w:t>
      </w:r>
      <w:r w:rsidR="00270999">
        <w:noBreakHyphen/>
      </w:r>
      <w:r w:rsidRPr="007614A1" w:rsidR="007614A1">
        <w:t>044 and D.21</w:t>
      </w:r>
      <w:r w:rsidR="00270999">
        <w:noBreakHyphen/>
      </w:r>
      <w:r w:rsidRPr="007614A1" w:rsidR="007614A1">
        <w:t>11</w:t>
      </w:r>
      <w:r w:rsidR="00270999">
        <w:noBreakHyphen/>
      </w:r>
      <w:r w:rsidRPr="007614A1" w:rsidR="007614A1">
        <w:t>018; however, moderation is warranted to align with the most recent CPI</w:t>
      </w:r>
      <w:r w:rsidR="00270999">
        <w:noBreakHyphen/>
      </w:r>
      <w:r w:rsidRPr="007614A1" w:rsidR="007614A1">
        <w:t xml:space="preserve">U and GDP </w:t>
      </w:r>
      <w:r w:rsidR="00085254">
        <w:t>p</w:t>
      </w:r>
      <w:r w:rsidRPr="007614A1" w:rsidR="007614A1">
        <w:t xml:space="preserve">rice </w:t>
      </w:r>
      <w:r w:rsidR="00085254">
        <w:t>d</w:t>
      </w:r>
      <w:r w:rsidRPr="007614A1" w:rsidR="007614A1">
        <w:t xml:space="preserve">eflator data trends cited by </w:t>
      </w:r>
      <w:r>
        <w:lastRenderedPageBreak/>
        <w:t>Cal Advocates</w:t>
      </w:r>
      <w:r w:rsidRPr="007614A1" w:rsidR="007614A1">
        <w:t>.</w:t>
      </w:r>
      <w:r w:rsidR="006640BC">
        <w:rPr>
          <w:rStyle w:val="FootnoteReference"/>
        </w:rPr>
        <w:footnoteReference w:id="31"/>
      </w:r>
      <w:r w:rsidR="007614A1">
        <w:t xml:space="preserve"> A</w:t>
      </w:r>
      <w:r w:rsidRPr="00CD6C73" w:rsidR="00CD6C73">
        <w:t>lternative escalation methods that incorporate lower inflation assumptions or adjusted demand</w:t>
      </w:r>
      <w:r w:rsidR="00270999">
        <w:noBreakHyphen/>
      </w:r>
      <w:r w:rsidRPr="00CD6C73" w:rsidR="00CD6C73">
        <w:t xml:space="preserve">growth forecasts, as recommended by </w:t>
      </w:r>
      <w:r>
        <w:t>Cal Advocates</w:t>
      </w:r>
      <w:r w:rsidRPr="00CD6C73" w:rsidR="00CD6C73">
        <w:t>, provide a reasonable means of balancing the utility</w:t>
      </w:r>
      <w:r w:rsidR="000C0896">
        <w:t>’</w:t>
      </w:r>
      <w:r w:rsidRPr="00CD6C73" w:rsidR="00CD6C73">
        <w:t>s cost</w:t>
      </w:r>
      <w:r w:rsidR="00270999">
        <w:noBreakHyphen/>
      </w:r>
      <w:r w:rsidRPr="00CD6C73" w:rsidR="00CD6C73">
        <w:t>recovery needs with customer affordability. Such approaches will be considered in future GRCs to ensure that rate projections reflect both economic conditions and efficiency improvements.</w:t>
      </w:r>
      <w:r w:rsidR="00DF4C6E">
        <w:t xml:space="preserve"> </w:t>
      </w:r>
      <w:r w:rsidRPr="00E523C4" w:rsidR="00DF4C6E">
        <w:t>In this proceeding, the Commission adopts a hybrid escalation framework that</w:t>
      </w:r>
      <w:r w:rsidR="000C0896">
        <w:t xml:space="preserve">:  </w:t>
      </w:r>
      <w:r w:rsidR="006237E8">
        <w:t>(1) </w:t>
      </w:r>
      <w:r w:rsidRPr="00E523C4" w:rsidR="00DF4C6E">
        <w:t>applies current Commission labor and non</w:t>
      </w:r>
      <w:r w:rsidR="00270999">
        <w:noBreakHyphen/>
      </w:r>
      <w:r w:rsidRPr="00E523C4" w:rsidR="00DF4C6E">
        <w:t>labor escalation memo factors to the adjusted test</w:t>
      </w:r>
      <w:r w:rsidR="00270999">
        <w:noBreakHyphen/>
      </w:r>
      <w:r w:rsidRPr="00E523C4" w:rsidR="00DF4C6E">
        <w:t xml:space="preserve">year O&amp;M and A&amp;G expense levels; </w:t>
      </w:r>
      <w:r w:rsidR="006237E8">
        <w:t>(2) </w:t>
      </w:r>
      <w:r w:rsidRPr="00E523C4" w:rsidR="00DF4C6E">
        <w:t>excludes balancing</w:t>
      </w:r>
      <w:r w:rsidR="00270999">
        <w:noBreakHyphen/>
      </w:r>
      <w:r w:rsidRPr="00E523C4" w:rsidR="00DF4C6E">
        <w:t>account</w:t>
      </w:r>
      <w:r w:rsidR="00270999">
        <w:noBreakHyphen/>
      </w:r>
      <w:r w:rsidRPr="00E523C4" w:rsidR="00DF4C6E">
        <w:t xml:space="preserve">tracked production costs from generic O&amp;M escalation and instead recovers those costs through the adopted ICBA and </w:t>
      </w:r>
      <w:r w:rsidRPr="00E523C4" w:rsidR="065A9B41">
        <w:t>appropriate</w:t>
      </w:r>
      <w:r w:rsidR="00270999">
        <w:noBreakHyphen/>
      </w:r>
      <w:r w:rsidRPr="00E523C4" w:rsidR="00DF4C6E">
        <w:t xml:space="preserve">tariff mechanisms; and </w:t>
      </w:r>
      <w:r w:rsidR="006237E8">
        <w:t>(3) </w:t>
      </w:r>
      <w:r w:rsidRPr="00E523C4" w:rsidR="00DF4C6E">
        <w:t>uses actuarial forecasts for pension and OPEB expenses.</w:t>
      </w:r>
    </w:p>
    <w:p w:rsidRPr="00CD6C73" w:rsidR="00CD6C73" w:rsidP="005804B5" w:rsidRDefault="00810726" w14:paraId="3EE256B4" w14:textId="5363B29B">
      <w:pPr>
        <w:pStyle w:val="Standard"/>
      </w:pPr>
      <w:r>
        <w:t>W</w:t>
      </w:r>
      <w:r w:rsidRPr="00CD6C73" w:rsidR="00CD6C73">
        <w:t>hile infrastructure investment remains essential to maintain resilience and regulatory compliance, its rate impacts</w:t>
      </w:r>
      <w:r w:rsidR="00AE44B3">
        <w:t xml:space="preserve"> — </w:t>
      </w:r>
      <w:r w:rsidRPr="00CD6C73" w:rsidR="00CD6C73">
        <w:t>particularly on low</w:t>
      </w:r>
      <w:r w:rsidR="00270999">
        <w:noBreakHyphen/>
      </w:r>
      <w:r w:rsidRPr="00CD6C73" w:rsidR="00CD6C73">
        <w:t>income households</w:t>
      </w:r>
      <w:r w:rsidR="00AE44B3">
        <w:t xml:space="preserve"> — </w:t>
      </w:r>
      <w:r w:rsidRPr="00CD6C73" w:rsidR="00CD6C73">
        <w:t xml:space="preserve">must be closely monitored to prevent disproportionate burdens. Accordingly, </w:t>
      </w:r>
      <w:r w:rsidR="00EB50F8">
        <w:t>Cal Water</w:t>
      </w:r>
      <w:r w:rsidRPr="00CD6C73" w:rsidR="00CD6C73">
        <w:t xml:space="preserve"> shall continue to evaluate affordability metrics, including low</w:t>
      </w:r>
      <w:r w:rsidR="00270999">
        <w:noBreakHyphen/>
      </w:r>
      <w:r w:rsidRPr="00CD6C73" w:rsidR="00CD6C73">
        <w:t>income program participation and bill</w:t>
      </w:r>
      <w:r w:rsidR="00270999">
        <w:noBreakHyphen/>
      </w:r>
      <w:r w:rsidRPr="00CD6C73" w:rsidR="00CD6C73">
        <w:t>impact analyses, in future filings.</w:t>
      </w:r>
    </w:p>
    <w:p w:rsidRPr="00CD6C73" w:rsidR="00CD6C73" w:rsidP="005804B5" w:rsidRDefault="00CD6C73" w14:paraId="0C25144E" w14:textId="6262F082">
      <w:pPr>
        <w:pStyle w:val="Standard"/>
      </w:pPr>
      <w:r w:rsidRPr="00CD6C73">
        <w:t xml:space="preserve">Based on the evidentiary record, the Commission concludes that </w:t>
      </w:r>
      <w:r w:rsidR="00EB50F8">
        <w:t>Cal Water</w:t>
      </w:r>
      <w:r w:rsidR="000C0896">
        <w:t>’</w:t>
      </w:r>
      <w:r w:rsidRPr="00CD6C73">
        <w:t>s overall request should be approved in part and adjusted as follows:</w:t>
      </w:r>
    </w:p>
    <w:p w:rsidRPr="00CD6C73" w:rsidR="00CD6C73" w:rsidP="008D5E78" w:rsidRDefault="00CD6C73" w14:paraId="0588B0CF" w14:textId="0B306407">
      <w:pPr>
        <w:pStyle w:val="BlockQuoteBullet1"/>
        <w:numPr>
          <w:ilvl w:val="0"/>
          <w:numId w:val="12"/>
        </w:numPr>
        <w:tabs>
          <w:tab w:val="clear" w:pos="720"/>
        </w:tabs>
        <w:ind w:left="1080"/>
      </w:pPr>
      <w:r w:rsidRPr="00CD6C73">
        <w:t>Adopt the settlement on agreed sub</w:t>
      </w:r>
      <w:r w:rsidR="00270999">
        <w:noBreakHyphen/>
      </w:r>
      <w:r w:rsidRPr="00CD6C73">
        <w:t>issues.</w:t>
      </w:r>
    </w:p>
    <w:p w:rsidRPr="00CD6C73" w:rsidR="00CD6C73" w:rsidP="008D5E78" w:rsidRDefault="00CD6C73" w14:paraId="67F398B7" w14:textId="0A656214">
      <w:pPr>
        <w:pStyle w:val="BlockQuoteBullet1"/>
        <w:numPr>
          <w:ilvl w:val="0"/>
          <w:numId w:val="12"/>
        </w:numPr>
        <w:tabs>
          <w:tab w:val="clear" w:pos="720"/>
        </w:tabs>
        <w:ind w:left="1080"/>
      </w:pPr>
      <w:r w:rsidRPr="00CD6C73">
        <w:t xml:space="preserve">Approve escalation factors but apply moderated adjustments where </w:t>
      </w:r>
      <w:r w:rsidR="00EB50F8">
        <w:t>Cal Advocates</w:t>
      </w:r>
      <w:r w:rsidR="000C0896">
        <w:t>’</w:t>
      </w:r>
      <w:r w:rsidRPr="00CD6C73">
        <w:t xml:space="preserve"> empirical data support lower inflation or demand</w:t>
      </w:r>
      <w:r w:rsidR="00270999">
        <w:noBreakHyphen/>
      </w:r>
      <w:r w:rsidRPr="00CD6C73">
        <w:t>growth assumptions.</w:t>
      </w:r>
    </w:p>
    <w:p w:rsidRPr="00CD6C73" w:rsidR="00CD6C73" w:rsidP="008D5E78" w:rsidRDefault="00CD6C73" w14:paraId="07368212" w14:textId="572A5E00">
      <w:pPr>
        <w:pStyle w:val="BlockQuoteBullet1"/>
        <w:numPr>
          <w:ilvl w:val="0"/>
          <w:numId w:val="12"/>
        </w:numPr>
        <w:tabs>
          <w:tab w:val="clear" w:pos="720"/>
        </w:tabs>
        <w:ind w:left="1080"/>
      </w:pPr>
      <w:r w:rsidRPr="00CD6C73">
        <w:lastRenderedPageBreak/>
        <w:t xml:space="preserve">Direct </w:t>
      </w:r>
      <w:r w:rsidR="00EB50F8">
        <w:t>Cal Water</w:t>
      </w:r>
      <w:r w:rsidRPr="00CD6C73">
        <w:t xml:space="preserve"> to include affordability and bill</w:t>
      </w:r>
      <w:r w:rsidR="00270999">
        <w:noBreakHyphen/>
      </w:r>
      <w:r w:rsidRPr="00CD6C73">
        <w:t>impact assessments in its next GRC application.</w:t>
      </w:r>
    </w:p>
    <w:p w:rsidRPr="00E523C4" w:rsidR="00DF4C6E" w:rsidP="005804B5" w:rsidRDefault="00DF4C6E" w14:paraId="2F807C7C" w14:textId="525FE719">
      <w:pPr>
        <w:pStyle w:val="Standard"/>
      </w:pPr>
      <w:r w:rsidRPr="00E523C4">
        <w:t>For purposes of the RO Model and implementing the adopted rate increases, the Commission further directs that:</w:t>
      </w:r>
    </w:p>
    <w:p w:rsidRPr="00E523C4" w:rsidR="00DF4C6E" w:rsidP="008D5E78" w:rsidRDefault="00EB50F8" w14:paraId="22785226" w14:textId="284B8969">
      <w:pPr>
        <w:pStyle w:val="BlockQuoteBullet1"/>
        <w:numPr>
          <w:ilvl w:val="0"/>
          <w:numId w:val="12"/>
        </w:numPr>
        <w:tabs>
          <w:tab w:val="clear" w:pos="720"/>
        </w:tabs>
        <w:ind w:left="1080"/>
      </w:pPr>
      <w:r>
        <w:t>Cal Water</w:t>
      </w:r>
      <w:r w:rsidRPr="00E523C4" w:rsidR="00DF4C6E">
        <w:t xml:space="preserve"> shall calculate the TY and EY revenue requirements using</w:t>
      </w:r>
      <w:r w:rsidR="000C051D">
        <w:t xml:space="preserve">: </w:t>
      </w:r>
      <w:r w:rsidRPr="00E523C4" w:rsidR="00DF4C6E">
        <w:t xml:space="preserve"> </w:t>
      </w:r>
      <w:r w:rsidR="000C051D">
        <w:t>(a) </w:t>
      </w:r>
      <w:r w:rsidRPr="00E523C4" w:rsidR="00DF4C6E">
        <w:t xml:space="preserve">the O&amp;M and A&amp;G expense levels adopted in Scoped </w:t>
      </w:r>
      <w:r w:rsidR="009D287A">
        <w:t>Issue #</w:t>
      </w:r>
      <w:r w:rsidRPr="00E523C4" w:rsidR="00DF4C6E">
        <w:t>2, escalated using the most recent Commission labor and non</w:t>
      </w:r>
      <w:r w:rsidR="00270999">
        <w:noBreakHyphen/>
      </w:r>
      <w:r w:rsidRPr="00E523C4" w:rsidR="00DF4C6E">
        <w:t xml:space="preserve">labor escalation memo factors available at the time the RO Model is finalized; </w:t>
      </w:r>
      <w:r w:rsidR="000C051D">
        <w:t>(b) </w:t>
      </w:r>
      <w:r w:rsidRPr="00E523C4" w:rsidR="00DF4C6E">
        <w:t>the capital</w:t>
      </w:r>
      <w:r w:rsidR="00270999">
        <w:noBreakHyphen/>
      </w:r>
      <w:r w:rsidRPr="00E523C4" w:rsidR="00DF4C6E">
        <w:t xml:space="preserve">related inputs (utility plant in service, IDC/AFUDC rate, depreciation) adopted in Scoped </w:t>
      </w:r>
      <w:r w:rsidR="009D287A">
        <w:t>Issue #</w:t>
      </w:r>
      <w:r w:rsidRPr="00E523C4" w:rsidR="00DF4C6E">
        <w:t xml:space="preserve">3; and </w:t>
      </w:r>
      <w:r w:rsidR="000E62D1">
        <w:t>(c) </w:t>
      </w:r>
      <w:r w:rsidRPr="00E523C4" w:rsidR="00DF4C6E">
        <w:t>the revenue</w:t>
      </w:r>
      <w:r w:rsidR="00270999">
        <w:noBreakHyphen/>
      </w:r>
      <w:r w:rsidRPr="00E523C4" w:rsidR="00DF4C6E">
        <w:t>requirement methodology and rate</w:t>
      </w:r>
      <w:r w:rsidR="00270999">
        <w:noBreakHyphen/>
      </w:r>
      <w:r w:rsidRPr="00E523C4" w:rsidR="00DF4C6E">
        <w:t>design assumptions adopted in Scoped Issues #4 and #5.</w:t>
      </w:r>
    </w:p>
    <w:p w:rsidRPr="00E523C4" w:rsidR="00DF4C6E" w:rsidP="008D5E78" w:rsidRDefault="00EB50F8" w14:paraId="705B223D" w14:textId="74E35A88">
      <w:pPr>
        <w:pStyle w:val="BlockQuoteBullet1"/>
        <w:numPr>
          <w:ilvl w:val="0"/>
          <w:numId w:val="12"/>
        </w:numPr>
        <w:tabs>
          <w:tab w:val="clear" w:pos="720"/>
        </w:tabs>
        <w:ind w:left="1080"/>
      </w:pPr>
      <w:r>
        <w:t>Cal Water</w:t>
      </w:r>
      <w:r w:rsidRPr="00E523C4" w:rsidR="00DF4C6E">
        <w:t xml:space="preserve"> shall not apply generic O&amp;M escalation factors to production</w:t>
      </w:r>
      <w:r w:rsidR="00270999">
        <w:noBreakHyphen/>
      </w:r>
      <w:r w:rsidRPr="00E523C4" w:rsidR="00DF4C6E">
        <w:t xml:space="preserve">related costs that are recovered through balancing accounts or purveyor </w:t>
      </w:r>
      <w:r w:rsidRPr="00E523C4" w:rsidR="00C93329">
        <w:t>tariffs, but</w:t>
      </w:r>
      <w:r w:rsidRPr="00E523C4" w:rsidR="00DF4C6E">
        <w:t xml:space="preserve"> shall instead model those costs using the adopted balancing</w:t>
      </w:r>
      <w:r w:rsidR="00270999">
        <w:noBreakHyphen/>
      </w:r>
      <w:r w:rsidRPr="00E523C4" w:rsidR="00DF4C6E">
        <w:t>account structures and tariff</w:t>
      </w:r>
      <w:r w:rsidR="00270999">
        <w:noBreakHyphen/>
      </w:r>
      <w:r w:rsidRPr="00E523C4" w:rsidR="00DF4C6E">
        <w:t>based unit prices.</w:t>
      </w:r>
    </w:p>
    <w:p w:rsidRPr="00E523C4" w:rsidR="00DF4C6E" w:rsidP="008D5E78" w:rsidRDefault="00DF4C6E" w14:paraId="77B647DE" w14:textId="64851D1D">
      <w:pPr>
        <w:pStyle w:val="BlockQuoteBullet1"/>
        <w:numPr>
          <w:ilvl w:val="0"/>
          <w:numId w:val="12"/>
        </w:numPr>
        <w:tabs>
          <w:tab w:val="clear" w:pos="720"/>
        </w:tabs>
        <w:ind w:left="1080"/>
      </w:pPr>
      <w:r w:rsidRPr="00E523C4">
        <w:t>The resulting systemwide and district</w:t>
      </w:r>
      <w:r w:rsidR="00270999">
        <w:noBreakHyphen/>
      </w:r>
      <w:r w:rsidRPr="00E523C4">
        <w:t>specific percentage rate increases for the TY and EYs shall be those produced by the RO Model when it is populated with the adopted inputs described above, and those values shall control over any illustrative figures previously presented in party testimony.</w:t>
      </w:r>
    </w:p>
    <w:p w:rsidRPr="00E523C4" w:rsidR="00CD6C73" w:rsidP="005804B5" w:rsidRDefault="00CD6C73" w14:paraId="51289AFE" w14:textId="6EC33955">
      <w:pPr>
        <w:pStyle w:val="Standard"/>
      </w:pPr>
      <w:r w:rsidRPr="00E523C4">
        <w:t>This outcome balances prudent cost recovery, infrastructure investment, and ratepayer protection. It upholds the Commission</w:t>
      </w:r>
      <w:r w:rsidR="000C0896">
        <w:t>’</w:t>
      </w:r>
      <w:r w:rsidRPr="00E523C4">
        <w:t xml:space="preserve">s statutory mandate to ensure that rates are just and reasonable, consistent with precedent in prior </w:t>
      </w:r>
      <w:r w:rsidR="00EB50F8">
        <w:t>Cal Water</w:t>
      </w:r>
      <w:r w:rsidRPr="00E523C4">
        <w:t xml:space="preserve"> GRC decisions such as </w:t>
      </w:r>
      <w:r w:rsidR="005D1097">
        <w:t>D.</w:t>
      </w:r>
      <w:r w:rsidRPr="00E523C4">
        <w:t>19</w:t>
      </w:r>
      <w:r w:rsidR="00270999">
        <w:noBreakHyphen/>
      </w:r>
      <w:r w:rsidRPr="00E523C4">
        <w:t>05</w:t>
      </w:r>
      <w:r w:rsidR="00270999">
        <w:noBreakHyphen/>
      </w:r>
      <w:r w:rsidRPr="00E523C4">
        <w:t>044, and advances the state</w:t>
      </w:r>
      <w:r w:rsidR="000C0896">
        <w:t>’</w:t>
      </w:r>
      <w:r w:rsidRPr="00E523C4">
        <w:t>s broader policy objectives for affordability, reliability, and long</w:t>
      </w:r>
      <w:r w:rsidR="00270999">
        <w:noBreakHyphen/>
      </w:r>
      <w:r w:rsidRPr="00E523C4">
        <w:t>term system resilience.</w:t>
      </w:r>
    </w:p>
    <w:p w:rsidR="00747E8A" w:rsidP="00747E8A" w:rsidRDefault="00747E8A" w14:paraId="267B2BEA" w14:textId="586D4276">
      <w:pPr>
        <w:pStyle w:val="Heading2"/>
      </w:pPr>
      <w:bookmarkStart w:name="_Toc222305251" w:id="56"/>
      <w:bookmarkStart w:name="_Toc228294675" w:id="57"/>
      <w:r>
        <w:lastRenderedPageBreak/>
        <w:t xml:space="preserve">Scoped </w:t>
      </w:r>
      <w:r w:rsidR="009D287A">
        <w:t>Issue #</w:t>
      </w:r>
      <w:r>
        <w:t>2</w:t>
      </w:r>
      <w:r w:rsidR="000C0896">
        <w:t xml:space="preserve">:  </w:t>
      </w:r>
      <w:r w:rsidRPr="003C3377" w:rsidR="00826D3F">
        <w:t xml:space="preserve">Whether </w:t>
      </w:r>
      <w:r w:rsidRPr="001A36AE" w:rsidR="001A36AE">
        <w:t>California Water Service Company</w:t>
      </w:r>
      <w:r w:rsidR="000C0896">
        <w:t>’</w:t>
      </w:r>
      <w:r w:rsidRPr="003C3377" w:rsidR="00826D3F">
        <w:t xml:space="preserve">s </w:t>
      </w:r>
      <w:r w:rsidRPr="003C3377" w:rsidR="006706BB">
        <w:t xml:space="preserve">Estimates </w:t>
      </w:r>
      <w:r w:rsidRPr="003C3377" w:rsidR="00826D3F">
        <w:t xml:space="preserve">of </w:t>
      </w:r>
      <w:r w:rsidRPr="003C3377" w:rsidR="006706BB">
        <w:t xml:space="preserve">Its Operation </w:t>
      </w:r>
      <w:r w:rsidRPr="003C3377" w:rsidR="00826D3F">
        <w:t xml:space="preserve">and </w:t>
      </w:r>
      <w:r w:rsidRPr="003C3377" w:rsidR="006706BB">
        <w:t>Maintenance</w:t>
      </w:r>
      <w:r w:rsidRPr="003C3377" w:rsidR="00826D3F">
        <w:t xml:space="preserve">, and </w:t>
      </w:r>
      <w:r w:rsidRPr="003C3377" w:rsidR="006706BB">
        <w:t xml:space="preserve">Administrative </w:t>
      </w:r>
      <w:r w:rsidRPr="003C3377" w:rsidR="00826D3F">
        <w:t xml:space="preserve">and </w:t>
      </w:r>
      <w:r w:rsidRPr="003C3377" w:rsidR="006706BB">
        <w:t>General Expenses Are Reasonable</w:t>
      </w:r>
      <w:bookmarkEnd w:id="56"/>
      <w:bookmarkEnd w:id="57"/>
    </w:p>
    <w:p w:rsidRPr="007721B8" w:rsidR="007721B8" w:rsidP="005804B5" w:rsidRDefault="00EB50F8" w14:paraId="29000C2D" w14:textId="3C21FEC0">
      <w:pPr>
        <w:pStyle w:val="Standard"/>
      </w:pPr>
      <w:r>
        <w:t>Cal Water</w:t>
      </w:r>
      <w:r w:rsidRPr="007721B8" w:rsidR="007721B8">
        <w:t xml:space="preserve"> seeks Commission approval of its forecasted O&amp;M and A&amp;G expenses for the test years. </w:t>
      </w:r>
      <w:r>
        <w:t>Cal Water</w:t>
      </w:r>
      <w:r w:rsidRPr="007721B8" w:rsidR="007721B8">
        <w:t xml:space="preserve"> contends that its forecasts are reasonable</w:t>
      </w:r>
      <w:r w:rsidRPr="007721B8" w:rsidR="2B0701C7">
        <w:t xml:space="preserve"> and </w:t>
      </w:r>
      <w:r w:rsidRPr="007721B8" w:rsidR="007721B8">
        <w:t xml:space="preserve">prudent. According to </w:t>
      </w:r>
      <w:r>
        <w:t>Cal Water</w:t>
      </w:r>
      <w:r w:rsidRPr="007721B8" w:rsidR="007721B8">
        <w:t>, the expense estimates reflect inflation, labor market conditions, and increased regulatory and environmental compliance obligations.</w:t>
      </w:r>
      <w:r w:rsidR="006640BC">
        <w:rPr>
          <w:rStyle w:val="FootnoteReference"/>
        </w:rPr>
        <w:footnoteReference w:id="32"/>
      </w:r>
      <w:r w:rsidRPr="007721B8" w:rsidR="007721B8">
        <w:t xml:space="preserve"> </w:t>
      </w:r>
      <w:r>
        <w:t>Cal Water</w:t>
      </w:r>
      <w:r w:rsidRPr="007721B8" w:rsidR="007721B8">
        <w:t xml:space="preserve"> emphasizes that its methodology is forward</w:t>
      </w:r>
      <w:r w:rsidR="00270999">
        <w:noBreakHyphen/>
      </w:r>
      <w:r w:rsidRPr="007721B8" w:rsidR="007721B8">
        <w:t>looking, grounded in operational realities, and consistent with its past ratemaking treatment.</w:t>
      </w:r>
    </w:p>
    <w:p w:rsidRPr="007721B8" w:rsidR="007721B8" w:rsidP="005804B5" w:rsidRDefault="00EB50F8" w14:paraId="01DFEC66" w14:textId="55385FF8">
      <w:pPr>
        <w:pStyle w:val="Standard"/>
      </w:pPr>
      <w:r>
        <w:t>Cal Advocates</w:t>
      </w:r>
      <w:r w:rsidRPr="007721B8" w:rsidR="007721B8">
        <w:t xml:space="preserve"> challenges </w:t>
      </w:r>
      <w:r>
        <w:t>Cal Water</w:t>
      </w:r>
      <w:r w:rsidR="000C0896">
        <w:t>’</w:t>
      </w:r>
      <w:r w:rsidRPr="007721B8" w:rsidR="007721B8">
        <w:t>s forecasts as overstated and insufficiently supported, asserting that several increases depart materially from historical spending patterns without adequate justification</w:t>
      </w:r>
      <w:r w:rsidR="006640BC">
        <w:t>.</w:t>
      </w:r>
      <w:r w:rsidR="006640BC">
        <w:rPr>
          <w:rStyle w:val="FootnoteReference"/>
        </w:rPr>
        <w:footnoteReference w:id="33"/>
      </w:r>
      <w:r w:rsidRPr="007721B8" w:rsidR="007721B8">
        <w:t xml:space="preserve"> </w:t>
      </w:r>
      <w:r>
        <w:t>Cal Advocates</w:t>
      </w:r>
      <w:r w:rsidRPr="007721B8" w:rsidR="007721B8">
        <w:t xml:space="preserve"> recommends reductions across multiple expense categories, arguing that the Commission should rely primarily on historical averages adjusted for inflation to ensure that ratepayers are not burdened by speculative cost projections.</w:t>
      </w:r>
    </w:p>
    <w:p w:rsidRPr="007721B8" w:rsidR="007721B8" w:rsidP="005804B5" w:rsidRDefault="007721B8" w14:paraId="067CB490" w14:textId="3FAE7F56">
      <w:pPr>
        <w:pStyle w:val="Standard"/>
      </w:pPr>
      <w:r w:rsidRPr="007721B8">
        <w:t xml:space="preserve">NAWC supports </w:t>
      </w:r>
      <w:r w:rsidR="00EB50F8">
        <w:t>Cal Water</w:t>
      </w:r>
      <w:r w:rsidR="000C0896">
        <w:t>’</w:t>
      </w:r>
      <w:r w:rsidRPr="007721B8">
        <w:t>s approach, contending that the forecasts appropriately account for inflationary and regulatory cost pressures that are affecting water utilities industry</w:t>
      </w:r>
      <w:r w:rsidR="00270999">
        <w:noBreakHyphen/>
      </w:r>
      <w:r w:rsidRPr="007721B8">
        <w:t>wide.</w:t>
      </w:r>
      <w:r w:rsidR="006640BC">
        <w:rPr>
          <w:rStyle w:val="FootnoteReference"/>
        </w:rPr>
        <w:footnoteReference w:id="34"/>
      </w:r>
      <w:r w:rsidRPr="007721B8">
        <w:t xml:space="preserve"> CWA, in its reply comments, similarly emphasizes the need for regulatory consistency in approving reasonable expense forecasts to promote industry stability.</w:t>
      </w:r>
    </w:p>
    <w:p w:rsidRPr="00E523C4" w:rsidR="00E72D62" w:rsidP="005804B5" w:rsidRDefault="007721B8" w14:paraId="492754DD" w14:textId="5FAE51A5">
      <w:pPr>
        <w:pStyle w:val="Standard"/>
      </w:pPr>
      <w:r w:rsidRPr="007721B8">
        <w:lastRenderedPageBreak/>
        <w:t>This issue encompasses both settled and disputed sub</w:t>
      </w:r>
      <w:r w:rsidR="00FD6045">
        <w:noBreakHyphen/>
      </w:r>
      <w:r w:rsidRPr="007721B8">
        <w:t>issues. Portions of the issue were resolved through the Partial Settlement Agreement and the accompanying Undisputed Issues List. The remaining contested elements are addressed below.</w:t>
      </w:r>
      <w:r w:rsidR="00B03044">
        <w:t xml:space="preserve"> </w:t>
      </w:r>
      <w:r w:rsidRPr="00E523C4" w:rsidR="00E72D62">
        <w:t>We clarify that adopted Test Year O&amp;M amounts exclude costs attributable to district</w:t>
      </w:r>
      <w:r w:rsidR="00270999">
        <w:noBreakHyphen/>
      </w:r>
      <w:r w:rsidRPr="00E523C4" w:rsidR="00E72D62">
        <w:t xml:space="preserve">level capital projects that the Commission denies or defers for cost recovery, consistent with </w:t>
      </w:r>
      <w:r w:rsidR="009A779A">
        <w:t>Appendices </w:t>
      </w:r>
      <w:r w:rsidR="00341211">
        <w:t>A</w:t>
      </w:r>
      <w:r w:rsidR="009A779A">
        <w:t xml:space="preserve"> </w:t>
      </w:r>
      <w:r w:rsidR="00092737">
        <w:t>through </w:t>
      </w:r>
      <w:r w:rsidR="00341211">
        <w:t>X</w:t>
      </w:r>
      <w:r w:rsidRPr="00E523C4" w:rsidR="00E72D62">
        <w:t xml:space="preserve"> and the revenue requirement model.</w:t>
      </w:r>
    </w:p>
    <w:p w:rsidRPr="00E523C4" w:rsidR="00403723" w:rsidP="005804B5" w:rsidRDefault="00B03044" w14:paraId="7908842E" w14:textId="295638DB">
      <w:pPr>
        <w:pStyle w:val="Standard"/>
      </w:pPr>
      <w:r w:rsidRPr="00E523C4">
        <w:t>In addition, this section sets forth the specific forecasting methodology and screening criteria the Commission adopts for production</w:t>
      </w:r>
      <w:r w:rsidR="00270999">
        <w:noBreakHyphen/>
      </w:r>
      <w:r w:rsidRPr="00E523C4">
        <w:t>related O&amp;M accounts and certain other O&amp;M and A&amp;G categories, including the sales forecast used to derive those expenses.</w:t>
      </w:r>
    </w:p>
    <w:p w:rsidR="00747E8A" w:rsidP="00747E8A" w:rsidRDefault="00747E8A" w14:paraId="7F4A5DF0" w14:textId="7728D1E2">
      <w:pPr>
        <w:pStyle w:val="Heading3"/>
      </w:pPr>
      <w:bookmarkStart w:name="_Toc222305252" w:id="58"/>
      <w:bookmarkStart w:name="_Toc228294676" w:id="59"/>
      <w:r>
        <w:t>Partial Settlement</w:t>
      </w:r>
      <w:bookmarkEnd w:id="58"/>
      <w:bookmarkEnd w:id="59"/>
    </w:p>
    <w:p w:rsidR="00CE0158" w:rsidP="005804B5" w:rsidRDefault="007721B8" w14:paraId="48A69397" w14:textId="606BE459">
      <w:pPr>
        <w:pStyle w:val="Standard"/>
      </w:pPr>
      <w:r w:rsidRPr="00E523C4">
        <w:t xml:space="preserve">Several O&amp;M and A&amp;G categories were resolved through the Partial Settlement Agreement, </w:t>
      </w:r>
      <w:r w:rsidRPr="00E523C4" w:rsidR="008D6E33">
        <w:t>including general office expenses and administrative salaries, with remaining contested O&amp;M and A&amp;G components addressed below, including certain production</w:t>
      </w:r>
      <w:r w:rsidR="00270999">
        <w:noBreakHyphen/>
      </w:r>
      <w:r w:rsidRPr="00E523C4" w:rsidR="008D6E33">
        <w:t>related accounts and other disputed expense categories</w:t>
      </w:r>
      <w:r w:rsidRPr="00E523C4">
        <w:t>.</w:t>
      </w:r>
      <w:r w:rsidRPr="00E523C4" w:rsidR="006640BC">
        <w:rPr>
          <w:rStyle w:val="FootnoteReference"/>
        </w:rPr>
        <w:footnoteReference w:id="35"/>
      </w:r>
      <w:r w:rsidRPr="00E523C4" w:rsidR="001E255A">
        <w:t xml:space="preserve"> What follows is an analysis of the unsettled portions of this scoped issue, </w:t>
      </w:r>
      <w:r w:rsidRPr="00E523C4">
        <w:t xml:space="preserve">principally those concerning </w:t>
      </w:r>
      <w:r w:rsidR="00EB50F8">
        <w:t>Cal Water</w:t>
      </w:r>
      <w:r w:rsidR="000C0896">
        <w:t>’</w:t>
      </w:r>
      <w:r w:rsidRPr="00E523C4">
        <w:t>s escalation assumptions and select expense categories such as chemicals, purchased power, and customer service costs.</w:t>
      </w:r>
    </w:p>
    <w:p w:rsidR="00747E8A" w:rsidP="00747E8A" w:rsidRDefault="00747E8A" w14:paraId="78E3ED5E" w14:textId="0AADCD38">
      <w:pPr>
        <w:pStyle w:val="Heading3"/>
      </w:pPr>
      <w:bookmarkStart w:name="_Toc222305253" w:id="60"/>
      <w:bookmarkStart w:name="_Toc228294677" w:id="61"/>
      <w:r>
        <w:t>Analysis</w:t>
      </w:r>
      <w:bookmarkEnd w:id="60"/>
      <w:bookmarkEnd w:id="61"/>
    </w:p>
    <w:p w:rsidRPr="007721B8" w:rsidR="007721B8" w:rsidP="007721B8" w:rsidRDefault="007721B8" w14:paraId="52EF4D5B" w14:textId="2E5726D4">
      <w:pPr>
        <w:pStyle w:val="Standard"/>
        <w:tabs>
          <w:tab w:val="left" w:pos="2031"/>
        </w:tabs>
      </w:pPr>
      <w:r w:rsidRPr="007721B8">
        <w:t xml:space="preserve">Under </w:t>
      </w:r>
      <w:r w:rsidR="003A5B7D">
        <w:t>Pub. Util.</w:t>
      </w:r>
      <w:r w:rsidRPr="007721B8">
        <w:t xml:space="preserve"> Code </w:t>
      </w:r>
      <w:r w:rsidR="004E5107">
        <w:t>Section </w:t>
      </w:r>
      <w:r w:rsidRPr="007721B8">
        <w:t xml:space="preserve">451, all utility rates and charges must be </w:t>
      </w:r>
      <w:r w:rsidR="00A23D11">
        <w:t>“</w:t>
      </w:r>
      <w:r w:rsidRPr="007721B8">
        <w:t>just and reasonable,</w:t>
      </w:r>
      <w:r w:rsidR="00A23D11">
        <w:t>”</w:t>
      </w:r>
      <w:r w:rsidRPr="007721B8">
        <w:t xml:space="preserve"> and utilities must demonstrate that their proposed costs are necessary and prudently incurred. Under </w:t>
      </w:r>
      <w:r w:rsidR="003A5B7D">
        <w:t>Pub. Util.</w:t>
      </w:r>
      <w:r w:rsidRPr="00AA2770" w:rsidR="00AA2770">
        <w:t xml:space="preserve"> </w:t>
      </w:r>
      <w:r w:rsidR="00AA2770">
        <w:t xml:space="preserve">Code </w:t>
      </w:r>
      <w:r w:rsidR="004E5107">
        <w:t>Section </w:t>
      </w:r>
      <w:r w:rsidRPr="007721B8">
        <w:t xml:space="preserve">454(a), the </w:t>
      </w:r>
      <w:r w:rsidRPr="007721B8">
        <w:lastRenderedPageBreak/>
        <w:t>utility bears the burden of proving that its requested rate changes, including those based on O&amp;M and A&amp;G expenses, are justified.</w:t>
      </w:r>
    </w:p>
    <w:p w:rsidR="007721B8" w:rsidP="007721B8" w:rsidRDefault="007721B8" w14:paraId="5F34AF84" w14:textId="20EE05E2">
      <w:pPr>
        <w:pStyle w:val="Standard"/>
      </w:pPr>
      <w:r w:rsidRPr="007721B8">
        <w:t>The Commission</w:t>
      </w:r>
      <w:r w:rsidR="000C0896">
        <w:t>’</w:t>
      </w:r>
      <w:r w:rsidRPr="007721B8">
        <w:t xml:space="preserve">s </w:t>
      </w:r>
      <w:r w:rsidR="00A646D8">
        <w:t>reaffirmed,</w:t>
      </w:r>
      <w:r w:rsidRPr="007721B8" w:rsidR="00A646D8">
        <w:t xml:space="preserve"> </w:t>
      </w:r>
      <w:r w:rsidRPr="007721B8">
        <w:t>in D.19</w:t>
      </w:r>
      <w:r w:rsidR="00270999">
        <w:noBreakHyphen/>
      </w:r>
      <w:r w:rsidRPr="007721B8">
        <w:t>05</w:t>
      </w:r>
      <w:r w:rsidR="00270999">
        <w:noBreakHyphen/>
      </w:r>
      <w:r w:rsidRPr="007721B8">
        <w:t xml:space="preserve">044 (2018 </w:t>
      </w:r>
      <w:r w:rsidR="00EB50F8">
        <w:t>Cal Water</w:t>
      </w:r>
      <w:r w:rsidRPr="007721B8">
        <w:t xml:space="preserve"> </w:t>
      </w:r>
      <w:r w:rsidR="0008334E">
        <w:t>GRC</w:t>
      </w:r>
      <w:r w:rsidRPr="007721B8">
        <w:t>)</w:t>
      </w:r>
      <w:r w:rsidR="00A646D8">
        <w:t>,</w:t>
      </w:r>
      <w:r w:rsidRPr="007721B8">
        <w:t xml:space="preserve"> that a utility bears the burden to establish the reasonableness of its expense forecasts and that the Commission may test those forecasts using recorded data and historical averages. Similarly, D.04</w:t>
      </w:r>
      <w:r w:rsidR="00270999">
        <w:noBreakHyphen/>
      </w:r>
      <w:r w:rsidRPr="007721B8">
        <w:t>07</w:t>
      </w:r>
      <w:r w:rsidR="00270999">
        <w:noBreakHyphen/>
      </w:r>
      <w:r w:rsidRPr="007721B8">
        <w:t>022 (</w:t>
      </w:r>
      <w:r w:rsidR="004941FE">
        <w:t>San </w:t>
      </w:r>
      <w:r w:rsidR="00DC77E7">
        <w:t>Diego Gas</w:t>
      </w:r>
      <w:r w:rsidR="00AE2539">
        <w:t xml:space="preserve"> &amp; </w:t>
      </w:r>
      <w:r w:rsidR="00DC77E7">
        <w:t>Electric</w:t>
      </w:r>
      <w:r w:rsidR="004F1593">
        <w:t xml:space="preserve"> Company</w:t>
      </w:r>
      <w:r w:rsidR="00DC77E7">
        <w:t xml:space="preserve"> </w:t>
      </w:r>
      <w:r w:rsidRPr="007721B8">
        <w:t>GRC) emphasized the Commission</w:t>
      </w:r>
      <w:r w:rsidR="000C0896">
        <w:t>’</w:t>
      </w:r>
      <w:r w:rsidRPr="007721B8">
        <w:t>s duty to balance forward</w:t>
      </w:r>
      <w:r w:rsidR="00270999">
        <w:noBreakHyphen/>
      </w:r>
      <w:r w:rsidRPr="007721B8">
        <w:t>looking estimates with protection for ratepayers against speculative or inflated projections.</w:t>
      </w:r>
    </w:p>
    <w:p w:rsidRPr="007721B8" w:rsidR="007721B8" w:rsidP="007721B8" w:rsidRDefault="00EB50F8" w14:paraId="1EA24DDA" w14:textId="1C47EC6C">
      <w:pPr>
        <w:pStyle w:val="Standard"/>
      </w:pPr>
      <w:r>
        <w:t>Cal Water</w:t>
      </w:r>
      <w:r w:rsidRPr="007721B8" w:rsidR="007721B8">
        <w:t xml:space="preserve"> defends its O&amp;M and A&amp;G forecasts as prudent and necessary to maintain safe, reliable service and compliance with water quality regulations. It contends that the forecasts were developed using an integrated budgeting process that applies escalation factors derived from inflation indices, labor agreements, and vendor contracts.</w:t>
      </w:r>
      <w:r w:rsidR="006640BC">
        <w:rPr>
          <w:rStyle w:val="FootnoteReference"/>
        </w:rPr>
        <w:footnoteReference w:id="36"/>
      </w:r>
      <w:r w:rsidRPr="007721B8" w:rsidR="007721B8">
        <w:t xml:space="preserve"> </w:t>
      </w:r>
      <w:r>
        <w:t>Cal Water</w:t>
      </w:r>
      <w:r w:rsidRPr="007721B8" w:rsidR="007721B8">
        <w:t xml:space="preserve"> argues that reliance solely on historical averages fails to capture current and anticipated market conditions, particularly in areas of chemical procurement, purchased power, and employee compensation.</w:t>
      </w:r>
      <w:r w:rsidR="006640BC">
        <w:rPr>
          <w:rStyle w:val="FootnoteReference"/>
        </w:rPr>
        <w:footnoteReference w:id="37"/>
      </w:r>
    </w:p>
    <w:p w:rsidR="007721B8" w:rsidP="007721B8" w:rsidRDefault="00EB50F8" w14:paraId="53915785" w14:textId="1348DE91">
      <w:pPr>
        <w:pStyle w:val="Standard"/>
      </w:pPr>
      <w:r>
        <w:t>Cal Water</w:t>
      </w:r>
      <w:r w:rsidRPr="007721B8" w:rsidR="007721B8">
        <w:t xml:space="preserve"> also asserts that several of its forecasted increases are mandated by external regulatory requirements. For example, </w:t>
      </w:r>
      <w:r>
        <w:t>Cal Water</w:t>
      </w:r>
      <w:r w:rsidRPr="007721B8" w:rsidR="007721B8">
        <w:t xml:space="preserve"> identifies additional O&amp;M costs associated with compliance monitoring, cybersecurity improvements, and workplace safety standards.</w:t>
      </w:r>
      <w:r w:rsidR="006640BC">
        <w:rPr>
          <w:rStyle w:val="FootnoteReference"/>
        </w:rPr>
        <w:footnoteReference w:id="38"/>
      </w:r>
      <w:r w:rsidRPr="007721B8" w:rsidR="007721B8">
        <w:t xml:space="preserve"> </w:t>
      </w:r>
      <w:r>
        <w:t>Cal Water</w:t>
      </w:r>
      <w:r w:rsidRPr="007721B8" w:rsidR="007721B8">
        <w:t xml:space="preserve"> further points to Commission precedent in D.19</w:t>
      </w:r>
      <w:r w:rsidR="00270999">
        <w:noBreakHyphen/>
      </w:r>
      <w:r w:rsidRPr="007721B8" w:rsidR="007721B8">
        <w:t>05</w:t>
      </w:r>
      <w:r w:rsidR="00270999">
        <w:noBreakHyphen/>
      </w:r>
      <w:r w:rsidRPr="007721B8" w:rsidR="007721B8">
        <w:t xml:space="preserve">044, where the Commission recognized the </w:t>
      </w:r>
      <w:r w:rsidRPr="007721B8" w:rsidR="007721B8">
        <w:lastRenderedPageBreak/>
        <w:t>necessity of forward</w:t>
      </w:r>
      <w:r w:rsidR="00270999">
        <w:noBreakHyphen/>
      </w:r>
      <w:r w:rsidRPr="007721B8" w:rsidR="007721B8">
        <w:t>looking O&amp;M escalation to account for inflation and regulatory obligations.</w:t>
      </w:r>
      <w:r w:rsidR="006640BC">
        <w:rPr>
          <w:rStyle w:val="FootnoteReference"/>
        </w:rPr>
        <w:footnoteReference w:id="39"/>
      </w:r>
    </w:p>
    <w:p w:rsidRPr="007721B8" w:rsidR="00F669AA" w:rsidP="007721B8" w:rsidRDefault="00F669AA" w14:paraId="1C3F83AC" w14:textId="20DB04B6">
      <w:pPr>
        <w:pStyle w:val="Standard"/>
      </w:pPr>
      <w:r w:rsidRPr="00F669AA">
        <w:t xml:space="preserve">In addition, </w:t>
      </w:r>
      <w:r w:rsidR="00EB50F8">
        <w:t>Cal Water</w:t>
      </w:r>
      <w:r w:rsidRPr="00F669AA">
        <w:t xml:space="preserve"> explains that its O&amp;M increases reflect compliance with the State Water Resources Control Board</w:t>
      </w:r>
      <w:r w:rsidR="000C0896">
        <w:t>’</w:t>
      </w:r>
      <w:r w:rsidRPr="00F669AA">
        <w:t xml:space="preserve">s </w:t>
      </w:r>
      <w:r w:rsidR="00D26DBF">
        <w:t xml:space="preserve">(SWRCB) </w:t>
      </w:r>
      <w:r w:rsidRPr="00F669AA">
        <w:t>evolving water</w:t>
      </w:r>
      <w:r w:rsidR="00270999">
        <w:noBreakHyphen/>
      </w:r>
      <w:r w:rsidRPr="00F669AA">
        <w:t xml:space="preserve">quality testing mandates, including </w:t>
      </w:r>
      <w:r w:rsidRPr="510C5D1E" w:rsidR="00DB0E20">
        <w:t>Per</w:t>
      </w:r>
      <w:r w:rsidR="00270999">
        <w:rPr>
          <w:bCs/>
          <w:szCs w:val="26"/>
        </w:rPr>
        <w:noBreakHyphen/>
      </w:r>
      <w:r w:rsidRPr="510C5D1E" w:rsidR="00DB0E20">
        <w:t xml:space="preserve"> and Polyfluoroalkyl Substances</w:t>
      </w:r>
      <w:r w:rsidRPr="00F669AA" w:rsidR="00DB0E20">
        <w:t xml:space="preserve"> </w:t>
      </w:r>
      <w:r w:rsidR="00DB0E20">
        <w:t>(</w:t>
      </w:r>
      <w:r w:rsidRPr="00F669AA">
        <w:t>PFAS</w:t>
      </w:r>
      <w:r w:rsidR="00DB0E20">
        <w:t>)</w:t>
      </w:r>
      <w:r w:rsidRPr="00F669AA">
        <w:t xml:space="preserve"> and manganese monitoring, as well as state</w:t>
      </w:r>
      <w:r w:rsidR="00270999">
        <w:noBreakHyphen/>
      </w:r>
      <w:r w:rsidRPr="00F669AA">
        <w:t>mandated drought</w:t>
      </w:r>
      <w:r w:rsidR="00270999">
        <w:noBreakHyphen/>
      </w:r>
      <w:r w:rsidRPr="00F669AA">
        <w:t>preparedness planning requirements.</w:t>
      </w:r>
      <w:r w:rsidR="006640BC">
        <w:rPr>
          <w:rStyle w:val="FootnoteReference"/>
        </w:rPr>
        <w:footnoteReference w:id="40"/>
      </w:r>
      <w:r w:rsidRPr="00F669AA">
        <w:t xml:space="preserve"> The company contends that such costs are nondiscretionary and must be recovered to ensure continued public health and environmental compliance.</w:t>
      </w:r>
    </w:p>
    <w:p w:rsidR="007721B8" w:rsidP="007721B8" w:rsidRDefault="007721B8" w14:paraId="179205AC" w14:textId="578E483A">
      <w:pPr>
        <w:pStyle w:val="Standard"/>
      </w:pPr>
      <w:r w:rsidRPr="007721B8">
        <w:t xml:space="preserve">Regarding employee benefits, </w:t>
      </w:r>
      <w:r w:rsidR="00EB50F8">
        <w:t>Cal Water</w:t>
      </w:r>
      <w:r w:rsidRPr="007721B8">
        <w:t xml:space="preserve"> supports its proposed healthcare and pension expense escalators with actuarial analyses prepared by outside consultants, arguing these projections are based on measurable, industry</w:t>
      </w:r>
      <w:r w:rsidR="00270999">
        <w:noBreakHyphen/>
      </w:r>
      <w:r w:rsidRPr="007721B8">
        <w:t>standard methods and thus represent reasonable forward</w:t>
      </w:r>
      <w:r w:rsidR="00270999">
        <w:noBreakHyphen/>
      </w:r>
      <w:r w:rsidRPr="007721B8">
        <w:t>looking estimates</w:t>
      </w:r>
      <w:r w:rsidR="006640BC">
        <w:t>.</w:t>
      </w:r>
      <w:r w:rsidR="006640BC">
        <w:rPr>
          <w:rStyle w:val="FootnoteReference"/>
        </w:rPr>
        <w:footnoteReference w:id="41"/>
      </w:r>
    </w:p>
    <w:p w:rsidR="00CE0158" w:rsidP="007721B8" w:rsidRDefault="00EB50F8" w14:paraId="706299B5" w14:textId="3E2E6F44">
      <w:pPr>
        <w:pStyle w:val="Standard"/>
      </w:pPr>
      <w:r>
        <w:t>Cal Advocates</w:t>
      </w:r>
      <w:r w:rsidRPr="007721B8" w:rsidR="007721B8">
        <w:t xml:space="preserve"> disputes </w:t>
      </w:r>
      <w:r>
        <w:t>Cal Water</w:t>
      </w:r>
      <w:r w:rsidR="000C0896">
        <w:t>’</w:t>
      </w:r>
      <w:r w:rsidRPr="007721B8" w:rsidR="007721B8">
        <w:t>s approach, arguing that the company has not met its burden to justify O&amp;M and A&amp;G forecasts that materially exceed inflation</w:t>
      </w:r>
      <w:r w:rsidR="00270999">
        <w:noBreakHyphen/>
      </w:r>
      <w:r w:rsidRPr="007721B8" w:rsidR="007721B8">
        <w:t xml:space="preserve">adjusted historic averages. </w:t>
      </w:r>
      <w:r>
        <w:t>Cal Advocates</w:t>
      </w:r>
      <w:r w:rsidRPr="007721B8" w:rsidR="007721B8">
        <w:t xml:space="preserve"> recommends using five</w:t>
      </w:r>
      <w:r w:rsidR="00FD6045">
        <w:noBreakHyphen/>
      </w:r>
      <w:r w:rsidRPr="007721B8" w:rsidR="007721B8">
        <w:t>year historical averages, escalated by labor and non</w:t>
      </w:r>
      <w:r w:rsidR="00270999">
        <w:noBreakHyphen/>
      </w:r>
      <w:r w:rsidRPr="007721B8" w:rsidR="007721B8">
        <w:t>labor inflation factors, to produce more balanced and evidence</w:t>
      </w:r>
      <w:r w:rsidR="00270999">
        <w:noBreakHyphen/>
      </w:r>
      <w:r w:rsidRPr="007721B8" w:rsidR="007721B8">
        <w:t>based expense levels</w:t>
      </w:r>
      <w:r w:rsidR="006640BC">
        <w:t>.</w:t>
      </w:r>
      <w:r w:rsidR="006640BC">
        <w:rPr>
          <w:rStyle w:val="FootnoteReference"/>
        </w:rPr>
        <w:footnoteReference w:id="42"/>
      </w:r>
    </w:p>
    <w:p w:rsidR="00CE0158" w:rsidP="007721B8" w:rsidRDefault="00EB50F8" w14:paraId="1D1428E0" w14:textId="54618C54">
      <w:pPr>
        <w:pStyle w:val="Standard"/>
      </w:pPr>
      <w:r>
        <w:t>Cal Advocates</w:t>
      </w:r>
      <w:r w:rsidRPr="007721B8" w:rsidR="007721B8">
        <w:t xml:space="preserve"> further contends that several of </w:t>
      </w:r>
      <w:r>
        <w:t>Cal Water</w:t>
      </w:r>
      <w:r w:rsidR="000C0896">
        <w:t>’</w:t>
      </w:r>
      <w:r w:rsidRPr="007721B8" w:rsidR="007721B8">
        <w:t>s cost categories</w:t>
      </w:r>
      <w:r w:rsidR="00AE44B3">
        <w:t xml:space="preserve"> — </w:t>
      </w:r>
      <w:r w:rsidRPr="007721B8" w:rsidR="007721B8">
        <w:t>particularly chemicals, purchased power, and customer service expenses</w:t>
      </w:r>
      <w:r w:rsidR="00AE44B3">
        <w:t xml:space="preserve"> — </w:t>
      </w:r>
      <w:r w:rsidRPr="007721B8" w:rsidR="007721B8">
        <w:t xml:space="preserve">lack documentary support linking forecasted increases to verifiable </w:t>
      </w:r>
      <w:r w:rsidRPr="007721B8" w:rsidR="007721B8">
        <w:lastRenderedPageBreak/>
        <w:t xml:space="preserve">external factors. According to </w:t>
      </w:r>
      <w:r>
        <w:t>Cal Advocates</w:t>
      </w:r>
      <w:r w:rsidRPr="007721B8" w:rsidR="007721B8">
        <w:t xml:space="preserve">, the Commission has consistently applied historical trend analysis in prior </w:t>
      </w:r>
      <w:r>
        <w:t>Cal Water</w:t>
      </w:r>
      <w:r w:rsidRPr="007721B8" w:rsidR="007721B8">
        <w:t xml:space="preserve"> and other water utility GRCs to prevent over</w:t>
      </w:r>
      <w:r w:rsidR="00270999">
        <w:noBreakHyphen/>
      </w:r>
      <w:r w:rsidRPr="007721B8" w:rsidR="007721B8">
        <w:t>collection from ratepayers</w:t>
      </w:r>
      <w:r w:rsidR="006640BC">
        <w:t>.</w:t>
      </w:r>
      <w:r w:rsidR="006640BC">
        <w:rPr>
          <w:rStyle w:val="FootnoteReference"/>
        </w:rPr>
        <w:footnoteReference w:id="43"/>
      </w:r>
    </w:p>
    <w:p w:rsidR="007721B8" w:rsidP="007721B8" w:rsidRDefault="00EB50F8" w14:paraId="17CDE989" w14:textId="674DFDD7">
      <w:pPr>
        <w:pStyle w:val="Standard"/>
      </w:pPr>
      <w:r>
        <w:t>Cal Advocates</w:t>
      </w:r>
      <w:r w:rsidRPr="007721B8" w:rsidR="007721B8">
        <w:t xml:space="preserve"> notes that </w:t>
      </w:r>
      <w:r>
        <w:t>Cal Water</w:t>
      </w:r>
      <w:r w:rsidR="000C0896">
        <w:t>’</w:t>
      </w:r>
      <w:r w:rsidRPr="007721B8" w:rsidR="007721B8">
        <w:t>s O&amp;M escalation factors exceed both recent inflation trends and the utility</w:t>
      </w:r>
      <w:r w:rsidR="000C0896">
        <w:t>’</w:t>
      </w:r>
      <w:r w:rsidRPr="007721B8" w:rsidR="007721B8">
        <w:t xml:space="preserve">s own historical cost growth. For instance, </w:t>
      </w:r>
      <w:r>
        <w:t>Cal Advocates</w:t>
      </w:r>
      <w:r w:rsidRPr="007721B8" w:rsidR="007721B8">
        <w:t xml:space="preserve"> highlights that </w:t>
      </w:r>
      <w:r>
        <w:t>Cal Water</w:t>
      </w:r>
      <w:r w:rsidR="000C0896">
        <w:t>’</w:t>
      </w:r>
      <w:r w:rsidRPr="007721B8" w:rsidR="007721B8">
        <w:t>s proposed O&amp;M escalation of approximately 6.5</w:t>
      </w:r>
      <w:r w:rsidR="008C1B3F">
        <w:t> percent</w:t>
      </w:r>
      <w:r w:rsidRPr="007721B8" w:rsidR="007721B8">
        <w:t xml:space="preserve"> per year contrasts with a recorded five</w:t>
      </w:r>
      <w:r w:rsidR="00270999">
        <w:noBreakHyphen/>
      </w:r>
      <w:r w:rsidRPr="007721B8" w:rsidR="007721B8">
        <w:t>year average of 3.2</w:t>
      </w:r>
      <w:r w:rsidR="008C1B3F">
        <w:t> percent</w:t>
      </w:r>
      <w:r w:rsidRPr="007721B8" w:rsidR="007721B8">
        <w:t>.</w:t>
      </w:r>
      <w:r w:rsidR="006640BC">
        <w:rPr>
          <w:rStyle w:val="FootnoteReference"/>
        </w:rPr>
        <w:footnoteReference w:id="44"/>
      </w:r>
      <w:r w:rsidRPr="007721B8" w:rsidR="007721B8">
        <w:t xml:space="preserve"> In </w:t>
      </w:r>
      <w:r>
        <w:t>Cal Advocates</w:t>
      </w:r>
      <w:r w:rsidR="000C0896">
        <w:t>’</w:t>
      </w:r>
      <w:r w:rsidRPr="007721B8" w:rsidR="007721B8">
        <w:t xml:space="preserve"> view, absent clear evidence of increased workload, staffing, or regulatory mandates, such increases are not justified under</w:t>
      </w:r>
      <w:r w:rsidR="006640BC">
        <w:t xml:space="preserve"> </w:t>
      </w:r>
      <w:r w:rsidR="003A5B7D">
        <w:t>Pub. Util.</w:t>
      </w:r>
      <w:r w:rsidR="006640BC">
        <w:t xml:space="preserve"> Code </w:t>
      </w:r>
      <w:r w:rsidR="00EF3DDB">
        <w:t>Section</w:t>
      </w:r>
      <w:r w:rsidR="008B2760">
        <w:t>s</w:t>
      </w:r>
      <w:r w:rsidR="00EF3DDB">
        <w:t> </w:t>
      </w:r>
      <w:r w:rsidRPr="007721B8" w:rsidR="007721B8">
        <w:t>451 and</w:t>
      </w:r>
      <w:r w:rsidR="00EF3DDB">
        <w:t> </w:t>
      </w:r>
      <w:r w:rsidRPr="007721B8" w:rsidR="007721B8">
        <w:t>454.</w:t>
      </w:r>
    </w:p>
    <w:p w:rsidR="00F669AA" w:rsidP="007721B8" w:rsidRDefault="00EB50F8" w14:paraId="7C461DA8" w14:textId="27868346">
      <w:pPr>
        <w:pStyle w:val="Standard"/>
      </w:pPr>
      <w:r>
        <w:t>Cal Advocates</w:t>
      </w:r>
      <w:r w:rsidRPr="00F669AA" w:rsidR="00F669AA">
        <w:t xml:space="preserve"> also stresses that Commission precedent in D.21</w:t>
      </w:r>
      <w:r w:rsidR="00270999">
        <w:noBreakHyphen/>
      </w:r>
      <w:r w:rsidRPr="00F669AA" w:rsidR="00F669AA">
        <w:t>11</w:t>
      </w:r>
      <w:r w:rsidR="00270999">
        <w:noBreakHyphen/>
      </w:r>
      <w:r w:rsidRPr="00F669AA" w:rsidR="00F669AA">
        <w:t>018 (California</w:t>
      </w:r>
      <w:r w:rsidR="00270999">
        <w:noBreakHyphen/>
      </w:r>
      <w:r w:rsidRPr="00F669AA" w:rsidR="00F669AA">
        <w:t>American Water Company GRC) requires that forward</w:t>
      </w:r>
      <w:r w:rsidR="00270999">
        <w:noBreakHyphen/>
      </w:r>
      <w:r w:rsidRPr="00F669AA" w:rsidR="00F669AA">
        <w:t>looking cost projections be substantiated by specific documentation</w:t>
      </w:r>
      <w:r w:rsidR="00AE44B3">
        <w:t xml:space="preserve"> — </w:t>
      </w:r>
      <w:r w:rsidRPr="00F669AA" w:rsidR="00F669AA">
        <w:t>such as vendor quotes, new regulatory directives, or identifiable cost</w:t>
      </w:r>
      <w:r w:rsidR="00270999">
        <w:noBreakHyphen/>
      </w:r>
      <w:r w:rsidRPr="00F669AA" w:rsidR="00F669AA">
        <w:t>drivers</w:t>
      </w:r>
      <w:r w:rsidR="00AE44B3">
        <w:t xml:space="preserve"> — </w:t>
      </w:r>
      <w:r w:rsidRPr="00F669AA" w:rsidR="00F669AA">
        <w:t xml:space="preserve">rather than general inflationary assumptions. It argues that </w:t>
      </w:r>
      <w:r>
        <w:t>Cal Water</w:t>
      </w:r>
      <w:r w:rsidR="000C0896">
        <w:t>’</w:t>
      </w:r>
      <w:r w:rsidRPr="00F669AA" w:rsidR="00F669AA">
        <w:t>s documentation, while generally consistent with prior GRC formats, falls short of that evidentiary threshold in several contested categories.</w:t>
      </w:r>
      <w:r w:rsidR="003D383E">
        <w:rPr>
          <w:rStyle w:val="FootnoteReference"/>
        </w:rPr>
        <w:footnoteReference w:id="45"/>
      </w:r>
    </w:p>
    <w:p w:rsidRPr="00E523C4" w:rsidR="007721B8" w:rsidP="007721B8" w:rsidRDefault="007721B8" w14:paraId="2967E96E" w14:textId="511507FE">
      <w:pPr>
        <w:pStyle w:val="Standard"/>
      </w:pPr>
      <w:r w:rsidRPr="007721B8">
        <w:t xml:space="preserve">The record demonstrates that while </w:t>
      </w:r>
      <w:r w:rsidR="00EB50F8">
        <w:t>Cal Water</w:t>
      </w:r>
      <w:r w:rsidRPr="007721B8">
        <w:t xml:space="preserve"> provides credible support for certain forward</w:t>
      </w:r>
      <w:r w:rsidR="00270999">
        <w:noBreakHyphen/>
      </w:r>
      <w:r w:rsidRPr="007721B8">
        <w:t>looking adjustments</w:t>
      </w:r>
      <w:r w:rsidR="00AE44B3">
        <w:t xml:space="preserve"> — </w:t>
      </w:r>
      <w:r w:rsidRPr="007721B8">
        <w:t>particularly actuarially derived healthcare and pension costs</w:t>
      </w:r>
      <w:r w:rsidR="00AE44B3">
        <w:t xml:space="preserve"> — </w:t>
      </w:r>
      <w:r w:rsidRPr="006675FA" w:rsidR="006675FA">
        <w:t>the evidentiary showing is mixed across categories, and several proposed increases exceed what the record supports</w:t>
      </w:r>
      <w:r w:rsidRPr="007721B8">
        <w:t xml:space="preserve">. For line items such as purchased power and chemicals, </w:t>
      </w:r>
      <w:r w:rsidR="00EB50F8">
        <w:t>Cal Water</w:t>
      </w:r>
      <w:r w:rsidR="000C0896">
        <w:t>’</w:t>
      </w:r>
      <w:r w:rsidRPr="007721B8">
        <w:t>s forecasts exceed its five</w:t>
      </w:r>
      <w:r w:rsidR="00270999">
        <w:noBreakHyphen/>
      </w:r>
      <w:r w:rsidRPr="007721B8">
        <w:t xml:space="preserve">year historical averages by a material margin, and the company provides </w:t>
      </w:r>
      <w:r w:rsidRPr="007721B8">
        <w:lastRenderedPageBreak/>
        <w:t>limited documentation of market data or contract changes to justify those variances.</w:t>
      </w:r>
      <w:r w:rsidR="003D383E">
        <w:rPr>
          <w:rStyle w:val="FootnoteReference"/>
        </w:rPr>
        <w:footnoteReference w:id="46"/>
      </w:r>
      <w:r w:rsidR="00B03044">
        <w:t xml:space="preserve"> </w:t>
      </w:r>
      <w:r w:rsidR="00EB50F8">
        <w:t>Cal Advocates</w:t>
      </w:r>
      <w:r w:rsidR="000C0896">
        <w:t>’</w:t>
      </w:r>
      <w:r w:rsidRPr="00E523C4" w:rsidR="00B03044">
        <w:t xml:space="preserve"> O&amp;M testimony provides five</w:t>
      </w:r>
      <w:r w:rsidR="00270999">
        <w:noBreakHyphen/>
      </w:r>
      <w:r w:rsidR="00C75749">
        <w:t>y</w:t>
      </w:r>
      <w:r w:rsidRPr="00E523C4" w:rsidR="00B03044">
        <w:t>ear, inflation</w:t>
      </w:r>
      <w:r w:rsidR="00270999">
        <w:noBreakHyphen/>
      </w:r>
      <w:r w:rsidRPr="00E523C4" w:rsidR="00B03044">
        <w:t>adjusted historical averages and alternative, lower unit costs for purchased power and chemical expenses, which it recommends as a benchmark for reasonableness in these categories.</w:t>
      </w:r>
    </w:p>
    <w:p w:rsidRPr="00E523C4" w:rsidR="00F669AA" w:rsidP="007721B8" w:rsidRDefault="00F669AA" w14:paraId="53D97467" w14:textId="1EDB2AE4">
      <w:pPr>
        <w:pStyle w:val="Standard"/>
      </w:pPr>
      <w:r w:rsidRPr="00E523C4">
        <w:t xml:space="preserve">The Commission acknowledges that water utilities statewide are experiencing inflationary cost pressures in chemical, power, and labor markets; however, consistent with the </w:t>
      </w:r>
      <w:r w:rsidR="008B2760">
        <w:t xml:space="preserve">Commission’s </w:t>
      </w:r>
      <w:r w:rsidRPr="00E523C4">
        <w:t>reasoning in D.19</w:t>
      </w:r>
      <w:r w:rsidR="00270999">
        <w:noBreakHyphen/>
      </w:r>
      <w:r w:rsidRPr="00E523C4">
        <w:t>05</w:t>
      </w:r>
      <w:r w:rsidR="00270999">
        <w:noBreakHyphen/>
      </w:r>
      <w:r w:rsidRPr="00E523C4">
        <w:t>044, forward</w:t>
      </w:r>
      <w:r w:rsidR="00270999">
        <w:noBreakHyphen/>
      </w:r>
      <w:r w:rsidRPr="00E523C4">
        <w:t>looking escalation must be tied to measurable, demonstrable factors rather than broad market expectations.</w:t>
      </w:r>
    </w:p>
    <w:p w:rsidRPr="00E523C4" w:rsidR="00B03044" w:rsidP="00B03044" w:rsidRDefault="00B03044" w14:paraId="404EE043" w14:textId="74AFA156">
      <w:pPr>
        <w:pStyle w:val="Standard"/>
      </w:pPr>
      <w:r w:rsidRPr="00E523C4">
        <w:t xml:space="preserve">The Commission also notes that both </w:t>
      </w:r>
      <w:r w:rsidR="00EB50F8">
        <w:t>Cal Water</w:t>
      </w:r>
      <w:r w:rsidRPr="00E523C4">
        <w:t xml:space="preserve"> and </w:t>
      </w:r>
      <w:r w:rsidR="00EB50F8">
        <w:t>Cal Advocates</w:t>
      </w:r>
      <w:r w:rsidRPr="00E523C4">
        <w:t xml:space="preserve"> rely on the </w:t>
      </w:r>
      <w:proofErr w:type="spellStart"/>
      <w:r w:rsidRPr="00E523C4">
        <w:t>M.Cubed</w:t>
      </w:r>
      <w:proofErr w:type="spellEnd"/>
      <w:r w:rsidRPr="00E523C4">
        <w:t xml:space="preserve"> Sales Forecast Report for </w:t>
      </w:r>
      <w:r w:rsidR="001E54CC">
        <w:t>U</w:t>
      </w:r>
      <w:r w:rsidRPr="00E523C4" w:rsidR="001E54CC">
        <w:t>nrestricted</w:t>
      </w:r>
      <w:r w:rsidRPr="00E523C4">
        <w:t xml:space="preserve"> sales forecasts at the ratemaking</w:t>
      </w:r>
      <w:r w:rsidR="00270999">
        <w:noBreakHyphen/>
      </w:r>
      <w:r w:rsidRPr="00E523C4">
        <w:t xml:space="preserve">area and class level, and that </w:t>
      </w:r>
      <w:r w:rsidR="00EB50F8">
        <w:t>Cal Advocates</w:t>
      </w:r>
      <w:r w:rsidRPr="00E523C4">
        <w:t xml:space="preserve"> explicitly urges adoption of the Normal</w:t>
      </w:r>
      <w:r w:rsidR="00270999">
        <w:noBreakHyphen/>
      </w:r>
      <w:r w:rsidRPr="00E523C4">
        <w:t xml:space="preserve">Scenario sales forecast for the </w:t>
      </w:r>
      <w:r w:rsidR="00EF1E5C">
        <w:t>TY</w:t>
      </w:r>
      <w:r w:rsidRPr="00E523C4">
        <w:t>, with attrition</w:t>
      </w:r>
      <w:r w:rsidR="00270999">
        <w:noBreakHyphen/>
      </w:r>
      <w:r w:rsidRPr="00E523C4">
        <w:t xml:space="preserve">year forecasts that reflect changes in water use over time rather than freezing </w:t>
      </w:r>
      <w:r w:rsidR="00EF1E5C">
        <w:t>TY</w:t>
      </w:r>
      <w:r w:rsidRPr="00E523C4">
        <w:t xml:space="preserve"> sales. Consistent with this evidentiary record, the Commission adopts the Unrestricted </w:t>
      </w:r>
      <w:proofErr w:type="spellStart"/>
      <w:r w:rsidRPr="00E523C4">
        <w:t>M.Cubed</w:t>
      </w:r>
      <w:proofErr w:type="spellEnd"/>
      <w:r w:rsidRPr="00E523C4">
        <w:t xml:space="preserve"> sales forecast for the </w:t>
      </w:r>
      <w:r w:rsidR="00EF1E5C">
        <w:t>TY</w:t>
      </w:r>
      <w:r w:rsidRPr="00E523C4">
        <w:t xml:space="preserve"> and both </w:t>
      </w:r>
      <w:r w:rsidR="00EF1E5C">
        <w:t>EYs</w:t>
      </w:r>
      <w:r w:rsidRPr="00E523C4">
        <w:t xml:space="preserve"> for all districts and customer classes and uses that adopted sales forecast as the basis for computing production</w:t>
      </w:r>
      <w:r w:rsidR="00270999">
        <w:noBreakHyphen/>
      </w:r>
      <w:r w:rsidRPr="00E523C4">
        <w:t>related O&amp;M, including purchased water, purchased power, and chemical expenses.</w:t>
      </w:r>
    </w:p>
    <w:p w:rsidRPr="00E523C4" w:rsidR="00B03044" w:rsidP="005804B5" w:rsidRDefault="00B03044" w14:paraId="66828022" w14:textId="7692BD69">
      <w:pPr>
        <w:pStyle w:val="Standard"/>
      </w:pPr>
      <w:r w:rsidRPr="00E523C4">
        <w:t>To operationalize this balance for production</w:t>
      </w:r>
      <w:r w:rsidR="00270999">
        <w:noBreakHyphen/>
      </w:r>
      <w:r w:rsidRPr="00E523C4">
        <w:t>related accounts, the Commission adopts a category</w:t>
      </w:r>
      <w:r w:rsidR="00270999">
        <w:noBreakHyphen/>
      </w:r>
      <w:r w:rsidRPr="00E523C4">
        <w:t>specific approach:</w:t>
      </w:r>
    </w:p>
    <w:p w:rsidRPr="00E523C4" w:rsidR="00B03044" w:rsidP="008D5E78" w:rsidRDefault="00B03044" w14:paraId="377A762A" w14:textId="7CC05480">
      <w:pPr>
        <w:pStyle w:val="BlockQuoteBullet1"/>
        <w:numPr>
          <w:ilvl w:val="0"/>
          <w:numId w:val="16"/>
        </w:numPr>
        <w:tabs>
          <w:tab w:val="clear" w:pos="720"/>
        </w:tabs>
        <w:ind w:left="1080"/>
      </w:pPr>
      <w:r w:rsidRPr="00E523C4">
        <w:t xml:space="preserve">For purchased water (Account 704), the Commission finds it reasonable to rely on </w:t>
      </w:r>
      <w:r w:rsidR="00EB50F8">
        <w:t>Cal Water</w:t>
      </w:r>
      <w:r w:rsidR="000C0896">
        <w:t>’</w:t>
      </w:r>
      <w:r w:rsidRPr="00E523C4">
        <w:t>s tariff</w:t>
      </w:r>
      <w:r w:rsidR="00270999">
        <w:noBreakHyphen/>
      </w:r>
      <w:r w:rsidRPr="00E523C4">
        <w:t>based purchased</w:t>
      </w:r>
      <w:r w:rsidR="00270999">
        <w:noBreakHyphen/>
      </w:r>
      <w:r w:rsidRPr="00E523C4">
        <w:t xml:space="preserve">water unit costs, which reflect exogenous </w:t>
      </w:r>
      <w:r w:rsidRPr="00E523C4">
        <w:lastRenderedPageBreak/>
        <w:t>wholesale purveyor rates and contract terms that the utility does not control. These tariff</w:t>
      </w:r>
      <w:r w:rsidR="00270999">
        <w:noBreakHyphen/>
      </w:r>
      <w:r w:rsidRPr="00E523C4">
        <w:t xml:space="preserve">based unit rates are documented in </w:t>
      </w:r>
      <w:r w:rsidR="00EB50F8">
        <w:t>Cal Water</w:t>
      </w:r>
      <w:r w:rsidR="000C0896">
        <w:t>’</w:t>
      </w:r>
      <w:r w:rsidRPr="00E523C4">
        <w:t>s plant and O&amp;M testimony and associated workpapers and are appropriately applied to the adopted Normal</w:t>
      </w:r>
      <w:r w:rsidR="00270999">
        <w:noBreakHyphen/>
      </w:r>
      <w:r w:rsidRPr="00E523C4">
        <w:t>Scenario sales forecast to derive purchased</w:t>
      </w:r>
      <w:r w:rsidR="00270999">
        <w:noBreakHyphen/>
      </w:r>
      <w:r w:rsidRPr="00E523C4">
        <w:t>water expense.</w:t>
      </w:r>
    </w:p>
    <w:p w:rsidRPr="00E523C4" w:rsidR="00B03044" w:rsidP="008D5E78" w:rsidRDefault="00B03044" w14:paraId="7013F814" w14:textId="175422C0">
      <w:pPr>
        <w:pStyle w:val="BlockQuoteBullet1"/>
        <w:numPr>
          <w:ilvl w:val="0"/>
          <w:numId w:val="16"/>
        </w:numPr>
        <w:tabs>
          <w:tab w:val="clear" w:pos="720"/>
        </w:tabs>
        <w:ind w:left="1080"/>
      </w:pPr>
      <w:r w:rsidRPr="00E523C4">
        <w:t>For purchased power (Account 726</w:t>
      </w:r>
      <w:r w:rsidR="00FC4E12">
        <w:t xml:space="preserve"> — </w:t>
      </w:r>
      <w:r w:rsidRPr="00E523C4">
        <w:t>Fuel or Power Purchased for Pumping) and chemicals (Account 744</w:t>
      </w:r>
      <w:r w:rsidR="00FC4E12">
        <w:t xml:space="preserve"> — </w:t>
      </w:r>
      <w:r w:rsidRPr="00E523C4">
        <w:t xml:space="preserve">Chemicals and Filtering Materials), the Commission finds that </w:t>
      </w:r>
      <w:r w:rsidR="00EB50F8">
        <w:t>Cal Advocates</w:t>
      </w:r>
      <w:r w:rsidR="000C0896">
        <w:t>’</w:t>
      </w:r>
      <w:r w:rsidRPr="00E523C4">
        <w:t xml:space="preserve"> five</w:t>
      </w:r>
      <w:r w:rsidR="00270999">
        <w:noBreakHyphen/>
      </w:r>
      <w:r w:rsidRPr="00E523C4">
        <w:t>year inflation</w:t>
      </w:r>
      <w:r w:rsidR="00270999">
        <w:noBreakHyphen/>
      </w:r>
      <w:r w:rsidRPr="00E523C4">
        <w:t>adjusted historical averages and associated unit</w:t>
      </w:r>
      <w:r w:rsidR="00270999">
        <w:noBreakHyphen/>
      </w:r>
      <w:r w:rsidRPr="00E523C4">
        <w:t>rate recommendations provide a more conservative and better</w:t>
      </w:r>
      <w:r w:rsidR="00270999">
        <w:noBreakHyphen/>
      </w:r>
      <w:r w:rsidRPr="00E523C4">
        <w:t xml:space="preserve">supported basis for escalation than </w:t>
      </w:r>
      <w:r w:rsidR="00EB50F8">
        <w:t>Cal Water</w:t>
      </w:r>
      <w:r w:rsidR="000C0896">
        <w:t>’</w:t>
      </w:r>
      <w:r w:rsidRPr="00E523C4">
        <w:t xml:space="preserve">s higher proposed unit costs, which the record does not fully substantiate. Accordingly, for these two accounts the Commission adopts unit rates at or below the levels recommended by </w:t>
      </w:r>
      <w:r w:rsidR="00EB50F8">
        <w:t>Cal Advocates</w:t>
      </w:r>
      <w:r w:rsidRPr="00E523C4">
        <w:t>, applied to the adopted Normal</w:t>
      </w:r>
      <w:r w:rsidR="00270999">
        <w:noBreakHyphen/>
      </w:r>
      <w:r w:rsidRPr="00E523C4">
        <w:t>Scenario sales forecast to compute Test Year and Escalation</w:t>
      </w:r>
      <w:r w:rsidR="00270999">
        <w:noBreakHyphen/>
      </w:r>
      <w:r w:rsidRPr="00E523C4">
        <w:t>Year expenses.</w:t>
      </w:r>
    </w:p>
    <w:p w:rsidRPr="00E523C4" w:rsidR="00B03044" w:rsidP="005804B5" w:rsidRDefault="00B03044" w14:paraId="019C5C03" w14:textId="4A4784F3">
      <w:pPr>
        <w:pStyle w:val="Standard"/>
      </w:pPr>
      <w:r w:rsidRPr="00E523C4">
        <w:t xml:space="preserve">Beyond these specific production accounts, the Commission adopts a </w:t>
      </w:r>
      <w:r w:rsidR="00A23D11">
        <w:t>“</w:t>
      </w:r>
      <w:r w:rsidRPr="00E523C4">
        <w:t>targeted downward</w:t>
      </w:r>
      <w:r w:rsidR="00A23D11">
        <w:t>”</w:t>
      </w:r>
      <w:r w:rsidRPr="00E523C4">
        <w:t xml:space="preserve"> rule for O&amp;M and A&amp;G categories where </w:t>
      </w:r>
      <w:r w:rsidR="00EB50F8">
        <w:t>Cal Water</w:t>
      </w:r>
      <w:r w:rsidR="000C0896">
        <w:t>’</w:t>
      </w:r>
      <w:r w:rsidRPr="00E523C4">
        <w:t>s forecast materially exceeds historical experience without sufficient evidentiary support. For any non</w:t>
      </w:r>
      <w:r w:rsidR="00FD6045">
        <w:noBreakHyphen/>
      </w:r>
      <w:r w:rsidRPr="00E523C4">
        <w:t>settled O&amp;M or A&amp;G account for which</w:t>
      </w:r>
      <w:r w:rsidR="006237E8">
        <w:t xml:space="preserve">: </w:t>
      </w:r>
      <w:r w:rsidRPr="00E523C4">
        <w:t xml:space="preserve"> </w:t>
      </w:r>
      <w:r w:rsidR="006237E8">
        <w:t>(1) </w:t>
      </w:r>
      <w:r w:rsidR="00EB50F8">
        <w:t>Cal Advocates</w:t>
      </w:r>
      <w:r w:rsidRPr="00E523C4">
        <w:t xml:space="preserve"> provides a distinct forecast in </w:t>
      </w:r>
      <w:r w:rsidR="0027490E">
        <w:t>Ex. </w:t>
      </w:r>
      <w:r w:rsidRPr="00E523C4">
        <w:t>CalAdv</w:t>
      </w:r>
      <w:r w:rsidR="00270999">
        <w:noBreakHyphen/>
      </w:r>
      <w:r w:rsidRPr="00E523C4">
        <w:t>09</w:t>
      </w:r>
      <w:r w:rsidR="006237E8">
        <w:t>; (2) </w:t>
      </w:r>
      <w:r w:rsidR="00EB50F8">
        <w:t>Cal Water</w:t>
      </w:r>
      <w:r w:rsidR="000C0896">
        <w:t>’</w:t>
      </w:r>
      <w:r w:rsidRPr="00E523C4">
        <w:t>s forecast exceeds 110</w:t>
      </w:r>
      <w:r w:rsidR="0032703D">
        <w:t> percent</w:t>
      </w:r>
      <w:r w:rsidRPr="00E523C4">
        <w:t xml:space="preserve"> of the five</w:t>
      </w:r>
      <w:r w:rsidR="00270999">
        <w:noBreakHyphen/>
      </w:r>
      <w:r w:rsidRPr="00E523C4">
        <w:t>year inflation</w:t>
      </w:r>
      <w:r w:rsidR="00270999">
        <w:noBreakHyphen/>
      </w:r>
      <w:r w:rsidRPr="00E523C4">
        <w:t>adjusted historical average</w:t>
      </w:r>
      <w:r w:rsidR="006237E8">
        <w:t>; and (3) </w:t>
      </w:r>
      <w:r w:rsidRPr="00E523C4">
        <w:t xml:space="preserve">the record, including </w:t>
      </w:r>
      <w:r w:rsidR="00EB50F8">
        <w:t>Cal Water</w:t>
      </w:r>
      <w:r w:rsidR="000C0896">
        <w:t>’</w:t>
      </w:r>
      <w:r w:rsidRPr="00E523C4">
        <w:t>s testimony and workpapers, does not identify concrete cost drivers such as new regulatory mandates, verifiable contract changes, or measurable workload increases, the Commission adopts an account</w:t>
      </w:r>
      <w:r w:rsidR="00270999">
        <w:noBreakHyphen/>
      </w:r>
      <w:r w:rsidRPr="00E523C4">
        <w:t xml:space="preserve">level forecast equal to the lower of </w:t>
      </w:r>
      <w:r w:rsidR="00EB50F8">
        <w:t>Cal Water</w:t>
      </w:r>
      <w:r w:rsidR="000C0896">
        <w:t>’</w:t>
      </w:r>
      <w:r w:rsidRPr="00E523C4">
        <w:t xml:space="preserve">s or </w:t>
      </w:r>
      <w:r w:rsidR="00EB50F8">
        <w:t>Cal Advocates</w:t>
      </w:r>
      <w:r w:rsidR="000C0896">
        <w:t>’</w:t>
      </w:r>
      <w:r w:rsidRPr="00E523C4">
        <w:t xml:space="preserve"> competing forecast.</w:t>
      </w:r>
    </w:p>
    <w:p w:rsidRPr="00E523C4" w:rsidR="008D6E33" w:rsidP="005804B5" w:rsidRDefault="008D6E33" w14:paraId="3157419A" w14:textId="698C6755">
      <w:pPr>
        <w:pStyle w:val="Standard"/>
      </w:pPr>
      <w:r w:rsidRPr="00E523C4">
        <w:lastRenderedPageBreak/>
        <w:t xml:space="preserve">Where the Commission adopts a specific </w:t>
      </w:r>
      <w:r w:rsidR="00EF1E5C">
        <w:t>TY</w:t>
      </w:r>
      <w:r w:rsidRPr="00E523C4">
        <w:t xml:space="preserve"> amount or escalation percentage for a contested Scoped </w:t>
      </w:r>
      <w:r w:rsidR="009D287A">
        <w:t>Issue #</w:t>
      </w:r>
      <w:r w:rsidRPr="00E523C4">
        <w:t>2 sub</w:t>
      </w:r>
      <w:r w:rsidR="00FD6045">
        <w:noBreakHyphen/>
      </w:r>
      <w:r w:rsidRPr="00E523C4">
        <w:t xml:space="preserve">issue in </w:t>
      </w:r>
      <w:r w:rsidR="00EB50F8">
        <w:t>Table 2</w:t>
      </w:r>
      <w:r w:rsidRPr="00E523C4">
        <w:t>, that specific determination governs over the general screening rule.</w:t>
      </w:r>
    </w:p>
    <w:p w:rsidRPr="00E523C4" w:rsidR="008D6E33" w:rsidP="00323804" w:rsidRDefault="008D6E33" w14:paraId="36AE81D8" w14:textId="2230484D">
      <w:pPr>
        <w:pStyle w:val="TableTitleBodyT09"/>
      </w:pPr>
      <w:r w:rsidRPr="00E523C4">
        <w:rPr>
          <w:u w:val="single"/>
        </w:rPr>
        <w:t>Contested Sub</w:t>
      </w:r>
      <w:r w:rsidR="00FD6045">
        <w:rPr>
          <w:u w:val="single"/>
        </w:rPr>
        <w:noBreakHyphen/>
      </w:r>
      <w:r w:rsidRPr="00E523C4">
        <w:rPr>
          <w:u w:val="single"/>
        </w:rPr>
        <w:t>Issues and Adopted Test Year Amounts</w:t>
      </w:r>
    </w:p>
    <w:p w:rsidRPr="00E523C4" w:rsidR="008D6E33" w:rsidP="005B0C1B" w:rsidRDefault="008D6E33" w14:paraId="71676558" w14:textId="41471BBC">
      <w:pPr>
        <w:pStyle w:val="Standard"/>
      </w:pPr>
      <w:r w:rsidRPr="00E523C4">
        <w:t xml:space="preserve">For transparency and ease of implementation, </w:t>
      </w:r>
      <w:r w:rsidR="00EB50F8">
        <w:t>Table 2</w:t>
      </w:r>
      <w:r w:rsidRPr="00E523C4">
        <w:t xml:space="preserve"> below summarizes the Commission</w:t>
      </w:r>
      <w:r w:rsidR="000C0896">
        <w:t>’</w:t>
      </w:r>
      <w:r w:rsidRPr="00E523C4">
        <w:t xml:space="preserve">s adopted </w:t>
      </w:r>
      <w:r w:rsidR="00EF1E5C">
        <w:t>TY</w:t>
      </w:r>
      <w:r w:rsidRPr="00E523C4">
        <w:t xml:space="preserve"> amounts (or escalation percentages) for the contested Scoped </w:t>
      </w:r>
      <w:r w:rsidR="009D287A">
        <w:t>Issue #</w:t>
      </w:r>
      <w:r w:rsidRPr="00E523C4">
        <w:t>2 sub</w:t>
      </w:r>
      <w:r w:rsidR="00FD6045">
        <w:noBreakHyphen/>
      </w:r>
      <w:r w:rsidRPr="00E523C4">
        <w:t>issues. These adopted values are reflected in the revenue requirement model.</w:t>
      </w:r>
    </w:p>
    <w:p w:rsidRPr="00253D9F" w:rsidR="008D6E33" w:rsidP="00323804" w:rsidRDefault="00EB50F8" w14:paraId="7001ADD6" w14:textId="3F289A64">
      <w:pPr>
        <w:pStyle w:val="TableTitleBody"/>
        <w:spacing w:after="0"/>
        <w:rPr>
          <w:b w:val="0"/>
          <w:bCs w:val="0"/>
          <w:u w:val="single"/>
        </w:rPr>
      </w:pPr>
      <w:r>
        <w:rPr>
          <w:u w:val="single"/>
        </w:rPr>
        <w:t>Table 2</w:t>
      </w:r>
    </w:p>
    <w:p w:rsidRPr="008D6E33" w:rsidR="008D6E33" w:rsidP="00323804" w:rsidRDefault="008D6E33" w14:paraId="0B76F00B" w14:textId="3C797FAE">
      <w:pPr>
        <w:pStyle w:val="TableTitleBodyT09"/>
        <w:rPr>
          <w:szCs w:val="26"/>
        </w:rPr>
      </w:pPr>
      <w:r w:rsidRPr="008D6E33">
        <w:t>(</w:t>
      </w:r>
      <w:r w:rsidR="00A15CDE">
        <w:t>Adopted</w:t>
      </w:r>
      <w:r w:rsidRPr="008D6E33">
        <w:t xml:space="preserve"> Scoped </w:t>
      </w:r>
      <w:r w:rsidR="009D287A">
        <w:t>Issue #</w:t>
      </w:r>
      <w:r w:rsidRPr="008D6E33">
        <w:t xml:space="preserve">2 </w:t>
      </w:r>
      <w:r w:rsidR="004E54C8">
        <w:t xml:space="preserve">Contested </w:t>
      </w:r>
      <w:r w:rsidRPr="008D6E33">
        <w:t>Sub</w:t>
      </w:r>
      <w:r w:rsidR="00270999">
        <w:noBreakHyphen/>
      </w:r>
      <w:r w:rsidRPr="008D6E33">
        <w:t>Issues</w:t>
      </w:r>
      <w:r w:rsidRPr="008D6E33">
        <w:rPr>
          <w:szCs w:val="26"/>
        </w:rPr>
        <w:t>)</w:t>
      </w:r>
    </w:p>
    <w:tbl>
      <w:tblPr>
        <w:tblStyle w:val="TableGrid"/>
        <w:tblW w:w="10555" w:type="dxa"/>
        <w:jc w:val="center"/>
        <w:tblLayout w:type="fixed"/>
        <w:tblCellMar>
          <w:top w:w="58" w:type="dxa"/>
          <w:bottom w:w="58" w:type="dxa"/>
        </w:tblCellMar>
        <w:tblLook w:val="04A0" w:firstRow="1" w:lastRow="0" w:firstColumn="1" w:lastColumn="0" w:noHBand="0" w:noVBand="1"/>
      </w:tblPr>
      <w:tblGrid>
        <w:gridCol w:w="2695"/>
        <w:gridCol w:w="3060"/>
        <w:gridCol w:w="4800"/>
      </w:tblGrid>
      <w:tr w:rsidRPr="00F33C62" w:rsidR="00A15CDE" w:rsidTr="00F5665C" w14:paraId="35991AFE" w14:textId="77777777">
        <w:trPr>
          <w:tblHeader/>
          <w:jc w:val="center"/>
        </w:trPr>
        <w:tc>
          <w:tcPr>
            <w:tcW w:w="2695" w:type="dxa"/>
            <w:shd w:val="clear" w:color="auto" w:fill="D9D9D9" w:themeFill="background1" w:themeFillShade="D9"/>
            <w:vAlign w:val="bottom"/>
          </w:tcPr>
          <w:p w:rsidRPr="00F33C62" w:rsidR="00A15CDE" w:rsidP="00F33C62" w:rsidRDefault="00A15CDE" w14:paraId="059EA21E" w14:textId="25B1616F">
            <w:pPr>
              <w:keepNext/>
              <w:spacing w:line="240" w:lineRule="auto"/>
              <w:ind w:firstLine="0"/>
              <w:jc w:val="center"/>
              <w:rPr>
                <w:b/>
              </w:rPr>
            </w:pPr>
            <w:r w:rsidRPr="024BD55D">
              <w:rPr>
                <w:b/>
              </w:rPr>
              <w:t>Sub</w:t>
            </w:r>
            <w:r w:rsidRPr="024BD55D" w:rsidR="7EBCCF46">
              <w:rPr>
                <w:b/>
                <w:bCs/>
              </w:rPr>
              <w:t>-</w:t>
            </w:r>
            <w:r w:rsidRPr="024BD55D">
              <w:rPr>
                <w:b/>
              </w:rPr>
              <w:t>Issue</w:t>
            </w:r>
          </w:p>
        </w:tc>
        <w:tc>
          <w:tcPr>
            <w:tcW w:w="3060" w:type="dxa"/>
            <w:shd w:val="clear" w:color="auto" w:fill="D9D9D9" w:themeFill="background1" w:themeFillShade="D9"/>
            <w:vAlign w:val="bottom"/>
          </w:tcPr>
          <w:p w:rsidR="00F5665C" w:rsidP="00F33C62" w:rsidRDefault="00A15CDE" w14:paraId="39AB7566" w14:textId="77777777">
            <w:pPr>
              <w:keepNext/>
              <w:spacing w:line="240" w:lineRule="auto"/>
              <w:ind w:firstLine="0"/>
              <w:jc w:val="center"/>
              <w:rPr>
                <w:b/>
                <w:bCs/>
                <w:szCs w:val="20"/>
              </w:rPr>
            </w:pPr>
            <w:r w:rsidRPr="00F33C62">
              <w:rPr>
                <w:b/>
                <w:bCs/>
                <w:szCs w:val="20"/>
              </w:rPr>
              <w:t>Adopted Test Year 2026</w:t>
            </w:r>
          </w:p>
          <w:p w:rsidRPr="00F33C62" w:rsidR="00A15CDE" w:rsidP="00F33C62" w:rsidRDefault="00A15CDE" w14:paraId="31BDFCCA" w14:textId="7A348CB3">
            <w:pPr>
              <w:keepNext/>
              <w:spacing w:line="240" w:lineRule="auto"/>
              <w:ind w:firstLine="0"/>
              <w:jc w:val="center"/>
            </w:pPr>
            <w:r w:rsidRPr="00F33C62">
              <w:rPr>
                <w:b/>
                <w:bCs/>
                <w:szCs w:val="20"/>
              </w:rPr>
              <w:t>Amount</w:t>
            </w:r>
            <w:r w:rsidR="00785601">
              <w:rPr>
                <w:b/>
                <w:bCs/>
                <w:szCs w:val="20"/>
              </w:rPr>
              <w:t xml:space="preserve"> / </w:t>
            </w:r>
            <w:r w:rsidRPr="00F33C62">
              <w:rPr>
                <w:b/>
                <w:bCs/>
                <w:szCs w:val="20"/>
              </w:rPr>
              <w:t>Escalation</w:t>
            </w:r>
          </w:p>
        </w:tc>
        <w:tc>
          <w:tcPr>
            <w:tcW w:w="4800" w:type="dxa"/>
            <w:shd w:val="clear" w:color="auto" w:fill="D9D9D9" w:themeFill="background1" w:themeFillShade="D9"/>
            <w:vAlign w:val="bottom"/>
          </w:tcPr>
          <w:p w:rsidRPr="00F33C62" w:rsidR="00A15CDE" w:rsidP="00F33C62" w:rsidRDefault="00A15CDE" w14:paraId="6097AB72" w14:textId="14D9380B">
            <w:pPr>
              <w:keepNext/>
              <w:spacing w:line="240" w:lineRule="auto"/>
              <w:ind w:firstLine="0"/>
              <w:jc w:val="center"/>
            </w:pPr>
            <w:r w:rsidRPr="00F33C62">
              <w:rPr>
                <w:b/>
                <w:bCs/>
                <w:szCs w:val="20"/>
              </w:rPr>
              <w:t>Adopted Basis</w:t>
            </w:r>
            <w:r w:rsidR="00785601">
              <w:rPr>
                <w:b/>
                <w:bCs/>
                <w:szCs w:val="20"/>
              </w:rPr>
              <w:t xml:space="preserve"> / </w:t>
            </w:r>
            <w:r w:rsidRPr="00F33C62">
              <w:rPr>
                <w:b/>
                <w:bCs/>
                <w:szCs w:val="20"/>
              </w:rPr>
              <w:t>Implementation Note</w:t>
            </w:r>
          </w:p>
        </w:tc>
      </w:tr>
      <w:tr w:rsidRPr="00F33C62" w:rsidR="00A15CDE" w:rsidTr="00F5665C" w14:paraId="5E741D7E" w14:textId="77777777">
        <w:trPr>
          <w:jc w:val="center"/>
        </w:trPr>
        <w:tc>
          <w:tcPr>
            <w:tcW w:w="2695" w:type="dxa"/>
          </w:tcPr>
          <w:p w:rsidRPr="00F33C62" w:rsidR="00A15CDE" w:rsidP="002D60C8" w:rsidRDefault="00A15CDE" w14:paraId="4DAD4F4D" w14:textId="46F7B898">
            <w:pPr>
              <w:pStyle w:val="Table2Subissue"/>
            </w:pPr>
            <w:r w:rsidRPr="00F33C62">
              <w:t>1.</w:t>
            </w:r>
            <w:r w:rsidR="002D60C8">
              <w:tab/>
            </w:r>
            <w:r w:rsidRPr="00F33C62">
              <w:t>Postage</w:t>
            </w:r>
          </w:p>
        </w:tc>
        <w:tc>
          <w:tcPr>
            <w:tcW w:w="3060" w:type="dxa"/>
          </w:tcPr>
          <w:p w:rsidRPr="00F33C62" w:rsidR="00A15CDE" w:rsidP="00F33C62" w:rsidRDefault="00A15CDE" w14:paraId="0CC80C53" w14:textId="46A65BE5">
            <w:pPr>
              <w:spacing w:line="240" w:lineRule="auto"/>
              <w:ind w:firstLine="0"/>
              <w:jc w:val="center"/>
            </w:pPr>
            <w:r w:rsidRPr="00F33C62">
              <w:rPr>
                <w:szCs w:val="20"/>
              </w:rPr>
              <w:t>3</w:t>
            </w:r>
            <w:r w:rsidR="004169A0">
              <w:rPr>
                <w:szCs w:val="20"/>
              </w:rPr>
              <w:t>.0303</w:t>
            </w:r>
            <w:r w:rsidRPr="00F33C62">
              <w:rPr>
                <w:szCs w:val="20"/>
              </w:rPr>
              <w:t>% escalation</w:t>
            </w:r>
          </w:p>
        </w:tc>
        <w:tc>
          <w:tcPr>
            <w:tcW w:w="4800" w:type="dxa"/>
            <w:vAlign w:val="center"/>
          </w:tcPr>
          <w:p w:rsidRPr="00F33C62" w:rsidR="00A15CDE" w:rsidP="00A15CDE" w:rsidRDefault="00A15CDE" w14:paraId="718D8D56" w14:textId="77202E6A">
            <w:pPr>
              <w:spacing w:line="240" w:lineRule="auto"/>
              <w:ind w:firstLine="0"/>
            </w:pPr>
            <w:r w:rsidRPr="00F33C62">
              <w:rPr>
                <w:szCs w:val="20"/>
              </w:rPr>
              <w:t>We apply a 3</w:t>
            </w:r>
            <w:r w:rsidR="004169A0">
              <w:rPr>
                <w:szCs w:val="20"/>
              </w:rPr>
              <w:t>.0303</w:t>
            </w:r>
            <w:r w:rsidRPr="00F33C62">
              <w:rPr>
                <w:szCs w:val="20"/>
              </w:rPr>
              <w:t xml:space="preserve">% postage rate increase to forecasted mail/service volumes for </w:t>
            </w:r>
            <w:r w:rsidR="00EF1E5C">
              <w:rPr>
                <w:szCs w:val="20"/>
              </w:rPr>
              <w:t>TY</w:t>
            </w:r>
            <w:r w:rsidRPr="00F33C62">
              <w:rPr>
                <w:szCs w:val="20"/>
              </w:rPr>
              <w:t xml:space="preserve"> postage expense.</w:t>
            </w:r>
          </w:p>
        </w:tc>
      </w:tr>
      <w:tr w:rsidRPr="00F33C62" w:rsidR="00A15CDE" w:rsidTr="00F5665C" w14:paraId="4BE97D23" w14:textId="77777777">
        <w:trPr>
          <w:jc w:val="center"/>
        </w:trPr>
        <w:tc>
          <w:tcPr>
            <w:tcW w:w="2695" w:type="dxa"/>
          </w:tcPr>
          <w:p w:rsidRPr="002D60C8" w:rsidR="00A15CDE" w:rsidP="002D60C8" w:rsidRDefault="002D60C8" w14:paraId="279C515A" w14:textId="077D0B8F">
            <w:pPr>
              <w:pStyle w:val="Table2Subissue"/>
            </w:pPr>
            <w:r>
              <w:t>2.</w:t>
            </w:r>
            <w:r>
              <w:tab/>
            </w:r>
            <w:r w:rsidRPr="002D60C8" w:rsidR="00A15CDE">
              <w:t>Transportation</w:t>
            </w:r>
          </w:p>
        </w:tc>
        <w:tc>
          <w:tcPr>
            <w:tcW w:w="3060" w:type="dxa"/>
          </w:tcPr>
          <w:p w:rsidRPr="00F33C62" w:rsidR="00A15CDE" w:rsidP="00F33C62" w:rsidRDefault="00A15CDE" w14:paraId="32E9B6B9" w14:textId="77777777">
            <w:pPr>
              <w:spacing w:line="240" w:lineRule="auto"/>
              <w:ind w:firstLine="0"/>
              <w:jc w:val="center"/>
            </w:pPr>
            <w:r w:rsidRPr="00F33C62">
              <w:rPr>
                <w:szCs w:val="20"/>
              </w:rPr>
              <w:t>$7,639,029</w:t>
            </w:r>
          </w:p>
        </w:tc>
        <w:tc>
          <w:tcPr>
            <w:tcW w:w="4800" w:type="dxa"/>
            <w:vAlign w:val="center"/>
          </w:tcPr>
          <w:p w:rsidRPr="00F33C62" w:rsidR="00A15CDE" w:rsidP="00A15CDE" w:rsidRDefault="00A15CDE" w14:paraId="4B13A68E" w14:textId="595B6009">
            <w:pPr>
              <w:spacing w:line="240" w:lineRule="auto"/>
              <w:ind w:firstLine="0"/>
            </w:pPr>
            <w:r w:rsidRPr="024BD55D">
              <w:t xml:space="preserve">We adopt </w:t>
            </w:r>
            <w:r w:rsidRPr="024BD55D" w:rsidR="00EB50F8">
              <w:t>Cal Advocates</w:t>
            </w:r>
            <w:r w:rsidR="000C0896">
              <w:rPr>
                <w:szCs w:val="20"/>
              </w:rPr>
              <w:t>’</w:t>
            </w:r>
            <w:r w:rsidRPr="024BD55D">
              <w:t xml:space="preserve"> adjusted </w:t>
            </w:r>
            <w:r w:rsidRPr="024BD55D" w:rsidR="00EF1E5C">
              <w:t>TY</w:t>
            </w:r>
            <w:r w:rsidRPr="024BD55D">
              <w:t xml:space="preserve"> amount, reflecting removal of transportation costs tied to non</w:t>
            </w:r>
            <w:r w:rsidR="00270999">
              <w:rPr>
                <w:szCs w:val="20"/>
              </w:rPr>
              <w:noBreakHyphen/>
            </w:r>
            <w:r w:rsidRPr="024BD55D">
              <w:t>adopted staffing complements and non</w:t>
            </w:r>
            <w:r w:rsidR="00270999">
              <w:rPr>
                <w:szCs w:val="20"/>
              </w:rPr>
              <w:noBreakHyphen/>
            </w:r>
            <w:r w:rsidRPr="024BD55D">
              <w:t>adopted capital</w:t>
            </w:r>
            <w:r w:rsidR="00270999">
              <w:rPr>
                <w:szCs w:val="20"/>
              </w:rPr>
              <w:noBreakHyphen/>
            </w:r>
            <w:r w:rsidRPr="024BD55D">
              <w:t>related activities.</w:t>
            </w:r>
          </w:p>
        </w:tc>
      </w:tr>
      <w:tr w:rsidRPr="00F33C62" w:rsidR="00A15CDE" w:rsidTr="00F5665C" w14:paraId="1ED71637" w14:textId="77777777">
        <w:trPr>
          <w:jc w:val="center"/>
        </w:trPr>
        <w:tc>
          <w:tcPr>
            <w:tcW w:w="2695" w:type="dxa"/>
          </w:tcPr>
          <w:p w:rsidRPr="00F33C62" w:rsidR="00A15CDE" w:rsidP="002D60C8" w:rsidRDefault="00A15CDE" w14:paraId="5772829A" w14:textId="67450DE7">
            <w:pPr>
              <w:pStyle w:val="Table2Subissue"/>
            </w:pPr>
            <w:r w:rsidRPr="00F33C62">
              <w:t>3.</w:t>
            </w:r>
            <w:r w:rsidR="002D60C8">
              <w:tab/>
            </w:r>
            <w:proofErr w:type="spellStart"/>
            <w:r w:rsidRPr="00F33C62">
              <w:t>Uncollectibles</w:t>
            </w:r>
            <w:proofErr w:type="spellEnd"/>
          </w:p>
        </w:tc>
        <w:tc>
          <w:tcPr>
            <w:tcW w:w="3060" w:type="dxa"/>
          </w:tcPr>
          <w:p w:rsidR="003C67A2" w:rsidP="00F33C62" w:rsidRDefault="00A15CDE" w14:paraId="59146308" w14:textId="77777777">
            <w:pPr>
              <w:spacing w:line="240" w:lineRule="auto"/>
              <w:ind w:firstLine="0"/>
              <w:jc w:val="center"/>
              <w:rPr>
                <w:szCs w:val="20"/>
              </w:rPr>
            </w:pPr>
            <w:r w:rsidRPr="00F33C62">
              <w:rPr>
                <w:szCs w:val="20"/>
              </w:rPr>
              <w:t>Methodology adopted</w:t>
            </w:r>
          </w:p>
          <w:p w:rsidRPr="00F33C62" w:rsidR="00A15CDE" w:rsidP="00F33C62" w:rsidRDefault="00A15CDE" w14:paraId="5F093472" w14:textId="29988307">
            <w:pPr>
              <w:spacing w:line="240" w:lineRule="auto"/>
              <w:ind w:firstLine="0"/>
              <w:jc w:val="center"/>
            </w:pPr>
            <w:r w:rsidRPr="00F33C62">
              <w:rPr>
                <w:szCs w:val="20"/>
              </w:rPr>
              <w:t>(2022</w:t>
            </w:r>
            <w:r w:rsidR="00270999">
              <w:rPr>
                <w:szCs w:val="20"/>
              </w:rPr>
              <w:noBreakHyphen/>
            </w:r>
            <w:r w:rsidRPr="00F33C62">
              <w:rPr>
                <w:szCs w:val="20"/>
              </w:rPr>
              <w:t>2023 average rate)</w:t>
            </w:r>
          </w:p>
        </w:tc>
        <w:tc>
          <w:tcPr>
            <w:tcW w:w="4800" w:type="dxa"/>
            <w:vAlign w:val="center"/>
          </w:tcPr>
          <w:p w:rsidRPr="00F33C62" w:rsidR="00A15CDE" w:rsidP="00A15CDE" w:rsidRDefault="00A15CDE" w14:paraId="7F2DE5D5" w14:textId="07B6ABE2">
            <w:pPr>
              <w:spacing w:line="240" w:lineRule="auto"/>
              <w:ind w:firstLine="0"/>
            </w:pPr>
            <w:r w:rsidRPr="00F33C62">
              <w:rPr>
                <w:szCs w:val="20"/>
              </w:rPr>
              <w:t xml:space="preserve">We </w:t>
            </w:r>
            <w:r w:rsidR="00841879">
              <w:rPr>
                <w:szCs w:val="20"/>
              </w:rPr>
              <w:t xml:space="preserve">adopt </w:t>
            </w:r>
            <w:r w:rsidRPr="00F33C62">
              <w:rPr>
                <w:szCs w:val="20"/>
              </w:rPr>
              <w:t>the average uncollectible rate from 2022 and 2023 to adopted forecasted revenues</w:t>
            </w:r>
            <w:r w:rsidR="00841879">
              <w:rPr>
                <w:szCs w:val="20"/>
              </w:rPr>
              <w:t xml:space="preserve"> to forecast </w:t>
            </w:r>
            <w:proofErr w:type="spellStart"/>
            <w:r w:rsidR="00841879">
              <w:rPr>
                <w:szCs w:val="20"/>
              </w:rPr>
              <w:t>uncollectibles</w:t>
            </w:r>
            <w:proofErr w:type="spellEnd"/>
            <w:r w:rsidRPr="00F33C62">
              <w:rPr>
                <w:szCs w:val="20"/>
              </w:rPr>
              <w:t>.</w:t>
            </w:r>
          </w:p>
        </w:tc>
      </w:tr>
      <w:tr w:rsidRPr="00F33C62" w:rsidR="00A15CDE" w:rsidTr="00F5665C" w14:paraId="02C3B576" w14:textId="77777777">
        <w:trPr>
          <w:jc w:val="center"/>
        </w:trPr>
        <w:tc>
          <w:tcPr>
            <w:tcW w:w="2695" w:type="dxa"/>
          </w:tcPr>
          <w:p w:rsidRPr="00F33C62" w:rsidR="00A15CDE" w:rsidP="002D60C8" w:rsidRDefault="00A15CDE" w14:paraId="3C7BFCF2" w14:textId="233B19B6">
            <w:pPr>
              <w:pStyle w:val="Table2Subissue"/>
            </w:pPr>
            <w:r w:rsidRPr="00F33C62">
              <w:t>4.</w:t>
            </w:r>
            <w:r w:rsidR="002D60C8">
              <w:tab/>
            </w:r>
            <w:r w:rsidRPr="00F33C62">
              <w:t>Source of Supply</w:t>
            </w:r>
          </w:p>
        </w:tc>
        <w:tc>
          <w:tcPr>
            <w:tcW w:w="3060" w:type="dxa"/>
          </w:tcPr>
          <w:p w:rsidRPr="00F33C62" w:rsidR="00A15CDE" w:rsidP="00F33C62" w:rsidRDefault="00A15CDE" w14:paraId="7BA395E5" w14:textId="77777777">
            <w:pPr>
              <w:spacing w:line="240" w:lineRule="auto"/>
              <w:ind w:firstLine="0"/>
              <w:jc w:val="center"/>
            </w:pPr>
            <w:r w:rsidRPr="00F33C62">
              <w:rPr>
                <w:szCs w:val="20"/>
              </w:rPr>
              <w:t>$1,008,316</w:t>
            </w:r>
          </w:p>
        </w:tc>
        <w:tc>
          <w:tcPr>
            <w:tcW w:w="4800" w:type="dxa"/>
            <w:vAlign w:val="center"/>
          </w:tcPr>
          <w:p w:rsidRPr="00F33C62" w:rsidR="00A15CDE" w:rsidP="00A15CDE" w:rsidRDefault="00A15CDE" w14:paraId="4DBA650E" w14:textId="265818E7">
            <w:pPr>
              <w:spacing w:line="240" w:lineRule="auto"/>
              <w:ind w:firstLine="0"/>
            </w:pPr>
            <w:r w:rsidRPr="00F33C62">
              <w:rPr>
                <w:szCs w:val="20"/>
              </w:rPr>
              <w:t xml:space="preserve">We adopt </w:t>
            </w:r>
            <w:r w:rsidR="00EB50F8">
              <w:rPr>
                <w:szCs w:val="20"/>
              </w:rPr>
              <w:t>Cal Advocates</w:t>
            </w:r>
            <w:r w:rsidR="000C0896">
              <w:rPr>
                <w:szCs w:val="20"/>
              </w:rPr>
              <w:t>’</w:t>
            </w:r>
            <w:r w:rsidRPr="00F33C62">
              <w:rPr>
                <w:szCs w:val="20"/>
              </w:rPr>
              <w:t xml:space="preserve"> adjusted </w:t>
            </w:r>
            <w:r w:rsidR="00EF1E5C">
              <w:rPr>
                <w:szCs w:val="20"/>
              </w:rPr>
              <w:t>TY</w:t>
            </w:r>
            <w:r w:rsidRPr="00F33C62">
              <w:rPr>
                <w:szCs w:val="20"/>
              </w:rPr>
              <w:t xml:space="preserve"> amount</w:t>
            </w:r>
            <w:r w:rsidR="00841879">
              <w:rPr>
                <w:szCs w:val="20"/>
              </w:rPr>
              <w:t>, which</w:t>
            </w:r>
            <w:r w:rsidRPr="00F33C62" w:rsidR="00841879">
              <w:rPr>
                <w:szCs w:val="20"/>
              </w:rPr>
              <w:t xml:space="preserve"> </w:t>
            </w:r>
            <w:r w:rsidRPr="00F33C62">
              <w:rPr>
                <w:szCs w:val="20"/>
              </w:rPr>
              <w:t>includes supported, ongoing SGMA</w:t>
            </w:r>
            <w:r w:rsidR="00270999">
              <w:rPr>
                <w:szCs w:val="20"/>
              </w:rPr>
              <w:noBreakHyphen/>
            </w:r>
            <w:r w:rsidRPr="00F33C62">
              <w:rPr>
                <w:szCs w:val="20"/>
              </w:rPr>
              <w:t>related activities while excluding unsupported proxies/estimates.</w:t>
            </w:r>
          </w:p>
        </w:tc>
      </w:tr>
      <w:tr w:rsidRPr="00F33C62" w:rsidR="00A15CDE" w:rsidTr="00F5665C" w14:paraId="5798D2D4" w14:textId="77777777">
        <w:trPr>
          <w:jc w:val="center"/>
        </w:trPr>
        <w:tc>
          <w:tcPr>
            <w:tcW w:w="2695" w:type="dxa"/>
          </w:tcPr>
          <w:p w:rsidRPr="00F33C62" w:rsidR="00A15CDE" w:rsidP="002D60C8" w:rsidRDefault="00A15CDE" w14:paraId="29152E82" w14:textId="629B3671">
            <w:pPr>
              <w:pStyle w:val="Table2Subissue"/>
            </w:pPr>
            <w:r w:rsidRPr="00F33C62">
              <w:t>5.</w:t>
            </w:r>
            <w:r w:rsidR="002D60C8">
              <w:tab/>
            </w:r>
            <w:r w:rsidRPr="00F33C62">
              <w:t>Pumping</w:t>
            </w:r>
          </w:p>
        </w:tc>
        <w:tc>
          <w:tcPr>
            <w:tcW w:w="3060" w:type="dxa"/>
          </w:tcPr>
          <w:p w:rsidRPr="00F33C62" w:rsidR="00A15CDE" w:rsidP="00F33C62" w:rsidRDefault="00A15CDE" w14:paraId="2CA60560" w14:textId="08DFD3D9">
            <w:pPr>
              <w:spacing w:line="240" w:lineRule="auto"/>
              <w:ind w:firstLine="0"/>
              <w:jc w:val="center"/>
            </w:pPr>
            <w:r>
              <w:t>$2,383,340</w:t>
            </w:r>
          </w:p>
        </w:tc>
        <w:tc>
          <w:tcPr>
            <w:tcW w:w="4800" w:type="dxa"/>
            <w:vAlign w:val="center"/>
          </w:tcPr>
          <w:p w:rsidRPr="00F33C62" w:rsidR="00A15CDE" w:rsidP="00A15CDE" w:rsidRDefault="00A15CDE" w14:paraId="7828FDAD" w14:textId="469EBB00">
            <w:pPr>
              <w:spacing w:line="240" w:lineRule="auto"/>
              <w:ind w:firstLine="0"/>
            </w:pPr>
            <w:r w:rsidRPr="07D8631D">
              <w:t xml:space="preserve">We adopt </w:t>
            </w:r>
            <w:r w:rsidRPr="07D8631D" w:rsidR="00EB50F8">
              <w:t>Cal Advocates</w:t>
            </w:r>
            <w:r w:rsidR="000C0896">
              <w:rPr>
                <w:szCs w:val="20"/>
              </w:rPr>
              <w:t>’</w:t>
            </w:r>
            <w:r w:rsidRPr="07D8631D">
              <w:t xml:space="preserve"> adjusted </w:t>
            </w:r>
            <w:r w:rsidRPr="07D8631D" w:rsidR="00EF1E5C">
              <w:t>TY</w:t>
            </w:r>
            <w:r w:rsidRPr="07D8631D">
              <w:t xml:space="preserve"> amount</w:t>
            </w:r>
            <w:r w:rsidRPr="07D8631D" w:rsidR="00841879">
              <w:t>, which</w:t>
            </w:r>
            <w:r w:rsidRPr="00F33C62" w:rsidR="00841879">
              <w:rPr>
                <w:szCs w:val="20"/>
              </w:rPr>
              <w:t xml:space="preserve"> </w:t>
            </w:r>
            <w:r w:rsidRPr="07D8631D">
              <w:t>excludes AMI</w:t>
            </w:r>
            <w:r w:rsidR="00270999">
              <w:rPr>
                <w:szCs w:val="20"/>
              </w:rPr>
              <w:noBreakHyphen/>
            </w:r>
            <w:r w:rsidRPr="07D8631D">
              <w:t xml:space="preserve">related </w:t>
            </w:r>
            <w:r w:rsidRPr="07D8631D">
              <w:lastRenderedPageBreak/>
              <w:t>savings/cost assumptions</w:t>
            </w:r>
            <w:r w:rsidR="00841879">
              <w:rPr>
                <w:szCs w:val="20"/>
              </w:rPr>
              <w:t>,</w:t>
            </w:r>
            <w:r w:rsidRPr="07D8631D">
              <w:t xml:space="preserve"> and remove certain non</w:t>
            </w:r>
            <w:r w:rsidR="00270999">
              <w:rPr>
                <w:szCs w:val="20"/>
              </w:rPr>
              <w:noBreakHyphen/>
            </w:r>
            <w:r w:rsidRPr="07D8631D">
              <w:t>recurring items consistent with Standard Practice U</w:t>
            </w:r>
            <w:r w:rsidR="00270999">
              <w:rPr>
                <w:szCs w:val="20"/>
              </w:rPr>
              <w:noBreakHyphen/>
            </w:r>
            <w:r w:rsidRPr="07D8631D">
              <w:t>26</w:t>
            </w:r>
            <w:r w:rsidR="00270999">
              <w:rPr>
                <w:szCs w:val="20"/>
              </w:rPr>
              <w:noBreakHyphen/>
            </w:r>
            <w:r w:rsidRPr="07D8631D">
              <w:t>W.</w:t>
            </w:r>
          </w:p>
        </w:tc>
      </w:tr>
      <w:tr w:rsidRPr="00F33C62" w:rsidR="00A15CDE" w:rsidTr="00F5665C" w14:paraId="05561D73" w14:textId="77777777">
        <w:trPr>
          <w:jc w:val="center"/>
        </w:trPr>
        <w:tc>
          <w:tcPr>
            <w:tcW w:w="2695" w:type="dxa"/>
          </w:tcPr>
          <w:p w:rsidRPr="00F33C62" w:rsidR="00A15CDE" w:rsidP="002D60C8" w:rsidRDefault="00A15CDE" w14:paraId="1CDCE7F5" w14:textId="58FEDD89">
            <w:pPr>
              <w:pStyle w:val="Table2Subissue2"/>
            </w:pPr>
            <w:r w:rsidRPr="00F33C62">
              <w:lastRenderedPageBreak/>
              <w:t>6(a)</w:t>
            </w:r>
            <w:r w:rsidR="002D60C8">
              <w:t>.</w:t>
            </w:r>
            <w:r w:rsidR="002D60C8">
              <w:tab/>
            </w:r>
            <w:r w:rsidRPr="00F33C62">
              <w:t>Production</w:t>
            </w:r>
            <w:r w:rsidR="00FC4E12">
              <w:t xml:space="preserve"> — </w:t>
            </w:r>
            <w:r w:rsidRPr="00F33C62">
              <w:t>Purchased Water</w:t>
            </w:r>
          </w:p>
        </w:tc>
        <w:tc>
          <w:tcPr>
            <w:tcW w:w="3060" w:type="dxa"/>
          </w:tcPr>
          <w:p w:rsidRPr="00F33C62" w:rsidR="00A15CDE" w:rsidP="00F33C62" w:rsidRDefault="00A15CDE" w14:paraId="61BB6CC8" w14:textId="77777777">
            <w:pPr>
              <w:spacing w:line="240" w:lineRule="auto"/>
              <w:ind w:firstLine="0"/>
              <w:jc w:val="center"/>
            </w:pPr>
            <w:r w:rsidRPr="00F33C62">
              <w:rPr>
                <w:szCs w:val="20"/>
              </w:rPr>
              <w:t>$214,774,570</w:t>
            </w:r>
          </w:p>
        </w:tc>
        <w:tc>
          <w:tcPr>
            <w:tcW w:w="4800" w:type="dxa"/>
            <w:vAlign w:val="center"/>
          </w:tcPr>
          <w:p w:rsidRPr="00F33C62" w:rsidR="00A15CDE" w:rsidP="00A15CDE" w:rsidRDefault="00A15CDE" w14:paraId="6E491922" w14:textId="4CE3C26C">
            <w:pPr>
              <w:spacing w:line="240" w:lineRule="auto"/>
              <w:ind w:firstLine="0"/>
            </w:pPr>
            <w:r w:rsidRPr="07D8631D">
              <w:t xml:space="preserve">We adopt </w:t>
            </w:r>
            <w:r w:rsidRPr="07D8631D" w:rsidR="00EB50F8">
              <w:t>Cal Water</w:t>
            </w:r>
            <w:r w:rsidR="000C0896">
              <w:rPr>
                <w:szCs w:val="20"/>
              </w:rPr>
              <w:t>’</w:t>
            </w:r>
            <w:r w:rsidRPr="07D8631D">
              <w:t>s tariff</w:t>
            </w:r>
            <w:r w:rsidR="00270999">
              <w:rPr>
                <w:szCs w:val="20"/>
              </w:rPr>
              <w:noBreakHyphen/>
            </w:r>
            <w:r w:rsidRPr="07D8631D">
              <w:t>based methodology</w:t>
            </w:r>
            <w:r w:rsidR="000C0896">
              <w:rPr>
                <w:szCs w:val="20"/>
              </w:rPr>
              <w:t xml:space="preserve">:  </w:t>
            </w:r>
            <w:r w:rsidRPr="07D8631D">
              <w:t>apply most recent approved wholesale rates to forecasted purchased</w:t>
            </w:r>
            <w:r w:rsidR="00270999">
              <w:rPr>
                <w:szCs w:val="20"/>
              </w:rPr>
              <w:noBreakHyphen/>
            </w:r>
            <w:r w:rsidRPr="07D8631D">
              <w:t>water volumes.</w:t>
            </w:r>
          </w:p>
        </w:tc>
      </w:tr>
      <w:tr w:rsidRPr="00F33C62" w:rsidR="00A15CDE" w:rsidTr="00F5665C" w14:paraId="5FAEC14B" w14:textId="77777777">
        <w:trPr>
          <w:jc w:val="center"/>
        </w:trPr>
        <w:tc>
          <w:tcPr>
            <w:tcW w:w="2695" w:type="dxa"/>
          </w:tcPr>
          <w:p w:rsidRPr="00F33C62" w:rsidR="00A15CDE" w:rsidP="002D60C8" w:rsidRDefault="00A15CDE" w14:paraId="53B46E10" w14:textId="5A6A0C40">
            <w:pPr>
              <w:pStyle w:val="Table2Subissue2"/>
            </w:pPr>
            <w:r w:rsidRPr="00F33C62">
              <w:t>6(b)</w:t>
            </w:r>
            <w:r w:rsidR="002D60C8">
              <w:t>.</w:t>
            </w:r>
            <w:r w:rsidR="002D60C8">
              <w:tab/>
            </w:r>
            <w:r w:rsidRPr="00F33C62">
              <w:t>Production</w:t>
            </w:r>
            <w:r w:rsidR="00FC4E12">
              <w:t xml:space="preserve"> — </w:t>
            </w:r>
            <w:r w:rsidRPr="00F33C62">
              <w:t>Purchased Power</w:t>
            </w:r>
          </w:p>
        </w:tc>
        <w:tc>
          <w:tcPr>
            <w:tcW w:w="3060" w:type="dxa"/>
          </w:tcPr>
          <w:p w:rsidRPr="00F33C62" w:rsidR="00A15CDE" w:rsidP="00F33C62" w:rsidRDefault="00A15CDE" w14:paraId="4BEF38DF" w14:textId="77777777">
            <w:pPr>
              <w:spacing w:line="240" w:lineRule="auto"/>
              <w:ind w:firstLine="0"/>
              <w:jc w:val="center"/>
            </w:pPr>
            <w:r w:rsidRPr="00F33C62">
              <w:rPr>
                <w:szCs w:val="20"/>
              </w:rPr>
              <w:t>$25,795,616</w:t>
            </w:r>
          </w:p>
        </w:tc>
        <w:tc>
          <w:tcPr>
            <w:tcW w:w="4800" w:type="dxa"/>
            <w:vAlign w:val="center"/>
          </w:tcPr>
          <w:p w:rsidRPr="00F33C62" w:rsidR="00A15CDE" w:rsidP="00A15CDE" w:rsidRDefault="00A15CDE" w14:paraId="3365B3C8" w14:textId="15A0C78F">
            <w:pPr>
              <w:spacing w:line="240" w:lineRule="auto"/>
              <w:ind w:firstLine="0"/>
            </w:pPr>
            <w:r w:rsidRPr="07D8631D">
              <w:t xml:space="preserve">We adopt </w:t>
            </w:r>
            <w:r w:rsidRPr="07D8631D" w:rsidR="00EB50F8">
              <w:t>Cal Advocates</w:t>
            </w:r>
            <w:r w:rsidR="000C0896">
              <w:rPr>
                <w:szCs w:val="20"/>
              </w:rPr>
              <w:t>’</w:t>
            </w:r>
            <w:r w:rsidRPr="07D8631D">
              <w:t xml:space="preserve"> approach</w:t>
            </w:r>
            <w:r w:rsidR="000C0896">
              <w:rPr>
                <w:szCs w:val="20"/>
              </w:rPr>
              <w:t xml:space="preserve">:  </w:t>
            </w:r>
            <w:r w:rsidRPr="07D8631D">
              <w:t>five</w:t>
            </w:r>
            <w:r w:rsidR="00270999">
              <w:rPr>
                <w:szCs w:val="20"/>
              </w:rPr>
              <w:noBreakHyphen/>
            </w:r>
            <w:r w:rsidRPr="07D8631D">
              <w:t>year average of unit costs and production (rather than 2023 alone), applied consistent with adopted sales/production assumptions.</w:t>
            </w:r>
          </w:p>
        </w:tc>
      </w:tr>
      <w:tr w:rsidRPr="00F33C62" w:rsidR="00A15CDE" w:rsidTr="00F5665C" w14:paraId="12063C33" w14:textId="77777777">
        <w:trPr>
          <w:jc w:val="center"/>
        </w:trPr>
        <w:tc>
          <w:tcPr>
            <w:tcW w:w="2695" w:type="dxa"/>
          </w:tcPr>
          <w:p w:rsidRPr="00F33C62" w:rsidR="00A15CDE" w:rsidP="002D60C8" w:rsidRDefault="00A15CDE" w14:paraId="4E3A3895" w14:textId="07108F82">
            <w:pPr>
              <w:pStyle w:val="Table2Subissue2"/>
            </w:pPr>
            <w:r w:rsidRPr="00F33C62">
              <w:t>6(c)</w:t>
            </w:r>
            <w:r w:rsidR="002D60C8">
              <w:t>.</w:t>
            </w:r>
            <w:r w:rsidR="002D60C8">
              <w:tab/>
            </w:r>
            <w:r w:rsidRPr="00F33C62">
              <w:t>Production</w:t>
            </w:r>
            <w:r w:rsidR="00FC4E12">
              <w:t xml:space="preserve"> — </w:t>
            </w:r>
            <w:r w:rsidRPr="00F33C62">
              <w:t>Pump Taxes</w:t>
            </w:r>
          </w:p>
        </w:tc>
        <w:tc>
          <w:tcPr>
            <w:tcW w:w="3060" w:type="dxa"/>
          </w:tcPr>
          <w:p w:rsidRPr="00F33C62" w:rsidR="00A15CDE" w:rsidP="00F33C62" w:rsidRDefault="00A15CDE" w14:paraId="2A9979E8" w14:textId="77777777">
            <w:pPr>
              <w:spacing w:line="240" w:lineRule="auto"/>
              <w:ind w:firstLine="0"/>
              <w:jc w:val="center"/>
            </w:pPr>
            <w:r w:rsidRPr="00F33C62">
              <w:rPr>
                <w:szCs w:val="20"/>
              </w:rPr>
              <w:t>$18,651,961</w:t>
            </w:r>
          </w:p>
        </w:tc>
        <w:tc>
          <w:tcPr>
            <w:tcW w:w="4800" w:type="dxa"/>
            <w:vAlign w:val="center"/>
          </w:tcPr>
          <w:p w:rsidRPr="00F33C62" w:rsidR="00A15CDE" w:rsidP="00A15CDE" w:rsidRDefault="00A15CDE" w14:paraId="5CE68196" w14:textId="04121BBF">
            <w:pPr>
              <w:spacing w:line="240" w:lineRule="auto"/>
              <w:ind w:firstLine="0"/>
            </w:pPr>
            <w:r w:rsidRPr="00F33C62">
              <w:rPr>
                <w:szCs w:val="20"/>
              </w:rPr>
              <w:t xml:space="preserve">We remove surface water volumes from </w:t>
            </w:r>
            <w:r w:rsidR="008B2760">
              <w:rPr>
                <w:szCs w:val="20"/>
              </w:rPr>
              <w:t xml:space="preserve">the </w:t>
            </w:r>
            <w:r w:rsidRPr="00F33C62">
              <w:rPr>
                <w:szCs w:val="20"/>
              </w:rPr>
              <w:t>Bakersfield District pump tax calculation; retain undisputed fixed groundwater replenishment fee of $423,138 (included within adopted total).</w:t>
            </w:r>
          </w:p>
        </w:tc>
      </w:tr>
      <w:tr w:rsidRPr="00F33C62" w:rsidR="00A15CDE" w:rsidTr="00F5665C" w14:paraId="6375C4AB" w14:textId="77777777">
        <w:trPr>
          <w:jc w:val="center"/>
        </w:trPr>
        <w:tc>
          <w:tcPr>
            <w:tcW w:w="2695" w:type="dxa"/>
          </w:tcPr>
          <w:p w:rsidRPr="00F33C62" w:rsidR="00A15CDE" w:rsidP="002D60C8" w:rsidRDefault="00A15CDE" w14:paraId="144028CD" w14:textId="34427C6D">
            <w:pPr>
              <w:pStyle w:val="Table2Subissue2"/>
            </w:pPr>
            <w:r w:rsidRPr="00F33C62">
              <w:t>6(d)</w:t>
            </w:r>
            <w:r w:rsidR="002D60C8">
              <w:t>.</w:t>
            </w:r>
            <w:r w:rsidR="002D60C8">
              <w:tab/>
            </w:r>
            <w:r w:rsidRPr="00F33C62">
              <w:t>Production</w:t>
            </w:r>
            <w:r w:rsidR="00FC4E12">
              <w:t xml:space="preserve"> — </w:t>
            </w:r>
            <w:r w:rsidRPr="00F33C62">
              <w:t>Purchased Chemicals</w:t>
            </w:r>
          </w:p>
        </w:tc>
        <w:tc>
          <w:tcPr>
            <w:tcW w:w="3060" w:type="dxa"/>
          </w:tcPr>
          <w:p w:rsidRPr="00F33C62" w:rsidR="00A15CDE" w:rsidP="00F33C62" w:rsidRDefault="00A15CDE" w14:paraId="7C6A03C1" w14:textId="77777777">
            <w:pPr>
              <w:spacing w:line="240" w:lineRule="auto"/>
              <w:ind w:firstLine="0"/>
              <w:jc w:val="center"/>
            </w:pPr>
            <w:r w:rsidRPr="00F33C62">
              <w:rPr>
                <w:szCs w:val="20"/>
              </w:rPr>
              <w:t>$3,730,744</w:t>
            </w:r>
          </w:p>
        </w:tc>
        <w:tc>
          <w:tcPr>
            <w:tcW w:w="4800" w:type="dxa"/>
            <w:vAlign w:val="center"/>
          </w:tcPr>
          <w:p w:rsidRPr="00F33C62" w:rsidR="00A15CDE" w:rsidP="00A15CDE" w:rsidRDefault="00A15CDE" w14:paraId="0A1F07AA" w14:textId="5109A592">
            <w:pPr>
              <w:spacing w:line="240" w:lineRule="auto"/>
              <w:ind w:firstLine="0"/>
            </w:pPr>
            <w:r w:rsidRPr="00F33C62">
              <w:rPr>
                <w:szCs w:val="20"/>
              </w:rPr>
              <w:t xml:space="preserve">We adopt </w:t>
            </w:r>
            <w:r w:rsidR="008B2760">
              <w:rPr>
                <w:szCs w:val="20"/>
              </w:rPr>
              <w:t xml:space="preserve">an </w:t>
            </w:r>
            <w:r w:rsidRPr="00F33C62">
              <w:rPr>
                <w:szCs w:val="20"/>
              </w:rPr>
              <w:t>adjusted amount that accounts for chemical treatment associated with groundwater, surface water, and applicable purchased water (including untreated purchased supplies where applicable).</w:t>
            </w:r>
          </w:p>
        </w:tc>
      </w:tr>
      <w:tr w:rsidRPr="00F33C62" w:rsidR="00A15CDE" w:rsidTr="00F5665C" w14:paraId="425B8316" w14:textId="77777777">
        <w:trPr>
          <w:jc w:val="center"/>
        </w:trPr>
        <w:tc>
          <w:tcPr>
            <w:tcW w:w="2695" w:type="dxa"/>
          </w:tcPr>
          <w:p w:rsidRPr="00F33C62" w:rsidR="00A15CDE" w:rsidP="002D60C8" w:rsidRDefault="00A15CDE" w14:paraId="3806D200" w14:textId="5ED4A8BC">
            <w:pPr>
              <w:pStyle w:val="Table2Subissue"/>
            </w:pPr>
            <w:r w:rsidRPr="00F33C62">
              <w:t>7</w:t>
            </w:r>
            <w:r w:rsidR="002D60C8">
              <w:t>.</w:t>
            </w:r>
            <w:r w:rsidR="002D60C8">
              <w:tab/>
            </w:r>
            <w:r w:rsidRPr="00F33C62">
              <w:t>Water Treatment</w:t>
            </w:r>
          </w:p>
        </w:tc>
        <w:tc>
          <w:tcPr>
            <w:tcW w:w="3060" w:type="dxa"/>
          </w:tcPr>
          <w:p w:rsidRPr="00F33C62" w:rsidR="00A15CDE" w:rsidP="00F33C62" w:rsidRDefault="00A15CDE" w14:paraId="78B329D5" w14:textId="3F5005F2">
            <w:pPr>
              <w:spacing w:line="240" w:lineRule="auto"/>
              <w:ind w:firstLine="0"/>
              <w:jc w:val="center"/>
            </w:pPr>
            <w:r w:rsidRPr="008F7750">
              <w:rPr>
                <w:szCs w:val="20"/>
              </w:rPr>
              <w:t>$8,802,420</w:t>
            </w:r>
          </w:p>
        </w:tc>
        <w:tc>
          <w:tcPr>
            <w:tcW w:w="4800" w:type="dxa"/>
            <w:vAlign w:val="center"/>
          </w:tcPr>
          <w:p w:rsidRPr="00F33C62" w:rsidR="00A15CDE" w:rsidP="00A15CDE" w:rsidRDefault="00A15CDE" w14:paraId="0C58B66F" w14:textId="08A954AE">
            <w:pPr>
              <w:spacing w:line="240" w:lineRule="auto"/>
              <w:ind w:firstLine="0"/>
            </w:pPr>
            <w:r w:rsidRPr="07D8631D">
              <w:t xml:space="preserve">We adopt </w:t>
            </w:r>
            <w:r w:rsidRPr="07D8631D" w:rsidR="008B2760">
              <w:t xml:space="preserve">an </w:t>
            </w:r>
            <w:r w:rsidRPr="07D8631D">
              <w:t xml:space="preserve">adjusted </w:t>
            </w:r>
            <w:r w:rsidRPr="07D8631D" w:rsidR="00EF1E5C">
              <w:t>TY</w:t>
            </w:r>
            <w:r w:rsidRPr="07D8631D">
              <w:t xml:space="preserve"> amount; removes certain non</w:t>
            </w:r>
            <w:r w:rsidR="00270999">
              <w:rPr>
                <w:szCs w:val="20"/>
              </w:rPr>
              <w:noBreakHyphen/>
            </w:r>
            <w:r w:rsidRPr="07D8631D">
              <w:t>recurring items, excludes AMI</w:t>
            </w:r>
            <w:r w:rsidR="00270999">
              <w:rPr>
                <w:szCs w:val="20"/>
              </w:rPr>
              <w:noBreakHyphen/>
            </w:r>
            <w:r w:rsidRPr="07D8631D">
              <w:t xml:space="preserve">related costs/savings assumptions, and reflects East </w:t>
            </w:r>
            <w:r w:rsidRPr="07D8631D" w:rsidR="004941FE">
              <w:t>Los </w:t>
            </w:r>
            <w:r w:rsidRPr="07D8631D">
              <w:t>Angeles Water Quality laboratory correction (savings commence in 2026).</w:t>
            </w:r>
          </w:p>
        </w:tc>
      </w:tr>
      <w:tr w:rsidRPr="00F33C62" w:rsidR="00A15CDE" w:rsidTr="00F5665C" w14:paraId="78E0F355" w14:textId="77777777">
        <w:trPr>
          <w:jc w:val="center"/>
        </w:trPr>
        <w:tc>
          <w:tcPr>
            <w:tcW w:w="2695" w:type="dxa"/>
          </w:tcPr>
          <w:p w:rsidRPr="00F33C62" w:rsidR="00A15CDE" w:rsidP="002D60C8" w:rsidRDefault="00A15CDE" w14:paraId="4BC0B6C3" w14:textId="1D6A2509">
            <w:pPr>
              <w:pStyle w:val="Table2Subissue"/>
            </w:pPr>
            <w:r w:rsidRPr="00F33C62">
              <w:t>8</w:t>
            </w:r>
            <w:r w:rsidR="002D60C8">
              <w:t>.</w:t>
            </w:r>
            <w:r w:rsidR="002D60C8">
              <w:tab/>
            </w:r>
            <w:r w:rsidRPr="00F33C62">
              <w:t>Transmission</w:t>
            </w:r>
            <w:r w:rsidR="00AE2539">
              <w:t xml:space="preserve"> &amp; </w:t>
            </w:r>
            <w:r w:rsidRPr="00F33C62">
              <w:t>Distribution</w:t>
            </w:r>
          </w:p>
        </w:tc>
        <w:tc>
          <w:tcPr>
            <w:tcW w:w="3060" w:type="dxa"/>
          </w:tcPr>
          <w:p w:rsidRPr="00F33C62" w:rsidR="00A15CDE" w:rsidP="00F33C62" w:rsidRDefault="00A15CDE" w14:paraId="3B303387" w14:textId="77777777">
            <w:pPr>
              <w:spacing w:line="240" w:lineRule="auto"/>
              <w:ind w:firstLine="0"/>
              <w:jc w:val="center"/>
            </w:pPr>
            <w:r w:rsidRPr="00F33C62">
              <w:rPr>
                <w:szCs w:val="20"/>
              </w:rPr>
              <w:t>$6,492,491</w:t>
            </w:r>
          </w:p>
        </w:tc>
        <w:tc>
          <w:tcPr>
            <w:tcW w:w="4800" w:type="dxa"/>
            <w:vAlign w:val="center"/>
          </w:tcPr>
          <w:p w:rsidRPr="00F33C62" w:rsidR="00A15CDE" w:rsidP="00A15CDE" w:rsidRDefault="00A15CDE" w14:paraId="43358FF8" w14:textId="3C6D1E6B">
            <w:pPr>
              <w:spacing w:line="240" w:lineRule="auto"/>
              <w:ind w:firstLine="0"/>
            </w:pPr>
            <w:r w:rsidRPr="07D8631D">
              <w:t xml:space="preserve">We adopt </w:t>
            </w:r>
            <w:r w:rsidRPr="07D8631D" w:rsidR="00EB50F8">
              <w:t>Cal Water</w:t>
            </w:r>
            <w:r w:rsidR="000C0896">
              <w:rPr>
                <w:szCs w:val="20"/>
              </w:rPr>
              <w:t>’</w:t>
            </w:r>
            <w:r w:rsidRPr="07D8631D">
              <w:t>s corrected amount based on inflation</w:t>
            </w:r>
            <w:r w:rsidR="00270999">
              <w:rPr>
                <w:szCs w:val="20"/>
              </w:rPr>
              <w:noBreakHyphen/>
            </w:r>
            <w:r w:rsidRPr="07D8631D">
              <w:t>adjusted five</w:t>
            </w:r>
            <w:r w:rsidR="00270999">
              <w:rPr>
                <w:szCs w:val="20"/>
              </w:rPr>
              <w:noBreakHyphen/>
            </w:r>
            <w:r w:rsidRPr="07D8631D">
              <w:t xml:space="preserve">year average and supported </w:t>
            </w:r>
            <w:r w:rsidRPr="07D8631D">
              <w:lastRenderedPageBreak/>
              <w:t>correction to Customer Support Services solar project model.</w:t>
            </w:r>
          </w:p>
        </w:tc>
      </w:tr>
      <w:tr w:rsidRPr="00F33C62" w:rsidR="00A15CDE" w:rsidTr="00F5665C" w14:paraId="2F1C82E4" w14:textId="77777777">
        <w:trPr>
          <w:jc w:val="center"/>
        </w:trPr>
        <w:tc>
          <w:tcPr>
            <w:tcW w:w="2695" w:type="dxa"/>
          </w:tcPr>
          <w:p w:rsidRPr="00F33C62" w:rsidR="00A15CDE" w:rsidP="002D60C8" w:rsidRDefault="00A15CDE" w14:paraId="68E406B4" w14:textId="3C24A348">
            <w:pPr>
              <w:pStyle w:val="Table2Subissue"/>
            </w:pPr>
            <w:r w:rsidRPr="00F33C62">
              <w:lastRenderedPageBreak/>
              <w:t>9</w:t>
            </w:r>
            <w:r w:rsidR="002D60C8">
              <w:t>.</w:t>
            </w:r>
            <w:r w:rsidR="002D60C8">
              <w:tab/>
            </w:r>
            <w:r w:rsidRPr="00F33C62">
              <w:t>Customer Accounting</w:t>
            </w:r>
          </w:p>
        </w:tc>
        <w:tc>
          <w:tcPr>
            <w:tcW w:w="3060" w:type="dxa"/>
          </w:tcPr>
          <w:p w:rsidRPr="00F33C62" w:rsidR="00A15CDE" w:rsidP="00F33C62" w:rsidRDefault="00A15CDE" w14:paraId="0EE206ED" w14:textId="77777777">
            <w:pPr>
              <w:spacing w:line="240" w:lineRule="auto"/>
              <w:ind w:firstLine="0"/>
              <w:jc w:val="center"/>
            </w:pPr>
            <w:r w:rsidRPr="00F33C62">
              <w:rPr>
                <w:szCs w:val="20"/>
              </w:rPr>
              <w:t>$19,367,846</w:t>
            </w:r>
          </w:p>
        </w:tc>
        <w:tc>
          <w:tcPr>
            <w:tcW w:w="4800" w:type="dxa"/>
            <w:vAlign w:val="center"/>
          </w:tcPr>
          <w:p w:rsidRPr="00F33C62" w:rsidR="00A15CDE" w:rsidP="00A15CDE" w:rsidRDefault="00A15CDE" w14:paraId="10307C48" w14:textId="2E1BEA17">
            <w:pPr>
              <w:spacing w:line="240" w:lineRule="auto"/>
              <w:ind w:firstLine="0"/>
            </w:pPr>
            <w:r w:rsidRPr="00F33C62">
              <w:rPr>
                <w:szCs w:val="20"/>
              </w:rPr>
              <w:t xml:space="preserve">We adopt adjusted </w:t>
            </w:r>
            <w:r w:rsidR="00EF1E5C">
              <w:rPr>
                <w:szCs w:val="20"/>
              </w:rPr>
              <w:t>TY</w:t>
            </w:r>
            <w:r w:rsidRPr="00F33C62">
              <w:rPr>
                <w:szCs w:val="20"/>
              </w:rPr>
              <w:t xml:space="preserve"> amount reflecting removal of non</w:t>
            </w:r>
            <w:r w:rsidR="00270999">
              <w:rPr>
                <w:szCs w:val="20"/>
              </w:rPr>
              <w:noBreakHyphen/>
            </w:r>
            <w:r w:rsidRPr="00F33C62">
              <w:rPr>
                <w:szCs w:val="20"/>
              </w:rPr>
              <w:t>recurring/insufficiently supported items and correction of overstated assumptions (</w:t>
            </w:r>
            <w:r w:rsidRPr="0080343B" w:rsidR="0080343B">
              <w:rPr>
                <w:i/>
                <w:iCs/>
                <w:szCs w:val="20"/>
              </w:rPr>
              <w:t>e.g.</w:t>
            </w:r>
            <w:r w:rsidRPr="00F33C62">
              <w:rPr>
                <w:szCs w:val="20"/>
              </w:rPr>
              <w:t>, certain software/licensing/discretionary initiatives).</w:t>
            </w:r>
          </w:p>
        </w:tc>
      </w:tr>
      <w:tr w:rsidRPr="00F33C62" w:rsidR="00A15CDE" w:rsidTr="00F5665C" w14:paraId="72B802B0" w14:textId="77777777">
        <w:trPr>
          <w:jc w:val="center"/>
        </w:trPr>
        <w:tc>
          <w:tcPr>
            <w:tcW w:w="2695" w:type="dxa"/>
          </w:tcPr>
          <w:p w:rsidRPr="00F33C62" w:rsidR="00A15CDE" w:rsidP="002D60C8" w:rsidRDefault="00A15CDE" w14:paraId="73D62929" w14:textId="54B4D5BA">
            <w:pPr>
              <w:pStyle w:val="Table2Subissue3"/>
            </w:pPr>
            <w:r w:rsidRPr="00F33C62">
              <w:t>10</w:t>
            </w:r>
            <w:r w:rsidR="002D60C8">
              <w:t>.</w:t>
            </w:r>
            <w:r w:rsidR="002D60C8">
              <w:tab/>
            </w:r>
            <w:r w:rsidRPr="00F33C62">
              <w:t>Contracted Maintenance</w:t>
            </w:r>
          </w:p>
        </w:tc>
        <w:tc>
          <w:tcPr>
            <w:tcW w:w="3060" w:type="dxa"/>
          </w:tcPr>
          <w:p w:rsidR="00F65056" w:rsidP="00F33C62" w:rsidRDefault="00A15CDE" w14:paraId="65729B40" w14:textId="77777777">
            <w:pPr>
              <w:spacing w:line="240" w:lineRule="auto"/>
              <w:ind w:firstLine="0"/>
              <w:jc w:val="center"/>
              <w:rPr>
                <w:szCs w:val="20"/>
              </w:rPr>
            </w:pPr>
            <w:r w:rsidRPr="00F33C62">
              <w:rPr>
                <w:szCs w:val="20"/>
              </w:rPr>
              <w:t>$15,058,929</w:t>
            </w:r>
          </w:p>
          <w:p w:rsidRPr="00F33C62" w:rsidR="00A15CDE" w:rsidP="00F33C62" w:rsidRDefault="00A15CDE" w14:paraId="79F5FCE8" w14:textId="0DD953DA">
            <w:pPr>
              <w:spacing w:line="240" w:lineRule="auto"/>
              <w:ind w:firstLine="0"/>
              <w:jc w:val="center"/>
            </w:pPr>
            <w:r w:rsidRPr="00F33C62">
              <w:rPr>
                <w:szCs w:val="20"/>
              </w:rPr>
              <w:t>(conditional)</w:t>
            </w:r>
          </w:p>
        </w:tc>
        <w:tc>
          <w:tcPr>
            <w:tcW w:w="4800" w:type="dxa"/>
            <w:vAlign w:val="center"/>
          </w:tcPr>
          <w:p w:rsidRPr="00F33C62" w:rsidR="00A15CDE" w:rsidP="00A15CDE" w:rsidRDefault="00A15CDE" w14:paraId="6CF44996" w14:textId="1D0F36E1">
            <w:pPr>
              <w:spacing w:line="240" w:lineRule="auto"/>
              <w:ind w:firstLine="0"/>
            </w:pPr>
            <w:r w:rsidRPr="00F33C62">
              <w:rPr>
                <w:szCs w:val="20"/>
              </w:rPr>
              <w:t xml:space="preserve">We adopt </w:t>
            </w:r>
            <w:r w:rsidR="00EF1E5C">
              <w:rPr>
                <w:szCs w:val="20"/>
              </w:rPr>
              <w:t>TY</w:t>
            </w:r>
            <w:r w:rsidRPr="00F33C62">
              <w:rPr>
                <w:szCs w:val="20"/>
              </w:rPr>
              <w:t xml:space="preserve"> amount subject to adjustment to exclude amortization associated with tank painting or well rehabilitation projects not adopted for cost recovery in this decision.</w:t>
            </w:r>
          </w:p>
        </w:tc>
      </w:tr>
      <w:tr w:rsidRPr="00F33C62" w:rsidR="00A15CDE" w:rsidTr="00F5665C" w14:paraId="4A610DDF" w14:textId="77777777">
        <w:trPr>
          <w:jc w:val="center"/>
        </w:trPr>
        <w:tc>
          <w:tcPr>
            <w:tcW w:w="2695" w:type="dxa"/>
          </w:tcPr>
          <w:p w:rsidRPr="00F33C62" w:rsidR="00A15CDE" w:rsidP="00C827E8" w:rsidRDefault="00A15CDE" w14:paraId="184C1C3E" w14:textId="5AB7B9AF">
            <w:pPr>
              <w:pStyle w:val="Table2Subissue3"/>
            </w:pPr>
            <w:r w:rsidRPr="00F33C62">
              <w:t>11</w:t>
            </w:r>
            <w:r w:rsidR="002D60C8">
              <w:t>.</w:t>
            </w:r>
            <w:r w:rsidR="002D60C8">
              <w:tab/>
            </w:r>
            <w:r w:rsidRPr="00F33C62">
              <w:t>A&amp;G Non</w:t>
            </w:r>
            <w:r w:rsidRPr="00F33C62" w:rsidR="66D80633">
              <w:t>-</w:t>
            </w:r>
            <w:r w:rsidRPr="00F33C62">
              <w:t>Specifics</w:t>
            </w:r>
          </w:p>
        </w:tc>
        <w:tc>
          <w:tcPr>
            <w:tcW w:w="3060" w:type="dxa"/>
          </w:tcPr>
          <w:p w:rsidRPr="00F33C62" w:rsidR="00A15CDE" w:rsidP="00F33C62" w:rsidRDefault="00A15CDE" w14:paraId="3AE42534" w14:textId="77777777">
            <w:pPr>
              <w:spacing w:line="240" w:lineRule="auto"/>
              <w:ind w:firstLine="0"/>
              <w:jc w:val="center"/>
              <w:rPr>
                <w:szCs w:val="20"/>
              </w:rPr>
            </w:pPr>
            <w:r w:rsidRPr="00F33C62">
              <w:rPr>
                <w:szCs w:val="20"/>
              </w:rPr>
              <w:t>$43,815,507</w:t>
            </w:r>
          </w:p>
        </w:tc>
        <w:tc>
          <w:tcPr>
            <w:tcW w:w="4800" w:type="dxa"/>
            <w:vAlign w:val="center"/>
          </w:tcPr>
          <w:p w:rsidRPr="00F33C62" w:rsidR="00A15CDE" w:rsidP="00A15CDE" w:rsidRDefault="00A15CDE" w14:paraId="5D741BF2" w14:textId="28A18AA0">
            <w:pPr>
              <w:spacing w:line="240" w:lineRule="auto"/>
              <w:ind w:firstLine="0"/>
            </w:pPr>
            <w:r w:rsidRPr="07D8631D">
              <w:t xml:space="preserve">We adopt </w:t>
            </w:r>
            <w:r w:rsidRPr="07D8631D" w:rsidR="008B2760">
              <w:t xml:space="preserve">an </w:t>
            </w:r>
            <w:r w:rsidRPr="07D8631D">
              <w:t>inflation</w:t>
            </w:r>
            <w:r w:rsidR="00270999">
              <w:rPr>
                <w:szCs w:val="20"/>
              </w:rPr>
              <w:noBreakHyphen/>
            </w:r>
            <w:r w:rsidRPr="07D8631D">
              <w:t>adjusted five</w:t>
            </w:r>
            <w:r w:rsidR="00270999">
              <w:rPr>
                <w:szCs w:val="20"/>
              </w:rPr>
              <w:noBreakHyphen/>
            </w:r>
            <w:r w:rsidRPr="07D8631D">
              <w:t>year historical forecast excluding the proposed $624,468 apprenticeship program.</w:t>
            </w:r>
          </w:p>
        </w:tc>
      </w:tr>
      <w:tr w:rsidRPr="00F33C62" w:rsidR="00A15CDE" w:rsidTr="00F5665C" w14:paraId="5B0B185C" w14:textId="77777777">
        <w:trPr>
          <w:jc w:val="center"/>
        </w:trPr>
        <w:tc>
          <w:tcPr>
            <w:tcW w:w="2695" w:type="dxa"/>
          </w:tcPr>
          <w:p w:rsidRPr="00F33C62" w:rsidR="00A15CDE" w:rsidP="00C827E8" w:rsidRDefault="00A15CDE" w14:paraId="085E00A0" w14:textId="63548EFD">
            <w:pPr>
              <w:pStyle w:val="Table2Subissue3"/>
            </w:pPr>
            <w:r w:rsidRPr="00F33C62">
              <w:t>12</w:t>
            </w:r>
            <w:r w:rsidR="002D60C8">
              <w:t>.</w:t>
            </w:r>
            <w:r w:rsidR="002D60C8">
              <w:tab/>
            </w:r>
            <w:r w:rsidRPr="00F33C62">
              <w:t>Conservation</w:t>
            </w:r>
          </w:p>
        </w:tc>
        <w:tc>
          <w:tcPr>
            <w:tcW w:w="3060" w:type="dxa"/>
          </w:tcPr>
          <w:p w:rsidR="00F65056" w:rsidP="00F33C62" w:rsidRDefault="00A15CDE" w14:paraId="0279310C" w14:textId="584FE82D">
            <w:pPr>
              <w:spacing w:line="240" w:lineRule="auto"/>
              <w:ind w:firstLine="0"/>
              <w:jc w:val="center"/>
              <w:rPr>
                <w:szCs w:val="20"/>
              </w:rPr>
            </w:pPr>
            <w:r w:rsidRPr="00F33C62">
              <w:rPr>
                <w:szCs w:val="20"/>
              </w:rPr>
              <w:t>$</w:t>
            </w:r>
            <w:r w:rsidRPr="00296DD9" w:rsidR="00296DD9">
              <w:t xml:space="preserve"> </w:t>
            </w:r>
            <w:r w:rsidRPr="00296DD9" w:rsidR="00296DD9">
              <w:rPr>
                <w:szCs w:val="20"/>
              </w:rPr>
              <w:t>13,807,856</w:t>
            </w:r>
          </w:p>
          <w:p w:rsidRPr="00F33C62" w:rsidR="00A15CDE" w:rsidP="00F33C62" w:rsidRDefault="00A15CDE" w14:paraId="194AC116" w14:textId="47A43B06">
            <w:pPr>
              <w:spacing w:line="240" w:lineRule="auto"/>
              <w:ind w:firstLine="0"/>
              <w:jc w:val="center"/>
              <w:rPr>
                <w:szCs w:val="20"/>
              </w:rPr>
            </w:pPr>
            <w:r w:rsidRPr="00F33C62">
              <w:rPr>
                <w:szCs w:val="20"/>
              </w:rPr>
              <w:t>(annual)</w:t>
            </w:r>
          </w:p>
        </w:tc>
        <w:tc>
          <w:tcPr>
            <w:tcW w:w="4800" w:type="dxa"/>
            <w:vAlign w:val="center"/>
          </w:tcPr>
          <w:p w:rsidRPr="00F33C62" w:rsidR="00A15CDE" w:rsidP="00A15CDE" w:rsidRDefault="00A15CDE" w14:paraId="63DE1CFE" w14:textId="48E0EAED">
            <w:pPr>
              <w:spacing w:line="240" w:lineRule="auto"/>
              <w:ind w:firstLine="0"/>
              <w:rPr>
                <w:szCs w:val="20"/>
              </w:rPr>
            </w:pPr>
            <w:r w:rsidRPr="00F33C62">
              <w:rPr>
                <w:szCs w:val="20"/>
              </w:rPr>
              <w:t>We adopt an annual conservation budget of $</w:t>
            </w:r>
            <w:r w:rsidRPr="00296DD9" w:rsidR="00296DD9">
              <w:t xml:space="preserve"> </w:t>
            </w:r>
            <w:r w:rsidRPr="00296DD9" w:rsidR="00296DD9">
              <w:rPr>
                <w:szCs w:val="20"/>
              </w:rPr>
              <w:t>13,807,856</w:t>
            </w:r>
            <w:r w:rsidRPr="00F33C62">
              <w:rPr>
                <w:szCs w:val="20"/>
              </w:rPr>
              <w:t xml:space="preserve"> for each year of the cycle.</w:t>
            </w:r>
          </w:p>
        </w:tc>
      </w:tr>
      <w:tr w:rsidRPr="00F33C62" w:rsidR="00A15CDE" w:rsidTr="00F5665C" w14:paraId="3B404498" w14:textId="77777777">
        <w:trPr>
          <w:jc w:val="center"/>
        </w:trPr>
        <w:tc>
          <w:tcPr>
            <w:tcW w:w="2695" w:type="dxa"/>
          </w:tcPr>
          <w:p w:rsidRPr="00F33C62" w:rsidR="00A15CDE" w:rsidP="00C827E8" w:rsidRDefault="00A15CDE" w14:paraId="53B26454" w14:textId="61DA0B84">
            <w:pPr>
              <w:pStyle w:val="Table2Subissue3"/>
            </w:pPr>
            <w:r w:rsidRPr="00F33C62">
              <w:t>13</w:t>
            </w:r>
            <w:r w:rsidR="002D60C8">
              <w:t>.</w:t>
            </w:r>
            <w:r w:rsidR="002D60C8">
              <w:tab/>
            </w:r>
            <w:r w:rsidRPr="00F33C62">
              <w:t>Payroll</w:t>
            </w:r>
          </w:p>
        </w:tc>
        <w:tc>
          <w:tcPr>
            <w:tcW w:w="3060" w:type="dxa"/>
          </w:tcPr>
          <w:p w:rsidRPr="00F33C62" w:rsidR="00A15CDE" w:rsidP="00F33C62" w:rsidRDefault="00A15CDE" w14:paraId="7DBFBB5C" w14:textId="77777777">
            <w:pPr>
              <w:spacing w:line="240" w:lineRule="auto"/>
              <w:ind w:firstLine="0"/>
              <w:jc w:val="center"/>
              <w:rPr>
                <w:szCs w:val="20"/>
              </w:rPr>
            </w:pPr>
            <w:r w:rsidRPr="00F33C62">
              <w:rPr>
                <w:szCs w:val="20"/>
              </w:rPr>
              <w:t>$122,108,891</w:t>
            </w:r>
          </w:p>
        </w:tc>
        <w:tc>
          <w:tcPr>
            <w:tcW w:w="4800" w:type="dxa"/>
            <w:vAlign w:val="center"/>
          </w:tcPr>
          <w:p w:rsidRPr="00F33C62" w:rsidR="00A15CDE" w:rsidP="00A15CDE" w:rsidRDefault="00A15CDE" w14:paraId="3F83B840" w14:textId="092C3875">
            <w:pPr>
              <w:spacing w:line="240" w:lineRule="auto"/>
              <w:ind w:firstLine="0"/>
            </w:pPr>
            <w:r w:rsidRPr="07D8631D">
              <w:t xml:space="preserve">We adopt </w:t>
            </w:r>
            <w:r w:rsidRPr="07D8631D" w:rsidR="00EB50F8">
              <w:t>Cal Water</w:t>
            </w:r>
            <w:r w:rsidR="000C0896">
              <w:rPr>
                <w:szCs w:val="20"/>
              </w:rPr>
              <w:t>’</w:t>
            </w:r>
            <w:r w:rsidRPr="07D8631D">
              <w:t xml:space="preserve">s </w:t>
            </w:r>
            <w:r w:rsidRPr="07D8631D" w:rsidR="00EF1E5C">
              <w:t>TY</w:t>
            </w:r>
            <w:r w:rsidRPr="07D8631D">
              <w:t xml:space="preserve"> payroll forecast based on recorded 2023 payroll with documented adjustments; no additional vacancy</w:t>
            </w:r>
            <w:r w:rsidR="00270999">
              <w:rPr>
                <w:szCs w:val="20"/>
              </w:rPr>
              <w:noBreakHyphen/>
            </w:r>
            <w:r w:rsidRPr="07D8631D">
              <w:t>based haircut to avoid double counting.</w:t>
            </w:r>
          </w:p>
        </w:tc>
      </w:tr>
      <w:tr w:rsidRPr="00F33C62" w:rsidR="00A15CDE" w:rsidTr="00F5665C" w14:paraId="25E5C156" w14:textId="77777777">
        <w:trPr>
          <w:jc w:val="center"/>
        </w:trPr>
        <w:tc>
          <w:tcPr>
            <w:tcW w:w="2695" w:type="dxa"/>
          </w:tcPr>
          <w:p w:rsidRPr="00F33C62" w:rsidR="00A15CDE" w:rsidP="00C827E8" w:rsidRDefault="00A15CDE" w14:paraId="2B9450CA" w14:textId="52992DC5">
            <w:pPr>
              <w:pStyle w:val="Table2Subissue3"/>
            </w:pPr>
            <w:r w:rsidRPr="00F33C62">
              <w:t>14</w:t>
            </w:r>
            <w:r w:rsidR="002D60C8">
              <w:t>.</w:t>
            </w:r>
            <w:r w:rsidR="002D60C8">
              <w:tab/>
            </w:r>
            <w:r w:rsidRPr="00F33C62">
              <w:t>Benefits</w:t>
            </w:r>
          </w:p>
        </w:tc>
        <w:tc>
          <w:tcPr>
            <w:tcW w:w="3060" w:type="dxa"/>
          </w:tcPr>
          <w:p w:rsidRPr="00F33C62" w:rsidR="00A15CDE" w:rsidP="00F33C62" w:rsidRDefault="00A15CDE" w14:paraId="73EC197D" w14:textId="77777777">
            <w:pPr>
              <w:spacing w:line="240" w:lineRule="auto"/>
              <w:ind w:firstLine="0"/>
              <w:jc w:val="center"/>
              <w:rPr>
                <w:szCs w:val="20"/>
              </w:rPr>
            </w:pPr>
            <w:r w:rsidRPr="00F33C62">
              <w:rPr>
                <w:szCs w:val="20"/>
              </w:rPr>
              <w:t>$27,134,154</w:t>
            </w:r>
          </w:p>
        </w:tc>
        <w:tc>
          <w:tcPr>
            <w:tcW w:w="4800" w:type="dxa"/>
            <w:vAlign w:val="center"/>
          </w:tcPr>
          <w:p w:rsidRPr="00F33C62" w:rsidR="00A15CDE" w:rsidP="00A15CDE" w:rsidRDefault="00A15CDE" w14:paraId="439AD4E2" w14:textId="0731F1C0">
            <w:pPr>
              <w:spacing w:line="240" w:lineRule="auto"/>
              <w:ind w:firstLine="0"/>
            </w:pPr>
            <w:r w:rsidRPr="07D8631D">
              <w:t xml:space="preserve">We adopt </w:t>
            </w:r>
            <w:r w:rsidRPr="07D8631D" w:rsidR="00EB50F8">
              <w:t>Cal Water</w:t>
            </w:r>
            <w:r w:rsidR="000C0896">
              <w:rPr>
                <w:szCs w:val="20"/>
              </w:rPr>
              <w:t>’</w:t>
            </w:r>
            <w:r w:rsidRPr="07D8631D">
              <w:t>s updated benefits forecast using undisputed actuarial inputs and participant</w:t>
            </w:r>
            <w:r w:rsidR="00270999">
              <w:rPr>
                <w:szCs w:val="20"/>
              </w:rPr>
              <w:noBreakHyphen/>
            </w:r>
            <w:r w:rsidRPr="07D8631D">
              <w:t>based methodology updated for employee base plus adopted staffing; includes SERP costs within pension.</w:t>
            </w:r>
          </w:p>
        </w:tc>
      </w:tr>
    </w:tbl>
    <w:p w:rsidRPr="00E523C4" w:rsidR="00E72D62" w:rsidP="005804B5" w:rsidRDefault="00E72D62" w14:paraId="3D73DCA8" w14:textId="54375E4C">
      <w:pPr>
        <w:pStyle w:val="StandardTableSub"/>
      </w:pPr>
      <w:r w:rsidRPr="00E523C4">
        <w:lastRenderedPageBreak/>
        <w:t>The exclusion of AMI</w:t>
      </w:r>
      <w:r w:rsidR="00270999">
        <w:noBreakHyphen/>
      </w:r>
      <w:r w:rsidRPr="00E523C4">
        <w:t xml:space="preserve">related savings and costs from the Scoped </w:t>
      </w:r>
      <w:r w:rsidR="009D287A">
        <w:t>Issue #</w:t>
      </w:r>
      <w:r w:rsidRPr="00E523C4">
        <w:t>2 Test Year O&amp;M forecasts does not preclude separate treatment of AMI capital and any incremental AMI</w:t>
      </w:r>
      <w:r w:rsidR="00270999">
        <w:noBreakHyphen/>
      </w:r>
      <w:r w:rsidRPr="00E523C4">
        <w:t>related O&amp;M, if adopted, under the Common Plant determinations.</w:t>
      </w:r>
    </w:p>
    <w:p w:rsidRPr="00E523C4" w:rsidR="006675FA" w:rsidP="006675FA" w:rsidRDefault="006675FA" w14:paraId="5C7F943E" w14:textId="63A2DC33">
      <w:pPr>
        <w:pStyle w:val="Standard"/>
      </w:pPr>
      <w:r w:rsidRPr="00E523C4">
        <w:t>Consistent with D.04</w:t>
      </w:r>
      <w:r w:rsidR="00270999">
        <w:noBreakHyphen/>
      </w:r>
      <w:r w:rsidRPr="00E523C4">
        <w:t>07</w:t>
      </w:r>
      <w:r w:rsidR="00270999">
        <w:noBreakHyphen/>
      </w:r>
      <w:r w:rsidRPr="00E523C4">
        <w:t>022 and D.19</w:t>
      </w:r>
      <w:r w:rsidR="00270999">
        <w:noBreakHyphen/>
      </w:r>
      <w:r w:rsidRPr="00E523C4">
        <w:t>05</w:t>
      </w:r>
      <w:r w:rsidR="00270999">
        <w:noBreakHyphen/>
      </w:r>
      <w:r w:rsidRPr="00E523C4">
        <w:t>044, the Commission may balance forward</w:t>
      </w:r>
      <w:r w:rsidR="00270999">
        <w:noBreakHyphen/>
      </w:r>
      <w:r w:rsidRPr="00E523C4">
        <w:t>looking considerations against historical experience to ensure ratepayer protection from speculative cost recovery. This balance requires</w:t>
      </w:r>
      <w:r w:rsidR="000C0896">
        <w:t xml:space="preserve">:  </w:t>
      </w:r>
      <w:r w:rsidR="006237E8">
        <w:t>(1) </w:t>
      </w:r>
      <w:r w:rsidRPr="00E523C4">
        <w:t xml:space="preserve">adopting </w:t>
      </w:r>
      <w:r w:rsidR="00EB50F8">
        <w:t>Cal Water</w:t>
      </w:r>
      <w:r w:rsidR="000C0896">
        <w:t>’</w:t>
      </w:r>
      <w:r w:rsidRPr="00E523C4">
        <w:t>s forward</w:t>
      </w:r>
      <w:r w:rsidR="00270999">
        <w:noBreakHyphen/>
      </w:r>
      <w:r w:rsidRPr="00E523C4">
        <w:t>looking forecasts where the company provides specific, evidence</w:t>
      </w:r>
      <w:r w:rsidR="00270999">
        <w:noBreakHyphen/>
      </w:r>
      <w:r w:rsidRPr="00E523C4">
        <w:t xml:space="preserve">based support for increases; and </w:t>
      </w:r>
      <w:r w:rsidR="006237E8">
        <w:t>(2) </w:t>
      </w:r>
      <w:r w:rsidRPr="00E523C4">
        <w:t xml:space="preserve">adjusting downward only those categories where </w:t>
      </w:r>
      <w:r w:rsidR="00EB50F8">
        <w:t>Cal Water</w:t>
      </w:r>
      <w:r w:rsidRPr="00E523C4">
        <w:t xml:space="preserve"> has not adequately demonstrated the magnitude of requested escalation. This approach ensures rates reflect prudent cost recovery while avoiding both inflated forecasts and </w:t>
      </w:r>
      <w:r w:rsidR="00A23D11">
        <w:t>“</w:t>
      </w:r>
      <w:r w:rsidRPr="00E523C4">
        <w:t>unthinking,</w:t>
      </w:r>
      <w:r w:rsidR="00A23D11">
        <w:t>”</w:t>
      </w:r>
      <w:r w:rsidRPr="00E523C4">
        <w:t xml:space="preserve"> backward</w:t>
      </w:r>
      <w:r w:rsidR="00270999">
        <w:noBreakHyphen/>
      </w:r>
      <w:r w:rsidRPr="00E523C4">
        <w:t>looking assumptions.</w:t>
      </w:r>
    </w:p>
    <w:p w:rsidRPr="006675FA" w:rsidR="006675FA" w:rsidP="00B1559F" w:rsidRDefault="006675FA" w14:paraId="2567037D" w14:textId="4F193772">
      <w:pPr>
        <w:pStyle w:val="Standard"/>
      </w:pPr>
      <w:r w:rsidRPr="00E523C4">
        <w:t xml:space="preserve">However, the evidentiary record supports adopting </w:t>
      </w:r>
      <w:r w:rsidR="00EB50F8">
        <w:t>Cal Water</w:t>
      </w:r>
      <w:r w:rsidR="000C0896">
        <w:t>’</w:t>
      </w:r>
      <w:r w:rsidRPr="00E523C4">
        <w:t>s forecasts only where the utility shows a clear, documented basis for increases above inflation or historical norms. For categories lacking sufficient justification, targeted adjustments are warranted</w:t>
      </w:r>
      <w:r w:rsidR="00AE44B3">
        <w:t xml:space="preserve"> — </w:t>
      </w:r>
      <w:r w:rsidRPr="00E523C4">
        <w:t xml:space="preserve">but not wholesale substitution of historical averages as recommended by </w:t>
      </w:r>
      <w:r w:rsidR="00EB50F8">
        <w:t>Cal Advocates</w:t>
      </w:r>
      <w:r w:rsidRPr="00E523C4">
        <w:t xml:space="preserve">. This balanced approach better reflects prudent ratemaking under </w:t>
      </w:r>
      <w:r w:rsidR="003A5B7D">
        <w:t>Pub. Util.</w:t>
      </w:r>
      <w:r w:rsidRPr="00E523C4">
        <w:t xml:space="preserve"> Code </w:t>
      </w:r>
      <w:r w:rsidR="00EF3DDB">
        <w:t>Section</w:t>
      </w:r>
      <w:r w:rsidR="008B2760">
        <w:t>s</w:t>
      </w:r>
      <w:r w:rsidR="00EF3DDB">
        <w:t> </w:t>
      </w:r>
      <w:r w:rsidRPr="00E523C4">
        <w:t>451 and 454 and ensures that the Commission incorporates both past experience and present conditions in determining just and reasonable rates.</w:t>
      </w:r>
      <w:r w:rsidRPr="00E523C4" w:rsidR="00B03044">
        <w:t xml:space="preserve"> The use of the </w:t>
      </w:r>
      <w:r w:rsidR="00C93329">
        <w:t>Unrestricted</w:t>
      </w:r>
      <w:r w:rsidRPr="00E523C4" w:rsidR="00B03044">
        <w:t xml:space="preserve"> </w:t>
      </w:r>
      <w:proofErr w:type="spellStart"/>
      <w:r w:rsidRPr="00E523C4" w:rsidR="00B03044">
        <w:t>M.Cubed</w:t>
      </w:r>
      <w:proofErr w:type="spellEnd"/>
      <w:r w:rsidRPr="00E523C4" w:rsidR="00B03044">
        <w:t xml:space="preserve"> sales forecast, tariff</w:t>
      </w:r>
      <w:r w:rsidR="00270999">
        <w:noBreakHyphen/>
      </w:r>
      <w:r w:rsidRPr="00E523C4" w:rsidR="00B03044">
        <w:t>based purchased</w:t>
      </w:r>
      <w:r w:rsidR="00270999">
        <w:noBreakHyphen/>
      </w:r>
      <w:r w:rsidRPr="00E523C4" w:rsidR="00B03044">
        <w:t xml:space="preserve">water unit rates, </w:t>
      </w:r>
      <w:r w:rsidR="00EB50F8">
        <w:t>Cal Advocates</w:t>
      </w:r>
      <w:r w:rsidR="000C0896">
        <w:t>’</w:t>
      </w:r>
      <w:r w:rsidRPr="00E523C4" w:rsidR="00B03044">
        <w:t xml:space="preserve"> more conservative unit rates for purchased power and chemicals, </w:t>
      </w:r>
      <w:r w:rsidRPr="0080343B" w:rsidR="0080343B">
        <w:rPr>
          <w:i/>
          <w:iCs/>
        </w:rPr>
        <w:t>etc.</w:t>
      </w:r>
      <w:r w:rsidRPr="00E523C4" w:rsidR="00B03044">
        <w:t>, collectively implement this balance in a transparent, reproducible manner.</w:t>
      </w:r>
    </w:p>
    <w:p w:rsidRPr="004536BE" w:rsidR="004536BE" w:rsidP="00B1559F" w:rsidRDefault="004536BE" w14:paraId="52FD17E1" w14:textId="2CCCD78B">
      <w:pPr>
        <w:pStyle w:val="Standard"/>
      </w:pPr>
      <w:r w:rsidRPr="004536BE">
        <w:t xml:space="preserve">Historical trends remain a useful benchmark, but they are only a starting point. The Commission does not apply historical averages mechanistically where </w:t>
      </w:r>
      <w:r w:rsidR="00EB50F8">
        <w:lastRenderedPageBreak/>
        <w:t>Cal Water</w:t>
      </w:r>
      <w:r w:rsidRPr="004536BE">
        <w:t xml:space="preserve"> has provided evidence of changed operating conditions, regulatory requirements, or market dynamics that materially differ from past years.</w:t>
      </w:r>
    </w:p>
    <w:p w:rsidRPr="00E523C4" w:rsidR="004536BE" w:rsidP="00B1559F" w:rsidRDefault="00841879" w14:paraId="12F4CAEB" w14:textId="20B1D182">
      <w:pPr>
        <w:pStyle w:val="Standard"/>
      </w:pPr>
      <w:r>
        <w:t>There are</w:t>
      </w:r>
      <w:r w:rsidRPr="004536BE" w:rsidR="004536BE">
        <w:t xml:space="preserve"> remaining O&amp;M and A&amp;G categories, </w:t>
      </w:r>
      <w:r>
        <w:t xml:space="preserve">such as </w:t>
      </w:r>
      <w:r w:rsidRPr="00E523C4">
        <w:t>qualifying non</w:t>
      </w:r>
      <w:r w:rsidR="00FD6045">
        <w:noBreakHyphen/>
      </w:r>
      <w:r w:rsidRPr="00E523C4">
        <w:t>settled O&amp;M and A&amp;G accounts</w:t>
      </w:r>
      <w:r>
        <w:t xml:space="preserve">, </w:t>
      </w:r>
      <w:r w:rsidRPr="00E523C4">
        <w:t>purchased power and chemical expenses</w:t>
      </w:r>
      <w:r>
        <w:t xml:space="preserve">, and </w:t>
      </w:r>
      <w:r w:rsidRPr="00E523C4">
        <w:t>purchased water</w:t>
      </w:r>
      <w:r>
        <w:t>.</w:t>
      </w:r>
      <w:r w:rsidRPr="004536BE" w:rsidDel="00841879">
        <w:t xml:space="preserve"> </w:t>
      </w:r>
      <w:r>
        <w:t>The</w:t>
      </w:r>
      <w:r w:rsidRPr="004536BE" w:rsidR="004536BE">
        <w:t xml:space="preserve"> record does not fully support the magnitude of </w:t>
      </w:r>
      <w:r w:rsidR="00EB50F8">
        <w:t>Cal Water</w:t>
      </w:r>
      <w:r w:rsidR="000C0896">
        <w:t>’</w:t>
      </w:r>
      <w:r w:rsidRPr="004536BE" w:rsidR="004536BE">
        <w:t>s proposed increases</w:t>
      </w:r>
      <w:r>
        <w:t xml:space="preserve"> for these cost categories</w:t>
      </w:r>
      <w:r w:rsidRPr="004536BE" w:rsidR="004536BE">
        <w:t xml:space="preserve">, particularly where escalation materially exceeds both inflation indices and </w:t>
      </w:r>
      <w:r w:rsidR="00EB50F8">
        <w:t>Cal Water</w:t>
      </w:r>
      <w:r w:rsidR="000C0896">
        <w:t>’</w:t>
      </w:r>
      <w:r w:rsidRPr="004536BE" w:rsidR="004536BE">
        <w:t xml:space="preserve">s own historical trends without commensurate evidence of market changes, vendor contract shifts, or new workload drivers. </w:t>
      </w:r>
      <w:r>
        <w:t>T</w:t>
      </w:r>
      <w:r w:rsidRPr="004536BE" w:rsidR="004536BE">
        <w:t xml:space="preserve">he Commission adopts targeted adjustments to </w:t>
      </w:r>
      <w:r w:rsidR="00EB50F8">
        <w:t>Cal Water</w:t>
      </w:r>
      <w:r w:rsidR="000C0896">
        <w:t>’</w:t>
      </w:r>
      <w:r w:rsidRPr="004536BE" w:rsidR="004536BE">
        <w:t>s forecasts, but not the wholesale historical</w:t>
      </w:r>
      <w:r w:rsidR="00270999">
        <w:noBreakHyphen/>
      </w:r>
      <w:r w:rsidRPr="004536BE" w:rsidR="004536BE">
        <w:t xml:space="preserve">average approach advanced by </w:t>
      </w:r>
      <w:r w:rsidR="00EB50F8">
        <w:t>Cal Advocates</w:t>
      </w:r>
      <w:r w:rsidRPr="004536BE" w:rsidR="004536BE">
        <w:t>.</w:t>
      </w:r>
      <w:r w:rsidR="00B03044">
        <w:t xml:space="preserve"> </w:t>
      </w:r>
      <w:r>
        <w:t xml:space="preserve">Instead, </w:t>
      </w:r>
      <w:r w:rsidRPr="00E523C4">
        <w:t>the Commission evaluates each forecast on its merits rather than relying exclusively on backward</w:t>
      </w:r>
      <w:r w:rsidR="00270999">
        <w:noBreakHyphen/>
      </w:r>
      <w:r w:rsidRPr="00E523C4">
        <w:t>looking metrics that may not reflect current or anticipated conditions.</w:t>
      </w:r>
      <w:r>
        <w:t xml:space="preserve"> </w:t>
      </w:r>
      <w:r w:rsidRPr="00E523C4" w:rsidR="00B03044">
        <w:t>Specifically, for qualifying non</w:t>
      </w:r>
      <w:r w:rsidR="00FD6045">
        <w:noBreakHyphen/>
      </w:r>
      <w:r w:rsidRPr="00E523C4" w:rsidR="00B03044">
        <w:t xml:space="preserve">settled O&amp;M and A&amp;G accounts identified in </w:t>
      </w:r>
      <w:r w:rsidR="0027490E">
        <w:t>Ex. </w:t>
      </w:r>
      <w:r w:rsidRPr="00E523C4" w:rsidR="00B03044">
        <w:t>CalAdv</w:t>
      </w:r>
      <w:r w:rsidR="00270999">
        <w:noBreakHyphen/>
      </w:r>
      <w:r w:rsidRPr="00E523C4" w:rsidR="00B03044">
        <w:t xml:space="preserve">09 where </w:t>
      </w:r>
      <w:r w:rsidR="00EB50F8">
        <w:t>Cal Water</w:t>
      </w:r>
      <w:r w:rsidR="000C0896">
        <w:t>’</w:t>
      </w:r>
      <w:r w:rsidRPr="00E523C4" w:rsidR="00B03044">
        <w:t>s forecast exceeds 110</w:t>
      </w:r>
      <w:r w:rsidR="0032703D">
        <w:t> percent</w:t>
      </w:r>
      <w:r w:rsidRPr="00E523C4" w:rsidR="00B03044">
        <w:t xml:space="preserve"> of the five</w:t>
      </w:r>
      <w:r w:rsidR="00270999">
        <w:noBreakHyphen/>
      </w:r>
      <w:r w:rsidRPr="00E523C4" w:rsidR="00B03044">
        <w:t>year inflation</w:t>
      </w:r>
      <w:r w:rsidR="00270999">
        <w:noBreakHyphen/>
      </w:r>
      <w:r w:rsidRPr="00E523C4" w:rsidR="00B03044">
        <w:t xml:space="preserve">adjusted historical average and the record does not document </w:t>
      </w:r>
      <w:r>
        <w:t xml:space="preserve">new, </w:t>
      </w:r>
      <w:r w:rsidRPr="00E523C4" w:rsidR="00B03044">
        <w:t xml:space="preserve">discrete cost drivers, </w:t>
      </w:r>
      <w:r>
        <w:t>we adopt</w:t>
      </w:r>
      <w:r w:rsidRPr="00E523C4" w:rsidR="00B03044">
        <w:t xml:space="preserve"> the lower of </w:t>
      </w:r>
      <w:r w:rsidR="00EB50F8">
        <w:t>Cal Water</w:t>
      </w:r>
      <w:r w:rsidR="000C0896">
        <w:t>’</w:t>
      </w:r>
      <w:r w:rsidRPr="00E523C4" w:rsidR="00B03044">
        <w:t xml:space="preserve">s or </w:t>
      </w:r>
      <w:r w:rsidR="00EB50F8">
        <w:t>Cal Advocates</w:t>
      </w:r>
      <w:r w:rsidR="000C0896">
        <w:t>’</w:t>
      </w:r>
      <w:r w:rsidRPr="00E523C4" w:rsidR="00B03044">
        <w:t xml:space="preserve"> competing forecast. For purchased power and chemical expenses, the Commission adopts </w:t>
      </w:r>
      <w:r w:rsidR="00EB50F8">
        <w:t>Cal Advocates</w:t>
      </w:r>
      <w:r w:rsidR="000C0896">
        <w:t>’</w:t>
      </w:r>
      <w:r w:rsidRPr="00E523C4" w:rsidR="00B03044">
        <w:t xml:space="preserve"> lower unit</w:t>
      </w:r>
      <w:r w:rsidR="00270999">
        <w:noBreakHyphen/>
      </w:r>
      <w:r w:rsidRPr="00E523C4" w:rsidR="00B03044">
        <w:t>rate proposals applied to the adopted Normal</w:t>
      </w:r>
      <w:r w:rsidR="00270999">
        <w:noBreakHyphen/>
      </w:r>
      <w:r w:rsidRPr="00E523C4" w:rsidR="00B03044">
        <w:t>Scenario sales forecast, while for purchased water</w:t>
      </w:r>
      <w:r w:rsidR="008B2760">
        <w:t>,</w:t>
      </w:r>
      <w:r w:rsidRPr="00E523C4" w:rsidR="00B03044">
        <w:t xml:space="preserve"> the Commission relies on </w:t>
      </w:r>
      <w:r w:rsidR="00EB50F8">
        <w:t>Cal Water</w:t>
      </w:r>
      <w:r w:rsidR="000C0896">
        <w:t>’</w:t>
      </w:r>
      <w:r w:rsidRPr="00E523C4" w:rsidR="00B03044">
        <w:t>s tariff</w:t>
      </w:r>
      <w:r w:rsidR="00270999">
        <w:noBreakHyphen/>
      </w:r>
      <w:r w:rsidRPr="00E523C4" w:rsidR="00B03044">
        <w:t>based unit costs applied to that same sales forecast.</w:t>
      </w:r>
    </w:p>
    <w:p w:rsidRPr="00E523C4" w:rsidR="004536BE" w:rsidP="00B1559F" w:rsidRDefault="004536BE" w14:paraId="6ABCC5F5" w14:textId="015608CD">
      <w:pPr>
        <w:pStyle w:val="Standard"/>
      </w:pPr>
      <w:r w:rsidRPr="00E523C4">
        <w:t xml:space="preserve">The Commission also directs </w:t>
      </w:r>
      <w:r w:rsidR="00EB50F8">
        <w:t>Cal Water</w:t>
      </w:r>
      <w:r w:rsidRPr="00E523C4">
        <w:t xml:space="preserve"> to include, in its next GRC, detailed documentation for any forecasted cost category exceeding 110</w:t>
      </w:r>
      <w:r w:rsidR="0032703D">
        <w:t> percent</w:t>
      </w:r>
      <w:r w:rsidRPr="00E523C4">
        <w:t xml:space="preserve"> of its five</w:t>
      </w:r>
      <w:r w:rsidR="00270999">
        <w:noBreakHyphen/>
      </w:r>
      <w:r w:rsidRPr="00E523C4">
        <w:t>year inflation</w:t>
      </w:r>
      <w:r w:rsidR="00270999">
        <w:noBreakHyphen/>
      </w:r>
      <w:r w:rsidRPr="00E523C4">
        <w:t xml:space="preserve">adjusted average, accompanied by evidence of new regulatory requirements, vendor contract revisions, or measurable workload </w:t>
      </w:r>
      <w:r w:rsidRPr="00E523C4">
        <w:lastRenderedPageBreak/>
        <w:t xml:space="preserve">growth. This additional </w:t>
      </w:r>
      <w:r w:rsidR="00566987">
        <w:t>documentation</w:t>
      </w:r>
      <w:r w:rsidRPr="00E523C4" w:rsidR="00566987">
        <w:t xml:space="preserve"> </w:t>
      </w:r>
      <w:r w:rsidRPr="00E523C4">
        <w:t xml:space="preserve">will enable </w:t>
      </w:r>
      <w:r w:rsidR="00841879">
        <w:t xml:space="preserve">a </w:t>
      </w:r>
      <w:r w:rsidRPr="00E523C4">
        <w:t>more transparent review and promote consistency in evaluating future expense forecasts.</w:t>
      </w:r>
    </w:p>
    <w:p w:rsidRPr="00E523C4" w:rsidR="004536BE" w:rsidP="00B1559F" w:rsidRDefault="004536BE" w14:paraId="347D36D3" w14:textId="6F2AEEAC">
      <w:pPr>
        <w:pStyle w:val="Standard"/>
      </w:pPr>
      <w:r w:rsidRPr="00E523C4">
        <w:t xml:space="preserve">Accordingly, </w:t>
      </w:r>
      <w:r w:rsidR="00EB50F8">
        <w:t>Cal Water</w:t>
      </w:r>
      <w:r w:rsidRPr="00E523C4">
        <w:t xml:space="preserve"> shall revise its revenue requirement consistent with these determinations. This outcome achieves a forward</w:t>
      </w:r>
      <w:r w:rsidR="00270999">
        <w:noBreakHyphen/>
      </w:r>
      <w:r w:rsidRPr="00E523C4">
        <w:t>looking and evidence</w:t>
      </w:r>
      <w:r w:rsidR="00270999">
        <w:noBreakHyphen/>
      </w:r>
      <w:r w:rsidRPr="00E523C4">
        <w:t>based result</w:t>
      </w:r>
      <w:r w:rsidR="00AE44B3">
        <w:t xml:space="preserve"> — </w:t>
      </w:r>
      <w:r w:rsidRPr="00E523C4">
        <w:t>recognizing the need to fund essential operational and compliance costs while ensuring that ratepayers are protected from unsupported or excessive forecasts</w:t>
      </w:r>
      <w:r w:rsidR="00AE44B3">
        <w:t xml:space="preserve"> — </w:t>
      </w:r>
      <w:r w:rsidRPr="00E523C4">
        <w:t xml:space="preserve">without resorting to the </w:t>
      </w:r>
      <w:r w:rsidRPr="00E523C4" w:rsidR="2F092FC5">
        <w:t>mechanical</w:t>
      </w:r>
      <w:r w:rsidRPr="00E523C4">
        <w:t xml:space="preserve"> application of historical averages.</w:t>
      </w:r>
    </w:p>
    <w:p w:rsidR="001B39A3" w:rsidP="001B39A3" w:rsidRDefault="00747E8A" w14:paraId="09FEA17A" w14:textId="03F062D2">
      <w:pPr>
        <w:pStyle w:val="Heading2"/>
      </w:pPr>
      <w:bookmarkStart w:name="_Toc222305254" w:id="62"/>
      <w:bookmarkStart w:name="_Toc228294678" w:id="63"/>
      <w:r>
        <w:t xml:space="preserve">Scoped </w:t>
      </w:r>
      <w:r w:rsidR="009D287A">
        <w:t>Issue #</w:t>
      </w:r>
      <w:r>
        <w:t>3</w:t>
      </w:r>
      <w:r w:rsidR="000C0896">
        <w:t xml:space="preserve">:  </w:t>
      </w:r>
      <w:r w:rsidRPr="001B39A3" w:rsidR="001B39A3">
        <w:rPr>
          <w:bCs/>
        </w:rPr>
        <w:t xml:space="preserve">Whether </w:t>
      </w:r>
      <w:r w:rsidRPr="001A36AE" w:rsidR="001A36AE">
        <w:rPr>
          <w:bCs/>
        </w:rPr>
        <w:t>California Water Service Company</w:t>
      </w:r>
      <w:r w:rsidR="000C0896">
        <w:rPr>
          <w:bCs/>
        </w:rPr>
        <w:t>’</w:t>
      </w:r>
      <w:r w:rsidRPr="001B39A3" w:rsidR="001B39A3">
        <w:rPr>
          <w:bCs/>
        </w:rPr>
        <w:t xml:space="preserve">s </w:t>
      </w:r>
      <w:r w:rsidRPr="001B39A3" w:rsidR="00B1559F">
        <w:rPr>
          <w:bCs/>
        </w:rPr>
        <w:t>Proposed Plant Additions Are Accurate</w:t>
      </w:r>
      <w:r w:rsidRPr="001B39A3" w:rsidR="001B39A3">
        <w:rPr>
          <w:bCs/>
        </w:rPr>
        <w:t xml:space="preserve">, </w:t>
      </w:r>
      <w:r w:rsidRPr="001B39A3" w:rsidR="00B1559F">
        <w:rPr>
          <w:bCs/>
        </w:rPr>
        <w:t>Reasonable</w:t>
      </w:r>
      <w:r w:rsidRPr="001B39A3" w:rsidR="001B39A3">
        <w:rPr>
          <w:bCs/>
        </w:rPr>
        <w:t xml:space="preserve">, and </w:t>
      </w:r>
      <w:r w:rsidRPr="001B39A3" w:rsidR="00B1559F">
        <w:rPr>
          <w:bCs/>
        </w:rPr>
        <w:t>Justified</w:t>
      </w:r>
      <w:bookmarkEnd w:id="62"/>
      <w:bookmarkEnd w:id="63"/>
    </w:p>
    <w:p w:rsidR="00CE0158" w:rsidP="00B1559F" w:rsidRDefault="00EB50F8" w14:paraId="6721FC5B" w14:textId="734C342F">
      <w:pPr>
        <w:pStyle w:val="Standard"/>
      </w:pPr>
      <w:r>
        <w:t>Cal Water</w:t>
      </w:r>
      <w:r w:rsidRPr="004B7ADA" w:rsidR="004B7ADA">
        <w:t xml:space="preserve"> requests Commission approval of its forecasted plant additions for the TY and EYs. The company contends that its proposed capital program is necessary to maintain safe, reliable, and compliant operations, emphasizing that each project was developed through an engineering</w:t>
      </w:r>
      <w:r w:rsidR="00270999">
        <w:noBreakHyphen/>
      </w:r>
      <w:r w:rsidRPr="004B7ADA" w:rsidR="004B7ADA">
        <w:t>based asset management process incorporating regulatory requirements and operational risk assessment.</w:t>
      </w:r>
      <w:r w:rsidR="003D383E">
        <w:rPr>
          <w:rStyle w:val="FootnoteReference"/>
        </w:rPr>
        <w:footnoteReference w:id="47"/>
      </w:r>
      <w:r w:rsidRPr="004B7ADA" w:rsidR="004B7ADA">
        <w:t xml:space="preserve"> </w:t>
      </w:r>
      <w:r>
        <w:t>Cal Water</w:t>
      </w:r>
      <w:r w:rsidRPr="004B7ADA" w:rsidR="004B7ADA">
        <w:t xml:space="preserve"> maintains that its capital budgeting process uses condition</w:t>
      </w:r>
      <w:r w:rsidR="00270999">
        <w:noBreakHyphen/>
      </w:r>
      <w:r w:rsidRPr="004B7ADA" w:rsidR="004B7ADA">
        <w:t>based assessments and forward</w:t>
      </w:r>
      <w:r w:rsidR="00270999">
        <w:noBreakHyphen/>
      </w:r>
      <w:r w:rsidRPr="004B7ADA" w:rsidR="004B7ADA">
        <w:t>looking planning consistent with D.19</w:t>
      </w:r>
      <w:r w:rsidR="00270999">
        <w:noBreakHyphen/>
      </w:r>
      <w:r w:rsidRPr="004B7ADA" w:rsidR="004B7ADA">
        <w:t>05</w:t>
      </w:r>
      <w:r w:rsidR="00270999">
        <w:noBreakHyphen/>
      </w:r>
      <w:r w:rsidRPr="004B7ADA" w:rsidR="004B7ADA">
        <w:t xml:space="preserve">044 (2018 </w:t>
      </w:r>
      <w:r>
        <w:t>Cal Water</w:t>
      </w:r>
      <w:r w:rsidRPr="004B7ADA" w:rsidR="004B7ADA">
        <w:t xml:space="preserve"> GRC) and D.19</w:t>
      </w:r>
      <w:r w:rsidR="00270999">
        <w:noBreakHyphen/>
      </w:r>
      <w:r w:rsidRPr="004B7ADA" w:rsidR="004B7ADA">
        <w:t>12</w:t>
      </w:r>
      <w:r w:rsidR="00270999">
        <w:noBreakHyphen/>
      </w:r>
      <w:r w:rsidRPr="004B7ADA" w:rsidR="004B7ADA">
        <w:t>057, and that it prudently prioritized projects based on infrastructure condition, system performance, and public</w:t>
      </w:r>
      <w:r w:rsidR="00270999">
        <w:noBreakHyphen/>
      </w:r>
      <w:r w:rsidRPr="004B7ADA" w:rsidR="004B7ADA">
        <w:t>safety considerations</w:t>
      </w:r>
      <w:r w:rsidR="003D383E">
        <w:t>.</w:t>
      </w:r>
      <w:r w:rsidR="003D383E">
        <w:rPr>
          <w:rStyle w:val="FootnoteReference"/>
        </w:rPr>
        <w:footnoteReference w:id="48"/>
      </w:r>
    </w:p>
    <w:p w:rsidR="00CE0158" w:rsidP="00B1559F" w:rsidRDefault="00EB50F8" w14:paraId="7C0D1661" w14:textId="1A5C1AA6">
      <w:pPr>
        <w:pStyle w:val="Standard"/>
      </w:pPr>
      <w:r>
        <w:t>Cal Advocates</w:t>
      </w:r>
      <w:r w:rsidRPr="004B7ADA" w:rsidR="004B7ADA">
        <w:t xml:space="preserve"> disputes the scope, timing, and cost estimates of numerous proposed projects, arguing that </w:t>
      </w:r>
      <w:r>
        <w:t>Cal Water</w:t>
      </w:r>
      <w:r w:rsidR="000C0896">
        <w:t>’</w:t>
      </w:r>
      <w:r w:rsidRPr="004B7ADA" w:rsidR="004B7ADA">
        <w:t>s documentation is insufficient to demonstrate prudence, necessity, or cost</w:t>
      </w:r>
      <w:r w:rsidR="00270999">
        <w:noBreakHyphen/>
      </w:r>
      <w:r w:rsidRPr="004B7ADA" w:rsidR="004B7ADA">
        <w:t xml:space="preserve">effectiveness as required by </w:t>
      </w:r>
      <w:r w:rsidR="003A5B7D">
        <w:t>Pub. Util.</w:t>
      </w:r>
      <w:r w:rsidR="00AA2770">
        <w:t xml:space="preserve"> </w:t>
      </w:r>
      <w:r w:rsidR="00AA2770">
        <w:lastRenderedPageBreak/>
        <w:t>Code</w:t>
      </w:r>
      <w:r w:rsidRPr="004B7ADA" w:rsidR="004B7ADA">
        <w:t xml:space="preserve"> </w:t>
      </w:r>
      <w:r w:rsidR="00F36298">
        <w:t>Sections </w:t>
      </w:r>
      <w:r w:rsidRPr="004B7ADA" w:rsidR="004B7ADA">
        <w:t>451 and 454.</w:t>
      </w:r>
      <w:r w:rsidR="003D383E">
        <w:rPr>
          <w:rStyle w:val="FootnoteReference"/>
        </w:rPr>
        <w:footnoteReference w:id="49"/>
      </w:r>
      <w:r w:rsidRPr="004B7ADA" w:rsidR="004B7ADA">
        <w:t xml:space="preserve"> </w:t>
      </w:r>
      <w:r>
        <w:t>Cal Advocates</w:t>
      </w:r>
      <w:r w:rsidRPr="004B7ADA" w:rsidR="004B7ADA">
        <w:t xml:space="preserve"> contends that many projects remain at conceptual stages without supporting design plans, cost curves, or bid comparisons. It asserts that </w:t>
      </w:r>
      <w:r>
        <w:t>Cal Water</w:t>
      </w:r>
      <w:r w:rsidR="000C0896">
        <w:t>’</w:t>
      </w:r>
      <w:r w:rsidRPr="004B7ADA" w:rsidR="004B7ADA">
        <w:t xml:space="preserve">s inclusion of unbuilt plant </w:t>
      </w:r>
      <w:r w:rsidR="0041164D">
        <w:t xml:space="preserve">deferred </w:t>
      </w:r>
      <w:r w:rsidRPr="004B7ADA" w:rsidR="004B7ADA">
        <w:t xml:space="preserve">from prior GRC cycles inflates rate base forecasts and contravenes Commission precedent requiring </w:t>
      </w:r>
      <w:r w:rsidR="00A23D11">
        <w:t>“</w:t>
      </w:r>
      <w:r w:rsidRPr="004B7ADA" w:rsidR="004B7ADA">
        <w:t>project</w:t>
      </w:r>
      <w:r w:rsidR="00270999">
        <w:noBreakHyphen/>
      </w:r>
      <w:r w:rsidRPr="004B7ADA" w:rsidR="004B7ADA">
        <w:t>specific evidence of need and readiness</w:t>
      </w:r>
      <w:r w:rsidR="003D383E">
        <w:t>.</w:t>
      </w:r>
      <w:r w:rsidR="00A23D11">
        <w:t>”</w:t>
      </w:r>
      <w:r w:rsidR="003D383E">
        <w:rPr>
          <w:rStyle w:val="FootnoteReference"/>
        </w:rPr>
        <w:footnoteReference w:id="50"/>
      </w:r>
    </w:p>
    <w:p w:rsidR="004B7ADA" w:rsidP="00B1559F" w:rsidRDefault="004B7ADA" w14:paraId="4C53063E" w14:textId="373CAE66">
      <w:pPr>
        <w:pStyle w:val="Standard"/>
      </w:pPr>
      <w:r w:rsidRPr="004B7ADA">
        <w:t xml:space="preserve">NAWC and CWA support </w:t>
      </w:r>
      <w:r w:rsidR="00EB50F8">
        <w:t>Cal Water</w:t>
      </w:r>
      <w:r w:rsidR="000C0896">
        <w:t>’</w:t>
      </w:r>
      <w:r w:rsidRPr="004B7ADA">
        <w:t>s approach. NAWC characterizes the company</w:t>
      </w:r>
      <w:r w:rsidR="000C0896">
        <w:t>’</w:t>
      </w:r>
      <w:r w:rsidRPr="004B7ADA">
        <w:t>s capital plan as a prudent, forward</w:t>
      </w:r>
      <w:r w:rsidR="00270999">
        <w:noBreakHyphen/>
      </w:r>
      <w:r w:rsidRPr="004B7ADA">
        <w:t>looking framework that mitigates deferred</w:t>
      </w:r>
      <w:r w:rsidR="00270999">
        <w:noBreakHyphen/>
      </w:r>
      <w:r w:rsidRPr="004B7ADA">
        <w:t>maintenance risks and aligns with industry</w:t>
      </w:r>
      <w:r w:rsidR="00270999">
        <w:noBreakHyphen/>
      </w:r>
      <w:r w:rsidRPr="004B7ADA">
        <w:t>wide best practices</w:t>
      </w:r>
      <w:r w:rsidR="003D383E">
        <w:t>.</w:t>
      </w:r>
      <w:r w:rsidR="003D383E">
        <w:rPr>
          <w:rStyle w:val="FootnoteReference"/>
        </w:rPr>
        <w:footnoteReference w:id="51"/>
      </w:r>
      <w:r w:rsidRPr="004B7ADA">
        <w:t xml:space="preserve"> CWA similarly endorses </w:t>
      </w:r>
      <w:r w:rsidR="00EB50F8">
        <w:t>Cal Water</w:t>
      </w:r>
      <w:r w:rsidR="000C0896">
        <w:t>’</w:t>
      </w:r>
      <w:r w:rsidRPr="004B7ADA">
        <w:t>s asset management methodology, emphasizing regulatory consistency and stable long</w:t>
      </w:r>
      <w:r w:rsidR="00270999">
        <w:noBreakHyphen/>
      </w:r>
      <w:r w:rsidRPr="004B7ADA">
        <w:t>term capital planning</w:t>
      </w:r>
      <w:r w:rsidR="003D383E">
        <w:t>.</w:t>
      </w:r>
      <w:r w:rsidR="003D383E">
        <w:rPr>
          <w:rStyle w:val="FootnoteReference"/>
        </w:rPr>
        <w:footnoteReference w:id="52"/>
      </w:r>
    </w:p>
    <w:p w:rsidRPr="00E523C4" w:rsidR="005264A4" w:rsidP="00B1559F" w:rsidRDefault="005264A4" w14:paraId="45EC1D0D" w14:textId="5DFE6203">
      <w:pPr>
        <w:pStyle w:val="Standard"/>
      </w:pPr>
      <w:r w:rsidRPr="00E523C4">
        <w:t>To facilitate implementation of the adopted policy determinations in the RO Model, the Commission relies on the detailed project</w:t>
      </w:r>
      <w:r w:rsidR="00270999">
        <w:noBreakHyphen/>
      </w:r>
      <w:r w:rsidRPr="00E523C4">
        <w:t xml:space="preserve">level documentation contained in </w:t>
      </w:r>
      <w:r w:rsidR="00EB50F8">
        <w:t>Cal Water</w:t>
      </w:r>
      <w:r w:rsidR="000C0896">
        <w:t>’</w:t>
      </w:r>
      <w:r w:rsidRPr="00E523C4">
        <w:t>s district workpapers (</w:t>
      </w:r>
      <w:r w:rsidR="000A6C2E">
        <w:t>Ex. CWS</w:t>
      </w:r>
      <w:r w:rsidR="00270999">
        <w:noBreakHyphen/>
      </w:r>
      <w:r w:rsidRPr="00E523C4">
        <w:t xml:space="preserve">27 through </w:t>
      </w:r>
      <w:r w:rsidR="000A6C2E">
        <w:t>Ex. CWS</w:t>
      </w:r>
      <w:r w:rsidR="00270999">
        <w:noBreakHyphen/>
      </w:r>
      <w:r w:rsidRPr="00E523C4">
        <w:t xml:space="preserve">50) and </w:t>
      </w:r>
      <w:r w:rsidR="00EB50F8">
        <w:t>Cal Advocates</w:t>
      </w:r>
      <w:r w:rsidR="000C0896">
        <w:t>’</w:t>
      </w:r>
      <w:r w:rsidRPr="00E523C4">
        <w:t xml:space="preserve"> corresponding capital</w:t>
      </w:r>
      <w:r w:rsidR="00270999">
        <w:noBreakHyphen/>
      </w:r>
      <w:r w:rsidRPr="00E523C4">
        <w:t>review testimony (</w:t>
      </w:r>
      <w:r w:rsidR="0027490E">
        <w:t>Ex. </w:t>
      </w:r>
      <w:r w:rsidRPr="00E523C4">
        <w:t>CalAdv</w:t>
      </w:r>
      <w:r w:rsidR="00270999">
        <w:noBreakHyphen/>
      </w:r>
      <w:r w:rsidRPr="00E523C4">
        <w:t>07). These exhibits identify, for each district</w:t>
      </w:r>
      <w:r w:rsidR="006237E8">
        <w:t xml:space="preserve">: </w:t>
      </w:r>
      <w:r w:rsidRPr="00E523C4">
        <w:t xml:space="preserve"> </w:t>
      </w:r>
      <w:r w:rsidR="006237E8">
        <w:t>(1) </w:t>
      </w:r>
      <w:r w:rsidRPr="00E523C4">
        <w:t>compliance</w:t>
      </w:r>
      <w:r w:rsidR="00270999">
        <w:noBreakHyphen/>
      </w:r>
      <w:r w:rsidRPr="00E523C4">
        <w:t>driven treatment projects supported by engineering reports and regulatory citations</w:t>
      </w:r>
      <w:r w:rsidR="006237E8">
        <w:t>; (2) </w:t>
      </w:r>
      <w:r w:rsidRPr="00E523C4">
        <w:t>discretionary office remodels</w:t>
      </w:r>
      <w:r w:rsidR="006237E8">
        <w:t>; and (3) </w:t>
      </w:r>
      <w:r w:rsidRPr="00E523C4">
        <w:t>AMI</w:t>
      </w:r>
      <w:r w:rsidR="00270999">
        <w:noBreakHyphen/>
      </w:r>
      <w:r w:rsidRPr="00E523C4">
        <w:t>related capital requests. Where the record contains project</w:t>
      </w:r>
      <w:r w:rsidR="00270999">
        <w:noBreakHyphen/>
      </w:r>
      <w:r w:rsidRPr="00E523C4">
        <w:t>specific cost estimates, construction schedules, or engineering need documentation, these items form the evidentiary basis for inclusion in rate base; where such documentation is absent, those projects are deferred or denied consistent with Commission precedent.</w:t>
      </w:r>
    </w:p>
    <w:p w:rsidRPr="001B39A3" w:rsidR="001B39A3" w:rsidP="00B1559F" w:rsidRDefault="004B7ADA" w14:paraId="7B5A334D" w14:textId="76231049">
      <w:pPr>
        <w:pStyle w:val="Standard"/>
      </w:pPr>
      <w:r w:rsidRPr="004B7ADA">
        <w:lastRenderedPageBreak/>
        <w:t xml:space="preserve">The dispute thus centers on whether </w:t>
      </w:r>
      <w:r w:rsidR="00EB50F8">
        <w:t>Cal Water</w:t>
      </w:r>
      <w:r w:rsidR="000C0896">
        <w:t>’</w:t>
      </w:r>
      <w:r w:rsidRPr="004B7ADA">
        <w:t>s documentation demonstrates sufficient engineering and cost support to satisfy the statutory standards of prudence and reasonableness, and whether certain projects should be deferred pending further evidentiary showing.</w:t>
      </w:r>
    </w:p>
    <w:p w:rsidR="00747E8A" w:rsidP="00747E8A" w:rsidRDefault="00747E8A" w14:paraId="28C7DEDD" w14:textId="7408CD79">
      <w:pPr>
        <w:pStyle w:val="Heading3"/>
      </w:pPr>
      <w:bookmarkStart w:name="_Toc222305255" w:id="64"/>
      <w:bookmarkStart w:name="_Toc228294679" w:id="65"/>
      <w:r>
        <w:t>Partial Settlement</w:t>
      </w:r>
      <w:bookmarkEnd w:id="64"/>
      <w:bookmarkEnd w:id="65"/>
    </w:p>
    <w:p w:rsidRPr="004B7ADA" w:rsidR="004B7ADA" w:rsidP="00B1559F" w:rsidRDefault="004B7ADA" w14:paraId="0DEB3982" w14:textId="1FCA2C3A">
      <w:pPr>
        <w:pStyle w:val="Standard"/>
      </w:pPr>
      <w:bookmarkStart w:name="_Hlk210988233" w:id="66"/>
      <w:r w:rsidRPr="004B7ADA">
        <w:t xml:space="preserve">Several categories of proposed plant additions were resolved through </w:t>
      </w:r>
      <w:r w:rsidR="007A2749">
        <w:t>p</w:t>
      </w:r>
      <w:r w:rsidRPr="004B7ADA">
        <w:t xml:space="preserve">artial </w:t>
      </w:r>
      <w:r w:rsidR="007A2749">
        <w:t>s</w:t>
      </w:r>
      <w:r w:rsidRPr="004B7ADA">
        <w:t>ettlement and the associated Undisputed Issues List, including well rehabilitations, distribution</w:t>
      </w:r>
      <w:r w:rsidR="00270999">
        <w:noBreakHyphen/>
      </w:r>
      <w:r w:rsidRPr="004B7ADA">
        <w:t>main replacements, and scaled</w:t>
      </w:r>
      <w:r w:rsidR="00270999">
        <w:noBreakHyphen/>
      </w:r>
      <w:r w:rsidRPr="004B7ADA">
        <w:t>down office upgrades.</w:t>
      </w:r>
      <w:r w:rsidR="003D383E">
        <w:rPr>
          <w:rStyle w:val="FootnoteReference"/>
        </w:rPr>
        <w:footnoteReference w:id="53"/>
      </w:r>
      <w:r w:rsidRPr="004B7ADA">
        <w:t xml:space="preserve"> </w:t>
      </w:r>
      <w:r w:rsidR="001E255A">
        <w:t xml:space="preserve">What follows is an analysis of the unsettled portions of this scoped issue </w:t>
      </w:r>
      <w:r w:rsidRPr="004B7ADA">
        <w:t>concern</w:t>
      </w:r>
      <w:r w:rsidR="001E255A">
        <w:t>ing</w:t>
      </w:r>
      <w:r w:rsidRPr="004B7ADA">
        <w:t xml:space="preserve"> </w:t>
      </w:r>
      <w:r w:rsidR="0041164D">
        <w:t>Projects</w:t>
      </w:r>
      <w:r w:rsidR="00270999">
        <w:noBreakHyphen/>
      </w:r>
      <w:r w:rsidR="0041164D">
        <w:t>in</w:t>
      </w:r>
      <w:r w:rsidR="00270999">
        <w:noBreakHyphen/>
      </w:r>
      <w:r w:rsidR="0041164D">
        <w:t xml:space="preserve">Progress, contingency </w:t>
      </w:r>
      <w:r w:rsidRPr="00CD0E34" w:rsidR="0041164D">
        <w:t xml:space="preserve">factor, </w:t>
      </w:r>
      <w:r w:rsidRPr="007A0D12" w:rsidR="0041164D">
        <w:t>Non</w:t>
      </w:r>
      <w:r w:rsidR="00FD6045">
        <w:noBreakHyphen/>
      </w:r>
      <w:r w:rsidRPr="007A0D12" w:rsidR="0041164D">
        <w:t>Specifics and Unscheduled,</w:t>
      </w:r>
      <w:r w:rsidR="0041164D">
        <w:t xml:space="preserve"> </w:t>
      </w:r>
      <w:r w:rsidRPr="004B7ADA">
        <w:t>treatment</w:t>
      </w:r>
      <w:r w:rsidR="00270999">
        <w:noBreakHyphen/>
      </w:r>
      <w:r w:rsidRPr="004B7ADA">
        <w:t xml:space="preserve">plant expansions, </w:t>
      </w:r>
      <w:r w:rsidRPr="07D8631D" w:rsidR="00BD356B">
        <w:t xml:space="preserve">Advanced Metering Infrastructure </w:t>
      </w:r>
      <w:r w:rsidR="00BD356B">
        <w:rPr>
          <w:bCs/>
          <w:szCs w:val="26"/>
        </w:rPr>
        <w:t>(</w:t>
      </w:r>
      <w:r w:rsidRPr="004B7ADA">
        <w:t>AMI</w:t>
      </w:r>
      <w:r w:rsidR="00BD356B">
        <w:t>)</w:t>
      </w:r>
      <w:r w:rsidRPr="004B7ADA">
        <w:t xml:space="preserve"> deployment, and discretionary office improvements.</w:t>
      </w:r>
    </w:p>
    <w:p w:rsidR="00747E8A" w:rsidP="00747E8A" w:rsidRDefault="00747E8A" w14:paraId="034B4498" w14:textId="5EC963A6">
      <w:pPr>
        <w:pStyle w:val="Heading3"/>
      </w:pPr>
      <w:bookmarkStart w:name="_Toc222305256" w:id="67"/>
      <w:bookmarkStart w:name="_Toc228294680" w:id="68"/>
      <w:bookmarkEnd w:id="66"/>
      <w:r>
        <w:t>Analysis</w:t>
      </w:r>
      <w:bookmarkEnd w:id="67"/>
      <w:r w:rsidR="0041164D">
        <w:t xml:space="preserve"> of Disputed Capital Projects</w:t>
      </w:r>
      <w:bookmarkEnd w:id="68"/>
    </w:p>
    <w:p w:rsidRPr="00E523C4" w:rsidR="008E5517" w:rsidP="008E5517" w:rsidRDefault="008E5517" w14:paraId="46704C00" w14:textId="0E4BD03C">
      <w:pPr>
        <w:pStyle w:val="Standard"/>
      </w:pPr>
      <w:r w:rsidRPr="00E523C4">
        <w:t>In D.19</w:t>
      </w:r>
      <w:r w:rsidR="00270999">
        <w:noBreakHyphen/>
      </w:r>
      <w:r w:rsidRPr="00E523C4">
        <w:t>05</w:t>
      </w:r>
      <w:r w:rsidR="00270999">
        <w:noBreakHyphen/>
      </w:r>
      <w:r w:rsidRPr="00E523C4">
        <w:t xml:space="preserve">044 (2018 </w:t>
      </w:r>
      <w:r w:rsidR="00EB50F8">
        <w:t>Cal Water</w:t>
      </w:r>
      <w:r w:rsidRPr="00E523C4">
        <w:t xml:space="preserve"> GRC), the Commission stated that </w:t>
      </w:r>
      <w:r w:rsidR="00A23D11">
        <w:t>“</w:t>
      </w:r>
      <w:r w:rsidRPr="00E523C4">
        <w:t>each plant addition must be supported by sufficient evidence of need and reasonableness before inclusion in rate base.</w:t>
      </w:r>
      <w:r w:rsidR="00A23D11">
        <w:t>”</w:t>
      </w:r>
      <w:r w:rsidRPr="00E523C4">
        <w:t xml:space="preserve"> Similarly, D.04</w:t>
      </w:r>
      <w:r w:rsidR="00270999">
        <w:noBreakHyphen/>
      </w:r>
      <w:r w:rsidRPr="00E523C4">
        <w:t>07</w:t>
      </w:r>
      <w:r w:rsidR="00270999">
        <w:noBreakHyphen/>
      </w:r>
      <w:r w:rsidRPr="00E523C4">
        <w:t>022 (</w:t>
      </w:r>
      <w:r w:rsidR="004941FE">
        <w:t>San </w:t>
      </w:r>
      <w:r w:rsidRPr="00E523C4" w:rsidR="00DC77E7">
        <w:t>Diego Gas</w:t>
      </w:r>
      <w:r w:rsidR="00AE2539">
        <w:t xml:space="preserve"> &amp; </w:t>
      </w:r>
      <w:r w:rsidRPr="00E523C4" w:rsidR="00DC77E7">
        <w:t>Electric</w:t>
      </w:r>
      <w:r w:rsidRPr="00E523C4">
        <w:t xml:space="preserve"> GRC) holds that utilities must support forecasts with </w:t>
      </w:r>
      <w:r w:rsidR="00A23D11">
        <w:t>“</w:t>
      </w:r>
      <w:r w:rsidRPr="00E523C4">
        <w:t>detailed cost estimates and evidence of need, reliability, and cost efficiency.</w:t>
      </w:r>
      <w:r w:rsidR="00A23D11">
        <w:t>”</w:t>
      </w:r>
      <w:r w:rsidRPr="00E523C4">
        <w:t xml:space="preserve"> Later decisions such as D.16</w:t>
      </w:r>
      <w:r w:rsidR="00270999">
        <w:noBreakHyphen/>
      </w:r>
      <w:r w:rsidRPr="00E523C4">
        <w:t>12</w:t>
      </w:r>
      <w:r w:rsidR="00270999">
        <w:noBreakHyphen/>
      </w:r>
      <w:r w:rsidRPr="00E523C4">
        <w:t>026 and D.07</w:t>
      </w:r>
      <w:r w:rsidR="00270999">
        <w:noBreakHyphen/>
      </w:r>
      <w:r w:rsidRPr="00E523C4">
        <w:t>05</w:t>
      </w:r>
      <w:r w:rsidR="00270999">
        <w:noBreakHyphen/>
      </w:r>
      <w:r w:rsidRPr="00E523C4">
        <w:t>062 reiterate that proposed plant additions require clear documentation</w:t>
      </w:r>
      <w:r w:rsidR="00AE44B3">
        <w:t xml:space="preserve"> — </w:t>
      </w:r>
      <w:r w:rsidRPr="00E523C4">
        <w:t>including project scope, estimated costs, and alternatives considered</w:t>
      </w:r>
      <w:r w:rsidR="00AE44B3">
        <w:t xml:space="preserve"> — </w:t>
      </w:r>
      <w:r w:rsidRPr="00E523C4">
        <w:t>to enable the Commission to verify reasonableness.</w:t>
      </w:r>
    </w:p>
    <w:p w:rsidRPr="00E523C4" w:rsidR="00DE13B2" w:rsidP="00B1559F" w:rsidRDefault="00DE13B2" w14:paraId="6683D214" w14:textId="7B413886">
      <w:pPr>
        <w:pStyle w:val="Standard"/>
      </w:pPr>
      <w:r w:rsidRPr="00E523C4">
        <w:t>Consistent with these standards, the Commission reviewed the district</w:t>
      </w:r>
      <w:r w:rsidR="00270999">
        <w:noBreakHyphen/>
      </w:r>
      <w:r w:rsidRPr="00E523C4">
        <w:t xml:space="preserve">level plant documentation contained in </w:t>
      </w:r>
      <w:r w:rsidR="000A6C2E">
        <w:t>Ex. CWS</w:t>
      </w:r>
      <w:r w:rsidR="00270999">
        <w:noBreakHyphen/>
      </w:r>
      <w:r w:rsidRPr="00E523C4">
        <w:t xml:space="preserve">27 through </w:t>
      </w:r>
      <w:r w:rsidR="000A6C2E">
        <w:t>Ex. CWS</w:t>
      </w:r>
      <w:r w:rsidR="00270999">
        <w:noBreakHyphen/>
      </w:r>
      <w:r w:rsidRPr="00E523C4">
        <w:t xml:space="preserve">50 </w:t>
      </w:r>
      <w:r w:rsidRPr="00E523C4">
        <w:lastRenderedPageBreak/>
        <w:t xml:space="preserve">and the corresponding </w:t>
      </w:r>
      <w:r w:rsidR="00EB50F8">
        <w:t>Cal Advocates</w:t>
      </w:r>
      <w:r w:rsidRPr="00E523C4">
        <w:t xml:space="preserve"> capital analyses (</w:t>
      </w:r>
      <w:r w:rsidR="0027490E">
        <w:t>Ex. </w:t>
      </w:r>
      <w:r w:rsidRPr="00E523C4">
        <w:t>CalAdv</w:t>
      </w:r>
      <w:r w:rsidR="00270999">
        <w:noBreakHyphen/>
      </w:r>
      <w:r w:rsidRPr="00E523C4">
        <w:t>07). The record demonstrates that treatment</w:t>
      </w:r>
      <w:r w:rsidR="00270999">
        <w:noBreakHyphen/>
      </w:r>
      <w:r w:rsidRPr="00E523C4">
        <w:t>plant expansions driven by regulatory mandates</w:t>
      </w:r>
      <w:r w:rsidR="00AE44B3">
        <w:t xml:space="preserve"> — </w:t>
      </w:r>
      <w:r w:rsidRPr="00E523C4">
        <w:t>including PFAS, manganese, nitrate, and revised surface</w:t>
      </w:r>
      <w:r w:rsidR="00270999">
        <w:noBreakHyphen/>
      </w:r>
      <w:r w:rsidRPr="00E523C4">
        <w:t>water treatment requirements</w:t>
      </w:r>
      <w:r w:rsidR="00AE44B3">
        <w:t xml:space="preserve"> — </w:t>
      </w:r>
      <w:r w:rsidRPr="00E523C4">
        <w:t>are supported by engineering memoranda, feasibility studies, and regulatory citations contained in these exhibits. Conversely, the record shows that AMI</w:t>
      </w:r>
      <w:r w:rsidR="00270999">
        <w:noBreakHyphen/>
      </w:r>
      <w:r w:rsidRPr="00E523C4">
        <w:t>related requests and discretionary office remodels lack comparable design</w:t>
      </w:r>
      <w:r w:rsidR="00270999">
        <w:noBreakHyphen/>
      </w:r>
      <w:r w:rsidRPr="00E523C4">
        <w:t>level cost support, alternatives analyses, or readiness documentation.</w:t>
      </w:r>
    </w:p>
    <w:p w:rsidRPr="00E523C4" w:rsidR="008E5517" w:rsidP="008E5517" w:rsidRDefault="00EB50F8" w14:paraId="5D206355" w14:textId="63B5BDBD">
      <w:pPr>
        <w:pStyle w:val="Standard"/>
      </w:pPr>
      <w:r>
        <w:t>Cal Water</w:t>
      </w:r>
      <w:r w:rsidRPr="00E523C4" w:rsidR="008E5517">
        <w:t xml:space="preserve"> asserts that its plant additions result from a rigorous engineering process guided by the company</w:t>
      </w:r>
      <w:r w:rsidR="000C0896">
        <w:t>’</w:t>
      </w:r>
      <w:r w:rsidRPr="00E523C4" w:rsidR="008E5517">
        <w:t>s Asset Management Program and five</w:t>
      </w:r>
      <w:r w:rsidR="00270999">
        <w:noBreakHyphen/>
      </w:r>
      <w:r w:rsidRPr="00E523C4" w:rsidR="008E5517">
        <w:t>year Capital Improvement Plan</w:t>
      </w:r>
      <w:r w:rsidRPr="00E523C4" w:rsidR="006D25F0">
        <w:t>.</w:t>
      </w:r>
      <w:r w:rsidRPr="00E523C4" w:rsidR="006D25F0">
        <w:rPr>
          <w:rStyle w:val="FootnoteReference"/>
        </w:rPr>
        <w:footnoteReference w:id="54"/>
      </w:r>
      <w:r w:rsidRPr="00E523C4" w:rsidR="008E5517">
        <w:t xml:space="preserve"> It argues that its cost estimates are based on recent bid histories, standardized cost</w:t>
      </w:r>
      <w:r w:rsidR="00270999">
        <w:noBreakHyphen/>
      </w:r>
      <w:r w:rsidRPr="00E523C4" w:rsidR="008E5517">
        <w:t>estimating models, and review by district engineers</w:t>
      </w:r>
      <w:r w:rsidRPr="00E523C4" w:rsidR="004345B0">
        <w:t>.</w:t>
      </w:r>
      <w:r w:rsidRPr="00E523C4" w:rsidR="004345B0">
        <w:rPr>
          <w:rStyle w:val="FootnoteReference"/>
        </w:rPr>
        <w:footnoteReference w:id="55"/>
      </w:r>
      <w:r w:rsidRPr="00E523C4" w:rsidR="008E5517">
        <w:t xml:space="preserve"> </w:t>
      </w:r>
      <w:r>
        <w:t>Cal Water</w:t>
      </w:r>
      <w:r w:rsidRPr="00E523C4" w:rsidR="008E5517">
        <w:t xml:space="preserve"> contends that its planning horizon is consistent with prudent utility practice and Commission policy encouraging proactive infrastructure renewal rather than reactive replacement.</w:t>
      </w:r>
    </w:p>
    <w:p w:rsidR="00CE0158" w:rsidP="008E5517" w:rsidRDefault="00EB50F8" w14:paraId="049CA45B" w14:textId="054CF20A">
      <w:pPr>
        <w:pStyle w:val="Standard"/>
      </w:pPr>
      <w:r>
        <w:t>Cal Water</w:t>
      </w:r>
      <w:r w:rsidRPr="00E523C4" w:rsidR="008E5517">
        <w:t xml:space="preserve"> cites D.19</w:t>
      </w:r>
      <w:r w:rsidR="00270999">
        <w:noBreakHyphen/>
      </w:r>
      <w:r w:rsidRPr="00E523C4" w:rsidR="008E5517">
        <w:t>05</w:t>
      </w:r>
      <w:r w:rsidR="00270999">
        <w:noBreakHyphen/>
      </w:r>
      <w:r w:rsidRPr="00E523C4" w:rsidR="008E5517">
        <w:t>044 and D.19</w:t>
      </w:r>
      <w:r w:rsidR="00270999">
        <w:noBreakHyphen/>
      </w:r>
      <w:r w:rsidRPr="00E523C4" w:rsidR="008E5517">
        <w:t>12</w:t>
      </w:r>
      <w:r w:rsidR="00270999">
        <w:noBreakHyphen/>
      </w:r>
      <w:r w:rsidRPr="00E523C4" w:rsidR="008E5517">
        <w:t>057 for the proposition that utilities may seek forward</w:t>
      </w:r>
      <w:r w:rsidR="00270999">
        <w:noBreakHyphen/>
      </w:r>
      <w:r w:rsidRPr="00E523C4" w:rsidR="008E5517">
        <w:t>looking capital approval when project need and regulatory requirements are well</w:t>
      </w:r>
      <w:r w:rsidR="00270999">
        <w:noBreakHyphen/>
      </w:r>
      <w:r w:rsidRPr="00E523C4" w:rsidR="008E5517">
        <w:t xml:space="preserve">established. </w:t>
      </w:r>
      <w:r>
        <w:t>Cal Water</w:t>
      </w:r>
      <w:r w:rsidRPr="00E523C4" w:rsidR="008E5517">
        <w:t xml:space="preserve"> maintains that the Commission </w:t>
      </w:r>
      <w:r w:rsidR="00A23D11">
        <w:t>“</w:t>
      </w:r>
      <w:r w:rsidRPr="00E523C4" w:rsidR="008E5517">
        <w:t>has consistently recognized the importance of authorizing necessary system improvements in advance of failure</w:t>
      </w:r>
      <w:r w:rsidRPr="00E523C4" w:rsidR="006D25F0">
        <w:t>.</w:t>
      </w:r>
      <w:r w:rsidR="00A23D11">
        <w:t>”</w:t>
      </w:r>
      <w:r w:rsidRPr="00E523C4" w:rsidR="006D25F0">
        <w:rPr>
          <w:rStyle w:val="FootnoteReference"/>
        </w:rPr>
        <w:footnoteReference w:id="56"/>
      </w:r>
      <w:r w:rsidRPr="00E523C4" w:rsidR="008E5517">
        <w:t xml:space="preserve"> It highlights several major projects, including treatment</w:t>
      </w:r>
      <w:r w:rsidR="00270999">
        <w:noBreakHyphen/>
      </w:r>
      <w:r w:rsidRPr="00E523C4" w:rsidR="008E5517">
        <w:t xml:space="preserve">plant expansions mandated by revised </w:t>
      </w:r>
      <w:r w:rsidRPr="00E523C4" w:rsidR="008E5517">
        <w:lastRenderedPageBreak/>
        <w:t>water</w:t>
      </w:r>
      <w:r w:rsidR="00270999">
        <w:noBreakHyphen/>
      </w:r>
      <w:r w:rsidRPr="00E523C4" w:rsidR="008E5517">
        <w:t>quality standards, as examples of regulatory compliance investments that are unavoidable and time</w:t>
      </w:r>
      <w:r w:rsidR="00270999">
        <w:noBreakHyphen/>
      </w:r>
      <w:r w:rsidRPr="00E523C4" w:rsidR="008E5517">
        <w:t>sensitive</w:t>
      </w:r>
      <w:r w:rsidRPr="00E523C4" w:rsidR="006D25F0">
        <w:t>.</w:t>
      </w:r>
      <w:r w:rsidRPr="00E523C4" w:rsidR="006D25F0">
        <w:rPr>
          <w:rStyle w:val="FootnoteReference"/>
        </w:rPr>
        <w:footnoteReference w:id="57"/>
      </w:r>
    </w:p>
    <w:p w:rsidR="00CE0158" w:rsidP="008E5517" w:rsidRDefault="00EB50F8" w14:paraId="7BC1045D" w14:textId="09A499B9">
      <w:pPr>
        <w:pStyle w:val="Standard"/>
      </w:pPr>
      <w:r>
        <w:t>Cal Advocates</w:t>
      </w:r>
      <w:r w:rsidRPr="00E523C4" w:rsidR="008E5517">
        <w:t xml:space="preserve"> challenges the adequacy of </w:t>
      </w:r>
      <w:r>
        <w:t>Cal Water</w:t>
      </w:r>
      <w:r w:rsidR="000C0896">
        <w:t>’</w:t>
      </w:r>
      <w:r w:rsidRPr="00E523C4" w:rsidR="008E5517">
        <w:t>s project documentation, asserting that many cost estimates are unsupported or inconsistent with historical spending patterns</w:t>
      </w:r>
      <w:r w:rsidRPr="00E523C4" w:rsidR="006D25F0">
        <w:t>.</w:t>
      </w:r>
      <w:r w:rsidRPr="00E523C4" w:rsidR="006D25F0">
        <w:rPr>
          <w:rStyle w:val="FootnoteReference"/>
        </w:rPr>
        <w:footnoteReference w:id="58"/>
      </w:r>
      <w:r w:rsidRPr="00E523C4" w:rsidR="006D25F0">
        <w:t xml:space="preserve"> </w:t>
      </w:r>
      <w:r w:rsidRPr="00E523C4" w:rsidR="008E5517">
        <w:t xml:space="preserve">It argues that </w:t>
      </w:r>
      <w:r>
        <w:t>Cal Water</w:t>
      </w:r>
      <w:r w:rsidR="000C0896">
        <w:t>’</w:t>
      </w:r>
      <w:r w:rsidRPr="00E523C4" w:rsidR="008E5517">
        <w:t xml:space="preserve">s proposed capital expenditures exceed its historical annual construction capacity and </w:t>
      </w:r>
      <w:r w:rsidR="0041164D">
        <w:t xml:space="preserve">also </w:t>
      </w:r>
      <w:r w:rsidRPr="00E523C4" w:rsidR="008E5517">
        <w:t>include</w:t>
      </w:r>
      <w:r w:rsidR="0041164D">
        <w:t>s</w:t>
      </w:r>
      <w:r w:rsidRPr="00E523C4" w:rsidR="008E5517">
        <w:t xml:space="preserve"> projects that were previously authorized but remain unbuilt. </w:t>
      </w:r>
      <w:r w:rsidR="0041164D">
        <w:t xml:space="preserve">To the extent that </w:t>
      </w:r>
      <w:r>
        <w:t>Cal Water</w:t>
      </w:r>
      <w:r w:rsidR="0041164D">
        <w:t xml:space="preserve"> now seeks recovery of these projects in this GRC, they fall into the category of “deferred” projects discussed below. </w:t>
      </w:r>
      <w:r>
        <w:t>Cal Advocates</w:t>
      </w:r>
      <w:r w:rsidRPr="00E523C4" w:rsidR="008E5517">
        <w:t xml:space="preserve"> contends that </w:t>
      </w:r>
      <w:r w:rsidR="00A23D11">
        <w:t>“</w:t>
      </w:r>
      <w:r w:rsidRPr="00E523C4" w:rsidR="008E5517">
        <w:t>ratepayers should not be required to finance speculative plant that lacks construction readiness or cost substantiation</w:t>
      </w:r>
      <w:r w:rsidRPr="00E523C4" w:rsidR="006D25F0">
        <w:t>.</w:t>
      </w:r>
      <w:r w:rsidR="00A23D11">
        <w:t>”</w:t>
      </w:r>
      <w:r w:rsidRPr="00E523C4" w:rsidR="006D25F0">
        <w:rPr>
          <w:rStyle w:val="FootnoteReference"/>
        </w:rPr>
        <w:footnoteReference w:id="59"/>
      </w:r>
    </w:p>
    <w:p w:rsidRPr="00E523C4" w:rsidR="008E5517" w:rsidP="008E5517" w:rsidRDefault="00EB50F8" w14:paraId="09731EB8" w14:textId="4A1CD369">
      <w:pPr>
        <w:pStyle w:val="Standard"/>
      </w:pPr>
      <w:r>
        <w:t>Cal Advocates</w:t>
      </w:r>
      <w:r w:rsidRPr="00E523C4" w:rsidR="008E5517">
        <w:t xml:space="preserve"> questions </w:t>
      </w:r>
      <w:r>
        <w:t>Cal Water</w:t>
      </w:r>
      <w:r w:rsidR="000C0896">
        <w:t>’</w:t>
      </w:r>
      <w:r w:rsidRPr="00E523C4" w:rsidR="008E5517">
        <w:t>s proposed AMI rollout, asserting that the company has not provided a cost</w:t>
      </w:r>
      <w:r w:rsidR="00270999">
        <w:noBreakHyphen/>
      </w:r>
      <w:r w:rsidRPr="00E523C4" w:rsidR="008E5517">
        <w:t>benefit analysis or pilot evaluation demonstrating net benefits to ratepayers.</w:t>
      </w:r>
      <w:r w:rsidRPr="00E523C4" w:rsidR="006D25F0">
        <w:rPr>
          <w:rStyle w:val="FootnoteReference"/>
        </w:rPr>
        <w:footnoteReference w:id="60"/>
      </w:r>
      <w:r w:rsidRPr="00E523C4" w:rsidR="008E5517">
        <w:t xml:space="preserve"> </w:t>
      </w:r>
      <w:r>
        <w:t>Cal Advocates</w:t>
      </w:r>
      <w:r w:rsidRPr="00E523C4" w:rsidR="008E5517">
        <w:t xml:space="preserve"> points to D.22</w:t>
      </w:r>
      <w:r w:rsidR="00270999">
        <w:noBreakHyphen/>
      </w:r>
      <w:r w:rsidRPr="00E523C4" w:rsidR="008E5517">
        <w:t>09</w:t>
      </w:r>
      <w:r w:rsidR="00270999">
        <w:noBreakHyphen/>
      </w:r>
      <w:r w:rsidRPr="00E523C4" w:rsidR="008E5517">
        <w:t xml:space="preserve">019, where the Commission deferred statewide AMI deployment pending additional pilot results, as supporting deferral here until </w:t>
      </w:r>
      <w:r>
        <w:t>Cal Water</w:t>
      </w:r>
      <w:r w:rsidRPr="00E523C4" w:rsidR="008E5517">
        <w:t xml:space="preserve"> submits further evidence of cost</w:t>
      </w:r>
      <w:r w:rsidR="00270999">
        <w:noBreakHyphen/>
      </w:r>
      <w:r w:rsidRPr="00E523C4" w:rsidR="008E5517">
        <w:t>effectiveness.</w:t>
      </w:r>
    </w:p>
    <w:p w:rsidRPr="00E523C4" w:rsidR="008E5517" w:rsidP="008E5517" w:rsidRDefault="008E5517" w14:paraId="206E3816" w14:textId="69BACB7A">
      <w:pPr>
        <w:pStyle w:val="Standard"/>
      </w:pPr>
      <w:r w:rsidRPr="00E523C4">
        <w:t xml:space="preserve">The record shows that </w:t>
      </w:r>
      <w:r w:rsidR="00EB50F8">
        <w:t>Cal Water</w:t>
      </w:r>
      <w:r w:rsidR="000C0896">
        <w:t>’</w:t>
      </w:r>
      <w:r w:rsidRPr="00E523C4">
        <w:t>s project documentation and cost estimates vary significantly in completeness. The company provides strong evidentiary support for capital additions tied to regulatory compliance</w:t>
      </w:r>
      <w:r w:rsidR="00AE44B3">
        <w:t xml:space="preserve"> — </w:t>
      </w:r>
      <w:r w:rsidRPr="00E523C4">
        <w:t>particularly treatment</w:t>
      </w:r>
      <w:r w:rsidR="00270999">
        <w:noBreakHyphen/>
      </w:r>
      <w:r w:rsidRPr="00E523C4">
        <w:t>plant expansions required under updated water</w:t>
      </w:r>
      <w:r w:rsidR="00270999">
        <w:noBreakHyphen/>
      </w:r>
      <w:r w:rsidRPr="00E523C4">
        <w:t xml:space="preserve">quality </w:t>
      </w:r>
      <w:r w:rsidRPr="00E523C4">
        <w:lastRenderedPageBreak/>
        <w:t>and fire</w:t>
      </w:r>
      <w:r w:rsidR="00270999">
        <w:noBreakHyphen/>
      </w:r>
      <w:r w:rsidRPr="00E523C4">
        <w:t>flow standards</w:t>
      </w:r>
      <w:r w:rsidRPr="00E523C4" w:rsidR="006D25F0">
        <w:rPr>
          <w:rStyle w:val="FootnoteReference"/>
        </w:rPr>
        <w:footnoteReference w:id="61"/>
      </w:r>
      <w:r w:rsidR="00AE44B3">
        <w:t xml:space="preserve"> — </w:t>
      </w:r>
      <w:r w:rsidRPr="00E523C4">
        <w:t>but provides less developed support for discretionary projects such as office remodels and AMI deployment.</w:t>
      </w:r>
    </w:p>
    <w:p w:rsidR="00CE0158" w:rsidP="008E5517" w:rsidRDefault="008E5517" w14:paraId="16833A4A" w14:textId="699D1AFA">
      <w:pPr>
        <w:pStyle w:val="Standard"/>
      </w:pPr>
      <w:r w:rsidRPr="00E523C4">
        <w:t xml:space="preserve">For treatment and distribution projects supported by engineering reports and regulatory citations, the evidence demonstrates necessity and prudence consistent with </w:t>
      </w:r>
      <w:r w:rsidR="003A5B7D">
        <w:t>Pub. Util.</w:t>
      </w:r>
      <w:r w:rsidRPr="00E523C4" w:rsidR="003D383E">
        <w:t xml:space="preserve"> Code </w:t>
      </w:r>
      <w:r w:rsidR="009E649C">
        <w:t>Section</w:t>
      </w:r>
      <w:r w:rsidR="00566987">
        <w:t>s</w:t>
      </w:r>
      <w:r w:rsidR="009E649C">
        <w:t> </w:t>
      </w:r>
      <w:r w:rsidRPr="00E523C4">
        <w:t xml:space="preserve">451 </w:t>
      </w:r>
      <w:r w:rsidR="00566987">
        <w:t>and</w:t>
      </w:r>
      <w:r w:rsidR="009E649C">
        <w:t> </w:t>
      </w:r>
      <w:r w:rsidRPr="00E523C4">
        <w:t>454. However, for projects lacking detailed cost bases or readiness documentation, approval at this time would be inconsistent with Commission precedent requiring project</w:t>
      </w:r>
      <w:r w:rsidR="00270999">
        <w:noBreakHyphen/>
      </w:r>
      <w:r w:rsidRPr="00E523C4">
        <w:t>specific justification before rate</w:t>
      </w:r>
      <w:r w:rsidR="00270999">
        <w:noBreakHyphen/>
      </w:r>
      <w:r w:rsidRPr="00E523C4">
        <w:t>base inclusion</w:t>
      </w:r>
      <w:r w:rsidRPr="00E523C4" w:rsidR="006D25F0">
        <w:t>.</w:t>
      </w:r>
      <w:r w:rsidRPr="00E523C4" w:rsidR="006D25F0">
        <w:rPr>
          <w:rStyle w:val="FootnoteReference"/>
        </w:rPr>
        <w:footnoteReference w:id="62"/>
      </w:r>
    </w:p>
    <w:p w:rsidRPr="00E523C4" w:rsidR="00DE13B2" w:rsidP="00B1559F" w:rsidRDefault="00EB50F8" w14:paraId="3E5AD7BE" w14:textId="359DE9B7">
      <w:pPr>
        <w:pStyle w:val="Standard"/>
      </w:pPr>
      <w:r>
        <w:t>Cal Advocates</w:t>
      </w:r>
      <w:r w:rsidR="000C0896">
        <w:t>’</w:t>
      </w:r>
      <w:r w:rsidRPr="00E523C4" w:rsidR="00DE13B2">
        <w:t xml:space="preserve"> showing in </w:t>
      </w:r>
      <w:r w:rsidR="00CD0593">
        <w:t>Ex. </w:t>
      </w:r>
      <w:r w:rsidRPr="00E523C4" w:rsidR="00DE13B2">
        <w:t>CalAdv</w:t>
      </w:r>
      <w:r w:rsidR="00270999">
        <w:noBreakHyphen/>
      </w:r>
      <w:r w:rsidRPr="00E523C4" w:rsidR="00DE13B2">
        <w:t>07 provides project</w:t>
      </w:r>
      <w:r w:rsidR="00270999">
        <w:noBreakHyphen/>
      </w:r>
      <w:r w:rsidRPr="00E523C4" w:rsidR="00DE13B2">
        <w:t xml:space="preserve">specific identification of capital items </w:t>
      </w:r>
      <w:r w:rsidR="0041164D">
        <w:t xml:space="preserve">that it believes </w:t>
      </w:r>
      <w:r w:rsidRPr="00E523C4" w:rsidR="0041164D">
        <w:t>requir</w:t>
      </w:r>
      <w:r w:rsidR="0041164D">
        <w:t>e</w:t>
      </w:r>
      <w:r w:rsidRPr="00E523C4" w:rsidR="0041164D">
        <w:t xml:space="preserve"> </w:t>
      </w:r>
      <w:r w:rsidRPr="00E523C4" w:rsidR="00DE13B2">
        <w:t>deferral due to insufficient documentation, including</w:t>
      </w:r>
      <w:r w:rsidR="000C0896">
        <w:t xml:space="preserve">:  </w:t>
      </w:r>
      <w:r w:rsidR="006237E8">
        <w:t>(1) </w:t>
      </w:r>
      <w:r w:rsidRPr="00E523C4" w:rsidR="00DE13B2">
        <w:t xml:space="preserve">AMI deployment; </w:t>
      </w:r>
      <w:r w:rsidR="006237E8">
        <w:t>(2) </w:t>
      </w:r>
      <w:r w:rsidRPr="00E523C4" w:rsidR="00DE13B2">
        <w:t xml:space="preserve">discretionary office remodels without engineering justification; and </w:t>
      </w:r>
      <w:r w:rsidR="006237E8">
        <w:t>(3) </w:t>
      </w:r>
      <w:r w:rsidRPr="00E523C4" w:rsidR="00DE13B2">
        <w:t xml:space="preserve">plant items </w:t>
      </w:r>
      <w:r w:rsidR="0041164D">
        <w:t xml:space="preserve">deferred </w:t>
      </w:r>
      <w:r w:rsidRPr="00E523C4" w:rsidR="00DE13B2">
        <w:t xml:space="preserve">from prior GRC cycles where </w:t>
      </w:r>
      <w:r>
        <w:t>Cal Water</w:t>
      </w:r>
      <w:r w:rsidRPr="00E523C4" w:rsidR="00DE13B2">
        <w:t xml:space="preserve"> did not provide updated cost estimates, engineering readiness, or construction schedules.</w:t>
      </w:r>
    </w:p>
    <w:p w:rsidR="0047173C" w:rsidP="003464B9" w:rsidRDefault="00DE13B2" w14:paraId="2C89D479" w14:textId="7AE81929">
      <w:pPr>
        <w:pStyle w:val="Standard"/>
      </w:pPr>
      <w:r w:rsidRPr="00E523C4">
        <w:t xml:space="preserve">To ensure accurate modeling in the adopted revenue requirement, the Commission clarifies that only </w:t>
      </w:r>
      <w:r w:rsidR="00A23D11">
        <w:t>“</w:t>
      </w:r>
      <w:r w:rsidRPr="00E523C4">
        <w:t>plant in service</w:t>
      </w:r>
      <w:r w:rsidR="00A23D11">
        <w:t>”</w:t>
      </w:r>
      <w:r w:rsidRPr="00E523C4">
        <w:t xml:space="preserve"> as of the end of </w:t>
      </w:r>
      <w:r w:rsidRPr="00E523C4" w:rsidR="00D63259">
        <w:t>202</w:t>
      </w:r>
      <w:r w:rsidR="00D63259">
        <w:t>5</w:t>
      </w:r>
      <w:r w:rsidRPr="00E523C4" w:rsidR="00D63259">
        <w:t xml:space="preserve"> </w:t>
      </w:r>
      <w:r w:rsidRPr="00E523C4">
        <w:t xml:space="preserve">(consistent with recorded plant balances used in </w:t>
      </w:r>
      <w:r w:rsidR="000A6C2E">
        <w:t>Ex. CWS</w:t>
      </w:r>
      <w:r w:rsidR="00270999">
        <w:noBreakHyphen/>
      </w:r>
      <w:r w:rsidRPr="00E523C4">
        <w:t xml:space="preserve">01, Workpapers </w:t>
      </w:r>
      <w:r w:rsidR="00FC6880">
        <w:t>Volume </w:t>
      </w:r>
      <w:r w:rsidRPr="00E523C4">
        <w:t xml:space="preserve">1) may be included in </w:t>
      </w:r>
      <w:r w:rsidR="0041164D">
        <w:t xml:space="preserve">the </w:t>
      </w:r>
      <w:r w:rsidRPr="00E523C4">
        <w:t>beginning</w:t>
      </w:r>
      <w:r w:rsidR="00270999">
        <w:noBreakHyphen/>
      </w:r>
      <w:r w:rsidRPr="00E523C4">
        <w:t>of</w:t>
      </w:r>
      <w:r w:rsidR="00270999">
        <w:noBreakHyphen/>
      </w:r>
      <w:r w:rsidRPr="00E523C4">
        <w:t>test</w:t>
      </w:r>
      <w:r w:rsidR="00270999">
        <w:noBreakHyphen/>
      </w:r>
      <w:r w:rsidRPr="00E523C4">
        <w:t>year rate base.</w:t>
      </w:r>
    </w:p>
    <w:p w:rsidRPr="003464B9" w:rsidR="003464B9" w:rsidP="003464B9" w:rsidRDefault="00DE13B2" w14:paraId="3922E0D2" w14:textId="393D7796">
      <w:pPr>
        <w:pStyle w:val="Standard"/>
      </w:pPr>
      <w:r w:rsidRPr="00E523C4">
        <w:t>Any previously authorized but unbuilt project from earlier cycles is excluded</w:t>
      </w:r>
      <w:r w:rsidR="00BF5788">
        <w:t xml:space="preserve"> from rate base in this proceeding</w:t>
      </w:r>
      <w:r w:rsidR="00092C93">
        <w:t>,</w:t>
      </w:r>
      <w:r w:rsidR="00BF5788">
        <w:t xml:space="preserve"> </w:t>
      </w:r>
      <w:r w:rsidR="00EE76FC">
        <w:t>until the project is used and useful</w:t>
      </w:r>
      <w:r w:rsidR="00BF5788">
        <w:t xml:space="preserve">. </w:t>
      </w:r>
      <w:r w:rsidR="002E2F74">
        <w:t xml:space="preserve">Once the </w:t>
      </w:r>
      <w:r w:rsidR="0047173C">
        <w:t xml:space="preserve">deferred </w:t>
      </w:r>
      <w:r w:rsidR="002E2F74">
        <w:t xml:space="preserve">project is used and useful </w:t>
      </w:r>
      <w:r w:rsidR="007C176C">
        <w:t>Cal</w:t>
      </w:r>
      <w:r w:rsidR="002E2F74">
        <w:t xml:space="preserve"> </w:t>
      </w:r>
      <w:r w:rsidRPr="003464B9" w:rsidR="003464B9">
        <w:t xml:space="preserve">Water </w:t>
      </w:r>
      <w:r w:rsidR="007C176C">
        <w:t xml:space="preserve">can submit a Tier 2 Advice Letter. </w:t>
      </w:r>
      <w:r w:rsidRPr="003464B9" w:rsidR="003464B9">
        <w:t xml:space="preserve">Water Industry Rule 7.3.3(8) provides that rate base offsets previously approved by the Commission, as is the case for these </w:t>
      </w:r>
      <w:r w:rsidR="009C362A">
        <w:t xml:space="preserve">previously </w:t>
      </w:r>
      <w:r w:rsidR="009C362A">
        <w:lastRenderedPageBreak/>
        <w:t>authorized but unbuilt</w:t>
      </w:r>
      <w:r w:rsidRPr="003464B9" w:rsidR="003464B9">
        <w:t xml:space="preserve"> projects, will be processed as Tier 2 advice letters when staff verifies that the scope is consistent with what the Commission approved, and the Commission approval included a budget and where the rate base offset is at or below the </w:t>
      </w:r>
      <w:r w:rsidR="00B52AD8">
        <w:t xml:space="preserve">previously adopted </w:t>
      </w:r>
      <w:r w:rsidRPr="003464B9" w:rsidR="003464B9">
        <w:t>budget.</w:t>
      </w:r>
      <w:r w:rsidRPr="003464B9" w:rsidR="003464B9">
        <w:rPr>
          <w:vertAlign w:val="superscript"/>
        </w:rPr>
        <w:footnoteReference w:id="63"/>
      </w:r>
      <w:r w:rsidRPr="003464B9" w:rsidR="003464B9">
        <w:t xml:space="preserve"> </w:t>
      </w:r>
      <w:r w:rsidR="007C176C">
        <w:t>Therefore, at the time of submitting the advice letter</w:t>
      </w:r>
      <w:r w:rsidR="006567FF">
        <w:t xml:space="preserve">, Cal Water shall show the previously authorized budget </w:t>
      </w:r>
      <w:r w:rsidR="006D58D5">
        <w:t xml:space="preserve">or the project. </w:t>
      </w:r>
      <w:r w:rsidR="00801553">
        <w:t>If project costs exceed</w:t>
      </w:r>
      <w:r w:rsidR="7E8327AC">
        <w:t xml:space="preserve"> previously authorized amounts</w:t>
      </w:r>
      <w:r w:rsidR="00801553">
        <w:t xml:space="preserve">, Cal Water may </w:t>
      </w:r>
      <w:r w:rsidR="00B52AD8">
        <w:t xml:space="preserve">request </w:t>
      </w:r>
      <w:r w:rsidR="00801553">
        <w:t>recover the remaining costs in the next GRC cycle.</w:t>
      </w:r>
    </w:p>
    <w:p w:rsidR="00CF1C6F" w:rsidP="008E5517" w:rsidRDefault="00EB50F8" w14:paraId="27C92A71" w14:textId="204536EE">
      <w:pPr>
        <w:pStyle w:val="Standard"/>
      </w:pPr>
      <w:r>
        <w:t>Cal Water</w:t>
      </w:r>
      <w:r w:rsidR="000C0896">
        <w:t>’</w:t>
      </w:r>
      <w:r w:rsidRPr="00E523C4" w:rsidR="00C7335F">
        <w:t>s reply identifies several compliance</w:t>
      </w:r>
      <w:r w:rsidR="00270999">
        <w:noBreakHyphen/>
      </w:r>
      <w:r w:rsidRPr="00E523C4" w:rsidR="00C7335F">
        <w:t>driven treatment projects where need is anchored in revised state and federal standards and supported by engineering workpapers; those projects meet the burden for forward</w:t>
      </w:r>
      <w:r w:rsidR="00270999">
        <w:noBreakHyphen/>
      </w:r>
      <w:r w:rsidRPr="00E523C4" w:rsidR="00C7335F">
        <w:t xml:space="preserve">looking approval, subject to reasonable </w:t>
      </w:r>
      <w:r w:rsidR="00B52AD8">
        <w:t>budgets</w:t>
      </w:r>
      <w:r w:rsidRPr="00E523C4" w:rsidR="00C7335F">
        <w:t xml:space="preserve"> and reporting</w:t>
      </w:r>
      <w:r w:rsidRPr="00E523C4" w:rsidR="006D25F0">
        <w:t>.</w:t>
      </w:r>
      <w:r w:rsidRPr="00E523C4" w:rsidR="006D25F0">
        <w:rPr>
          <w:rStyle w:val="FootnoteReference"/>
        </w:rPr>
        <w:footnoteReference w:id="64"/>
      </w:r>
    </w:p>
    <w:p w:rsidR="00123898" w:rsidP="00E873CF" w:rsidRDefault="00943C29" w14:paraId="3FEF6503" w14:textId="65F65321">
      <w:pPr>
        <w:pStyle w:val="Standard"/>
      </w:pPr>
      <w:r w:rsidRPr="00943C29">
        <w:t xml:space="preserve">With respect to </w:t>
      </w:r>
      <w:r w:rsidRPr="0047173C" w:rsidR="0047173C">
        <w:t>the newly proposed </w:t>
      </w:r>
      <w:r w:rsidRPr="00943C29">
        <w:t>AMI</w:t>
      </w:r>
      <w:r w:rsidR="0047173C">
        <w:t xml:space="preserve"> projects</w:t>
      </w:r>
      <w:r w:rsidRPr="00943C29">
        <w:t xml:space="preserve">, </w:t>
      </w:r>
      <w:r w:rsidR="00757617">
        <w:t xml:space="preserve">Cal Advocates recommends that </w:t>
      </w:r>
      <w:r w:rsidRPr="00123898" w:rsidR="00757617">
        <w:t>the Commission require that 50</w:t>
      </w:r>
      <w:r w:rsidR="00547116">
        <w:t xml:space="preserve"> percent</w:t>
      </w:r>
      <w:r w:rsidRPr="00123898" w:rsidR="00757617">
        <w:t xml:space="preserve"> of the annual </w:t>
      </w:r>
      <w:r w:rsidR="002A4DEA">
        <w:t xml:space="preserve">AMI budget requested by CWS, beyond the cost of meter replacement under GO 103-A, be contingent on meeting its proposed </w:t>
      </w:r>
      <w:r w:rsidRPr="00123898" w:rsidR="00757617">
        <w:t>performance criteria</w:t>
      </w:r>
      <w:r w:rsidR="00757617">
        <w:t>.</w:t>
      </w:r>
      <w:r w:rsidR="0018415E">
        <w:rPr>
          <w:rStyle w:val="FootnoteReference"/>
        </w:rPr>
        <w:footnoteReference w:id="65"/>
      </w:r>
      <w:r w:rsidR="00757617">
        <w:t xml:space="preserve"> </w:t>
      </w:r>
      <w:r w:rsidR="00BF270B">
        <w:t>Cal Water</w:t>
      </w:r>
      <w:r w:rsidR="00297B63">
        <w:t>,</w:t>
      </w:r>
      <w:r w:rsidR="00E873CF">
        <w:t xml:space="preserve"> in its opening comments on the proposed decision</w:t>
      </w:r>
      <w:r w:rsidR="00E3113E">
        <w:t>, states</w:t>
      </w:r>
      <w:r w:rsidR="00E873CF">
        <w:t xml:space="preserve"> that it</w:t>
      </w:r>
      <w:r w:rsidRPr="00E873CF" w:rsidR="00E873CF">
        <w:t xml:space="preserve"> does not oppose partial cost recovery as proposed by Cal </w:t>
      </w:r>
      <w:r w:rsidR="00E873CF">
        <w:t>Advocates</w:t>
      </w:r>
      <w:r w:rsidRPr="00E873CF" w:rsidR="00E873CF">
        <w:t xml:space="preserve"> as long as the remaining cost </w:t>
      </w:r>
      <w:r w:rsidRPr="00E873CF" w:rsidR="00E873CF">
        <w:lastRenderedPageBreak/>
        <w:t>recovery for AMI</w:t>
      </w:r>
      <w:r w:rsidR="00E873CF">
        <w:t xml:space="preserve"> </w:t>
      </w:r>
      <w:r w:rsidRPr="00E873CF" w:rsidR="00E873CF">
        <w:t>infrastructure that is installed, and becomes used and useful over the 4-year program, can occur through Tier 2</w:t>
      </w:r>
      <w:r w:rsidR="00E873CF">
        <w:t xml:space="preserve"> </w:t>
      </w:r>
      <w:r w:rsidRPr="00E873CF" w:rsidR="00E873CF">
        <w:t>advice letters.</w:t>
      </w:r>
      <w:r w:rsidR="005F3A22">
        <w:rPr>
          <w:rStyle w:val="FootnoteReference"/>
        </w:rPr>
        <w:footnoteReference w:id="66"/>
      </w:r>
    </w:p>
    <w:p w:rsidR="0047173C" w:rsidP="00516895" w:rsidRDefault="008157D1" w14:paraId="6861F9E5" w14:textId="40D32BE6">
      <w:pPr>
        <w:pStyle w:val="Standard"/>
      </w:pPr>
      <w:r w:rsidRPr="00516895">
        <w:t>Cal Water is authorized to recover $1,893,288 for necessary meter replacements for</w:t>
      </w:r>
      <w:r w:rsidR="00EC4148">
        <w:t xml:space="preserve"> </w:t>
      </w:r>
      <w:r w:rsidRPr="00516895">
        <w:t>th</w:t>
      </w:r>
      <w:r>
        <w:t>ose</w:t>
      </w:r>
      <w:r w:rsidR="00EC4148">
        <w:t xml:space="preserve"> </w:t>
      </w:r>
      <w:r w:rsidRPr="00516895">
        <w:t>districts which are not in the AMI</w:t>
      </w:r>
      <w:r w:rsidR="00EC4148">
        <w:t xml:space="preserve"> </w:t>
      </w:r>
      <w:r w:rsidRPr="00516895">
        <w:t>program.</w:t>
      </w:r>
      <w:r>
        <w:t xml:space="preserve"> As to </w:t>
      </w:r>
      <w:r w:rsidR="005354C9">
        <w:t>the five ratemaking areas</w:t>
      </w:r>
      <w:r>
        <w:t xml:space="preserve"> within the AMI program, </w:t>
      </w:r>
      <w:r w:rsidR="00F536FE">
        <w:t xml:space="preserve">Cal Water is authorized to recover </w:t>
      </w:r>
      <w:r w:rsidRPr="009E6EDB" w:rsidR="009E6EDB">
        <w:t>$2,037,650 of capital costs in 2026</w:t>
      </w:r>
      <w:r w:rsidR="009E6EDB">
        <w:t xml:space="preserve"> (</w:t>
      </w:r>
      <w:r w:rsidR="00F536FE">
        <w:t xml:space="preserve">50% of </w:t>
      </w:r>
      <w:r w:rsidRPr="00153FD0" w:rsidR="00991548">
        <w:t>$4,482,831</w:t>
      </w:r>
      <w:r w:rsidR="00991548">
        <w:t>)</w:t>
      </w:r>
      <w:r w:rsidR="009E6EDB">
        <w:t xml:space="preserve"> and</w:t>
      </w:r>
      <w:r w:rsidRPr="00BA6469" w:rsidR="00BA6469">
        <w:t xml:space="preserve"> $15,413,917 in capital costs in 2027</w:t>
      </w:r>
      <w:r w:rsidR="00BA6469">
        <w:t xml:space="preserve"> (50% of </w:t>
      </w:r>
      <w:r w:rsidRPr="00153FD0" w:rsidR="00991548">
        <w:t>$32,721,122</w:t>
      </w:r>
      <w:r w:rsidR="00BA6469">
        <w:t>)</w:t>
      </w:r>
      <w:r w:rsidR="009E6EDB">
        <w:t xml:space="preserve"> </w:t>
      </w:r>
      <w:r w:rsidR="00067678">
        <w:t>in rates</w:t>
      </w:r>
      <w:r w:rsidR="0047173C">
        <w:t>. Cal Water may</w:t>
      </w:r>
      <w:r w:rsidR="00EC45EC">
        <w:t xml:space="preserve"> request the remaining 50</w:t>
      </w:r>
      <w:r w:rsidR="00547116">
        <w:t xml:space="preserve"> percent</w:t>
      </w:r>
      <w:r w:rsidR="00EC45EC">
        <w:t xml:space="preserve"> </w:t>
      </w:r>
      <w:r w:rsidRPr="0047173C" w:rsidR="0047173C">
        <w:t>in</w:t>
      </w:r>
      <w:r w:rsidR="00EC4148">
        <w:t xml:space="preserve"> </w:t>
      </w:r>
      <w:r w:rsidRPr="0047173C" w:rsidR="0047173C">
        <w:t>i</w:t>
      </w:r>
      <w:r w:rsidR="0047173C">
        <w:t>ts</w:t>
      </w:r>
      <w:r w:rsidRPr="0047173C" w:rsidR="0047173C">
        <w:t xml:space="preserve"> next GRC</w:t>
      </w:r>
      <w:r w:rsidR="0047173C">
        <w:t>,</w:t>
      </w:r>
      <w:r w:rsidR="00516895">
        <w:t xml:space="preserve"> </w:t>
      </w:r>
      <w:r w:rsidRPr="0047173C" w:rsidR="0047173C">
        <w:t>provided</w:t>
      </w:r>
      <w:r w:rsidR="00EC4148">
        <w:t xml:space="preserve"> </w:t>
      </w:r>
      <w:r w:rsidRPr="0047173C" w:rsidR="0047173C">
        <w:t>it</w:t>
      </w:r>
      <w:r w:rsidR="00EC4148">
        <w:t xml:space="preserve"> </w:t>
      </w:r>
      <w:r w:rsidRPr="0047173C" w:rsidR="0047173C">
        <w:t>demonstrates</w:t>
      </w:r>
      <w:r w:rsidR="00EC4148">
        <w:t xml:space="preserve"> </w:t>
      </w:r>
      <w:r w:rsidRPr="0047173C" w:rsidR="0047173C">
        <w:t>that the AMI project was completed as designed and</w:t>
      </w:r>
      <w:r w:rsidR="00EC4148">
        <w:t xml:space="preserve"> </w:t>
      </w:r>
      <w:r w:rsidRPr="0047173C" w:rsidR="0047173C">
        <w:t>is</w:t>
      </w:r>
      <w:r w:rsidR="00EC4148">
        <w:t xml:space="preserve"> </w:t>
      </w:r>
      <w:r w:rsidRPr="0047173C" w:rsidR="0047173C">
        <w:t>performing</w:t>
      </w:r>
      <w:r w:rsidR="00EC4148">
        <w:t xml:space="preserve"> </w:t>
      </w:r>
      <w:r w:rsidRPr="0047173C" w:rsidR="0047173C">
        <w:t>effectively and</w:t>
      </w:r>
      <w:r w:rsidR="00EC4148">
        <w:t xml:space="preserve"> </w:t>
      </w:r>
      <w:r w:rsidRPr="0047173C" w:rsidR="0047173C">
        <w:t>as intended.</w:t>
      </w:r>
      <w:r w:rsidR="00EC4148">
        <w:t xml:space="preserve"> </w:t>
      </w:r>
      <w:r w:rsidRPr="0047173C" w:rsidR="0047173C">
        <w:t>To</w:t>
      </w:r>
      <w:r w:rsidR="00EC4148">
        <w:t xml:space="preserve"> </w:t>
      </w:r>
      <w:r w:rsidRPr="0047173C" w:rsidR="0047173C">
        <w:t>manage the remaining balances, Cal Water</w:t>
      </w:r>
      <w:r w:rsidR="00EC4148">
        <w:t xml:space="preserve"> </w:t>
      </w:r>
      <w:r w:rsidRPr="0047173C" w:rsidR="0047173C">
        <w:t>shall</w:t>
      </w:r>
      <w:r w:rsidR="00EC4148">
        <w:t xml:space="preserve"> </w:t>
      </w:r>
      <w:r w:rsidRPr="0047173C" w:rsidR="0047173C">
        <w:t>track</w:t>
      </w:r>
      <w:r w:rsidR="00EC4148">
        <w:t xml:space="preserve"> </w:t>
      </w:r>
      <w:r w:rsidRPr="0047173C" w:rsidR="0047173C">
        <w:t>the unfunded 50</w:t>
      </w:r>
      <w:r w:rsidR="00547116">
        <w:t xml:space="preserve"> percent</w:t>
      </w:r>
      <w:r w:rsidRPr="0047173C" w:rsidR="0047173C">
        <w:t xml:space="preserve"> of costs forecast for 2026 and</w:t>
      </w:r>
      <w:r w:rsidR="00EC4148">
        <w:t xml:space="preserve"> </w:t>
      </w:r>
      <w:r w:rsidRPr="0047173C" w:rsidR="0047173C">
        <w:t>2027 in a new</w:t>
      </w:r>
      <w:r w:rsidR="00EC4148">
        <w:t xml:space="preserve"> </w:t>
      </w:r>
      <w:r w:rsidRPr="0047173C" w:rsidR="0047173C">
        <w:t>2026-2027</w:t>
      </w:r>
      <w:r w:rsidR="00EC4148">
        <w:t xml:space="preserve"> </w:t>
      </w:r>
      <w:r w:rsidRPr="0047173C" w:rsidR="0047173C">
        <w:t>A</w:t>
      </w:r>
      <w:r w:rsidR="008F7750">
        <w:t>MI</w:t>
      </w:r>
      <w:r w:rsidRPr="0047173C" w:rsidR="0047173C">
        <w:t xml:space="preserve"> Implementation Memorandum Account. As</w:t>
      </w:r>
      <w:r w:rsidR="00292527">
        <w:t xml:space="preserve"> </w:t>
      </w:r>
      <w:r w:rsidRPr="0047173C" w:rsidR="0047173C">
        <w:t>with any memorandum account, Cal Water must</w:t>
      </w:r>
      <w:r w:rsidR="00292527">
        <w:t xml:space="preserve"> </w:t>
      </w:r>
      <w:r w:rsidRPr="0047173C" w:rsidR="0047173C">
        <w:t>demonstrate</w:t>
      </w:r>
      <w:r w:rsidR="00292527">
        <w:t xml:space="preserve"> </w:t>
      </w:r>
      <w:r w:rsidRPr="0047173C" w:rsidR="0047173C">
        <w:t>that the recorded costs were</w:t>
      </w:r>
      <w:r w:rsidR="00292527">
        <w:t xml:space="preserve"> </w:t>
      </w:r>
      <w:r w:rsidRPr="0047173C" w:rsidR="0047173C">
        <w:t>reasonably incurred</w:t>
      </w:r>
      <w:r w:rsidR="00292527">
        <w:t xml:space="preserve"> </w:t>
      </w:r>
      <w:r w:rsidRPr="0047173C" w:rsidR="0047173C">
        <w:t>and the project is in fact used and useful.</w:t>
      </w:r>
    </w:p>
    <w:p w:rsidR="00DC4FEB" w:rsidP="00076741" w:rsidRDefault="00943C29" w14:paraId="2DC2D88D" w14:textId="60320324">
      <w:pPr>
        <w:pStyle w:val="Standard"/>
      </w:pPr>
      <w:r w:rsidRPr="00943C29">
        <w:t>The Commission approves AMI implementation in the five ratemaking areas</w:t>
      </w:r>
      <w:r w:rsidR="00EC2567">
        <w:t>,</w:t>
      </w:r>
      <w:r w:rsidR="00DE72E0">
        <w:t xml:space="preserve"> namely</w:t>
      </w:r>
      <w:r w:rsidRPr="00943C29">
        <w:t xml:space="preserve"> </w:t>
      </w:r>
      <w:r w:rsidRPr="00EC2567" w:rsidR="00EC2567">
        <w:t>Bay Area Region, Bear Gulch, Los Altos, Los Angeles County Region, and Westlake</w:t>
      </w:r>
      <w:r w:rsidR="00B87DF0">
        <w:t>.</w:t>
      </w:r>
      <w:r w:rsidR="00B87DF0">
        <w:rPr>
          <w:rStyle w:val="FootnoteReference"/>
        </w:rPr>
        <w:footnoteReference w:id="67"/>
      </w:r>
      <w:r w:rsidR="00DE72E0">
        <w:t xml:space="preserve"> </w:t>
      </w:r>
      <w:r w:rsidRPr="00943C29">
        <w:t xml:space="preserve">, </w:t>
      </w:r>
      <w:r w:rsidR="00DC4FEB">
        <w:t xml:space="preserve">Cal Advocates proposes </w:t>
      </w:r>
      <w:r w:rsidRPr="00943C29">
        <w:t xml:space="preserve">performance-based </w:t>
      </w:r>
      <w:r w:rsidR="00DC4FEB">
        <w:t>metrics</w:t>
      </w:r>
      <w:r w:rsidR="00076741">
        <w:t>, which it believes would</w:t>
      </w:r>
      <w:r w:rsidRPr="00943C29">
        <w:t xml:space="preserve"> ensure that deployment provides measurable benefits to ratepayers.</w:t>
      </w:r>
      <w:r w:rsidR="00FA456D">
        <w:rPr>
          <w:rStyle w:val="FootnoteReference"/>
        </w:rPr>
        <w:footnoteReference w:id="68"/>
      </w:r>
      <w:r w:rsidR="005D1289">
        <w:t xml:space="preserve"> </w:t>
      </w:r>
      <w:r w:rsidR="00DC4FEB">
        <w:t xml:space="preserve">However, </w:t>
      </w:r>
      <w:r w:rsidR="005A7988">
        <w:t>Cal Advocates’ proposal lacks specificity on</w:t>
      </w:r>
      <w:r w:rsidR="00F434CB">
        <w:t xml:space="preserve"> two of these criteria, </w:t>
      </w:r>
      <w:r w:rsidR="71222068">
        <w:t>namely</w:t>
      </w:r>
      <w:r w:rsidR="00320532">
        <w:t xml:space="preserve"> </w:t>
      </w:r>
      <w:r w:rsidR="00545A64">
        <w:t xml:space="preserve">how </w:t>
      </w:r>
      <w:r w:rsidR="00460F8A">
        <w:t xml:space="preserve">the Commission </w:t>
      </w:r>
      <w:r w:rsidR="00320532">
        <w:t>can verify the success of the AMI deployments</w:t>
      </w:r>
      <w:r w:rsidR="00460F8A">
        <w:t xml:space="preserve">. </w:t>
      </w:r>
      <w:r w:rsidR="00456CB8">
        <w:t>Cal Advocates recommends</w:t>
      </w:r>
      <w:r w:rsidR="00DC4FEB">
        <w:t xml:space="preserve"> reporting O&amp;M savings</w:t>
      </w:r>
      <w:r w:rsidR="00320532">
        <w:t xml:space="preserve"> and</w:t>
      </w:r>
      <w:r w:rsidR="00DC4FEB">
        <w:t xml:space="preserve"> </w:t>
      </w:r>
      <w:r w:rsidR="00456CB8">
        <w:t>using c</w:t>
      </w:r>
      <w:r w:rsidRPr="00456CB8" w:rsidR="00456CB8">
        <w:t xml:space="preserve">ustomer enrollment as a metric to motivate </w:t>
      </w:r>
      <w:r w:rsidR="00456CB8">
        <w:t>Cal Water</w:t>
      </w:r>
      <w:r w:rsidRPr="00456CB8" w:rsidR="00456CB8">
        <w:t xml:space="preserve"> to encourage as many customers as possible to enroll in the customer portal</w:t>
      </w:r>
      <w:r w:rsidR="00320532">
        <w:t xml:space="preserve">. </w:t>
      </w:r>
      <w:r w:rsidRPr="009568FF" w:rsidR="00076741">
        <w:rPr>
          <w:szCs w:val="26"/>
        </w:rPr>
        <w:t>We note that the</w:t>
      </w:r>
      <w:r w:rsidR="00292527">
        <w:rPr>
          <w:szCs w:val="26"/>
        </w:rPr>
        <w:t xml:space="preserve"> </w:t>
      </w:r>
      <w:r w:rsidRPr="009568FF" w:rsidR="00076741">
        <w:rPr>
          <w:szCs w:val="26"/>
        </w:rPr>
        <w:t xml:space="preserve">success of </w:t>
      </w:r>
      <w:r w:rsidRPr="009568FF" w:rsidR="00076741">
        <w:rPr>
          <w:szCs w:val="26"/>
        </w:rPr>
        <w:lastRenderedPageBreak/>
        <w:t>the AMI system in providing</w:t>
      </w:r>
      <w:r w:rsidR="00EC4148">
        <w:rPr>
          <w:szCs w:val="26"/>
        </w:rPr>
        <w:t xml:space="preserve"> </w:t>
      </w:r>
      <w:r w:rsidRPr="009568FF" w:rsidR="00076741">
        <w:rPr>
          <w:szCs w:val="26"/>
        </w:rPr>
        <w:t>customers with</w:t>
      </w:r>
      <w:r w:rsidR="00EC4148">
        <w:rPr>
          <w:szCs w:val="26"/>
        </w:rPr>
        <w:t xml:space="preserve"> </w:t>
      </w:r>
      <w:r w:rsidRPr="009568FF" w:rsidR="00076741">
        <w:rPr>
          <w:szCs w:val="26"/>
        </w:rPr>
        <w:t>accurate</w:t>
      </w:r>
      <w:r w:rsidR="00EC4148">
        <w:rPr>
          <w:szCs w:val="26"/>
        </w:rPr>
        <w:t xml:space="preserve"> </w:t>
      </w:r>
      <w:r w:rsidRPr="009568FF" w:rsidR="00076741">
        <w:rPr>
          <w:szCs w:val="26"/>
        </w:rPr>
        <w:t>billing and</w:t>
      </w:r>
      <w:r w:rsidR="00EC4148">
        <w:rPr>
          <w:szCs w:val="26"/>
        </w:rPr>
        <w:t xml:space="preserve"> </w:t>
      </w:r>
      <w:r w:rsidRPr="009568FF" w:rsidR="00076741">
        <w:rPr>
          <w:szCs w:val="26"/>
        </w:rPr>
        <w:t>timely</w:t>
      </w:r>
      <w:r w:rsidR="00EC4148">
        <w:rPr>
          <w:szCs w:val="26"/>
        </w:rPr>
        <w:t xml:space="preserve"> </w:t>
      </w:r>
      <w:r w:rsidRPr="009568FF" w:rsidR="00076741">
        <w:rPr>
          <w:szCs w:val="26"/>
        </w:rPr>
        <w:t>meter readings will</w:t>
      </w:r>
      <w:r w:rsidR="00EC4148">
        <w:rPr>
          <w:szCs w:val="26"/>
        </w:rPr>
        <w:t xml:space="preserve"> </w:t>
      </w:r>
      <w:r w:rsidRPr="009568FF" w:rsidR="00076741">
        <w:rPr>
          <w:szCs w:val="26"/>
        </w:rPr>
        <w:t>likely be</w:t>
      </w:r>
      <w:r w:rsidR="00EC4148">
        <w:rPr>
          <w:szCs w:val="26"/>
        </w:rPr>
        <w:t xml:space="preserve"> </w:t>
      </w:r>
      <w:r w:rsidRPr="009568FF" w:rsidR="00076741">
        <w:rPr>
          <w:szCs w:val="26"/>
        </w:rPr>
        <w:t>influenced by customer enrollment levels;</w:t>
      </w:r>
      <w:r w:rsidR="00EC4148">
        <w:rPr>
          <w:szCs w:val="26"/>
        </w:rPr>
        <w:t xml:space="preserve"> </w:t>
      </w:r>
      <w:r w:rsidRPr="009568FF" w:rsidR="00076741">
        <w:rPr>
          <w:szCs w:val="26"/>
        </w:rPr>
        <w:t>increased</w:t>
      </w:r>
      <w:r w:rsidR="00EC4148">
        <w:rPr>
          <w:szCs w:val="26"/>
        </w:rPr>
        <w:t xml:space="preserve"> </w:t>
      </w:r>
      <w:r w:rsidRPr="009568FF" w:rsidR="00076741">
        <w:rPr>
          <w:szCs w:val="26"/>
        </w:rPr>
        <w:t>enrollment can provide customers</w:t>
      </w:r>
      <w:r w:rsidR="00516895">
        <w:rPr>
          <w:szCs w:val="26"/>
        </w:rPr>
        <w:t xml:space="preserve"> </w:t>
      </w:r>
      <w:r w:rsidRPr="009568FF" w:rsidR="00076741">
        <w:rPr>
          <w:szCs w:val="26"/>
        </w:rPr>
        <w:t>with</w:t>
      </w:r>
      <w:r w:rsidR="00EC4148">
        <w:rPr>
          <w:szCs w:val="26"/>
        </w:rPr>
        <w:t xml:space="preserve"> </w:t>
      </w:r>
      <w:r w:rsidRPr="009568FF" w:rsidR="00076741">
        <w:rPr>
          <w:szCs w:val="26"/>
        </w:rPr>
        <w:t>valuable</w:t>
      </w:r>
      <w:r w:rsidR="00EC4148">
        <w:rPr>
          <w:szCs w:val="26"/>
        </w:rPr>
        <w:t xml:space="preserve"> </w:t>
      </w:r>
      <w:r w:rsidRPr="009568FF" w:rsidR="00076741">
        <w:rPr>
          <w:szCs w:val="26"/>
        </w:rPr>
        <w:t>information</w:t>
      </w:r>
      <w:r w:rsidR="00EC4148">
        <w:rPr>
          <w:szCs w:val="26"/>
        </w:rPr>
        <w:t xml:space="preserve"> </w:t>
      </w:r>
      <w:r w:rsidRPr="009568FF" w:rsidR="00076741">
        <w:rPr>
          <w:szCs w:val="26"/>
        </w:rPr>
        <w:t>into their usage habits, which may further support conservation efforts.</w:t>
      </w:r>
      <w:r w:rsidR="00EC4148">
        <w:rPr>
          <w:szCs w:val="26"/>
        </w:rPr>
        <w:t xml:space="preserve"> </w:t>
      </w:r>
      <w:r w:rsidR="004B4A01">
        <w:t xml:space="preserve">We agree on the third </w:t>
      </w:r>
      <w:r w:rsidR="006D604D">
        <w:t>criterion</w:t>
      </w:r>
      <w:r w:rsidR="004B4A01">
        <w:t xml:space="preserve"> that AMI deployments should be able to demonstrate a </w:t>
      </w:r>
      <w:r w:rsidR="001D4096">
        <w:t>5</w:t>
      </w:r>
      <w:r w:rsidR="00547116">
        <w:t xml:space="preserve"> percent</w:t>
      </w:r>
      <w:r w:rsidR="001D4096">
        <w:t xml:space="preserve"> reduction in system-wide water loss attributable to AMI</w:t>
      </w:r>
      <w:r w:rsidR="00BE2DA0">
        <w:t>,</w:t>
      </w:r>
      <w:r w:rsidR="006D604D">
        <w:t xml:space="preserve"> as anticipated by Cal Water</w:t>
      </w:r>
      <w:r w:rsidR="001D4096">
        <w:t xml:space="preserve">. </w:t>
      </w:r>
      <w:r w:rsidRPr="00076741" w:rsidR="00076741">
        <w:t>While these metrics do not alter the current economic decision to authorize the AMI project, Cal Water is required to submit the proposed performance metrics</w:t>
      </w:r>
      <w:r w:rsidR="00EC4148">
        <w:t xml:space="preserve"> </w:t>
      </w:r>
      <w:r w:rsidRPr="00076741" w:rsidR="00076741">
        <w:t>for</w:t>
      </w:r>
      <w:r w:rsidR="00EC4148">
        <w:t xml:space="preserve"> </w:t>
      </w:r>
      <w:r w:rsidRPr="00076741" w:rsidR="00076741">
        <w:t>informational purposes</w:t>
      </w:r>
      <w:r w:rsidR="00EC4148">
        <w:t xml:space="preserve"> </w:t>
      </w:r>
      <w:r w:rsidRPr="00076741" w:rsidR="00076741">
        <w:t>in its next GRC;</w:t>
      </w:r>
      <w:r w:rsidR="00EC4148">
        <w:t xml:space="preserve"> </w:t>
      </w:r>
      <w:r w:rsidRPr="00076741" w:rsidR="00076741">
        <w:t>specifically,</w:t>
      </w:r>
      <w:r w:rsidR="00EC4148">
        <w:t xml:space="preserve"> </w:t>
      </w:r>
      <w:r w:rsidRPr="00076741" w:rsidR="00076741">
        <w:t>this</w:t>
      </w:r>
      <w:r w:rsidR="00EC4148">
        <w:t xml:space="preserve"> </w:t>
      </w:r>
      <w:r w:rsidRPr="00076741" w:rsidR="00076741">
        <w:t>information</w:t>
      </w:r>
      <w:r w:rsidR="00EC4148">
        <w:t xml:space="preserve"> </w:t>
      </w:r>
      <w:r w:rsidRPr="00076741" w:rsidR="00076741">
        <w:t>should be included in its testimony for the recovery of the 50</w:t>
      </w:r>
      <w:r w:rsidR="00547116">
        <w:t xml:space="preserve"> percent</w:t>
      </w:r>
      <w:r w:rsidRPr="00076741" w:rsidR="00076741">
        <w:t xml:space="preserve"> deferred costs within</w:t>
      </w:r>
      <w:r w:rsidR="00EC4148">
        <w:t xml:space="preserve"> </w:t>
      </w:r>
      <w:r w:rsidRPr="00076741" w:rsidR="00076741">
        <w:t>the</w:t>
      </w:r>
      <w:r w:rsidR="00EC4148">
        <w:t xml:space="preserve"> </w:t>
      </w:r>
      <w:r w:rsidRPr="00076741" w:rsidR="00076741">
        <w:t>new 2026-202</w:t>
      </w:r>
      <w:r w:rsidR="005354C9">
        <w:t>7</w:t>
      </w:r>
      <w:r w:rsidRPr="00076741" w:rsidR="00076741">
        <w:t xml:space="preserve"> AMI Memorandum Account.</w:t>
      </w:r>
    </w:p>
    <w:p w:rsidRPr="00E523C4" w:rsidR="005C563C" w:rsidP="00B1559F" w:rsidRDefault="005C563C" w14:paraId="00C1F571" w14:textId="42482E1D">
      <w:pPr>
        <w:pStyle w:val="Standard"/>
      </w:pPr>
      <w:r w:rsidRPr="5C375D65">
        <w:t>Consistent with the evidentiary record and the Commission</w:t>
      </w:r>
      <w:r w:rsidR="000C0896">
        <w:rPr>
          <w:szCs w:val="26"/>
        </w:rPr>
        <w:t>’</w:t>
      </w:r>
      <w:r w:rsidRPr="5C375D65">
        <w:t>s forward test</w:t>
      </w:r>
      <w:r w:rsidR="00270999">
        <w:rPr>
          <w:szCs w:val="26"/>
        </w:rPr>
        <w:noBreakHyphen/>
      </w:r>
      <w:r w:rsidRPr="5C375D65">
        <w:t xml:space="preserve">year ratemaking framework, the Commission adopts, modifies, defers, or denies components of </w:t>
      </w:r>
      <w:r w:rsidRPr="5C375D65" w:rsidR="00EB50F8">
        <w:t>Cal Water</w:t>
      </w:r>
      <w:r w:rsidR="000C0896">
        <w:rPr>
          <w:szCs w:val="26"/>
        </w:rPr>
        <w:t>’</w:t>
      </w:r>
      <w:r w:rsidRPr="5C375D65">
        <w:t xml:space="preserve">s Common Plant capital programs as summarized in </w:t>
      </w:r>
      <w:r w:rsidRPr="5C375D65" w:rsidR="00EB50F8">
        <w:t>Table 3</w:t>
      </w:r>
      <w:r w:rsidRPr="5C375D65">
        <w:t xml:space="preserve"> below. These determinations apply where no contrary district</w:t>
      </w:r>
      <w:r w:rsidR="00270999">
        <w:rPr>
          <w:szCs w:val="26"/>
        </w:rPr>
        <w:noBreakHyphen/>
      </w:r>
      <w:r w:rsidRPr="5C375D65">
        <w:t>specific determination is made elsewhere in this decision.</w:t>
      </w:r>
    </w:p>
    <w:p w:rsidR="007F5DD8" w:rsidP="00B1559F" w:rsidRDefault="007F5DD8" w14:paraId="1D6BF37A" w14:textId="3F2D980C">
      <w:pPr>
        <w:pStyle w:val="Standard"/>
      </w:pPr>
      <w:r w:rsidRPr="00E523C4">
        <w:t>Where this decision makes an explicit district</w:t>
      </w:r>
      <w:r w:rsidR="00270999">
        <w:noBreakHyphen/>
      </w:r>
      <w:r w:rsidRPr="00E523C4">
        <w:t xml:space="preserve">level determination for a specific project or </w:t>
      </w:r>
      <w:r w:rsidRPr="00E523C4" w:rsidR="00A32423">
        <w:t>Project Identification (PID)</w:t>
      </w:r>
      <w:r w:rsidRPr="00E523C4">
        <w:t>, that determination controls for ratemaking purposes; Common Plant determinations apply only where no contrary district</w:t>
      </w:r>
      <w:r w:rsidR="00270999">
        <w:noBreakHyphen/>
      </w:r>
      <w:r w:rsidRPr="00E523C4">
        <w:t>specific instruction is provided.</w:t>
      </w:r>
    </w:p>
    <w:p w:rsidRPr="00253D9F" w:rsidR="005C563C" w:rsidP="00323804" w:rsidRDefault="00EB50F8" w14:paraId="2BF194D8" w14:textId="1087C44C">
      <w:pPr>
        <w:pStyle w:val="TableTitleBody"/>
        <w:spacing w:after="0"/>
        <w:rPr>
          <w:b w:val="0"/>
          <w:bCs w:val="0"/>
          <w:u w:val="single"/>
        </w:rPr>
      </w:pPr>
      <w:r>
        <w:rPr>
          <w:u w:val="single"/>
        </w:rPr>
        <w:t>Table 3</w:t>
      </w:r>
    </w:p>
    <w:p w:rsidR="005C563C" w:rsidP="00323804" w:rsidRDefault="005C563C" w14:paraId="6DE7DD10" w14:textId="77777777">
      <w:pPr>
        <w:pStyle w:val="TableTitleBodyT09"/>
        <w:rPr>
          <w:szCs w:val="26"/>
        </w:rPr>
      </w:pPr>
      <w:r>
        <w:t>(</w:t>
      </w:r>
      <w:r w:rsidRPr="00FC1BEA">
        <w:rPr>
          <w:szCs w:val="26"/>
        </w:rPr>
        <w:t>Common Plant Program Determinations</w:t>
      </w:r>
      <w:r>
        <w:rPr>
          <w:szCs w:val="26"/>
        </w:rPr>
        <w:t>)</w:t>
      </w:r>
    </w:p>
    <w:tbl>
      <w:tblPr>
        <w:tblStyle w:val="TableGrid"/>
        <w:tblW w:w="10555" w:type="dxa"/>
        <w:jc w:val="center"/>
        <w:tblLayout w:type="fixed"/>
        <w:tblCellMar>
          <w:top w:w="58" w:type="dxa"/>
          <w:bottom w:w="58" w:type="dxa"/>
        </w:tblCellMar>
        <w:tblLook w:val="04A0" w:firstRow="1" w:lastRow="0" w:firstColumn="1" w:lastColumn="0" w:noHBand="0" w:noVBand="1"/>
      </w:tblPr>
      <w:tblGrid>
        <w:gridCol w:w="10555"/>
      </w:tblGrid>
      <w:tr w:rsidRPr="0066392C" w:rsidR="005C563C" w:rsidTr="0066392C" w14:paraId="21DE0AB0" w14:textId="77777777">
        <w:trPr>
          <w:jc w:val="center"/>
        </w:trPr>
        <w:tc>
          <w:tcPr>
            <w:tcW w:w="10555" w:type="dxa"/>
            <w:shd w:val="clear" w:color="auto" w:fill="D9D9D9" w:themeFill="background1" w:themeFillShade="D9"/>
          </w:tcPr>
          <w:p w:rsidRPr="0066392C" w:rsidR="005C563C" w:rsidP="0066392C" w:rsidRDefault="005C563C" w14:paraId="1137B9C2" w14:textId="77777777">
            <w:pPr>
              <w:keepNext/>
              <w:spacing w:line="240" w:lineRule="auto"/>
              <w:ind w:firstLine="0"/>
              <w:jc w:val="center"/>
              <w:rPr>
                <w:szCs w:val="20"/>
              </w:rPr>
            </w:pPr>
            <w:r w:rsidRPr="0066392C">
              <w:rPr>
                <w:b/>
                <w:bCs/>
                <w:szCs w:val="20"/>
              </w:rPr>
              <w:t>Adopted as Proposed</w:t>
            </w:r>
          </w:p>
        </w:tc>
      </w:tr>
      <w:tr w:rsidRPr="0066392C" w:rsidR="005C563C" w:rsidTr="0066392C" w14:paraId="51197863" w14:textId="77777777">
        <w:trPr>
          <w:jc w:val="center"/>
        </w:trPr>
        <w:tc>
          <w:tcPr>
            <w:tcW w:w="10555" w:type="dxa"/>
          </w:tcPr>
          <w:p w:rsidRPr="0066392C" w:rsidR="005C563C" w:rsidP="00C2178D" w:rsidRDefault="005C563C" w14:paraId="5E4CD927" w14:textId="558AAE5C">
            <w:pPr>
              <w:spacing w:after="120" w:line="240" w:lineRule="auto"/>
              <w:ind w:firstLine="0"/>
              <w:rPr>
                <w:szCs w:val="20"/>
              </w:rPr>
            </w:pPr>
            <w:r w:rsidRPr="0066392C">
              <w:rPr>
                <w:szCs w:val="20"/>
              </w:rPr>
              <w:t xml:space="preserve">The Commission adopts </w:t>
            </w:r>
            <w:r w:rsidR="00EB50F8">
              <w:rPr>
                <w:szCs w:val="20"/>
              </w:rPr>
              <w:t>Cal Water</w:t>
            </w:r>
            <w:r w:rsidR="000C0896">
              <w:rPr>
                <w:szCs w:val="20"/>
              </w:rPr>
              <w:t>’</w:t>
            </w:r>
            <w:r w:rsidRPr="0066392C">
              <w:rPr>
                <w:szCs w:val="20"/>
              </w:rPr>
              <w:t>s proposed budgets and treatment for the following Common Plant programs, as reflected in the Application and supporting workpapers:</w:t>
            </w:r>
          </w:p>
          <w:p w:rsidRPr="0066392C" w:rsidR="005C563C" w:rsidP="00C2178D" w:rsidRDefault="005C563C" w14:paraId="3EF70764" w14:textId="77777777">
            <w:pPr>
              <w:pStyle w:val="Table3Items"/>
            </w:pPr>
            <w:r w:rsidRPr="0066392C">
              <w:t xml:space="preserve">Construction </w:t>
            </w:r>
            <w:r w:rsidRPr="00C2178D">
              <w:rPr>
                <w:szCs w:val="22"/>
              </w:rPr>
              <w:t>Management</w:t>
            </w:r>
            <w:r w:rsidRPr="0066392C">
              <w:t xml:space="preserve"> and Special Inspections (CMSI)</w:t>
            </w:r>
          </w:p>
          <w:p w:rsidRPr="0066392C" w:rsidR="005C563C" w:rsidP="00C2178D" w:rsidRDefault="005C563C" w14:paraId="4272E946" w14:textId="77777777">
            <w:pPr>
              <w:pStyle w:val="Table3Items"/>
            </w:pPr>
            <w:r w:rsidRPr="0066392C">
              <w:lastRenderedPageBreak/>
              <w:t>Analyzers and Instrumentation Program</w:t>
            </w:r>
          </w:p>
          <w:p w:rsidRPr="0066392C" w:rsidR="005C563C" w:rsidP="00C2178D" w:rsidRDefault="005C563C" w14:paraId="4D6BF96C" w14:textId="77777777">
            <w:pPr>
              <w:pStyle w:val="Table3Items"/>
            </w:pPr>
            <w:r w:rsidRPr="0066392C">
              <w:t>Cathodic Protection Systems Program</w:t>
            </w:r>
          </w:p>
          <w:p w:rsidRPr="0066392C" w:rsidR="005C563C" w:rsidP="00C2178D" w:rsidRDefault="005C563C" w14:paraId="424C79A7" w14:textId="77777777">
            <w:pPr>
              <w:pStyle w:val="Table3Items"/>
            </w:pPr>
            <w:r w:rsidRPr="0066392C">
              <w:t>Control Valve Overhaul and Replacement Program</w:t>
            </w:r>
          </w:p>
          <w:p w:rsidRPr="0066392C" w:rsidR="005C563C" w:rsidP="00C2178D" w:rsidRDefault="005C563C" w14:paraId="0AE3D835" w14:textId="77777777">
            <w:pPr>
              <w:pStyle w:val="Table3Items"/>
            </w:pPr>
            <w:r w:rsidRPr="0066392C">
              <w:t>Flowmeter Replacement Program</w:t>
            </w:r>
          </w:p>
          <w:p w:rsidRPr="0066392C" w:rsidR="005C563C" w:rsidP="00C2178D" w:rsidRDefault="005C563C" w14:paraId="61EA293E" w14:textId="01C548DE">
            <w:pPr>
              <w:pStyle w:val="Table3Items"/>
            </w:pPr>
            <w:r w:rsidRPr="0066392C">
              <w:t>New and Replacement Generators (subject to district</w:t>
            </w:r>
            <w:r w:rsidR="00270999">
              <w:noBreakHyphen/>
            </w:r>
            <w:r w:rsidRPr="0066392C">
              <w:t>level determinations, where applicable)</w:t>
            </w:r>
          </w:p>
          <w:p w:rsidRPr="0066392C" w:rsidR="005C563C" w:rsidP="00C2178D" w:rsidRDefault="005C563C" w14:paraId="6F3D0E01" w14:textId="77777777">
            <w:pPr>
              <w:pStyle w:val="Table3Items"/>
            </w:pPr>
            <w:r w:rsidRPr="0066392C">
              <w:t>Main Replacement Program</w:t>
            </w:r>
          </w:p>
          <w:p w:rsidRPr="0066392C" w:rsidR="005C563C" w:rsidP="00C2178D" w:rsidRDefault="005C563C" w14:paraId="144F3E71" w14:textId="77777777">
            <w:pPr>
              <w:pStyle w:val="Table3Items"/>
            </w:pPr>
            <w:r w:rsidRPr="0066392C">
              <w:t>Pressure Vessel Improvement Program (excluding contingency)</w:t>
            </w:r>
          </w:p>
          <w:p w:rsidRPr="0066392C" w:rsidR="005C563C" w:rsidP="00C2178D" w:rsidRDefault="005C563C" w14:paraId="3F1B351D" w14:textId="77777777">
            <w:pPr>
              <w:pStyle w:val="Table3Items"/>
            </w:pPr>
            <w:r w:rsidRPr="0066392C">
              <w:t>Pump and Motor Replacement Program (excluding contingency)</w:t>
            </w:r>
          </w:p>
          <w:p w:rsidRPr="0066392C" w:rsidR="005C563C" w:rsidP="00C2178D" w:rsidRDefault="005C563C" w14:paraId="11D17EFE" w14:textId="77777777">
            <w:pPr>
              <w:pStyle w:val="Table3Items"/>
            </w:pPr>
            <w:r w:rsidRPr="0066392C">
              <w:t>Service Line Replacement Program</w:t>
            </w:r>
          </w:p>
          <w:p w:rsidRPr="0066392C" w:rsidR="005C563C" w:rsidP="00C2178D" w:rsidRDefault="005C563C" w14:paraId="2D018781" w14:textId="77777777">
            <w:pPr>
              <w:pStyle w:val="Table3Items"/>
            </w:pPr>
            <w:r w:rsidRPr="0066392C">
              <w:t>Tank Improvement Program</w:t>
            </w:r>
          </w:p>
          <w:p w:rsidRPr="0066392C" w:rsidR="005C563C" w:rsidP="00C2178D" w:rsidRDefault="005C563C" w14:paraId="2EB8204E" w14:textId="77777777">
            <w:pPr>
              <w:pStyle w:val="Table3Items"/>
            </w:pPr>
            <w:r w:rsidRPr="0066392C">
              <w:t>Well Renewal Program</w:t>
            </w:r>
          </w:p>
          <w:p w:rsidRPr="0066392C" w:rsidR="005C563C" w:rsidP="00C2178D" w:rsidRDefault="005C563C" w14:paraId="68BC0BE7" w14:textId="77777777">
            <w:pPr>
              <w:pStyle w:val="Table3Items"/>
            </w:pPr>
            <w:r w:rsidRPr="0066392C">
              <w:t>Routine Granular Activated Carbon Changeout Program (as corrected in rebuttal)</w:t>
            </w:r>
          </w:p>
          <w:p w:rsidRPr="0066392C" w:rsidR="005C563C" w:rsidP="00C2178D" w:rsidRDefault="005C563C" w14:paraId="11218645" w14:textId="77777777">
            <w:pPr>
              <w:pStyle w:val="Table3Items"/>
            </w:pPr>
            <w:r w:rsidRPr="0066392C">
              <w:t>Water Quality Sample Station Program</w:t>
            </w:r>
          </w:p>
          <w:p w:rsidRPr="0066392C" w:rsidR="005C563C" w:rsidP="00C2178D" w:rsidRDefault="005C563C" w14:paraId="4E28C761" w14:textId="77777777">
            <w:pPr>
              <w:pStyle w:val="Table3Items"/>
            </w:pPr>
            <w:r w:rsidRPr="0066392C">
              <w:t>Physical Security Program</w:t>
            </w:r>
          </w:p>
          <w:p w:rsidRPr="0066392C" w:rsidR="005C563C" w:rsidP="00C2178D" w:rsidRDefault="005C563C" w14:paraId="0D75A491" w14:textId="77777777">
            <w:pPr>
              <w:pStyle w:val="Table3Items"/>
            </w:pPr>
            <w:r w:rsidRPr="0066392C">
              <w:t>Vehicle Replacement Program (excluding vehicles tied to unadopted staffing complements)</w:t>
            </w:r>
          </w:p>
          <w:p w:rsidRPr="0066392C" w:rsidR="005C563C" w:rsidP="00C2178D" w:rsidRDefault="005C563C" w14:paraId="7536F75C" w14:textId="77777777">
            <w:pPr>
              <w:pStyle w:val="Table3Items"/>
              <w:spacing w:after="120"/>
            </w:pPr>
            <w:r w:rsidRPr="0066392C">
              <w:t>Nitrification (Tank and Mixing) Projects</w:t>
            </w:r>
          </w:p>
          <w:p w:rsidRPr="0066392C" w:rsidR="005C563C" w:rsidP="00FF6F6B" w:rsidRDefault="005C563C" w14:paraId="58BC7676" w14:textId="695F2D96">
            <w:pPr>
              <w:spacing w:after="120" w:line="240" w:lineRule="auto"/>
              <w:ind w:firstLine="0"/>
            </w:pPr>
            <w:r w:rsidRPr="07D8631D">
              <w:t>These programs are supported by record evidence demonstrating operational necessity, regulatory compliance requirements, or reasonable asset</w:t>
            </w:r>
            <w:r w:rsidR="00270999">
              <w:rPr>
                <w:szCs w:val="20"/>
              </w:rPr>
              <w:noBreakHyphen/>
            </w:r>
            <w:r w:rsidRPr="07D8631D">
              <w:t>management practices.</w:t>
            </w:r>
          </w:p>
        </w:tc>
      </w:tr>
      <w:tr w:rsidRPr="0066392C" w:rsidR="005C563C" w:rsidTr="0066392C" w14:paraId="168E7030" w14:textId="77777777">
        <w:trPr>
          <w:jc w:val="center"/>
        </w:trPr>
        <w:tc>
          <w:tcPr>
            <w:tcW w:w="10555" w:type="dxa"/>
            <w:shd w:val="clear" w:color="auto" w:fill="D9D9D9" w:themeFill="background1" w:themeFillShade="D9"/>
          </w:tcPr>
          <w:p w:rsidRPr="0066392C" w:rsidR="00604CBE" w:rsidP="0066392C" w:rsidRDefault="005C563C" w14:paraId="592C60E7" w14:textId="0739250C">
            <w:pPr>
              <w:keepNext/>
              <w:spacing w:line="240" w:lineRule="auto"/>
              <w:ind w:firstLine="0"/>
              <w:jc w:val="center"/>
              <w:rPr>
                <w:b/>
                <w:bCs/>
                <w:szCs w:val="20"/>
              </w:rPr>
            </w:pPr>
            <w:r w:rsidRPr="0066392C">
              <w:rPr>
                <w:b/>
                <w:bCs/>
                <w:szCs w:val="20"/>
              </w:rPr>
              <w:lastRenderedPageBreak/>
              <w:t>Adopted with Modification</w:t>
            </w:r>
          </w:p>
        </w:tc>
      </w:tr>
      <w:tr w:rsidRPr="0066392C" w:rsidR="005C563C" w:rsidTr="00C2178D" w14:paraId="1B98A492" w14:textId="77777777">
        <w:trPr>
          <w:cantSplit/>
          <w:jc w:val="center"/>
        </w:trPr>
        <w:tc>
          <w:tcPr>
            <w:tcW w:w="10555" w:type="dxa"/>
          </w:tcPr>
          <w:p w:rsidRPr="0066392C" w:rsidR="005C563C" w:rsidP="00C2178D" w:rsidRDefault="005C563C" w14:paraId="717294FC" w14:textId="5FBD0844">
            <w:pPr>
              <w:spacing w:after="120" w:line="240" w:lineRule="auto"/>
              <w:ind w:firstLine="0"/>
              <w:rPr>
                <w:szCs w:val="20"/>
              </w:rPr>
            </w:pPr>
            <w:r w:rsidRPr="0066392C">
              <w:rPr>
                <w:szCs w:val="20"/>
              </w:rPr>
              <w:t xml:space="preserve">The Commission adopts the following program with </w:t>
            </w:r>
            <w:r w:rsidR="00755285">
              <w:rPr>
                <w:szCs w:val="20"/>
              </w:rPr>
              <w:t>modifications</w:t>
            </w:r>
            <w:r w:rsidRPr="0066392C">
              <w:rPr>
                <w:szCs w:val="20"/>
              </w:rPr>
              <w:t>:</w:t>
            </w:r>
          </w:p>
          <w:p w:rsidR="005C563C" w:rsidP="00FF6F6B" w:rsidRDefault="005C563C" w14:paraId="03BE1F64" w14:textId="73AEDFE1">
            <w:pPr>
              <w:pStyle w:val="Table3Items"/>
              <w:spacing w:after="120"/>
            </w:pPr>
            <w:r w:rsidRPr="0066392C">
              <w:t>Panelboard (MCC) Replacement Program</w:t>
            </w:r>
            <w:r w:rsidR="000C0896">
              <w:t xml:space="preserve">:  </w:t>
            </w:r>
            <w:r w:rsidRPr="00EF6F7A" w:rsidR="004572FE">
              <w:rPr>
                <w:szCs w:val="26"/>
              </w:rPr>
              <w:t>adopted</w:t>
            </w:r>
            <w:r w:rsidR="001C7C22">
              <w:rPr>
                <w:szCs w:val="26"/>
              </w:rPr>
              <w:t>,</w:t>
            </w:r>
            <w:r w:rsidRPr="00EF6F7A" w:rsidR="004572FE">
              <w:rPr>
                <w:szCs w:val="26"/>
              </w:rPr>
              <w:t xml:space="preserve"> </w:t>
            </w:r>
            <w:r w:rsidRPr="001C7C22" w:rsidR="001C7C22">
              <w:rPr>
                <w:szCs w:val="26"/>
              </w:rPr>
              <w:t>excluding any contingency amounts</w:t>
            </w:r>
            <w:r w:rsidRPr="0066392C">
              <w:t>.</w:t>
            </w:r>
          </w:p>
          <w:p w:rsidRPr="0066392C" w:rsidR="00943C29" w:rsidP="00FF6F6B" w:rsidRDefault="00943C29" w14:paraId="53CA868D" w14:textId="598ECE76">
            <w:pPr>
              <w:pStyle w:val="Table3Items"/>
              <w:spacing w:after="120"/>
            </w:pPr>
            <w:r w:rsidRPr="00943C29">
              <w:t xml:space="preserve">AMI: </w:t>
            </w:r>
            <w:r w:rsidRPr="00CC3B4B" w:rsidR="00CC3B4B">
              <w:t xml:space="preserve">The Commission authorizes </w:t>
            </w:r>
            <w:r w:rsidR="009D267B">
              <w:t>recovery of</w:t>
            </w:r>
            <w:r w:rsidRPr="00CC3B4B" w:rsidR="00CC3B4B">
              <w:t xml:space="preserve"> 50% of AMI costs </w:t>
            </w:r>
            <w:r w:rsidR="00CC3B4B">
              <w:t>in</w:t>
            </w:r>
            <w:r w:rsidRPr="00CC3B4B" w:rsidR="00CC3B4B">
              <w:t xml:space="preserve"> rate</w:t>
            </w:r>
            <w:r w:rsidR="00CC3B4B">
              <w:t>s</w:t>
            </w:r>
            <w:r w:rsidRPr="00CC3B4B" w:rsidR="00CC3B4B">
              <w:t xml:space="preserve">, with the </w:t>
            </w:r>
            <w:r w:rsidR="009D267B">
              <w:t>remaining 50%</w:t>
            </w:r>
            <w:r w:rsidRPr="00CC3B4B" w:rsidR="00CC3B4B">
              <w:t xml:space="preserve"> recoverable </w:t>
            </w:r>
            <w:r w:rsidR="0018415E">
              <w:t>in the next GRC</w:t>
            </w:r>
            <w:r w:rsidR="009D267B">
              <w:t>.</w:t>
            </w:r>
            <w:r w:rsidR="0018415E">
              <w:t xml:space="preserve"> </w:t>
            </w:r>
            <w:r w:rsidRPr="0018415E" w:rsidR="0018415E">
              <w:t>The remaining 50% of costs are to be recorded in the 2026-2027 AMI Implementation Memorandum Account.</w:t>
            </w:r>
            <w:r w:rsidRPr="00943C29">
              <w:t xml:space="preserve"> </w:t>
            </w:r>
          </w:p>
        </w:tc>
      </w:tr>
      <w:tr w:rsidRPr="0066392C" w:rsidR="005C563C" w:rsidTr="0066392C" w14:paraId="4FF148FF" w14:textId="77777777">
        <w:trPr>
          <w:jc w:val="center"/>
        </w:trPr>
        <w:tc>
          <w:tcPr>
            <w:tcW w:w="10555" w:type="dxa"/>
            <w:shd w:val="clear" w:color="auto" w:fill="D9D9D9" w:themeFill="background1" w:themeFillShade="D9"/>
          </w:tcPr>
          <w:p w:rsidRPr="0066392C" w:rsidR="005C563C" w:rsidP="0066392C" w:rsidRDefault="005C563C" w14:paraId="49EE243E" w14:textId="77777777">
            <w:pPr>
              <w:keepNext/>
              <w:spacing w:line="240" w:lineRule="auto"/>
              <w:ind w:firstLine="0"/>
              <w:jc w:val="center"/>
              <w:rPr>
                <w:szCs w:val="20"/>
              </w:rPr>
            </w:pPr>
            <w:r w:rsidRPr="0066392C">
              <w:rPr>
                <w:b/>
                <w:bCs/>
                <w:szCs w:val="20"/>
              </w:rPr>
              <w:lastRenderedPageBreak/>
              <w:t>Deferred</w:t>
            </w:r>
          </w:p>
        </w:tc>
      </w:tr>
      <w:tr w:rsidRPr="0066392C" w:rsidR="005C563C" w:rsidTr="00A42723" w14:paraId="06C08A82" w14:textId="77777777">
        <w:trPr>
          <w:cantSplit/>
          <w:jc w:val="center"/>
        </w:trPr>
        <w:tc>
          <w:tcPr>
            <w:tcW w:w="10555" w:type="dxa"/>
          </w:tcPr>
          <w:p w:rsidRPr="0066392C" w:rsidR="005C563C" w:rsidP="00B56414" w:rsidRDefault="005C563C" w14:paraId="768A3CBE" w14:textId="71F2FC35">
            <w:pPr>
              <w:spacing w:after="120" w:line="240" w:lineRule="auto"/>
              <w:ind w:firstLine="0"/>
              <w:rPr>
                <w:szCs w:val="20"/>
              </w:rPr>
            </w:pPr>
            <w:r w:rsidRPr="0066392C">
              <w:rPr>
                <w:szCs w:val="20"/>
              </w:rPr>
              <w:t>The Commission defers the following pending further evidentiary showing in a future proceeding:</w:t>
            </w:r>
          </w:p>
          <w:p w:rsidRPr="004572FE" w:rsidR="004572FE" w:rsidP="004158D2" w:rsidRDefault="004572FE" w14:paraId="4909CC81" w14:textId="56937077">
            <w:pPr>
              <w:pStyle w:val="Table3Items"/>
              <w:spacing w:after="120"/>
              <w:rPr>
                <w:szCs w:val="26"/>
              </w:rPr>
            </w:pPr>
            <w:r w:rsidRPr="004572FE">
              <w:rPr>
                <w:szCs w:val="26"/>
              </w:rPr>
              <w:t>All unbuilt</w:t>
            </w:r>
            <w:r w:rsidR="00B93B3A">
              <w:rPr>
                <w:szCs w:val="26"/>
              </w:rPr>
              <w:t xml:space="preserve">, </w:t>
            </w:r>
            <w:r w:rsidR="003E6378">
              <w:rPr>
                <w:szCs w:val="26"/>
              </w:rPr>
              <w:t>previously authorized</w:t>
            </w:r>
            <w:r w:rsidRPr="004572FE">
              <w:rPr>
                <w:szCs w:val="26"/>
              </w:rPr>
              <w:t xml:space="preserve"> projects</w:t>
            </w:r>
            <w:r w:rsidR="00E316F2">
              <w:rPr>
                <w:szCs w:val="26"/>
              </w:rPr>
              <w:t>,</w:t>
            </w:r>
            <w:r w:rsidRPr="004572FE">
              <w:rPr>
                <w:szCs w:val="26"/>
              </w:rPr>
              <w:t xml:space="preserve"> deferred from the prior GRC</w:t>
            </w:r>
            <w:r w:rsidR="00E17246">
              <w:rPr>
                <w:szCs w:val="26"/>
              </w:rPr>
              <w:t xml:space="preserve"> can be recovered in rates via a Tier 2 Advice Letter once the project is used and useful</w:t>
            </w:r>
            <w:r>
              <w:rPr>
                <w:szCs w:val="26"/>
              </w:rPr>
              <w:t>.</w:t>
            </w:r>
          </w:p>
          <w:p w:rsidRPr="0066392C" w:rsidR="005C563C" w:rsidP="00FF6F6B" w:rsidRDefault="005C563C" w14:paraId="30494A9F" w14:textId="7496532D">
            <w:pPr>
              <w:pStyle w:val="Table3Items"/>
              <w:spacing w:after="120"/>
            </w:pPr>
          </w:p>
        </w:tc>
      </w:tr>
      <w:tr w:rsidRPr="0066392C" w:rsidR="005C563C" w:rsidTr="0066392C" w14:paraId="283BDE39" w14:textId="77777777">
        <w:trPr>
          <w:jc w:val="center"/>
        </w:trPr>
        <w:tc>
          <w:tcPr>
            <w:tcW w:w="10555" w:type="dxa"/>
            <w:shd w:val="clear" w:color="auto" w:fill="D9D9D9" w:themeFill="background1" w:themeFillShade="D9"/>
          </w:tcPr>
          <w:p w:rsidRPr="0066392C" w:rsidR="005C563C" w:rsidP="0066392C" w:rsidRDefault="005C563C" w14:paraId="238E616A" w14:textId="4F1A4BE1">
            <w:pPr>
              <w:keepNext/>
              <w:spacing w:line="240" w:lineRule="auto"/>
              <w:ind w:firstLine="0"/>
              <w:jc w:val="center"/>
              <w:rPr>
                <w:szCs w:val="20"/>
              </w:rPr>
            </w:pPr>
            <w:r w:rsidRPr="0066392C">
              <w:rPr>
                <w:b/>
                <w:bCs/>
                <w:szCs w:val="20"/>
              </w:rPr>
              <w:t>Denied</w:t>
            </w:r>
            <w:r w:rsidR="00B3659A">
              <w:rPr>
                <w:b/>
                <w:bCs/>
                <w:szCs w:val="20"/>
              </w:rPr>
              <w:t xml:space="preserve"> for this GRC Cycle</w:t>
            </w:r>
          </w:p>
        </w:tc>
      </w:tr>
      <w:tr w:rsidRPr="0066392C" w:rsidR="005C563C" w:rsidTr="0066392C" w14:paraId="5AE28C44" w14:textId="77777777">
        <w:trPr>
          <w:jc w:val="center"/>
        </w:trPr>
        <w:tc>
          <w:tcPr>
            <w:tcW w:w="10555" w:type="dxa"/>
          </w:tcPr>
          <w:p w:rsidRPr="0066392C" w:rsidR="005C563C" w:rsidP="00140D20" w:rsidRDefault="005C563C" w14:paraId="1BC90BD3" w14:textId="4AA16B16">
            <w:pPr>
              <w:spacing w:after="120" w:line="240" w:lineRule="auto"/>
              <w:ind w:firstLine="0"/>
            </w:pPr>
            <w:r>
              <w:t>The Commission denies inclusion of the following Common Plant categories in rate base for this GRC cycle</w:t>
            </w:r>
            <w:r w:rsidR="00B3659A">
              <w:t xml:space="preserve"> (such projects may be reconsidered in a future </w:t>
            </w:r>
            <w:r w:rsidR="4316F9B7">
              <w:t>GRC</w:t>
            </w:r>
            <w:r w:rsidR="00B3659A">
              <w:t xml:space="preserve"> proceeding upon an adequate evidentiary showing)</w:t>
            </w:r>
            <w:r>
              <w:t>:</w:t>
            </w:r>
          </w:p>
          <w:p w:rsidRPr="0066392C" w:rsidR="005C563C" w:rsidP="00140D20" w:rsidRDefault="005C563C" w14:paraId="0AD74C56" w14:textId="4601DCEF">
            <w:pPr>
              <w:pStyle w:val="Table3Items"/>
            </w:pPr>
            <w:r w:rsidRPr="0066392C">
              <w:t>Design</w:t>
            </w:r>
            <w:r w:rsidR="00270999">
              <w:noBreakHyphen/>
            </w:r>
            <w:r w:rsidRPr="0066392C">
              <w:t xml:space="preserve"> and Permitting</w:t>
            </w:r>
            <w:r w:rsidR="00270999">
              <w:noBreakHyphen/>
            </w:r>
            <w:r w:rsidRPr="0066392C">
              <w:t>Only Projects, which are not used and useful during the test or attrition years</w:t>
            </w:r>
            <w:r w:rsidR="001C7C22">
              <w:t>.</w:t>
            </w:r>
          </w:p>
          <w:p w:rsidRPr="0066392C" w:rsidR="005C563C" w:rsidP="00140D20" w:rsidRDefault="005C563C" w14:paraId="009838F1" w14:textId="508592C4">
            <w:pPr>
              <w:pStyle w:val="Table3Items"/>
            </w:pPr>
            <w:r w:rsidRPr="0066392C">
              <w:t>Engineering and Planning Studies, which do not constitute used</w:t>
            </w:r>
            <w:r w:rsidRPr="0066392C" w:rsidR="6DA9B376">
              <w:t>-</w:t>
            </w:r>
            <w:r w:rsidRPr="0066392C">
              <w:t>and</w:t>
            </w:r>
            <w:r w:rsidRPr="0066392C" w:rsidR="1CE04B62">
              <w:t>-</w:t>
            </w:r>
            <w:r w:rsidRPr="0066392C">
              <w:t>useful plant</w:t>
            </w:r>
            <w:r w:rsidR="001C7C22">
              <w:t>.</w:t>
            </w:r>
          </w:p>
          <w:p w:rsidR="005C563C" w:rsidP="00140D20" w:rsidRDefault="005C563C" w14:paraId="1E3F0544" w14:textId="7C0689F6">
            <w:pPr>
              <w:pStyle w:val="Table3Items"/>
              <w:spacing w:after="120"/>
            </w:pPr>
            <w:r w:rsidRPr="0066392C">
              <w:t>Multi</w:t>
            </w:r>
            <w:r w:rsidRPr="0066392C" w:rsidR="4A898EA3">
              <w:t>-</w:t>
            </w:r>
            <w:r w:rsidRPr="0066392C">
              <w:t>GRC Projects, which are not proposed for rate recovery and are not ripe for review in this proceeding.</w:t>
            </w:r>
          </w:p>
          <w:p w:rsidRPr="0066392C" w:rsidR="001C7C22" w:rsidP="00140D20" w:rsidRDefault="001C7C22" w14:paraId="6ACD23C7" w14:textId="67A5DF70">
            <w:pPr>
              <w:pStyle w:val="Table3Items"/>
              <w:spacing w:after="120"/>
            </w:pPr>
            <w:r w:rsidRPr="001C7C22">
              <w:t>Project contingencies embedded in capital estimates</w:t>
            </w:r>
            <w:r>
              <w:t>.</w:t>
            </w:r>
          </w:p>
        </w:tc>
      </w:tr>
    </w:tbl>
    <w:p w:rsidR="00CE0158" w:rsidP="00B1559F" w:rsidRDefault="00604CBE" w14:paraId="4F64A94B" w14:textId="22344FD1">
      <w:pPr>
        <w:pStyle w:val="StandardTableSub"/>
      </w:pPr>
      <w:r w:rsidRPr="0043491B">
        <w:t>Consistent with the statutory standards of prudence, reasonableness, and the used</w:t>
      </w:r>
      <w:r w:rsidR="00270999">
        <w:noBreakHyphen/>
      </w:r>
      <w:r w:rsidRPr="0043491B">
        <w:t>and</w:t>
      </w:r>
      <w:r w:rsidR="00270999">
        <w:noBreakHyphen/>
      </w:r>
      <w:r w:rsidRPr="0043491B">
        <w:t>useful doctrine, the Commission adopts, modifies, defers, or denies district</w:t>
      </w:r>
      <w:r w:rsidR="00270999">
        <w:noBreakHyphen/>
      </w:r>
      <w:r w:rsidRPr="0043491B">
        <w:t xml:space="preserve">level plant projects as summarized in </w:t>
      </w:r>
      <w:r w:rsidR="00EB50F8">
        <w:t>Table 4</w:t>
      </w:r>
      <w:r w:rsidRPr="0043491B">
        <w:t xml:space="preserve"> below.</w:t>
      </w:r>
    </w:p>
    <w:p w:rsidR="00A32423" w:rsidP="007F5DD8" w:rsidRDefault="00EB50F8" w14:paraId="090B1EC6" w14:textId="0CE50A33">
      <w:pPr>
        <w:pStyle w:val="Standard"/>
      </w:pPr>
      <w:r>
        <w:t>Table 2</w:t>
      </w:r>
      <w:r w:rsidRPr="00A32423" w:rsidR="00A32423">
        <w:t xml:space="preserve"> and </w:t>
      </w:r>
      <w:r>
        <w:t>Table 3</w:t>
      </w:r>
      <w:r w:rsidRPr="00A32423" w:rsidR="00A32423">
        <w:t xml:space="preserve"> are adopted for purposes of populating the RO Model and </w:t>
      </w:r>
      <w:r w:rsidR="009A779A">
        <w:t>Appendices </w:t>
      </w:r>
      <w:r w:rsidR="00341211">
        <w:t>A</w:t>
      </w:r>
      <w:r w:rsidR="009A779A">
        <w:t xml:space="preserve"> </w:t>
      </w:r>
      <w:r w:rsidR="00092737">
        <w:t>through </w:t>
      </w:r>
      <w:r w:rsidR="00341211">
        <w:t>X</w:t>
      </w:r>
      <w:r w:rsidRPr="00A32423" w:rsidR="00A32423">
        <w:t xml:space="preserve">. </w:t>
      </w:r>
      <w:r w:rsidR="00A32423">
        <w:t>The Commission</w:t>
      </w:r>
      <w:r w:rsidRPr="00A32423" w:rsidR="00A32423">
        <w:t xml:space="preserve"> use</w:t>
      </w:r>
      <w:r w:rsidR="00A32423">
        <w:t>s</w:t>
      </w:r>
      <w:r w:rsidRPr="00A32423" w:rsidR="00A32423">
        <w:t xml:space="preserve"> the disposition and adopted amounts shown in these tables, by PID where applicable, without reclassification, aggregation, or modification, except as expressly directed elsewhere in this decision.</w:t>
      </w:r>
    </w:p>
    <w:p w:rsidRPr="00814EA7" w:rsidR="00604CBE" w:rsidP="007F5DD8" w:rsidRDefault="00EB50F8" w14:paraId="64548E4D" w14:textId="25DFDCB7">
      <w:pPr>
        <w:pStyle w:val="Standard"/>
      </w:pPr>
      <w:r>
        <w:t>Table 4</w:t>
      </w:r>
      <w:r w:rsidRPr="0043491B" w:rsidR="00604CBE">
        <w:t xml:space="preserve"> identifies each project by PID number and specifies the adopted ratemaking treatment for purposes of the RO Model and </w:t>
      </w:r>
      <w:r w:rsidR="009A779A">
        <w:t>Appendices </w:t>
      </w:r>
      <w:r w:rsidR="00341211">
        <w:t>A</w:t>
      </w:r>
      <w:r w:rsidR="009A779A">
        <w:t xml:space="preserve"> through </w:t>
      </w:r>
      <w:r w:rsidR="00341211">
        <w:t>X</w:t>
      </w:r>
      <w:r w:rsidRPr="0043491B" w:rsidR="00604CBE">
        <w:t>. Except as expressly provided below, all other district</w:t>
      </w:r>
      <w:r w:rsidR="00270999">
        <w:noBreakHyphen/>
      </w:r>
      <w:r w:rsidRPr="0043491B" w:rsidR="00604CBE">
        <w:t xml:space="preserve">level plant </w:t>
      </w:r>
      <w:r w:rsidRPr="0043491B" w:rsidR="00604CBE">
        <w:lastRenderedPageBreak/>
        <w:t>projects are adopted as proposed, subject to the Common Plant determinations adopted in this decision.</w:t>
      </w:r>
    </w:p>
    <w:p w:rsidRPr="0043491B" w:rsidR="00604CBE" w:rsidP="00D14169" w:rsidRDefault="00EB50F8" w14:paraId="3BB63B67" w14:textId="0C872441">
      <w:pPr>
        <w:pStyle w:val="TableTitleBody"/>
        <w:spacing w:after="0"/>
        <w:rPr>
          <w:b w:val="0"/>
          <w:bCs w:val="0"/>
          <w:u w:val="single"/>
        </w:rPr>
      </w:pPr>
      <w:r>
        <w:rPr>
          <w:u w:val="single"/>
        </w:rPr>
        <w:t>Table 4</w:t>
      </w:r>
    </w:p>
    <w:p w:rsidRPr="0043491B" w:rsidR="00604CBE" w:rsidP="00D14169" w:rsidRDefault="00604CBE" w14:paraId="5911A2D4" w14:textId="489E1EAF">
      <w:pPr>
        <w:pStyle w:val="TableTitleBodyT09"/>
      </w:pPr>
      <w:r w:rsidRPr="0043491B">
        <w:t>(Summary of District</w:t>
      </w:r>
      <w:r w:rsidR="00270999">
        <w:noBreakHyphen/>
      </w:r>
      <w:r w:rsidRPr="0043491B">
        <w:t>Level Determinations)</w:t>
      </w:r>
    </w:p>
    <w:tbl>
      <w:tblPr>
        <w:tblStyle w:val="TableGrid"/>
        <w:tblW w:w="10555" w:type="dxa"/>
        <w:jc w:val="center"/>
        <w:tblLayout w:type="fixed"/>
        <w:tblCellMar>
          <w:top w:w="58" w:type="dxa"/>
          <w:bottom w:w="58" w:type="dxa"/>
        </w:tblCellMar>
        <w:tblLook w:val="04A0" w:firstRow="1" w:lastRow="0" w:firstColumn="1" w:lastColumn="0" w:noHBand="0" w:noVBand="1"/>
      </w:tblPr>
      <w:tblGrid>
        <w:gridCol w:w="2335"/>
        <w:gridCol w:w="1440"/>
        <w:gridCol w:w="3330"/>
        <w:gridCol w:w="1620"/>
        <w:gridCol w:w="1830"/>
      </w:tblGrid>
      <w:tr w:rsidRPr="00030CE8" w:rsidR="00030CE8" w:rsidTr="0034117D" w14:paraId="77BD78E2" w14:textId="77777777">
        <w:trPr>
          <w:cantSplit/>
          <w:tblHeader/>
          <w:jc w:val="center"/>
        </w:trPr>
        <w:tc>
          <w:tcPr>
            <w:tcW w:w="2335" w:type="dxa"/>
            <w:shd w:val="clear" w:color="auto" w:fill="D9D9D9" w:themeFill="background1" w:themeFillShade="D9"/>
            <w:vAlign w:val="bottom"/>
          </w:tcPr>
          <w:p w:rsidRPr="00030CE8" w:rsidR="00604CBE" w:rsidP="0034117D" w:rsidRDefault="00604CBE" w14:paraId="6A5AA5F6" w14:textId="3F72822B">
            <w:pPr>
              <w:pStyle w:val="Standard"/>
              <w:keepNext/>
              <w:spacing w:line="240" w:lineRule="auto"/>
              <w:ind w:firstLine="0"/>
              <w:jc w:val="center"/>
              <w:rPr>
                <w:b/>
                <w:bCs/>
                <w:sz w:val="24"/>
              </w:rPr>
            </w:pPr>
            <w:r w:rsidRPr="00030CE8">
              <w:rPr>
                <w:b/>
                <w:bCs/>
                <w:sz w:val="24"/>
                <w:szCs w:val="20"/>
              </w:rPr>
              <w:t>District</w:t>
            </w:r>
            <w:r w:rsidRPr="00030CE8" w:rsidR="00785601">
              <w:rPr>
                <w:b/>
                <w:bCs/>
                <w:sz w:val="24"/>
                <w:szCs w:val="20"/>
              </w:rPr>
              <w:t> /</w:t>
            </w:r>
            <w:r w:rsidR="0034117D">
              <w:rPr>
                <w:b/>
                <w:bCs/>
                <w:sz w:val="24"/>
                <w:szCs w:val="20"/>
              </w:rPr>
              <w:t xml:space="preserve"> </w:t>
            </w:r>
            <w:r w:rsidRPr="00030CE8">
              <w:rPr>
                <w:b/>
                <w:bCs/>
                <w:sz w:val="24"/>
                <w:szCs w:val="20"/>
              </w:rPr>
              <w:t>Region</w:t>
            </w:r>
          </w:p>
        </w:tc>
        <w:tc>
          <w:tcPr>
            <w:tcW w:w="1440" w:type="dxa"/>
            <w:shd w:val="clear" w:color="auto" w:fill="D9D9D9" w:themeFill="background1" w:themeFillShade="D9"/>
            <w:vAlign w:val="bottom"/>
          </w:tcPr>
          <w:p w:rsidRPr="00030CE8" w:rsidR="00904DD5" w:rsidP="0083499C" w:rsidRDefault="00604CBE" w14:paraId="4C7E9105" w14:textId="57A334FF">
            <w:pPr>
              <w:pStyle w:val="Standard"/>
              <w:keepNext/>
              <w:spacing w:line="240" w:lineRule="auto"/>
              <w:ind w:firstLine="0"/>
              <w:jc w:val="center"/>
              <w:rPr>
                <w:b/>
                <w:bCs/>
                <w:sz w:val="24"/>
                <w:szCs w:val="20"/>
              </w:rPr>
            </w:pPr>
            <w:r w:rsidRPr="00030CE8">
              <w:rPr>
                <w:b/>
                <w:bCs/>
                <w:sz w:val="24"/>
                <w:szCs w:val="20"/>
              </w:rPr>
              <w:t>Project</w:t>
            </w:r>
          </w:p>
          <w:p w:rsidRPr="00030CE8" w:rsidR="00604CBE" w:rsidP="00904DD5" w:rsidRDefault="00604CBE" w14:paraId="329DCAE6" w14:textId="235BEB27">
            <w:pPr>
              <w:pStyle w:val="Standard"/>
              <w:keepNext/>
              <w:spacing w:line="240" w:lineRule="auto"/>
              <w:ind w:firstLine="0"/>
              <w:jc w:val="center"/>
              <w:rPr>
                <w:b/>
                <w:bCs/>
                <w:sz w:val="24"/>
              </w:rPr>
            </w:pPr>
            <w:r w:rsidRPr="00030CE8">
              <w:rPr>
                <w:b/>
                <w:bCs/>
                <w:sz w:val="24"/>
                <w:szCs w:val="20"/>
              </w:rPr>
              <w:t>ID</w:t>
            </w:r>
            <w:r w:rsidRPr="00030CE8" w:rsidR="00904DD5">
              <w:rPr>
                <w:b/>
                <w:bCs/>
                <w:sz w:val="24"/>
                <w:szCs w:val="20"/>
              </w:rPr>
              <w:t xml:space="preserve"> </w:t>
            </w:r>
            <w:r w:rsidRPr="00030CE8">
              <w:rPr>
                <w:b/>
                <w:bCs/>
                <w:sz w:val="24"/>
                <w:szCs w:val="20"/>
              </w:rPr>
              <w:t>(PID)</w:t>
            </w:r>
          </w:p>
        </w:tc>
        <w:tc>
          <w:tcPr>
            <w:tcW w:w="3330" w:type="dxa"/>
            <w:shd w:val="clear" w:color="auto" w:fill="D9D9D9" w:themeFill="background1" w:themeFillShade="D9"/>
            <w:vAlign w:val="bottom"/>
          </w:tcPr>
          <w:p w:rsidRPr="00030CE8" w:rsidR="00604CBE" w:rsidP="00556940" w:rsidRDefault="00604CBE" w14:paraId="6A7DAF0C" w14:textId="68E002F1">
            <w:pPr>
              <w:pStyle w:val="Standard"/>
              <w:keepNext/>
              <w:spacing w:line="240" w:lineRule="auto"/>
              <w:ind w:firstLine="0"/>
              <w:jc w:val="center"/>
              <w:rPr>
                <w:b/>
                <w:bCs/>
                <w:sz w:val="24"/>
              </w:rPr>
            </w:pPr>
            <w:r w:rsidRPr="00030CE8">
              <w:rPr>
                <w:b/>
                <w:bCs/>
                <w:sz w:val="24"/>
                <w:szCs w:val="20"/>
              </w:rPr>
              <w:t>Project</w:t>
            </w:r>
            <w:r w:rsidR="00556940">
              <w:rPr>
                <w:b/>
                <w:bCs/>
                <w:sz w:val="24"/>
                <w:szCs w:val="20"/>
              </w:rPr>
              <w:t xml:space="preserve"> </w:t>
            </w:r>
            <w:r w:rsidRPr="00030CE8">
              <w:rPr>
                <w:b/>
                <w:bCs/>
                <w:sz w:val="24"/>
                <w:szCs w:val="20"/>
              </w:rPr>
              <w:t>Description</w:t>
            </w:r>
          </w:p>
        </w:tc>
        <w:tc>
          <w:tcPr>
            <w:tcW w:w="1620" w:type="dxa"/>
            <w:shd w:val="clear" w:color="auto" w:fill="D9D9D9" w:themeFill="background1" w:themeFillShade="D9"/>
            <w:vAlign w:val="bottom"/>
          </w:tcPr>
          <w:p w:rsidRPr="00030CE8" w:rsidR="00604CBE" w:rsidP="0083499C" w:rsidRDefault="00604CBE" w14:paraId="72B142DD" w14:textId="77777777">
            <w:pPr>
              <w:pStyle w:val="Standard"/>
              <w:keepNext/>
              <w:spacing w:line="240" w:lineRule="auto"/>
              <w:ind w:firstLine="0"/>
              <w:jc w:val="center"/>
              <w:rPr>
                <w:b/>
                <w:bCs/>
                <w:sz w:val="24"/>
              </w:rPr>
            </w:pPr>
            <w:r w:rsidRPr="00030CE8">
              <w:rPr>
                <w:b/>
                <w:bCs/>
                <w:sz w:val="24"/>
                <w:szCs w:val="20"/>
              </w:rPr>
              <w:t>Disposition</w:t>
            </w:r>
          </w:p>
        </w:tc>
        <w:tc>
          <w:tcPr>
            <w:tcW w:w="1830" w:type="dxa"/>
            <w:shd w:val="clear" w:color="auto" w:fill="D9D9D9" w:themeFill="background1" w:themeFillShade="D9"/>
            <w:vAlign w:val="bottom"/>
          </w:tcPr>
          <w:p w:rsidRPr="00030CE8" w:rsidR="00D70C32" w:rsidP="0083499C" w:rsidRDefault="00604CBE" w14:paraId="7839E609" w14:textId="77777777">
            <w:pPr>
              <w:pStyle w:val="Standard"/>
              <w:keepNext/>
              <w:spacing w:line="240" w:lineRule="auto"/>
              <w:ind w:firstLine="0"/>
              <w:jc w:val="center"/>
              <w:rPr>
                <w:b/>
                <w:bCs/>
                <w:sz w:val="24"/>
                <w:szCs w:val="20"/>
              </w:rPr>
            </w:pPr>
            <w:r w:rsidRPr="00030CE8">
              <w:rPr>
                <w:b/>
                <w:bCs/>
                <w:sz w:val="24"/>
                <w:szCs w:val="20"/>
              </w:rPr>
              <w:t>Adopted</w:t>
            </w:r>
          </w:p>
          <w:p w:rsidRPr="00030CE8" w:rsidR="00D70C32" w:rsidP="0083499C" w:rsidRDefault="00604CBE" w14:paraId="692A7B10" w14:textId="77777777">
            <w:pPr>
              <w:pStyle w:val="Standard"/>
              <w:keepNext/>
              <w:spacing w:line="240" w:lineRule="auto"/>
              <w:ind w:firstLine="0"/>
              <w:jc w:val="center"/>
              <w:rPr>
                <w:b/>
                <w:bCs/>
                <w:sz w:val="24"/>
                <w:szCs w:val="20"/>
              </w:rPr>
            </w:pPr>
            <w:r w:rsidRPr="00030CE8">
              <w:rPr>
                <w:b/>
                <w:bCs/>
                <w:sz w:val="24"/>
                <w:szCs w:val="20"/>
              </w:rPr>
              <w:t>Amount</w:t>
            </w:r>
            <w:r w:rsidRPr="00030CE8" w:rsidR="00785601">
              <w:rPr>
                <w:b/>
                <w:bCs/>
                <w:sz w:val="24"/>
                <w:szCs w:val="20"/>
              </w:rPr>
              <w:t> /</w:t>
            </w:r>
          </w:p>
          <w:p w:rsidRPr="00030CE8" w:rsidR="00604CBE" w:rsidP="0083499C" w:rsidRDefault="00604CBE" w14:paraId="155EFA85" w14:textId="501C4FB4">
            <w:pPr>
              <w:pStyle w:val="Standard"/>
              <w:keepNext/>
              <w:spacing w:line="240" w:lineRule="auto"/>
              <w:ind w:firstLine="0"/>
              <w:jc w:val="center"/>
              <w:rPr>
                <w:b/>
                <w:bCs/>
                <w:sz w:val="24"/>
              </w:rPr>
            </w:pPr>
            <w:r w:rsidRPr="00030CE8">
              <w:rPr>
                <w:b/>
                <w:bCs/>
                <w:sz w:val="24"/>
                <w:szCs w:val="20"/>
              </w:rPr>
              <w:t>Treatment</w:t>
            </w:r>
          </w:p>
        </w:tc>
      </w:tr>
      <w:tr w:rsidRPr="00030CE8" w:rsidR="00556940" w:rsidTr="0034117D" w14:paraId="76A4004F" w14:textId="77777777">
        <w:trPr>
          <w:cantSplit/>
          <w:jc w:val="center"/>
        </w:trPr>
        <w:tc>
          <w:tcPr>
            <w:tcW w:w="2335" w:type="dxa"/>
            <w:vAlign w:val="center"/>
          </w:tcPr>
          <w:p w:rsidR="0034117D" w:rsidRDefault="00604CBE" w14:paraId="3ADD16F3" w14:textId="77777777">
            <w:pPr>
              <w:pStyle w:val="Standard"/>
              <w:spacing w:line="240" w:lineRule="auto"/>
              <w:ind w:firstLine="0"/>
              <w:rPr>
                <w:b/>
                <w:bCs/>
                <w:sz w:val="24"/>
                <w:szCs w:val="20"/>
              </w:rPr>
            </w:pPr>
            <w:r w:rsidRPr="00030CE8">
              <w:rPr>
                <w:b/>
                <w:bCs/>
                <w:sz w:val="24"/>
                <w:szCs w:val="20"/>
              </w:rPr>
              <w:t>Customer Support</w:t>
            </w:r>
          </w:p>
          <w:p w:rsidR="0034117D" w:rsidRDefault="00604CBE" w14:paraId="76C9B85D" w14:textId="77777777">
            <w:pPr>
              <w:pStyle w:val="Standard"/>
              <w:spacing w:line="240" w:lineRule="auto"/>
              <w:ind w:firstLine="0"/>
              <w:rPr>
                <w:b/>
                <w:bCs/>
                <w:sz w:val="24"/>
                <w:szCs w:val="20"/>
              </w:rPr>
            </w:pPr>
            <w:r w:rsidRPr="00030CE8">
              <w:rPr>
                <w:b/>
                <w:bCs/>
                <w:sz w:val="24"/>
                <w:szCs w:val="20"/>
              </w:rPr>
              <w:t>Services</w:t>
            </w:r>
            <w:r w:rsidRPr="00030CE8" w:rsidR="00AE2539">
              <w:rPr>
                <w:b/>
                <w:bCs/>
                <w:sz w:val="24"/>
                <w:szCs w:val="20"/>
              </w:rPr>
              <w:t xml:space="preserve"> &amp; </w:t>
            </w:r>
            <w:r w:rsidRPr="00030CE8">
              <w:rPr>
                <w:b/>
                <w:bCs/>
                <w:sz w:val="24"/>
                <w:szCs w:val="20"/>
              </w:rPr>
              <w:t>Rancho</w:t>
            </w:r>
          </w:p>
          <w:p w:rsidRPr="00030CE8" w:rsidR="00604CBE" w:rsidRDefault="00604CBE" w14:paraId="3AD37BA0" w14:textId="267BCF3A">
            <w:pPr>
              <w:pStyle w:val="Standard"/>
              <w:spacing w:line="240" w:lineRule="auto"/>
              <w:ind w:firstLine="0"/>
              <w:rPr>
                <w:b/>
                <w:bCs/>
                <w:sz w:val="24"/>
              </w:rPr>
            </w:pPr>
            <w:r w:rsidRPr="00030CE8">
              <w:rPr>
                <w:b/>
                <w:bCs/>
                <w:sz w:val="24"/>
                <w:szCs w:val="20"/>
              </w:rPr>
              <w:t xml:space="preserve">Dominguez </w:t>
            </w:r>
          </w:p>
        </w:tc>
        <w:tc>
          <w:tcPr>
            <w:tcW w:w="1440" w:type="dxa"/>
          </w:tcPr>
          <w:p w:rsidRPr="00030CE8" w:rsidR="00604CBE" w:rsidP="00586EE9" w:rsidRDefault="00604CBE" w14:paraId="5E3A76F9" w14:textId="77777777">
            <w:pPr>
              <w:pStyle w:val="Standard"/>
              <w:spacing w:line="240" w:lineRule="auto"/>
              <w:ind w:firstLine="0"/>
              <w:rPr>
                <w:sz w:val="24"/>
              </w:rPr>
            </w:pPr>
            <w:r w:rsidRPr="00030CE8">
              <w:rPr>
                <w:sz w:val="24"/>
                <w:szCs w:val="20"/>
              </w:rPr>
              <w:t>135805</w:t>
            </w:r>
          </w:p>
        </w:tc>
        <w:tc>
          <w:tcPr>
            <w:tcW w:w="3330" w:type="dxa"/>
          </w:tcPr>
          <w:p w:rsidRPr="00030CE8" w:rsidR="00604CBE" w:rsidP="00586EE9" w:rsidRDefault="00604CBE" w14:paraId="03F32419" w14:textId="77777777">
            <w:pPr>
              <w:pStyle w:val="Standard"/>
              <w:spacing w:line="240" w:lineRule="auto"/>
              <w:ind w:firstLine="0"/>
              <w:rPr>
                <w:sz w:val="24"/>
              </w:rPr>
            </w:pPr>
            <w:r w:rsidRPr="00030CE8">
              <w:rPr>
                <w:sz w:val="24"/>
                <w:szCs w:val="20"/>
              </w:rPr>
              <w:t>Salesforce CRM Project</w:t>
            </w:r>
          </w:p>
        </w:tc>
        <w:tc>
          <w:tcPr>
            <w:tcW w:w="1620" w:type="dxa"/>
          </w:tcPr>
          <w:p w:rsidRPr="00030CE8" w:rsidR="00604CBE" w:rsidP="00586EE9" w:rsidRDefault="00604CBE" w14:paraId="21BC8D4E" w14:textId="77777777">
            <w:pPr>
              <w:pStyle w:val="Standard"/>
              <w:spacing w:line="240" w:lineRule="auto"/>
              <w:ind w:firstLine="0"/>
              <w:rPr>
                <w:sz w:val="24"/>
              </w:rPr>
            </w:pPr>
            <w:r w:rsidRPr="00030CE8">
              <w:rPr>
                <w:sz w:val="24"/>
                <w:szCs w:val="20"/>
              </w:rPr>
              <w:t>Denied</w:t>
            </w:r>
          </w:p>
        </w:tc>
        <w:tc>
          <w:tcPr>
            <w:tcW w:w="1830" w:type="dxa"/>
          </w:tcPr>
          <w:p w:rsidRPr="00030CE8" w:rsidR="00604CBE" w:rsidP="00586EE9" w:rsidRDefault="00604CBE" w14:paraId="5985A1FB" w14:textId="77777777">
            <w:pPr>
              <w:pStyle w:val="Standard"/>
              <w:spacing w:line="240" w:lineRule="auto"/>
              <w:ind w:firstLine="0"/>
              <w:rPr>
                <w:sz w:val="24"/>
              </w:rPr>
            </w:pPr>
            <w:r w:rsidRPr="00030CE8">
              <w:rPr>
                <w:sz w:val="24"/>
                <w:szCs w:val="20"/>
              </w:rPr>
              <w:t>$0</w:t>
            </w:r>
          </w:p>
        </w:tc>
      </w:tr>
      <w:tr w:rsidRPr="00030CE8" w:rsidR="00556940" w:rsidTr="0034117D" w14:paraId="6DC584E6" w14:textId="77777777">
        <w:trPr>
          <w:cantSplit/>
          <w:jc w:val="center"/>
        </w:trPr>
        <w:tc>
          <w:tcPr>
            <w:tcW w:w="2335" w:type="dxa"/>
            <w:vAlign w:val="center"/>
          </w:tcPr>
          <w:p w:rsidRPr="00030CE8" w:rsidR="00604CBE" w:rsidRDefault="00604CBE" w14:paraId="0CACC6A5" w14:textId="77777777">
            <w:pPr>
              <w:pStyle w:val="Standard"/>
              <w:spacing w:line="240" w:lineRule="auto"/>
              <w:ind w:firstLine="0"/>
              <w:rPr>
                <w:b/>
                <w:bCs/>
                <w:sz w:val="24"/>
                <w:szCs w:val="20"/>
              </w:rPr>
            </w:pPr>
          </w:p>
        </w:tc>
        <w:tc>
          <w:tcPr>
            <w:tcW w:w="1440" w:type="dxa"/>
          </w:tcPr>
          <w:p w:rsidRPr="00030CE8" w:rsidR="00604CBE" w:rsidP="00586EE9" w:rsidRDefault="00604CBE" w14:paraId="5B4D69CD" w14:textId="77777777">
            <w:pPr>
              <w:pStyle w:val="Standard"/>
              <w:spacing w:line="240" w:lineRule="auto"/>
              <w:ind w:firstLine="0"/>
              <w:rPr>
                <w:sz w:val="24"/>
                <w:szCs w:val="20"/>
              </w:rPr>
            </w:pPr>
            <w:r w:rsidRPr="00030CE8">
              <w:rPr>
                <w:sz w:val="24"/>
                <w:szCs w:val="20"/>
              </w:rPr>
              <w:t>00134646</w:t>
            </w:r>
          </w:p>
        </w:tc>
        <w:tc>
          <w:tcPr>
            <w:tcW w:w="3330" w:type="dxa"/>
          </w:tcPr>
          <w:p w:rsidRPr="00030CE8" w:rsidR="00604CBE" w:rsidP="00586EE9" w:rsidRDefault="00604CBE" w14:paraId="43E0D0B6" w14:textId="77777777">
            <w:pPr>
              <w:pStyle w:val="Standard"/>
              <w:spacing w:line="240" w:lineRule="auto"/>
              <w:ind w:firstLine="0"/>
              <w:rPr>
                <w:sz w:val="24"/>
                <w:szCs w:val="20"/>
              </w:rPr>
            </w:pPr>
            <w:r w:rsidRPr="00030CE8">
              <w:rPr>
                <w:sz w:val="24"/>
                <w:szCs w:val="20"/>
              </w:rPr>
              <w:t>CSS Vehicles for New Complements</w:t>
            </w:r>
          </w:p>
        </w:tc>
        <w:tc>
          <w:tcPr>
            <w:tcW w:w="1620" w:type="dxa"/>
          </w:tcPr>
          <w:p w:rsidRPr="00030CE8" w:rsidR="00604CBE" w:rsidP="00586EE9" w:rsidRDefault="00604CBE" w14:paraId="22B3BDE5"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6488C39F" w14:textId="77777777">
            <w:pPr>
              <w:pStyle w:val="Standard"/>
              <w:spacing w:line="240" w:lineRule="auto"/>
              <w:ind w:firstLine="0"/>
              <w:rPr>
                <w:sz w:val="24"/>
                <w:szCs w:val="20"/>
              </w:rPr>
            </w:pPr>
            <w:r w:rsidRPr="00030CE8">
              <w:rPr>
                <w:sz w:val="24"/>
                <w:szCs w:val="20"/>
              </w:rPr>
              <w:t>$0</w:t>
            </w:r>
          </w:p>
        </w:tc>
      </w:tr>
      <w:tr w:rsidRPr="00030CE8" w:rsidR="00556940" w:rsidTr="0034117D" w14:paraId="78E34302" w14:textId="77777777">
        <w:trPr>
          <w:cantSplit/>
          <w:jc w:val="center"/>
        </w:trPr>
        <w:tc>
          <w:tcPr>
            <w:tcW w:w="2335" w:type="dxa"/>
            <w:vAlign w:val="center"/>
          </w:tcPr>
          <w:p w:rsidRPr="00030CE8" w:rsidR="00604CBE" w:rsidRDefault="00604CBE" w14:paraId="4D885919" w14:textId="77777777">
            <w:pPr>
              <w:pStyle w:val="Standard"/>
              <w:spacing w:line="240" w:lineRule="auto"/>
              <w:ind w:firstLine="0"/>
              <w:rPr>
                <w:b/>
                <w:bCs/>
                <w:sz w:val="24"/>
                <w:szCs w:val="20"/>
              </w:rPr>
            </w:pPr>
          </w:p>
        </w:tc>
        <w:tc>
          <w:tcPr>
            <w:tcW w:w="1440" w:type="dxa"/>
          </w:tcPr>
          <w:p w:rsidRPr="00030CE8" w:rsidR="00030CE8" w:rsidP="00586EE9" w:rsidRDefault="00604CBE" w14:paraId="11A874A2" w14:textId="68356020">
            <w:pPr>
              <w:pStyle w:val="Standard"/>
              <w:spacing w:line="240" w:lineRule="auto"/>
              <w:ind w:firstLine="0"/>
              <w:rPr>
                <w:sz w:val="24"/>
                <w:szCs w:val="20"/>
              </w:rPr>
            </w:pPr>
            <w:r w:rsidRPr="00030CE8">
              <w:rPr>
                <w:sz w:val="24"/>
                <w:szCs w:val="20"/>
              </w:rPr>
              <w:t>00132575</w:t>
            </w:r>
            <w:r w:rsidR="00270999">
              <w:rPr>
                <w:sz w:val="24"/>
                <w:szCs w:val="20"/>
              </w:rPr>
              <w:noBreakHyphen/>
            </w:r>
          </w:p>
          <w:p w:rsidRPr="00030CE8" w:rsidR="00604CBE" w:rsidP="00586EE9" w:rsidRDefault="00604CBE" w14:paraId="02CF0381" w14:textId="4C05B2C8">
            <w:pPr>
              <w:pStyle w:val="Standard"/>
              <w:spacing w:line="240" w:lineRule="auto"/>
              <w:ind w:firstLine="0"/>
              <w:rPr>
                <w:sz w:val="24"/>
                <w:szCs w:val="20"/>
              </w:rPr>
            </w:pPr>
            <w:r w:rsidRPr="00030CE8">
              <w:rPr>
                <w:sz w:val="24"/>
                <w:szCs w:val="20"/>
              </w:rPr>
              <w:t>00132577</w:t>
            </w:r>
          </w:p>
        </w:tc>
        <w:tc>
          <w:tcPr>
            <w:tcW w:w="3330" w:type="dxa"/>
          </w:tcPr>
          <w:p w:rsidRPr="00030CE8" w:rsidR="00604CBE" w:rsidP="00586EE9" w:rsidRDefault="00604CBE" w14:paraId="5AC62329" w14:textId="08DEBE60">
            <w:pPr>
              <w:pStyle w:val="Standard"/>
              <w:spacing w:line="240" w:lineRule="auto"/>
              <w:ind w:firstLine="0"/>
              <w:rPr>
                <w:sz w:val="24"/>
                <w:szCs w:val="20"/>
              </w:rPr>
            </w:pPr>
            <w:r w:rsidRPr="00030CE8">
              <w:rPr>
                <w:sz w:val="24"/>
                <w:szCs w:val="20"/>
              </w:rPr>
              <w:t>PC</w:t>
            </w:r>
            <w:r w:rsidRPr="00030CE8" w:rsidR="00AE2539">
              <w:rPr>
                <w:sz w:val="24"/>
                <w:szCs w:val="20"/>
              </w:rPr>
              <w:t xml:space="preserve"> &amp; </w:t>
            </w:r>
            <w:r w:rsidRPr="00030CE8">
              <w:rPr>
                <w:sz w:val="24"/>
                <w:szCs w:val="20"/>
              </w:rPr>
              <w:t>Device Replacements</w:t>
            </w:r>
          </w:p>
        </w:tc>
        <w:tc>
          <w:tcPr>
            <w:tcW w:w="1620" w:type="dxa"/>
          </w:tcPr>
          <w:p w:rsidRPr="00030CE8" w:rsidR="00604CBE" w:rsidP="00586EE9" w:rsidRDefault="00604CBE" w14:paraId="7E3FB7AE"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6D76929B" w14:textId="77777777">
            <w:pPr>
              <w:pStyle w:val="Standard"/>
              <w:spacing w:line="240" w:lineRule="auto"/>
              <w:ind w:firstLine="0"/>
              <w:rPr>
                <w:sz w:val="24"/>
                <w:szCs w:val="20"/>
              </w:rPr>
            </w:pPr>
            <w:r w:rsidRPr="00030CE8">
              <w:rPr>
                <w:sz w:val="24"/>
                <w:szCs w:val="20"/>
              </w:rPr>
              <w:t>$0</w:t>
            </w:r>
          </w:p>
        </w:tc>
      </w:tr>
      <w:tr w:rsidRPr="00030CE8" w:rsidR="00556940" w:rsidTr="0034117D" w14:paraId="4F264039" w14:textId="77777777">
        <w:trPr>
          <w:cantSplit/>
          <w:jc w:val="center"/>
        </w:trPr>
        <w:tc>
          <w:tcPr>
            <w:tcW w:w="2335" w:type="dxa"/>
            <w:vAlign w:val="center"/>
          </w:tcPr>
          <w:p w:rsidRPr="00030CE8" w:rsidR="00604CBE" w:rsidRDefault="00604CBE" w14:paraId="418EA9EC" w14:textId="77777777">
            <w:pPr>
              <w:pStyle w:val="Standard"/>
              <w:spacing w:line="240" w:lineRule="auto"/>
              <w:ind w:firstLine="0"/>
              <w:rPr>
                <w:b/>
                <w:bCs/>
                <w:sz w:val="24"/>
                <w:szCs w:val="20"/>
              </w:rPr>
            </w:pPr>
          </w:p>
        </w:tc>
        <w:tc>
          <w:tcPr>
            <w:tcW w:w="1440" w:type="dxa"/>
          </w:tcPr>
          <w:p w:rsidRPr="00030CE8" w:rsidR="00604CBE" w:rsidP="00586EE9" w:rsidRDefault="00604CBE" w14:paraId="1919A8DD" w14:textId="77777777">
            <w:pPr>
              <w:pStyle w:val="Standard"/>
              <w:spacing w:line="240" w:lineRule="auto"/>
              <w:ind w:firstLine="0"/>
              <w:rPr>
                <w:sz w:val="24"/>
                <w:szCs w:val="20"/>
              </w:rPr>
            </w:pPr>
            <w:r w:rsidRPr="00030CE8">
              <w:rPr>
                <w:sz w:val="24"/>
                <w:szCs w:val="20"/>
              </w:rPr>
              <w:t>00132815</w:t>
            </w:r>
          </w:p>
        </w:tc>
        <w:tc>
          <w:tcPr>
            <w:tcW w:w="3330" w:type="dxa"/>
          </w:tcPr>
          <w:p w:rsidRPr="00030CE8" w:rsidR="00604CBE" w:rsidP="00586EE9" w:rsidRDefault="00604CBE" w14:paraId="086FEFDE" w14:textId="77777777">
            <w:pPr>
              <w:pStyle w:val="Standard"/>
              <w:spacing w:line="240" w:lineRule="auto"/>
              <w:ind w:firstLine="0"/>
              <w:rPr>
                <w:sz w:val="24"/>
                <w:szCs w:val="20"/>
              </w:rPr>
            </w:pPr>
            <w:r w:rsidRPr="00030CE8">
              <w:rPr>
                <w:sz w:val="24"/>
                <w:szCs w:val="20"/>
              </w:rPr>
              <w:t>Digital Twin Ops Optimization</w:t>
            </w:r>
          </w:p>
        </w:tc>
        <w:tc>
          <w:tcPr>
            <w:tcW w:w="1620" w:type="dxa"/>
          </w:tcPr>
          <w:p w:rsidRPr="00030CE8" w:rsidR="00604CBE" w:rsidP="00586EE9" w:rsidRDefault="00604CBE" w14:paraId="4951D95C"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640C83B9" w14:textId="77777777">
            <w:pPr>
              <w:pStyle w:val="Standard"/>
              <w:spacing w:line="240" w:lineRule="auto"/>
              <w:ind w:firstLine="0"/>
              <w:rPr>
                <w:sz w:val="24"/>
                <w:szCs w:val="20"/>
              </w:rPr>
            </w:pPr>
            <w:r w:rsidRPr="00030CE8">
              <w:rPr>
                <w:sz w:val="24"/>
                <w:szCs w:val="20"/>
              </w:rPr>
              <w:t>$0</w:t>
            </w:r>
          </w:p>
        </w:tc>
      </w:tr>
      <w:tr w:rsidRPr="00030CE8" w:rsidR="00556940" w:rsidTr="0034117D" w14:paraId="20F11124" w14:textId="77777777">
        <w:trPr>
          <w:cantSplit/>
          <w:jc w:val="center"/>
        </w:trPr>
        <w:tc>
          <w:tcPr>
            <w:tcW w:w="2335" w:type="dxa"/>
            <w:vAlign w:val="center"/>
          </w:tcPr>
          <w:p w:rsidRPr="00030CE8" w:rsidR="00604CBE" w:rsidRDefault="00604CBE" w14:paraId="097AB9C1" w14:textId="77777777">
            <w:pPr>
              <w:pStyle w:val="Standard"/>
              <w:spacing w:line="240" w:lineRule="auto"/>
              <w:ind w:firstLine="0"/>
              <w:rPr>
                <w:b/>
                <w:bCs/>
                <w:sz w:val="24"/>
                <w:szCs w:val="20"/>
              </w:rPr>
            </w:pPr>
          </w:p>
        </w:tc>
        <w:tc>
          <w:tcPr>
            <w:tcW w:w="1440" w:type="dxa"/>
          </w:tcPr>
          <w:p w:rsidRPr="00030CE8" w:rsidR="00604CBE" w:rsidP="00586EE9" w:rsidRDefault="00604CBE" w14:paraId="4434DBEF" w14:textId="77777777">
            <w:pPr>
              <w:pStyle w:val="Standard"/>
              <w:spacing w:line="240" w:lineRule="auto"/>
              <w:ind w:firstLine="0"/>
              <w:rPr>
                <w:sz w:val="24"/>
                <w:szCs w:val="20"/>
              </w:rPr>
            </w:pPr>
            <w:r w:rsidRPr="00030CE8">
              <w:rPr>
                <w:sz w:val="24"/>
                <w:szCs w:val="20"/>
              </w:rPr>
              <w:t>00133533</w:t>
            </w:r>
          </w:p>
        </w:tc>
        <w:tc>
          <w:tcPr>
            <w:tcW w:w="3330" w:type="dxa"/>
          </w:tcPr>
          <w:p w:rsidRPr="00030CE8" w:rsidR="00604CBE" w:rsidP="00586EE9" w:rsidRDefault="00604CBE" w14:paraId="3AE629DB" w14:textId="77777777">
            <w:pPr>
              <w:pStyle w:val="Standard"/>
              <w:spacing w:line="240" w:lineRule="auto"/>
              <w:ind w:firstLine="0"/>
              <w:rPr>
                <w:sz w:val="24"/>
                <w:szCs w:val="20"/>
              </w:rPr>
            </w:pPr>
            <w:r w:rsidRPr="00030CE8">
              <w:rPr>
                <w:sz w:val="24"/>
                <w:szCs w:val="20"/>
              </w:rPr>
              <w:t>CSS Rooftop Solar</w:t>
            </w:r>
          </w:p>
        </w:tc>
        <w:tc>
          <w:tcPr>
            <w:tcW w:w="1620" w:type="dxa"/>
          </w:tcPr>
          <w:p w:rsidRPr="00030CE8" w:rsidR="00604CBE" w:rsidP="00586EE9" w:rsidRDefault="00604CBE" w14:paraId="2AE07BB8"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00F70E6D" w14:textId="77777777">
            <w:pPr>
              <w:pStyle w:val="Standard"/>
              <w:spacing w:line="240" w:lineRule="auto"/>
              <w:ind w:firstLine="0"/>
              <w:rPr>
                <w:sz w:val="24"/>
                <w:szCs w:val="20"/>
              </w:rPr>
            </w:pPr>
            <w:r w:rsidRPr="00030CE8">
              <w:rPr>
                <w:sz w:val="24"/>
                <w:szCs w:val="20"/>
              </w:rPr>
              <w:t>$0</w:t>
            </w:r>
          </w:p>
        </w:tc>
      </w:tr>
      <w:tr w:rsidRPr="00030CE8" w:rsidR="00556940" w:rsidTr="0034117D" w14:paraId="63840F7C" w14:textId="77777777">
        <w:trPr>
          <w:cantSplit/>
          <w:jc w:val="center"/>
        </w:trPr>
        <w:tc>
          <w:tcPr>
            <w:tcW w:w="2335" w:type="dxa"/>
          </w:tcPr>
          <w:p w:rsidRPr="00030CE8" w:rsidR="00604CBE" w:rsidP="00586EE9" w:rsidRDefault="00604CBE" w14:paraId="5B2B45A1" w14:textId="77777777">
            <w:pPr>
              <w:pStyle w:val="Standard"/>
              <w:spacing w:line="240" w:lineRule="auto"/>
              <w:ind w:firstLine="0"/>
              <w:rPr>
                <w:b/>
                <w:bCs/>
                <w:sz w:val="24"/>
                <w:szCs w:val="20"/>
              </w:rPr>
            </w:pPr>
            <w:r w:rsidRPr="00030CE8">
              <w:rPr>
                <w:b/>
                <w:bCs/>
                <w:sz w:val="24"/>
                <w:szCs w:val="20"/>
              </w:rPr>
              <w:t>Antelope Valley</w:t>
            </w:r>
          </w:p>
        </w:tc>
        <w:tc>
          <w:tcPr>
            <w:tcW w:w="1440" w:type="dxa"/>
          </w:tcPr>
          <w:p w:rsidRPr="00030CE8" w:rsidR="00604CBE" w:rsidP="00586EE9" w:rsidRDefault="00604CBE" w14:paraId="261B15A2" w14:textId="77777777">
            <w:pPr>
              <w:pStyle w:val="Standard"/>
              <w:spacing w:line="240" w:lineRule="auto"/>
              <w:ind w:firstLine="0"/>
              <w:rPr>
                <w:sz w:val="24"/>
                <w:szCs w:val="20"/>
              </w:rPr>
            </w:pPr>
            <w:r w:rsidRPr="00030CE8">
              <w:rPr>
                <w:sz w:val="24"/>
                <w:szCs w:val="20"/>
              </w:rPr>
              <w:t>132967</w:t>
            </w:r>
          </w:p>
        </w:tc>
        <w:tc>
          <w:tcPr>
            <w:tcW w:w="3330" w:type="dxa"/>
          </w:tcPr>
          <w:p w:rsidRPr="00030CE8" w:rsidR="00604CBE" w:rsidP="00586EE9" w:rsidRDefault="00604CBE" w14:paraId="7819A571" w14:textId="6B7FD8DD">
            <w:pPr>
              <w:pStyle w:val="Standard"/>
              <w:spacing w:line="240" w:lineRule="auto"/>
              <w:ind w:firstLine="0"/>
              <w:rPr>
                <w:sz w:val="24"/>
                <w:szCs w:val="20"/>
              </w:rPr>
            </w:pPr>
            <w:r w:rsidRPr="00030CE8">
              <w:rPr>
                <w:sz w:val="24"/>
                <w:szCs w:val="20"/>
              </w:rPr>
              <w:t>LHUG</w:t>
            </w:r>
            <w:r w:rsidR="00270999">
              <w:rPr>
                <w:sz w:val="24"/>
                <w:szCs w:val="20"/>
              </w:rPr>
              <w:noBreakHyphen/>
            </w:r>
            <w:r w:rsidRPr="00030CE8">
              <w:rPr>
                <w:sz w:val="24"/>
                <w:szCs w:val="20"/>
              </w:rPr>
              <w:t>001 Portable Generator</w:t>
            </w:r>
          </w:p>
        </w:tc>
        <w:tc>
          <w:tcPr>
            <w:tcW w:w="1620" w:type="dxa"/>
          </w:tcPr>
          <w:p w:rsidRPr="00030CE8" w:rsidR="00604CBE" w:rsidP="00586EE9" w:rsidRDefault="00604CBE" w14:paraId="0AECC5BB" w14:textId="77777777">
            <w:pPr>
              <w:pStyle w:val="Standard"/>
              <w:spacing w:line="240" w:lineRule="auto"/>
              <w:ind w:firstLine="0"/>
              <w:rPr>
                <w:sz w:val="24"/>
                <w:szCs w:val="20"/>
              </w:rPr>
            </w:pPr>
            <w:r w:rsidRPr="00030CE8">
              <w:rPr>
                <w:sz w:val="24"/>
                <w:szCs w:val="20"/>
              </w:rPr>
              <w:t>Deferred</w:t>
            </w:r>
          </w:p>
        </w:tc>
        <w:tc>
          <w:tcPr>
            <w:tcW w:w="1830" w:type="dxa"/>
          </w:tcPr>
          <w:p w:rsidR="00030CE8" w:rsidP="00586EE9" w:rsidRDefault="00604CBE" w14:paraId="467B6040"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386A5D24" w14:textId="79A1926D">
            <w:pPr>
              <w:pStyle w:val="Standard"/>
              <w:spacing w:line="240" w:lineRule="auto"/>
              <w:ind w:firstLine="0"/>
              <w:rPr>
                <w:sz w:val="24"/>
                <w:szCs w:val="20"/>
              </w:rPr>
            </w:pPr>
            <w:r w:rsidRPr="00030CE8">
              <w:rPr>
                <w:sz w:val="24"/>
                <w:szCs w:val="20"/>
              </w:rPr>
              <w:t>from this GRC</w:t>
            </w:r>
          </w:p>
        </w:tc>
      </w:tr>
      <w:tr w:rsidRPr="00030CE8" w:rsidR="00556940" w:rsidTr="0034117D" w14:paraId="08B3F7B0" w14:textId="77777777">
        <w:trPr>
          <w:cantSplit/>
          <w:jc w:val="center"/>
        </w:trPr>
        <w:tc>
          <w:tcPr>
            <w:tcW w:w="2335" w:type="dxa"/>
          </w:tcPr>
          <w:p w:rsidRPr="00030CE8" w:rsidR="00604CBE" w:rsidP="00586EE9" w:rsidRDefault="00604CBE" w14:paraId="5C52E6FB" w14:textId="77777777">
            <w:pPr>
              <w:pStyle w:val="Standard"/>
              <w:spacing w:line="240" w:lineRule="auto"/>
              <w:ind w:firstLine="0"/>
              <w:rPr>
                <w:b/>
                <w:bCs/>
                <w:sz w:val="24"/>
                <w:szCs w:val="20"/>
              </w:rPr>
            </w:pPr>
          </w:p>
        </w:tc>
        <w:tc>
          <w:tcPr>
            <w:tcW w:w="1440" w:type="dxa"/>
          </w:tcPr>
          <w:p w:rsidRPr="00030CE8" w:rsidR="00604CBE" w:rsidP="00586EE9" w:rsidRDefault="00604CBE" w14:paraId="73740A57" w14:textId="77777777">
            <w:pPr>
              <w:pStyle w:val="Standard"/>
              <w:spacing w:line="240" w:lineRule="auto"/>
              <w:ind w:firstLine="0"/>
              <w:rPr>
                <w:sz w:val="24"/>
                <w:szCs w:val="20"/>
              </w:rPr>
            </w:pPr>
            <w:r w:rsidRPr="00030CE8">
              <w:rPr>
                <w:sz w:val="24"/>
                <w:szCs w:val="20"/>
              </w:rPr>
              <w:t>132973</w:t>
            </w:r>
          </w:p>
        </w:tc>
        <w:tc>
          <w:tcPr>
            <w:tcW w:w="3330" w:type="dxa"/>
          </w:tcPr>
          <w:p w:rsidRPr="00030CE8" w:rsidR="00604CBE" w:rsidP="00586EE9" w:rsidRDefault="00604CBE" w14:paraId="45BD9FAB" w14:textId="77777777">
            <w:pPr>
              <w:pStyle w:val="Standard"/>
              <w:spacing w:line="240" w:lineRule="auto"/>
              <w:ind w:firstLine="0"/>
              <w:rPr>
                <w:sz w:val="24"/>
                <w:szCs w:val="20"/>
              </w:rPr>
            </w:pPr>
            <w:r w:rsidRPr="00030CE8">
              <w:rPr>
                <w:sz w:val="24"/>
                <w:szCs w:val="20"/>
              </w:rPr>
              <w:t>Leona Station Generator</w:t>
            </w:r>
          </w:p>
        </w:tc>
        <w:tc>
          <w:tcPr>
            <w:tcW w:w="1620" w:type="dxa"/>
          </w:tcPr>
          <w:p w:rsidRPr="00030CE8" w:rsidR="00E50638" w:rsidP="00586EE9" w:rsidRDefault="00604CBE" w14:paraId="7F462AF2" w14:textId="77777777">
            <w:pPr>
              <w:pStyle w:val="Standard"/>
              <w:spacing w:line="240" w:lineRule="auto"/>
              <w:ind w:firstLine="0"/>
              <w:rPr>
                <w:sz w:val="24"/>
                <w:szCs w:val="20"/>
              </w:rPr>
            </w:pPr>
            <w:r w:rsidRPr="00030CE8">
              <w:rPr>
                <w:sz w:val="24"/>
                <w:szCs w:val="20"/>
              </w:rPr>
              <w:t>Denied</w:t>
            </w:r>
            <w:r w:rsidRPr="00030CE8" w:rsidR="00785601">
              <w:rPr>
                <w:sz w:val="24"/>
                <w:szCs w:val="20"/>
              </w:rPr>
              <w:t> /</w:t>
            </w:r>
          </w:p>
          <w:p w:rsidRPr="00030CE8" w:rsidR="00604CBE" w:rsidP="00586EE9" w:rsidRDefault="00604CBE" w14:paraId="16A34AE6" w14:textId="56EA8D93">
            <w:pPr>
              <w:pStyle w:val="Standard"/>
              <w:spacing w:line="240" w:lineRule="auto"/>
              <w:ind w:firstLine="0"/>
              <w:rPr>
                <w:sz w:val="24"/>
                <w:szCs w:val="20"/>
              </w:rPr>
            </w:pPr>
            <w:r w:rsidRPr="00030CE8">
              <w:rPr>
                <w:sz w:val="24"/>
                <w:szCs w:val="20"/>
              </w:rPr>
              <w:t>Withdrawn</w:t>
            </w:r>
          </w:p>
        </w:tc>
        <w:tc>
          <w:tcPr>
            <w:tcW w:w="1830" w:type="dxa"/>
          </w:tcPr>
          <w:p w:rsidRPr="00030CE8" w:rsidR="00604CBE" w:rsidP="00586EE9" w:rsidRDefault="00604CBE" w14:paraId="117D22FD" w14:textId="77777777">
            <w:pPr>
              <w:pStyle w:val="Standard"/>
              <w:spacing w:line="240" w:lineRule="auto"/>
              <w:ind w:firstLine="0"/>
              <w:rPr>
                <w:sz w:val="24"/>
                <w:szCs w:val="20"/>
              </w:rPr>
            </w:pPr>
            <w:r w:rsidRPr="00030CE8">
              <w:rPr>
                <w:sz w:val="24"/>
                <w:szCs w:val="20"/>
              </w:rPr>
              <w:t>$0</w:t>
            </w:r>
          </w:p>
        </w:tc>
      </w:tr>
      <w:tr w:rsidRPr="00030CE8" w:rsidR="00556940" w:rsidTr="0034117D" w14:paraId="1874F1BD" w14:textId="77777777">
        <w:trPr>
          <w:cantSplit/>
          <w:jc w:val="center"/>
        </w:trPr>
        <w:tc>
          <w:tcPr>
            <w:tcW w:w="2335" w:type="dxa"/>
          </w:tcPr>
          <w:p w:rsidRPr="00030CE8" w:rsidR="00604CBE" w:rsidP="00586EE9" w:rsidRDefault="00604CBE" w14:paraId="7B31E21E" w14:textId="77777777">
            <w:pPr>
              <w:pStyle w:val="Standard"/>
              <w:spacing w:line="240" w:lineRule="auto"/>
              <w:ind w:firstLine="0"/>
              <w:rPr>
                <w:b/>
                <w:bCs/>
                <w:sz w:val="24"/>
                <w:szCs w:val="20"/>
              </w:rPr>
            </w:pPr>
            <w:r w:rsidRPr="00030CE8">
              <w:rPr>
                <w:b/>
                <w:bCs/>
                <w:sz w:val="24"/>
                <w:szCs w:val="20"/>
              </w:rPr>
              <w:t>Bakersfield</w:t>
            </w:r>
          </w:p>
        </w:tc>
        <w:tc>
          <w:tcPr>
            <w:tcW w:w="1440" w:type="dxa"/>
          </w:tcPr>
          <w:p w:rsidRPr="00030CE8" w:rsidR="00604CBE" w:rsidP="00586EE9" w:rsidRDefault="00604CBE" w14:paraId="43BC882B" w14:textId="77777777">
            <w:pPr>
              <w:pStyle w:val="Standard"/>
              <w:spacing w:line="240" w:lineRule="auto"/>
              <w:ind w:firstLine="0"/>
              <w:rPr>
                <w:sz w:val="24"/>
                <w:szCs w:val="20"/>
              </w:rPr>
            </w:pPr>
            <w:r w:rsidRPr="00030CE8">
              <w:rPr>
                <w:sz w:val="24"/>
                <w:szCs w:val="20"/>
              </w:rPr>
              <w:t>00133192</w:t>
            </w:r>
          </w:p>
        </w:tc>
        <w:tc>
          <w:tcPr>
            <w:tcW w:w="3330" w:type="dxa"/>
          </w:tcPr>
          <w:p w:rsidRPr="00030CE8" w:rsidR="00604CBE" w:rsidP="00586EE9" w:rsidRDefault="00604CBE" w14:paraId="32C0A96C" w14:textId="77777777">
            <w:pPr>
              <w:pStyle w:val="Standard"/>
              <w:spacing w:line="240" w:lineRule="auto"/>
              <w:ind w:firstLine="0"/>
              <w:rPr>
                <w:sz w:val="24"/>
                <w:szCs w:val="20"/>
              </w:rPr>
            </w:pPr>
            <w:r w:rsidRPr="00030CE8">
              <w:rPr>
                <w:sz w:val="24"/>
                <w:szCs w:val="20"/>
              </w:rPr>
              <w:t>BK Low Zone Property Purchase</w:t>
            </w:r>
          </w:p>
        </w:tc>
        <w:tc>
          <w:tcPr>
            <w:tcW w:w="1620" w:type="dxa"/>
          </w:tcPr>
          <w:p w:rsidRPr="00030CE8" w:rsidR="00604CBE" w:rsidP="00586EE9" w:rsidRDefault="00604CBE" w14:paraId="243058DF"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6DCE252C" w14:textId="77777777">
            <w:pPr>
              <w:pStyle w:val="Standard"/>
              <w:spacing w:line="240" w:lineRule="auto"/>
              <w:ind w:firstLine="0"/>
              <w:rPr>
                <w:sz w:val="24"/>
                <w:szCs w:val="20"/>
              </w:rPr>
            </w:pPr>
            <w:r w:rsidRPr="00030CE8">
              <w:rPr>
                <w:sz w:val="24"/>
                <w:szCs w:val="20"/>
              </w:rPr>
              <w:t>$545,083</w:t>
            </w:r>
          </w:p>
        </w:tc>
      </w:tr>
      <w:tr w:rsidRPr="00030CE8" w:rsidR="00556940" w:rsidTr="0034117D" w14:paraId="41158367" w14:textId="77777777">
        <w:trPr>
          <w:cantSplit/>
          <w:jc w:val="center"/>
        </w:trPr>
        <w:tc>
          <w:tcPr>
            <w:tcW w:w="2335" w:type="dxa"/>
          </w:tcPr>
          <w:p w:rsidRPr="00030CE8" w:rsidR="00604CBE" w:rsidP="00586EE9" w:rsidRDefault="00604CBE" w14:paraId="596A90BD" w14:textId="77777777">
            <w:pPr>
              <w:pStyle w:val="Standard"/>
              <w:spacing w:line="240" w:lineRule="auto"/>
              <w:ind w:firstLine="0"/>
              <w:rPr>
                <w:b/>
                <w:bCs/>
                <w:sz w:val="24"/>
                <w:szCs w:val="20"/>
              </w:rPr>
            </w:pPr>
          </w:p>
        </w:tc>
        <w:tc>
          <w:tcPr>
            <w:tcW w:w="1440" w:type="dxa"/>
          </w:tcPr>
          <w:p w:rsidRPr="00030CE8" w:rsidR="00604CBE" w:rsidP="00586EE9" w:rsidRDefault="00604CBE" w14:paraId="683F7B86" w14:textId="77777777">
            <w:pPr>
              <w:pStyle w:val="Standard"/>
              <w:spacing w:line="240" w:lineRule="auto"/>
              <w:ind w:firstLine="0"/>
              <w:rPr>
                <w:sz w:val="24"/>
                <w:szCs w:val="20"/>
              </w:rPr>
            </w:pPr>
            <w:r w:rsidRPr="00030CE8">
              <w:rPr>
                <w:sz w:val="24"/>
                <w:szCs w:val="20"/>
              </w:rPr>
              <w:t>00133194</w:t>
            </w:r>
          </w:p>
        </w:tc>
        <w:tc>
          <w:tcPr>
            <w:tcW w:w="3330" w:type="dxa"/>
          </w:tcPr>
          <w:p w:rsidRPr="00030CE8" w:rsidR="00604CBE" w:rsidP="00586EE9" w:rsidRDefault="00604CBE" w14:paraId="6672ADDA" w14:textId="77777777">
            <w:pPr>
              <w:pStyle w:val="Standard"/>
              <w:spacing w:line="240" w:lineRule="auto"/>
              <w:ind w:firstLine="0"/>
              <w:rPr>
                <w:sz w:val="24"/>
                <w:szCs w:val="20"/>
              </w:rPr>
            </w:pPr>
            <w:r w:rsidRPr="00030CE8">
              <w:rPr>
                <w:sz w:val="24"/>
                <w:szCs w:val="20"/>
              </w:rPr>
              <w:t>BK North Garden Property Purchase</w:t>
            </w:r>
          </w:p>
        </w:tc>
        <w:tc>
          <w:tcPr>
            <w:tcW w:w="1620" w:type="dxa"/>
          </w:tcPr>
          <w:p w:rsidRPr="00030CE8" w:rsidR="00604CBE" w:rsidP="00586EE9" w:rsidRDefault="00604CBE" w14:paraId="58846CCB"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6B4E9776" w14:textId="77777777">
            <w:pPr>
              <w:pStyle w:val="Standard"/>
              <w:spacing w:line="240" w:lineRule="auto"/>
              <w:ind w:firstLine="0"/>
              <w:rPr>
                <w:sz w:val="24"/>
                <w:szCs w:val="20"/>
              </w:rPr>
            </w:pPr>
            <w:r w:rsidRPr="00030CE8">
              <w:rPr>
                <w:sz w:val="24"/>
                <w:szCs w:val="20"/>
              </w:rPr>
              <w:t>$558,004</w:t>
            </w:r>
          </w:p>
        </w:tc>
      </w:tr>
      <w:tr w:rsidRPr="00030CE8" w:rsidR="00556940" w:rsidTr="0034117D" w14:paraId="67A47C79" w14:textId="77777777">
        <w:trPr>
          <w:cantSplit/>
          <w:jc w:val="center"/>
        </w:trPr>
        <w:tc>
          <w:tcPr>
            <w:tcW w:w="2335" w:type="dxa"/>
          </w:tcPr>
          <w:p w:rsidRPr="00030CE8" w:rsidR="00604CBE" w:rsidP="00586EE9" w:rsidRDefault="00604CBE" w14:paraId="715ED1DE" w14:textId="77777777">
            <w:pPr>
              <w:pStyle w:val="Standard"/>
              <w:spacing w:line="240" w:lineRule="auto"/>
              <w:ind w:firstLine="0"/>
              <w:rPr>
                <w:b/>
                <w:bCs/>
                <w:sz w:val="24"/>
                <w:szCs w:val="20"/>
              </w:rPr>
            </w:pPr>
          </w:p>
        </w:tc>
        <w:tc>
          <w:tcPr>
            <w:tcW w:w="1440" w:type="dxa"/>
          </w:tcPr>
          <w:p w:rsidRPr="00030CE8" w:rsidR="00604CBE" w:rsidP="00586EE9" w:rsidRDefault="00604CBE" w14:paraId="5DA62E7A" w14:textId="77777777">
            <w:pPr>
              <w:pStyle w:val="Standard"/>
              <w:spacing w:line="240" w:lineRule="auto"/>
              <w:ind w:firstLine="0"/>
              <w:rPr>
                <w:sz w:val="24"/>
                <w:szCs w:val="20"/>
              </w:rPr>
            </w:pPr>
            <w:r w:rsidRPr="00030CE8">
              <w:rPr>
                <w:sz w:val="24"/>
                <w:szCs w:val="20"/>
              </w:rPr>
              <w:t>00133199</w:t>
            </w:r>
          </w:p>
        </w:tc>
        <w:tc>
          <w:tcPr>
            <w:tcW w:w="3330" w:type="dxa"/>
          </w:tcPr>
          <w:p w:rsidRPr="00030CE8" w:rsidR="00604CBE" w:rsidP="00586EE9" w:rsidRDefault="00604CBE" w14:paraId="4B51EFD6" w14:textId="77777777">
            <w:pPr>
              <w:pStyle w:val="Standard"/>
              <w:spacing w:line="240" w:lineRule="auto"/>
              <w:ind w:firstLine="0"/>
              <w:rPr>
                <w:sz w:val="24"/>
                <w:szCs w:val="20"/>
              </w:rPr>
            </w:pPr>
            <w:r w:rsidRPr="00030CE8">
              <w:rPr>
                <w:sz w:val="24"/>
                <w:szCs w:val="20"/>
              </w:rPr>
              <w:t>BK Office Property Purchase</w:t>
            </w:r>
          </w:p>
        </w:tc>
        <w:tc>
          <w:tcPr>
            <w:tcW w:w="1620" w:type="dxa"/>
          </w:tcPr>
          <w:p w:rsidRPr="00030CE8" w:rsidR="00604CBE" w:rsidP="00586EE9" w:rsidRDefault="00604CBE" w14:paraId="216AC5B4"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182F3F84" w14:textId="77777777">
            <w:pPr>
              <w:pStyle w:val="Standard"/>
              <w:spacing w:line="240" w:lineRule="auto"/>
              <w:ind w:firstLine="0"/>
              <w:rPr>
                <w:sz w:val="24"/>
                <w:szCs w:val="20"/>
              </w:rPr>
            </w:pPr>
            <w:r w:rsidRPr="00030CE8">
              <w:rPr>
                <w:sz w:val="24"/>
                <w:szCs w:val="20"/>
              </w:rPr>
              <w:t>$3,500,000</w:t>
            </w:r>
          </w:p>
        </w:tc>
      </w:tr>
      <w:tr w:rsidRPr="00030CE8" w:rsidR="00556940" w:rsidTr="0034117D" w14:paraId="5A409EEC" w14:textId="77777777">
        <w:trPr>
          <w:cantSplit/>
          <w:jc w:val="center"/>
        </w:trPr>
        <w:tc>
          <w:tcPr>
            <w:tcW w:w="2335" w:type="dxa"/>
          </w:tcPr>
          <w:p w:rsidRPr="00030CE8" w:rsidR="00604CBE" w:rsidP="00586EE9" w:rsidRDefault="00604CBE" w14:paraId="2C481FC6" w14:textId="77777777">
            <w:pPr>
              <w:pStyle w:val="Standard"/>
              <w:spacing w:line="240" w:lineRule="auto"/>
              <w:ind w:firstLine="0"/>
              <w:rPr>
                <w:b/>
                <w:bCs/>
                <w:sz w:val="24"/>
                <w:szCs w:val="20"/>
              </w:rPr>
            </w:pPr>
          </w:p>
        </w:tc>
        <w:tc>
          <w:tcPr>
            <w:tcW w:w="1440" w:type="dxa"/>
          </w:tcPr>
          <w:p w:rsidRPr="00030CE8" w:rsidR="00604CBE" w:rsidP="00586EE9" w:rsidRDefault="00604CBE" w14:paraId="65F7C565" w14:textId="77777777">
            <w:pPr>
              <w:pStyle w:val="Standard"/>
              <w:spacing w:line="240" w:lineRule="auto"/>
              <w:ind w:firstLine="0"/>
              <w:rPr>
                <w:sz w:val="24"/>
                <w:szCs w:val="20"/>
              </w:rPr>
            </w:pPr>
            <w:r w:rsidRPr="00030CE8">
              <w:rPr>
                <w:sz w:val="24"/>
                <w:szCs w:val="20"/>
              </w:rPr>
              <w:t>00134719</w:t>
            </w:r>
          </w:p>
        </w:tc>
        <w:tc>
          <w:tcPr>
            <w:tcW w:w="3330" w:type="dxa"/>
          </w:tcPr>
          <w:p w:rsidRPr="00030CE8" w:rsidR="00604CBE" w:rsidP="00586EE9" w:rsidRDefault="00604CBE" w14:paraId="6D5CA50E" w14:textId="77777777">
            <w:pPr>
              <w:pStyle w:val="Standard"/>
              <w:spacing w:line="240" w:lineRule="auto"/>
              <w:ind w:firstLine="0"/>
              <w:rPr>
                <w:sz w:val="24"/>
                <w:szCs w:val="20"/>
              </w:rPr>
            </w:pPr>
            <w:r w:rsidRPr="00030CE8">
              <w:rPr>
                <w:sz w:val="24"/>
                <w:szCs w:val="20"/>
              </w:rPr>
              <w:t>Vehicles for New Complements</w:t>
            </w:r>
          </w:p>
        </w:tc>
        <w:tc>
          <w:tcPr>
            <w:tcW w:w="1620" w:type="dxa"/>
          </w:tcPr>
          <w:p w:rsidRPr="00030CE8" w:rsidR="00604CBE" w:rsidP="00586EE9" w:rsidRDefault="00604CBE" w14:paraId="16350379"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0AD2F654" w14:textId="77777777">
            <w:pPr>
              <w:pStyle w:val="Standard"/>
              <w:spacing w:line="240" w:lineRule="auto"/>
              <w:ind w:firstLine="0"/>
              <w:rPr>
                <w:sz w:val="24"/>
                <w:szCs w:val="20"/>
              </w:rPr>
            </w:pPr>
            <w:r w:rsidRPr="00030CE8">
              <w:rPr>
                <w:sz w:val="24"/>
                <w:szCs w:val="20"/>
              </w:rPr>
              <w:t>$0</w:t>
            </w:r>
          </w:p>
        </w:tc>
      </w:tr>
      <w:tr w:rsidRPr="00030CE8" w:rsidR="00556940" w:rsidTr="0034117D" w14:paraId="06CEBD2E" w14:textId="77777777">
        <w:trPr>
          <w:cantSplit/>
          <w:jc w:val="center"/>
        </w:trPr>
        <w:tc>
          <w:tcPr>
            <w:tcW w:w="2335" w:type="dxa"/>
          </w:tcPr>
          <w:p w:rsidRPr="00030CE8" w:rsidR="00604CBE" w:rsidP="00586EE9" w:rsidRDefault="00604CBE" w14:paraId="7C1DBC97" w14:textId="77777777">
            <w:pPr>
              <w:pStyle w:val="Standard"/>
              <w:spacing w:line="240" w:lineRule="auto"/>
              <w:ind w:firstLine="0"/>
              <w:rPr>
                <w:b/>
                <w:bCs/>
                <w:sz w:val="24"/>
                <w:szCs w:val="20"/>
              </w:rPr>
            </w:pPr>
            <w:r w:rsidRPr="00030CE8">
              <w:rPr>
                <w:b/>
                <w:bCs/>
                <w:sz w:val="24"/>
                <w:szCs w:val="20"/>
              </w:rPr>
              <w:t>Bayshore</w:t>
            </w:r>
          </w:p>
        </w:tc>
        <w:tc>
          <w:tcPr>
            <w:tcW w:w="1440" w:type="dxa"/>
          </w:tcPr>
          <w:p w:rsidRPr="00030CE8" w:rsidR="00604CBE" w:rsidP="00586EE9" w:rsidRDefault="00604CBE" w14:paraId="1BD8EC89" w14:textId="77777777">
            <w:pPr>
              <w:pStyle w:val="Standard"/>
              <w:spacing w:line="240" w:lineRule="auto"/>
              <w:ind w:firstLine="0"/>
              <w:rPr>
                <w:sz w:val="24"/>
                <w:szCs w:val="20"/>
              </w:rPr>
            </w:pPr>
            <w:r w:rsidRPr="00030CE8">
              <w:rPr>
                <w:sz w:val="24"/>
                <w:szCs w:val="20"/>
              </w:rPr>
              <w:t>00132992</w:t>
            </w:r>
          </w:p>
        </w:tc>
        <w:tc>
          <w:tcPr>
            <w:tcW w:w="3330" w:type="dxa"/>
          </w:tcPr>
          <w:p w:rsidR="00556940" w:rsidP="00586EE9" w:rsidRDefault="00604CBE" w14:paraId="16A04F04" w14:textId="77777777">
            <w:pPr>
              <w:pStyle w:val="Standard"/>
              <w:spacing w:line="240" w:lineRule="auto"/>
              <w:ind w:firstLine="0"/>
              <w:rPr>
                <w:sz w:val="24"/>
                <w:szCs w:val="20"/>
              </w:rPr>
            </w:pPr>
            <w:r w:rsidRPr="00030CE8">
              <w:rPr>
                <w:sz w:val="24"/>
                <w:szCs w:val="20"/>
              </w:rPr>
              <w:t>Grid Strengthening</w:t>
            </w:r>
            <w:r w:rsidRPr="00030CE8" w:rsidR="00FC4E12">
              <w:rPr>
                <w:sz w:val="24"/>
                <w:szCs w:val="20"/>
              </w:rPr>
              <w:t> —</w:t>
            </w:r>
          </w:p>
          <w:p w:rsidRPr="00030CE8" w:rsidR="00604CBE" w:rsidP="00586EE9" w:rsidRDefault="00604CBE" w14:paraId="6BF70B06" w14:textId="4191EF90">
            <w:pPr>
              <w:pStyle w:val="Standard"/>
              <w:spacing w:line="240" w:lineRule="auto"/>
              <w:ind w:firstLine="0"/>
              <w:rPr>
                <w:sz w:val="24"/>
                <w:szCs w:val="20"/>
              </w:rPr>
            </w:pPr>
            <w:r w:rsidRPr="00030CE8">
              <w:rPr>
                <w:sz w:val="24"/>
                <w:szCs w:val="20"/>
              </w:rPr>
              <w:t>NC</w:t>
            </w:r>
          </w:p>
        </w:tc>
        <w:tc>
          <w:tcPr>
            <w:tcW w:w="1620" w:type="dxa"/>
          </w:tcPr>
          <w:p w:rsidRPr="00030CE8" w:rsidR="00604CBE" w:rsidP="00586EE9" w:rsidRDefault="00604CBE" w14:paraId="7F6EDB6A"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5AE4639F" w14:textId="77777777">
            <w:pPr>
              <w:pStyle w:val="Standard"/>
              <w:spacing w:line="240" w:lineRule="auto"/>
              <w:ind w:firstLine="0"/>
              <w:rPr>
                <w:sz w:val="24"/>
                <w:szCs w:val="20"/>
              </w:rPr>
            </w:pPr>
            <w:r w:rsidRPr="00030CE8">
              <w:rPr>
                <w:sz w:val="24"/>
                <w:szCs w:val="20"/>
              </w:rPr>
              <w:t>$545,775</w:t>
            </w:r>
          </w:p>
        </w:tc>
      </w:tr>
      <w:tr w:rsidRPr="00030CE8" w:rsidR="00556940" w:rsidTr="0034117D" w14:paraId="2A566DF3" w14:textId="77777777">
        <w:trPr>
          <w:cantSplit/>
          <w:jc w:val="center"/>
        </w:trPr>
        <w:tc>
          <w:tcPr>
            <w:tcW w:w="2335" w:type="dxa"/>
          </w:tcPr>
          <w:p w:rsidRPr="00030CE8" w:rsidR="00604CBE" w:rsidP="00586EE9" w:rsidRDefault="00604CBE" w14:paraId="443C4F33" w14:textId="77777777">
            <w:pPr>
              <w:pStyle w:val="Standard"/>
              <w:spacing w:line="240" w:lineRule="auto"/>
              <w:ind w:firstLine="0"/>
              <w:rPr>
                <w:b/>
                <w:bCs/>
                <w:sz w:val="24"/>
                <w:szCs w:val="20"/>
              </w:rPr>
            </w:pPr>
          </w:p>
        </w:tc>
        <w:tc>
          <w:tcPr>
            <w:tcW w:w="1440" w:type="dxa"/>
          </w:tcPr>
          <w:p w:rsidRPr="00030CE8" w:rsidR="00604CBE" w:rsidP="00586EE9" w:rsidRDefault="00604CBE" w14:paraId="58B727ED" w14:textId="77777777">
            <w:pPr>
              <w:pStyle w:val="Standard"/>
              <w:spacing w:line="240" w:lineRule="auto"/>
              <w:ind w:firstLine="0"/>
              <w:rPr>
                <w:sz w:val="24"/>
                <w:szCs w:val="20"/>
              </w:rPr>
            </w:pPr>
            <w:r w:rsidRPr="00030CE8">
              <w:rPr>
                <w:sz w:val="24"/>
                <w:szCs w:val="20"/>
              </w:rPr>
              <w:t>00134125</w:t>
            </w:r>
          </w:p>
        </w:tc>
        <w:tc>
          <w:tcPr>
            <w:tcW w:w="3330" w:type="dxa"/>
          </w:tcPr>
          <w:p w:rsidR="00556940" w:rsidP="00586EE9" w:rsidRDefault="00604CBE" w14:paraId="637FEEDF" w14:textId="77777777">
            <w:pPr>
              <w:pStyle w:val="Standard"/>
              <w:spacing w:line="240" w:lineRule="auto"/>
              <w:ind w:firstLine="0"/>
              <w:rPr>
                <w:sz w:val="24"/>
                <w:szCs w:val="20"/>
              </w:rPr>
            </w:pPr>
            <w:r w:rsidRPr="00030CE8">
              <w:rPr>
                <w:sz w:val="24"/>
                <w:szCs w:val="20"/>
              </w:rPr>
              <w:t>Grid Strengthening</w:t>
            </w:r>
            <w:r w:rsidRPr="00030CE8" w:rsidR="00FC4E12">
              <w:rPr>
                <w:sz w:val="24"/>
                <w:szCs w:val="20"/>
              </w:rPr>
              <w:t> —</w:t>
            </w:r>
          </w:p>
          <w:p w:rsidRPr="00030CE8" w:rsidR="00604CBE" w:rsidP="00586EE9" w:rsidRDefault="00604CBE" w14:paraId="0583851F" w14:textId="79BD0544">
            <w:pPr>
              <w:pStyle w:val="Standard"/>
              <w:spacing w:line="240" w:lineRule="auto"/>
              <w:ind w:firstLine="0"/>
              <w:rPr>
                <w:sz w:val="24"/>
                <w:szCs w:val="20"/>
              </w:rPr>
            </w:pPr>
            <w:r w:rsidRPr="00030CE8">
              <w:rPr>
                <w:sz w:val="24"/>
                <w:szCs w:val="20"/>
              </w:rPr>
              <w:t>Dead Ends</w:t>
            </w:r>
          </w:p>
        </w:tc>
        <w:tc>
          <w:tcPr>
            <w:tcW w:w="1620" w:type="dxa"/>
          </w:tcPr>
          <w:p w:rsidRPr="00030CE8" w:rsidR="00604CBE" w:rsidP="00586EE9" w:rsidRDefault="00604CBE" w14:paraId="21969775"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293D28E4" w14:textId="77777777">
            <w:pPr>
              <w:pStyle w:val="Standard"/>
              <w:spacing w:line="240" w:lineRule="auto"/>
              <w:ind w:firstLine="0"/>
              <w:rPr>
                <w:sz w:val="24"/>
                <w:szCs w:val="20"/>
              </w:rPr>
            </w:pPr>
            <w:r w:rsidRPr="00030CE8">
              <w:rPr>
                <w:sz w:val="24"/>
                <w:szCs w:val="20"/>
              </w:rPr>
              <w:t>$252,903</w:t>
            </w:r>
          </w:p>
        </w:tc>
      </w:tr>
      <w:tr w:rsidRPr="00030CE8" w:rsidR="00556940" w:rsidTr="0034117D" w14:paraId="5A2FD57D" w14:textId="77777777">
        <w:trPr>
          <w:cantSplit/>
          <w:jc w:val="center"/>
        </w:trPr>
        <w:tc>
          <w:tcPr>
            <w:tcW w:w="2335" w:type="dxa"/>
          </w:tcPr>
          <w:p w:rsidRPr="00030CE8" w:rsidR="00604CBE" w:rsidP="00586EE9" w:rsidRDefault="00604CBE" w14:paraId="50C4C2D1" w14:textId="77777777">
            <w:pPr>
              <w:pStyle w:val="Standard"/>
              <w:spacing w:line="240" w:lineRule="auto"/>
              <w:ind w:firstLine="0"/>
              <w:rPr>
                <w:b/>
                <w:bCs/>
                <w:sz w:val="24"/>
                <w:szCs w:val="20"/>
              </w:rPr>
            </w:pPr>
          </w:p>
        </w:tc>
        <w:tc>
          <w:tcPr>
            <w:tcW w:w="1440" w:type="dxa"/>
          </w:tcPr>
          <w:p w:rsidRPr="00030CE8" w:rsidR="00604CBE" w:rsidP="00586EE9" w:rsidRDefault="00604CBE" w14:paraId="2772A6F7" w14:textId="77777777">
            <w:pPr>
              <w:pStyle w:val="Standard"/>
              <w:spacing w:line="240" w:lineRule="auto"/>
              <w:ind w:firstLine="0"/>
              <w:rPr>
                <w:sz w:val="24"/>
                <w:szCs w:val="20"/>
              </w:rPr>
            </w:pPr>
            <w:r w:rsidRPr="00030CE8">
              <w:rPr>
                <w:sz w:val="24"/>
                <w:szCs w:val="20"/>
              </w:rPr>
              <w:t>00134769</w:t>
            </w:r>
          </w:p>
        </w:tc>
        <w:tc>
          <w:tcPr>
            <w:tcW w:w="3330" w:type="dxa"/>
          </w:tcPr>
          <w:p w:rsidRPr="00030CE8" w:rsidR="00604CBE" w:rsidP="00586EE9" w:rsidRDefault="00604CBE" w14:paraId="747C1FCE" w14:textId="77777777">
            <w:pPr>
              <w:pStyle w:val="Standard"/>
              <w:spacing w:line="240" w:lineRule="auto"/>
              <w:ind w:firstLine="0"/>
              <w:rPr>
                <w:sz w:val="24"/>
                <w:szCs w:val="20"/>
              </w:rPr>
            </w:pPr>
            <w:r w:rsidRPr="00030CE8">
              <w:rPr>
                <w:sz w:val="24"/>
                <w:szCs w:val="20"/>
              </w:rPr>
              <w:t>Vehicles for New Complements</w:t>
            </w:r>
          </w:p>
        </w:tc>
        <w:tc>
          <w:tcPr>
            <w:tcW w:w="1620" w:type="dxa"/>
          </w:tcPr>
          <w:p w:rsidRPr="00030CE8" w:rsidR="00604CBE" w:rsidP="00586EE9" w:rsidRDefault="00604CBE" w14:paraId="58DD0604"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323C9BC0" w14:textId="77777777">
            <w:pPr>
              <w:pStyle w:val="Standard"/>
              <w:spacing w:line="240" w:lineRule="auto"/>
              <w:ind w:firstLine="0"/>
              <w:rPr>
                <w:sz w:val="24"/>
                <w:szCs w:val="20"/>
              </w:rPr>
            </w:pPr>
            <w:r w:rsidRPr="00030CE8">
              <w:rPr>
                <w:sz w:val="24"/>
                <w:szCs w:val="20"/>
              </w:rPr>
              <w:t>$0</w:t>
            </w:r>
          </w:p>
        </w:tc>
      </w:tr>
      <w:tr w:rsidRPr="00030CE8" w:rsidR="00556940" w:rsidTr="0034117D" w14:paraId="2B45F166" w14:textId="77777777">
        <w:trPr>
          <w:cantSplit/>
          <w:jc w:val="center"/>
        </w:trPr>
        <w:tc>
          <w:tcPr>
            <w:tcW w:w="2335" w:type="dxa"/>
          </w:tcPr>
          <w:p w:rsidRPr="00030CE8" w:rsidR="00604CBE" w:rsidP="00586EE9" w:rsidRDefault="00604CBE" w14:paraId="781DF3D9" w14:textId="77777777">
            <w:pPr>
              <w:pStyle w:val="Standard"/>
              <w:spacing w:line="240" w:lineRule="auto"/>
              <w:ind w:firstLine="0"/>
              <w:rPr>
                <w:b/>
                <w:bCs/>
                <w:sz w:val="24"/>
                <w:szCs w:val="20"/>
              </w:rPr>
            </w:pPr>
          </w:p>
        </w:tc>
        <w:tc>
          <w:tcPr>
            <w:tcW w:w="1440" w:type="dxa"/>
          </w:tcPr>
          <w:p w:rsidRPr="00030CE8" w:rsidR="00604CBE" w:rsidP="00586EE9" w:rsidRDefault="00604CBE" w14:paraId="3020CB10" w14:textId="77777777">
            <w:pPr>
              <w:pStyle w:val="Standard"/>
              <w:spacing w:line="240" w:lineRule="auto"/>
              <w:ind w:firstLine="0"/>
              <w:rPr>
                <w:sz w:val="24"/>
                <w:szCs w:val="20"/>
              </w:rPr>
            </w:pPr>
            <w:r w:rsidRPr="00030CE8">
              <w:rPr>
                <w:sz w:val="24"/>
                <w:szCs w:val="20"/>
              </w:rPr>
              <w:t>132985</w:t>
            </w:r>
          </w:p>
        </w:tc>
        <w:tc>
          <w:tcPr>
            <w:tcW w:w="3330" w:type="dxa"/>
          </w:tcPr>
          <w:p w:rsidRPr="00030CE8" w:rsidR="00604CBE" w:rsidP="00586EE9" w:rsidRDefault="00604CBE" w14:paraId="751AE8C5" w14:textId="409DFFAA">
            <w:pPr>
              <w:pStyle w:val="Standard"/>
              <w:spacing w:line="240" w:lineRule="auto"/>
              <w:ind w:firstLine="0"/>
              <w:rPr>
                <w:sz w:val="24"/>
                <w:szCs w:val="20"/>
              </w:rPr>
            </w:pPr>
            <w:r w:rsidRPr="00030CE8">
              <w:rPr>
                <w:sz w:val="24"/>
                <w:szCs w:val="20"/>
              </w:rPr>
              <w:t>SC</w:t>
            </w:r>
            <w:r w:rsidR="00270999">
              <w:rPr>
                <w:sz w:val="24"/>
                <w:szCs w:val="20"/>
              </w:rPr>
              <w:noBreakHyphen/>
            </w:r>
            <w:r w:rsidRPr="00030CE8">
              <w:rPr>
                <w:sz w:val="24"/>
                <w:szCs w:val="20"/>
              </w:rPr>
              <w:t>117 Station Rebuild</w:t>
            </w:r>
          </w:p>
        </w:tc>
        <w:tc>
          <w:tcPr>
            <w:tcW w:w="1620" w:type="dxa"/>
          </w:tcPr>
          <w:p w:rsidRPr="00030CE8" w:rsidR="00C81098" w:rsidP="00586EE9" w:rsidRDefault="00604CBE" w14:paraId="017EE4E5" w14:textId="77777777">
            <w:pPr>
              <w:pStyle w:val="Standard"/>
              <w:spacing w:line="240" w:lineRule="auto"/>
              <w:ind w:firstLine="0"/>
              <w:rPr>
                <w:sz w:val="24"/>
                <w:szCs w:val="20"/>
              </w:rPr>
            </w:pPr>
            <w:r w:rsidRPr="00030CE8">
              <w:rPr>
                <w:sz w:val="24"/>
                <w:szCs w:val="20"/>
              </w:rPr>
              <w:t>Adopted</w:t>
            </w:r>
          </w:p>
          <w:p w:rsidRPr="00030CE8" w:rsidR="00604CBE" w:rsidP="00586EE9" w:rsidRDefault="00604CBE" w14:paraId="2460C41B" w14:textId="58384368">
            <w:pPr>
              <w:pStyle w:val="Standard"/>
              <w:spacing w:line="240" w:lineRule="auto"/>
              <w:ind w:firstLine="0"/>
              <w:rPr>
                <w:sz w:val="24"/>
                <w:szCs w:val="20"/>
              </w:rPr>
            </w:pPr>
            <w:r w:rsidRPr="00030CE8">
              <w:rPr>
                <w:sz w:val="24"/>
                <w:szCs w:val="20"/>
              </w:rPr>
              <w:t>(Modified)</w:t>
            </w:r>
          </w:p>
        </w:tc>
        <w:tc>
          <w:tcPr>
            <w:tcW w:w="1830" w:type="dxa"/>
          </w:tcPr>
          <w:p w:rsidRPr="00030CE8" w:rsidR="000E358E" w:rsidP="00586EE9" w:rsidRDefault="00604CBE" w14:paraId="0366E364" w14:textId="77777777">
            <w:pPr>
              <w:pStyle w:val="Standard"/>
              <w:spacing w:line="240" w:lineRule="auto"/>
              <w:ind w:firstLine="0"/>
              <w:rPr>
                <w:sz w:val="24"/>
                <w:szCs w:val="20"/>
              </w:rPr>
            </w:pPr>
            <w:r w:rsidRPr="00030CE8">
              <w:rPr>
                <w:sz w:val="24"/>
                <w:szCs w:val="20"/>
              </w:rPr>
              <w:t>$1,417,883</w:t>
            </w:r>
          </w:p>
          <w:p w:rsidRPr="00030CE8" w:rsidR="00604CBE" w:rsidP="00586EE9" w:rsidRDefault="00604CBE" w14:paraId="2F500113" w14:textId="2F5C5028">
            <w:pPr>
              <w:pStyle w:val="Standard"/>
              <w:spacing w:line="240" w:lineRule="auto"/>
              <w:ind w:firstLine="0"/>
              <w:rPr>
                <w:sz w:val="24"/>
                <w:szCs w:val="20"/>
              </w:rPr>
            </w:pPr>
          </w:p>
        </w:tc>
      </w:tr>
      <w:tr w:rsidRPr="00030CE8" w:rsidR="00556940" w:rsidTr="0034117D" w14:paraId="3056F33F" w14:textId="77777777">
        <w:trPr>
          <w:cantSplit/>
          <w:jc w:val="center"/>
        </w:trPr>
        <w:tc>
          <w:tcPr>
            <w:tcW w:w="2335" w:type="dxa"/>
          </w:tcPr>
          <w:p w:rsidRPr="00030CE8" w:rsidR="00604CBE" w:rsidP="00586EE9" w:rsidRDefault="00604CBE" w14:paraId="354A9213" w14:textId="77777777">
            <w:pPr>
              <w:pStyle w:val="Standard"/>
              <w:spacing w:line="240" w:lineRule="auto"/>
              <w:ind w:firstLine="0"/>
              <w:rPr>
                <w:b/>
                <w:bCs/>
                <w:sz w:val="24"/>
                <w:szCs w:val="20"/>
              </w:rPr>
            </w:pPr>
            <w:r w:rsidRPr="00030CE8">
              <w:rPr>
                <w:b/>
                <w:bCs/>
                <w:sz w:val="24"/>
                <w:szCs w:val="20"/>
              </w:rPr>
              <w:t>Chico</w:t>
            </w:r>
          </w:p>
        </w:tc>
        <w:tc>
          <w:tcPr>
            <w:tcW w:w="1440" w:type="dxa"/>
          </w:tcPr>
          <w:p w:rsidR="0034117D" w:rsidP="00586EE9" w:rsidRDefault="00604CBE" w14:paraId="3F4BBCF7" w14:textId="77777777">
            <w:pPr>
              <w:pStyle w:val="Standard"/>
              <w:spacing w:line="240" w:lineRule="auto"/>
              <w:ind w:firstLine="0"/>
              <w:rPr>
                <w:sz w:val="24"/>
                <w:szCs w:val="20"/>
              </w:rPr>
            </w:pPr>
            <w:r w:rsidRPr="00030CE8">
              <w:rPr>
                <w:sz w:val="24"/>
                <w:szCs w:val="20"/>
              </w:rPr>
              <w:t>00124797;</w:t>
            </w:r>
          </w:p>
          <w:p w:rsidRPr="00030CE8" w:rsidR="00604CBE" w:rsidP="00586EE9" w:rsidRDefault="00604CBE" w14:paraId="08D2A957" w14:textId="0CD0BF68">
            <w:pPr>
              <w:pStyle w:val="Standard"/>
              <w:spacing w:line="240" w:lineRule="auto"/>
              <w:ind w:firstLine="0"/>
              <w:rPr>
                <w:sz w:val="24"/>
                <w:szCs w:val="20"/>
              </w:rPr>
            </w:pPr>
            <w:r w:rsidRPr="00030CE8">
              <w:rPr>
                <w:sz w:val="24"/>
                <w:szCs w:val="20"/>
              </w:rPr>
              <w:t>00133034</w:t>
            </w:r>
          </w:p>
        </w:tc>
        <w:tc>
          <w:tcPr>
            <w:tcW w:w="3330" w:type="dxa"/>
          </w:tcPr>
          <w:p w:rsidRPr="00030CE8" w:rsidR="00604CBE" w:rsidP="00586EE9" w:rsidRDefault="00604CBE" w14:paraId="14B71832" w14:textId="49730B9C">
            <w:pPr>
              <w:pStyle w:val="Standard"/>
              <w:spacing w:line="240" w:lineRule="auto"/>
              <w:ind w:firstLine="0"/>
              <w:rPr>
                <w:sz w:val="24"/>
                <w:szCs w:val="20"/>
              </w:rPr>
            </w:pPr>
            <w:r w:rsidRPr="00030CE8">
              <w:rPr>
                <w:sz w:val="24"/>
                <w:szCs w:val="20"/>
              </w:rPr>
              <w:t>400</w:t>
            </w:r>
            <w:r w:rsidR="00270999">
              <w:rPr>
                <w:sz w:val="24"/>
                <w:szCs w:val="20"/>
              </w:rPr>
              <w:noBreakHyphen/>
            </w:r>
            <w:r w:rsidRPr="00030CE8">
              <w:rPr>
                <w:sz w:val="24"/>
                <w:szCs w:val="20"/>
              </w:rPr>
              <w:t>Zone Wildfire Pump Storage Facility</w:t>
            </w:r>
          </w:p>
        </w:tc>
        <w:tc>
          <w:tcPr>
            <w:tcW w:w="1620" w:type="dxa"/>
          </w:tcPr>
          <w:p w:rsidRPr="00030CE8" w:rsidR="00604CBE" w:rsidP="00586EE9" w:rsidRDefault="00604CBE" w14:paraId="4F27E25F"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482436CB" w14:textId="77777777">
            <w:pPr>
              <w:pStyle w:val="Standard"/>
              <w:spacing w:line="240" w:lineRule="auto"/>
              <w:ind w:firstLine="0"/>
              <w:rPr>
                <w:sz w:val="24"/>
                <w:szCs w:val="20"/>
              </w:rPr>
            </w:pPr>
            <w:r w:rsidRPr="00030CE8">
              <w:rPr>
                <w:sz w:val="24"/>
                <w:szCs w:val="20"/>
              </w:rPr>
              <w:t>$0</w:t>
            </w:r>
          </w:p>
        </w:tc>
      </w:tr>
      <w:tr w:rsidRPr="00030CE8" w:rsidR="00556940" w:rsidTr="0034117D" w14:paraId="3E18022D" w14:textId="77777777">
        <w:trPr>
          <w:cantSplit/>
          <w:jc w:val="center"/>
        </w:trPr>
        <w:tc>
          <w:tcPr>
            <w:tcW w:w="2335" w:type="dxa"/>
          </w:tcPr>
          <w:p w:rsidRPr="00030CE8" w:rsidR="00604CBE" w:rsidP="00586EE9" w:rsidRDefault="00604CBE" w14:paraId="12BE8823" w14:textId="77777777">
            <w:pPr>
              <w:pStyle w:val="Standard"/>
              <w:spacing w:line="240" w:lineRule="auto"/>
              <w:ind w:firstLine="0"/>
              <w:rPr>
                <w:b/>
                <w:bCs/>
                <w:sz w:val="24"/>
                <w:szCs w:val="20"/>
              </w:rPr>
            </w:pPr>
          </w:p>
        </w:tc>
        <w:tc>
          <w:tcPr>
            <w:tcW w:w="1440" w:type="dxa"/>
          </w:tcPr>
          <w:p w:rsidR="0034117D" w:rsidP="00586EE9" w:rsidRDefault="00604CBE" w14:paraId="231B061C" w14:textId="77777777">
            <w:pPr>
              <w:pStyle w:val="Standard"/>
              <w:spacing w:line="240" w:lineRule="auto"/>
              <w:ind w:firstLine="0"/>
              <w:rPr>
                <w:sz w:val="24"/>
                <w:szCs w:val="20"/>
              </w:rPr>
            </w:pPr>
            <w:r w:rsidRPr="00030CE8">
              <w:rPr>
                <w:sz w:val="24"/>
                <w:szCs w:val="20"/>
              </w:rPr>
              <w:t>00123979;</w:t>
            </w:r>
          </w:p>
          <w:p w:rsidRPr="00030CE8" w:rsidR="00604CBE" w:rsidP="00586EE9" w:rsidRDefault="00604CBE" w14:paraId="32796ECC" w14:textId="44FFC450">
            <w:pPr>
              <w:pStyle w:val="Standard"/>
              <w:spacing w:line="240" w:lineRule="auto"/>
              <w:ind w:firstLine="0"/>
              <w:rPr>
                <w:sz w:val="24"/>
                <w:szCs w:val="20"/>
              </w:rPr>
            </w:pPr>
            <w:r w:rsidRPr="00030CE8">
              <w:rPr>
                <w:sz w:val="24"/>
                <w:szCs w:val="20"/>
              </w:rPr>
              <w:t>00133029</w:t>
            </w:r>
          </w:p>
        </w:tc>
        <w:tc>
          <w:tcPr>
            <w:tcW w:w="3330" w:type="dxa"/>
          </w:tcPr>
          <w:p w:rsidRPr="00030CE8" w:rsidR="00604CBE" w:rsidP="00586EE9" w:rsidRDefault="00604CBE" w14:paraId="779C57E8" w14:textId="26D6CE15">
            <w:pPr>
              <w:pStyle w:val="Standard"/>
              <w:spacing w:line="240" w:lineRule="auto"/>
              <w:ind w:firstLine="0"/>
              <w:rPr>
                <w:sz w:val="24"/>
                <w:szCs w:val="20"/>
              </w:rPr>
            </w:pPr>
            <w:r w:rsidRPr="00030CE8">
              <w:rPr>
                <w:sz w:val="24"/>
                <w:szCs w:val="20"/>
              </w:rPr>
              <w:t>CH</w:t>
            </w:r>
            <w:r w:rsidR="00270999">
              <w:rPr>
                <w:sz w:val="24"/>
                <w:szCs w:val="20"/>
              </w:rPr>
              <w:noBreakHyphen/>
            </w:r>
            <w:r w:rsidRPr="00030CE8">
              <w:rPr>
                <w:sz w:val="24"/>
                <w:szCs w:val="20"/>
              </w:rPr>
              <w:t>050 Station Rebuild</w:t>
            </w:r>
          </w:p>
        </w:tc>
        <w:tc>
          <w:tcPr>
            <w:tcW w:w="1620" w:type="dxa"/>
          </w:tcPr>
          <w:p w:rsidRPr="00030CE8" w:rsidR="00604CBE" w:rsidP="00586EE9" w:rsidRDefault="00604CBE" w14:paraId="43E54A47"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4E5F6E51" w14:textId="77777777">
            <w:pPr>
              <w:pStyle w:val="Standard"/>
              <w:spacing w:line="240" w:lineRule="auto"/>
              <w:ind w:firstLine="0"/>
              <w:rPr>
                <w:sz w:val="24"/>
                <w:szCs w:val="20"/>
              </w:rPr>
            </w:pPr>
            <w:r w:rsidRPr="00030CE8">
              <w:rPr>
                <w:sz w:val="24"/>
                <w:szCs w:val="20"/>
              </w:rPr>
              <w:t>$0</w:t>
            </w:r>
          </w:p>
        </w:tc>
      </w:tr>
      <w:tr w:rsidRPr="00030CE8" w:rsidR="00556940" w:rsidTr="0034117D" w14:paraId="7146689F" w14:textId="77777777">
        <w:trPr>
          <w:cantSplit/>
          <w:jc w:val="center"/>
        </w:trPr>
        <w:tc>
          <w:tcPr>
            <w:tcW w:w="2335" w:type="dxa"/>
          </w:tcPr>
          <w:p w:rsidRPr="00030CE8" w:rsidR="00604CBE" w:rsidP="00586EE9" w:rsidRDefault="00604CBE" w14:paraId="3A184FA4" w14:textId="77777777">
            <w:pPr>
              <w:pStyle w:val="Standard"/>
              <w:spacing w:line="240" w:lineRule="auto"/>
              <w:ind w:firstLine="0"/>
              <w:rPr>
                <w:b/>
                <w:bCs/>
                <w:sz w:val="24"/>
                <w:szCs w:val="20"/>
              </w:rPr>
            </w:pPr>
          </w:p>
        </w:tc>
        <w:tc>
          <w:tcPr>
            <w:tcW w:w="1440" w:type="dxa"/>
          </w:tcPr>
          <w:p w:rsidRPr="00030CE8" w:rsidR="00604CBE" w:rsidP="00586EE9" w:rsidRDefault="00604CBE" w14:paraId="51B41181" w14:textId="77777777">
            <w:pPr>
              <w:pStyle w:val="Standard"/>
              <w:spacing w:line="240" w:lineRule="auto"/>
              <w:ind w:firstLine="0"/>
              <w:rPr>
                <w:sz w:val="24"/>
                <w:szCs w:val="20"/>
              </w:rPr>
            </w:pPr>
            <w:r w:rsidRPr="00030CE8">
              <w:rPr>
                <w:sz w:val="24"/>
                <w:szCs w:val="20"/>
              </w:rPr>
              <w:t>00133031</w:t>
            </w:r>
          </w:p>
        </w:tc>
        <w:tc>
          <w:tcPr>
            <w:tcW w:w="3330" w:type="dxa"/>
          </w:tcPr>
          <w:p w:rsidRPr="00030CE8" w:rsidR="00604CBE" w:rsidP="00586EE9" w:rsidRDefault="00604CBE" w14:paraId="04107448" w14:textId="15809A0A">
            <w:pPr>
              <w:pStyle w:val="Standard"/>
              <w:spacing w:line="240" w:lineRule="auto"/>
              <w:ind w:firstLine="0"/>
              <w:rPr>
                <w:sz w:val="24"/>
                <w:szCs w:val="20"/>
              </w:rPr>
            </w:pPr>
            <w:r w:rsidRPr="00030CE8">
              <w:rPr>
                <w:sz w:val="24"/>
                <w:szCs w:val="20"/>
              </w:rPr>
              <w:t>CH</w:t>
            </w:r>
            <w:r w:rsidR="00270999">
              <w:rPr>
                <w:sz w:val="24"/>
                <w:szCs w:val="20"/>
              </w:rPr>
              <w:noBreakHyphen/>
            </w:r>
            <w:r w:rsidRPr="00030CE8">
              <w:rPr>
                <w:sz w:val="24"/>
                <w:szCs w:val="20"/>
              </w:rPr>
              <w:t>064 Generator</w:t>
            </w:r>
          </w:p>
        </w:tc>
        <w:tc>
          <w:tcPr>
            <w:tcW w:w="1620" w:type="dxa"/>
          </w:tcPr>
          <w:p w:rsidRPr="00030CE8" w:rsidR="00604CBE" w:rsidP="00586EE9" w:rsidRDefault="00604CBE" w14:paraId="0649AFA6"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53E41D57" w14:textId="77777777">
            <w:pPr>
              <w:pStyle w:val="Standard"/>
              <w:spacing w:line="240" w:lineRule="auto"/>
              <w:ind w:firstLine="0"/>
              <w:rPr>
                <w:sz w:val="24"/>
                <w:szCs w:val="20"/>
              </w:rPr>
            </w:pPr>
            <w:r w:rsidRPr="00030CE8">
              <w:rPr>
                <w:sz w:val="24"/>
                <w:szCs w:val="20"/>
              </w:rPr>
              <w:t>$0</w:t>
            </w:r>
          </w:p>
        </w:tc>
      </w:tr>
      <w:tr w:rsidRPr="00030CE8" w:rsidR="00556940" w:rsidTr="0034117D" w14:paraId="0115A2A8" w14:textId="77777777">
        <w:trPr>
          <w:cantSplit/>
          <w:jc w:val="center"/>
        </w:trPr>
        <w:tc>
          <w:tcPr>
            <w:tcW w:w="2335" w:type="dxa"/>
          </w:tcPr>
          <w:p w:rsidRPr="00030CE8" w:rsidR="00604CBE" w:rsidP="00586EE9" w:rsidRDefault="00604CBE" w14:paraId="352889AF" w14:textId="77777777">
            <w:pPr>
              <w:pStyle w:val="Standard"/>
              <w:spacing w:line="240" w:lineRule="auto"/>
              <w:ind w:firstLine="0"/>
              <w:rPr>
                <w:b/>
                <w:bCs/>
                <w:sz w:val="24"/>
                <w:szCs w:val="20"/>
              </w:rPr>
            </w:pPr>
            <w:r w:rsidRPr="00030CE8">
              <w:rPr>
                <w:b/>
                <w:bCs/>
                <w:sz w:val="24"/>
                <w:szCs w:val="20"/>
              </w:rPr>
              <w:t>Dixon</w:t>
            </w:r>
          </w:p>
        </w:tc>
        <w:tc>
          <w:tcPr>
            <w:tcW w:w="1440" w:type="dxa"/>
          </w:tcPr>
          <w:p w:rsidR="0034117D" w:rsidP="00586EE9" w:rsidRDefault="00604CBE" w14:paraId="37BF50B2" w14:textId="77777777">
            <w:pPr>
              <w:pStyle w:val="Standard"/>
              <w:spacing w:line="240" w:lineRule="auto"/>
              <w:ind w:firstLine="0"/>
              <w:rPr>
                <w:sz w:val="24"/>
                <w:szCs w:val="20"/>
              </w:rPr>
            </w:pPr>
            <w:r w:rsidRPr="00030CE8">
              <w:rPr>
                <w:sz w:val="24"/>
                <w:szCs w:val="20"/>
              </w:rPr>
              <w:t>All district</w:t>
            </w:r>
          </w:p>
          <w:p w:rsidRPr="00030CE8" w:rsidR="00604CBE" w:rsidP="00586EE9" w:rsidRDefault="00604CBE" w14:paraId="6F36C408" w14:textId="1B160B61">
            <w:pPr>
              <w:pStyle w:val="Standard"/>
              <w:spacing w:line="240" w:lineRule="auto"/>
              <w:ind w:firstLine="0"/>
              <w:rPr>
                <w:sz w:val="24"/>
                <w:szCs w:val="20"/>
              </w:rPr>
            </w:pPr>
            <w:r w:rsidRPr="00030CE8">
              <w:rPr>
                <w:sz w:val="24"/>
                <w:szCs w:val="20"/>
              </w:rPr>
              <w:t>PIDs</w:t>
            </w:r>
          </w:p>
        </w:tc>
        <w:tc>
          <w:tcPr>
            <w:tcW w:w="3330" w:type="dxa"/>
          </w:tcPr>
          <w:p w:rsidRPr="00030CE8" w:rsidR="00604CBE" w:rsidP="00586EE9" w:rsidRDefault="00604CBE" w14:paraId="230B4F5C" w14:textId="77777777">
            <w:pPr>
              <w:pStyle w:val="Standard"/>
              <w:spacing w:line="240" w:lineRule="auto"/>
              <w:ind w:firstLine="0"/>
              <w:rPr>
                <w:sz w:val="24"/>
                <w:szCs w:val="20"/>
              </w:rPr>
            </w:pPr>
            <w:r w:rsidRPr="00030CE8">
              <w:rPr>
                <w:sz w:val="24"/>
                <w:szCs w:val="20"/>
              </w:rPr>
              <w:t>District Plant Projects</w:t>
            </w:r>
          </w:p>
        </w:tc>
        <w:tc>
          <w:tcPr>
            <w:tcW w:w="1620" w:type="dxa"/>
          </w:tcPr>
          <w:p w:rsidRPr="00030CE8" w:rsidR="00604CBE" w:rsidP="00586EE9" w:rsidRDefault="00604CBE" w14:paraId="03F037FE" w14:textId="77777777">
            <w:pPr>
              <w:pStyle w:val="Standard"/>
              <w:spacing w:line="240" w:lineRule="auto"/>
              <w:ind w:firstLine="0"/>
              <w:rPr>
                <w:sz w:val="24"/>
                <w:szCs w:val="20"/>
              </w:rPr>
            </w:pPr>
            <w:r w:rsidRPr="00030CE8">
              <w:rPr>
                <w:sz w:val="24"/>
                <w:szCs w:val="20"/>
              </w:rPr>
              <w:t>Adopted</w:t>
            </w:r>
          </w:p>
        </w:tc>
        <w:tc>
          <w:tcPr>
            <w:tcW w:w="1830" w:type="dxa"/>
          </w:tcPr>
          <w:p w:rsidRPr="00030CE8" w:rsidR="000E358E" w:rsidP="00586EE9" w:rsidRDefault="00604CBE" w14:paraId="09563D11" w14:textId="77777777">
            <w:pPr>
              <w:pStyle w:val="Standard"/>
              <w:spacing w:line="240" w:lineRule="auto"/>
              <w:ind w:firstLine="0"/>
              <w:rPr>
                <w:sz w:val="24"/>
                <w:szCs w:val="20"/>
              </w:rPr>
            </w:pPr>
            <w:r w:rsidRPr="00030CE8">
              <w:rPr>
                <w:sz w:val="24"/>
                <w:szCs w:val="20"/>
              </w:rPr>
              <w:t>$5,436,420</w:t>
            </w:r>
          </w:p>
          <w:p w:rsidRPr="00030CE8" w:rsidR="00604CBE" w:rsidP="00586EE9" w:rsidRDefault="00604CBE" w14:paraId="31A0CE43" w14:textId="0D0B660A">
            <w:pPr>
              <w:pStyle w:val="Standard"/>
              <w:spacing w:line="240" w:lineRule="auto"/>
              <w:ind w:firstLine="0"/>
              <w:rPr>
                <w:sz w:val="24"/>
                <w:szCs w:val="20"/>
              </w:rPr>
            </w:pPr>
            <w:r w:rsidRPr="00030CE8">
              <w:rPr>
                <w:sz w:val="24"/>
                <w:szCs w:val="20"/>
              </w:rPr>
              <w:t>(total)</w:t>
            </w:r>
          </w:p>
        </w:tc>
      </w:tr>
      <w:tr w:rsidRPr="00030CE8" w:rsidR="00556940" w:rsidTr="0034117D" w14:paraId="5145D543" w14:textId="77777777">
        <w:trPr>
          <w:cantSplit/>
          <w:jc w:val="center"/>
        </w:trPr>
        <w:tc>
          <w:tcPr>
            <w:tcW w:w="2335" w:type="dxa"/>
          </w:tcPr>
          <w:p w:rsidRPr="00030CE8" w:rsidR="00604CBE" w:rsidP="00586EE9" w:rsidRDefault="00604CBE" w14:paraId="360DB0FE" w14:textId="77777777">
            <w:pPr>
              <w:pStyle w:val="Standard"/>
              <w:spacing w:line="240" w:lineRule="auto"/>
              <w:ind w:firstLine="0"/>
              <w:rPr>
                <w:b/>
                <w:bCs/>
                <w:sz w:val="24"/>
                <w:szCs w:val="20"/>
              </w:rPr>
            </w:pPr>
            <w:r w:rsidRPr="00030CE8">
              <w:rPr>
                <w:b/>
                <w:bCs/>
                <w:sz w:val="24"/>
                <w:szCs w:val="20"/>
              </w:rPr>
              <w:t>Dominguez</w:t>
            </w:r>
          </w:p>
        </w:tc>
        <w:tc>
          <w:tcPr>
            <w:tcW w:w="1440" w:type="dxa"/>
          </w:tcPr>
          <w:p w:rsidR="00CE0158" w:rsidP="00586EE9" w:rsidRDefault="00604CBE" w14:paraId="42F715F3" w14:textId="77777777">
            <w:pPr>
              <w:pStyle w:val="Standard"/>
              <w:spacing w:line="240" w:lineRule="auto"/>
              <w:ind w:firstLine="0"/>
              <w:rPr>
                <w:sz w:val="24"/>
                <w:szCs w:val="20"/>
              </w:rPr>
            </w:pPr>
            <w:r w:rsidRPr="00030CE8">
              <w:rPr>
                <w:sz w:val="24"/>
                <w:szCs w:val="20"/>
              </w:rPr>
              <w:t>020768;</w:t>
            </w:r>
          </w:p>
          <w:p w:rsidRPr="00030CE8" w:rsidR="00604CBE" w:rsidP="00586EE9" w:rsidRDefault="00604CBE" w14:paraId="464BCF53" w14:textId="63BF74F7">
            <w:pPr>
              <w:pStyle w:val="Standard"/>
              <w:spacing w:line="240" w:lineRule="auto"/>
              <w:ind w:firstLine="0"/>
              <w:rPr>
                <w:sz w:val="24"/>
                <w:szCs w:val="20"/>
              </w:rPr>
            </w:pPr>
            <w:r w:rsidRPr="00030CE8">
              <w:rPr>
                <w:sz w:val="24"/>
                <w:szCs w:val="20"/>
              </w:rPr>
              <w:t>00098099</w:t>
            </w:r>
          </w:p>
        </w:tc>
        <w:tc>
          <w:tcPr>
            <w:tcW w:w="3330" w:type="dxa"/>
          </w:tcPr>
          <w:p w:rsidRPr="00030CE8" w:rsidR="00604CBE" w:rsidP="00586EE9" w:rsidRDefault="00604CBE" w14:paraId="655D7A4B" w14:textId="77777777">
            <w:pPr>
              <w:pStyle w:val="Standard"/>
              <w:spacing w:line="240" w:lineRule="auto"/>
              <w:ind w:firstLine="0"/>
              <w:rPr>
                <w:sz w:val="24"/>
                <w:szCs w:val="20"/>
              </w:rPr>
            </w:pPr>
            <w:r w:rsidRPr="00030CE8">
              <w:rPr>
                <w:sz w:val="24"/>
                <w:szCs w:val="20"/>
              </w:rPr>
              <w:t>Station 275 Treatment</w:t>
            </w:r>
          </w:p>
        </w:tc>
        <w:tc>
          <w:tcPr>
            <w:tcW w:w="1620" w:type="dxa"/>
          </w:tcPr>
          <w:p w:rsidRPr="00030CE8" w:rsidR="00604CBE" w:rsidP="00586EE9" w:rsidRDefault="00604CBE" w14:paraId="4E29729A" w14:textId="77777777">
            <w:pPr>
              <w:pStyle w:val="Standard"/>
              <w:spacing w:line="240" w:lineRule="auto"/>
              <w:ind w:firstLine="0"/>
              <w:rPr>
                <w:sz w:val="24"/>
                <w:szCs w:val="20"/>
              </w:rPr>
            </w:pPr>
            <w:r w:rsidRPr="00030CE8">
              <w:rPr>
                <w:sz w:val="24"/>
                <w:szCs w:val="20"/>
              </w:rPr>
              <w:t>Adopted</w:t>
            </w:r>
          </w:p>
        </w:tc>
        <w:tc>
          <w:tcPr>
            <w:tcW w:w="1830" w:type="dxa"/>
          </w:tcPr>
          <w:p w:rsidRPr="00030CE8" w:rsidR="00FD55E8" w:rsidP="00586EE9" w:rsidRDefault="00604CBE" w14:paraId="68A842BC" w14:textId="77777777">
            <w:pPr>
              <w:pStyle w:val="Standard"/>
              <w:spacing w:line="240" w:lineRule="auto"/>
              <w:ind w:firstLine="0"/>
              <w:rPr>
                <w:sz w:val="24"/>
                <w:szCs w:val="20"/>
              </w:rPr>
            </w:pPr>
            <w:r w:rsidRPr="00030CE8">
              <w:rPr>
                <w:sz w:val="24"/>
                <w:szCs w:val="20"/>
              </w:rPr>
              <w:t>Retained in</w:t>
            </w:r>
          </w:p>
          <w:p w:rsidRPr="00030CE8" w:rsidR="00604CBE" w:rsidP="00586EE9" w:rsidRDefault="00604CBE" w14:paraId="271E523E" w14:textId="41A16B90">
            <w:pPr>
              <w:pStyle w:val="Standard"/>
              <w:spacing w:line="240" w:lineRule="auto"/>
              <w:ind w:firstLine="0"/>
              <w:rPr>
                <w:sz w:val="24"/>
                <w:szCs w:val="20"/>
              </w:rPr>
            </w:pPr>
            <w:r w:rsidRPr="00030CE8">
              <w:rPr>
                <w:sz w:val="24"/>
                <w:szCs w:val="20"/>
              </w:rPr>
              <w:t>rate base</w:t>
            </w:r>
          </w:p>
        </w:tc>
      </w:tr>
      <w:tr w:rsidRPr="00030CE8" w:rsidR="00556940" w:rsidTr="0034117D" w14:paraId="56150BFD" w14:textId="77777777">
        <w:trPr>
          <w:cantSplit/>
          <w:jc w:val="center"/>
        </w:trPr>
        <w:tc>
          <w:tcPr>
            <w:tcW w:w="2335" w:type="dxa"/>
          </w:tcPr>
          <w:p w:rsidRPr="00030CE8" w:rsidR="00604CBE" w:rsidP="00586EE9" w:rsidRDefault="00604CBE" w14:paraId="7F1342C7" w14:textId="77777777">
            <w:pPr>
              <w:pStyle w:val="Standard"/>
              <w:spacing w:line="240" w:lineRule="auto"/>
              <w:ind w:firstLine="0"/>
              <w:rPr>
                <w:b/>
                <w:bCs/>
                <w:sz w:val="24"/>
                <w:szCs w:val="20"/>
              </w:rPr>
            </w:pPr>
          </w:p>
        </w:tc>
        <w:tc>
          <w:tcPr>
            <w:tcW w:w="1440" w:type="dxa"/>
          </w:tcPr>
          <w:p w:rsidRPr="00030CE8" w:rsidR="00604CBE" w:rsidP="00586EE9" w:rsidRDefault="00604CBE" w14:paraId="20F5CB86" w14:textId="77777777">
            <w:pPr>
              <w:pStyle w:val="Standard"/>
              <w:spacing w:line="240" w:lineRule="auto"/>
              <w:ind w:firstLine="0"/>
              <w:rPr>
                <w:sz w:val="24"/>
                <w:szCs w:val="20"/>
              </w:rPr>
            </w:pPr>
            <w:r w:rsidRPr="00030CE8">
              <w:rPr>
                <w:sz w:val="24"/>
                <w:szCs w:val="20"/>
              </w:rPr>
              <w:t>00118107</w:t>
            </w:r>
          </w:p>
        </w:tc>
        <w:tc>
          <w:tcPr>
            <w:tcW w:w="3330" w:type="dxa"/>
          </w:tcPr>
          <w:p w:rsidRPr="00030CE8" w:rsidR="00604CBE" w:rsidP="00586EE9" w:rsidRDefault="008E6E2E" w14:paraId="108D97A5" w14:textId="037BD80A">
            <w:pPr>
              <w:pStyle w:val="Standard"/>
              <w:spacing w:line="240" w:lineRule="auto"/>
              <w:ind w:firstLine="0"/>
              <w:rPr>
                <w:sz w:val="24"/>
                <w:szCs w:val="20"/>
              </w:rPr>
            </w:pPr>
            <w:r>
              <w:rPr>
                <w:sz w:val="24"/>
                <w:szCs w:val="20"/>
              </w:rPr>
              <w:t>Station 274 4-Log Disinfection</w:t>
            </w:r>
          </w:p>
        </w:tc>
        <w:tc>
          <w:tcPr>
            <w:tcW w:w="1620" w:type="dxa"/>
          </w:tcPr>
          <w:p w:rsidRPr="00030CE8" w:rsidR="00604CBE" w:rsidP="00586EE9" w:rsidRDefault="00604CBE" w14:paraId="22FF3EC1" w14:textId="77777777">
            <w:pPr>
              <w:pStyle w:val="Standard"/>
              <w:spacing w:line="240" w:lineRule="auto"/>
              <w:ind w:firstLine="0"/>
              <w:rPr>
                <w:sz w:val="24"/>
                <w:szCs w:val="20"/>
              </w:rPr>
            </w:pPr>
            <w:r w:rsidRPr="00030CE8">
              <w:rPr>
                <w:sz w:val="24"/>
                <w:szCs w:val="20"/>
              </w:rPr>
              <w:t>Adopted</w:t>
            </w:r>
          </w:p>
        </w:tc>
        <w:tc>
          <w:tcPr>
            <w:tcW w:w="1830" w:type="dxa"/>
          </w:tcPr>
          <w:p w:rsidRPr="00030CE8" w:rsidR="000E358E" w:rsidP="00586EE9" w:rsidRDefault="00604CBE" w14:paraId="2FB57633" w14:textId="77777777">
            <w:pPr>
              <w:pStyle w:val="Standard"/>
              <w:spacing w:line="240" w:lineRule="auto"/>
              <w:ind w:firstLine="0"/>
              <w:rPr>
                <w:sz w:val="24"/>
                <w:szCs w:val="20"/>
              </w:rPr>
            </w:pPr>
            <w:r w:rsidRPr="00030CE8">
              <w:rPr>
                <w:sz w:val="24"/>
                <w:szCs w:val="20"/>
              </w:rPr>
              <w:t>$2,531,646</w:t>
            </w:r>
          </w:p>
          <w:p w:rsidRPr="00030CE8" w:rsidR="00604CBE" w:rsidP="00586EE9" w:rsidRDefault="00604CBE" w14:paraId="3517333A" w14:textId="411BB260">
            <w:pPr>
              <w:pStyle w:val="Standard"/>
              <w:spacing w:line="240" w:lineRule="auto"/>
              <w:ind w:firstLine="0"/>
              <w:rPr>
                <w:sz w:val="24"/>
                <w:szCs w:val="20"/>
              </w:rPr>
            </w:pPr>
          </w:p>
        </w:tc>
      </w:tr>
      <w:tr w:rsidRPr="00030CE8" w:rsidR="00556940" w:rsidTr="0034117D" w14:paraId="192A1512" w14:textId="77777777">
        <w:trPr>
          <w:cantSplit/>
          <w:jc w:val="center"/>
        </w:trPr>
        <w:tc>
          <w:tcPr>
            <w:tcW w:w="2335" w:type="dxa"/>
          </w:tcPr>
          <w:p w:rsidRPr="00030CE8" w:rsidR="00604CBE" w:rsidP="00586EE9" w:rsidRDefault="00604CBE" w14:paraId="0079D38A" w14:textId="77777777">
            <w:pPr>
              <w:pStyle w:val="Standard"/>
              <w:spacing w:line="240" w:lineRule="auto"/>
              <w:ind w:firstLine="0"/>
              <w:rPr>
                <w:b/>
                <w:bCs/>
                <w:sz w:val="24"/>
                <w:szCs w:val="20"/>
              </w:rPr>
            </w:pPr>
          </w:p>
        </w:tc>
        <w:tc>
          <w:tcPr>
            <w:tcW w:w="1440" w:type="dxa"/>
          </w:tcPr>
          <w:p w:rsidRPr="00030CE8" w:rsidR="00604CBE" w:rsidP="00586EE9" w:rsidRDefault="00604CBE" w14:paraId="5CB4F474" w14:textId="77777777">
            <w:pPr>
              <w:pStyle w:val="Standard"/>
              <w:spacing w:line="240" w:lineRule="auto"/>
              <w:ind w:firstLine="0"/>
              <w:rPr>
                <w:sz w:val="24"/>
                <w:szCs w:val="20"/>
              </w:rPr>
            </w:pPr>
            <w:r w:rsidRPr="00030CE8">
              <w:rPr>
                <w:sz w:val="24"/>
                <w:szCs w:val="20"/>
              </w:rPr>
              <w:t>00020838</w:t>
            </w:r>
          </w:p>
        </w:tc>
        <w:tc>
          <w:tcPr>
            <w:tcW w:w="3330" w:type="dxa"/>
          </w:tcPr>
          <w:p w:rsidRPr="00030CE8" w:rsidR="00604CBE" w:rsidP="00586EE9" w:rsidRDefault="00604CBE" w14:paraId="2512DD23" w14:textId="431AA47E">
            <w:pPr>
              <w:pStyle w:val="Standard"/>
              <w:spacing w:line="240" w:lineRule="auto"/>
              <w:ind w:firstLine="0"/>
              <w:rPr>
                <w:sz w:val="24"/>
                <w:szCs w:val="20"/>
              </w:rPr>
            </w:pPr>
            <w:r w:rsidRPr="00030CE8">
              <w:rPr>
                <w:sz w:val="24"/>
                <w:szCs w:val="20"/>
              </w:rPr>
              <w:t>Well 216</w:t>
            </w:r>
            <w:r w:rsidR="00270999">
              <w:rPr>
                <w:sz w:val="24"/>
                <w:szCs w:val="20"/>
              </w:rPr>
              <w:noBreakHyphen/>
            </w:r>
            <w:r w:rsidRPr="00030CE8">
              <w:rPr>
                <w:sz w:val="24"/>
                <w:szCs w:val="20"/>
              </w:rPr>
              <w:t>02</w:t>
            </w:r>
          </w:p>
        </w:tc>
        <w:tc>
          <w:tcPr>
            <w:tcW w:w="1620" w:type="dxa"/>
          </w:tcPr>
          <w:p w:rsidRPr="00030CE8" w:rsidR="00604CBE" w:rsidP="00586EE9" w:rsidRDefault="00604CBE" w14:paraId="5FBA423B"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078BCC52" w14:textId="77777777">
            <w:pPr>
              <w:pStyle w:val="Standard"/>
              <w:spacing w:line="240" w:lineRule="auto"/>
              <w:ind w:firstLine="0"/>
              <w:rPr>
                <w:sz w:val="24"/>
                <w:szCs w:val="20"/>
              </w:rPr>
            </w:pPr>
            <w:r w:rsidRPr="00030CE8">
              <w:rPr>
                <w:sz w:val="24"/>
                <w:szCs w:val="20"/>
              </w:rPr>
              <w:t>$5,583,966</w:t>
            </w:r>
          </w:p>
        </w:tc>
      </w:tr>
      <w:tr w:rsidRPr="00030CE8" w:rsidR="00556940" w:rsidTr="0034117D" w14:paraId="3C8D1E71" w14:textId="77777777">
        <w:trPr>
          <w:cantSplit/>
          <w:jc w:val="center"/>
        </w:trPr>
        <w:tc>
          <w:tcPr>
            <w:tcW w:w="2335" w:type="dxa"/>
          </w:tcPr>
          <w:p w:rsidRPr="00030CE8" w:rsidR="00604CBE" w:rsidP="00586EE9" w:rsidRDefault="00604CBE" w14:paraId="7E771E9D" w14:textId="77777777">
            <w:pPr>
              <w:pStyle w:val="Standard"/>
              <w:spacing w:line="240" w:lineRule="auto"/>
              <w:ind w:firstLine="0"/>
              <w:rPr>
                <w:b/>
                <w:bCs/>
                <w:sz w:val="24"/>
                <w:szCs w:val="20"/>
              </w:rPr>
            </w:pPr>
          </w:p>
        </w:tc>
        <w:tc>
          <w:tcPr>
            <w:tcW w:w="1440" w:type="dxa"/>
          </w:tcPr>
          <w:p w:rsidRPr="00030CE8" w:rsidR="00604CBE" w:rsidP="00586EE9" w:rsidRDefault="00604CBE" w14:paraId="3ADE6D63" w14:textId="77777777">
            <w:pPr>
              <w:pStyle w:val="Standard"/>
              <w:spacing w:line="240" w:lineRule="auto"/>
              <w:ind w:firstLine="0"/>
              <w:rPr>
                <w:sz w:val="24"/>
                <w:szCs w:val="20"/>
              </w:rPr>
            </w:pPr>
            <w:r w:rsidRPr="00030CE8">
              <w:rPr>
                <w:sz w:val="24"/>
                <w:szCs w:val="20"/>
              </w:rPr>
              <w:t>00114503</w:t>
            </w:r>
          </w:p>
        </w:tc>
        <w:tc>
          <w:tcPr>
            <w:tcW w:w="3330" w:type="dxa"/>
          </w:tcPr>
          <w:p w:rsidRPr="00030CE8" w:rsidR="00604CBE" w:rsidP="00586EE9" w:rsidRDefault="00604CBE" w14:paraId="02174EA7" w14:textId="77777777">
            <w:pPr>
              <w:pStyle w:val="Standard"/>
              <w:spacing w:line="240" w:lineRule="auto"/>
              <w:ind w:firstLine="0"/>
              <w:rPr>
                <w:sz w:val="24"/>
                <w:szCs w:val="20"/>
              </w:rPr>
            </w:pPr>
            <w:r w:rsidRPr="00030CE8">
              <w:rPr>
                <w:sz w:val="24"/>
                <w:szCs w:val="20"/>
              </w:rPr>
              <w:t>Station 215 Design</w:t>
            </w:r>
          </w:p>
        </w:tc>
        <w:tc>
          <w:tcPr>
            <w:tcW w:w="1620" w:type="dxa"/>
          </w:tcPr>
          <w:p w:rsidRPr="00030CE8" w:rsidR="00604CBE" w:rsidP="00586EE9" w:rsidRDefault="00604CBE" w14:paraId="53310E6B"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1C031018" w14:textId="77777777">
            <w:pPr>
              <w:pStyle w:val="Standard"/>
              <w:spacing w:line="240" w:lineRule="auto"/>
              <w:ind w:firstLine="0"/>
              <w:rPr>
                <w:sz w:val="24"/>
                <w:szCs w:val="20"/>
              </w:rPr>
            </w:pPr>
            <w:r w:rsidRPr="00030CE8">
              <w:rPr>
                <w:sz w:val="24"/>
                <w:szCs w:val="20"/>
              </w:rPr>
              <w:t>$632,911</w:t>
            </w:r>
          </w:p>
        </w:tc>
      </w:tr>
      <w:tr w:rsidRPr="00030CE8" w:rsidR="00556940" w:rsidTr="0034117D" w14:paraId="0378C1B3" w14:textId="77777777">
        <w:trPr>
          <w:cantSplit/>
          <w:jc w:val="center"/>
        </w:trPr>
        <w:tc>
          <w:tcPr>
            <w:tcW w:w="2335" w:type="dxa"/>
          </w:tcPr>
          <w:p w:rsidRPr="00030CE8" w:rsidR="00604CBE" w:rsidP="00586EE9" w:rsidRDefault="00604CBE" w14:paraId="0CD5B7F6" w14:textId="77777777">
            <w:pPr>
              <w:pStyle w:val="Standard"/>
              <w:spacing w:line="240" w:lineRule="auto"/>
              <w:ind w:firstLine="0"/>
              <w:rPr>
                <w:b/>
                <w:bCs/>
                <w:sz w:val="24"/>
                <w:szCs w:val="20"/>
              </w:rPr>
            </w:pPr>
          </w:p>
        </w:tc>
        <w:tc>
          <w:tcPr>
            <w:tcW w:w="1440" w:type="dxa"/>
          </w:tcPr>
          <w:p w:rsidRPr="00030CE8" w:rsidR="00604CBE" w:rsidP="00586EE9" w:rsidRDefault="00604CBE" w14:paraId="7DFF02D9" w14:textId="77777777">
            <w:pPr>
              <w:pStyle w:val="Standard"/>
              <w:spacing w:line="240" w:lineRule="auto"/>
              <w:ind w:firstLine="0"/>
              <w:rPr>
                <w:sz w:val="24"/>
                <w:szCs w:val="20"/>
              </w:rPr>
            </w:pPr>
            <w:r w:rsidRPr="00030CE8">
              <w:rPr>
                <w:sz w:val="24"/>
                <w:szCs w:val="20"/>
              </w:rPr>
              <w:t>00114507</w:t>
            </w:r>
          </w:p>
        </w:tc>
        <w:tc>
          <w:tcPr>
            <w:tcW w:w="3330" w:type="dxa"/>
          </w:tcPr>
          <w:p w:rsidRPr="00030CE8" w:rsidR="00604CBE" w:rsidP="00586EE9" w:rsidRDefault="00604CBE" w14:paraId="3B1D3EA9" w14:textId="77777777">
            <w:pPr>
              <w:pStyle w:val="Standard"/>
              <w:spacing w:line="240" w:lineRule="auto"/>
              <w:ind w:firstLine="0"/>
              <w:rPr>
                <w:sz w:val="24"/>
                <w:szCs w:val="20"/>
              </w:rPr>
            </w:pPr>
            <w:r w:rsidRPr="00030CE8">
              <w:rPr>
                <w:sz w:val="24"/>
                <w:szCs w:val="20"/>
              </w:rPr>
              <w:t>Station 215 Construction</w:t>
            </w:r>
          </w:p>
        </w:tc>
        <w:tc>
          <w:tcPr>
            <w:tcW w:w="1620" w:type="dxa"/>
          </w:tcPr>
          <w:p w:rsidRPr="00030CE8" w:rsidR="00604CBE" w:rsidP="00586EE9" w:rsidRDefault="00604CBE" w14:paraId="6BF9AEBC"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64B15E3A" w14:textId="77777777">
            <w:pPr>
              <w:pStyle w:val="Standard"/>
              <w:spacing w:line="240" w:lineRule="auto"/>
              <w:ind w:firstLine="0"/>
              <w:rPr>
                <w:sz w:val="24"/>
                <w:szCs w:val="20"/>
              </w:rPr>
            </w:pPr>
            <w:r w:rsidRPr="00030CE8">
              <w:rPr>
                <w:sz w:val="24"/>
                <w:szCs w:val="20"/>
              </w:rPr>
              <w:t>$4,430,380</w:t>
            </w:r>
          </w:p>
        </w:tc>
      </w:tr>
      <w:tr w:rsidRPr="00030CE8" w:rsidR="00556940" w:rsidTr="0034117D" w14:paraId="598EC199" w14:textId="77777777">
        <w:trPr>
          <w:cantSplit/>
          <w:jc w:val="center"/>
        </w:trPr>
        <w:tc>
          <w:tcPr>
            <w:tcW w:w="2335" w:type="dxa"/>
          </w:tcPr>
          <w:p w:rsidRPr="00030CE8" w:rsidR="00604CBE" w:rsidP="00586EE9" w:rsidRDefault="00604CBE" w14:paraId="4AAB8F59" w14:textId="77777777">
            <w:pPr>
              <w:pStyle w:val="Standard"/>
              <w:spacing w:line="240" w:lineRule="auto"/>
              <w:ind w:firstLine="0"/>
              <w:rPr>
                <w:b/>
                <w:bCs/>
                <w:sz w:val="24"/>
                <w:szCs w:val="20"/>
              </w:rPr>
            </w:pPr>
          </w:p>
        </w:tc>
        <w:tc>
          <w:tcPr>
            <w:tcW w:w="1440" w:type="dxa"/>
          </w:tcPr>
          <w:p w:rsidRPr="00030CE8" w:rsidR="00604CBE" w:rsidP="00586EE9" w:rsidRDefault="00604CBE" w14:paraId="32A72053" w14:textId="77777777">
            <w:pPr>
              <w:pStyle w:val="Standard"/>
              <w:spacing w:line="240" w:lineRule="auto"/>
              <w:ind w:firstLine="0"/>
              <w:rPr>
                <w:sz w:val="24"/>
                <w:szCs w:val="20"/>
              </w:rPr>
            </w:pPr>
            <w:r w:rsidRPr="00030CE8">
              <w:rPr>
                <w:sz w:val="24"/>
                <w:szCs w:val="20"/>
              </w:rPr>
              <w:t>00133053</w:t>
            </w:r>
          </w:p>
        </w:tc>
        <w:tc>
          <w:tcPr>
            <w:tcW w:w="3330" w:type="dxa"/>
          </w:tcPr>
          <w:p w:rsidRPr="00030CE8" w:rsidR="00604CBE" w:rsidP="00586EE9" w:rsidRDefault="00604CBE" w14:paraId="508FE592" w14:textId="77777777">
            <w:pPr>
              <w:pStyle w:val="Standard"/>
              <w:spacing w:line="240" w:lineRule="auto"/>
              <w:ind w:firstLine="0"/>
              <w:rPr>
                <w:sz w:val="24"/>
                <w:szCs w:val="20"/>
              </w:rPr>
            </w:pPr>
            <w:r w:rsidRPr="00030CE8">
              <w:rPr>
                <w:sz w:val="24"/>
                <w:szCs w:val="20"/>
              </w:rPr>
              <w:t>Station 203 Rebuild</w:t>
            </w:r>
          </w:p>
        </w:tc>
        <w:tc>
          <w:tcPr>
            <w:tcW w:w="1620" w:type="dxa"/>
          </w:tcPr>
          <w:p w:rsidRPr="00030CE8" w:rsidR="00C81098" w:rsidP="00586EE9" w:rsidRDefault="00604CBE" w14:paraId="464EF23D" w14:textId="77777777">
            <w:pPr>
              <w:pStyle w:val="Standard"/>
              <w:spacing w:line="240" w:lineRule="auto"/>
              <w:ind w:firstLine="0"/>
              <w:rPr>
                <w:sz w:val="24"/>
                <w:szCs w:val="20"/>
              </w:rPr>
            </w:pPr>
            <w:r w:rsidRPr="00030CE8">
              <w:rPr>
                <w:sz w:val="24"/>
                <w:szCs w:val="20"/>
              </w:rPr>
              <w:t>Adopted</w:t>
            </w:r>
          </w:p>
          <w:p w:rsidRPr="00030CE8" w:rsidR="00604CBE" w:rsidP="00586EE9" w:rsidRDefault="00604CBE" w14:paraId="3B66EE93" w14:textId="6DC1FE8A">
            <w:pPr>
              <w:pStyle w:val="Standard"/>
              <w:spacing w:line="240" w:lineRule="auto"/>
              <w:ind w:firstLine="0"/>
              <w:rPr>
                <w:sz w:val="24"/>
                <w:szCs w:val="20"/>
              </w:rPr>
            </w:pPr>
            <w:r w:rsidRPr="00030CE8">
              <w:rPr>
                <w:sz w:val="24"/>
                <w:szCs w:val="20"/>
              </w:rPr>
              <w:t>(Modified)</w:t>
            </w:r>
          </w:p>
        </w:tc>
        <w:tc>
          <w:tcPr>
            <w:tcW w:w="1830" w:type="dxa"/>
          </w:tcPr>
          <w:p w:rsidRPr="00030CE8" w:rsidR="000E358E" w:rsidP="00586EE9" w:rsidRDefault="00604CBE" w14:paraId="57519BA3" w14:textId="77777777">
            <w:pPr>
              <w:pStyle w:val="Standard"/>
              <w:spacing w:line="240" w:lineRule="auto"/>
              <w:ind w:firstLine="0"/>
              <w:rPr>
                <w:sz w:val="24"/>
                <w:szCs w:val="20"/>
              </w:rPr>
            </w:pPr>
            <w:r w:rsidRPr="00030CE8">
              <w:rPr>
                <w:sz w:val="24"/>
                <w:szCs w:val="20"/>
              </w:rPr>
              <w:t>$2,479,146</w:t>
            </w:r>
          </w:p>
          <w:p w:rsidRPr="00030CE8" w:rsidR="00604CBE" w:rsidP="00586EE9" w:rsidRDefault="00604CBE" w14:paraId="76DB63C0" w14:textId="5E96F64C">
            <w:pPr>
              <w:pStyle w:val="Standard"/>
              <w:spacing w:line="240" w:lineRule="auto"/>
              <w:ind w:firstLine="0"/>
              <w:rPr>
                <w:sz w:val="24"/>
                <w:szCs w:val="20"/>
              </w:rPr>
            </w:pPr>
          </w:p>
        </w:tc>
      </w:tr>
      <w:tr w:rsidRPr="00030CE8" w:rsidR="00556940" w:rsidTr="0034117D" w14:paraId="04C0FDEA" w14:textId="77777777">
        <w:trPr>
          <w:cantSplit/>
          <w:jc w:val="center"/>
        </w:trPr>
        <w:tc>
          <w:tcPr>
            <w:tcW w:w="2335" w:type="dxa"/>
          </w:tcPr>
          <w:p w:rsidRPr="00030CE8" w:rsidR="00604CBE" w:rsidP="00586EE9" w:rsidRDefault="00604CBE" w14:paraId="54A5E65E" w14:textId="77777777">
            <w:pPr>
              <w:pStyle w:val="Standard"/>
              <w:spacing w:line="240" w:lineRule="auto"/>
              <w:ind w:firstLine="0"/>
              <w:rPr>
                <w:b/>
                <w:bCs/>
                <w:sz w:val="24"/>
                <w:szCs w:val="20"/>
              </w:rPr>
            </w:pPr>
          </w:p>
        </w:tc>
        <w:tc>
          <w:tcPr>
            <w:tcW w:w="1440" w:type="dxa"/>
          </w:tcPr>
          <w:p w:rsidRPr="00030CE8" w:rsidR="00604CBE" w:rsidP="00586EE9" w:rsidRDefault="00604CBE" w14:paraId="7B83918A" w14:textId="77777777">
            <w:pPr>
              <w:pStyle w:val="Standard"/>
              <w:spacing w:line="240" w:lineRule="auto"/>
              <w:ind w:firstLine="0"/>
              <w:rPr>
                <w:sz w:val="24"/>
                <w:szCs w:val="20"/>
              </w:rPr>
            </w:pPr>
            <w:r w:rsidRPr="00030CE8">
              <w:rPr>
                <w:sz w:val="24"/>
                <w:szCs w:val="20"/>
              </w:rPr>
              <w:t>00133051</w:t>
            </w:r>
          </w:p>
        </w:tc>
        <w:tc>
          <w:tcPr>
            <w:tcW w:w="3330" w:type="dxa"/>
          </w:tcPr>
          <w:p w:rsidRPr="00030CE8" w:rsidR="00604CBE" w:rsidP="00586EE9" w:rsidRDefault="00604CBE" w14:paraId="017362D5" w14:textId="77777777">
            <w:pPr>
              <w:pStyle w:val="Standard"/>
              <w:spacing w:line="240" w:lineRule="auto"/>
              <w:ind w:firstLine="0"/>
              <w:rPr>
                <w:sz w:val="24"/>
                <w:szCs w:val="20"/>
              </w:rPr>
            </w:pPr>
            <w:r w:rsidRPr="00030CE8">
              <w:rPr>
                <w:sz w:val="24"/>
                <w:szCs w:val="20"/>
              </w:rPr>
              <w:t>Hydrant Iso Valve Installs</w:t>
            </w:r>
          </w:p>
        </w:tc>
        <w:tc>
          <w:tcPr>
            <w:tcW w:w="1620" w:type="dxa"/>
          </w:tcPr>
          <w:p w:rsidRPr="00030CE8" w:rsidR="00604CBE" w:rsidP="00586EE9" w:rsidRDefault="00604CBE" w14:paraId="42A3370E"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0A83FE57" w14:textId="77777777">
            <w:pPr>
              <w:pStyle w:val="Standard"/>
              <w:spacing w:line="240" w:lineRule="auto"/>
              <w:ind w:firstLine="0"/>
              <w:rPr>
                <w:sz w:val="24"/>
                <w:szCs w:val="20"/>
              </w:rPr>
            </w:pPr>
            <w:r w:rsidRPr="00030CE8">
              <w:rPr>
                <w:sz w:val="24"/>
                <w:szCs w:val="20"/>
              </w:rPr>
              <w:t>$1,034,714</w:t>
            </w:r>
          </w:p>
        </w:tc>
      </w:tr>
      <w:tr w:rsidRPr="00030CE8" w:rsidR="00556940" w:rsidTr="0034117D" w14:paraId="1E7E9AA4" w14:textId="77777777">
        <w:trPr>
          <w:cantSplit/>
          <w:jc w:val="center"/>
        </w:trPr>
        <w:tc>
          <w:tcPr>
            <w:tcW w:w="2335" w:type="dxa"/>
          </w:tcPr>
          <w:p w:rsidRPr="00030CE8" w:rsidR="00604CBE" w:rsidP="00586EE9" w:rsidRDefault="00604CBE" w14:paraId="7AD9B739" w14:textId="77777777">
            <w:pPr>
              <w:pStyle w:val="Standard"/>
              <w:spacing w:line="240" w:lineRule="auto"/>
              <w:ind w:firstLine="0"/>
              <w:rPr>
                <w:b/>
                <w:bCs/>
                <w:sz w:val="24"/>
                <w:szCs w:val="20"/>
              </w:rPr>
            </w:pPr>
          </w:p>
        </w:tc>
        <w:tc>
          <w:tcPr>
            <w:tcW w:w="1440" w:type="dxa"/>
          </w:tcPr>
          <w:p w:rsidRPr="00030CE8" w:rsidR="00604CBE" w:rsidP="00586EE9" w:rsidRDefault="00604CBE" w14:paraId="0D56EEE9" w14:textId="77777777">
            <w:pPr>
              <w:pStyle w:val="Standard"/>
              <w:spacing w:line="240" w:lineRule="auto"/>
              <w:ind w:firstLine="0"/>
              <w:rPr>
                <w:sz w:val="24"/>
                <w:szCs w:val="20"/>
              </w:rPr>
            </w:pPr>
            <w:r w:rsidRPr="00030CE8">
              <w:rPr>
                <w:sz w:val="24"/>
                <w:szCs w:val="20"/>
              </w:rPr>
              <w:t>00133047</w:t>
            </w:r>
          </w:p>
        </w:tc>
        <w:tc>
          <w:tcPr>
            <w:tcW w:w="3330" w:type="dxa"/>
          </w:tcPr>
          <w:p w:rsidRPr="00030CE8" w:rsidR="00604CBE" w:rsidP="00586EE9" w:rsidRDefault="00604CBE" w14:paraId="5B181505" w14:textId="77777777">
            <w:pPr>
              <w:pStyle w:val="Standard"/>
              <w:spacing w:line="240" w:lineRule="auto"/>
              <w:ind w:firstLine="0"/>
              <w:rPr>
                <w:sz w:val="24"/>
                <w:szCs w:val="20"/>
              </w:rPr>
            </w:pPr>
            <w:r w:rsidRPr="00030CE8">
              <w:rPr>
                <w:sz w:val="24"/>
                <w:szCs w:val="20"/>
              </w:rPr>
              <w:t>Station 232 Tank Nitrification</w:t>
            </w:r>
          </w:p>
        </w:tc>
        <w:tc>
          <w:tcPr>
            <w:tcW w:w="1620" w:type="dxa"/>
          </w:tcPr>
          <w:p w:rsidRPr="00030CE8" w:rsidR="00604CBE" w:rsidP="00586EE9" w:rsidRDefault="00604CBE" w14:paraId="45EB3962"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6C0532E6" w14:textId="77777777">
            <w:pPr>
              <w:pStyle w:val="Standard"/>
              <w:spacing w:line="240" w:lineRule="auto"/>
              <w:ind w:firstLine="0"/>
              <w:rPr>
                <w:sz w:val="24"/>
                <w:szCs w:val="20"/>
              </w:rPr>
            </w:pPr>
            <w:r w:rsidRPr="00030CE8">
              <w:rPr>
                <w:sz w:val="24"/>
                <w:szCs w:val="20"/>
              </w:rPr>
              <w:t>$0</w:t>
            </w:r>
          </w:p>
        </w:tc>
      </w:tr>
      <w:tr w:rsidRPr="00030CE8" w:rsidR="00556940" w:rsidTr="0034117D" w14:paraId="054DC5ED" w14:textId="77777777">
        <w:trPr>
          <w:cantSplit/>
          <w:jc w:val="center"/>
        </w:trPr>
        <w:tc>
          <w:tcPr>
            <w:tcW w:w="2335" w:type="dxa"/>
          </w:tcPr>
          <w:p w:rsidRPr="00030CE8" w:rsidR="00604CBE" w:rsidP="00586EE9" w:rsidRDefault="00604CBE" w14:paraId="79FF4D6E" w14:textId="1B9FE370">
            <w:pPr>
              <w:pStyle w:val="Standard"/>
              <w:spacing w:line="240" w:lineRule="auto"/>
              <w:ind w:firstLine="0"/>
              <w:rPr>
                <w:b/>
                <w:bCs/>
                <w:sz w:val="24"/>
                <w:szCs w:val="20"/>
              </w:rPr>
            </w:pPr>
            <w:r w:rsidRPr="00030CE8">
              <w:rPr>
                <w:b/>
                <w:bCs/>
                <w:sz w:val="24"/>
                <w:szCs w:val="20"/>
              </w:rPr>
              <w:t xml:space="preserve">East </w:t>
            </w:r>
            <w:r w:rsidR="004941FE">
              <w:rPr>
                <w:b/>
                <w:bCs/>
                <w:sz w:val="24"/>
                <w:szCs w:val="20"/>
              </w:rPr>
              <w:t>Los </w:t>
            </w:r>
            <w:r w:rsidRPr="00030CE8">
              <w:rPr>
                <w:b/>
                <w:bCs/>
                <w:sz w:val="24"/>
                <w:szCs w:val="20"/>
              </w:rPr>
              <w:t>Angeles</w:t>
            </w:r>
          </w:p>
        </w:tc>
        <w:tc>
          <w:tcPr>
            <w:tcW w:w="1440" w:type="dxa"/>
          </w:tcPr>
          <w:p w:rsidRPr="00030CE8" w:rsidR="00604CBE" w:rsidP="00586EE9" w:rsidRDefault="00604CBE" w14:paraId="524A7C95" w14:textId="77777777">
            <w:pPr>
              <w:pStyle w:val="Standard"/>
              <w:spacing w:line="240" w:lineRule="auto"/>
              <w:ind w:firstLine="0"/>
              <w:rPr>
                <w:sz w:val="24"/>
                <w:szCs w:val="20"/>
              </w:rPr>
            </w:pPr>
            <w:r w:rsidRPr="00030CE8">
              <w:rPr>
                <w:sz w:val="24"/>
                <w:szCs w:val="20"/>
              </w:rPr>
              <w:t>00124112</w:t>
            </w:r>
          </w:p>
        </w:tc>
        <w:tc>
          <w:tcPr>
            <w:tcW w:w="3330" w:type="dxa"/>
          </w:tcPr>
          <w:p w:rsidRPr="00030CE8" w:rsidR="00604CBE" w:rsidP="00586EE9" w:rsidRDefault="00604CBE" w14:paraId="0E9A3148" w14:textId="77777777">
            <w:pPr>
              <w:pStyle w:val="Standard"/>
              <w:spacing w:line="240" w:lineRule="auto"/>
              <w:ind w:firstLine="0"/>
              <w:rPr>
                <w:sz w:val="24"/>
                <w:szCs w:val="20"/>
              </w:rPr>
            </w:pPr>
            <w:r w:rsidRPr="00030CE8">
              <w:rPr>
                <w:sz w:val="24"/>
                <w:szCs w:val="20"/>
              </w:rPr>
              <w:t>Land Purchase (Future Well)</w:t>
            </w:r>
          </w:p>
        </w:tc>
        <w:tc>
          <w:tcPr>
            <w:tcW w:w="1620" w:type="dxa"/>
          </w:tcPr>
          <w:p w:rsidRPr="00030CE8" w:rsidR="00604CBE" w:rsidP="00586EE9" w:rsidRDefault="00604CBE" w14:paraId="4C613FC4"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49D82D46" w14:textId="77777777">
            <w:pPr>
              <w:pStyle w:val="Standard"/>
              <w:spacing w:line="240" w:lineRule="auto"/>
              <w:ind w:firstLine="0"/>
              <w:rPr>
                <w:sz w:val="24"/>
                <w:szCs w:val="20"/>
              </w:rPr>
            </w:pPr>
            <w:r w:rsidRPr="00030CE8">
              <w:rPr>
                <w:sz w:val="24"/>
                <w:szCs w:val="20"/>
              </w:rPr>
              <w:t>$526,508</w:t>
            </w:r>
          </w:p>
        </w:tc>
      </w:tr>
      <w:tr w:rsidRPr="00030CE8" w:rsidR="00556940" w:rsidTr="0034117D" w14:paraId="51E73B9F" w14:textId="77777777">
        <w:trPr>
          <w:cantSplit/>
          <w:jc w:val="center"/>
        </w:trPr>
        <w:tc>
          <w:tcPr>
            <w:tcW w:w="2335" w:type="dxa"/>
          </w:tcPr>
          <w:p w:rsidRPr="00030CE8" w:rsidR="00604CBE" w:rsidP="00586EE9" w:rsidRDefault="00604CBE" w14:paraId="13AED35E" w14:textId="77777777">
            <w:pPr>
              <w:pStyle w:val="Standard"/>
              <w:spacing w:line="240" w:lineRule="auto"/>
              <w:ind w:firstLine="0"/>
              <w:rPr>
                <w:b/>
                <w:bCs/>
                <w:sz w:val="24"/>
                <w:szCs w:val="20"/>
              </w:rPr>
            </w:pPr>
          </w:p>
        </w:tc>
        <w:tc>
          <w:tcPr>
            <w:tcW w:w="1440" w:type="dxa"/>
          </w:tcPr>
          <w:p w:rsidRPr="00030CE8" w:rsidR="00604CBE" w:rsidP="00586EE9" w:rsidRDefault="00604CBE" w14:paraId="34EF6E74" w14:textId="77777777">
            <w:pPr>
              <w:pStyle w:val="Standard"/>
              <w:spacing w:line="240" w:lineRule="auto"/>
              <w:ind w:firstLine="0"/>
              <w:rPr>
                <w:sz w:val="24"/>
                <w:szCs w:val="20"/>
              </w:rPr>
            </w:pPr>
            <w:r w:rsidRPr="00030CE8">
              <w:rPr>
                <w:sz w:val="24"/>
                <w:szCs w:val="20"/>
              </w:rPr>
              <w:t>00125358</w:t>
            </w:r>
          </w:p>
        </w:tc>
        <w:tc>
          <w:tcPr>
            <w:tcW w:w="3330" w:type="dxa"/>
          </w:tcPr>
          <w:p w:rsidRPr="00030CE8" w:rsidR="00604CBE" w:rsidP="00586EE9" w:rsidRDefault="00604CBE" w14:paraId="606D1F8C" w14:textId="77777777">
            <w:pPr>
              <w:pStyle w:val="Standard"/>
              <w:spacing w:line="240" w:lineRule="auto"/>
              <w:ind w:firstLine="0"/>
              <w:rPr>
                <w:sz w:val="24"/>
                <w:szCs w:val="20"/>
              </w:rPr>
            </w:pPr>
            <w:r w:rsidRPr="00030CE8">
              <w:rPr>
                <w:sz w:val="24"/>
                <w:szCs w:val="20"/>
              </w:rPr>
              <w:t>Main Office Improvements</w:t>
            </w:r>
          </w:p>
        </w:tc>
        <w:tc>
          <w:tcPr>
            <w:tcW w:w="1620" w:type="dxa"/>
          </w:tcPr>
          <w:p w:rsidRPr="00030CE8" w:rsidR="00604CBE" w:rsidP="00586EE9" w:rsidRDefault="00604CBE" w14:paraId="55601BAB"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631258D8" w14:textId="77777777">
            <w:pPr>
              <w:pStyle w:val="Standard"/>
              <w:spacing w:line="240" w:lineRule="auto"/>
              <w:ind w:firstLine="0"/>
              <w:rPr>
                <w:sz w:val="24"/>
                <w:szCs w:val="20"/>
              </w:rPr>
            </w:pPr>
            <w:r w:rsidRPr="00030CE8">
              <w:rPr>
                <w:sz w:val="24"/>
                <w:szCs w:val="20"/>
              </w:rPr>
              <w:t>$1,023,376</w:t>
            </w:r>
          </w:p>
        </w:tc>
      </w:tr>
      <w:tr w:rsidRPr="00030CE8" w:rsidR="00556940" w:rsidTr="0034117D" w14:paraId="1735B12D" w14:textId="77777777">
        <w:trPr>
          <w:cantSplit/>
          <w:jc w:val="center"/>
        </w:trPr>
        <w:tc>
          <w:tcPr>
            <w:tcW w:w="2335" w:type="dxa"/>
          </w:tcPr>
          <w:p w:rsidRPr="00030CE8" w:rsidR="00604CBE" w:rsidP="00586EE9" w:rsidRDefault="00604CBE" w14:paraId="2EE724D8" w14:textId="77777777">
            <w:pPr>
              <w:pStyle w:val="Standard"/>
              <w:spacing w:line="240" w:lineRule="auto"/>
              <w:ind w:firstLine="0"/>
              <w:rPr>
                <w:b/>
                <w:bCs/>
                <w:sz w:val="24"/>
                <w:szCs w:val="20"/>
              </w:rPr>
            </w:pPr>
          </w:p>
        </w:tc>
        <w:tc>
          <w:tcPr>
            <w:tcW w:w="1440" w:type="dxa"/>
          </w:tcPr>
          <w:p w:rsidR="00CE0158" w:rsidP="00586EE9" w:rsidRDefault="00604CBE" w14:paraId="76AC14C4" w14:textId="77777777">
            <w:pPr>
              <w:pStyle w:val="Standard"/>
              <w:spacing w:line="240" w:lineRule="auto"/>
              <w:ind w:firstLine="0"/>
              <w:rPr>
                <w:sz w:val="24"/>
                <w:szCs w:val="20"/>
              </w:rPr>
            </w:pPr>
            <w:r w:rsidRPr="00030CE8">
              <w:rPr>
                <w:sz w:val="24"/>
                <w:szCs w:val="20"/>
              </w:rPr>
              <w:t>00126483;</w:t>
            </w:r>
          </w:p>
          <w:p w:rsidRPr="00030CE8" w:rsidR="00604CBE" w:rsidP="00586EE9" w:rsidRDefault="00604CBE" w14:paraId="747D4363" w14:textId="1C11EC89">
            <w:pPr>
              <w:pStyle w:val="Standard"/>
              <w:spacing w:line="240" w:lineRule="auto"/>
              <w:ind w:firstLine="0"/>
              <w:rPr>
                <w:sz w:val="24"/>
                <w:szCs w:val="20"/>
              </w:rPr>
            </w:pPr>
            <w:r w:rsidRPr="00030CE8">
              <w:rPr>
                <w:sz w:val="24"/>
                <w:szCs w:val="20"/>
              </w:rPr>
              <w:t>00126484</w:t>
            </w:r>
          </w:p>
        </w:tc>
        <w:tc>
          <w:tcPr>
            <w:tcW w:w="3330" w:type="dxa"/>
          </w:tcPr>
          <w:p w:rsidRPr="00030CE8" w:rsidR="00604CBE" w:rsidP="00586EE9" w:rsidRDefault="00604CBE" w14:paraId="048F33C4" w14:textId="77777777">
            <w:pPr>
              <w:pStyle w:val="Standard"/>
              <w:spacing w:line="240" w:lineRule="auto"/>
              <w:ind w:firstLine="0"/>
              <w:rPr>
                <w:sz w:val="24"/>
                <w:szCs w:val="20"/>
              </w:rPr>
            </w:pPr>
            <w:r w:rsidRPr="00030CE8">
              <w:rPr>
                <w:sz w:val="24"/>
                <w:szCs w:val="20"/>
              </w:rPr>
              <w:t>Station 63 GAC Changeouts</w:t>
            </w:r>
          </w:p>
        </w:tc>
        <w:tc>
          <w:tcPr>
            <w:tcW w:w="1620" w:type="dxa"/>
          </w:tcPr>
          <w:p w:rsidRPr="00030CE8" w:rsidR="00604CBE" w:rsidP="00586EE9" w:rsidRDefault="00604CBE" w14:paraId="04C190FE" w14:textId="77777777">
            <w:pPr>
              <w:pStyle w:val="Standard"/>
              <w:spacing w:line="240" w:lineRule="auto"/>
              <w:ind w:firstLine="0"/>
              <w:rPr>
                <w:sz w:val="24"/>
                <w:szCs w:val="20"/>
              </w:rPr>
            </w:pPr>
            <w:r w:rsidRPr="00030CE8">
              <w:rPr>
                <w:sz w:val="24"/>
                <w:szCs w:val="20"/>
              </w:rPr>
              <w:t>Deferred</w:t>
            </w:r>
          </w:p>
        </w:tc>
        <w:tc>
          <w:tcPr>
            <w:tcW w:w="1830" w:type="dxa"/>
          </w:tcPr>
          <w:p w:rsidRPr="00030CE8" w:rsidR="0028550B" w:rsidP="00586EE9" w:rsidRDefault="00604CBE" w14:paraId="548E8A23"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10E408E3" w14:textId="7A136174">
            <w:pPr>
              <w:pStyle w:val="Standard"/>
              <w:spacing w:line="240" w:lineRule="auto"/>
              <w:ind w:firstLine="0"/>
              <w:rPr>
                <w:sz w:val="24"/>
                <w:szCs w:val="20"/>
              </w:rPr>
            </w:pPr>
            <w:r w:rsidRPr="00030CE8">
              <w:rPr>
                <w:sz w:val="24"/>
                <w:szCs w:val="20"/>
              </w:rPr>
              <w:t>from this GRC</w:t>
            </w:r>
          </w:p>
        </w:tc>
      </w:tr>
      <w:tr w:rsidRPr="00030CE8" w:rsidR="00556940" w:rsidTr="0034117D" w14:paraId="794E16BC" w14:textId="77777777">
        <w:trPr>
          <w:cantSplit/>
          <w:jc w:val="center"/>
        </w:trPr>
        <w:tc>
          <w:tcPr>
            <w:tcW w:w="2335" w:type="dxa"/>
          </w:tcPr>
          <w:p w:rsidRPr="00030CE8" w:rsidR="00604CBE" w:rsidP="00586EE9" w:rsidRDefault="00604CBE" w14:paraId="01DAD47B" w14:textId="77777777">
            <w:pPr>
              <w:pStyle w:val="Standard"/>
              <w:spacing w:line="240" w:lineRule="auto"/>
              <w:ind w:firstLine="0"/>
              <w:rPr>
                <w:b/>
                <w:bCs/>
                <w:sz w:val="24"/>
                <w:szCs w:val="20"/>
              </w:rPr>
            </w:pPr>
          </w:p>
        </w:tc>
        <w:tc>
          <w:tcPr>
            <w:tcW w:w="1440" w:type="dxa"/>
          </w:tcPr>
          <w:p w:rsidR="00CE0158" w:rsidP="00586EE9" w:rsidRDefault="00604CBE" w14:paraId="63C32942" w14:textId="77777777">
            <w:pPr>
              <w:pStyle w:val="Standard"/>
              <w:spacing w:line="240" w:lineRule="auto"/>
              <w:ind w:firstLine="0"/>
              <w:rPr>
                <w:sz w:val="24"/>
                <w:szCs w:val="20"/>
              </w:rPr>
            </w:pPr>
            <w:r w:rsidRPr="00030CE8">
              <w:rPr>
                <w:sz w:val="24"/>
                <w:szCs w:val="20"/>
              </w:rPr>
              <w:t>00133068;</w:t>
            </w:r>
          </w:p>
          <w:p w:rsidRPr="00030CE8" w:rsidR="00604CBE" w:rsidP="00586EE9" w:rsidRDefault="00604CBE" w14:paraId="431630F3" w14:textId="42A58A9B">
            <w:pPr>
              <w:pStyle w:val="Standard"/>
              <w:spacing w:line="240" w:lineRule="auto"/>
              <w:ind w:firstLine="0"/>
              <w:rPr>
                <w:sz w:val="24"/>
                <w:szCs w:val="20"/>
              </w:rPr>
            </w:pPr>
            <w:r w:rsidRPr="00030CE8">
              <w:rPr>
                <w:sz w:val="24"/>
                <w:szCs w:val="20"/>
              </w:rPr>
              <w:t>00133069</w:t>
            </w:r>
          </w:p>
        </w:tc>
        <w:tc>
          <w:tcPr>
            <w:tcW w:w="3330" w:type="dxa"/>
          </w:tcPr>
          <w:p w:rsidRPr="00030CE8" w:rsidR="00604CBE" w:rsidP="00586EE9" w:rsidRDefault="00604CBE" w14:paraId="4560B1F2" w14:textId="77777777">
            <w:pPr>
              <w:pStyle w:val="Standard"/>
              <w:spacing w:line="240" w:lineRule="auto"/>
              <w:ind w:firstLine="0"/>
              <w:rPr>
                <w:sz w:val="24"/>
                <w:szCs w:val="20"/>
              </w:rPr>
            </w:pPr>
            <w:r w:rsidRPr="00030CE8">
              <w:rPr>
                <w:sz w:val="24"/>
                <w:szCs w:val="20"/>
              </w:rPr>
              <w:t>Nitrification Projects</w:t>
            </w:r>
          </w:p>
        </w:tc>
        <w:tc>
          <w:tcPr>
            <w:tcW w:w="1620" w:type="dxa"/>
          </w:tcPr>
          <w:p w:rsidRPr="00030CE8" w:rsidR="00604CBE" w:rsidP="00586EE9" w:rsidRDefault="00604CBE" w14:paraId="29976F53"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319697E6" w14:textId="77777777">
            <w:pPr>
              <w:pStyle w:val="Standard"/>
              <w:spacing w:line="240" w:lineRule="auto"/>
              <w:ind w:firstLine="0"/>
              <w:rPr>
                <w:sz w:val="24"/>
                <w:szCs w:val="20"/>
              </w:rPr>
            </w:pPr>
            <w:r w:rsidRPr="00030CE8">
              <w:rPr>
                <w:sz w:val="24"/>
                <w:szCs w:val="20"/>
              </w:rPr>
              <w:t>$0</w:t>
            </w:r>
          </w:p>
        </w:tc>
      </w:tr>
      <w:tr w:rsidRPr="00030CE8" w:rsidR="00556940" w:rsidTr="0034117D" w14:paraId="293458D7" w14:textId="77777777">
        <w:trPr>
          <w:cantSplit/>
          <w:jc w:val="center"/>
        </w:trPr>
        <w:tc>
          <w:tcPr>
            <w:tcW w:w="2335" w:type="dxa"/>
          </w:tcPr>
          <w:p w:rsidRPr="00030CE8" w:rsidR="00604CBE" w:rsidP="00586EE9" w:rsidRDefault="00604CBE" w14:paraId="43CB35BD" w14:textId="77777777">
            <w:pPr>
              <w:pStyle w:val="Standard"/>
              <w:spacing w:line="240" w:lineRule="auto"/>
              <w:ind w:firstLine="0"/>
              <w:rPr>
                <w:b/>
                <w:bCs/>
                <w:sz w:val="24"/>
                <w:szCs w:val="20"/>
              </w:rPr>
            </w:pPr>
            <w:r w:rsidRPr="00030CE8">
              <w:rPr>
                <w:b/>
                <w:bCs/>
                <w:sz w:val="24"/>
                <w:szCs w:val="20"/>
              </w:rPr>
              <w:t>King City</w:t>
            </w:r>
          </w:p>
        </w:tc>
        <w:tc>
          <w:tcPr>
            <w:tcW w:w="1440" w:type="dxa"/>
          </w:tcPr>
          <w:p w:rsidRPr="00030CE8" w:rsidR="00604CBE" w:rsidP="00586EE9" w:rsidRDefault="00604CBE" w14:paraId="65D96ED9" w14:textId="77777777">
            <w:pPr>
              <w:pStyle w:val="Standard"/>
              <w:spacing w:line="240" w:lineRule="auto"/>
              <w:ind w:firstLine="0"/>
              <w:rPr>
                <w:sz w:val="24"/>
                <w:szCs w:val="20"/>
              </w:rPr>
            </w:pPr>
            <w:r w:rsidRPr="00030CE8">
              <w:rPr>
                <w:sz w:val="24"/>
                <w:szCs w:val="20"/>
              </w:rPr>
              <w:t>00133092</w:t>
            </w:r>
          </w:p>
        </w:tc>
        <w:tc>
          <w:tcPr>
            <w:tcW w:w="3330" w:type="dxa"/>
          </w:tcPr>
          <w:p w:rsidRPr="00030CE8" w:rsidR="00604CBE" w:rsidP="00586EE9" w:rsidRDefault="00604CBE" w14:paraId="617E56D8" w14:textId="6257F813">
            <w:pPr>
              <w:pStyle w:val="Standard"/>
              <w:spacing w:line="240" w:lineRule="auto"/>
              <w:ind w:firstLine="0"/>
              <w:rPr>
                <w:sz w:val="24"/>
                <w:szCs w:val="20"/>
              </w:rPr>
            </w:pPr>
            <w:r w:rsidRPr="00030CE8">
              <w:rPr>
                <w:sz w:val="24"/>
                <w:szCs w:val="20"/>
              </w:rPr>
              <w:t>KC</w:t>
            </w:r>
            <w:r w:rsidR="00270999">
              <w:rPr>
                <w:sz w:val="24"/>
                <w:szCs w:val="20"/>
              </w:rPr>
              <w:noBreakHyphen/>
            </w:r>
            <w:r w:rsidRPr="00030CE8">
              <w:rPr>
                <w:sz w:val="24"/>
                <w:szCs w:val="20"/>
              </w:rPr>
              <w:t>012 New Generator</w:t>
            </w:r>
          </w:p>
        </w:tc>
        <w:tc>
          <w:tcPr>
            <w:tcW w:w="1620" w:type="dxa"/>
          </w:tcPr>
          <w:p w:rsidRPr="00030CE8" w:rsidR="00604CBE" w:rsidP="00586EE9" w:rsidRDefault="00604CBE" w14:paraId="46D67868"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2CD602C0" w14:textId="77777777">
            <w:pPr>
              <w:pStyle w:val="Standard"/>
              <w:spacing w:line="240" w:lineRule="auto"/>
              <w:ind w:firstLine="0"/>
              <w:rPr>
                <w:sz w:val="24"/>
                <w:szCs w:val="20"/>
              </w:rPr>
            </w:pPr>
            <w:r w:rsidRPr="00030CE8">
              <w:rPr>
                <w:sz w:val="24"/>
                <w:szCs w:val="20"/>
              </w:rPr>
              <w:t>$671,323</w:t>
            </w:r>
          </w:p>
        </w:tc>
      </w:tr>
      <w:tr w:rsidRPr="00030CE8" w:rsidR="00556940" w:rsidTr="0034117D" w14:paraId="4B5DF672" w14:textId="77777777">
        <w:trPr>
          <w:cantSplit/>
          <w:jc w:val="center"/>
        </w:trPr>
        <w:tc>
          <w:tcPr>
            <w:tcW w:w="2335" w:type="dxa"/>
          </w:tcPr>
          <w:p w:rsidRPr="00030CE8" w:rsidR="00604CBE" w:rsidP="00586EE9" w:rsidRDefault="00604CBE" w14:paraId="584108D2" w14:textId="77777777">
            <w:pPr>
              <w:pStyle w:val="Standard"/>
              <w:spacing w:line="240" w:lineRule="auto"/>
              <w:ind w:firstLine="0"/>
              <w:rPr>
                <w:b/>
                <w:bCs/>
                <w:sz w:val="24"/>
                <w:szCs w:val="20"/>
              </w:rPr>
            </w:pPr>
          </w:p>
        </w:tc>
        <w:tc>
          <w:tcPr>
            <w:tcW w:w="1440" w:type="dxa"/>
          </w:tcPr>
          <w:p w:rsidRPr="00030CE8" w:rsidR="00604CBE" w:rsidP="00586EE9" w:rsidRDefault="00604CBE" w14:paraId="51FC3C86" w14:textId="77777777">
            <w:pPr>
              <w:pStyle w:val="Standard"/>
              <w:spacing w:line="240" w:lineRule="auto"/>
              <w:ind w:firstLine="0"/>
              <w:rPr>
                <w:sz w:val="24"/>
                <w:szCs w:val="20"/>
              </w:rPr>
            </w:pPr>
            <w:r w:rsidRPr="00030CE8">
              <w:rPr>
                <w:sz w:val="24"/>
                <w:szCs w:val="20"/>
              </w:rPr>
              <w:t>00133091</w:t>
            </w:r>
          </w:p>
        </w:tc>
        <w:tc>
          <w:tcPr>
            <w:tcW w:w="3330" w:type="dxa"/>
          </w:tcPr>
          <w:p w:rsidRPr="00030CE8" w:rsidR="00604CBE" w:rsidP="00586EE9" w:rsidRDefault="00604CBE" w14:paraId="54AAD185" w14:textId="77777777">
            <w:pPr>
              <w:pStyle w:val="Standard"/>
              <w:spacing w:line="240" w:lineRule="auto"/>
              <w:ind w:firstLine="0"/>
              <w:rPr>
                <w:sz w:val="24"/>
                <w:szCs w:val="20"/>
              </w:rPr>
            </w:pPr>
            <w:r w:rsidRPr="00030CE8">
              <w:rPr>
                <w:sz w:val="24"/>
                <w:szCs w:val="20"/>
              </w:rPr>
              <w:t>KC Office Generator</w:t>
            </w:r>
          </w:p>
        </w:tc>
        <w:tc>
          <w:tcPr>
            <w:tcW w:w="1620" w:type="dxa"/>
          </w:tcPr>
          <w:p w:rsidRPr="00030CE8" w:rsidR="00604CBE" w:rsidP="00586EE9" w:rsidRDefault="00604CBE" w14:paraId="3834CA49"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5C412CBB" w14:textId="77777777">
            <w:pPr>
              <w:pStyle w:val="Standard"/>
              <w:spacing w:line="240" w:lineRule="auto"/>
              <w:ind w:firstLine="0"/>
              <w:rPr>
                <w:sz w:val="24"/>
                <w:szCs w:val="20"/>
              </w:rPr>
            </w:pPr>
            <w:r w:rsidRPr="00030CE8">
              <w:rPr>
                <w:sz w:val="24"/>
                <w:szCs w:val="20"/>
              </w:rPr>
              <w:t>$572,745</w:t>
            </w:r>
          </w:p>
        </w:tc>
      </w:tr>
      <w:tr w:rsidRPr="00030CE8" w:rsidR="00556940" w:rsidTr="0034117D" w14:paraId="5ADA4FA9" w14:textId="77777777">
        <w:trPr>
          <w:cantSplit/>
          <w:jc w:val="center"/>
        </w:trPr>
        <w:tc>
          <w:tcPr>
            <w:tcW w:w="2335" w:type="dxa"/>
          </w:tcPr>
          <w:p w:rsidRPr="00030CE8" w:rsidR="00604CBE" w:rsidP="00586EE9" w:rsidRDefault="00604CBE" w14:paraId="6EC45E8F" w14:textId="77777777">
            <w:pPr>
              <w:pStyle w:val="Standard"/>
              <w:spacing w:line="240" w:lineRule="auto"/>
              <w:ind w:firstLine="0"/>
              <w:rPr>
                <w:b/>
                <w:bCs/>
                <w:sz w:val="24"/>
                <w:szCs w:val="20"/>
              </w:rPr>
            </w:pPr>
            <w:r w:rsidRPr="00030CE8">
              <w:rPr>
                <w:b/>
                <w:bCs/>
                <w:sz w:val="24"/>
                <w:szCs w:val="20"/>
              </w:rPr>
              <w:t>Livermore</w:t>
            </w:r>
          </w:p>
        </w:tc>
        <w:tc>
          <w:tcPr>
            <w:tcW w:w="1440" w:type="dxa"/>
          </w:tcPr>
          <w:p w:rsidR="00CE0158" w:rsidP="00586EE9" w:rsidRDefault="00604CBE" w14:paraId="561EF984" w14:textId="77777777">
            <w:pPr>
              <w:pStyle w:val="Standard"/>
              <w:spacing w:line="240" w:lineRule="auto"/>
              <w:ind w:firstLine="0"/>
              <w:rPr>
                <w:sz w:val="24"/>
                <w:szCs w:val="20"/>
              </w:rPr>
            </w:pPr>
            <w:r w:rsidRPr="00030CE8">
              <w:rPr>
                <w:sz w:val="24"/>
                <w:szCs w:val="20"/>
              </w:rPr>
              <w:t>00133111;</w:t>
            </w:r>
          </w:p>
          <w:p w:rsidR="00CE0158" w:rsidP="00586EE9" w:rsidRDefault="00604CBE" w14:paraId="112C1A42" w14:textId="77777777">
            <w:pPr>
              <w:pStyle w:val="Standard"/>
              <w:spacing w:line="240" w:lineRule="auto"/>
              <w:ind w:firstLine="0"/>
              <w:rPr>
                <w:sz w:val="24"/>
                <w:szCs w:val="20"/>
              </w:rPr>
            </w:pPr>
            <w:r w:rsidRPr="00030CE8">
              <w:rPr>
                <w:sz w:val="24"/>
                <w:szCs w:val="20"/>
              </w:rPr>
              <w:t>00133113;</w:t>
            </w:r>
          </w:p>
          <w:p w:rsidRPr="00030CE8" w:rsidR="00604CBE" w:rsidP="00586EE9" w:rsidRDefault="00604CBE" w14:paraId="7E6C8A68" w14:textId="7D571777">
            <w:pPr>
              <w:pStyle w:val="Standard"/>
              <w:spacing w:line="240" w:lineRule="auto"/>
              <w:ind w:firstLine="0"/>
              <w:rPr>
                <w:sz w:val="24"/>
                <w:szCs w:val="20"/>
              </w:rPr>
            </w:pPr>
            <w:r w:rsidRPr="00030CE8">
              <w:rPr>
                <w:sz w:val="24"/>
                <w:szCs w:val="20"/>
              </w:rPr>
              <w:t>00133115</w:t>
            </w:r>
          </w:p>
        </w:tc>
        <w:tc>
          <w:tcPr>
            <w:tcW w:w="3330" w:type="dxa"/>
          </w:tcPr>
          <w:p w:rsidRPr="00030CE8" w:rsidR="00604CBE" w:rsidP="00586EE9" w:rsidRDefault="62CD9E76" w14:paraId="2506BEBB" w14:textId="6073B140">
            <w:pPr>
              <w:pStyle w:val="Standard"/>
              <w:spacing w:line="240" w:lineRule="auto"/>
              <w:ind w:firstLine="0"/>
              <w:rPr>
                <w:sz w:val="24"/>
                <w:szCs w:val="24"/>
              </w:rPr>
            </w:pPr>
            <w:r w:rsidRPr="6BD18FE3">
              <w:rPr>
                <w:sz w:val="24"/>
                <w:szCs w:val="24"/>
              </w:rPr>
              <w:t>Chlorination</w:t>
            </w:r>
            <w:r w:rsidRPr="6BD18FE3" w:rsidR="00604CBE">
              <w:rPr>
                <w:sz w:val="24"/>
                <w:szCs w:val="24"/>
              </w:rPr>
              <w:t xml:space="preserve"> Systems</w:t>
            </w:r>
          </w:p>
        </w:tc>
        <w:tc>
          <w:tcPr>
            <w:tcW w:w="1620" w:type="dxa"/>
          </w:tcPr>
          <w:p w:rsidRPr="00030CE8" w:rsidR="00604CBE" w:rsidP="00586EE9" w:rsidRDefault="00604CBE" w14:paraId="0ECFC4A8"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53B827C3" w14:textId="77777777">
            <w:pPr>
              <w:pStyle w:val="Standard"/>
              <w:spacing w:line="240" w:lineRule="auto"/>
              <w:ind w:firstLine="0"/>
              <w:rPr>
                <w:sz w:val="24"/>
                <w:szCs w:val="20"/>
              </w:rPr>
            </w:pPr>
            <w:r w:rsidRPr="00030CE8">
              <w:rPr>
                <w:sz w:val="24"/>
                <w:szCs w:val="20"/>
              </w:rPr>
              <w:t>$0</w:t>
            </w:r>
          </w:p>
        </w:tc>
      </w:tr>
      <w:tr w:rsidRPr="00030CE8" w:rsidR="00556940" w:rsidTr="0034117D" w14:paraId="741A934E" w14:textId="77777777">
        <w:trPr>
          <w:cantSplit/>
          <w:jc w:val="center"/>
        </w:trPr>
        <w:tc>
          <w:tcPr>
            <w:tcW w:w="2335" w:type="dxa"/>
          </w:tcPr>
          <w:p w:rsidRPr="00030CE8" w:rsidR="00604CBE" w:rsidP="00586EE9" w:rsidRDefault="00604CBE" w14:paraId="042EEED9" w14:textId="77777777">
            <w:pPr>
              <w:pStyle w:val="Standard"/>
              <w:spacing w:line="240" w:lineRule="auto"/>
              <w:ind w:firstLine="0"/>
              <w:rPr>
                <w:b/>
                <w:bCs/>
                <w:sz w:val="24"/>
                <w:szCs w:val="20"/>
              </w:rPr>
            </w:pPr>
          </w:p>
        </w:tc>
        <w:tc>
          <w:tcPr>
            <w:tcW w:w="1440" w:type="dxa"/>
          </w:tcPr>
          <w:p w:rsidRPr="00030CE8" w:rsidR="00604CBE" w:rsidP="00586EE9" w:rsidRDefault="00604CBE" w14:paraId="178DB641" w14:textId="77777777">
            <w:pPr>
              <w:pStyle w:val="Standard"/>
              <w:spacing w:line="240" w:lineRule="auto"/>
              <w:ind w:firstLine="0"/>
              <w:rPr>
                <w:sz w:val="24"/>
                <w:szCs w:val="20"/>
              </w:rPr>
            </w:pPr>
            <w:r w:rsidRPr="00030CE8">
              <w:rPr>
                <w:sz w:val="24"/>
                <w:szCs w:val="20"/>
              </w:rPr>
              <w:t>00134776</w:t>
            </w:r>
          </w:p>
        </w:tc>
        <w:tc>
          <w:tcPr>
            <w:tcW w:w="3330" w:type="dxa"/>
          </w:tcPr>
          <w:p w:rsidRPr="00030CE8" w:rsidR="00604CBE" w:rsidP="00586EE9" w:rsidRDefault="00604CBE" w14:paraId="329590AA" w14:textId="77777777">
            <w:pPr>
              <w:pStyle w:val="Standard"/>
              <w:spacing w:line="240" w:lineRule="auto"/>
              <w:ind w:firstLine="0"/>
              <w:rPr>
                <w:sz w:val="24"/>
                <w:szCs w:val="20"/>
              </w:rPr>
            </w:pPr>
            <w:r w:rsidRPr="00030CE8">
              <w:rPr>
                <w:sz w:val="24"/>
                <w:szCs w:val="20"/>
              </w:rPr>
              <w:t>Vehicles for New Complements</w:t>
            </w:r>
          </w:p>
        </w:tc>
        <w:tc>
          <w:tcPr>
            <w:tcW w:w="1620" w:type="dxa"/>
          </w:tcPr>
          <w:p w:rsidRPr="00030CE8" w:rsidR="00604CBE" w:rsidP="00586EE9" w:rsidRDefault="00604CBE" w14:paraId="2EDB9450"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38D590A3" w14:textId="77777777">
            <w:pPr>
              <w:pStyle w:val="Standard"/>
              <w:spacing w:line="240" w:lineRule="auto"/>
              <w:ind w:firstLine="0"/>
              <w:rPr>
                <w:sz w:val="24"/>
                <w:szCs w:val="20"/>
              </w:rPr>
            </w:pPr>
            <w:r w:rsidRPr="00030CE8">
              <w:rPr>
                <w:sz w:val="24"/>
                <w:szCs w:val="20"/>
              </w:rPr>
              <w:t>$0</w:t>
            </w:r>
          </w:p>
        </w:tc>
      </w:tr>
      <w:tr w:rsidRPr="00030CE8" w:rsidR="00556940" w:rsidTr="0034117D" w14:paraId="355FA0E4" w14:textId="77777777">
        <w:trPr>
          <w:cantSplit/>
          <w:jc w:val="center"/>
        </w:trPr>
        <w:tc>
          <w:tcPr>
            <w:tcW w:w="2335" w:type="dxa"/>
          </w:tcPr>
          <w:p w:rsidRPr="00030CE8" w:rsidR="00604CBE" w:rsidP="00586EE9" w:rsidRDefault="004941FE" w14:paraId="3A920C3A" w14:textId="715F153E">
            <w:pPr>
              <w:pStyle w:val="Standard"/>
              <w:spacing w:line="240" w:lineRule="auto"/>
              <w:ind w:firstLine="0"/>
              <w:rPr>
                <w:b/>
                <w:bCs/>
                <w:sz w:val="24"/>
                <w:szCs w:val="20"/>
              </w:rPr>
            </w:pPr>
            <w:r>
              <w:rPr>
                <w:b/>
                <w:bCs/>
                <w:sz w:val="24"/>
                <w:szCs w:val="20"/>
              </w:rPr>
              <w:t>Los </w:t>
            </w:r>
            <w:r w:rsidRPr="00030CE8" w:rsidR="00604CBE">
              <w:rPr>
                <w:b/>
                <w:bCs/>
                <w:sz w:val="24"/>
                <w:szCs w:val="20"/>
              </w:rPr>
              <w:t>Altos</w:t>
            </w:r>
          </w:p>
        </w:tc>
        <w:tc>
          <w:tcPr>
            <w:tcW w:w="1440" w:type="dxa"/>
          </w:tcPr>
          <w:p w:rsidRPr="00030CE8" w:rsidR="00604CBE" w:rsidP="00586EE9" w:rsidRDefault="00604CBE" w14:paraId="0FEBCE56" w14:textId="77777777">
            <w:pPr>
              <w:pStyle w:val="Standard"/>
              <w:spacing w:line="240" w:lineRule="auto"/>
              <w:ind w:firstLine="0"/>
              <w:rPr>
                <w:sz w:val="24"/>
                <w:szCs w:val="20"/>
              </w:rPr>
            </w:pPr>
            <w:r w:rsidRPr="00030CE8">
              <w:rPr>
                <w:sz w:val="24"/>
                <w:szCs w:val="20"/>
              </w:rPr>
              <w:t>00133283</w:t>
            </w:r>
          </w:p>
        </w:tc>
        <w:tc>
          <w:tcPr>
            <w:tcW w:w="3330" w:type="dxa"/>
          </w:tcPr>
          <w:p w:rsidRPr="00030CE8" w:rsidR="00604CBE" w:rsidP="00586EE9" w:rsidRDefault="00604CBE" w14:paraId="645774BC" w14:textId="78808984">
            <w:pPr>
              <w:pStyle w:val="Standard"/>
              <w:spacing w:line="240" w:lineRule="auto"/>
              <w:ind w:firstLine="0"/>
              <w:rPr>
                <w:sz w:val="24"/>
                <w:szCs w:val="20"/>
              </w:rPr>
            </w:pPr>
            <w:r w:rsidRPr="00030CE8">
              <w:rPr>
                <w:sz w:val="24"/>
                <w:szCs w:val="20"/>
              </w:rPr>
              <w:t>LAS</w:t>
            </w:r>
            <w:r w:rsidR="00270999">
              <w:rPr>
                <w:sz w:val="24"/>
                <w:szCs w:val="20"/>
              </w:rPr>
              <w:noBreakHyphen/>
            </w:r>
            <w:r w:rsidRPr="00030CE8">
              <w:rPr>
                <w:sz w:val="24"/>
                <w:szCs w:val="20"/>
              </w:rPr>
              <w:t>117 Station Rebuild</w:t>
            </w:r>
          </w:p>
        </w:tc>
        <w:tc>
          <w:tcPr>
            <w:tcW w:w="1620" w:type="dxa"/>
          </w:tcPr>
          <w:p w:rsidRPr="00030CE8" w:rsidR="00C81098" w:rsidP="00586EE9" w:rsidRDefault="00604CBE" w14:paraId="616AD57E" w14:textId="77777777">
            <w:pPr>
              <w:pStyle w:val="Standard"/>
              <w:spacing w:line="240" w:lineRule="auto"/>
              <w:ind w:firstLine="0"/>
              <w:rPr>
                <w:sz w:val="24"/>
                <w:szCs w:val="20"/>
              </w:rPr>
            </w:pPr>
            <w:r w:rsidRPr="00030CE8">
              <w:rPr>
                <w:sz w:val="24"/>
                <w:szCs w:val="20"/>
              </w:rPr>
              <w:t>Adopted</w:t>
            </w:r>
          </w:p>
          <w:p w:rsidRPr="00030CE8" w:rsidR="00604CBE" w:rsidP="00586EE9" w:rsidRDefault="00604CBE" w14:paraId="0A2632AE" w14:textId="3EAF2D54">
            <w:pPr>
              <w:pStyle w:val="Standard"/>
              <w:spacing w:line="240" w:lineRule="auto"/>
              <w:ind w:firstLine="0"/>
              <w:rPr>
                <w:sz w:val="24"/>
                <w:szCs w:val="20"/>
              </w:rPr>
            </w:pPr>
            <w:r w:rsidRPr="00030CE8">
              <w:rPr>
                <w:sz w:val="24"/>
                <w:szCs w:val="20"/>
              </w:rPr>
              <w:t>(Partial)</w:t>
            </w:r>
          </w:p>
        </w:tc>
        <w:tc>
          <w:tcPr>
            <w:tcW w:w="1830" w:type="dxa"/>
          </w:tcPr>
          <w:p w:rsidRPr="00030CE8" w:rsidR="000E358E" w:rsidP="00586EE9" w:rsidRDefault="00604CBE" w14:paraId="2F0207B8" w14:textId="77777777">
            <w:pPr>
              <w:pStyle w:val="Standard"/>
              <w:spacing w:line="240" w:lineRule="auto"/>
              <w:ind w:firstLine="0"/>
              <w:rPr>
                <w:sz w:val="24"/>
                <w:szCs w:val="20"/>
              </w:rPr>
            </w:pPr>
            <w:r w:rsidRPr="00030CE8">
              <w:rPr>
                <w:sz w:val="24"/>
                <w:szCs w:val="20"/>
              </w:rPr>
              <w:t>$1,173,403</w:t>
            </w:r>
          </w:p>
          <w:p w:rsidRPr="00030CE8" w:rsidR="00604CBE" w:rsidP="00586EE9" w:rsidRDefault="00604CBE" w14:paraId="767303A4" w14:textId="5163D6D1">
            <w:pPr>
              <w:pStyle w:val="Standard"/>
              <w:spacing w:line="240" w:lineRule="auto"/>
              <w:ind w:firstLine="0"/>
              <w:rPr>
                <w:sz w:val="24"/>
                <w:szCs w:val="20"/>
              </w:rPr>
            </w:pPr>
          </w:p>
        </w:tc>
      </w:tr>
      <w:tr w:rsidRPr="00030CE8" w:rsidR="00556940" w:rsidTr="0034117D" w14:paraId="0888644C" w14:textId="77777777">
        <w:trPr>
          <w:cantSplit/>
          <w:jc w:val="center"/>
        </w:trPr>
        <w:tc>
          <w:tcPr>
            <w:tcW w:w="2335" w:type="dxa"/>
          </w:tcPr>
          <w:p w:rsidRPr="00030CE8" w:rsidR="00604CBE" w:rsidP="00586EE9" w:rsidRDefault="00604CBE" w14:paraId="30AC1D7A" w14:textId="77777777">
            <w:pPr>
              <w:pStyle w:val="Standard"/>
              <w:spacing w:line="240" w:lineRule="auto"/>
              <w:ind w:firstLine="0"/>
              <w:rPr>
                <w:b/>
                <w:bCs/>
                <w:sz w:val="24"/>
                <w:szCs w:val="20"/>
              </w:rPr>
            </w:pPr>
          </w:p>
        </w:tc>
        <w:tc>
          <w:tcPr>
            <w:tcW w:w="1440" w:type="dxa"/>
          </w:tcPr>
          <w:p w:rsidRPr="00030CE8" w:rsidR="00604CBE" w:rsidP="00586EE9" w:rsidRDefault="00604CBE" w14:paraId="55F39235" w14:textId="77777777">
            <w:pPr>
              <w:pStyle w:val="Standard"/>
              <w:spacing w:line="240" w:lineRule="auto"/>
              <w:ind w:firstLine="0"/>
              <w:rPr>
                <w:sz w:val="24"/>
                <w:szCs w:val="20"/>
              </w:rPr>
            </w:pPr>
            <w:r w:rsidRPr="00030CE8">
              <w:rPr>
                <w:sz w:val="24"/>
                <w:szCs w:val="20"/>
              </w:rPr>
              <w:t>00133287</w:t>
            </w:r>
          </w:p>
        </w:tc>
        <w:tc>
          <w:tcPr>
            <w:tcW w:w="3330" w:type="dxa"/>
          </w:tcPr>
          <w:p w:rsidRPr="00030CE8" w:rsidR="00604CBE" w:rsidP="00586EE9" w:rsidRDefault="00604CBE" w14:paraId="7C3CE0A1" w14:textId="77777777">
            <w:pPr>
              <w:pStyle w:val="Standard"/>
              <w:spacing w:line="240" w:lineRule="auto"/>
              <w:ind w:firstLine="0"/>
              <w:rPr>
                <w:sz w:val="24"/>
                <w:szCs w:val="20"/>
              </w:rPr>
            </w:pPr>
            <w:r w:rsidRPr="00030CE8">
              <w:rPr>
                <w:sz w:val="24"/>
                <w:szCs w:val="20"/>
              </w:rPr>
              <w:t>New Well Property Purchase</w:t>
            </w:r>
          </w:p>
        </w:tc>
        <w:tc>
          <w:tcPr>
            <w:tcW w:w="1620" w:type="dxa"/>
          </w:tcPr>
          <w:p w:rsidRPr="00030CE8" w:rsidR="00604CBE" w:rsidP="00586EE9" w:rsidRDefault="00604CBE" w14:paraId="46827779"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162E47E2" w14:textId="77777777">
            <w:pPr>
              <w:pStyle w:val="Standard"/>
              <w:spacing w:line="240" w:lineRule="auto"/>
              <w:ind w:firstLine="0"/>
              <w:rPr>
                <w:sz w:val="24"/>
                <w:szCs w:val="20"/>
              </w:rPr>
            </w:pPr>
            <w:r w:rsidRPr="00030CE8">
              <w:rPr>
                <w:sz w:val="24"/>
                <w:szCs w:val="20"/>
              </w:rPr>
              <w:t>$4,786,474</w:t>
            </w:r>
          </w:p>
        </w:tc>
      </w:tr>
      <w:tr w:rsidRPr="00030CE8" w:rsidR="00556940" w:rsidTr="0034117D" w14:paraId="5A99A29B" w14:textId="77777777">
        <w:trPr>
          <w:cantSplit/>
          <w:jc w:val="center"/>
        </w:trPr>
        <w:tc>
          <w:tcPr>
            <w:tcW w:w="2335" w:type="dxa"/>
          </w:tcPr>
          <w:p w:rsidRPr="00030CE8" w:rsidR="00604CBE" w:rsidP="00586EE9" w:rsidRDefault="00604CBE" w14:paraId="737C7E1D" w14:textId="77777777">
            <w:pPr>
              <w:pStyle w:val="Standard"/>
              <w:spacing w:line="240" w:lineRule="auto"/>
              <w:ind w:firstLine="0"/>
              <w:rPr>
                <w:b/>
                <w:bCs/>
                <w:sz w:val="24"/>
                <w:szCs w:val="20"/>
              </w:rPr>
            </w:pPr>
          </w:p>
        </w:tc>
        <w:tc>
          <w:tcPr>
            <w:tcW w:w="1440" w:type="dxa"/>
          </w:tcPr>
          <w:p w:rsidRPr="00030CE8" w:rsidR="00604CBE" w:rsidP="00586EE9" w:rsidRDefault="00604CBE" w14:paraId="09FF1BD2" w14:textId="77777777">
            <w:pPr>
              <w:pStyle w:val="Standard"/>
              <w:spacing w:line="240" w:lineRule="auto"/>
              <w:ind w:firstLine="0"/>
              <w:rPr>
                <w:sz w:val="24"/>
                <w:szCs w:val="20"/>
              </w:rPr>
            </w:pPr>
            <w:r w:rsidRPr="00030CE8">
              <w:rPr>
                <w:sz w:val="24"/>
                <w:szCs w:val="20"/>
              </w:rPr>
              <w:t>00134768</w:t>
            </w:r>
          </w:p>
        </w:tc>
        <w:tc>
          <w:tcPr>
            <w:tcW w:w="3330" w:type="dxa"/>
          </w:tcPr>
          <w:p w:rsidRPr="00030CE8" w:rsidR="00604CBE" w:rsidP="00586EE9" w:rsidRDefault="00604CBE" w14:paraId="1ADAEF61" w14:textId="77777777">
            <w:pPr>
              <w:pStyle w:val="Standard"/>
              <w:spacing w:line="240" w:lineRule="auto"/>
              <w:ind w:firstLine="0"/>
              <w:rPr>
                <w:sz w:val="24"/>
                <w:szCs w:val="20"/>
              </w:rPr>
            </w:pPr>
            <w:r w:rsidRPr="00030CE8">
              <w:rPr>
                <w:sz w:val="24"/>
                <w:szCs w:val="20"/>
              </w:rPr>
              <w:t>Vehicles for New Complements</w:t>
            </w:r>
          </w:p>
        </w:tc>
        <w:tc>
          <w:tcPr>
            <w:tcW w:w="1620" w:type="dxa"/>
          </w:tcPr>
          <w:p w:rsidRPr="00030CE8" w:rsidR="00604CBE" w:rsidP="00586EE9" w:rsidRDefault="00604CBE" w14:paraId="5C1E1688"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09534563" w14:textId="77777777">
            <w:pPr>
              <w:pStyle w:val="Standard"/>
              <w:spacing w:line="240" w:lineRule="auto"/>
              <w:ind w:firstLine="0"/>
              <w:rPr>
                <w:sz w:val="24"/>
                <w:szCs w:val="20"/>
              </w:rPr>
            </w:pPr>
            <w:r w:rsidRPr="00030CE8">
              <w:rPr>
                <w:sz w:val="24"/>
                <w:szCs w:val="20"/>
              </w:rPr>
              <w:t>$0</w:t>
            </w:r>
          </w:p>
        </w:tc>
      </w:tr>
      <w:tr w:rsidRPr="00030CE8" w:rsidR="00556940" w:rsidTr="0034117D" w14:paraId="02D9BE1F" w14:textId="77777777">
        <w:trPr>
          <w:cantSplit/>
          <w:jc w:val="center"/>
        </w:trPr>
        <w:tc>
          <w:tcPr>
            <w:tcW w:w="2335" w:type="dxa"/>
          </w:tcPr>
          <w:p w:rsidRPr="00030CE8" w:rsidR="00604CBE" w:rsidP="00586EE9" w:rsidRDefault="00604CBE" w14:paraId="530004A0" w14:textId="77777777">
            <w:pPr>
              <w:pStyle w:val="Standard"/>
              <w:spacing w:line="240" w:lineRule="auto"/>
              <w:ind w:firstLine="0"/>
              <w:rPr>
                <w:b/>
                <w:bCs/>
                <w:sz w:val="24"/>
                <w:szCs w:val="20"/>
              </w:rPr>
            </w:pPr>
          </w:p>
        </w:tc>
        <w:tc>
          <w:tcPr>
            <w:tcW w:w="1440" w:type="dxa"/>
          </w:tcPr>
          <w:p w:rsidRPr="00030CE8" w:rsidR="00604CBE" w:rsidP="00586EE9" w:rsidRDefault="00604CBE" w14:paraId="42BE52AE" w14:textId="77777777">
            <w:pPr>
              <w:pStyle w:val="Standard"/>
              <w:spacing w:line="240" w:lineRule="auto"/>
              <w:ind w:firstLine="0"/>
              <w:rPr>
                <w:sz w:val="24"/>
                <w:szCs w:val="20"/>
              </w:rPr>
            </w:pPr>
            <w:r w:rsidRPr="00030CE8">
              <w:rPr>
                <w:sz w:val="24"/>
                <w:szCs w:val="20"/>
              </w:rPr>
              <w:t>00133284</w:t>
            </w:r>
          </w:p>
        </w:tc>
        <w:tc>
          <w:tcPr>
            <w:tcW w:w="3330" w:type="dxa"/>
          </w:tcPr>
          <w:p w:rsidRPr="00030CE8" w:rsidR="00604CBE" w:rsidP="00586EE9" w:rsidRDefault="00604CBE" w14:paraId="1A76ADE9" w14:textId="77777777">
            <w:pPr>
              <w:pStyle w:val="Standard"/>
              <w:spacing w:line="240" w:lineRule="auto"/>
              <w:ind w:firstLine="0"/>
              <w:rPr>
                <w:sz w:val="24"/>
                <w:szCs w:val="20"/>
              </w:rPr>
            </w:pPr>
            <w:r w:rsidRPr="00030CE8">
              <w:rPr>
                <w:sz w:val="24"/>
                <w:szCs w:val="20"/>
              </w:rPr>
              <w:t>Well Hardness Study</w:t>
            </w:r>
          </w:p>
        </w:tc>
        <w:tc>
          <w:tcPr>
            <w:tcW w:w="1620" w:type="dxa"/>
          </w:tcPr>
          <w:p w:rsidRPr="00030CE8" w:rsidR="00604CBE" w:rsidP="00586EE9" w:rsidRDefault="00604CBE" w14:paraId="55FA8F2C" w14:textId="77777777">
            <w:pPr>
              <w:pStyle w:val="Standard"/>
              <w:spacing w:line="240" w:lineRule="auto"/>
              <w:ind w:firstLine="0"/>
              <w:rPr>
                <w:sz w:val="24"/>
                <w:szCs w:val="20"/>
              </w:rPr>
            </w:pPr>
            <w:r w:rsidRPr="00030CE8">
              <w:rPr>
                <w:sz w:val="24"/>
                <w:szCs w:val="20"/>
              </w:rPr>
              <w:t>Deferred</w:t>
            </w:r>
          </w:p>
        </w:tc>
        <w:tc>
          <w:tcPr>
            <w:tcW w:w="1830" w:type="dxa"/>
          </w:tcPr>
          <w:p w:rsidRPr="00030CE8" w:rsidR="00483B3C" w:rsidP="00586EE9" w:rsidRDefault="00604CBE" w14:paraId="77FC9C12"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0853686C" w14:textId="54847155">
            <w:pPr>
              <w:pStyle w:val="Standard"/>
              <w:spacing w:line="240" w:lineRule="auto"/>
              <w:ind w:firstLine="0"/>
              <w:rPr>
                <w:sz w:val="24"/>
                <w:szCs w:val="20"/>
              </w:rPr>
            </w:pPr>
            <w:r w:rsidRPr="00030CE8">
              <w:rPr>
                <w:sz w:val="24"/>
                <w:szCs w:val="20"/>
              </w:rPr>
              <w:t>from this GRC</w:t>
            </w:r>
          </w:p>
        </w:tc>
      </w:tr>
      <w:tr w:rsidRPr="00030CE8" w:rsidR="00556940" w:rsidTr="0034117D" w14:paraId="04257A7B" w14:textId="77777777">
        <w:trPr>
          <w:cantSplit/>
          <w:jc w:val="center"/>
        </w:trPr>
        <w:tc>
          <w:tcPr>
            <w:tcW w:w="2335" w:type="dxa"/>
          </w:tcPr>
          <w:p w:rsidRPr="00030CE8" w:rsidR="00604CBE" w:rsidP="00586EE9" w:rsidRDefault="00604CBE" w14:paraId="765F584A" w14:textId="77777777">
            <w:pPr>
              <w:pStyle w:val="Standard"/>
              <w:spacing w:line="240" w:lineRule="auto"/>
              <w:ind w:firstLine="0"/>
              <w:rPr>
                <w:b/>
                <w:bCs/>
                <w:sz w:val="24"/>
                <w:szCs w:val="20"/>
              </w:rPr>
            </w:pPr>
            <w:r w:rsidRPr="00030CE8">
              <w:rPr>
                <w:b/>
                <w:bCs/>
                <w:sz w:val="24"/>
                <w:szCs w:val="20"/>
              </w:rPr>
              <w:t>Marysville</w:t>
            </w:r>
          </w:p>
        </w:tc>
        <w:tc>
          <w:tcPr>
            <w:tcW w:w="1440" w:type="dxa"/>
          </w:tcPr>
          <w:p w:rsidRPr="00030CE8" w:rsidR="00604CBE" w:rsidP="00586EE9" w:rsidRDefault="00604CBE" w14:paraId="42CB1575" w14:textId="77777777">
            <w:pPr>
              <w:pStyle w:val="Standard"/>
              <w:spacing w:line="240" w:lineRule="auto"/>
              <w:ind w:firstLine="0"/>
              <w:rPr>
                <w:sz w:val="24"/>
                <w:szCs w:val="20"/>
              </w:rPr>
            </w:pPr>
            <w:r w:rsidRPr="00030CE8">
              <w:rPr>
                <w:sz w:val="24"/>
                <w:szCs w:val="20"/>
              </w:rPr>
              <w:t>00133119</w:t>
            </w:r>
          </w:p>
        </w:tc>
        <w:tc>
          <w:tcPr>
            <w:tcW w:w="3330" w:type="dxa"/>
          </w:tcPr>
          <w:p w:rsidRPr="00030CE8" w:rsidR="00604CBE" w:rsidP="00586EE9" w:rsidRDefault="00604CBE" w14:paraId="0402FCC1" w14:textId="77777777">
            <w:pPr>
              <w:pStyle w:val="Standard"/>
              <w:spacing w:line="240" w:lineRule="auto"/>
              <w:ind w:firstLine="0"/>
              <w:rPr>
                <w:sz w:val="24"/>
                <w:szCs w:val="20"/>
              </w:rPr>
            </w:pPr>
            <w:r w:rsidRPr="00030CE8">
              <w:rPr>
                <w:sz w:val="24"/>
                <w:szCs w:val="20"/>
              </w:rPr>
              <w:t>Well Land Acquisition</w:t>
            </w:r>
          </w:p>
        </w:tc>
        <w:tc>
          <w:tcPr>
            <w:tcW w:w="1620" w:type="dxa"/>
          </w:tcPr>
          <w:p w:rsidRPr="00030CE8" w:rsidR="00604CBE" w:rsidP="00586EE9" w:rsidRDefault="00604CBE" w14:paraId="01A72407"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041DBE98" w14:textId="77777777">
            <w:pPr>
              <w:pStyle w:val="Standard"/>
              <w:spacing w:line="240" w:lineRule="auto"/>
              <w:ind w:firstLine="0"/>
              <w:rPr>
                <w:sz w:val="24"/>
                <w:szCs w:val="20"/>
              </w:rPr>
            </w:pPr>
            <w:r w:rsidRPr="00030CE8">
              <w:rPr>
                <w:sz w:val="24"/>
                <w:szCs w:val="20"/>
              </w:rPr>
              <w:t>$614,396</w:t>
            </w:r>
          </w:p>
        </w:tc>
      </w:tr>
      <w:tr w:rsidRPr="00030CE8" w:rsidR="00556940" w:rsidTr="0034117D" w14:paraId="55CC6BC7" w14:textId="77777777">
        <w:trPr>
          <w:cantSplit/>
          <w:jc w:val="center"/>
        </w:trPr>
        <w:tc>
          <w:tcPr>
            <w:tcW w:w="2335" w:type="dxa"/>
          </w:tcPr>
          <w:p w:rsidRPr="00030CE8" w:rsidR="00604CBE" w:rsidP="00586EE9" w:rsidRDefault="00604CBE" w14:paraId="2CD87491" w14:textId="77777777">
            <w:pPr>
              <w:pStyle w:val="Standard"/>
              <w:spacing w:line="240" w:lineRule="auto"/>
              <w:ind w:firstLine="0"/>
              <w:rPr>
                <w:b/>
                <w:bCs/>
                <w:sz w:val="24"/>
                <w:szCs w:val="20"/>
              </w:rPr>
            </w:pPr>
          </w:p>
        </w:tc>
        <w:tc>
          <w:tcPr>
            <w:tcW w:w="1440" w:type="dxa"/>
          </w:tcPr>
          <w:p w:rsidRPr="00030CE8" w:rsidR="00604CBE" w:rsidP="00586EE9" w:rsidRDefault="00604CBE" w14:paraId="06FCBBDE" w14:textId="77777777">
            <w:pPr>
              <w:pStyle w:val="Standard"/>
              <w:spacing w:line="240" w:lineRule="auto"/>
              <w:ind w:firstLine="0"/>
              <w:rPr>
                <w:sz w:val="24"/>
                <w:szCs w:val="20"/>
              </w:rPr>
            </w:pPr>
            <w:r w:rsidRPr="00030CE8">
              <w:rPr>
                <w:sz w:val="24"/>
                <w:szCs w:val="20"/>
              </w:rPr>
              <w:t>00133402</w:t>
            </w:r>
          </w:p>
        </w:tc>
        <w:tc>
          <w:tcPr>
            <w:tcW w:w="3330" w:type="dxa"/>
          </w:tcPr>
          <w:p w:rsidR="00556940" w:rsidP="00586EE9" w:rsidRDefault="00604CBE" w14:paraId="3D95C638" w14:textId="77777777">
            <w:pPr>
              <w:pStyle w:val="Standard"/>
              <w:spacing w:line="240" w:lineRule="auto"/>
              <w:ind w:firstLine="0"/>
              <w:rPr>
                <w:sz w:val="24"/>
                <w:szCs w:val="20"/>
              </w:rPr>
            </w:pPr>
            <w:r w:rsidRPr="00030CE8">
              <w:rPr>
                <w:sz w:val="24"/>
                <w:szCs w:val="20"/>
              </w:rPr>
              <w:t>Fire Flow</w:t>
            </w:r>
            <w:r w:rsidRPr="00030CE8" w:rsidR="00785601">
              <w:rPr>
                <w:sz w:val="24"/>
                <w:szCs w:val="20"/>
              </w:rPr>
              <w:t> /</w:t>
            </w:r>
          </w:p>
          <w:p w:rsidRPr="00030CE8" w:rsidR="00604CBE" w:rsidP="00586EE9" w:rsidRDefault="00604CBE" w14:paraId="28BFE5DA" w14:textId="2ED85DDD">
            <w:pPr>
              <w:pStyle w:val="Standard"/>
              <w:spacing w:line="240" w:lineRule="auto"/>
              <w:ind w:firstLine="0"/>
              <w:rPr>
                <w:sz w:val="24"/>
                <w:szCs w:val="20"/>
              </w:rPr>
            </w:pPr>
            <w:r w:rsidRPr="00030CE8">
              <w:rPr>
                <w:sz w:val="24"/>
                <w:szCs w:val="20"/>
              </w:rPr>
              <w:t>Hydrant Equipment</w:t>
            </w:r>
          </w:p>
        </w:tc>
        <w:tc>
          <w:tcPr>
            <w:tcW w:w="1620" w:type="dxa"/>
          </w:tcPr>
          <w:p w:rsidRPr="00030CE8" w:rsidR="00604CBE" w:rsidP="00586EE9" w:rsidRDefault="00604CBE" w14:paraId="64E1AA7E"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40569CDC" w14:textId="77777777">
            <w:pPr>
              <w:pStyle w:val="Standard"/>
              <w:spacing w:line="240" w:lineRule="auto"/>
              <w:ind w:firstLine="0"/>
              <w:rPr>
                <w:sz w:val="24"/>
                <w:szCs w:val="20"/>
              </w:rPr>
            </w:pPr>
            <w:r w:rsidRPr="00030CE8">
              <w:rPr>
                <w:sz w:val="24"/>
                <w:szCs w:val="20"/>
              </w:rPr>
              <w:t>$4,045</w:t>
            </w:r>
          </w:p>
        </w:tc>
      </w:tr>
      <w:tr w:rsidRPr="00030CE8" w:rsidR="00556940" w:rsidTr="0034117D" w14:paraId="09D77B18" w14:textId="77777777">
        <w:trPr>
          <w:cantSplit/>
          <w:jc w:val="center"/>
        </w:trPr>
        <w:tc>
          <w:tcPr>
            <w:tcW w:w="2335" w:type="dxa"/>
          </w:tcPr>
          <w:p w:rsidRPr="00030CE8" w:rsidR="00604CBE" w:rsidP="00586EE9" w:rsidRDefault="00604CBE" w14:paraId="1E4F928D" w14:textId="77777777">
            <w:pPr>
              <w:pStyle w:val="Standard"/>
              <w:spacing w:line="240" w:lineRule="auto"/>
              <w:ind w:firstLine="0"/>
              <w:rPr>
                <w:b/>
                <w:bCs/>
                <w:sz w:val="24"/>
                <w:szCs w:val="20"/>
              </w:rPr>
            </w:pPr>
          </w:p>
        </w:tc>
        <w:tc>
          <w:tcPr>
            <w:tcW w:w="1440" w:type="dxa"/>
          </w:tcPr>
          <w:p w:rsidRPr="00030CE8" w:rsidR="00604CBE" w:rsidP="00586EE9" w:rsidRDefault="00604CBE" w14:paraId="6DB5FC38" w14:textId="77777777">
            <w:pPr>
              <w:pStyle w:val="Standard"/>
              <w:spacing w:line="240" w:lineRule="auto"/>
              <w:ind w:firstLine="0"/>
              <w:rPr>
                <w:sz w:val="24"/>
                <w:szCs w:val="20"/>
              </w:rPr>
            </w:pPr>
            <w:r w:rsidRPr="00030CE8">
              <w:rPr>
                <w:sz w:val="24"/>
                <w:szCs w:val="20"/>
              </w:rPr>
              <w:t>00133118</w:t>
            </w:r>
          </w:p>
        </w:tc>
        <w:tc>
          <w:tcPr>
            <w:tcW w:w="3330" w:type="dxa"/>
          </w:tcPr>
          <w:p w:rsidRPr="00030CE8" w:rsidR="00604CBE" w:rsidP="00586EE9" w:rsidRDefault="00604CBE" w14:paraId="7999D7BE" w14:textId="77777777">
            <w:pPr>
              <w:pStyle w:val="Standard"/>
              <w:spacing w:line="240" w:lineRule="auto"/>
              <w:ind w:firstLine="0"/>
              <w:rPr>
                <w:sz w:val="24"/>
                <w:szCs w:val="20"/>
              </w:rPr>
            </w:pPr>
            <w:r w:rsidRPr="00030CE8">
              <w:rPr>
                <w:sz w:val="24"/>
                <w:szCs w:val="20"/>
              </w:rPr>
              <w:t>Well Siting Study</w:t>
            </w:r>
          </w:p>
        </w:tc>
        <w:tc>
          <w:tcPr>
            <w:tcW w:w="1620" w:type="dxa"/>
          </w:tcPr>
          <w:p w:rsidRPr="00030CE8" w:rsidR="00604CBE" w:rsidP="00586EE9" w:rsidRDefault="00604CBE" w14:paraId="1DF68757" w14:textId="77777777">
            <w:pPr>
              <w:pStyle w:val="Standard"/>
              <w:spacing w:line="240" w:lineRule="auto"/>
              <w:ind w:firstLine="0"/>
              <w:rPr>
                <w:sz w:val="24"/>
                <w:szCs w:val="20"/>
              </w:rPr>
            </w:pPr>
            <w:r w:rsidRPr="00030CE8">
              <w:rPr>
                <w:sz w:val="24"/>
                <w:szCs w:val="20"/>
              </w:rPr>
              <w:t>Deferred</w:t>
            </w:r>
          </w:p>
        </w:tc>
        <w:tc>
          <w:tcPr>
            <w:tcW w:w="1830" w:type="dxa"/>
          </w:tcPr>
          <w:p w:rsidRPr="00030CE8" w:rsidR="00483B3C" w:rsidP="00586EE9" w:rsidRDefault="00604CBE" w14:paraId="4E443983"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15B2DD10" w14:textId="5E49BF7E">
            <w:pPr>
              <w:pStyle w:val="Standard"/>
              <w:spacing w:line="240" w:lineRule="auto"/>
              <w:ind w:firstLine="0"/>
              <w:rPr>
                <w:sz w:val="24"/>
                <w:szCs w:val="20"/>
              </w:rPr>
            </w:pPr>
            <w:r w:rsidRPr="00030CE8">
              <w:rPr>
                <w:sz w:val="24"/>
                <w:szCs w:val="20"/>
              </w:rPr>
              <w:t>from this GRC</w:t>
            </w:r>
          </w:p>
        </w:tc>
      </w:tr>
      <w:tr w:rsidRPr="00030CE8" w:rsidR="00556940" w:rsidTr="0034117D" w14:paraId="3C449E7D" w14:textId="77777777">
        <w:trPr>
          <w:cantSplit/>
          <w:jc w:val="center"/>
        </w:trPr>
        <w:tc>
          <w:tcPr>
            <w:tcW w:w="2335" w:type="dxa"/>
          </w:tcPr>
          <w:p w:rsidRPr="00030CE8" w:rsidR="00604CBE" w:rsidP="00586EE9" w:rsidRDefault="00604CBE" w14:paraId="2A99F7C0" w14:textId="77777777">
            <w:pPr>
              <w:pStyle w:val="Standard"/>
              <w:spacing w:line="240" w:lineRule="auto"/>
              <w:ind w:firstLine="0"/>
              <w:rPr>
                <w:b/>
                <w:bCs/>
                <w:sz w:val="24"/>
                <w:szCs w:val="20"/>
              </w:rPr>
            </w:pPr>
            <w:r w:rsidRPr="00030CE8">
              <w:rPr>
                <w:b/>
                <w:bCs/>
                <w:sz w:val="24"/>
                <w:szCs w:val="20"/>
              </w:rPr>
              <w:t>Oroville</w:t>
            </w:r>
          </w:p>
        </w:tc>
        <w:tc>
          <w:tcPr>
            <w:tcW w:w="1440" w:type="dxa"/>
          </w:tcPr>
          <w:p w:rsidRPr="00030CE8" w:rsidR="00604CBE" w:rsidP="00586EE9" w:rsidRDefault="00604CBE" w14:paraId="6FC244C8" w14:textId="77777777">
            <w:pPr>
              <w:pStyle w:val="Standard"/>
              <w:spacing w:line="240" w:lineRule="auto"/>
              <w:ind w:firstLine="0"/>
              <w:rPr>
                <w:sz w:val="24"/>
                <w:szCs w:val="20"/>
              </w:rPr>
            </w:pPr>
            <w:r w:rsidRPr="00030CE8">
              <w:rPr>
                <w:sz w:val="24"/>
                <w:szCs w:val="20"/>
              </w:rPr>
              <w:t>00133123</w:t>
            </w:r>
          </w:p>
        </w:tc>
        <w:tc>
          <w:tcPr>
            <w:tcW w:w="3330" w:type="dxa"/>
          </w:tcPr>
          <w:p w:rsidRPr="00030CE8" w:rsidR="00604CBE" w:rsidP="00586EE9" w:rsidRDefault="00604CBE" w14:paraId="0AD5AA2A" w14:textId="77777777">
            <w:pPr>
              <w:pStyle w:val="Standard"/>
              <w:spacing w:line="240" w:lineRule="auto"/>
              <w:ind w:firstLine="0"/>
              <w:rPr>
                <w:sz w:val="24"/>
                <w:szCs w:val="20"/>
              </w:rPr>
            </w:pPr>
            <w:r w:rsidRPr="00030CE8">
              <w:rPr>
                <w:sz w:val="24"/>
                <w:szCs w:val="20"/>
              </w:rPr>
              <w:t>Clarification Improvements</w:t>
            </w:r>
          </w:p>
        </w:tc>
        <w:tc>
          <w:tcPr>
            <w:tcW w:w="1620" w:type="dxa"/>
          </w:tcPr>
          <w:p w:rsidRPr="00030CE8" w:rsidR="00604CBE" w:rsidP="00586EE9" w:rsidRDefault="00604CBE" w14:paraId="41EDCA53"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5A77AD6A" w14:textId="77777777">
            <w:pPr>
              <w:pStyle w:val="Standard"/>
              <w:spacing w:line="240" w:lineRule="auto"/>
              <w:ind w:firstLine="0"/>
              <w:rPr>
                <w:sz w:val="24"/>
                <w:szCs w:val="20"/>
              </w:rPr>
            </w:pPr>
            <w:r w:rsidRPr="00030CE8">
              <w:rPr>
                <w:sz w:val="24"/>
                <w:szCs w:val="20"/>
              </w:rPr>
              <w:t>$1,195,610</w:t>
            </w:r>
          </w:p>
        </w:tc>
      </w:tr>
      <w:tr w:rsidRPr="00030CE8" w:rsidR="00556940" w:rsidTr="0034117D" w14:paraId="7670F913" w14:textId="77777777">
        <w:trPr>
          <w:cantSplit/>
          <w:jc w:val="center"/>
        </w:trPr>
        <w:tc>
          <w:tcPr>
            <w:tcW w:w="2335" w:type="dxa"/>
          </w:tcPr>
          <w:p w:rsidRPr="00030CE8" w:rsidR="00604CBE" w:rsidP="00586EE9" w:rsidRDefault="00604CBE" w14:paraId="2F80F93A" w14:textId="77777777">
            <w:pPr>
              <w:pStyle w:val="Standard"/>
              <w:spacing w:line="240" w:lineRule="auto"/>
              <w:ind w:firstLine="0"/>
              <w:rPr>
                <w:b/>
                <w:bCs/>
                <w:sz w:val="24"/>
                <w:szCs w:val="20"/>
              </w:rPr>
            </w:pPr>
          </w:p>
        </w:tc>
        <w:tc>
          <w:tcPr>
            <w:tcW w:w="1440" w:type="dxa"/>
          </w:tcPr>
          <w:p w:rsidRPr="00030CE8" w:rsidR="00604CBE" w:rsidP="00586EE9" w:rsidRDefault="00604CBE" w14:paraId="01E5FB6B" w14:textId="77777777">
            <w:pPr>
              <w:pStyle w:val="Standard"/>
              <w:spacing w:line="240" w:lineRule="auto"/>
              <w:ind w:firstLine="0"/>
              <w:rPr>
                <w:sz w:val="24"/>
                <w:szCs w:val="20"/>
              </w:rPr>
            </w:pPr>
            <w:r w:rsidRPr="00030CE8">
              <w:rPr>
                <w:sz w:val="24"/>
                <w:szCs w:val="20"/>
              </w:rPr>
              <w:t>00133124</w:t>
            </w:r>
          </w:p>
        </w:tc>
        <w:tc>
          <w:tcPr>
            <w:tcW w:w="3330" w:type="dxa"/>
          </w:tcPr>
          <w:p w:rsidRPr="00030CE8" w:rsidR="00604CBE" w:rsidP="00586EE9" w:rsidRDefault="00604CBE" w14:paraId="6EEAE713" w14:textId="77777777">
            <w:pPr>
              <w:pStyle w:val="Standard"/>
              <w:spacing w:line="240" w:lineRule="auto"/>
              <w:ind w:firstLine="0"/>
              <w:rPr>
                <w:sz w:val="24"/>
                <w:szCs w:val="20"/>
              </w:rPr>
            </w:pPr>
            <w:r w:rsidRPr="00030CE8">
              <w:rPr>
                <w:sz w:val="24"/>
                <w:szCs w:val="20"/>
              </w:rPr>
              <w:t>Chlorine System Replacement</w:t>
            </w:r>
          </w:p>
        </w:tc>
        <w:tc>
          <w:tcPr>
            <w:tcW w:w="1620" w:type="dxa"/>
          </w:tcPr>
          <w:p w:rsidRPr="00030CE8" w:rsidR="00604CBE" w:rsidP="00586EE9" w:rsidRDefault="00604CBE" w14:paraId="44AFAE61"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22C18DFD" w14:textId="77777777">
            <w:pPr>
              <w:pStyle w:val="Standard"/>
              <w:spacing w:line="240" w:lineRule="auto"/>
              <w:ind w:firstLine="0"/>
              <w:rPr>
                <w:sz w:val="24"/>
                <w:szCs w:val="20"/>
              </w:rPr>
            </w:pPr>
            <w:r w:rsidRPr="00030CE8">
              <w:rPr>
                <w:sz w:val="24"/>
                <w:szCs w:val="20"/>
              </w:rPr>
              <w:t>$603,798</w:t>
            </w:r>
          </w:p>
        </w:tc>
      </w:tr>
      <w:tr w:rsidRPr="00030CE8" w:rsidR="00556940" w:rsidTr="0034117D" w14:paraId="519FC6CC" w14:textId="77777777">
        <w:trPr>
          <w:cantSplit/>
          <w:jc w:val="center"/>
        </w:trPr>
        <w:tc>
          <w:tcPr>
            <w:tcW w:w="2335" w:type="dxa"/>
          </w:tcPr>
          <w:p w:rsidRPr="00030CE8" w:rsidR="00604CBE" w:rsidP="00586EE9" w:rsidRDefault="00604CBE" w14:paraId="671049C2" w14:textId="77777777">
            <w:pPr>
              <w:pStyle w:val="Standard"/>
              <w:spacing w:line="240" w:lineRule="auto"/>
              <w:ind w:firstLine="0"/>
              <w:rPr>
                <w:b/>
                <w:bCs/>
                <w:sz w:val="24"/>
                <w:szCs w:val="20"/>
              </w:rPr>
            </w:pPr>
          </w:p>
        </w:tc>
        <w:tc>
          <w:tcPr>
            <w:tcW w:w="1440" w:type="dxa"/>
          </w:tcPr>
          <w:p w:rsidRPr="00030CE8" w:rsidR="00604CBE" w:rsidP="00586EE9" w:rsidRDefault="00604CBE" w14:paraId="76EA7B0E" w14:textId="77777777">
            <w:pPr>
              <w:pStyle w:val="Standard"/>
              <w:spacing w:line="240" w:lineRule="auto"/>
              <w:ind w:firstLine="0"/>
              <w:rPr>
                <w:sz w:val="24"/>
                <w:szCs w:val="20"/>
              </w:rPr>
            </w:pPr>
            <w:r w:rsidRPr="00030CE8">
              <w:rPr>
                <w:sz w:val="24"/>
                <w:szCs w:val="20"/>
              </w:rPr>
              <w:t>00133125</w:t>
            </w:r>
          </w:p>
        </w:tc>
        <w:tc>
          <w:tcPr>
            <w:tcW w:w="3330" w:type="dxa"/>
          </w:tcPr>
          <w:p w:rsidRPr="00030CE8" w:rsidR="00604CBE" w:rsidP="00586EE9" w:rsidRDefault="00604CBE" w14:paraId="1C7FB14A" w14:textId="77777777">
            <w:pPr>
              <w:pStyle w:val="Standard"/>
              <w:spacing w:line="240" w:lineRule="auto"/>
              <w:ind w:firstLine="0"/>
              <w:rPr>
                <w:sz w:val="24"/>
                <w:szCs w:val="20"/>
              </w:rPr>
            </w:pPr>
            <w:r w:rsidRPr="00030CE8">
              <w:rPr>
                <w:sz w:val="24"/>
                <w:szCs w:val="20"/>
              </w:rPr>
              <w:t>Sedimentation Basin Improvements</w:t>
            </w:r>
          </w:p>
        </w:tc>
        <w:tc>
          <w:tcPr>
            <w:tcW w:w="1620" w:type="dxa"/>
          </w:tcPr>
          <w:p w:rsidRPr="00030CE8" w:rsidR="00604CBE" w:rsidP="00586EE9" w:rsidRDefault="00604CBE" w14:paraId="69C11841"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2FCC748B" w14:textId="77777777">
            <w:pPr>
              <w:pStyle w:val="Standard"/>
              <w:spacing w:line="240" w:lineRule="auto"/>
              <w:ind w:firstLine="0"/>
              <w:rPr>
                <w:sz w:val="24"/>
                <w:szCs w:val="20"/>
              </w:rPr>
            </w:pPr>
            <w:r w:rsidRPr="00030CE8">
              <w:rPr>
                <w:sz w:val="24"/>
                <w:szCs w:val="20"/>
              </w:rPr>
              <w:t>$404,692</w:t>
            </w:r>
          </w:p>
        </w:tc>
      </w:tr>
      <w:tr w:rsidRPr="00030CE8" w:rsidR="00556940" w:rsidTr="0034117D" w14:paraId="46D32B0F" w14:textId="77777777">
        <w:trPr>
          <w:cantSplit/>
          <w:jc w:val="center"/>
        </w:trPr>
        <w:tc>
          <w:tcPr>
            <w:tcW w:w="2335" w:type="dxa"/>
          </w:tcPr>
          <w:p w:rsidRPr="00030CE8" w:rsidR="00604CBE" w:rsidP="00586EE9" w:rsidRDefault="00604CBE" w14:paraId="799A52D4" w14:textId="77777777">
            <w:pPr>
              <w:pStyle w:val="Standard"/>
              <w:spacing w:line="240" w:lineRule="auto"/>
              <w:ind w:firstLine="0"/>
              <w:rPr>
                <w:b/>
                <w:bCs/>
                <w:sz w:val="24"/>
                <w:szCs w:val="20"/>
              </w:rPr>
            </w:pPr>
            <w:r w:rsidRPr="00030CE8">
              <w:rPr>
                <w:b/>
                <w:bCs/>
                <w:sz w:val="24"/>
                <w:szCs w:val="20"/>
              </w:rPr>
              <w:t>Salinas</w:t>
            </w:r>
          </w:p>
        </w:tc>
        <w:tc>
          <w:tcPr>
            <w:tcW w:w="1440" w:type="dxa"/>
          </w:tcPr>
          <w:p w:rsidRPr="00030CE8" w:rsidR="00604CBE" w:rsidP="00586EE9" w:rsidRDefault="00604CBE" w14:paraId="30687D3D" w14:textId="77777777">
            <w:pPr>
              <w:pStyle w:val="Standard"/>
              <w:spacing w:line="240" w:lineRule="auto"/>
              <w:ind w:firstLine="0"/>
              <w:rPr>
                <w:sz w:val="24"/>
                <w:szCs w:val="20"/>
              </w:rPr>
            </w:pPr>
            <w:r w:rsidRPr="00030CE8">
              <w:rPr>
                <w:sz w:val="24"/>
                <w:szCs w:val="20"/>
              </w:rPr>
              <w:t>00133233</w:t>
            </w:r>
          </w:p>
        </w:tc>
        <w:tc>
          <w:tcPr>
            <w:tcW w:w="3330" w:type="dxa"/>
          </w:tcPr>
          <w:p w:rsidRPr="00030CE8" w:rsidR="00604CBE" w:rsidP="00586EE9" w:rsidRDefault="00604CBE" w14:paraId="33994821" w14:textId="77777777">
            <w:pPr>
              <w:pStyle w:val="Standard"/>
              <w:spacing w:line="240" w:lineRule="auto"/>
              <w:ind w:firstLine="0"/>
              <w:rPr>
                <w:sz w:val="24"/>
                <w:szCs w:val="20"/>
              </w:rPr>
            </w:pPr>
            <w:r w:rsidRPr="00030CE8">
              <w:rPr>
                <w:sz w:val="24"/>
                <w:szCs w:val="20"/>
              </w:rPr>
              <w:t>New Well Station 155 Zone</w:t>
            </w:r>
          </w:p>
        </w:tc>
        <w:tc>
          <w:tcPr>
            <w:tcW w:w="1620" w:type="dxa"/>
          </w:tcPr>
          <w:p w:rsidRPr="00030CE8" w:rsidR="00604CBE" w:rsidP="00586EE9" w:rsidRDefault="00604CBE" w14:paraId="1A70F1F5" w14:textId="77777777">
            <w:pPr>
              <w:pStyle w:val="Standard"/>
              <w:spacing w:line="240" w:lineRule="auto"/>
              <w:ind w:firstLine="0"/>
              <w:rPr>
                <w:sz w:val="24"/>
                <w:szCs w:val="20"/>
              </w:rPr>
            </w:pPr>
            <w:r w:rsidRPr="00030CE8">
              <w:rPr>
                <w:sz w:val="24"/>
                <w:szCs w:val="20"/>
              </w:rPr>
              <w:t>Deferred</w:t>
            </w:r>
          </w:p>
        </w:tc>
        <w:tc>
          <w:tcPr>
            <w:tcW w:w="1830" w:type="dxa"/>
          </w:tcPr>
          <w:p w:rsidRPr="00030CE8" w:rsidR="00BD1D1B" w:rsidP="00586EE9" w:rsidRDefault="00604CBE" w14:paraId="5E8A2F60"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79FF00EB" w14:textId="25A24DAA">
            <w:pPr>
              <w:pStyle w:val="Standard"/>
              <w:spacing w:line="240" w:lineRule="auto"/>
              <w:ind w:firstLine="0"/>
              <w:rPr>
                <w:sz w:val="24"/>
                <w:szCs w:val="20"/>
              </w:rPr>
            </w:pPr>
            <w:r w:rsidRPr="00030CE8">
              <w:rPr>
                <w:sz w:val="24"/>
                <w:szCs w:val="20"/>
              </w:rPr>
              <w:t>from this GRC</w:t>
            </w:r>
          </w:p>
        </w:tc>
      </w:tr>
      <w:tr w:rsidRPr="00030CE8" w:rsidR="00556940" w:rsidTr="0034117D" w14:paraId="6C708BCE" w14:textId="77777777">
        <w:trPr>
          <w:cantSplit/>
          <w:jc w:val="center"/>
        </w:trPr>
        <w:tc>
          <w:tcPr>
            <w:tcW w:w="2335" w:type="dxa"/>
          </w:tcPr>
          <w:p w:rsidRPr="00030CE8" w:rsidR="00604CBE" w:rsidP="00586EE9" w:rsidRDefault="00604CBE" w14:paraId="2E27C9AC" w14:textId="77777777">
            <w:pPr>
              <w:pStyle w:val="Standard"/>
              <w:spacing w:line="240" w:lineRule="auto"/>
              <w:ind w:firstLine="0"/>
              <w:rPr>
                <w:b/>
                <w:bCs/>
                <w:sz w:val="24"/>
                <w:szCs w:val="20"/>
              </w:rPr>
            </w:pPr>
          </w:p>
        </w:tc>
        <w:tc>
          <w:tcPr>
            <w:tcW w:w="1440" w:type="dxa"/>
          </w:tcPr>
          <w:p w:rsidRPr="00030CE8" w:rsidR="00604CBE" w:rsidP="00586EE9" w:rsidRDefault="00604CBE" w14:paraId="4770A28D" w14:textId="77777777">
            <w:pPr>
              <w:pStyle w:val="Standard"/>
              <w:spacing w:line="240" w:lineRule="auto"/>
              <w:ind w:firstLine="0"/>
              <w:rPr>
                <w:sz w:val="24"/>
                <w:szCs w:val="20"/>
              </w:rPr>
            </w:pPr>
            <w:r w:rsidRPr="00030CE8">
              <w:rPr>
                <w:sz w:val="24"/>
                <w:szCs w:val="20"/>
              </w:rPr>
              <w:t>00133235</w:t>
            </w:r>
          </w:p>
        </w:tc>
        <w:tc>
          <w:tcPr>
            <w:tcW w:w="3330" w:type="dxa"/>
          </w:tcPr>
          <w:p w:rsidRPr="00030CE8" w:rsidR="00604CBE" w:rsidP="00586EE9" w:rsidRDefault="00604CBE" w14:paraId="4718D79C" w14:textId="77777777">
            <w:pPr>
              <w:pStyle w:val="Standard"/>
              <w:spacing w:line="240" w:lineRule="auto"/>
              <w:ind w:firstLine="0"/>
              <w:rPr>
                <w:sz w:val="24"/>
                <w:szCs w:val="20"/>
              </w:rPr>
            </w:pPr>
            <w:r w:rsidRPr="00030CE8">
              <w:rPr>
                <w:sz w:val="24"/>
                <w:szCs w:val="20"/>
              </w:rPr>
              <w:t>Property Purchase</w:t>
            </w:r>
          </w:p>
        </w:tc>
        <w:tc>
          <w:tcPr>
            <w:tcW w:w="1620" w:type="dxa"/>
          </w:tcPr>
          <w:p w:rsidRPr="00030CE8" w:rsidR="00604CBE" w:rsidP="00586EE9" w:rsidRDefault="00604CBE" w14:paraId="1F145417" w14:textId="77777777">
            <w:pPr>
              <w:pStyle w:val="Standard"/>
              <w:spacing w:line="240" w:lineRule="auto"/>
              <w:ind w:firstLine="0"/>
              <w:rPr>
                <w:sz w:val="24"/>
                <w:szCs w:val="20"/>
              </w:rPr>
            </w:pPr>
            <w:r w:rsidRPr="00030CE8">
              <w:rPr>
                <w:sz w:val="24"/>
                <w:szCs w:val="20"/>
              </w:rPr>
              <w:t>Deferred</w:t>
            </w:r>
          </w:p>
        </w:tc>
        <w:tc>
          <w:tcPr>
            <w:tcW w:w="1830" w:type="dxa"/>
          </w:tcPr>
          <w:p w:rsidRPr="00030CE8" w:rsidR="00BD1D1B" w:rsidP="00586EE9" w:rsidRDefault="00604CBE" w14:paraId="02911397"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69EAB6B7" w14:textId="4ED954A5">
            <w:pPr>
              <w:pStyle w:val="Standard"/>
              <w:spacing w:line="240" w:lineRule="auto"/>
              <w:ind w:firstLine="0"/>
              <w:rPr>
                <w:sz w:val="24"/>
                <w:szCs w:val="20"/>
              </w:rPr>
            </w:pPr>
            <w:r w:rsidRPr="00030CE8">
              <w:rPr>
                <w:sz w:val="24"/>
                <w:szCs w:val="20"/>
              </w:rPr>
              <w:t>from this GRC</w:t>
            </w:r>
          </w:p>
        </w:tc>
      </w:tr>
      <w:tr w:rsidRPr="00030CE8" w:rsidR="00556940" w:rsidTr="0034117D" w14:paraId="7141DD05" w14:textId="77777777">
        <w:trPr>
          <w:cantSplit/>
          <w:jc w:val="center"/>
        </w:trPr>
        <w:tc>
          <w:tcPr>
            <w:tcW w:w="2335" w:type="dxa"/>
          </w:tcPr>
          <w:p w:rsidRPr="00030CE8" w:rsidR="00604CBE" w:rsidP="00586EE9" w:rsidRDefault="00604CBE" w14:paraId="34B04B4F" w14:textId="77777777">
            <w:pPr>
              <w:pStyle w:val="Standard"/>
              <w:spacing w:line="240" w:lineRule="auto"/>
              <w:ind w:firstLine="0"/>
              <w:rPr>
                <w:b/>
                <w:bCs/>
                <w:sz w:val="24"/>
                <w:szCs w:val="20"/>
              </w:rPr>
            </w:pPr>
            <w:r w:rsidRPr="00030CE8">
              <w:rPr>
                <w:b/>
                <w:bCs/>
                <w:sz w:val="24"/>
                <w:szCs w:val="20"/>
              </w:rPr>
              <w:t>Stockton</w:t>
            </w:r>
          </w:p>
        </w:tc>
        <w:tc>
          <w:tcPr>
            <w:tcW w:w="1440" w:type="dxa"/>
          </w:tcPr>
          <w:p w:rsidR="00CE0158" w:rsidP="00586EE9" w:rsidRDefault="00604CBE" w14:paraId="3DB1F743" w14:textId="77777777">
            <w:pPr>
              <w:pStyle w:val="Standard"/>
              <w:spacing w:line="240" w:lineRule="auto"/>
              <w:ind w:firstLine="0"/>
              <w:rPr>
                <w:sz w:val="24"/>
                <w:szCs w:val="20"/>
              </w:rPr>
            </w:pPr>
            <w:r w:rsidRPr="00030CE8">
              <w:rPr>
                <w:sz w:val="24"/>
                <w:szCs w:val="20"/>
              </w:rPr>
              <w:t>00133216;</w:t>
            </w:r>
          </w:p>
          <w:p w:rsidRPr="00030CE8" w:rsidR="00604CBE" w:rsidP="00586EE9" w:rsidRDefault="00604CBE" w14:paraId="6A45D7B5" w14:textId="63F80A59">
            <w:pPr>
              <w:pStyle w:val="Standard"/>
              <w:spacing w:line="240" w:lineRule="auto"/>
              <w:ind w:firstLine="0"/>
              <w:rPr>
                <w:sz w:val="24"/>
                <w:szCs w:val="20"/>
              </w:rPr>
            </w:pPr>
            <w:r w:rsidRPr="00030CE8">
              <w:rPr>
                <w:sz w:val="24"/>
                <w:szCs w:val="20"/>
              </w:rPr>
              <w:t>00133217</w:t>
            </w:r>
          </w:p>
        </w:tc>
        <w:tc>
          <w:tcPr>
            <w:tcW w:w="3330" w:type="dxa"/>
          </w:tcPr>
          <w:p w:rsidRPr="00030CE8" w:rsidR="00604CBE" w:rsidP="00586EE9" w:rsidRDefault="00604CBE" w14:paraId="14713BEF" w14:textId="77777777">
            <w:pPr>
              <w:pStyle w:val="Standard"/>
              <w:spacing w:line="240" w:lineRule="auto"/>
              <w:ind w:firstLine="0"/>
              <w:rPr>
                <w:sz w:val="24"/>
                <w:szCs w:val="20"/>
              </w:rPr>
            </w:pPr>
            <w:r w:rsidRPr="00030CE8">
              <w:rPr>
                <w:sz w:val="24"/>
                <w:szCs w:val="20"/>
              </w:rPr>
              <w:t>Land Purchases</w:t>
            </w:r>
          </w:p>
        </w:tc>
        <w:tc>
          <w:tcPr>
            <w:tcW w:w="1620" w:type="dxa"/>
          </w:tcPr>
          <w:p w:rsidRPr="00030CE8" w:rsidR="00604CBE" w:rsidP="00586EE9" w:rsidRDefault="00604CBE" w14:paraId="5714F8FE" w14:textId="77777777">
            <w:pPr>
              <w:pStyle w:val="Standard"/>
              <w:spacing w:line="240" w:lineRule="auto"/>
              <w:ind w:firstLine="0"/>
              <w:rPr>
                <w:sz w:val="24"/>
                <w:szCs w:val="20"/>
              </w:rPr>
            </w:pPr>
            <w:r w:rsidRPr="00030CE8">
              <w:rPr>
                <w:sz w:val="24"/>
                <w:szCs w:val="20"/>
              </w:rPr>
              <w:t>Deferred</w:t>
            </w:r>
          </w:p>
        </w:tc>
        <w:tc>
          <w:tcPr>
            <w:tcW w:w="1830" w:type="dxa"/>
          </w:tcPr>
          <w:p w:rsidRPr="00030CE8" w:rsidR="00BD1D1B" w:rsidP="00586EE9" w:rsidRDefault="00604CBE" w14:paraId="7EBD7E27"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5AA118D0" w14:textId="7F1FB707">
            <w:pPr>
              <w:pStyle w:val="Standard"/>
              <w:spacing w:line="240" w:lineRule="auto"/>
              <w:ind w:firstLine="0"/>
              <w:rPr>
                <w:sz w:val="24"/>
                <w:szCs w:val="20"/>
              </w:rPr>
            </w:pPr>
            <w:r w:rsidRPr="00030CE8">
              <w:rPr>
                <w:sz w:val="24"/>
                <w:szCs w:val="20"/>
              </w:rPr>
              <w:t>from this GRC</w:t>
            </w:r>
          </w:p>
        </w:tc>
      </w:tr>
      <w:tr w:rsidRPr="00030CE8" w:rsidR="00556940" w:rsidTr="0034117D" w14:paraId="03D9F87D" w14:textId="77777777">
        <w:trPr>
          <w:cantSplit/>
          <w:jc w:val="center"/>
        </w:trPr>
        <w:tc>
          <w:tcPr>
            <w:tcW w:w="2335" w:type="dxa"/>
          </w:tcPr>
          <w:p w:rsidRPr="00030CE8" w:rsidR="00604CBE" w:rsidP="00586EE9" w:rsidRDefault="00604CBE" w14:paraId="06C8F385" w14:textId="77777777">
            <w:pPr>
              <w:pStyle w:val="Standard"/>
              <w:spacing w:line="240" w:lineRule="auto"/>
              <w:ind w:firstLine="0"/>
              <w:rPr>
                <w:b/>
                <w:bCs/>
                <w:sz w:val="24"/>
                <w:szCs w:val="20"/>
              </w:rPr>
            </w:pPr>
            <w:r w:rsidRPr="00030CE8">
              <w:rPr>
                <w:b/>
                <w:bCs/>
                <w:sz w:val="24"/>
                <w:szCs w:val="20"/>
              </w:rPr>
              <w:t>Travis</w:t>
            </w:r>
          </w:p>
        </w:tc>
        <w:tc>
          <w:tcPr>
            <w:tcW w:w="1440" w:type="dxa"/>
          </w:tcPr>
          <w:p w:rsidRPr="00030CE8" w:rsidR="00604CBE" w:rsidP="00586EE9" w:rsidRDefault="00604CBE" w14:paraId="6632DB9A" w14:textId="77777777">
            <w:pPr>
              <w:pStyle w:val="Standard"/>
              <w:spacing w:line="240" w:lineRule="auto"/>
              <w:ind w:firstLine="0"/>
              <w:rPr>
                <w:sz w:val="24"/>
                <w:szCs w:val="20"/>
              </w:rPr>
            </w:pPr>
            <w:r w:rsidRPr="00030CE8">
              <w:rPr>
                <w:sz w:val="24"/>
                <w:szCs w:val="20"/>
              </w:rPr>
              <w:t>00133516</w:t>
            </w:r>
          </w:p>
        </w:tc>
        <w:tc>
          <w:tcPr>
            <w:tcW w:w="3330" w:type="dxa"/>
          </w:tcPr>
          <w:p w:rsidRPr="00030CE8" w:rsidR="00604CBE" w:rsidP="00586EE9" w:rsidRDefault="00604CBE" w14:paraId="481F9C2E" w14:textId="74538F37">
            <w:pPr>
              <w:pStyle w:val="Standard"/>
              <w:spacing w:line="240" w:lineRule="auto"/>
              <w:ind w:firstLine="0"/>
              <w:rPr>
                <w:sz w:val="24"/>
                <w:szCs w:val="20"/>
              </w:rPr>
            </w:pPr>
            <w:r w:rsidRPr="00030CE8">
              <w:rPr>
                <w:sz w:val="24"/>
                <w:szCs w:val="20"/>
              </w:rPr>
              <w:t>TAB</w:t>
            </w:r>
            <w:r w:rsidR="00270999">
              <w:rPr>
                <w:sz w:val="24"/>
                <w:szCs w:val="20"/>
              </w:rPr>
              <w:noBreakHyphen/>
            </w:r>
            <w:r w:rsidRPr="00030CE8">
              <w:rPr>
                <w:sz w:val="24"/>
                <w:szCs w:val="20"/>
              </w:rPr>
              <w:t>002</w:t>
            </w:r>
            <w:r w:rsidR="00270999">
              <w:rPr>
                <w:sz w:val="24"/>
                <w:szCs w:val="20"/>
              </w:rPr>
              <w:noBreakHyphen/>
            </w:r>
            <w:r w:rsidRPr="00030CE8">
              <w:rPr>
                <w:sz w:val="24"/>
                <w:szCs w:val="20"/>
              </w:rPr>
              <w:t>T2 Surface Aeration</w:t>
            </w:r>
          </w:p>
        </w:tc>
        <w:tc>
          <w:tcPr>
            <w:tcW w:w="1620" w:type="dxa"/>
          </w:tcPr>
          <w:p w:rsidRPr="00030CE8" w:rsidR="00604CBE" w:rsidP="00586EE9" w:rsidRDefault="00604CBE" w14:paraId="7FB76680"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39E43BE1" w14:textId="77777777">
            <w:pPr>
              <w:pStyle w:val="Standard"/>
              <w:spacing w:line="240" w:lineRule="auto"/>
              <w:ind w:firstLine="0"/>
              <w:rPr>
                <w:sz w:val="24"/>
                <w:szCs w:val="20"/>
              </w:rPr>
            </w:pPr>
            <w:r w:rsidRPr="00030CE8">
              <w:rPr>
                <w:sz w:val="24"/>
                <w:szCs w:val="20"/>
              </w:rPr>
              <w:t>$1,065,294</w:t>
            </w:r>
          </w:p>
        </w:tc>
      </w:tr>
      <w:tr w:rsidRPr="00030CE8" w:rsidR="00556940" w:rsidTr="0034117D" w14:paraId="7CB8462A" w14:textId="77777777">
        <w:trPr>
          <w:cantSplit/>
          <w:jc w:val="center"/>
        </w:trPr>
        <w:tc>
          <w:tcPr>
            <w:tcW w:w="2335" w:type="dxa"/>
          </w:tcPr>
          <w:p w:rsidRPr="00030CE8" w:rsidR="00604CBE" w:rsidP="00586EE9" w:rsidRDefault="00604CBE" w14:paraId="5C1E8D67" w14:textId="77777777">
            <w:pPr>
              <w:pStyle w:val="Standard"/>
              <w:spacing w:line="240" w:lineRule="auto"/>
              <w:ind w:firstLine="0"/>
              <w:rPr>
                <w:b/>
                <w:bCs/>
                <w:sz w:val="24"/>
                <w:szCs w:val="20"/>
              </w:rPr>
            </w:pPr>
            <w:r w:rsidRPr="00030CE8">
              <w:rPr>
                <w:b/>
                <w:bCs/>
                <w:sz w:val="24"/>
                <w:szCs w:val="20"/>
              </w:rPr>
              <w:t>Visalia</w:t>
            </w:r>
          </w:p>
        </w:tc>
        <w:tc>
          <w:tcPr>
            <w:tcW w:w="1440" w:type="dxa"/>
          </w:tcPr>
          <w:p w:rsidRPr="00030CE8" w:rsidR="00604CBE" w:rsidP="00586EE9" w:rsidRDefault="00604CBE" w14:paraId="1B2398E3" w14:textId="77777777">
            <w:pPr>
              <w:pStyle w:val="Standard"/>
              <w:spacing w:line="240" w:lineRule="auto"/>
              <w:ind w:firstLine="0"/>
              <w:rPr>
                <w:sz w:val="24"/>
                <w:szCs w:val="20"/>
              </w:rPr>
            </w:pPr>
            <w:r w:rsidRPr="00030CE8">
              <w:rPr>
                <w:sz w:val="24"/>
                <w:szCs w:val="20"/>
              </w:rPr>
              <w:t>00133149</w:t>
            </w:r>
          </w:p>
        </w:tc>
        <w:tc>
          <w:tcPr>
            <w:tcW w:w="3330" w:type="dxa"/>
          </w:tcPr>
          <w:p w:rsidRPr="00030CE8" w:rsidR="00604CBE" w:rsidP="00586EE9" w:rsidRDefault="00604CBE" w14:paraId="3FAD0898" w14:textId="77777777">
            <w:pPr>
              <w:pStyle w:val="Standard"/>
              <w:spacing w:line="240" w:lineRule="auto"/>
              <w:ind w:firstLine="0"/>
              <w:rPr>
                <w:sz w:val="24"/>
                <w:szCs w:val="20"/>
              </w:rPr>
            </w:pPr>
            <w:r w:rsidRPr="00030CE8">
              <w:rPr>
                <w:sz w:val="24"/>
                <w:szCs w:val="20"/>
              </w:rPr>
              <w:t>Property Purchase</w:t>
            </w:r>
          </w:p>
        </w:tc>
        <w:tc>
          <w:tcPr>
            <w:tcW w:w="1620" w:type="dxa"/>
          </w:tcPr>
          <w:p w:rsidRPr="00030CE8" w:rsidR="00604CBE" w:rsidP="00586EE9" w:rsidRDefault="00604CBE" w14:paraId="6C2F77AC"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740EF41F" w14:textId="77777777">
            <w:pPr>
              <w:pStyle w:val="Standard"/>
              <w:spacing w:line="240" w:lineRule="auto"/>
              <w:ind w:firstLine="0"/>
              <w:rPr>
                <w:sz w:val="24"/>
                <w:szCs w:val="20"/>
              </w:rPr>
            </w:pPr>
            <w:r w:rsidRPr="00030CE8">
              <w:rPr>
                <w:sz w:val="24"/>
                <w:szCs w:val="20"/>
              </w:rPr>
              <w:t>$865,686</w:t>
            </w:r>
          </w:p>
        </w:tc>
      </w:tr>
      <w:tr w:rsidRPr="00030CE8" w:rsidR="00556940" w:rsidTr="0034117D" w14:paraId="1858CC48" w14:textId="77777777">
        <w:trPr>
          <w:cantSplit/>
          <w:jc w:val="center"/>
        </w:trPr>
        <w:tc>
          <w:tcPr>
            <w:tcW w:w="2335" w:type="dxa"/>
          </w:tcPr>
          <w:p w:rsidRPr="00030CE8" w:rsidR="00604CBE" w:rsidP="00586EE9" w:rsidRDefault="00604CBE" w14:paraId="4468B1AB" w14:textId="77777777">
            <w:pPr>
              <w:pStyle w:val="Standard"/>
              <w:spacing w:line="240" w:lineRule="auto"/>
              <w:ind w:firstLine="0"/>
              <w:rPr>
                <w:b/>
                <w:bCs/>
                <w:sz w:val="24"/>
                <w:szCs w:val="20"/>
              </w:rPr>
            </w:pPr>
          </w:p>
        </w:tc>
        <w:tc>
          <w:tcPr>
            <w:tcW w:w="1440" w:type="dxa"/>
          </w:tcPr>
          <w:p w:rsidRPr="00030CE8" w:rsidR="00604CBE" w:rsidP="00586EE9" w:rsidRDefault="00604CBE" w14:paraId="7F74C30F" w14:textId="77777777">
            <w:pPr>
              <w:pStyle w:val="Standard"/>
              <w:spacing w:line="240" w:lineRule="auto"/>
              <w:ind w:firstLine="0"/>
              <w:rPr>
                <w:sz w:val="24"/>
                <w:szCs w:val="20"/>
              </w:rPr>
            </w:pPr>
            <w:r w:rsidRPr="00030CE8">
              <w:rPr>
                <w:sz w:val="24"/>
                <w:szCs w:val="20"/>
              </w:rPr>
              <w:t>00133152</w:t>
            </w:r>
          </w:p>
        </w:tc>
        <w:tc>
          <w:tcPr>
            <w:tcW w:w="3330" w:type="dxa"/>
          </w:tcPr>
          <w:p w:rsidRPr="00030CE8" w:rsidR="00604CBE" w:rsidP="00586EE9" w:rsidRDefault="00604CBE" w14:paraId="3D6C23C4" w14:textId="4C8A53B9">
            <w:pPr>
              <w:pStyle w:val="Standard"/>
              <w:spacing w:line="240" w:lineRule="auto"/>
              <w:ind w:firstLine="0"/>
              <w:rPr>
                <w:sz w:val="24"/>
                <w:szCs w:val="20"/>
              </w:rPr>
            </w:pPr>
            <w:r w:rsidRPr="00030CE8">
              <w:rPr>
                <w:sz w:val="24"/>
                <w:szCs w:val="20"/>
              </w:rPr>
              <w:t>VIS</w:t>
            </w:r>
            <w:r w:rsidR="00270999">
              <w:rPr>
                <w:sz w:val="24"/>
                <w:szCs w:val="20"/>
              </w:rPr>
              <w:noBreakHyphen/>
            </w:r>
            <w:r w:rsidRPr="00030CE8">
              <w:rPr>
                <w:sz w:val="24"/>
                <w:szCs w:val="20"/>
              </w:rPr>
              <w:t>048 New Generator</w:t>
            </w:r>
          </w:p>
        </w:tc>
        <w:tc>
          <w:tcPr>
            <w:tcW w:w="1620" w:type="dxa"/>
          </w:tcPr>
          <w:p w:rsidRPr="00030CE8" w:rsidR="00604CBE" w:rsidP="00586EE9" w:rsidRDefault="00604CBE" w14:paraId="78A4DFDB"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682CC39A" w14:textId="77777777">
            <w:pPr>
              <w:pStyle w:val="Standard"/>
              <w:spacing w:line="240" w:lineRule="auto"/>
              <w:ind w:firstLine="0"/>
              <w:rPr>
                <w:sz w:val="24"/>
                <w:szCs w:val="20"/>
              </w:rPr>
            </w:pPr>
            <w:r w:rsidRPr="00030CE8">
              <w:rPr>
                <w:sz w:val="24"/>
                <w:szCs w:val="20"/>
              </w:rPr>
              <w:t>$995,164</w:t>
            </w:r>
          </w:p>
        </w:tc>
      </w:tr>
      <w:tr w:rsidRPr="00030CE8" w:rsidR="00556940" w:rsidTr="0034117D" w14:paraId="28E99F52" w14:textId="77777777">
        <w:trPr>
          <w:cantSplit/>
          <w:jc w:val="center"/>
        </w:trPr>
        <w:tc>
          <w:tcPr>
            <w:tcW w:w="2335" w:type="dxa"/>
          </w:tcPr>
          <w:p w:rsidRPr="00030CE8" w:rsidR="00604CBE" w:rsidP="00586EE9" w:rsidRDefault="00604CBE" w14:paraId="21A197C3" w14:textId="77777777">
            <w:pPr>
              <w:pStyle w:val="Standard"/>
              <w:spacing w:line="240" w:lineRule="auto"/>
              <w:ind w:firstLine="0"/>
              <w:rPr>
                <w:b/>
                <w:bCs/>
                <w:sz w:val="24"/>
                <w:szCs w:val="20"/>
              </w:rPr>
            </w:pPr>
          </w:p>
        </w:tc>
        <w:tc>
          <w:tcPr>
            <w:tcW w:w="1440" w:type="dxa"/>
          </w:tcPr>
          <w:p w:rsidRPr="00030CE8" w:rsidR="00604CBE" w:rsidP="00586EE9" w:rsidRDefault="00604CBE" w14:paraId="4F47D0C2" w14:textId="77777777">
            <w:pPr>
              <w:pStyle w:val="Standard"/>
              <w:spacing w:line="240" w:lineRule="auto"/>
              <w:ind w:firstLine="0"/>
              <w:rPr>
                <w:sz w:val="24"/>
                <w:szCs w:val="20"/>
              </w:rPr>
            </w:pPr>
            <w:r w:rsidRPr="00030CE8">
              <w:rPr>
                <w:sz w:val="24"/>
                <w:szCs w:val="20"/>
              </w:rPr>
              <w:t>00133153</w:t>
            </w:r>
          </w:p>
        </w:tc>
        <w:tc>
          <w:tcPr>
            <w:tcW w:w="3330" w:type="dxa"/>
          </w:tcPr>
          <w:p w:rsidRPr="00030CE8" w:rsidR="00604CBE" w:rsidP="00586EE9" w:rsidRDefault="00604CBE" w14:paraId="11206FCE" w14:textId="235AD1B7">
            <w:pPr>
              <w:pStyle w:val="Standard"/>
              <w:spacing w:line="240" w:lineRule="auto"/>
              <w:ind w:firstLine="0"/>
              <w:rPr>
                <w:sz w:val="24"/>
                <w:szCs w:val="20"/>
              </w:rPr>
            </w:pPr>
            <w:r w:rsidRPr="00030CE8">
              <w:rPr>
                <w:sz w:val="24"/>
                <w:szCs w:val="20"/>
              </w:rPr>
              <w:t>VIS</w:t>
            </w:r>
            <w:r w:rsidR="00270999">
              <w:rPr>
                <w:sz w:val="24"/>
                <w:szCs w:val="20"/>
              </w:rPr>
              <w:noBreakHyphen/>
            </w:r>
            <w:r w:rsidRPr="00030CE8">
              <w:rPr>
                <w:sz w:val="24"/>
                <w:szCs w:val="20"/>
              </w:rPr>
              <w:t>080 New Generator</w:t>
            </w:r>
          </w:p>
        </w:tc>
        <w:tc>
          <w:tcPr>
            <w:tcW w:w="1620" w:type="dxa"/>
          </w:tcPr>
          <w:p w:rsidRPr="00030CE8" w:rsidR="00604CBE" w:rsidP="00586EE9" w:rsidRDefault="00604CBE" w14:paraId="246DF6B2" w14:textId="77777777">
            <w:pPr>
              <w:pStyle w:val="Standard"/>
              <w:spacing w:line="240" w:lineRule="auto"/>
              <w:ind w:firstLine="0"/>
              <w:rPr>
                <w:sz w:val="24"/>
                <w:szCs w:val="20"/>
              </w:rPr>
            </w:pPr>
            <w:r w:rsidRPr="00030CE8">
              <w:rPr>
                <w:sz w:val="24"/>
                <w:szCs w:val="20"/>
              </w:rPr>
              <w:t>Adopted</w:t>
            </w:r>
          </w:p>
        </w:tc>
        <w:tc>
          <w:tcPr>
            <w:tcW w:w="1830" w:type="dxa"/>
          </w:tcPr>
          <w:p w:rsidRPr="00030CE8" w:rsidR="00604CBE" w:rsidP="00586EE9" w:rsidRDefault="00604CBE" w14:paraId="299DE1BC" w14:textId="77777777">
            <w:pPr>
              <w:pStyle w:val="Standard"/>
              <w:spacing w:line="240" w:lineRule="auto"/>
              <w:ind w:firstLine="0"/>
              <w:rPr>
                <w:sz w:val="24"/>
                <w:szCs w:val="20"/>
              </w:rPr>
            </w:pPr>
            <w:r w:rsidRPr="00030CE8">
              <w:rPr>
                <w:sz w:val="24"/>
                <w:szCs w:val="20"/>
              </w:rPr>
              <w:t>$759,794</w:t>
            </w:r>
          </w:p>
        </w:tc>
      </w:tr>
      <w:tr w:rsidRPr="00030CE8" w:rsidR="00556940" w:rsidTr="0034117D" w14:paraId="0DA3BCD6" w14:textId="77777777">
        <w:trPr>
          <w:cantSplit/>
          <w:jc w:val="center"/>
        </w:trPr>
        <w:tc>
          <w:tcPr>
            <w:tcW w:w="2335" w:type="dxa"/>
          </w:tcPr>
          <w:p w:rsidRPr="00030CE8" w:rsidR="00604CBE" w:rsidP="00586EE9" w:rsidRDefault="00604CBE" w14:paraId="2591E535" w14:textId="77777777">
            <w:pPr>
              <w:pStyle w:val="Standard"/>
              <w:spacing w:line="240" w:lineRule="auto"/>
              <w:ind w:firstLine="0"/>
              <w:rPr>
                <w:b/>
                <w:bCs/>
                <w:sz w:val="24"/>
                <w:szCs w:val="20"/>
              </w:rPr>
            </w:pPr>
          </w:p>
        </w:tc>
        <w:tc>
          <w:tcPr>
            <w:tcW w:w="1440" w:type="dxa"/>
          </w:tcPr>
          <w:p w:rsidRPr="00030CE8" w:rsidR="00604CBE" w:rsidP="00586EE9" w:rsidRDefault="00604CBE" w14:paraId="6912E29D" w14:textId="77777777">
            <w:pPr>
              <w:pStyle w:val="Standard"/>
              <w:spacing w:line="240" w:lineRule="auto"/>
              <w:ind w:firstLine="0"/>
              <w:rPr>
                <w:sz w:val="24"/>
                <w:szCs w:val="20"/>
              </w:rPr>
            </w:pPr>
            <w:r w:rsidRPr="00030CE8">
              <w:rPr>
                <w:sz w:val="24"/>
                <w:szCs w:val="20"/>
              </w:rPr>
              <w:t>00133416</w:t>
            </w:r>
          </w:p>
        </w:tc>
        <w:tc>
          <w:tcPr>
            <w:tcW w:w="3330" w:type="dxa"/>
          </w:tcPr>
          <w:p w:rsidRPr="00030CE8" w:rsidR="00604CBE" w:rsidP="00586EE9" w:rsidRDefault="00604CBE" w14:paraId="148CA25D" w14:textId="77777777">
            <w:pPr>
              <w:pStyle w:val="Standard"/>
              <w:spacing w:line="240" w:lineRule="auto"/>
              <w:ind w:firstLine="0"/>
              <w:rPr>
                <w:sz w:val="24"/>
                <w:szCs w:val="20"/>
              </w:rPr>
            </w:pPr>
            <w:r w:rsidRPr="00030CE8">
              <w:rPr>
                <w:sz w:val="24"/>
                <w:szCs w:val="20"/>
              </w:rPr>
              <w:t>Building Upgrades</w:t>
            </w:r>
          </w:p>
        </w:tc>
        <w:tc>
          <w:tcPr>
            <w:tcW w:w="1620" w:type="dxa"/>
          </w:tcPr>
          <w:p w:rsidRPr="00030CE8" w:rsidR="00604CBE" w:rsidP="00586EE9" w:rsidRDefault="00604CBE" w14:paraId="723D90E4" w14:textId="77777777">
            <w:pPr>
              <w:pStyle w:val="Standard"/>
              <w:spacing w:line="240" w:lineRule="auto"/>
              <w:ind w:firstLine="0"/>
              <w:rPr>
                <w:sz w:val="24"/>
                <w:szCs w:val="20"/>
              </w:rPr>
            </w:pPr>
            <w:r w:rsidRPr="00030CE8">
              <w:rPr>
                <w:sz w:val="24"/>
                <w:szCs w:val="20"/>
              </w:rPr>
              <w:t>Deferred</w:t>
            </w:r>
          </w:p>
        </w:tc>
        <w:tc>
          <w:tcPr>
            <w:tcW w:w="1830" w:type="dxa"/>
          </w:tcPr>
          <w:p w:rsidRPr="00030CE8" w:rsidR="00BD1D1B" w:rsidP="00586EE9" w:rsidRDefault="00604CBE" w14:paraId="007C4A24"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3EEC6321" w14:textId="252B12C8">
            <w:pPr>
              <w:pStyle w:val="Standard"/>
              <w:spacing w:line="240" w:lineRule="auto"/>
              <w:ind w:firstLine="0"/>
              <w:rPr>
                <w:sz w:val="24"/>
                <w:szCs w:val="20"/>
              </w:rPr>
            </w:pPr>
            <w:r w:rsidRPr="00030CE8">
              <w:rPr>
                <w:sz w:val="24"/>
                <w:szCs w:val="20"/>
              </w:rPr>
              <w:t>from this GRC</w:t>
            </w:r>
          </w:p>
        </w:tc>
      </w:tr>
      <w:tr w:rsidRPr="00030CE8" w:rsidR="00556940" w:rsidTr="0034117D" w14:paraId="40C54298" w14:textId="77777777">
        <w:trPr>
          <w:cantSplit/>
          <w:jc w:val="center"/>
        </w:trPr>
        <w:tc>
          <w:tcPr>
            <w:tcW w:w="2335" w:type="dxa"/>
          </w:tcPr>
          <w:p w:rsidRPr="00030CE8" w:rsidR="00604CBE" w:rsidP="00586EE9" w:rsidRDefault="00604CBE" w14:paraId="5D901B08" w14:textId="77777777">
            <w:pPr>
              <w:pStyle w:val="Standard"/>
              <w:spacing w:line="240" w:lineRule="auto"/>
              <w:ind w:firstLine="0"/>
              <w:rPr>
                <w:b/>
                <w:bCs/>
                <w:sz w:val="24"/>
                <w:szCs w:val="20"/>
              </w:rPr>
            </w:pPr>
          </w:p>
        </w:tc>
        <w:tc>
          <w:tcPr>
            <w:tcW w:w="1440" w:type="dxa"/>
          </w:tcPr>
          <w:p w:rsidRPr="00030CE8" w:rsidR="00604CBE" w:rsidP="00586EE9" w:rsidRDefault="00604CBE" w14:paraId="7C69F212" w14:textId="77777777">
            <w:pPr>
              <w:pStyle w:val="Standard"/>
              <w:spacing w:line="240" w:lineRule="auto"/>
              <w:ind w:firstLine="0"/>
              <w:rPr>
                <w:sz w:val="24"/>
                <w:szCs w:val="20"/>
              </w:rPr>
            </w:pPr>
            <w:r w:rsidRPr="00030CE8">
              <w:rPr>
                <w:sz w:val="24"/>
                <w:szCs w:val="20"/>
              </w:rPr>
              <w:t>00134771</w:t>
            </w:r>
          </w:p>
        </w:tc>
        <w:tc>
          <w:tcPr>
            <w:tcW w:w="3330" w:type="dxa"/>
          </w:tcPr>
          <w:p w:rsidRPr="00030CE8" w:rsidR="00604CBE" w:rsidP="00586EE9" w:rsidRDefault="00604CBE" w14:paraId="07789986" w14:textId="77777777">
            <w:pPr>
              <w:pStyle w:val="Standard"/>
              <w:spacing w:line="240" w:lineRule="auto"/>
              <w:ind w:firstLine="0"/>
              <w:rPr>
                <w:sz w:val="24"/>
                <w:szCs w:val="20"/>
              </w:rPr>
            </w:pPr>
            <w:r w:rsidRPr="00030CE8">
              <w:rPr>
                <w:sz w:val="24"/>
                <w:szCs w:val="20"/>
              </w:rPr>
              <w:t>Vehicles for New Complements</w:t>
            </w:r>
          </w:p>
        </w:tc>
        <w:tc>
          <w:tcPr>
            <w:tcW w:w="1620" w:type="dxa"/>
          </w:tcPr>
          <w:p w:rsidRPr="00030CE8" w:rsidR="00604CBE" w:rsidP="00586EE9" w:rsidRDefault="00604CBE" w14:paraId="38A65C42" w14:textId="77777777">
            <w:pPr>
              <w:pStyle w:val="Standard"/>
              <w:spacing w:line="240" w:lineRule="auto"/>
              <w:ind w:firstLine="0"/>
              <w:rPr>
                <w:sz w:val="24"/>
                <w:szCs w:val="20"/>
              </w:rPr>
            </w:pPr>
            <w:r w:rsidRPr="00030CE8">
              <w:rPr>
                <w:sz w:val="24"/>
                <w:szCs w:val="20"/>
              </w:rPr>
              <w:t>Deferred</w:t>
            </w:r>
          </w:p>
        </w:tc>
        <w:tc>
          <w:tcPr>
            <w:tcW w:w="1830" w:type="dxa"/>
          </w:tcPr>
          <w:p w:rsidRPr="00030CE8" w:rsidR="00BD1D1B" w:rsidP="00586EE9" w:rsidRDefault="00604CBE" w14:paraId="09828BDF" w14:textId="77777777">
            <w:pPr>
              <w:pStyle w:val="Standard"/>
              <w:spacing w:line="240" w:lineRule="auto"/>
              <w:ind w:firstLine="0"/>
              <w:rPr>
                <w:sz w:val="24"/>
                <w:szCs w:val="20"/>
              </w:rPr>
            </w:pPr>
            <w:r w:rsidRPr="00030CE8">
              <w:rPr>
                <w:sz w:val="24"/>
                <w:szCs w:val="20"/>
              </w:rPr>
              <w:t>Excluded</w:t>
            </w:r>
          </w:p>
          <w:p w:rsidRPr="00030CE8" w:rsidR="00604CBE" w:rsidP="00586EE9" w:rsidRDefault="00604CBE" w14:paraId="612E1AC1" w14:textId="7C209860">
            <w:pPr>
              <w:pStyle w:val="Standard"/>
              <w:spacing w:line="240" w:lineRule="auto"/>
              <w:ind w:firstLine="0"/>
              <w:rPr>
                <w:sz w:val="24"/>
                <w:szCs w:val="20"/>
              </w:rPr>
            </w:pPr>
            <w:r w:rsidRPr="00030CE8">
              <w:rPr>
                <w:sz w:val="24"/>
                <w:szCs w:val="20"/>
              </w:rPr>
              <w:t>from this GRC</w:t>
            </w:r>
          </w:p>
        </w:tc>
      </w:tr>
      <w:tr w:rsidRPr="00030CE8" w:rsidR="00556940" w:rsidTr="0034117D" w14:paraId="605F28C9" w14:textId="77777777">
        <w:trPr>
          <w:cantSplit/>
          <w:jc w:val="center"/>
        </w:trPr>
        <w:tc>
          <w:tcPr>
            <w:tcW w:w="2335" w:type="dxa"/>
          </w:tcPr>
          <w:p w:rsidRPr="00030CE8" w:rsidR="00604CBE" w:rsidP="00586EE9" w:rsidRDefault="00604CBE" w14:paraId="6A988AF2" w14:textId="77777777">
            <w:pPr>
              <w:pStyle w:val="Standard"/>
              <w:spacing w:line="240" w:lineRule="auto"/>
              <w:ind w:firstLine="0"/>
              <w:rPr>
                <w:b/>
                <w:bCs/>
                <w:sz w:val="24"/>
                <w:szCs w:val="20"/>
              </w:rPr>
            </w:pPr>
          </w:p>
        </w:tc>
        <w:tc>
          <w:tcPr>
            <w:tcW w:w="1440" w:type="dxa"/>
          </w:tcPr>
          <w:p w:rsidR="00CE0158" w:rsidP="00586EE9" w:rsidRDefault="00604CBE" w14:paraId="7397CD4C" w14:textId="77777777">
            <w:pPr>
              <w:pStyle w:val="Standard"/>
              <w:spacing w:line="240" w:lineRule="auto"/>
              <w:ind w:firstLine="0"/>
              <w:rPr>
                <w:sz w:val="24"/>
                <w:szCs w:val="20"/>
              </w:rPr>
            </w:pPr>
            <w:r w:rsidRPr="00030CE8">
              <w:rPr>
                <w:sz w:val="24"/>
                <w:szCs w:val="20"/>
              </w:rPr>
              <w:t>00133146;</w:t>
            </w:r>
          </w:p>
          <w:p w:rsidRPr="00030CE8" w:rsidR="00604CBE" w:rsidP="00586EE9" w:rsidRDefault="00604CBE" w14:paraId="79175BEC" w14:textId="6F6793A3">
            <w:pPr>
              <w:pStyle w:val="Standard"/>
              <w:spacing w:line="240" w:lineRule="auto"/>
              <w:ind w:firstLine="0"/>
              <w:rPr>
                <w:sz w:val="24"/>
                <w:szCs w:val="20"/>
              </w:rPr>
            </w:pPr>
            <w:r w:rsidRPr="00030CE8">
              <w:rPr>
                <w:sz w:val="24"/>
                <w:szCs w:val="20"/>
              </w:rPr>
              <w:t>00133147</w:t>
            </w:r>
          </w:p>
        </w:tc>
        <w:tc>
          <w:tcPr>
            <w:tcW w:w="3330" w:type="dxa"/>
          </w:tcPr>
          <w:p w:rsidR="00556940" w:rsidP="00586EE9" w:rsidRDefault="00604CBE" w14:paraId="3AE13D94" w14:textId="77777777">
            <w:pPr>
              <w:pStyle w:val="Standard"/>
              <w:spacing w:line="240" w:lineRule="auto"/>
              <w:ind w:firstLine="0"/>
              <w:rPr>
                <w:sz w:val="24"/>
                <w:szCs w:val="20"/>
              </w:rPr>
            </w:pPr>
            <w:r w:rsidRPr="00030CE8">
              <w:rPr>
                <w:sz w:val="24"/>
                <w:szCs w:val="20"/>
              </w:rPr>
              <w:t>Well Siting</w:t>
            </w:r>
            <w:r w:rsidRPr="00030CE8" w:rsidR="00785601">
              <w:rPr>
                <w:sz w:val="24"/>
                <w:szCs w:val="20"/>
              </w:rPr>
              <w:t> /</w:t>
            </w:r>
          </w:p>
          <w:p w:rsidRPr="00030CE8" w:rsidR="00604CBE" w:rsidP="00586EE9" w:rsidRDefault="00604CBE" w14:paraId="102E7029" w14:textId="3C699E0D">
            <w:pPr>
              <w:pStyle w:val="Standard"/>
              <w:spacing w:line="240" w:lineRule="auto"/>
              <w:ind w:firstLine="0"/>
              <w:rPr>
                <w:sz w:val="24"/>
                <w:szCs w:val="20"/>
              </w:rPr>
            </w:pPr>
            <w:r w:rsidRPr="00030CE8">
              <w:rPr>
                <w:sz w:val="24"/>
                <w:szCs w:val="20"/>
              </w:rPr>
              <w:t>Recharge Studies</w:t>
            </w:r>
          </w:p>
        </w:tc>
        <w:tc>
          <w:tcPr>
            <w:tcW w:w="1620" w:type="dxa"/>
          </w:tcPr>
          <w:p w:rsidRPr="00030CE8" w:rsidR="00604CBE" w:rsidP="00586EE9" w:rsidRDefault="00604CBE" w14:paraId="60919F72" w14:textId="77777777">
            <w:pPr>
              <w:pStyle w:val="Standard"/>
              <w:spacing w:line="240" w:lineRule="auto"/>
              <w:ind w:firstLine="0"/>
              <w:rPr>
                <w:sz w:val="24"/>
                <w:szCs w:val="20"/>
              </w:rPr>
            </w:pPr>
            <w:r w:rsidRPr="00030CE8">
              <w:rPr>
                <w:sz w:val="24"/>
                <w:szCs w:val="20"/>
              </w:rPr>
              <w:t>Denied</w:t>
            </w:r>
          </w:p>
        </w:tc>
        <w:tc>
          <w:tcPr>
            <w:tcW w:w="1830" w:type="dxa"/>
          </w:tcPr>
          <w:p w:rsidRPr="00030CE8" w:rsidR="00604CBE" w:rsidP="00586EE9" w:rsidRDefault="00604CBE" w14:paraId="4D9ECE5A" w14:textId="77777777">
            <w:pPr>
              <w:pStyle w:val="Standard"/>
              <w:spacing w:line="240" w:lineRule="auto"/>
              <w:ind w:firstLine="0"/>
              <w:rPr>
                <w:sz w:val="24"/>
                <w:szCs w:val="20"/>
              </w:rPr>
            </w:pPr>
            <w:r w:rsidRPr="00030CE8">
              <w:rPr>
                <w:sz w:val="24"/>
                <w:szCs w:val="20"/>
              </w:rPr>
              <w:t>$0</w:t>
            </w:r>
          </w:p>
        </w:tc>
      </w:tr>
      <w:tr w:rsidRPr="00030CE8" w:rsidR="00556940" w:rsidTr="0034117D" w14:paraId="2E6D29E7" w14:textId="77777777">
        <w:trPr>
          <w:cantSplit/>
          <w:jc w:val="center"/>
        </w:trPr>
        <w:tc>
          <w:tcPr>
            <w:tcW w:w="2335" w:type="dxa"/>
          </w:tcPr>
          <w:p w:rsidRPr="00030CE8" w:rsidR="00604CBE" w:rsidP="00586EE9" w:rsidRDefault="00604CBE" w14:paraId="3DAC9BE8" w14:textId="77777777">
            <w:pPr>
              <w:pStyle w:val="Standard"/>
              <w:spacing w:line="240" w:lineRule="auto"/>
              <w:ind w:firstLine="0"/>
              <w:rPr>
                <w:b/>
                <w:bCs/>
                <w:sz w:val="24"/>
                <w:szCs w:val="20"/>
              </w:rPr>
            </w:pPr>
            <w:r w:rsidRPr="00030CE8">
              <w:rPr>
                <w:b/>
                <w:bCs/>
                <w:sz w:val="24"/>
                <w:szCs w:val="20"/>
              </w:rPr>
              <w:t>Westlake</w:t>
            </w:r>
          </w:p>
        </w:tc>
        <w:tc>
          <w:tcPr>
            <w:tcW w:w="1440" w:type="dxa"/>
          </w:tcPr>
          <w:p w:rsidR="00CE0158" w:rsidP="00586EE9" w:rsidRDefault="00604CBE" w14:paraId="56910859" w14:textId="77777777">
            <w:pPr>
              <w:pStyle w:val="Standard"/>
              <w:spacing w:line="240" w:lineRule="auto"/>
              <w:ind w:firstLine="0"/>
              <w:rPr>
                <w:sz w:val="24"/>
                <w:szCs w:val="20"/>
              </w:rPr>
            </w:pPr>
            <w:r w:rsidRPr="00030CE8">
              <w:rPr>
                <w:sz w:val="24"/>
                <w:szCs w:val="20"/>
              </w:rPr>
              <w:t>All district</w:t>
            </w:r>
          </w:p>
          <w:p w:rsidRPr="00030CE8" w:rsidR="00604CBE" w:rsidP="00586EE9" w:rsidRDefault="00604CBE" w14:paraId="21E5FAE9" w14:textId="21ABCAD5">
            <w:pPr>
              <w:pStyle w:val="Standard"/>
              <w:spacing w:line="240" w:lineRule="auto"/>
              <w:ind w:firstLine="0"/>
              <w:rPr>
                <w:sz w:val="24"/>
                <w:szCs w:val="20"/>
              </w:rPr>
            </w:pPr>
            <w:r w:rsidRPr="00030CE8">
              <w:rPr>
                <w:sz w:val="24"/>
                <w:szCs w:val="20"/>
              </w:rPr>
              <w:t>PIDs</w:t>
            </w:r>
          </w:p>
        </w:tc>
        <w:tc>
          <w:tcPr>
            <w:tcW w:w="3330" w:type="dxa"/>
          </w:tcPr>
          <w:p w:rsidRPr="00030CE8" w:rsidR="00604CBE" w:rsidP="00586EE9" w:rsidRDefault="00604CBE" w14:paraId="0ED77824" w14:textId="77777777">
            <w:pPr>
              <w:pStyle w:val="Standard"/>
              <w:spacing w:line="240" w:lineRule="auto"/>
              <w:ind w:firstLine="0"/>
              <w:rPr>
                <w:sz w:val="24"/>
                <w:szCs w:val="20"/>
              </w:rPr>
            </w:pPr>
            <w:r w:rsidRPr="00030CE8">
              <w:rPr>
                <w:sz w:val="24"/>
                <w:szCs w:val="20"/>
              </w:rPr>
              <w:t>District Plant Projects</w:t>
            </w:r>
          </w:p>
        </w:tc>
        <w:tc>
          <w:tcPr>
            <w:tcW w:w="1620" w:type="dxa"/>
          </w:tcPr>
          <w:p w:rsidRPr="00030CE8" w:rsidR="00604CBE" w:rsidP="00586EE9" w:rsidRDefault="00604CBE" w14:paraId="7B28B918" w14:textId="77777777">
            <w:pPr>
              <w:pStyle w:val="Standard"/>
              <w:spacing w:line="240" w:lineRule="auto"/>
              <w:ind w:firstLine="0"/>
              <w:rPr>
                <w:sz w:val="24"/>
                <w:szCs w:val="20"/>
              </w:rPr>
            </w:pPr>
            <w:r w:rsidRPr="00030CE8">
              <w:rPr>
                <w:sz w:val="24"/>
                <w:szCs w:val="20"/>
              </w:rPr>
              <w:t>Adopted</w:t>
            </w:r>
          </w:p>
        </w:tc>
        <w:tc>
          <w:tcPr>
            <w:tcW w:w="1830" w:type="dxa"/>
          </w:tcPr>
          <w:p w:rsidRPr="00030CE8" w:rsidR="00BD1D1B" w:rsidP="00586EE9" w:rsidRDefault="00604CBE" w14:paraId="32DA49FB" w14:textId="77777777">
            <w:pPr>
              <w:pStyle w:val="Standard"/>
              <w:spacing w:line="240" w:lineRule="auto"/>
              <w:ind w:firstLine="0"/>
              <w:rPr>
                <w:sz w:val="24"/>
                <w:szCs w:val="20"/>
              </w:rPr>
            </w:pPr>
            <w:r w:rsidRPr="00030CE8">
              <w:rPr>
                <w:sz w:val="24"/>
                <w:szCs w:val="20"/>
              </w:rPr>
              <w:t>Adopted</w:t>
            </w:r>
          </w:p>
          <w:p w:rsidRPr="00030CE8" w:rsidR="00604CBE" w:rsidP="00586EE9" w:rsidRDefault="00604CBE" w14:paraId="6451BA83" w14:textId="5FF41BC5">
            <w:pPr>
              <w:pStyle w:val="Standard"/>
              <w:spacing w:line="240" w:lineRule="auto"/>
              <w:ind w:firstLine="0"/>
              <w:rPr>
                <w:sz w:val="24"/>
                <w:szCs w:val="20"/>
              </w:rPr>
            </w:pPr>
            <w:r w:rsidRPr="00030CE8">
              <w:rPr>
                <w:sz w:val="24"/>
                <w:szCs w:val="20"/>
              </w:rPr>
              <w:t>as proposed</w:t>
            </w:r>
          </w:p>
        </w:tc>
      </w:tr>
      <w:tr w:rsidRPr="00030CE8" w:rsidR="00556940" w:rsidTr="0034117D" w14:paraId="2455F2D5" w14:textId="77777777">
        <w:trPr>
          <w:cantSplit/>
          <w:jc w:val="center"/>
        </w:trPr>
        <w:tc>
          <w:tcPr>
            <w:tcW w:w="2335" w:type="dxa"/>
          </w:tcPr>
          <w:p w:rsidRPr="00030CE8" w:rsidR="00604CBE" w:rsidP="00586EE9" w:rsidRDefault="00604CBE" w14:paraId="2CED557E" w14:textId="77777777">
            <w:pPr>
              <w:pStyle w:val="Standard"/>
              <w:spacing w:line="240" w:lineRule="auto"/>
              <w:ind w:firstLine="0"/>
              <w:rPr>
                <w:b/>
                <w:bCs/>
                <w:sz w:val="24"/>
                <w:szCs w:val="20"/>
              </w:rPr>
            </w:pPr>
            <w:r w:rsidRPr="00030CE8">
              <w:rPr>
                <w:b/>
                <w:bCs/>
                <w:sz w:val="24"/>
                <w:szCs w:val="20"/>
              </w:rPr>
              <w:t>Willows</w:t>
            </w:r>
          </w:p>
        </w:tc>
        <w:tc>
          <w:tcPr>
            <w:tcW w:w="1440" w:type="dxa"/>
          </w:tcPr>
          <w:p w:rsidR="00CE0158" w:rsidP="00586EE9" w:rsidRDefault="00604CBE" w14:paraId="593644E3" w14:textId="77777777">
            <w:pPr>
              <w:pStyle w:val="Standard"/>
              <w:spacing w:line="240" w:lineRule="auto"/>
              <w:ind w:firstLine="0"/>
              <w:rPr>
                <w:sz w:val="24"/>
                <w:szCs w:val="20"/>
              </w:rPr>
            </w:pPr>
            <w:r w:rsidRPr="00030CE8">
              <w:rPr>
                <w:sz w:val="24"/>
                <w:szCs w:val="20"/>
              </w:rPr>
              <w:t>All district</w:t>
            </w:r>
          </w:p>
          <w:p w:rsidRPr="00030CE8" w:rsidR="00604CBE" w:rsidP="00586EE9" w:rsidRDefault="00604CBE" w14:paraId="27F57CB2" w14:textId="14FA164D">
            <w:pPr>
              <w:pStyle w:val="Standard"/>
              <w:spacing w:line="240" w:lineRule="auto"/>
              <w:ind w:firstLine="0"/>
              <w:rPr>
                <w:sz w:val="24"/>
                <w:szCs w:val="20"/>
              </w:rPr>
            </w:pPr>
            <w:r w:rsidRPr="00030CE8">
              <w:rPr>
                <w:sz w:val="24"/>
                <w:szCs w:val="20"/>
              </w:rPr>
              <w:t>PIDs</w:t>
            </w:r>
          </w:p>
        </w:tc>
        <w:tc>
          <w:tcPr>
            <w:tcW w:w="3330" w:type="dxa"/>
          </w:tcPr>
          <w:p w:rsidRPr="00030CE8" w:rsidR="00604CBE" w:rsidP="00586EE9" w:rsidRDefault="00604CBE" w14:paraId="0FBD7BCE" w14:textId="77777777">
            <w:pPr>
              <w:pStyle w:val="Standard"/>
              <w:spacing w:line="240" w:lineRule="auto"/>
              <w:ind w:firstLine="0"/>
              <w:rPr>
                <w:sz w:val="24"/>
                <w:szCs w:val="20"/>
              </w:rPr>
            </w:pPr>
            <w:r w:rsidRPr="00030CE8">
              <w:rPr>
                <w:sz w:val="24"/>
                <w:szCs w:val="20"/>
              </w:rPr>
              <w:t>District Plant Projects</w:t>
            </w:r>
          </w:p>
        </w:tc>
        <w:tc>
          <w:tcPr>
            <w:tcW w:w="1620" w:type="dxa"/>
          </w:tcPr>
          <w:p w:rsidRPr="00030CE8" w:rsidR="00604CBE" w:rsidP="00586EE9" w:rsidRDefault="00604CBE" w14:paraId="734337B8" w14:textId="77777777">
            <w:pPr>
              <w:pStyle w:val="Standard"/>
              <w:spacing w:line="240" w:lineRule="auto"/>
              <w:ind w:firstLine="0"/>
              <w:rPr>
                <w:sz w:val="24"/>
                <w:szCs w:val="20"/>
              </w:rPr>
            </w:pPr>
            <w:r w:rsidRPr="00030CE8">
              <w:rPr>
                <w:sz w:val="24"/>
                <w:szCs w:val="20"/>
              </w:rPr>
              <w:t>Adopted</w:t>
            </w:r>
          </w:p>
        </w:tc>
        <w:tc>
          <w:tcPr>
            <w:tcW w:w="1830" w:type="dxa"/>
          </w:tcPr>
          <w:p w:rsidRPr="00030CE8" w:rsidR="00BD1D1B" w:rsidP="00586EE9" w:rsidRDefault="00604CBE" w14:paraId="261CAE54" w14:textId="77777777">
            <w:pPr>
              <w:pStyle w:val="Standard"/>
              <w:spacing w:line="240" w:lineRule="auto"/>
              <w:ind w:firstLine="0"/>
              <w:rPr>
                <w:sz w:val="24"/>
                <w:szCs w:val="20"/>
              </w:rPr>
            </w:pPr>
            <w:r w:rsidRPr="00030CE8">
              <w:rPr>
                <w:sz w:val="24"/>
                <w:szCs w:val="20"/>
              </w:rPr>
              <w:t>Adopted</w:t>
            </w:r>
          </w:p>
          <w:p w:rsidRPr="00030CE8" w:rsidR="00604CBE" w:rsidP="00586EE9" w:rsidRDefault="00604CBE" w14:paraId="74BD7C49" w14:textId="0435FC4C">
            <w:pPr>
              <w:pStyle w:val="Standard"/>
              <w:spacing w:line="240" w:lineRule="auto"/>
              <w:ind w:firstLine="0"/>
              <w:rPr>
                <w:sz w:val="24"/>
                <w:szCs w:val="20"/>
              </w:rPr>
            </w:pPr>
            <w:r w:rsidRPr="00030CE8">
              <w:rPr>
                <w:sz w:val="24"/>
                <w:szCs w:val="20"/>
              </w:rPr>
              <w:t>as proposed</w:t>
            </w:r>
          </w:p>
        </w:tc>
      </w:tr>
    </w:tbl>
    <w:p w:rsidRPr="00E523C4" w:rsidR="00A32423" w:rsidP="00F353EE" w:rsidRDefault="00A32423" w14:paraId="77CBDBD0" w14:textId="18DE2A82">
      <w:pPr>
        <w:pStyle w:val="StandardTableSub"/>
      </w:pPr>
      <w:r w:rsidRPr="00E523C4">
        <w:t>To ensure transparency and accurate ratemaking implementation, the Commission identifies district</w:t>
      </w:r>
      <w:r w:rsidR="00270999">
        <w:noBreakHyphen/>
      </w:r>
      <w:r w:rsidRPr="00E523C4">
        <w:t>level determinations at PID level where disputes exist. This PID</w:t>
      </w:r>
      <w:r w:rsidR="00270999">
        <w:noBreakHyphen/>
      </w:r>
      <w:r w:rsidRPr="00E523C4">
        <w:t xml:space="preserve">specific treatment provides clear direction for the RO Model and </w:t>
      </w:r>
      <w:r w:rsidR="009A779A">
        <w:t>Appendices </w:t>
      </w:r>
      <w:r w:rsidR="00341211">
        <w:t>A</w:t>
      </w:r>
      <w:r w:rsidR="009A779A">
        <w:t xml:space="preserve"> through </w:t>
      </w:r>
      <w:r w:rsidR="00341211">
        <w:t>X</w:t>
      </w:r>
      <w:r w:rsidRPr="00E523C4">
        <w:t xml:space="preserve"> and avoids ambiguity regarding the disposition or adopted cost of individual projects.</w:t>
      </w:r>
    </w:p>
    <w:p w:rsidRPr="004B7ADA" w:rsidR="008E1B1F" w:rsidP="008E1B1F" w:rsidRDefault="007E1651" w14:paraId="7352C2E9" w14:textId="63B7F694">
      <w:pPr>
        <w:pStyle w:val="Standard"/>
      </w:pPr>
      <w:r w:rsidRPr="007E1651">
        <w:t>Consistent with the standards articulated in D.07</w:t>
      </w:r>
      <w:r w:rsidR="00270999">
        <w:noBreakHyphen/>
      </w:r>
      <w:r w:rsidRPr="007E1651">
        <w:t>05</w:t>
      </w:r>
      <w:r w:rsidR="00270999">
        <w:noBreakHyphen/>
      </w:r>
      <w:r w:rsidRPr="007E1651">
        <w:t>062 and D.16</w:t>
      </w:r>
      <w:r w:rsidR="00270999">
        <w:noBreakHyphen/>
      </w:r>
      <w:r w:rsidRPr="007E1651">
        <w:t>12</w:t>
      </w:r>
      <w:r w:rsidR="00270999">
        <w:noBreakHyphen/>
      </w:r>
      <w:r w:rsidRPr="007E1651">
        <w:t xml:space="preserve">026, </w:t>
      </w:r>
      <w:r w:rsidR="00EB50F8">
        <w:t>Cal Water</w:t>
      </w:r>
      <w:r w:rsidRPr="007E1651">
        <w:t xml:space="preserve"> must ensure that each future plant addition is accompanied by sufficient documentation to enable full Commission review of necessity, cost reasonableness, and engineering prudence. Projects lacking adequate support or demonstrating costs above industry norms shall be subject to disallowance or deferral until the required evidence is provided.</w:t>
      </w:r>
    </w:p>
    <w:p w:rsidR="008E1B1F" w:rsidP="004158D2" w:rsidRDefault="008E1B1F" w14:paraId="490C471A" w14:textId="20B73CC9">
      <w:pPr>
        <w:pStyle w:val="Heading3"/>
      </w:pPr>
      <w:bookmarkStart w:name="_Toc228294681" w:id="69"/>
      <w:r>
        <w:t>Deferred Projects from the</w:t>
      </w:r>
      <w:r w:rsidR="0028527F">
        <w:br/>
      </w:r>
      <w:r>
        <w:t>Prior G</w:t>
      </w:r>
      <w:r w:rsidR="00EC773A">
        <w:t xml:space="preserve">eneral </w:t>
      </w:r>
      <w:r>
        <w:t>R</w:t>
      </w:r>
      <w:r w:rsidR="00EC773A">
        <w:t xml:space="preserve">ate </w:t>
      </w:r>
      <w:r>
        <w:t>C</w:t>
      </w:r>
      <w:r w:rsidR="00EC773A">
        <w:t>ase</w:t>
      </w:r>
      <w:bookmarkEnd w:id="69"/>
    </w:p>
    <w:p w:rsidR="008E1B1F" w:rsidP="008E1B1F" w:rsidRDefault="00EB50F8" w14:paraId="4D2236B2" w14:textId="52A5DC46">
      <w:pPr>
        <w:pStyle w:val="Standard"/>
      </w:pPr>
      <w:r>
        <w:t>Cal Water</w:t>
      </w:r>
      <w:r w:rsidR="008E1B1F">
        <w:t xml:space="preserve"> sought to include projects previously approved and included in the prior GRC</w:t>
      </w:r>
      <w:r w:rsidR="00755285">
        <w:t>,</w:t>
      </w:r>
      <w:r w:rsidR="008E1B1F">
        <w:t xml:space="preserve"> but which it deferred and has yet to construct. It argues that these </w:t>
      </w:r>
      <w:r w:rsidR="008E1B1F">
        <w:lastRenderedPageBreak/>
        <w:t xml:space="preserve">projects are still needed. </w:t>
      </w:r>
      <w:r>
        <w:t>Cal Advocates</w:t>
      </w:r>
      <w:r w:rsidR="008E1B1F">
        <w:t xml:space="preserve"> takes exception to carrying forward to this GRC unbuilt projects which </w:t>
      </w:r>
      <w:r>
        <w:t>Cal Water</w:t>
      </w:r>
      <w:r w:rsidR="008E1B1F">
        <w:t xml:space="preserve"> deferred. These specific projects are identified above in </w:t>
      </w:r>
      <w:r>
        <w:t>Table 3</w:t>
      </w:r>
      <w:r w:rsidR="008E1B1F">
        <w:t>.</w:t>
      </w:r>
    </w:p>
    <w:p w:rsidR="00CC7D62" w:rsidP="008E1B1F" w:rsidRDefault="00CC7D62" w14:paraId="2EF07F50" w14:textId="1E117786">
      <w:pPr>
        <w:pStyle w:val="Standard"/>
      </w:pPr>
      <w:r w:rsidRPr="00CC7D62">
        <w:t>Deferred projects and projects already in progress shall be treated consistently for ratemaking purposes.</w:t>
      </w:r>
    </w:p>
    <w:p w:rsidRPr="00A001D1" w:rsidR="00A001D1" w:rsidP="00A001D1" w:rsidRDefault="00A001D1" w14:paraId="6D173801" w14:textId="646502B5">
      <w:pPr>
        <w:pStyle w:val="Standard"/>
      </w:pPr>
      <w:r w:rsidRPr="004158D2">
        <w:t xml:space="preserve">The Commission is concerned by the deferral of previously authorized projects, particularly where those projects were expected to be completed during the prior GRC cycle. Similar circumstances have arisen in prior GRCs, including proceedings involving </w:t>
      </w:r>
      <w:r w:rsidR="00EB50F8">
        <w:t>Cal Water</w:t>
      </w:r>
      <w:r w:rsidRPr="004158D2">
        <w:t xml:space="preserve"> and other </w:t>
      </w:r>
      <w:r w:rsidR="00EB50F8">
        <w:t>Class A</w:t>
      </w:r>
      <w:r w:rsidRPr="004158D2">
        <w:t xml:space="preserve"> water utilities. While project reprioritization may at times be warranted, repeated deferrals of previously authorized capital projects merit careful review.</w:t>
      </w:r>
    </w:p>
    <w:p w:rsidRPr="00A001D1" w:rsidR="00A001D1" w:rsidP="00A001D1" w:rsidRDefault="00A001D1" w14:paraId="2ECC664A" w14:textId="0D0D9192">
      <w:pPr>
        <w:pStyle w:val="Standard"/>
      </w:pPr>
      <w:r w:rsidRPr="004158D2">
        <w:t xml:space="preserve">In this GRC, we deny </w:t>
      </w:r>
      <w:r w:rsidR="0075197C">
        <w:t>the inclusion</w:t>
      </w:r>
      <w:r w:rsidR="001A2F1A">
        <w:t xml:space="preserve"> </w:t>
      </w:r>
      <w:r w:rsidR="00D15660">
        <w:t>of</w:t>
      </w:r>
      <w:r w:rsidRPr="004158D2">
        <w:t xml:space="preserve"> deferred projects </w:t>
      </w:r>
      <w:r w:rsidR="00D15660">
        <w:t>in rate</w:t>
      </w:r>
      <w:r w:rsidR="00401FEF">
        <w:t xml:space="preserve"> </w:t>
      </w:r>
      <w:r w:rsidR="00D15660">
        <w:t xml:space="preserve">base </w:t>
      </w:r>
      <w:r w:rsidRPr="004158D2">
        <w:t xml:space="preserve">without prejudice and provide </w:t>
      </w:r>
      <w:r w:rsidR="00EB50F8">
        <w:t>Cal Water</w:t>
      </w:r>
      <w:r w:rsidRPr="004158D2">
        <w:t xml:space="preserve"> with a clear pathway to seek </w:t>
      </w:r>
      <w:r w:rsidR="00202500">
        <w:t xml:space="preserve">rate recovery via a Tier 2 Advice Letter when the </w:t>
      </w:r>
      <w:r w:rsidR="00401FEF">
        <w:t xml:space="preserve">completed </w:t>
      </w:r>
      <w:r w:rsidR="00202500">
        <w:t>project is used and useful.</w:t>
      </w:r>
      <w:r w:rsidRPr="004158D2">
        <w:t xml:space="preserve"> This approach balances the need for accountability with recognition that circumstances affecting capital planning may change over time.</w:t>
      </w:r>
    </w:p>
    <w:p w:rsidRPr="004D3B4B" w:rsidR="004D3B4B" w:rsidP="004D3B4B" w:rsidRDefault="00A001D1" w14:paraId="710B4F8D" w14:textId="55C93505">
      <w:pPr>
        <w:pStyle w:val="Standard"/>
      </w:pPr>
      <w:r w:rsidRPr="004158D2">
        <w:t xml:space="preserve">The Commission is particularly mindful of the recurrence of deferrals involving both a substantial number of projects and significant authorized dollar amounts from a prior </w:t>
      </w:r>
      <w:r>
        <w:t>GRC</w:t>
      </w:r>
      <w:r w:rsidRPr="004158D2">
        <w:t xml:space="preserve">. </w:t>
      </w:r>
      <w:r w:rsidR="004D3B4B">
        <w:t>W</w:t>
      </w:r>
      <w:r w:rsidRPr="004D3B4B" w:rsidR="004D3B4B">
        <w:t>e authorize the projects in the amount consistent with their previous authorization</w:t>
      </w:r>
      <w:r w:rsidR="004D3B4B">
        <w:t>,</w:t>
      </w:r>
      <w:r w:rsidRPr="004D3B4B" w:rsidR="004D3B4B">
        <w:t xml:space="preserve"> but decline to allow recovery in rates at this time. Consistent with </w:t>
      </w:r>
      <w:r w:rsidRPr="00D01D48" w:rsidR="00D01D48">
        <w:t>D.24</w:t>
      </w:r>
      <w:r w:rsidR="005D7C95">
        <w:noBreakHyphen/>
      </w:r>
      <w:r w:rsidRPr="00D01D48" w:rsidR="00D01D48">
        <w:t>04</w:t>
      </w:r>
      <w:r w:rsidR="005D7C95">
        <w:noBreakHyphen/>
      </w:r>
      <w:r w:rsidRPr="00D01D48" w:rsidR="00D01D48">
        <w:t>12</w:t>
      </w:r>
      <w:r w:rsidR="005D7C95">
        <w:noBreakHyphen/>
      </w:r>
      <w:r w:rsidRPr="00D01D48" w:rsidR="00D01D48">
        <w:t>030</w:t>
      </w:r>
      <w:r w:rsidR="003D1F20">
        <w:t xml:space="preserve"> and D.24</w:t>
      </w:r>
      <w:r w:rsidR="005D7C95">
        <w:noBreakHyphen/>
      </w:r>
      <w:r w:rsidR="003D1F20">
        <w:t>04</w:t>
      </w:r>
      <w:r w:rsidR="005D7C95">
        <w:noBreakHyphen/>
      </w:r>
      <w:r w:rsidR="003D1F20">
        <w:t>032</w:t>
      </w:r>
      <w:r w:rsidRPr="004D3B4B" w:rsidR="004D3B4B">
        <w:t xml:space="preserve">, we will allow </w:t>
      </w:r>
      <w:r w:rsidR="003D1F20">
        <w:t>Cal Water</w:t>
      </w:r>
      <w:r w:rsidRPr="004D3B4B" w:rsidR="004D3B4B">
        <w:t xml:space="preserve"> to place </w:t>
      </w:r>
      <w:r w:rsidR="00FC5A16">
        <w:t>deferred</w:t>
      </w:r>
      <w:r w:rsidRPr="004D3B4B" w:rsidR="004D3B4B">
        <w:t xml:space="preserve"> projects </w:t>
      </w:r>
      <w:r w:rsidR="00FC5A16">
        <w:t xml:space="preserve">in Table 3 </w:t>
      </w:r>
      <w:r w:rsidRPr="004D3B4B" w:rsidR="004D3B4B">
        <w:t>into rates as they are completed with the Commission’s existing process for adding previously authorized projects into rate base, discussed below.</w:t>
      </w:r>
    </w:p>
    <w:p w:rsidR="00CC7D62" w:rsidP="00CC7D62" w:rsidRDefault="00A001D1" w14:paraId="58994B58" w14:textId="574FAC91">
      <w:r w:rsidRPr="004158D2">
        <w:t xml:space="preserve"> </w:t>
      </w:r>
      <w:r w:rsidRPr="00CC7D62" w:rsidR="00CC7D62">
        <w:t>Cal Water may proceed with project development and construction consistent with utility</w:t>
      </w:r>
      <w:r w:rsidR="00CC7D62">
        <w:t xml:space="preserve"> </w:t>
      </w:r>
      <w:r w:rsidRPr="00CC7D62" w:rsidR="00CC7D62">
        <w:t xml:space="preserve">practices. Deferred projects and projects in progress shall </w:t>
      </w:r>
      <w:r w:rsidRPr="00CC7D62" w:rsidR="00CC7D62">
        <w:lastRenderedPageBreak/>
        <w:t>be treated consistently. Completed projects</w:t>
      </w:r>
      <w:r w:rsidR="00DA5460">
        <w:t xml:space="preserve"> </w:t>
      </w:r>
      <w:r w:rsidRPr="00CC7D62" w:rsidR="00CC7D62">
        <w:t>may be placed into rates through a Tier 2 advice letter filing supported by updated cost, schedule, and in-service documentation. If actual project costs</w:t>
      </w:r>
      <w:r w:rsidR="00DA5460">
        <w:t xml:space="preserve"> </w:t>
      </w:r>
      <w:r w:rsidRPr="00CC7D62" w:rsidR="00CC7D62">
        <w:t xml:space="preserve">exceed the </w:t>
      </w:r>
      <w:r w:rsidR="007B2266">
        <w:t xml:space="preserve">previously </w:t>
      </w:r>
      <w:r w:rsidRPr="00CC7D62" w:rsidR="00CC7D62">
        <w:t>adopted</w:t>
      </w:r>
      <w:r w:rsidR="009F485C">
        <w:t xml:space="preserve"> budget</w:t>
      </w:r>
      <w:r w:rsidR="00D164BB">
        <w:t>,</w:t>
      </w:r>
      <w:r w:rsidR="00952201">
        <w:t xml:space="preserve"> or if the project scope differs from what was previously adopted,</w:t>
      </w:r>
      <w:r w:rsidRPr="00CC7D62" w:rsidR="00CC7D62">
        <w:t xml:space="preserve"> recovery of such incremental costs shall be sought through a Tier 3 advice letter</w:t>
      </w:r>
      <w:r w:rsidR="009543D7">
        <w:t xml:space="preserve">, consistent with GO 96-B Water Industry Rule </w:t>
      </w:r>
      <w:r w:rsidR="002C42A1">
        <w:t>7.6.3 (8)</w:t>
      </w:r>
      <w:r w:rsidRPr="00CC7D62" w:rsidR="00CC7D62">
        <w:t>.</w:t>
      </w:r>
    </w:p>
    <w:p w:rsidR="008E1B1F" w:rsidP="008E1B1F" w:rsidRDefault="008E1B1F" w14:paraId="2372D289" w14:textId="00EC961A">
      <w:pPr>
        <w:pStyle w:val="Heading3"/>
      </w:pPr>
      <w:bookmarkStart w:name="_Toc228294682" w:id="70"/>
      <w:r>
        <w:t>Contingency Allowances</w:t>
      </w:r>
      <w:bookmarkEnd w:id="70"/>
    </w:p>
    <w:p w:rsidR="00184E23" w:rsidP="008E1B1F" w:rsidRDefault="004572FE" w14:paraId="29783504" w14:textId="41D0990D">
      <w:pPr>
        <w:rPr>
          <w:szCs w:val="26"/>
        </w:rPr>
      </w:pPr>
      <w:r>
        <w:rPr>
          <w:szCs w:val="26"/>
        </w:rPr>
        <w:t>T</w:t>
      </w:r>
      <w:r w:rsidRPr="00737705">
        <w:rPr>
          <w:szCs w:val="26"/>
        </w:rPr>
        <w:t>he Commission clarifies its treatment of contingency allowances applicable to capital programs.</w:t>
      </w:r>
      <w:r>
        <w:rPr>
          <w:szCs w:val="26"/>
        </w:rPr>
        <w:t xml:space="preserve"> </w:t>
      </w:r>
      <w:r w:rsidRPr="00184E23" w:rsidR="00184E23">
        <w:rPr>
          <w:szCs w:val="26"/>
        </w:rPr>
        <w:t>While contingency allowances may be used by utilities as an internal planning tool to address uncertainties such as material price volatility, supply chain disruptions, labor cost escalation, and site</w:t>
      </w:r>
      <w:r w:rsidR="00FD6045">
        <w:rPr>
          <w:szCs w:val="26"/>
        </w:rPr>
        <w:noBreakHyphen/>
      </w:r>
      <w:r w:rsidRPr="00184E23" w:rsidR="00184E23">
        <w:rPr>
          <w:szCs w:val="26"/>
        </w:rPr>
        <w:t>specific construction risks, the Commission must ensure that only costs supported by the evidentiary record are included in rates.</w:t>
      </w:r>
    </w:p>
    <w:p w:rsidR="001C7C22" w:rsidP="004572FE" w:rsidRDefault="001C7C22" w14:paraId="57CE5399" w14:textId="220C7DE8">
      <w:pPr>
        <w:pStyle w:val="Standard"/>
        <w:rPr>
          <w:szCs w:val="26"/>
        </w:rPr>
      </w:pPr>
      <w:r w:rsidRPr="001C7C22">
        <w:rPr>
          <w:szCs w:val="26"/>
        </w:rPr>
        <w:t xml:space="preserve">The record in this proceeding does not demonstrate that the proposed contingency amounts are supported by sufficiently specific, project-level evidence or tied to quantifiable cost drivers. Accordingly, the Commission does not adopt any contingency allowance for inclusion in rate base in this </w:t>
      </w:r>
      <w:r>
        <w:rPr>
          <w:szCs w:val="26"/>
        </w:rPr>
        <w:t>current GRC proceeding</w:t>
      </w:r>
      <w:r w:rsidRPr="001C7C22">
        <w:rPr>
          <w:szCs w:val="26"/>
        </w:rPr>
        <w:t>.</w:t>
      </w:r>
    </w:p>
    <w:p w:rsidRPr="001C7C22" w:rsidR="001C7C22" w:rsidP="001C7C22" w:rsidRDefault="001C7C22" w14:paraId="555FD0F6" w14:textId="57504CD0">
      <w:pPr>
        <w:pStyle w:val="Standard"/>
        <w:rPr>
          <w:szCs w:val="26"/>
        </w:rPr>
      </w:pPr>
      <w:r w:rsidRPr="001C7C22">
        <w:rPr>
          <w:szCs w:val="26"/>
        </w:rPr>
        <w:t xml:space="preserve">This determination is consistent with the Commission’s obligation under Pub. Util. Code Sections 451 and 454 to ensure that rates reflect only those costs that are just, reasonable, and supported by the evidentiary record. Excluding contingency allowances from </w:t>
      </w:r>
      <w:r w:rsidR="00401FEF">
        <w:rPr>
          <w:szCs w:val="26"/>
        </w:rPr>
        <w:t>the adopted revenue requirement in this GRC</w:t>
      </w:r>
      <w:r w:rsidRPr="001C7C22">
        <w:rPr>
          <w:szCs w:val="26"/>
        </w:rPr>
        <w:t xml:space="preserve"> avoids recovery of speculative costs that have not yet been incurred or demonstrated to be necessary.</w:t>
      </w:r>
    </w:p>
    <w:p w:rsidRPr="001C7C22" w:rsidR="001C7C22" w:rsidP="00B84B11" w:rsidRDefault="001C7C22" w14:paraId="61F86C3B" w14:textId="5D2ADBF8">
      <w:pPr>
        <w:pStyle w:val="Standard"/>
        <w:rPr>
          <w:szCs w:val="26"/>
        </w:rPr>
      </w:pPr>
      <w:r w:rsidRPr="001C7C22">
        <w:rPr>
          <w:szCs w:val="26"/>
        </w:rPr>
        <w:t xml:space="preserve">The Commission recognizes that actual project costs may vary from forecast estimates. This determination does not preclude </w:t>
      </w:r>
      <w:r>
        <w:rPr>
          <w:szCs w:val="26"/>
        </w:rPr>
        <w:t>Cal Water</w:t>
      </w:r>
      <w:r w:rsidRPr="001C7C22">
        <w:rPr>
          <w:szCs w:val="26"/>
        </w:rPr>
        <w:t xml:space="preserve"> from seeking </w:t>
      </w:r>
      <w:r w:rsidRPr="001C7C22">
        <w:rPr>
          <w:szCs w:val="26"/>
        </w:rPr>
        <w:lastRenderedPageBreak/>
        <w:t>recovery of reasonable, documented cost increases through the applicable advice letter process or in a future proceeding, where such costs are supported by sufficient evidence and are shown to be prudent and used and useful.</w:t>
      </w:r>
    </w:p>
    <w:p w:rsidR="00A001D1" w:rsidP="004158D2" w:rsidRDefault="00A001D1" w14:paraId="4A8A4465" w14:textId="27CB9799">
      <w:pPr>
        <w:pStyle w:val="Heading3"/>
      </w:pPr>
      <w:bookmarkStart w:name="_Toc228294683" w:id="71"/>
      <w:r>
        <w:t>Non</w:t>
      </w:r>
      <w:r w:rsidR="00270999">
        <w:noBreakHyphen/>
      </w:r>
      <w:r>
        <w:t>Specifics and Unscheduled Budgets Provide Operational Flexibility</w:t>
      </w:r>
      <w:bookmarkEnd w:id="71"/>
    </w:p>
    <w:p w:rsidR="00A001D1" w:rsidP="00A001D1" w:rsidRDefault="00EB50F8" w14:paraId="6AB5E8AB" w14:textId="50BA25D0">
      <w:pPr>
        <w:pStyle w:val="Standard"/>
      </w:pPr>
      <w:r>
        <w:t>Cal Water</w:t>
      </w:r>
      <w:r w:rsidR="00A001D1">
        <w:t xml:space="preserve"> requests a non</w:t>
      </w:r>
      <w:r w:rsidR="00270999">
        <w:noBreakHyphen/>
      </w:r>
      <w:r w:rsidR="00A001D1">
        <w:t>specific capital budget of $55.918</w:t>
      </w:r>
      <w:r w:rsidR="00613D12">
        <w:t> </w:t>
      </w:r>
      <w:r w:rsidR="00A001D1">
        <w:t>million and an unscheduled budget of $144.098</w:t>
      </w:r>
      <w:r w:rsidR="00613D12">
        <w:t> million</w:t>
      </w:r>
      <w:r w:rsidR="00A001D1">
        <w:t xml:space="preserve"> for the years 2025</w:t>
      </w:r>
      <w:r w:rsidR="00FD6045">
        <w:noBreakHyphen/>
      </w:r>
      <w:r w:rsidR="00A001D1">
        <w:t>2027.</w:t>
      </w:r>
      <w:r w:rsidR="00A001D1">
        <w:rPr>
          <w:rStyle w:val="FootnoteReference"/>
        </w:rPr>
        <w:footnoteReference w:id="69"/>
      </w:r>
      <w:r w:rsidR="00A001D1">
        <w:t xml:space="preserve"> These budget categories cover any unforeseen infrastructure needs, as well as the portion of the non</w:t>
      </w:r>
      <w:r w:rsidR="00270999">
        <w:noBreakHyphen/>
      </w:r>
      <w:r w:rsidR="00A001D1">
        <w:t xml:space="preserve">specific budget for mains, meters, services, and hydrants. </w:t>
      </w:r>
      <w:r>
        <w:t>Cal Advocates</w:t>
      </w:r>
      <w:r w:rsidR="00A001D1">
        <w:t xml:space="preserve"> r</w:t>
      </w:r>
      <w:r w:rsidRPr="00670749" w:rsidR="00A001D1">
        <w:t>ecommends denying $200</w:t>
      </w:r>
      <w:r w:rsidR="00613D12">
        <w:t> million</w:t>
      </w:r>
      <w:r w:rsidRPr="00670749" w:rsidR="00A001D1">
        <w:t xml:space="preserve"> in Non</w:t>
      </w:r>
      <w:r w:rsidR="00FD6045">
        <w:noBreakHyphen/>
      </w:r>
      <w:r w:rsidRPr="00670749" w:rsidR="00A001D1">
        <w:t xml:space="preserve">Specific and Unscheduled budgets, arguing they represent redundant funding for undefined needs. </w:t>
      </w:r>
      <w:r>
        <w:t>Cal Advocates</w:t>
      </w:r>
      <w:r w:rsidR="00A001D1">
        <w:t xml:space="preserve"> argues that</w:t>
      </w:r>
      <w:r w:rsidRPr="00670749" w:rsidR="00A001D1">
        <w:t xml:space="preserve"> these unexpected projects should be covered by existing asset management programs or addressed in future rate cases to ensure cost efficiency and protect ratepayers.</w:t>
      </w:r>
      <w:r w:rsidR="00A001D1">
        <w:rPr>
          <w:rStyle w:val="FootnoteReference"/>
        </w:rPr>
        <w:footnoteReference w:id="70"/>
      </w:r>
    </w:p>
    <w:p w:rsidR="00A001D1" w:rsidP="00A001D1" w:rsidRDefault="00A001D1" w14:paraId="34F2F515" w14:textId="6FC882A3">
      <w:pPr>
        <w:pStyle w:val="Standard"/>
      </w:pPr>
      <w:r>
        <w:t xml:space="preserve">We do not agree with </w:t>
      </w:r>
      <w:r w:rsidR="00EB50F8">
        <w:t>Cal Advocates</w:t>
      </w:r>
      <w:r>
        <w:t xml:space="preserve"> that the entire budget should be denied. While planned projects with specified budgets are the most reasonable approach to project management, we recognize that planning for unexpected failures is also part of sound utility management practice. Reducing these budget categories by 10</w:t>
      </w:r>
      <w:r w:rsidR="005B35EF">
        <w:t> percent</w:t>
      </w:r>
      <w:r>
        <w:t xml:space="preserve"> </w:t>
      </w:r>
      <w:r w:rsidRPr="00EC17C8">
        <w:t xml:space="preserve">is a balanced approach that manages utility flexibility while protecting ratepayers. </w:t>
      </w:r>
      <w:r w:rsidR="00EB50F8">
        <w:t>Cal Water</w:t>
      </w:r>
      <w:r w:rsidRPr="00EC17C8">
        <w:t>’s current request exceeds the previous GRC</w:t>
      </w:r>
      <w:r>
        <w:t>’s authorized amount of $136</w:t>
      </w:r>
      <w:r w:rsidR="00613D12">
        <w:t> million</w:t>
      </w:r>
      <w:r>
        <w:t xml:space="preserve"> </w:t>
      </w:r>
      <w:r w:rsidRPr="00EC17C8">
        <w:t xml:space="preserve">by </w:t>
      </w:r>
      <w:r>
        <w:t>$64</w:t>
      </w:r>
      <w:r w:rsidR="00613D12">
        <w:t> million</w:t>
      </w:r>
      <w:r>
        <w:t>.</w:t>
      </w:r>
      <w:r>
        <w:rPr>
          <w:rStyle w:val="FootnoteReference"/>
        </w:rPr>
        <w:footnoteReference w:id="71"/>
      </w:r>
      <w:r>
        <w:t xml:space="preserve"> A</w:t>
      </w:r>
      <w:r w:rsidRPr="00EC17C8">
        <w:t xml:space="preserve"> 10</w:t>
      </w:r>
      <w:r w:rsidR="005B35EF">
        <w:t> percent</w:t>
      </w:r>
      <w:r w:rsidRPr="00EC17C8">
        <w:t xml:space="preserve"> cut helps limit cost overruns while still providing</w:t>
      </w:r>
      <w:r w:rsidR="001B3615">
        <w:t xml:space="preserve"> $</w:t>
      </w:r>
      <w:r>
        <w:t>180</w:t>
      </w:r>
      <w:r w:rsidR="00613D12">
        <w:t> million</w:t>
      </w:r>
      <w:r>
        <w:rPr>
          <w:rStyle w:val="FootnoteReference"/>
        </w:rPr>
        <w:footnoteReference w:id="72"/>
      </w:r>
      <w:r w:rsidR="003E7987">
        <w:t> </w:t>
      </w:r>
      <w:r w:rsidRPr="00EC17C8">
        <w:t>—</w:t>
      </w:r>
      <w:r w:rsidR="003E7987">
        <w:t xml:space="preserve"> </w:t>
      </w:r>
      <w:r w:rsidRPr="00EC17C8">
        <w:t xml:space="preserve">an increase over typical </w:t>
      </w:r>
      <w:r w:rsidRPr="00EC17C8">
        <w:lastRenderedPageBreak/>
        <w:t xml:space="preserve">unexpected expenses. </w:t>
      </w:r>
      <w:r w:rsidR="00EB50F8">
        <w:t>Cal Water</w:t>
      </w:r>
      <w:r w:rsidRPr="00EC17C8">
        <w:t xml:space="preserve"> is requesting a</w:t>
      </w:r>
      <w:r w:rsidR="003E7987">
        <w:t xml:space="preserve"> </w:t>
      </w:r>
      <w:r w:rsidRPr="00EC17C8">
        <w:t>17.1</w:t>
      </w:r>
      <w:r w:rsidR="003E7987">
        <w:t> </w:t>
      </w:r>
      <w:r>
        <w:t>percent</w:t>
      </w:r>
      <w:r w:rsidRPr="00EC17C8">
        <w:t xml:space="preserve"> revenue increase</w:t>
      </w:r>
      <w:r w:rsidR="005B35EF">
        <w:t xml:space="preserve"> </w:t>
      </w:r>
      <w:r w:rsidRPr="00EC17C8">
        <w:t>for 2026 alone. Reducing 10</w:t>
      </w:r>
      <w:r w:rsidR="00EB13C6">
        <w:t> percent</w:t>
      </w:r>
      <w:r w:rsidRPr="00EC17C8">
        <w:t xml:space="preserve"> from the unplanned and non</w:t>
      </w:r>
      <w:r w:rsidR="00FD6045">
        <w:noBreakHyphen/>
      </w:r>
      <w:r w:rsidRPr="00EC17C8">
        <w:t xml:space="preserve">specific category directly supports the goal of keeping total revenue requirements fair and reasonable, and </w:t>
      </w:r>
      <w:r>
        <w:t xml:space="preserve">enables </w:t>
      </w:r>
      <w:r w:rsidRPr="00EC17C8">
        <w:t>the utility to prioritize projects and meet its fiscal obligations.</w:t>
      </w:r>
    </w:p>
    <w:p w:rsidR="00DF2208" w:rsidP="00A001D1" w:rsidRDefault="00DF2208" w14:paraId="1BF5CC5E" w14:textId="29FFE756">
      <w:pPr>
        <w:pStyle w:val="Standard"/>
      </w:pPr>
      <w:r w:rsidRPr="00DF2208">
        <w:t>In light of the foregoing, we evaluate the proposed capital additions individually, distinguishing between compliance</w:t>
      </w:r>
      <w:r w:rsidR="00270999">
        <w:noBreakHyphen/>
      </w:r>
      <w:r w:rsidRPr="00DF2208">
        <w:t>driven, supported projects and those that lack sufficient evidentiary support. The following determinations reflect that project</w:t>
      </w:r>
      <w:r w:rsidR="00270999">
        <w:noBreakHyphen/>
      </w:r>
      <w:r w:rsidRPr="00DF2208">
        <w:t>by</w:t>
      </w:r>
      <w:r w:rsidR="00270999">
        <w:noBreakHyphen/>
      </w:r>
      <w:r w:rsidRPr="00DF2208">
        <w:t>project assessment</w:t>
      </w:r>
      <w:r>
        <w:t>:</w:t>
      </w:r>
    </w:p>
    <w:p w:rsidR="008E5517" w:rsidP="008D5E78" w:rsidRDefault="008E5517" w14:paraId="2413582B" w14:textId="6AB2835E">
      <w:pPr>
        <w:pStyle w:val="BlockQuoteBullet1"/>
        <w:numPr>
          <w:ilvl w:val="0"/>
          <w:numId w:val="10"/>
        </w:numPr>
        <w:ind w:left="1080"/>
      </w:pPr>
      <w:r w:rsidRPr="008E5517">
        <w:t>Treatment</w:t>
      </w:r>
      <w:r w:rsidR="00270999">
        <w:noBreakHyphen/>
      </w:r>
      <w:r w:rsidRPr="008E5517">
        <w:t>plant expansions required to comply with state and federal water</w:t>
      </w:r>
      <w:r w:rsidR="00270999">
        <w:noBreakHyphen/>
      </w:r>
      <w:r w:rsidRPr="008E5517">
        <w:t>quality or safety regulations are approved</w:t>
      </w:r>
      <w:r>
        <w:t>;</w:t>
      </w:r>
    </w:p>
    <w:p w:rsidR="008E5517" w:rsidP="008D5E78" w:rsidRDefault="002E3CE9" w14:paraId="3089E966" w14:textId="23C42777">
      <w:pPr>
        <w:pStyle w:val="BlockQuoteBullet1"/>
        <w:numPr>
          <w:ilvl w:val="0"/>
          <w:numId w:val="10"/>
        </w:numPr>
        <w:ind w:left="1080"/>
      </w:pPr>
      <w:r>
        <w:t>Authorized</w:t>
      </w:r>
      <w:r w:rsidRPr="009D267B" w:rsidR="009D267B">
        <w:t xml:space="preserve"> recovery of 50% of AMI costs in rates</w:t>
      </w:r>
      <w:r>
        <w:t xml:space="preserve"> for the five-ratemaking areas identified in the record</w:t>
      </w:r>
      <w:r w:rsidRPr="009D267B" w:rsidR="009D267B">
        <w:t>, with the remaining 50% recoverable via Tier 2 Advice Letter, subject to reporting requirements on performance metrics</w:t>
      </w:r>
      <w:r w:rsidR="008E5517">
        <w:t>;</w:t>
      </w:r>
    </w:p>
    <w:p w:rsidR="008E5517" w:rsidP="008D5E78" w:rsidRDefault="008E5517" w14:paraId="14B6EC02" w14:textId="372AD74C">
      <w:pPr>
        <w:pStyle w:val="BlockQuoteBullet1"/>
        <w:numPr>
          <w:ilvl w:val="0"/>
          <w:numId w:val="10"/>
        </w:numPr>
        <w:ind w:left="1080"/>
      </w:pPr>
      <w:r w:rsidRPr="008E5517">
        <w:t>Discretionary office expansions and other non</w:t>
      </w:r>
      <w:r w:rsidR="00270999">
        <w:noBreakHyphen/>
      </w:r>
      <w:r w:rsidRPr="008E5517">
        <w:t xml:space="preserve">essential projects are </w:t>
      </w:r>
      <w:r w:rsidR="00B3659A">
        <w:t xml:space="preserve">not adopted for this GRC cycle due to </w:t>
      </w:r>
      <w:r w:rsidRPr="008E5517">
        <w:t>lack of sufficient engineering or cost justification and shall not be included in rate base</w:t>
      </w:r>
      <w:r>
        <w:t>; and</w:t>
      </w:r>
    </w:p>
    <w:p w:rsidR="00D22CBC" w:rsidP="008D5E78" w:rsidRDefault="008E5517" w14:paraId="3DD6F8C1" w14:textId="792A87E0">
      <w:pPr>
        <w:pStyle w:val="BlockQuoteBullet1"/>
        <w:numPr>
          <w:ilvl w:val="0"/>
          <w:numId w:val="10"/>
        </w:numPr>
        <w:ind w:left="1080"/>
      </w:pPr>
      <w:r w:rsidRPr="008E5517">
        <w:t>All other plant additions that are supported by documented engineering need, cost estimates, and regulatory necessity are approved as just and reasonable.</w:t>
      </w:r>
    </w:p>
    <w:p w:rsidRPr="00E523C4" w:rsidR="00DE13B2" w:rsidP="00DE13B2" w:rsidRDefault="00DE13B2" w14:paraId="242446F0" w14:textId="563146A8">
      <w:pPr>
        <w:pStyle w:val="Standard"/>
      </w:pPr>
      <w:r w:rsidRPr="00E523C4">
        <w:t>The Commission further clarifies that the capital modeling adopted in this decision relies on project</w:t>
      </w:r>
      <w:r w:rsidR="00270999">
        <w:noBreakHyphen/>
      </w:r>
      <w:r w:rsidRPr="00E523C4">
        <w:t xml:space="preserve">level data contained in </w:t>
      </w:r>
      <w:r w:rsidR="000A6C2E">
        <w:t>Ex. CWS</w:t>
      </w:r>
      <w:r w:rsidR="00270999">
        <w:noBreakHyphen/>
      </w:r>
      <w:r w:rsidRPr="00E523C4">
        <w:t xml:space="preserve">27 through </w:t>
      </w:r>
      <w:r w:rsidR="000A6C2E">
        <w:t>Ex. CWS</w:t>
      </w:r>
      <w:r w:rsidR="00270999">
        <w:noBreakHyphen/>
      </w:r>
      <w:r w:rsidRPr="00E523C4">
        <w:t xml:space="preserve">50 and </w:t>
      </w:r>
      <w:r w:rsidR="00F3105B">
        <w:t>Ex. </w:t>
      </w:r>
      <w:r w:rsidRPr="00E523C4">
        <w:t>CalAdv</w:t>
      </w:r>
      <w:r w:rsidR="00270999">
        <w:noBreakHyphen/>
      </w:r>
      <w:r w:rsidRPr="00E523C4">
        <w:t>07 to classify each project into one of the four categories above. This ensures that the adopted rate base and capital budgets reflect only those plant additions supported by adequate documentation in the evidentiary record.</w:t>
      </w:r>
    </w:p>
    <w:p w:rsidRPr="00E523C4" w:rsidR="00C7335F" w:rsidP="005D2CB6" w:rsidRDefault="00C7335F" w14:paraId="657C65AE" w14:textId="49334C0A">
      <w:pPr>
        <w:pStyle w:val="Standard"/>
      </w:pPr>
      <w:r w:rsidRPr="00E523C4">
        <w:lastRenderedPageBreak/>
        <w:t>For approved compliance</w:t>
      </w:r>
      <w:r w:rsidR="00270999">
        <w:noBreakHyphen/>
      </w:r>
      <w:r w:rsidRPr="00E523C4">
        <w:t xml:space="preserve">driven treatment projects, </w:t>
      </w:r>
      <w:r w:rsidR="005D2CB6">
        <w:t xml:space="preserve">the projects </w:t>
      </w:r>
      <w:r w:rsidRPr="005D2CB6" w:rsidR="005D2CB6">
        <w:t xml:space="preserve">are approved for inclusion in rates at the forecast amounts. Cal Water </w:t>
      </w:r>
      <w:r w:rsidR="005D2CB6">
        <w:t>may</w:t>
      </w:r>
      <w:r w:rsidRPr="005D2CB6" w:rsidR="005D2CB6">
        <w:t xml:space="preserve"> seek to recover any overruns in the </w:t>
      </w:r>
      <w:r w:rsidR="005D2CB6">
        <w:t>next</w:t>
      </w:r>
      <w:r w:rsidRPr="005D2CB6" w:rsidR="005D2CB6">
        <w:t xml:space="preserve"> GRC by providing adequate justifications</w:t>
      </w:r>
      <w:r w:rsidR="005D2CB6">
        <w:t>.</w:t>
      </w:r>
      <w:r w:rsidRPr="00E523C4">
        <w:t xml:space="preserve"> </w:t>
      </w:r>
      <w:r w:rsidRPr="00F231C0" w:rsidR="005D2CB6">
        <w:t>For purposes of rate recovery, Cal Water shall seek inclusion of completed projects through the advice letter process, including Tier 2 advice letters for projects within adopted cost estimates and Tier 3 advice letters where project costs</w:t>
      </w:r>
      <w:r w:rsidR="005D2CB6">
        <w:t xml:space="preserve"> </w:t>
      </w:r>
      <w:r w:rsidRPr="00F231C0" w:rsidR="005D2CB6">
        <w:t>exceed those estimates</w:t>
      </w:r>
      <w:r w:rsidRPr="00960D57" w:rsidR="005D2CB6">
        <w:t>.</w:t>
      </w:r>
      <w:r w:rsidRPr="00E523C4" w:rsidR="008E5517">
        <w:t xml:space="preserve"> This outcome appropriately balances the need to fund essential infrastructure against the Commission</w:t>
      </w:r>
      <w:r w:rsidR="000C0896">
        <w:t>’</w:t>
      </w:r>
      <w:r w:rsidRPr="00E523C4" w:rsidR="008E5517">
        <w:t>s obligation to protect ratepayers from unsupported or premature capital expenditures.</w:t>
      </w:r>
    </w:p>
    <w:p w:rsidR="00B07EB0" w:rsidP="00B07EB0" w:rsidRDefault="00AA4DCF" w14:paraId="7DECD02B" w14:textId="38B9EA57">
      <w:pPr>
        <w:pStyle w:val="Heading2"/>
      </w:pPr>
      <w:bookmarkStart w:name="_Toc222305257" w:id="72"/>
      <w:bookmarkStart w:name="_Toc228294684" w:id="73"/>
      <w:r>
        <w:t xml:space="preserve">Scoped </w:t>
      </w:r>
      <w:r w:rsidR="009D287A">
        <w:t>Issue #</w:t>
      </w:r>
      <w:r>
        <w:t>4</w:t>
      </w:r>
      <w:r w:rsidR="000C0896">
        <w:t xml:space="preserve">:  </w:t>
      </w:r>
      <w:r w:rsidRPr="00B07EB0" w:rsidR="00B07EB0">
        <w:rPr>
          <w:bCs/>
        </w:rPr>
        <w:t xml:space="preserve">Whether </w:t>
      </w:r>
      <w:r w:rsidRPr="001A36AE" w:rsidR="001A36AE">
        <w:rPr>
          <w:bCs/>
        </w:rPr>
        <w:t>California Water Service Company</w:t>
      </w:r>
      <w:r w:rsidR="000C0896">
        <w:rPr>
          <w:bCs/>
        </w:rPr>
        <w:t>’</w:t>
      </w:r>
      <w:r w:rsidRPr="00B07EB0" w:rsidR="00B07EB0">
        <w:rPr>
          <w:bCs/>
        </w:rPr>
        <w:t xml:space="preserve">s </w:t>
      </w:r>
      <w:r w:rsidRPr="00B07EB0" w:rsidR="00056B61">
        <w:rPr>
          <w:bCs/>
        </w:rPr>
        <w:t xml:space="preserve">Proposed Revenue Requirement Is Just </w:t>
      </w:r>
      <w:r w:rsidRPr="00B07EB0" w:rsidR="00B07EB0">
        <w:rPr>
          <w:bCs/>
        </w:rPr>
        <w:t xml:space="preserve">and </w:t>
      </w:r>
      <w:r w:rsidRPr="00B07EB0" w:rsidR="00056B61">
        <w:rPr>
          <w:bCs/>
        </w:rPr>
        <w:t>Reasonable</w:t>
      </w:r>
      <w:bookmarkEnd w:id="72"/>
      <w:bookmarkEnd w:id="73"/>
    </w:p>
    <w:p w:rsidRPr="00D22CBC" w:rsidR="00D22CBC" w:rsidP="00F353EE" w:rsidRDefault="00D22CBC" w14:paraId="4F2F3DA0" w14:textId="22C08393">
      <w:pPr>
        <w:pStyle w:val="Standard"/>
      </w:pPr>
      <w:r w:rsidRPr="00D22CBC">
        <w:t xml:space="preserve">This issue addresses whether </w:t>
      </w:r>
      <w:r w:rsidR="00EB50F8">
        <w:t>Cal Water</w:t>
      </w:r>
      <w:r w:rsidR="000C0896">
        <w:t>’</w:t>
      </w:r>
      <w:r w:rsidRPr="00D22CBC">
        <w:t>s proposed revenue requirement</w:t>
      </w:r>
      <w:r w:rsidRPr="00D22CBC" w:rsidR="64F12AA0">
        <w:t>s</w:t>
      </w:r>
      <w:r w:rsidRPr="00D22CBC">
        <w:t xml:space="preserve"> for the TY and EYs</w:t>
      </w:r>
      <w:r w:rsidR="00C93329">
        <w:t xml:space="preserve"> </w:t>
      </w:r>
      <w:r w:rsidRPr="00D22CBC" w:rsidR="38003C6D">
        <w:t>are</w:t>
      </w:r>
      <w:r w:rsidRPr="00D22CBC">
        <w:t xml:space="preserve"> just and reasonable under </w:t>
      </w:r>
      <w:r w:rsidR="003A5B7D">
        <w:t>Pub. Util.</w:t>
      </w:r>
      <w:r w:rsidRPr="00D22CBC">
        <w:t xml:space="preserve"> Code </w:t>
      </w:r>
      <w:r w:rsidR="009E649C">
        <w:t>Section</w:t>
      </w:r>
      <w:r w:rsidR="00C4219F">
        <w:t>s</w:t>
      </w:r>
      <w:r w:rsidR="009E649C">
        <w:t> </w:t>
      </w:r>
      <w:r w:rsidRPr="00D22CBC">
        <w:t xml:space="preserve">451 and 454. </w:t>
      </w:r>
      <w:r w:rsidR="00EB50F8">
        <w:t>Cal Water</w:t>
      </w:r>
      <w:r w:rsidRPr="00D22CBC">
        <w:t xml:space="preserve"> contends its proposal reflects the reasonable costs necessary to provide safe, reliable, and compliant service, meet regulatory obligations, and maintain financial stability in light of inflationary pressures and market conditions.</w:t>
      </w:r>
      <w:r w:rsidR="006D25F0">
        <w:rPr>
          <w:rStyle w:val="FootnoteReference"/>
        </w:rPr>
        <w:footnoteReference w:id="73"/>
      </w:r>
      <w:r w:rsidRPr="00D22CBC">
        <w:t xml:space="preserve"> </w:t>
      </w:r>
      <w:r w:rsidR="00EB50F8">
        <w:t>Cal Water</w:t>
      </w:r>
      <w:r w:rsidRPr="00D22CBC">
        <w:t xml:space="preserve"> asserts that its proposed return and cost forecasts are supported by the governing standards of </w:t>
      </w:r>
      <w:r w:rsidRPr="00D22CBC">
        <w:rPr>
          <w:i/>
          <w:iCs/>
        </w:rPr>
        <w:t>Bluefield Water Works</w:t>
      </w:r>
      <w:r w:rsidR="00AE2539">
        <w:rPr>
          <w:i/>
          <w:iCs/>
        </w:rPr>
        <w:t xml:space="preserve"> &amp; </w:t>
      </w:r>
      <w:r w:rsidRPr="00D22CBC">
        <w:rPr>
          <w:i/>
          <w:iCs/>
        </w:rPr>
        <w:t>Improvement Co.</w:t>
      </w:r>
      <w:r w:rsidR="008605EE">
        <w:rPr>
          <w:i/>
          <w:iCs/>
        </w:rPr>
        <w:t xml:space="preserve"> v. </w:t>
      </w:r>
      <w:r w:rsidRPr="00D22CBC">
        <w:rPr>
          <w:i/>
          <w:iCs/>
        </w:rPr>
        <w:t>Public Service Commission</w:t>
      </w:r>
      <w:r w:rsidR="00A25269">
        <w:rPr>
          <w:i/>
          <w:iCs/>
        </w:rPr>
        <w:t xml:space="preserve"> (Bluefield)</w:t>
      </w:r>
      <w:r w:rsidRPr="00D22CBC">
        <w:t>, 262</w:t>
      </w:r>
      <w:r w:rsidR="00C31DCE">
        <w:t> </w:t>
      </w:r>
      <w:r w:rsidRPr="00D22CBC">
        <w:t xml:space="preserve">U.S. 679 (1923), and </w:t>
      </w:r>
      <w:r w:rsidRPr="00D22CBC">
        <w:rPr>
          <w:i/>
          <w:iCs/>
        </w:rPr>
        <w:t>Federal Power Commission</w:t>
      </w:r>
      <w:r w:rsidR="008605EE">
        <w:rPr>
          <w:i/>
          <w:iCs/>
        </w:rPr>
        <w:t xml:space="preserve"> v. </w:t>
      </w:r>
      <w:r w:rsidRPr="00D22CBC">
        <w:rPr>
          <w:i/>
          <w:iCs/>
        </w:rPr>
        <w:t>Hope Natural Gas Co.</w:t>
      </w:r>
      <w:r w:rsidR="00A25269">
        <w:rPr>
          <w:i/>
          <w:iCs/>
        </w:rPr>
        <w:t xml:space="preserve"> (Hope)</w:t>
      </w:r>
      <w:r w:rsidRPr="00D22CBC">
        <w:t>, 320</w:t>
      </w:r>
      <w:r w:rsidR="00C31DCE">
        <w:t> U.S.</w:t>
      </w:r>
      <w:r w:rsidRPr="00D22CBC">
        <w:t xml:space="preserve"> 591 (1944), which require that the overall result of ratemaking be fair to investors and ratepayers alike.</w:t>
      </w:r>
    </w:p>
    <w:p w:rsidR="00CE0158" w:rsidP="00D22CBC" w:rsidRDefault="00EB50F8" w14:paraId="0D64B9E3" w14:textId="55676A1B">
      <w:pPr>
        <w:pStyle w:val="Standard"/>
      </w:pPr>
      <w:r>
        <w:t>Cal Advocates</w:t>
      </w:r>
      <w:r w:rsidRPr="00D22CBC" w:rsidR="00D22CBC">
        <w:t xml:space="preserve"> disagrees, asserting that </w:t>
      </w:r>
      <w:r>
        <w:t>Cal Water</w:t>
      </w:r>
      <w:r w:rsidR="000C0896">
        <w:t>’</w:t>
      </w:r>
      <w:r w:rsidRPr="00D22CBC" w:rsidR="00D22CBC">
        <w:t xml:space="preserve">s proposal is overstated because it includes inflated forecasts for O&amp;M expenses, plant additions, </w:t>
      </w:r>
      <w:r w:rsidR="00573C27">
        <w:t xml:space="preserve">and </w:t>
      </w:r>
      <w:r w:rsidRPr="00D22CBC" w:rsidR="00D22CBC">
        <w:lastRenderedPageBreak/>
        <w:t>escalation factors</w:t>
      </w:r>
      <w:r w:rsidR="006D25F0">
        <w:t>.</w:t>
      </w:r>
      <w:r w:rsidR="006D25F0">
        <w:rPr>
          <w:rStyle w:val="FootnoteReference"/>
        </w:rPr>
        <w:footnoteReference w:id="74"/>
      </w:r>
      <w:r w:rsidRPr="00D22CBC" w:rsidR="00D22CBC">
        <w:t xml:space="preserve"> </w:t>
      </w:r>
      <w:r>
        <w:t>Cal Advocates</w:t>
      </w:r>
      <w:r w:rsidRPr="00D22CBC" w:rsidR="00D22CBC">
        <w:t xml:space="preserve"> contends that adoption of its lower recommended revenue requirement would adequately fund </w:t>
      </w:r>
      <w:r>
        <w:t>Cal Water</w:t>
      </w:r>
      <w:r w:rsidR="000C0896">
        <w:t>’</w:t>
      </w:r>
      <w:r w:rsidRPr="00D22CBC" w:rsidR="00D22CBC">
        <w:t>s service obligations while reducing ratepayer costs and maintaining safe, reliable service</w:t>
      </w:r>
      <w:r w:rsidR="006D25F0">
        <w:t>.</w:t>
      </w:r>
      <w:r w:rsidR="006D25F0">
        <w:rPr>
          <w:rStyle w:val="FootnoteReference"/>
        </w:rPr>
        <w:footnoteReference w:id="75"/>
      </w:r>
    </w:p>
    <w:p w:rsidRPr="00D22CBC" w:rsidR="00D22CBC" w:rsidP="00D22CBC" w:rsidRDefault="00D22CBC" w14:paraId="00884470" w14:textId="19A0A21A">
      <w:pPr>
        <w:pStyle w:val="Standard"/>
      </w:pPr>
      <w:r w:rsidRPr="00D22CBC">
        <w:t xml:space="preserve">NAWC supports </w:t>
      </w:r>
      <w:r w:rsidR="00EB50F8">
        <w:t>Cal Water</w:t>
      </w:r>
      <w:r w:rsidR="000C0896">
        <w:t>’</w:t>
      </w:r>
      <w:r w:rsidRPr="00D22CBC">
        <w:t>s proposal, describing it as consistent with industry best practices and necessary to ensure investment in long</w:t>
      </w:r>
      <w:r w:rsidR="00270999">
        <w:noBreakHyphen/>
      </w:r>
      <w:r w:rsidRPr="00D22CBC">
        <w:t>lived water infrastructure</w:t>
      </w:r>
      <w:r w:rsidR="006D25F0">
        <w:t>.</w:t>
      </w:r>
      <w:r w:rsidR="006D25F0">
        <w:rPr>
          <w:rStyle w:val="FootnoteReference"/>
        </w:rPr>
        <w:footnoteReference w:id="76"/>
      </w:r>
      <w:r w:rsidRPr="00D22CBC">
        <w:t xml:space="preserve"> CWA similarly supports </w:t>
      </w:r>
      <w:r w:rsidR="00EB50F8">
        <w:t>Cal Water</w:t>
      </w:r>
      <w:r w:rsidRPr="00D22CBC">
        <w:t>, arguing that overly restrictive adjustments could underfund critical compliance projects and undermine long</w:t>
      </w:r>
      <w:r w:rsidR="00270999">
        <w:noBreakHyphen/>
      </w:r>
      <w:r w:rsidRPr="00D22CBC">
        <w:t>term reliability.</w:t>
      </w:r>
      <w:r w:rsidR="006D25F0">
        <w:rPr>
          <w:rStyle w:val="FootnoteReference"/>
        </w:rPr>
        <w:footnoteReference w:id="77"/>
      </w:r>
    </w:p>
    <w:p w:rsidRPr="00E523C4" w:rsidR="00B07EB0" w:rsidP="00D22CBC" w:rsidRDefault="00DF2208" w14:paraId="6329F680" w14:textId="6FFB3340">
      <w:pPr>
        <w:pStyle w:val="Standard"/>
      </w:pPr>
      <w:r>
        <w:t>The revenue requirement from Scoped Issue #4</w:t>
      </w:r>
      <w:r w:rsidRPr="00E523C4">
        <w:t xml:space="preserve"> </w:t>
      </w:r>
      <w:r w:rsidRPr="00E523C4" w:rsidR="00D22CBC">
        <w:t xml:space="preserve">integrates the outcomes from Scoped Issues #2 (O&amp;M and </w:t>
      </w:r>
      <w:r w:rsidR="00640A72">
        <w:t xml:space="preserve">A&amp;G </w:t>
      </w:r>
      <w:r w:rsidRPr="00E523C4" w:rsidR="00D22CBC">
        <w:t>expenses) and #3 (plant additions), as those components materially affect the overall revenue requirement.</w:t>
      </w:r>
      <w:r w:rsidRPr="00E523C4" w:rsidR="00F260B8">
        <w:t xml:space="preserve"> Accordingly, the Commission</w:t>
      </w:r>
      <w:r w:rsidR="000C0896">
        <w:t>’</w:t>
      </w:r>
      <w:r w:rsidRPr="00E523C4" w:rsidR="00F260B8">
        <w:t xml:space="preserve">s adopted revenue requirement reflects a sequential implementation in which the adopted </w:t>
      </w:r>
      <w:r w:rsidR="00EF1E5C">
        <w:t>TY</w:t>
      </w:r>
      <w:r w:rsidRPr="00E523C4" w:rsidR="00F260B8">
        <w:t xml:space="preserve"> cost structure is first adjusted to reflect the determinations in Scoped Issues #2 and #3, and only thereafter escalated to the </w:t>
      </w:r>
      <w:r w:rsidR="00EF1E5C">
        <w:t>EY</w:t>
      </w:r>
      <w:r w:rsidRPr="00E523C4" w:rsidR="00F260B8">
        <w:t>s using the escalation indices adopted herein.</w:t>
      </w:r>
    </w:p>
    <w:p w:rsidR="00AA4DCF" w:rsidP="00AA4DCF" w:rsidRDefault="00AA4DCF" w14:paraId="23231BFF" w14:textId="10BF9D43">
      <w:pPr>
        <w:pStyle w:val="Heading3"/>
      </w:pPr>
      <w:bookmarkStart w:name="_Toc222305258" w:id="74"/>
      <w:bookmarkStart w:name="_Toc228294685" w:id="75"/>
      <w:r>
        <w:t>Partial Settlement</w:t>
      </w:r>
      <w:bookmarkEnd w:id="74"/>
      <w:bookmarkEnd w:id="75"/>
    </w:p>
    <w:p w:rsidRPr="00E60D77" w:rsidR="00037D58" w:rsidP="00F353EE" w:rsidRDefault="00D22CBC" w14:paraId="25ED9AFC" w14:textId="507CF378">
      <w:pPr>
        <w:pStyle w:val="Standard"/>
      </w:pPr>
      <w:r w:rsidRPr="00D22CBC">
        <w:t>Several revenue</w:t>
      </w:r>
      <w:r w:rsidR="00270999">
        <w:noBreakHyphen/>
      </w:r>
      <w:r w:rsidRPr="00D22CBC">
        <w:t xml:space="preserve">requirement inputs were resolved </w:t>
      </w:r>
      <w:r w:rsidR="007A2749">
        <w:t>through p</w:t>
      </w:r>
      <w:r w:rsidRPr="00D22CBC">
        <w:t xml:space="preserve">artial </w:t>
      </w:r>
      <w:r w:rsidR="007A2749">
        <w:t>s</w:t>
      </w:r>
      <w:r w:rsidRPr="00D22CBC">
        <w:t>ettlement and reflected in the Undisputed Issues List, including depreciation, property taxes, and overhead allocations</w:t>
      </w:r>
      <w:r w:rsidR="006D25F0">
        <w:t>.</w:t>
      </w:r>
      <w:r w:rsidR="006D25F0">
        <w:rPr>
          <w:rStyle w:val="FootnoteReference"/>
        </w:rPr>
        <w:footnoteReference w:id="78"/>
      </w:r>
      <w:r w:rsidRPr="00D22CBC">
        <w:t xml:space="preserve"> </w:t>
      </w:r>
      <w:r w:rsidR="001E255A">
        <w:t xml:space="preserve">What follows is an analysis of the </w:t>
      </w:r>
      <w:r w:rsidR="001E255A">
        <w:lastRenderedPageBreak/>
        <w:t xml:space="preserve">unsettled, </w:t>
      </w:r>
      <w:r w:rsidRPr="00D22CBC">
        <w:t>disputed elements</w:t>
      </w:r>
      <w:r w:rsidR="00AE44B3">
        <w:t xml:space="preserve"> — </w:t>
      </w:r>
      <w:r w:rsidRPr="00D22CBC">
        <w:t>O&amp;M, plant additions, and escalation assumptions.</w:t>
      </w:r>
    </w:p>
    <w:p w:rsidR="00AA4DCF" w:rsidP="00AA4DCF" w:rsidRDefault="00AA4DCF" w14:paraId="35F5CF3A" w14:textId="77777777">
      <w:pPr>
        <w:pStyle w:val="Heading3"/>
      </w:pPr>
      <w:bookmarkStart w:name="_Toc222305259" w:id="76"/>
      <w:bookmarkStart w:name="_Toc228294686" w:id="77"/>
      <w:r>
        <w:t>Analysis</w:t>
      </w:r>
      <w:bookmarkEnd w:id="76"/>
      <w:bookmarkEnd w:id="77"/>
    </w:p>
    <w:p w:rsidRPr="00D22CBC" w:rsidR="00D22CBC" w:rsidP="00D22CBC" w:rsidRDefault="00D22CBC" w14:paraId="60EEA4DC" w14:textId="03FC0F43">
      <w:pPr>
        <w:pStyle w:val="Standard"/>
      </w:pPr>
      <w:r w:rsidRPr="00D22CBC">
        <w:t xml:space="preserve">The </w:t>
      </w:r>
      <w:r w:rsidRPr="00D22CBC">
        <w:rPr>
          <w:i/>
          <w:iCs/>
        </w:rPr>
        <w:t>Bluefield</w:t>
      </w:r>
      <w:r w:rsidRPr="00D22CBC">
        <w:t xml:space="preserve"> and </w:t>
      </w:r>
      <w:r w:rsidR="00B10A96">
        <w:rPr>
          <w:i/>
          <w:iCs/>
        </w:rPr>
        <w:t>Hope</w:t>
      </w:r>
      <w:r w:rsidRPr="003A2D75" w:rsidR="00B10A96">
        <w:rPr>
          <w:i/>
        </w:rPr>
        <w:t xml:space="preserve"> </w:t>
      </w:r>
      <w:r w:rsidRPr="00D22CBC">
        <w:t>decisions guide Commission evaluation of overall revenue requirements, emphasizing that the result must provide a fair return sufficient to maintain the utility</w:t>
      </w:r>
      <w:r w:rsidR="000C0896">
        <w:t>’</w:t>
      </w:r>
      <w:r w:rsidRPr="00D22CBC">
        <w:t xml:space="preserve">s financial integrity and attract capital, but not more than is necessary for that purpose. As </w:t>
      </w:r>
      <w:r w:rsidR="00B10A96">
        <w:rPr>
          <w:i/>
          <w:iCs/>
        </w:rPr>
        <w:t>Hope</w:t>
      </w:r>
      <w:r w:rsidRPr="003A2D75" w:rsidR="00B10A96">
        <w:rPr>
          <w:i/>
        </w:rPr>
        <w:t xml:space="preserve"> </w:t>
      </w:r>
      <w:r w:rsidRPr="00D22CBC">
        <w:t xml:space="preserve">states, </w:t>
      </w:r>
      <w:r w:rsidR="00A23D11">
        <w:t>“</w:t>
      </w:r>
      <w:r w:rsidRPr="00D22CBC">
        <w:t>[i]t is the result reached, not the method employed, which is controlling.</w:t>
      </w:r>
      <w:r w:rsidR="00A23D11">
        <w:t>”</w:t>
      </w:r>
      <w:r w:rsidR="00A25269">
        <w:rPr>
          <w:rStyle w:val="FootnoteReference"/>
        </w:rPr>
        <w:footnoteReference w:id="79"/>
      </w:r>
      <w:r w:rsidRPr="00D22CBC">
        <w:t xml:space="preserve"> Commission precedent in D.19</w:t>
      </w:r>
      <w:r w:rsidR="00270999">
        <w:noBreakHyphen/>
      </w:r>
      <w:r w:rsidRPr="00D22CBC">
        <w:t>05</w:t>
      </w:r>
      <w:r w:rsidR="00270999">
        <w:noBreakHyphen/>
      </w:r>
      <w:r w:rsidRPr="00D22CBC">
        <w:t xml:space="preserve">044 (2018 </w:t>
      </w:r>
      <w:r w:rsidR="00EB50F8">
        <w:t>Cal Water</w:t>
      </w:r>
      <w:r w:rsidRPr="00D22CBC">
        <w:t xml:space="preserve"> GRC) applies these principles by disallowing revenue</w:t>
      </w:r>
      <w:r w:rsidR="00270999">
        <w:noBreakHyphen/>
      </w:r>
      <w:r w:rsidRPr="00D22CBC">
        <w:t>requirement components not shown to be prudently incurred or adequately supported by record evidence.</w:t>
      </w:r>
    </w:p>
    <w:p w:rsidRPr="00D22CBC" w:rsidR="00D22CBC" w:rsidP="00D22CBC" w:rsidRDefault="00EB50F8" w14:paraId="3E376E27" w14:textId="187C02F2">
      <w:pPr>
        <w:pStyle w:val="Standard"/>
      </w:pPr>
      <w:r>
        <w:t>Cal Water</w:t>
      </w:r>
      <w:r w:rsidRPr="00D22CBC" w:rsidR="00D22CBC">
        <w:t xml:space="preserve"> maintains that its proposed revenue requirement is grounded in verifiable cost data, contractual inflation indices, and consistent regulatory methodology.</w:t>
      </w:r>
      <w:r w:rsidR="00A25269">
        <w:rPr>
          <w:rStyle w:val="FootnoteReference"/>
        </w:rPr>
        <w:footnoteReference w:id="80"/>
      </w:r>
      <w:r w:rsidRPr="00D22CBC" w:rsidR="00D22CBC">
        <w:t xml:space="preserve"> It asserts that its weighted average cost of capital reflect</w:t>
      </w:r>
      <w:r w:rsidR="00B10A96">
        <w:t>s</w:t>
      </w:r>
      <w:r w:rsidRPr="00D22CBC" w:rsidR="00D22CBC">
        <w:t xml:space="preserve"> the current capital</w:t>
      </w:r>
      <w:r w:rsidR="00270999">
        <w:noBreakHyphen/>
      </w:r>
      <w:r w:rsidRPr="00D22CBC" w:rsidR="00D22CBC">
        <w:t>market environment and the risk profile of a multi</w:t>
      </w:r>
      <w:r w:rsidR="00270999">
        <w:noBreakHyphen/>
      </w:r>
      <w:r w:rsidRPr="00D22CBC" w:rsidR="00D22CBC">
        <w:t>district water utility.</w:t>
      </w:r>
      <w:r w:rsidR="00A25269">
        <w:rPr>
          <w:rStyle w:val="FootnoteReference"/>
        </w:rPr>
        <w:footnoteReference w:id="81"/>
      </w:r>
      <w:r w:rsidRPr="00D22CBC" w:rsidR="00D22CBC">
        <w:t xml:space="preserve"> </w:t>
      </w:r>
      <w:r>
        <w:t>Cal Water</w:t>
      </w:r>
      <w:r w:rsidRPr="00D22CBC" w:rsidR="00D22CBC">
        <w:t xml:space="preserve"> argues that its projections adhere to the Commission</w:t>
      </w:r>
      <w:r w:rsidR="000C0896">
        <w:t>’</w:t>
      </w:r>
      <w:r w:rsidRPr="00D22CBC" w:rsidR="00D22CBC">
        <w:t>s cost</w:t>
      </w:r>
      <w:r w:rsidR="00270999">
        <w:noBreakHyphen/>
      </w:r>
      <w:r w:rsidRPr="00D22CBC" w:rsidR="00D22CBC">
        <w:t>of</w:t>
      </w:r>
      <w:r w:rsidR="00270999">
        <w:noBreakHyphen/>
      </w:r>
      <w:r w:rsidRPr="00D22CBC" w:rsidR="00D22CBC">
        <w:t xml:space="preserve">service framework and that the proposed level of earnings is consistent with the </w:t>
      </w:r>
      <w:r w:rsidRPr="00D22CBC" w:rsidR="00D22CBC">
        <w:rPr>
          <w:i/>
          <w:iCs/>
        </w:rPr>
        <w:t>Bluefield</w:t>
      </w:r>
      <w:r w:rsidRPr="00D22CBC" w:rsidR="00D22CBC">
        <w:t xml:space="preserve"> and </w:t>
      </w:r>
      <w:r w:rsidR="00B10A96">
        <w:rPr>
          <w:i/>
          <w:iCs/>
        </w:rPr>
        <w:t>Hope</w:t>
      </w:r>
      <w:r w:rsidRPr="003A2D75" w:rsidR="00B10A96">
        <w:rPr>
          <w:i/>
        </w:rPr>
        <w:t xml:space="preserve"> </w:t>
      </w:r>
      <w:r w:rsidRPr="00D22CBC" w:rsidR="00D22CBC">
        <w:t>standards of financial soundness.</w:t>
      </w:r>
      <w:r w:rsidR="00A25269">
        <w:rPr>
          <w:rStyle w:val="FootnoteReference"/>
        </w:rPr>
        <w:footnoteReference w:id="82"/>
      </w:r>
    </w:p>
    <w:p w:rsidR="00C7335F" w:rsidP="00D22CBC" w:rsidRDefault="00EB50F8" w14:paraId="30A8ACF6" w14:textId="377A46BC">
      <w:pPr>
        <w:pStyle w:val="Standard"/>
      </w:pPr>
      <w:r>
        <w:t>Cal Water</w:t>
      </w:r>
      <w:r w:rsidRPr="00C7335F" w:rsidR="00C7335F">
        <w:t xml:space="preserve"> further states that its revenue requirement incorporates the company</w:t>
      </w:r>
      <w:r w:rsidR="000C0896">
        <w:t>’</w:t>
      </w:r>
      <w:r w:rsidRPr="00C7335F" w:rsidR="00C7335F">
        <w:t>s district</w:t>
      </w:r>
      <w:r w:rsidR="00270999">
        <w:noBreakHyphen/>
      </w:r>
      <w:r w:rsidRPr="00C7335F" w:rsidR="00C7335F">
        <w:t>level O&amp;M and plant needs adopted in prior cycles, updated for inflation and compliance obligations.</w:t>
      </w:r>
      <w:r w:rsidR="00A25269">
        <w:rPr>
          <w:rStyle w:val="FootnoteReference"/>
        </w:rPr>
        <w:footnoteReference w:id="83"/>
      </w:r>
    </w:p>
    <w:p w:rsidR="00CE0158" w:rsidP="00D22CBC" w:rsidRDefault="00EB50F8" w14:paraId="5296045E" w14:textId="4CD4AF77">
      <w:pPr>
        <w:pStyle w:val="Standard"/>
      </w:pPr>
      <w:r>
        <w:lastRenderedPageBreak/>
        <w:t>Cal Advocates</w:t>
      </w:r>
      <w:r w:rsidRPr="00D22CBC" w:rsidR="00D22CBC">
        <w:t xml:space="preserve"> contends that </w:t>
      </w:r>
      <w:r>
        <w:t>Cal Water</w:t>
      </w:r>
      <w:r w:rsidR="000C0896">
        <w:t>’</w:t>
      </w:r>
      <w:r w:rsidRPr="00D22CBC" w:rsidR="00D22CBC">
        <w:t>s revenue requirement should be reduced to reflect the Commission</w:t>
      </w:r>
      <w:r w:rsidR="000C0896">
        <w:t>’</w:t>
      </w:r>
      <w:r w:rsidRPr="00D22CBC" w:rsidR="00D22CBC">
        <w:t xml:space="preserve">s adjustments in Scoped Issues #2 and #3, and to align the </w:t>
      </w:r>
      <w:r w:rsidR="00573C27">
        <w:t xml:space="preserve">Return on Equity </w:t>
      </w:r>
      <w:r w:rsidRPr="00D22CBC" w:rsidR="00D22CBC">
        <w:t xml:space="preserve">with recent Commission authorizations for similarly situated </w:t>
      </w:r>
      <w:r>
        <w:t>Class A</w:t>
      </w:r>
      <w:r w:rsidRPr="00D22CBC" w:rsidR="00D22CBC">
        <w:t xml:space="preserve"> water utilities.</w:t>
      </w:r>
      <w:r w:rsidR="00A25269">
        <w:rPr>
          <w:rStyle w:val="FootnoteReference"/>
        </w:rPr>
        <w:footnoteReference w:id="84"/>
      </w:r>
      <w:r w:rsidRPr="00D22CBC" w:rsidR="00D22CBC">
        <w:t xml:space="preserve"> </w:t>
      </w:r>
      <w:r>
        <w:t>Cal Advocates</w:t>
      </w:r>
      <w:r w:rsidRPr="00D22CBC" w:rsidR="00D22CBC">
        <w:t xml:space="preserve"> further argues that </w:t>
      </w:r>
      <w:r>
        <w:t>Cal Water</w:t>
      </w:r>
      <w:r w:rsidR="000C0896">
        <w:t>’</w:t>
      </w:r>
      <w:r w:rsidRPr="00D22CBC" w:rsidR="00D22CBC">
        <w:t>s inflation and escalation assumptions are unsubstantiated, as the utility did not correlate its escalation rates to specific cost drivers or vendor contracts</w:t>
      </w:r>
      <w:r w:rsidR="00A25269">
        <w:t>.</w:t>
      </w:r>
      <w:r w:rsidR="00A25269">
        <w:rPr>
          <w:rStyle w:val="FootnoteReference"/>
        </w:rPr>
        <w:footnoteReference w:id="85"/>
      </w:r>
    </w:p>
    <w:p w:rsidR="00CE0158" w:rsidP="00D22CBC" w:rsidRDefault="003C1B75" w14:paraId="09E79EEE" w14:textId="1510076F">
      <w:pPr>
        <w:pStyle w:val="Standard"/>
      </w:pPr>
      <w:r w:rsidRPr="003C1B75">
        <w:t>Consistent with the determinations in Sections</w:t>
      </w:r>
      <w:r w:rsidR="00EF3DDB">
        <w:t> </w:t>
      </w:r>
      <w:r w:rsidRPr="003C1B75">
        <w:t>4.2</w:t>
      </w:r>
      <w:r w:rsidR="00270999">
        <w:noBreakHyphen/>
      </w:r>
      <w:r w:rsidRPr="003C1B75">
        <w:t xml:space="preserve">4.3, the Commission applies the adopted O&amp;M and plant adjustments to </w:t>
      </w:r>
      <w:r w:rsidR="00EB50F8">
        <w:t>Cal Water</w:t>
      </w:r>
      <w:r w:rsidR="000C0896">
        <w:t>’</w:t>
      </w:r>
      <w:r w:rsidRPr="003C1B75">
        <w:t xml:space="preserve">s cost of service and rate base here, which reduces the overall revenue requirement relative to the </w:t>
      </w:r>
      <w:r w:rsidR="0008334E">
        <w:t>A</w:t>
      </w:r>
      <w:r w:rsidRPr="003C1B75">
        <w:t>pplication.</w:t>
      </w:r>
      <w:r w:rsidR="00A25269">
        <w:rPr>
          <w:rStyle w:val="FootnoteReference"/>
        </w:rPr>
        <w:footnoteReference w:id="86"/>
      </w:r>
    </w:p>
    <w:p w:rsidRPr="00E523C4" w:rsidR="005970FB" w:rsidP="005970FB" w:rsidRDefault="005970FB" w14:paraId="6A952E5B" w14:textId="72D92CDB">
      <w:pPr>
        <w:pStyle w:val="Standard"/>
      </w:pPr>
      <w:r w:rsidRPr="00E523C4">
        <w:t>In addition to the O&amp;M and plant adjustments discussed above, the Commission separately evaluates certain conservation</w:t>
      </w:r>
      <w:r w:rsidR="00270999">
        <w:noBreakHyphen/>
      </w:r>
      <w:r w:rsidRPr="00E523C4">
        <w:t xml:space="preserve">related cost components embedded within </w:t>
      </w:r>
      <w:r w:rsidR="00EB50F8">
        <w:t>Cal Water</w:t>
      </w:r>
      <w:r w:rsidR="000C0896">
        <w:t>’</w:t>
      </w:r>
      <w:r w:rsidRPr="00E523C4">
        <w:t>s proposed revenue requirement. Among these are Administration and Research expenses associated with conservation programs, which warrant distinct consideration given their role in supporting compliance, planning, coordination, and implementation of Commission</w:t>
      </w:r>
      <w:r w:rsidR="00270999">
        <w:noBreakHyphen/>
      </w:r>
      <w:r w:rsidRPr="00E523C4">
        <w:t>authorized conservation obligations.</w:t>
      </w:r>
    </w:p>
    <w:p w:rsidRPr="00E523C4" w:rsidR="005970FB" w:rsidP="005970FB" w:rsidRDefault="005970FB" w14:paraId="7820500B" w14:textId="629CE814">
      <w:pPr>
        <w:pStyle w:val="Standard"/>
      </w:pPr>
      <w:r w:rsidRPr="00E523C4">
        <w:t xml:space="preserve">The Commission finds that Administration and Research activities are a legitimate component of conservation programs to the extent they support planning, coordination, compliance tracking, and implementation of ongoing conservation requirements adopted by the Commission. The record demonstrates that </w:t>
      </w:r>
      <w:r w:rsidR="00EB50F8">
        <w:t>Cal Water</w:t>
      </w:r>
      <w:r w:rsidRPr="00E523C4">
        <w:t xml:space="preserve"> has historically incurred Administration and </w:t>
      </w:r>
      <w:r w:rsidRPr="00E523C4">
        <w:lastRenderedPageBreak/>
        <w:t>Research conservation expenses, and that some level of continued funding is reasonable given evolving water</w:t>
      </w:r>
      <w:r w:rsidR="00270999">
        <w:noBreakHyphen/>
      </w:r>
      <w:r w:rsidRPr="00E523C4">
        <w:t>use efficiency standards, Sustainable Groundwater Management Act (SGMA)</w:t>
      </w:r>
      <w:r w:rsidR="00270999">
        <w:noBreakHyphen/>
      </w:r>
      <w:r w:rsidRPr="00E523C4">
        <w:t>related planning obligations, and statewide conservation mandates.</w:t>
      </w:r>
    </w:p>
    <w:p w:rsidRPr="00E523C4" w:rsidR="005970FB" w:rsidP="005970FB" w:rsidRDefault="005970FB" w14:paraId="0AABA0EC" w14:textId="4C96F04C">
      <w:pPr>
        <w:pStyle w:val="Standard"/>
      </w:pPr>
      <w:r w:rsidRPr="00E523C4">
        <w:t xml:space="preserve">However, the record does not support approval of the full increase in Administration and Research conservation funding proposed by </w:t>
      </w:r>
      <w:r w:rsidR="00EB50F8">
        <w:t>Cal Water</w:t>
      </w:r>
      <w:r w:rsidRPr="00E523C4">
        <w:t xml:space="preserve">. As shown in </w:t>
      </w:r>
      <w:r w:rsidR="00EB50F8">
        <w:t>Cal Advocates</w:t>
      </w:r>
      <w:r w:rsidR="000C0896">
        <w:t>’</w:t>
      </w:r>
      <w:r w:rsidRPr="00E523C4">
        <w:t xml:space="preserve"> testimony, </w:t>
      </w:r>
      <w:r w:rsidR="00EB50F8">
        <w:t>Cal Water</w:t>
      </w:r>
      <w:r w:rsidRPr="00E523C4">
        <w:t xml:space="preserve"> utilized approximately 68.65</w:t>
      </w:r>
      <w:r w:rsidR="0032703D">
        <w:t> percent</w:t>
      </w:r>
      <w:r w:rsidRPr="00E523C4">
        <w:t xml:space="preserve"> of previously authorized Administration and Research conservation funding during the 2020</w:t>
      </w:r>
      <w:r w:rsidR="00FD6045">
        <w:noBreakHyphen/>
      </w:r>
      <w:r w:rsidRPr="00E523C4">
        <w:t xml:space="preserve">2022 period. </w:t>
      </w:r>
      <w:r w:rsidR="00EB50F8">
        <w:t>Cal Water</w:t>
      </w:r>
      <w:r w:rsidRPr="00E523C4">
        <w:t xml:space="preserve"> does not provide persuasive evidence explaining this underutilization, nor does it demonstrate that the operational or staffing constraints that limited prior spending have been resolved.</w:t>
      </w:r>
    </w:p>
    <w:p w:rsidRPr="00E523C4" w:rsidR="005970FB" w:rsidP="005970FB" w:rsidRDefault="005970FB" w14:paraId="75493900" w14:textId="340F2279">
      <w:pPr>
        <w:pStyle w:val="Standard"/>
      </w:pPr>
      <w:r w:rsidRPr="00E523C4">
        <w:t xml:space="preserve">In addition, </w:t>
      </w:r>
      <w:r w:rsidR="00EB50F8">
        <w:t>Cal Water</w:t>
      </w:r>
      <w:r w:rsidR="000C0896">
        <w:t>’</w:t>
      </w:r>
      <w:r w:rsidRPr="00E523C4">
        <w:t>s request for a substantial increase in Administration and Research funding</w:t>
      </w:r>
      <w:r w:rsidR="00AE44B3">
        <w:t xml:space="preserve"> — </w:t>
      </w:r>
      <w:r w:rsidRPr="00E523C4">
        <w:t>including funding for new full</w:t>
      </w:r>
      <w:r w:rsidR="00270999">
        <w:noBreakHyphen/>
      </w:r>
      <w:r w:rsidRPr="00E523C4">
        <w:t>time equivalent positions</w:t>
      </w:r>
      <w:r w:rsidR="00AE44B3">
        <w:t xml:space="preserve"> — </w:t>
      </w:r>
      <w:r w:rsidRPr="00E523C4">
        <w:t>is not supported by sufficiently detailed evidence linking the proposed increase to specific, incremental regulatory compliance obligations that cannot reasonably be addressed within historical spending levels or through existing regulatory mechanisms.</w:t>
      </w:r>
    </w:p>
    <w:p w:rsidRPr="00E523C4" w:rsidR="005970FB" w:rsidP="005970FB" w:rsidRDefault="005970FB" w14:paraId="151CA8D8" w14:textId="3D0563AF">
      <w:pPr>
        <w:pStyle w:val="Standard"/>
      </w:pPr>
      <w:r w:rsidRPr="00E523C4">
        <w:t xml:space="preserve">At the same time, the Commission finds that a complete rejection of Administration and Research conservation funding would be inconsistent with the evidentiary record and could undermine effective administration of conservation programs. Accordingly, the Commission adopts a partial approval of Administration and Research conservation expenses calibrated to </w:t>
      </w:r>
      <w:r w:rsidR="00EB50F8">
        <w:t>Cal Water</w:t>
      </w:r>
      <w:r w:rsidR="000C0896">
        <w:t>’</w:t>
      </w:r>
      <w:r w:rsidRPr="00E523C4">
        <w:t>s demonstrated historical utilization.</w:t>
      </w:r>
    </w:p>
    <w:p w:rsidRPr="00E523C4" w:rsidR="005970FB" w:rsidP="005970FB" w:rsidRDefault="005970FB" w14:paraId="4850EB3D" w14:textId="056F7650">
      <w:pPr>
        <w:pStyle w:val="Standard"/>
      </w:pPr>
      <w:r w:rsidRPr="00E523C4">
        <w:t>The Commission therefore limits recoverable Administration and Research conservation expenses to an amount equal to 68.65</w:t>
      </w:r>
      <w:r w:rsidR="0032703D">
        <w:t> percent</w:t>
      </w:r>
      <w:r w:rsidRPr="00E523C4">
        <w:t xml:space="preserve"> of </w:t>
      </w:r>
      <w:r w:rsidR="00EB50F8">
        <w:t>Cal Water</w:t>
      </w:r>
      <w:r w:rsidR="000C0896">
        <w:t>’</w:t>
      </w:r>
      <w:r w:rsidRPr="00E523C4">
        <w:t xml:space="preserve">s </w:t>
      </w:r>
      <w:r w:rsidRPr="00E523C4">
        <w:lastRenderedPageBreak/>
        <w:t>proposed Administration and Research conservation budget, reflecting the level of spending reasonably supported by historical experience and the evidentiary record in this proceeding.</w:t>
      </w:r>
    </w:p>
    <w:p w:rsidRPr="00E523C4" w:rsidR="003C1B75" w:rsidP="00D22CBC" w:rsidRDefault="00F260B8" w14:paraId="15EDC9F5" w14:textId="79931A4D">
      <w:pPr>
        <w:pStyle w:val="Standard"/>
      </w:pPr>
      <w:r w:rsidRPr="00E523C4">
        <w:t xml:space="preserve">For purposes of implementation, the Commission clarifies that the revenue requirement shall be calculated by starting from </w:t>
      </w:r>
      <w:r w:rsidR="00EB50F8">
        <w:t>Cal Water</w:t>
      </w:r>
      <w:r w:rsidR="000C0896">
        <w:t>’</w:t>
      </w:r>
      <w:r w:rsidRPr="00E523C4">
        <w:t xml:space="preserve">s </w:t>
      </w:r>
      <w:r w:rsidR="00EF1E5C">
        <w:t>TY</w:t>
      </w:r>
      <w:r w:rsidRPr="00E523C4">
        <w:t xml:space="preserve"> values as modified by the Partial Settlement Agreement and Undisputed Issues List, incorporating the Commission</w:t>
      </w:r>
      <w:r w:rsidR="00270999">
        <w:noBreakHyphen/>
      </w:r>
      <w:r w:rsidRPr="00E523C4">
        <w:t xml:space="preserve">adopted adjustments from Scoped Issues #2 and #3, and only then applying the approved escalation factors to derive </w:t>
      </w:r>
      <w:r w:rsidR="00EF1E5C">
        <w:t>EY</w:t>
      </w:r>
      <w:r w:rsidRPr="00E523C4">
        <w:t xml:space="preserve"> revenue requirements.</w:t>
      </w:r>
      <w:r w:rsidRPr="00E523C4">
        <w:rPr>
          <w:rStyle w:val="FootnoteReference"/>
        </w:rPr>
        <w:footnoteReference w:id="87"/>
      </w:r>
    </w:p>
    <w:p w:rsidRPr="00E523C4" w:rsidR="00C36940" w:rsidP="00F260B8" w:rsidRDefault="003C1B75" w14:paraId="1D0D2A8A" w14:textId="7A9F3210">
      <w:pPr>
        <w:pStyle w:val="Standard"/>
      </w:pPr>
      <w:r w:rsidRPr="00E523C4">
        <w:t xml:space="preserve">For escalation, the Commission gives weight to </w:t>
      </w:r>
      <w:r w:rsidR="00EB50F8">
        <w:t>Cal Advocates</w:t>
      </w:r>
      <w:r w:rsidR="000C0896">
        <w:t>’</w:t>
      </w:r>
      <w:r w:rsidRPr="00E523C4">
        <w:t xml:space="preserve"> criticism that forward</w:t>
      </w:r>
      <w:r w:rsidR="00270999">
        <w:noBreakHyphen/>
      </w:r>
      <w:r w:rsidRPr="00E523C4">
        <w:t>looking adders are not tied to verifiable cost drivers; therefore, only documented inflation indices and known regulatory adjustments are accepted</w:t>
      </w:r>
      <w:r w:rsidRPr="00E523C4" w:rsidR="00A25269">
        <w:t>.</w:t>
      </w:r>
      <w:r w:rsidRPr="00E523C4" w:rsidR="00A25269">
        <w:rPr>
          <w:rStyle w:val="FootnoteReference"/>
        </w:rPr>
        <w:footnoteReference w:id="88"/>
      </w:r>
      <w:r w:rsidRPr="00E523C4" w:rsidR="00F260B8">
        <w:t xml:space="preserve"> Specifically, </w:t>
      </w:r>
      <w:r w:rsidR="00EF1E5C">
        <w:t>EY</w:t>
      </w:r>
      <w:r w:rsidRPr="00E523C4" w:rsidR="00F260B8">
        <w:t xml:space="preserve"> expenses shall be calculated by applying the adopted escalation indices to the Commission</w:t>
      </w:r>
      <w:r w:rsidR="00270999">
        <w:noBreakHyphen/>
      </w:r>
      <w:r w:rsidRPr="00E523C4" w:rsidR="00F260B8">
        <w:t xml:space="preserve">adopted </w:t>
      </w:r>
      <w:r w:rsidR="00EF1E5C">
        <w:t>TY</w:t>
      </w:r>
      <w:r w:rsidRPr="00E523C4" w:rsidR="00F260B8">
        <w:t xml:space="preserve"> expense levels, rather than to unadjusted Application forecasts.</w:t>
      </w:r>
      <w:r w:rsidRPr="00E523C4" w:rsidR="00F260B8">
        <w:rPr>
          <w:rStyle w:val="FootnoteReference"/>
        </w:rPr>
        <w:footnoteReference w:id="89"/>
      </w:r>
    </w:p>
    <w:p w:rsidRPr="00E523C4" w:rsidR="00F260B8" w:rsidP="00F260B8" w:rsidRDefault="00F260B8" w14:paraId="67F1DA29" w14:textId="1EB48C1B">
      <w:pPr>
        <w:pStyle w:val="Standard"/>
      </w:pPr>
      <w:r w:rsidRPr="00E523C4">
        <w:t>No expense recorded in a balancing or memorandum account shall be escalated, consistent with Commission precedent and Standard Practice U</w:t>
      </w:r>
      <w:r w:rsidR="00270999">
        <w:noBreakHyphen/>
      </w:r>
      <w:r w:rsidRPr="00E523C4">
        <w:t>27</w:t>
      </w:r>
      <w:r w:rsidR="00270999">
        <w:noBreakHyphen/>
      </w:r>
      <w:r w:rsidRPr="00E523C4">
        <w:t>W.</w:t>
      </w:r>
    </w:p>
    <w:p w:rsidRPr="00D22CBC" w:rsidR="00D22CBC" w:rsidP="00D22CBC" w:rsidRDefault="00D22CBC" w14:paraId="7235A622" w14:textId="5D2C735A">
      <w:pPr>
        <w:pStyle w:val="Standard"/>
      </w:pPr>
      <w:r w:rsidRPr="00D22CBC">
        <w:t>For the remaining</w:t>
      </w:r>
      <w:r w:rsidR="005939F0">
        <w:t>, unsettled</w:t>
      </w:r>
      <w:r w:rsidRPr="00D22CBC">
        <w:t xml:space="preserve"> components of the revenue requirement, the Commission adopts a balanced determination:</w:t>
      </w:r>
    </w:p>
    <w:p w:rsidRPr="00D22CBC" w:rsidR="00D22CBC" w:rsidP="008D5E78" w:rsidRDefault="00D22CBC" w14:paraId="188408C7" w14:textId="5CF8CAB8">
      <w:pPr>
        <w:pStyle w:val="BlockQuoteBullet1"/>
        <w:numPr>
          <w:ilvl w:val="0"/>
          <w:numId w:val="9"/>
        </w:numPr>
        <w:ind w:left="1080"/>
      </w:pPr>
      <w:r w:rsidRPr="00D22CBC">
        <w:t xml:space="preserve">The O&amp;M and </w:t>
      </w:r>
      <w:r w:rsidR="00640A72">
        <w:t xml:space="preserve">A&amp;G </w:t>
      </w:r>
      <w:r w:rsidRPr="00D22CBC">
        <w:t xml:space="preserve">expenses adopted in </w:t>
      </w:r>
      <w:r w:rsidR="00DD056F">
        <w:t>Section </w:t>
      </w:r>
      <w:r w:rsidRPr="00D22CBC">
        <w:t xml:space="preserve">4.2 and the capital investment adjustments adopted in </w:t>
      </w:r>
      <w:r w:rsidR="00DD056F">
        <w:t>Section </w:t>
      </w:r>
      <w:r w:rsidRPr="00D22CBC">
        <w:t>4.3 are incorporated into the overall revenue requirement;</w:t>
      </w:r>
    </w:p>
    <w:p w:rsidRPr="00E523C4" w:rsidR="00D22CBC" w:rsidP="008D5E78" w:rsidRDefault="00EF1E5C" w14:paraId="7958C32C" w14:textId="642CEC30">
      <w:pPr>
        <w:pStyle w:val="BlockQuoteBullet1"/>
        <w:numPr>
          <w:ilvl w:val="0"/>
          <w:numId w:val="9"/>
        </w:numPr>
        <w:ind w:left="1080"/>
      </w:pPr>
      <w:r>
        <w:lastRenderedPageBreak/>
        <w:t>EY</w:t>
      </w:r>
      <w:r w:rsidRPr="00E523C4" w:rsidR="00D22CBC">
        <w:t xml:space="preserve"> increases shall be limited to demonstrated cost drivers supported by evidence of inflation or regulatory compliance obligations</w:t>
      </w:r>
      <w:r w:rsidRPr="00E523C4" w:rsidR="00F260B8">
        <w:t>, and shall be applied only after the Commission</w:t>
      </w:r>
      <w:r w:rsidR="00270999">
        <w:noBreakHyphen/>
      </w:r>
      <w:r w:rsidRPr="00E523C4" w:rsidR="00F260B8">
        <w:t xml:space="preserve">adopted </w:t>
      </w:r>
      <w:r>
        <w:t>TY</w:t>
      </w:r>
      <w:r w:rsidRPr="00E523C4" w:rsidR="00F260B8">
        <w:t xml:space="preserve"> cost structure is established</w:t>
      </w:r>
      <w:r w:rsidRPr="00E523C4" w:rsidR="00D22CBC">
        <w:t>;</w:t>
      </w:r>
    </w:p>
    <w:p w:rsidR="00D22CBC" w:rsidP="008D5E78" w:rsidRDefault="00D22CBC" w14:paraId="5293453B" w14:textId="2A6DE60A">
      <w:pPr>
        <w:pStyle w:val="BlockQuoteBullet1"/>
        <w:numPr>
          <w:ilvl w:val="0"/>
          <w:numId w:val="9"/>
        </w:numPr>
        <w:ind w:left="1080"/>
      </w:pPr>
      <w:r w:rsidRPr="00E523C4">
        <w:t xml:space="preserve">All other elements of </w:t>
      </w:r>
      <w:r w:rsidR="00EB50F8">
        <w:t>Cal Water</w:t>
      </w:r>
      <w:r w:rsidR="000C0896">
        <w:t>’</w:t>
      </w:r>
      <w:r w:rsidRPr="00E523C4">
        <w:t>s proposed revenue requirement not otherwise addressed are adopted only to the extent they are consistent with the findings and conclusions in this decision</w:t>
      </w:r>
      <w:r w:rsidR="000D2F88">
        <w:t>; and</w:t>
      </w:r>
    </w:p>
    <w:p w:rsidRPr="000D2F88" w:rsidR="000D2F88" w:rsidP="000D2F88" w:rsidRDefault="000D2F88" w14:paraId="5DA444A1" w14:textId="17B715C2">
      <w:pPr>
        <w:pStyle w:val="BlockQuoteBullet1"/>
        <w:numPr>
          <w:ilvl w:val="0"/>
          <w:numId w:val="9"/>
        </w:numPr>
        <w:ind w:left="1080"/>
        <w:rPr>
          <w:szCs w:val="26"/>
        </w:rPr>
      </w:pPr>
      <w:r w:rsidRPr="000D2F88">
        <w:rPr>
          <w:rFonts w:eastAsia="Times New Roman" w:cs="Times New Roman"/>
          <w:szCs w:val="26"/>
        </w:rPr>
        <w:t>AFUDC shall be applied to eligible construction work in progress at a rate equal to Cal Water’s authorized rate of return, consistent with Commission precedent.</w:t>
      </w:r>
    </w:p>
    <w:p w:rsidR="00F260B8" w:rsidP="00D22CBC" w:rsidRDefault="00F260B8" w14:paraId="3D1D3C0E" w14:textId="458C93B0">
      <w:pPr>
        <w:pStyle w:val="Standard"/>
      </w:pPr>
      <w:r w:rsidRPr="00E523C4">
        <w:t>The Commission further clarifies that the adopted revenue requirement reflects the following calculation structure</w:t>
      </w:r>
      <w:r w:rsidR="000C0896">
        <w:t xml:space="preserve">:  </w:t>
      </w:r>
      <w:r w:rsidR="006237E8">
        <w:t>(1) </w:t>
      </w:r>
      <w:r w:rsidRPr="00E523C4">
        <w:t xml:space="preserve">adopted </w:t>
      </w:r>
      <w:r w:rsidR="00EF1E5C">
        <w:t>TY</w:t>
      </w:r>
      <w:r w:rsidRPr="00E523C4">
        <w:t xml:space="preserve"> expenses and rate base, as modified by this decision; </w:t>
      </w:r>
      <w:r w:rsidR="006237E8">
        <w:t>(2) </w:t>
      </w:r>
      <w:r w:rsidRPr="00E523C4">
        <w:t xml:space="preserve">application of approved escalation indices to derive </w:t>
      </w:r>
      <w:r w:rsidR="00EF1E5C">
        <w:t>EY</w:t>
      </w:r>
      <w:r w:rsidRPr="00E523C4">
        <w:t xml:space="preserve"> values; and </w:t>
      </w:r>
      <w:r w:rsidR="006237E8">
        <w:t>(3) </w:t>
      </w:r>
      <w:r w:rsidRPr="00E523C4">
        <w:t>calculation of the authorized return using the adopted weighted average cost of capital applied to the adopted rate base</w:t>
      </w:r>
      <w:r w:rsidR="000D2F88">
        <w:t xml:space="preserve"> </w:t>
      </w:r>
      <w:r w:rsidRPr="000D2F88" w:rsidR="000D2F88">
        <w:t>and application of AFUDC at the authorized rate of return for eligible construction work in progress.</w:t>
      </w:r>
    </w:p>
    <w:p w:rsidRPr="000D2F88" w:rsidR="000D2F88" w:rsidP="000D2F88" w:rsidRDefault="000D2F88" w14:paraId="0FF50491" w14:textId="78E41109">
      <w:pPr>
        <w:pStyle w:val="Standard"/>
      </w:pPr>
      <w:r w:rsidRPr="003E5054">
        <w:t>Consistent with this financing structure, the Commission finds that AFUDC, rather than IDC, is the appropriate mechanism to reflect the cost of capital during construction.</w:t>
      </w:r>
    </w:p>
    <w:p w:rsidRPr="000D2F88" w:rsidR="000D2F88" w:rsidP="000D2F88" w:rsidRDefault="000D2F88" w14:paraId="15C18114" w14:textId="254C4FD2">
      <w:pPr>
        <w:pStyle w:val="Standard"/>
      </w:pPr>
      <w:r w:rsidRPr="003E5054">
        <w:t>Consistent with Commission precedent, including D.20</w:t>
      </w:r>
      <w:r w:rsidR="003A2D75">
        <w:noBreakHyphen/>
      </w:r>
      <w:r w:rsidRPr="003E5054">
        <w:t>12</w:t>
      </w:r>
      <w:r w:rsidR="003A2D75">
        <w:noBreakHyphen/>
      </w:r>
      <w:r w:rsidRPr="003E5054">
        <w:t>007 and D.24</w:t>
      </w:r>
      <w:r w:rsidR="003A2D75">
        <w:noBreakHyphen/>
      </w:r>
      <w:r w:rsidRPr="003E5054">
        <w:t>03</w:t>
      </w:r>
      <w:r w:rsidR="003A2D75">
        <w:noBreakHyphen/>
      </w:r>
      <w:r w:rsidRPr="003E5054">
        <w:t>042, the Commission sets the AFUDC rate equal to Cal Water’s authorized rate of return. This approach ensures that the cost of capital reflects the utility’s actual financing costs and maintains consistency with established ratemaking principles.</w:t>
      </w:r>
    </w:p>
    <w:p w:rsidRPr="00E523C4" w:rsidR="00B07EB0" w:rsidP="00D22CBC" w:rsidRDefault="00D22CBC" w14:paraId="2A66493D" w14:textId="5528DD1E">
      <w:pPr>
        <w:pStyle w:val="Standard"/>
      </w:pPr>
      <w:r w:rsidRPr="00E523C4">
        <w:t xml:space="preserve">This blended outcome ensures that </w:t>
      </w:r>
      <w:r w:rsidR="00EB50F8">
        <w:t>Cal Water</w:t>
      </w:r>
      <w:r w:rsidRPr="00E523C4">
        <w:t xml:space="preserve"> receives revenues sufficient to sustain safe, reliable, and compliant operations, consistent with the statutory standards of </w:t>
      </w:r>
      <w:r w:rsidR="003A5B7D">
        <w:t>Pub. Util.</w:t>
      </w:r>
      <w:r w:rsidRPr="00E523C4" w:rsidR="00AA247D">
        <w:t xml:space="preserve"> </w:t>
      </w:r>
      <w:r w:rsidRPr="00E523C4">
        <w:t xml:space="preserve">Code </w:t>
      </w:r>
      <w:r w:rsidR="009E649C">
        <w:t>Section</w:t>
      </w:r>
      <w:r w:rsidR="008E481B">
        <w:t>s</w:t>
      </w:r>
      <w:r w:rsidR="009E649C">
        <w:t> </w:t>
      </w:r>
      <w:r w:rsidRPr="00E523C4">
        <w:t xml:space="preserve">451 </w:t>
      </w:r>
      <w:r w:rsidR="008E481B">
        <w:t xml:space="preserve">and </w:t>
      </w:r>
      <w:r w:rsidRPr="00E523C4">
        <w:t xml:space="preserve">454 and the judicial principles </w:t>
      </w:r>
      <w:r w:rsidRPr="00E523C4">
        <w:lastRenderedPageBreak/>
        <w:t xml:space="preserve">articulated in </w:t>
      </w:r>
      <w:r w:rsidRPr="00E523C4">
        <w:rPr>
          <w:i/>
          <w:iCs/>
        </w:rPr>
        <w:t>Bluefield</w:t>
      </w:r>
      <w:r w:rsidRPr="00E523C4">
        <w:t xml:space="preserve"> and </w:t>
      </w:r>
      <w:r w:rsidRPr="00E523C4" w:rsidR="00B10A96">
        <w:rPr>
          <w:i/>
          <w:iCs/>
        </w:rPr>
        <w:t>Hope</w:t>
      </w:r>
      <w:r w:rsidRPr="00E523C4">
        <w:t>, while safeguarding ratepayers from unjust or unreasonable charges.</w:t>
      </w:r>
    </w:p>
    <w:p w:rsidR="00CE0158" w:rsidP="003C1B75" w:rsidRDefault="003C1B75" w14:paraId="501D765D" w14:textId="19666F83">
      <w:pPr>
        <w:pStyle w:val="Standard"/>
      </w:pPr>
      <w:r w:rsidRPr="00E523C4">
        <w:t xml:space="preserve">Within 30 days of this decision, </w:t>
      </w:r>
      <w:r w:rsidR="00EB50F8">
        <w:t>Cal Water</w:t>
      </w:r>
      <w:r w:rsidRPr="00E523C4">
        <w:t xml:space="preserve"> shall file a compliance workpaper updating its revenue requirement model to reflect</w:t>
      </w:r>
      <w:r w:rsidR="006237E8">
        <w:t xml:space="preserve">: </w:t>
      </w:r>
      <w:r w:rsidRPr="00E523C4">
        <w:t xml:space="preserve"> </w:t>
      </w:r>
      <w:r w:rsidR="006237E8">
        <w:t>(1) </w:t>
      </w:r>
      <w:r w:rsidRPr="00E523C4">
        <w:t>the adopted O&amp;M and plant determinations</w:t>
      </w:r>
      <w:r w:rsidR="006237E8">
        <w:t>; and (2) </w:t>
      </w:r>
      <w:r w:rsidRPr="00E523C4">
        <w:t xml:space="preserve">the accepted escalation indices, </w:t>
      </w:r>
      <w:r w:rsidRPr="00E523C4" w:rsidR="00F260B8">
        <w:t>with a step</w:t>
      </w:r>
      <w:r w:rsidR="00FD6045">
        <w:noBreakHyphen/>
      </w:r>
      <w:r w:rsidRPr="00E523C4" w:rsidR="00F260B8">
        <w:t>by</w:t>
      </w:r>
      <w:r w:rsidR="00FD6045">
        <w:noBreakHyphen/>
      </w:r>
      <w:r w:rsidRPr="00E523C4" w:rsidR="00F260B8">
        <w:t>step reconciliation from Application values to adopted values at each stage of the calculation</w:t>
      </w:r>
      <w:r w:rsidRPr="00E523C4" w:rsidR="00A25269">
        <w:t>.</w:t>
      </w:r>
      <w:r w:rsidRPr="00E523C4" w:rsidR="00A25269">
        <w:rPr>
          <w:rStyle w:val="FootnoteReference"/>
        </w:rPr>
        <w:footnoteReference w:id="90"/>
      </w:r>
    </w:p>
    <w:p w:rsidR="0023703B" w:rsidP="0023703B" w:rsidRDefault="00AA4DCF" w14:paraId="2CA6AEDE" w14:textId="6E8A9278">
      <w:pPr>
        <w:pStyle w:val="Heading2"/>
        <w:rPr>
          <w:bCs/>
        </w:rPr>
      </w:pPr>
      <w:bookmarkStart w:name="_Toc222305260" w:id="78"/>
      <w:bookmarkStart w:name="_Toc228294687" w:id="79"/>
      <w:r>
        <w:t xml:space="preserve">Scoped </w:t>
      </w:r>
      <w:r w:rsidR="009D287A">
        <w:t>Issue</w:t>
      </w:r>
      <w:r w:rsidR="00437947">
        <w:t>s</w:t>
      </w:r>
      <w:r w:rsidR="009D287A">
        <w:t> #</w:t>
      </w:r>
      <w:r>
        <w:t>5</w:t>
      </w:r>
      <w:r w:rsidR="00C7305F">
        <w:t xml:space="preserve">, </w:t>
      </w:r>
      <w:r w:rsidR="001A36AE">
        <w:t>#</w:t>
      </w:r>
      <w:r w:rsidR="00C7305F">
        <w:t>7</w:t>
      </w:r>
      <w:r w:rsidR="001A36AE">
        <w:t>,</w:t>
      </w:r>
      <w:r w:rsidR="00C7305F">
        <w:t xml:space="preserve"> and </w:t>
      </w:r>
      <w:r w:rsidR="001A36AE">
        <w:t>#</w:t>
      </w:r>
      <w:r w:rsidR="00C7305F">
        <w:t>15</w:t>
      </w:r>
      <w:bookmarkEnd w:id="78"/>
      <w:bookmarkEnd w:id="79"/>
    </w:p>
    <w:p w:rsidR="00861352" w:rsidP="00F353EE" w:rsidRDefault="00F532EA" w14:paraId="601A1D97" w14:textId="1BB7AB42">
      <w:pPr>
        <w:pStyle w:val="Standard"/>
      </w:pPr>
      <w:r w:rsidRPr="00F532EA">
        <w:t>Th</w:t>
      </w:r>
      <w:r w:rsidR="00D14ED3">
        <w:t>is section discusses interrelated</w:t>
      </w:r>
      <w:r w:rsidRPr="00F532EA">
        <w:t xml:space="preserve"> issue</w:t>
      </w:r>
      <w:r w:rsidR="00D14ED3">
        <w:t>s o</w:t>
      </w:r>
      <w:r w:rsidR="00D769AE">
        <w:t>f</w:t>
      </w:r>
      <w:r w:rsidRPr="00F532EA">
        <w:t xml:space="preserve"> whether </w:t>
      </w:r>
      <w:r w:rsidR="00EB50F8">
        <w:t>Cal Water</w:t>
      </w:r>
      <w:r w:rsidR="000C0896">
        <w:t>’</w:t>
      </w:r>
      <w:r w:rsidRPr="00F532EA">
        <w:t>s proposed rate designs for the TY and EYs are just and reasonable</w:t>
      </w:r>
      <w:r w:rsidR="00C7305F">
        <w:t xml:space="preserve"> (Scoped </w:t>
      </w:r>
      <w:r w:rsidR="009D287A">
        <w:t>Issue #</w:t>
      </w:r>
      <w:r w:rsidR="00C7305F">
        <w:t xml:space="preserve">5), </w:t>
      </w:r>
      <w:r w:rsidRPr="00647ACA" w:rsidR="00861352">
        <w:t xml:space="preserve">whether </w:t>
      </w:r>
      <w:r w:rsidR="00EB50F8">
        <w:t>Cal Water</w:t>
      </w:r>
      <w:r w:rsidR="000C0896">
        <w:t>’</w:t>
      </w:r>
      <w:r w:rsidRPr="00647ACA" w:rsidR="00861352">
        <w:t>s proposed LUWEP is just and reasonable</w:t>
      </w:r>
      <w:r w:rsidR="00861352">
        <w:t xml:space="preserve"> (Scoped </w:t>
      </w:r>
      <w:r w:rsidR="009D287A">
        <w:t>Issue #</w:t>
      </w:r>
      <w:r w:rsidR="00861352">
        <w:t>7), and the special request regarding d</w:t>
      </w:r>
      <w:r w:rsidRPr="00861352" w:rsidR="00861352">
        <w:t>ecoupling</w:t>
      </w:r>
      <w:r w:rsidR="00861352">
        <w:t xml:space="preserve"> (Scoped </w:t>
      </w:r>
      <w:r w:rsidR="009D287A">
        <w:t>Issue #</w:t>
      </w:r>
      <w:r w:rsidR="00861352">
        <w:t>15).</w:t>
      </w:r>
    </w:p>
    <w:p w:rsidR="00CE0158" w:rsidP="00F353EE" w:rsidRDefault="00EB50F8" w14:paraId="1D1E0C02" w14:textId="7031B0E8">
      <w:pPr>
        <w:pStyle w:val="Standard"/>
        <w:rPr>
          <w:rFonts w:cs="Times New Roman"/>
          <w:szCs w:val="26"/>
        </w:rPr>
      </w:pPr>
      <w:r>
        <w:rPr>
          <w:rFonts w:cs="Times New Roman"/>
          <w:szCs w:val="26"/>
        </w:rPr>
        <w:t>Cal Water</w:t>
      </w:r>
      <w:r w:rsidRPr="00235A7B" w:rsidR="00D14ED3">
        <w:rPr>
          <w:rFonts w:cs="Times New Roman"/>
          <w:szCs w:val="26"/>
        </w:rPr>
        <w:t xml:space="preserve"> presents two rate design options</w:t>
      </w:r>
      <w:r w:rsidR="000C0896">
        <w:rPr>
          <w:rFonts w:cs="Times New Roman"/>
          <w:szCs w:val="26"/>
        </w:rPr>
        <w:t xml:space="preserve">: </w:t>
      </w:r>
      <w:r w:rsidR="000E62D1">
        <w:rPr>
          <w:rFonts w:cs="Times New Roman"/>
          <w:szCs w:val="26"/>
        </w:rPr>
        <w:t>(i) </w:t>
      </w:r>
      <w:r w:rsidRPr="00235A7B" w:rsidR="00D14ED3">
        <w:rPr>
          <w:rFonts w:cs="Times New Roman"/>
          <w:szCs w:val="26"/>
        </w:rPr>
        <w:t xml:space="preserve">Its first choice is revenue decoupling paired with a new LUWEP rate design; or </w:t>
      </w:r>
      <w:r w:rsidR="000E62D1">
        <w:rPr>
          <w:rFonts w:cs="Times New Roman"/>
          <w:szCs w:val="26"/>
        </w:rPr>
        <w:t>(ii) </w:t>
      </w:r>
      <w:r w:rsidRPr="00235A7B" w:rsidR="00D14ED3">
        <w:rPr>
          <w:rFonts w:cs="Times New Roman"/>
          <w:szCs w:val="26"/>
        </w:rPr>
        <w:t>continuation of both the Monterey Water Revenue Adjustment Mechanism (M</w:t>
      </w:r>
      <w:r w:rsidR="00270999">
        <w:rPr>
          <w:rFonts w:cs="Times New Roman"/>
          <w:szCs w:val="26"/>
        </w:rPr>
        <w:noBreakHyphen/>
      </w:r>
      <w:r w:rsidRPr="00235A7B" w:rsidR="00D14ED3">
        <w:rPr>
          <w:rFonts w:cs="Times New Roman"/>
          <w:szCs w:val="26"/>
        </w:rPr>
        <w:t xml:space="preserve">WRAM) and </w:t>
      </w:r>
      <w:r w:rsidR="0064053D">
        <w:rPr>
          <w:rFonts w:cs="Times New Roman"/>
          <w:szCs w:val="26"/>
        </w:rPr>
        <w:t>Incremental Cost Balancing Account (</w:t>
      </w:r>
      <w:r w:rsidRPr="00235A7B" w:rsidR="00D14ED3">
        <w:rPr>
          <w:rFonts w:cs="Times New Roman"/>
          <w:szCs w:val="26"/>
        </w:rPr>
        <w:t>ICBA</w:t>
      </w:r>
      <w:r w:rsidR="0064053D">
        <w:rPr>
          <w:rFonts w:cs="Times New Roman"/>
          <w:szCs w:val="26"/>
        </w:rPr>
        <w:t>)</w:t>
      </w:r>
      <w:r w:rsidRPr="00235A7B" w:rsidR="00D14ED3">
        <w:rPr>
          <w:rFonts w:cs="Times New Roman"/>
          <w:szCs w:val="26"/>
        </w:rPr>
        <w:t>, and with a modified rate design and sales forecasts, if decoupling is denied.</w:t>
      </w:r>
      <w:r w:rsidRPr="00235A7B" w:rsidR="00D14ED3">
        <w:rPr>
          <w:rStyle w:val="FootnoteReference"/>
          <w:rFonts w:cs="Times New Roman"/>
          <w:szCs w:val="26"/>
        </w:rPr>
        <w:footnoteReference w:id="91"/>
      </w:r>
    </w:p>
    <w:p w:rsidR="00CE0158" w:rsidP="00F353EE" w:rsidRDefault="00EB50F8" w14:paraId="5FBC2078" w14:textId="06E4FED4">
      <w:pPr>
        <w:pStyle w:val="Standard"/>
        <w:rPr>
          <w:rFonts w:cs="Times New Roman"/>
          <w:szCs w:val="26"/>
        </w:rPr>
      </w:pPr>
      <w:r>
        <w:rPr>
          <w:rFonts w:cs="Times New Roman"/>
          <w:szCs w:val="26"/>
        </w:rPr>
        <w:t>Cal Advocates</w:t>
      </w:r>
      <w:r w:rsidRPr="00235A7B" w:rsidR="00D14ED3">
        <w:rPr>
          <w:rFonts w:cs="Times New Roman"/>
          <w:szCs w:val="26"/>
        </w:rPr>
        <w:t xml:space="preserve"> opposes both decoupling and LUWEP and recommends continuing the existing M</w:t>
      </w:r>
      <w:r w:rsidR="00270999">
        <w:rPr>
          <w:rFonts w:cs="Times New Roman"/>
          <w:szCs w:val="26"/>
        </w:rPr>
        <w:noBreakHyphen/>
      </w:r>
      <w:r w:rsidRPr="00235A7B" w:rsidR="00D14ED3">
        <w:rPr>
          <w:rFonts w:cs="Times New Roman"/>
          <w:szCs w:val="26"/>
        </w:rPr>
        <w:t>WRAM, but with more aggressive tier multipliers similar to those in the LUWEP proposal.</w:t>
      </w:r>
    </w:p>
    <w:p w:rsidR="0084292E" w:rsidP="5C375D65" w:rsidRDefault="00D14ED3" w14:paraId="3D275F99" w14:textId="4DAF71C0">
      <w:pPr>
        <w:pStyle w:val="Standard"/>
        <w:rPr>
          <w:rFonts w:cs="Times New Roman"/>
        </w:rPr>
      </w:pPr>
      <w:r w:rsidRPr="5C375D65">
        <w:rPr>
          <w:rFonts w:cs="Times New Roman"/>
        </w:rPr>
        <w:t xml:space="preserve">The decision rejects </w:t>
      </w:r>
      <w:r w:rsidRPr="5C375D65" w:rsidR="00EB50F8">
        <w:rPr>
          <w:rFonts w:cs="Times New Roman"/>
        </w:rPr>
        <w:t>Cal Water</w:t>
      </w:r>
      <w:r w:rsidRPr="5C375D65" w:rsidR="000C0896">
        <w:rPr>
          <w:rFonts w:cs="Times New Roman"/>
        </w:rPr>
        <w:t>’</w:t>
      </w:r>
      <w:r w:rsidRPr="5C375D65">
        <w:rPr>
          <w:rFonts w:cs="Times New Roman"/>
        </w:rPr>
        <w:t xml:space="preserve">s decoupling and LUWEP proposals, as well as </w:t>
      </w:r>
      <w:r w:rsidRPr="5C375D65" w:rsidR="00EB50F8">
        <w:rPr>
          <w:rFonts w:cs="Times New Roman"/>
        </w:rPr>
        <w:t>Cal Advocates</w:t>
      </w:r>
      <w:r w:rsidRPr="5C375D65" w:rsidR="000C0896">
        <w:rPr>
          <w:rFonts w:cs="Times New Roman"/>
        </w:rPr>
        <w:t>’</w:t>
      </w:r>
      <w:r w:rsidR="003A2D75">
        <w:rPr>
          <w:rFonts w:cs="Times New Roman"/>
        </w:rPr>
        <w:t xml:space="preserve"> </w:t>
      </w:r>
      <w:r w:rsidRPr="5C375D65" w:rsidR="5C4F5508">
        <w:rPr>
          <w:rFonts w:cs="Times New Roman"/>
        </w:rPr>
        <w:t>ste</w:t>
      </w:r>
      <w:r w:rsidR="006002C2">
        <w:rPr>
          <w:rFonts w:cs="Times New Roman"/>
        </w:rPr>
        <w:t>e</w:t>
      </w:r>
      <w:r w:rsidRPr="5C375D65" w:rsidR="5C4F5508">
        <w:rPr>
          <w:rFonts w:cs="Times New Roman"/>
        </w:rPr>
        <w:t>per</w:t>
      </w:r>
      <w:r w:rsidRPr="5C375D65" w:rsidR="101BEBE0">
        <w:rPr>
          <w:rFonts w:cs="Times New Roman"/>
        </w:rPr>
        <w:t xml:space="preserve"> tiers</w:t>
      </w:r>
      <w:r w:rsidRPr="5C375D65">
        <w:rPr>
          <w:rFonts w:cs="Times New Roman"/>
        </w:rPr>
        <w:t xml:space="preserve">. Instead, the decision authorizes the continuation of </w:t>
      </w:r>
      <w:r w:rsidRPr="5C375D65" w:rsidR="00EB50F8">
        <w:rPr>
          <w:rFonts w:cs="Times New Roman"/>
        </w:rPr>
        <w:t>Cal Water</w:t>
      </w:r>
      <w:r w:rsidRPr="5C375D65" w:rsidR="000C0896">
        <w:rPr>
          <w:rFonts w:cs="Times New Roman"/>
        </w:rPr>
        <w:t>’</w:t>
      </w:r>
      <w:r w:rsidRPr="5C375D65">
        <w:rPr>
          <w:rFonts w:cs="Times New Roman"/>
        </w:rPr>
        <w:t>s M</w:t>
      </w:r>
      <w:r w:rsidR="00270999">
        <w:rPr>
          <w:rFonts w:cs="Times New Roman"/>
          <w:szCs w:val="26"/>
        </w:rPr>
        <w:noBreakHyphen/>
      </w:r>
      <w:r w:rsidRPr="5C375D65">
        <w:rPr>
          <w:rFonts w:cs="Times New Roman"/>
        </w:rPr>
        <w:t xml:space="preserve">WRAM with a modified rate design, the ICBA, plus the </w:t>
      </w:r>
      <w:r w:rsidRPr="5C375D65">
        <w:rPr>
          <w:rFonts w:cs="Times New Roman"/>
        </w:rPr>
        <w:lastRenderedPageBreak/>
        <w:t>implementation of a</w:t>
      </w:r>
      <w:r w:rsidRPr="5C375D65" w:rsidR="0061595F">
        <w:rPr>
          <w:rFonts w:cs="Times New Roman"/>
        </w:rPr>
        <w:t xml:space="preserve"> </w:t>
      </w:r>
      <w:r w:rsidR="00941D6F">
        <w:rPr>
          <w:rFonts w:cs="Times New Roman"/>
        </w:rPr>
        <w:t>Sales Reconciliation Mechanism (</w:t>
      </w:r>
      <w:r w:rsidRPr="5C375D65">
        <w:rPr>
          <w:rFonts w:cs="Times New Roman"/>
        </w:rPr>
        <w:t>SRM</w:t>
      </w:r>
      <w:r w:rsidR="00941D6F">
        <w:rPr>
          <w:rFonts w:cs="Times New Roman"/>
        </w:rPr>
        <w:t>)</w:t>
      </w:r>
      <w:r w:rsidRPr="5C375D65" w:rsidR="00086731">
        <w:rPr>
          <w:rFonts w:cs="Times New Roman"/>
        </w:rPr>
        <w:t>,</w:t>
      </w:r>
      <w:r w:rsidRPr="5C375D65">
        <w:rPr>
          <w:rStyle w:val="FootnoteReference"/>
          <w:rFonts w:cs="Times New Roman"/>
        </w:rPr>
        <w:footnoteReference w:id="92"/>
      </w:r>
      <w:r w:rsidRPr="5C375D65">
        <w:rPr>
          <w:rFonts w:cs="Times New Roman"/>
        </w:rPr>
        <w:t xml:space="preserve"> with modifications,</w:t>
      </w:r>
      <w:r w:rsidRPr="5C375D65" w:rsidR="00086731">
        <w:rPr>
          <w:rFonts w:cs="Times New Roman"/>
        </w:rPr>
        <w:t xml:space="preserve"> </w:t>
      </w:r>
      <w:r w:rsidRPr="5C375D65">
        <w:rPr>
          <w:rFonts w:cs="Times New Roman"/>
        </w:rPr>
        <w:t xml:space="preserve">for the current </w:t>
      </w:r>
      <w:r w:rsidRPr="5C375D65" w:rsidR="00191DA5">
        <w:rPr>
          <w:rFonts w:cs="Times New Roman"/>
        </w:rPr>
        <w:t>GRC</w:t>
      </w:r>
      <w:r w:rsidRPr="5C375D65">
        <w:rPr>
          <w:rFonts w:cs="Times New Roman"/>
        </w:rPr>
        <w:t xml:space="preserve"> cycle.</w:t>
      </w:r>
      <w:r w:rsidRPr="5C375D65" w:rsidR="00CE0158">
        <w:rPr>
          <w:rFonts w:cs="Times New Roman"/>
        </w:rPr>
        <w:t xml:space="preserve"> </w:t>
      </w:r>
      <w:r w:rsidRPr="5C375D65">
        <w:rPr>
          <w:rFonts w:cs="Times New Roman"/>
        </w:rPr>
        <w:t>This is an evolution to the current M</w:t>
      </w:r>
      <w:r w:rsidR="00270999">
        <w:rPr>
          <w:rFonts w:cs="Times New Roman"/>
          <w:szCs w:val="26"/>
        </w:rPr>
        <w:noBreakHyphen/>
      </w:r>
      <w:r w:rsidRPr="5C375D65">
        <w:rPr>
          <w:rFonts w:cs="Times New Roman"/>
        </w:rPr>
        <w:t xml:space="preserve">WRAM beyond </w:t>
      </w:r>
      <w:r w:rsidRPr="5C375D65" w:rsidR="00EB50F8">
        <w:rPr>
          <w:rFonts w:cs="Times New Roman"/>
        </w:rPr>
        <w:t>Cal Advocates</w:t>
      </w:r>
      <w:r w:rsidRPr="5C375D65" w:rsidR="000C0896">
        <w:rPr>
          <w:rFonts w:cs="Times New Roman"/>
        </w:rPr>
        <w:t>’</w:t>
      </w:r>
      <w:r w:rsidRPr="5C375D65">
        <w:rPr>
          <w:rFonts w:cs="Times New Roman"/>
        </w:rPr>
        <w:t xml:space="preserve"> proposal, informed by our consideration of </w:t>
      </w:r>
      <w:r w:rsidRPr="5C375D65" w:rsidR="00EB50F8">
        <w:rPr>
          <w:rFonts w:cs="Times New Roman"/>
        </w:rPr>
        <w:t>Cal Water</w:t>
      </w:r>
      <w:r w:rsidRPr="5C375D65" w:rsidR="000C0896">
        <w:rPr>
          <w:rFonts w:cs="Times New Roman"/>
        </w:rPr>
        <w:t>’</w:t>
      </w:r>
      <w:r w:rsidRPr="5C375D65">
        <w:rPr>
          <w:rFonts w:cs="Times New Roman"/>
        </w:rPr>
        <w:t>s broader proposals for decoupling and a new LUWEP.</w:t>
      </w:r>
    </w:p>
    <w:p w:rsidR="00CE0158" w:rsidP="00F353EE" w:rsidRDefault="00D14ED3" w14:paraId="7B37C778" w14:textId="266EF959">
      <w:pPr>
        <w:pStyle w:val="Standard"/>
        <w:rPr>
          <w:rFonts w:cs="Times New Roman"/>
          <w:szCs w:val="26"/>
        </w:rPr>
      </w:pPr>
      <w:r w:rsidRPr="00235A7B">
        <w:rPr>
          <w:rFonts w:cs="Times New Roman"/>
          <w:szCs w:val="26"/>
        </w:rPr>
        <w:t>The following sections summarize the parties</w:t>
      </w:r>
      <w:r w:rsidR="000C0896">
        <w:rPr>
          <w:rFonts w:cs="Times New Roman"/>
          <w:szCs w:val="26"/>
        </w:rPr>
        <w:t>’</w:t>
      </w:r>
      <w:r w:rsidRPr="00235A7B">
        <w:rPr>
          <w:rFonts w:cs="Times New Roman"/>
          <w:szCs w:val="26"/>
        </w:rPr>
        <w:t xml:space="preserve"> positions and explain the Commission</w:t>
      </w:r>
      <w:r w:rsidR="000C0896">
        <w:rPr>
          <w:rFonts w:cs="Times New Roman"/>
          <w:szCs w:val="26"/>
        </w:rPr>
        <w:t>’</w:t>
      </w:r>
      <w:r w:rsidRPr="00235A7B">
        <w:rPr>
          <w:rFonts w:cs="Times New Roman"/>
          <w:szCs w:val="26"/>
        </w:rPr>
        <w:t>s decision.</w:t>
      </w:r>
    </w:p>
    <w:p w:rsidR="00066A3C" w:rsidP="00D14ED3" w:rsidRDefault="00066A3C" w14:paraId="017224DE" w14:textId="4F368FCF">
      <w:pPr>
        <w:pStyle w:val="Heading3"/>
        <w:rPr>
          <w:bCs/>
        </w:rPr>
      </w:pPr>
      <w:bookmarkStart w:name="_Toc222305261" w:id="80"/>
      <w:bookmarkStart w:name="_Toc221109049" w:id="81"/>
      <w:bookmarkStart w:name="_Toc228294688" w:id="82"/>
      <w:r>
        <w:rPr>
          <w:bCs/>
        </w:rPr>
        <w:t>Partial Settlement</w:t>
      </w:r>
      <w:bookmarkEnd w:id="80"/>
      <w:bookmarkEnd w:id="82"/>
    </w:p>
    <w:p w:rsidRPr="00066A3C" w:rsidR="00066A3C" w:rsidP="00F353EE" w:rsidRDefault="00066A3C" w14:paraId="66E60ABB" w14:textId="0369607B">
      <w:pPr>
        <w:pStyle w:val="Standard"/>
      </w:pPr>
      <w:r w:rsidRPr="00F532EA">
        <w:t>Th</w:t>
      </w:r>
      <w:r>
        <w:t>ese</w:t>
      </w:r>
      <w:r w:rsidRPr="00F532EA">
        <w:t xml:space="preserve"> </w:t>
      </w:r>
      <w:r>
        <w:t xml:space="preserve">three </w:t>
      </w:r>
      <w:r w:rsidRPr="00F532EA">
        <w:t>scoped issue</w:t>
      </w:r>
      <w:r>
        <w:t>s</w:t>
      </w:r>
      <w:r w:rsidRPr="00F532EA">
        <w:t xml:space="preserve"> </w:t>
      </w:r>
      <w:r>
        <w:t>were</w:t>
      </w:r>
      <w:r w:rsidRPr="00F532EA">
        <w:t xml:space="preserve"> fully litigated</w:t>
      </w:r>
      <w:r>
        <w:t xml:space="preserve">. These interrelated issues were </w:t>
      </w:r>
      <w:r w:rsidRPr="00F532EA">
        <w:t>not included in the Partial Settlement Agreement or in the Undisputed Issues List.</w:t>
      </w:r>
    </w:p>
    <w:p w:rsidRPr="00D14ED3" w:rsidR="00D14ED3" w:rsidP="00D14ED3" w:rsidRDefault="00D14ED3" w14:paraId="01101EA5" w14:textId="40727152">
      <w:pPr>
        <w:pStyle w:val="Heading3"/>
        <w:rPr>
          <w:bCs/>
        </w:rPr>
      </w:pPr>
      <w:bookmarkStart w:name="_Toc222305262" w:id="83"/>
      <w:bookmarkStart w:name="_Toc228294689" w:id="84"/>
      <w:r w:rsidRPr="00235A7B">
        <w:t>Positions of the Parties</w:t>
      </w:r>
      <w:bookmarkStart w:name="_Toc221109050" w:id="85"/>
      <w:bookmarkEnd w:id="81"/>
      <w:bookmarkEnd w:id="83"/>
      <w:bookmarkEnd w:id="84"/>
    </w:p>
    <w:p w:rsidRPr="00D14ED3" w:rsidR="00D14ED3" w:rsidP="00D14ED3" w:rsidRDefault="001A36AE" w14:paraId="0DC2A95F" w14:textId="38AD5AA8">
      <w:pPr>
        <w:pStyle w:val="Heading4"/>
        <w:rPr>
          <w:bCs/>
        </w:rPr>
      </w:pPr>
      <w:bookmarkStart w:name="_Toc222305263" w:id="86"/>
      <w:bookmarkStart w:name="_Toc228294690" w:id="87"/>
      <w:r w:rsidRPr="001A36AE">
        <w:t>California Water Service</w:t>
      </w:r>
      <w:r w:rsidR="00C35CED">
        <w:br/>
      </w:r>
      <w:r w:rsidRPr="001A36AE">
        <w:t>Company</w:t>
      </w:r>
      <w:r w:rsidR="000C0896">
        <w:t>’</w:t>
      </w:r>
      <w:r w:rsidRPr="00235A7B" w:rsidR="00D14ED3">
        <w:t>s Proposal</w:t>
      </w:r>
      <w:bookmarkEnd w:id="85"/>
      <w:bookmarkEnd w:id="86"/>
      <w:bookmarkEnd w:id="87"/>
    </w:p>
    <w:p w:rsidR="00CE0158" w:rsidP="00F353EE" w:rsidRDefault="00EB50F8" w14:paraId="75678637" w14:textId="3FD980FB">
      <w:pPr>
        <w:pStyle w:val="Standard"/>
        <w:rPr>
          <w:rFonts w:cs="Times New Roman"/>
          <w:szCs w:val="26"/>
        </w:rPr>
      </w:pPr>
      <w:r>
        <w:rPr>
          <w:rFonts w:cs="Times New Roman"/>
          <w:szCs w:val="26"/>
        </w:rPr>
        <w:t>Cal Water</w:t>
      </w:r>
      <w:r w:rsidRPr="00235A7B" w:rsidR="00D14ED3">
        <w:rPr>
          <w:rFonts w:cs="Times New Roman"/>
          <w:szCs w:val="26"/>
        </w:rPr>
        <w:t xml:space="preserve"> proposes a LUWEP rate design and a revenue decoupling program</w:t>
      </w:r>
      <w:r w:rsidRPr="00235A7B" w:rsidDel="00F92997" w:rsidR="00D14ED3">
        <w:rPr>
          <w:rFonts w:cs="Times New Roman"/>
          <w:szCs w:val="26"/>
        </w:rPr>
        <w:t xml:space="preserve"> </w:t>
      </w:r>
      <w:r w:rsidRPr="00235A7B" w:rsidR="00D14ED3">
        <w:rPr>
          <w:rFonts w:cs="Times New Roman"/>
          <w:szCs w:val="26"/>
        </w:rPr>
        <w:t>which includes</w:t>
      </w:r>
      <w:r w:rsidR="000C0896">
        <w:rPr>
          <w:rFonts w:cs="Times New Roman"/>
          <w:szCs w:val="26"/>
        </w:rPr>
        <w:t xml:space="preserve">:  </w:t>
      </w:r>
      <w:r w:rsidR="006237E8">
        <w:rPr>
          <w:rFonts w:cs="Times New Roman"/>
          <w:szCs w:val="26"/>
        </w:rPr>
        <w:t>(1) a </w:t>
      </w:r>
      <w:r w:rsidRPr="00235A7B" w:rsidR="00D14ED3">
        <w:rPr>
          <w:rFonts w:cs="Times New Roman"/>
          <w:szCs w:val="26"/>
        </w:rPr>
        <w:t>new Safe Infrastructure Balancing Account (SIBA)</w:t>
      </w:r>
      <w:r w:rsidRPr="00235A7B" w:rsidR="00D14ED3">
        <w:rPr>
          <w:rStyle w:val="FootnoteReference"/>
          <w:rFonts w:cs="Times New Roman"/>
          <w:szCs w:val="26"/>
        </w:rPr>
        <w:footnoteReference w:id="93"/>
      </w:r>
      <w:r w:rsidRPr="00235A7B" w:rsidR="00D14ED3">
        <w:rPr>
          <w:rFonts w:cs="Times New Roman"/>
          <w:szCs w:val="26"/>
        </w:rPr>
        <w:t xml:space="preserve"> to track the difference between actual and adopted quantity revenues; </w:t>
      </w:r>
      <w:r w:rsidR="006237E8">
        <w:rPr>
          <w:rFonts w:cs="Times New Roman"/>
          <w:szCs w:val="26"/>
        </w:rPr>
        <w:t>(2) a </w:t>
      </w:r>
      <w:r w:rsidRPr="00235A7B" w:rsidR="00D14ED3">
        <w:rPr>
          <w:rFonts w:cs="Times New Roman"/>
          <w:szCs w:val="26"/>
        </w:rPr>
        <w:t xml:space="preserve">Supply Cost Balancing Account (SCBA) to track the difference between actual and adopted water production expenses; </w:t>
      </w:r>
      <w:r w:rsidR="006237E8">
        <w:rPr>
          <w:rFonts w:cs="Times New Roman"/>
          <w:szCs w:val="26"/>
        </w:rPr>
        <w:t>(3) </w:t>
      </w:r>
      <w:r w:rsidRPr="00235A7B" w:rsidR="00D14ED3">
        <w:rPr>
          <w:rFonts w:cs="Times New Roman"/>
          <w:szCs w:val="26"/>
        </w:rPr>
        <w:t xml:space="preserve">Amortization of net decoupling program balances in base rates using the adopted rate design (as </w:t>
      </w:r>
      <w:r w:rsidRPr="00235A7B" w:rsidR="00D14ED3">
        <w:rPr>
          <w:rFonts w:cs="Times New Roman"/>
          <w:szCs w:val="26"/>
        </w:rPr>
        <w:lastRenderedPageBreak/>
        <w:t xml:space="preserve">opposed to separate surcharges or </w:t>
      </w:r>
      <w:proofErr w:type="spellStart"/>
      <w:r w:rsidRPr="00235A7B" w:rsidR="00D14ED3">
        <w:rPr>
          <w:rFonts w:cs="Times New Roman"/>
          <w:szCs w:val="26"/>
        </w:rPr>
        <w:t>surcredits</w:t>
      </w:r>
      <w:proofErr w:type="spellEnd"/>
      <w:r w:rsidR="00D14ED3">
        <w:rPr>
          <w:rStyle w:val="FootnoteReference"/>
          <w:rFonts w:cs="Times New Roman"/>
          <w:szCs w:val="26"/>
        </w:rPr>
        <w:footnoteReference w:id="94"/>
      </w:r>
      <w:r w:rsidRPr="00235A7B" w:rsidR="00D14ED3">
        <w:rPr>
          <w:rFonts w:cs="Times New Roman"/>
          <w:szCs w:val="26"/>
        </w:rPr>
        <w:t xml:space="preserve">); and </w:t>
      </w:r>
      <w:r w:rsidR="000C051D">
        <w:rPr>
          <w:rFonts w:cs="Times New Roman"/>
          <w:szCs w:val="26"/>
        </w:rPr>
        <w:t>(4) </w:t>
      </w:r>
      <w:r w:rsidRPr="00235A7B" w:rsidR="00D14ED3">
        <w:rPr>
          <w:rFonts w:cs="Times New Roman"/>
          <w:szCs w:val="26"/>
        </w:rPr>
        <w:t>Reinstatement of the SRM with slight modification.</w:t>
      </w:r>
      <w:r w:rsidRPr="00235A7B" w:rsidR="00D14ED3">
        <w:rPr>
          <w:rStyle w:val="FootnoteReference"/>
          <w:rFonts w:cs="Times New Roman"/>
          <w:szCs w:val="26"/>
        </w:rPr>
        <w:footnoteReference w:id="95"/>
      </w:r>
    </w:p>
    <w:p w:rsidR="00CE0158" w:rsidP="00F353EE" w:rsidRDefault="00D14ED3" w14:paraId="2C5899BA" w14:textId="42EBE28A">
      <w:pPr>
        <w:pStyle w:val="Standard"/>
        <w:rPr>
          <w:rFonts w:cs="Times New Roman"/>
          <w:szCs w:val="26"/>
        </w:rPr>
      </w:pPr>
      <w:r w:rsidRPr="00235A7B">
        <w:rPr>
          <w:rFonts w:cs="Times New Roman"/>
          <w:szCs w:val="26"/>
        </w:rPr>
        <w:t xml:space="preserve">If decoupling is not granted, </w:t>
      </w:r>
      <w:r w:rsidR="00EB50F8">
        <w:rPr>
          <w:rFonts w:cs="Times New Roman"/>
          <w:szCs w:val="26"/>
        </w:rPr>
        <w:t>Cal Water</w:t>
      </w:r>
      <w:r w:rsidRPr="00235A7B">
        <w:rPr>
          <w:rFonts w:cs="Times New Roman"/>
          <w:szCs w:val="26"/>
        </w:rPr>
        <w:t xml:space="preserve"> proposes</w:t>
      </w:r>
      <w:r w:rsidR="000C0896">
        <w:rPr>
          <w:rFonts w:cs="Times New Roman"/>
          <w:szCs w:val="26"/>
        </w:rPr>
        <w:t xml:space="preserve">: </w:t>
      </w:r>
      <w:r w:rsidR="006237E8">
        <w:rPr>
          <w:rFonts w:cs="Times New Roman"/>
          <w:szCs w:val="26"/>
        </w:rPr>
        <w:t>(1) </w:t>
      </w:r>
      <w:r w:rsidRPr="00235A7B">
        <w:rPr>
          <w:rFonts w:cs="Times New Roman"/>
          <w:szCs w:val="26"/>
        </w:rPr>
        <w:t>continuation of a modified M</w:t>
      </w:r>
      <w:r w:rsidR="00270999">
        <w:rPr>
          <w:rFonts w:cs="Times New Roman"/>
          <w:szCs w:val="26"/>
        </w:rPr>
        <w:noBreakHyphen/>
      </w:r>
      <w:r w:rsidRPr="00235A7B">
        <w:rPr>
          <w:rFonts w:cs="Times New Roman"/>
          <w:szCs w:val="26"/>
        </w:rPr>
        <w:t>WRAM and ICBA adopted in D.24</w:t>
      </w:r>
      <w:r w:rsidR="00270999">
        <w:rPr>
          <w:rFonts w:cs="Times New Roman"/>
          <w:szCs w:val="26"/>
        </w:rPr>
        <w:noBreakHyphen/>
      </w:r>
      <w:r w:rsidRPr="00235A7B">
        <w:rPr>
          <w:rFonts w:cs="Times New Roman"/>
          <w:szCs w:val="26"/>
        </w:rPr>
        <w:t>03</w:t>
      </w:r>
      <w:r w:rsidR="00270999">
        <w:rPr>
          <w:rFonts w:cs="Times New Roman"/>
          <w:szCs w:val="26"/>
        </w:rPr>
        <w:noBreakHyphen/>
      </w:r>
      <w:r w:rsidRPr="00235A7B">
        <w:rPr>
          <w:rFonts w:cs="Times New Roman"/>
          <w:szCs w:val="26"/>
        </w:rPr>
        <w:t>042,867</w:t>
      </w:r>
      <w:r w:rsidR="006237E8">
        <w:rPr>
          <w:rFonts w:cs="Times New Roman"/>
          <w:szCs w:val="26"/>
        </w:rPr>
        <w:t>; and (2) </w:t>
      </w:r>
      <w:r w:rsidRPr="00235A7B">
        <w:rPr>
          <w:rFonts w:cs="Times New Roman"/>
          <w:szCs w:val="26"/>
        </w:rPr>
        <w:t>modified rate design and sales forecasts.</w:t>
      </w:r>
      <w:r w:rsidRPr="00235A7B">
        <w:rPr>
          <w:rStyle w:val="FootnoteReference"/>
          <w:rFonts w:cs="Times New Roman"/>
          <w:szCs w:val="26"/>
        </w:rPr>
        <w:footnoteReference w:id="96"/>
      </w:r>
    </w:p>
    <w:p w:rsidR="00CE0158" w:rsidP="00F353EE" w:rsidRDefault="00EB50F8" w14:paraId="6253ACD0" w14:textId="7600ECB5">
      <w:pPr>
        <w:pStyle w:val="Standard"/>
        <w:rPr>
          <w:rFonts w:cs="Times New Roman"/>
          <w:szCs w:val="26"/>
        </w:rPr>
      </w:pPr>
      <w:r>
        <w:rPr>
          <w:rFonts w:cs="Times New Roman"/>
          <w:szCs w:val="26"/>
        </w:rPr>
        <w:t>Cal Water</w:t>
      </w:r>
      <w:r w:rsidRPr="00235A7B" w:rsidR="00D14ED3">
        <w:rPr>
          <w:rFonts w:cs="Times New Roman"/>
          <w:szCs w:val="26"/>
        </w:rPr>
        <w:t xml:space="preserve"> states that it has implemented a </w:t>
      </w:r>
      <w:r w:rsidR="008B0F27">
        <w:rPr>
          <w:rFonts w:cs="Times New Roman"/>
          <w:szCs w:val="26"/>
        </w:rPr>
        <w:t>four</w:t>
      </w:r>
      <w:r w:rsidR="00270999">
        <w:rPr>
          <w:rFonts w:cs="Times New Roman"/>
          <w:szCs w:val="26"/>
        </w:rPr>
        <w:noBreakHyphen/>
      </w:r>
      <w:r w:rsidR="008B0F27">
        <w:rPr>
          <w:rFonts w:cs="Times New Roman"/>
          <w:szCs w:val="26"/>
        </w:rPr>
        <w:t>tier</w:t>
      </w:r>
      <w:r w:rsidRPr="00235A7B" w:rsidR="00D14ED3">
        <w:rPr>
          <w:rFonts w:cs="Times New Roman"/>
          <w:szCs w:val="26"/>
        </w:rPr>
        <w:t xml:space="preserve"> conservation rate design and an M</w:t>
      </w:r>
      <w:r w:rsidR="00270999">
        <w:rPr>
          <w:rFonts w:cs="Times New Roman"/>
          <w:szCs w:val="26"/>
        </w:rPr>
        <w:noBreakHyphen/>
      </w:r>
      <w:r w:rsidRPr="00235A7B" w:rsidR="00D14ED3">
        <w:rPr>
          <w:rFonts w:cs="Times New Roman"/>
          <w:szCs w:val="26"/>
        </w:rPr>
        <w:t>WRAM, pursuant to D.24</w:t>
      </w:r>
      <w:r w:rsidR="00270999">
        <w:rPr>
          <w:rFonts w:cs="Times New Roman"/>
          <w:szCs w:val="26"/>
        </w:rPr>
        <w:noBreakHyphen/>
      </w:r>
      <w:r w:rsidRPr="00235A7B" w:rsidR="00D14ED3">
        <w:rPr>
          <w:rFonts w:cs="Times New Roman"/>
          <w:szCs w:val="26"/>
        </w:rPr>
        <w:t>03</w:t>
      </w:r>
      <w:r w:rsidR="00270999">
        <w:rPr>
          <w:rFonts w:cs="Times New Roman"/>
          <w:szCs w:val="26"/>
        </w:rPr>
        <w:noBreakHyphen/>
      </w:r>
      <w:r w:rsidRPr="00235A7B" w:rsidR="00D14ED3">
        <w:rPr>
          <w:rFonts w:cs="Times New Roman"/>
          <w:szCs w:val="26"/>
        </w:rPr>
        <w:t>042.</w:t>
      </w:r>
      <w:r w:rsidRPr="00235A7B" w:rsidR="00D14ED3">
        <w:rPr>
          <w:rStyle w:val="FootnoteReference"/>
          <w:rFonts w:cs="Times New Roman"/>
          <w:szCs w:val="26"/>
        </w:rPr>
        <w:footnoteReference w:id="97"/>
      </w:r>
      <w:r w:rsidRPr="00235A7B" w:rsidR="00D14ED3">
        <w:rPr>
          <w:rFonts w:cs="Times New Roman"/>
          <w:szCs w:val="26"/>
        </w:rPr>
        <w:t xml:space="preserve"> In its opening testimony, </w:t>
      </w:r>
      <w:r>
        <w:rPr>
          <w:rFonts w:cs="Times New Roman"/>
          <w:szCs w:val="26"/>
        </w:rPr>
        <w:t>Cal Water</w:t>
      </w:r>
      <w:r w:rsidRPr="00235A7B" w:rsidR="00D14ED3">
        <w:rPr>
          <w:rFonts w:cs="Times New Roman"/>
          <w:szCs w:val="26"/>
        </w:rPr>
        <w:t xml:space="preserve"> proposes a new LUWEP, which is a modified </w:t>
      </w:r>
      <w:r w:rsidR="008B0F27">
        <w:rPr>
          <w:rFonts w:cs="Times New Roman"/>
          <w:szCs w:val="26"/>
        </w:rPr>
        <w:t>four</w:t>
      </w:r>
      <w:r w:rsidR="00270999">
        <w:rPr>
          <w:rFonts w:cs="Times New Roman"/>
          <w:szCs w:val="26"/>
        </w:rPr>
        <w:noBreakHyphen/>
      </w:r>
      <w:r w:rsidR="008B0F27">
        <w:rPr>
          <w:rFonts w:cs="Times New Roman"/>
          <w:szCs w:val="26"/>
        </w:rPr>
        <w:t>tier</w:t>
      </w:r>
      <w:r w:rsidRPr="00235A7B" w:rsidR="00D14ED3">
        <w:rPr>
          <w:rFonts w:cs="Times New Roman"/>
          <w:szCs w:val="26"/>
        </w:rPr>
        <w:t xml:space="preserve"> rate design with larger tier differentials and higher breakpoints.</w:t>
      </w:r>
      <w:r w:rsidRPr="00235A7B" w:rsidR="00D14ED3">
        <w:rPr>
          <w:rStyle w:val="FootnoteReference"/>
          <w:rFonts w:cs="Times New Roman"/>
          <w:szCs w:val="26"/>
        </w:rPr>
        <w:footnoteReference w:id="98"/>
      </w:r>
      <w:r w:rsidRPr="00235A7B" w:rsidR="00D14ED3">
        <w:rPr>
          <w:rFonts w:cs="Times New Roman"/>
          <w:szCs w:val="26"/>
        </w:rPr>
        <w:t xml:space="preserve"> </w:t>
      </w:r>
      <w:r>
        <w:rPr>
          <w:rFonts w:cs="Times New Roman"/>
          <w:szCs w:val="26"/>
        </w:rPr>
        <w:t>Cal Water</w:t>
      </w:r>
      <w:r w:rsidRPr="00235A7B" w:rsidR="00D14ED3">
        <w:rPr>
          <w:rFonts w:cs="Times New Roman"/>
          <w:szCs w:val="26"/>
        </w:rPr>
        <w:t xml:space="preserve"> asserts this structure will incentivize conservation among high</w:t>
      </w:r>
      <w:r w:rsidR="00270999">
        <w:rPr>
          <w:rFonts w:cs="Times New Roman"/>
          <w:szCs w:val="26"/>
        </w:rPr>
        <w:noBreakHyphen/>
      </w:r>
      <w:r w:rsidRPr="00235A7B" w:rsidR="00D14ED3">
        <w:rPr>
          <w:rFonts w:cs="Times New Roman"/>
          <w:szCs w:val="26"/>
        </w:rPr>
        <w:t>income, high</w:t>
      </w:r>
      <w:r w:rsidR="00270999">
        <w:rPr>
          <w:rFonts w:cs="Times New Roman"/>
          <w:szCs w:val="26"/>
        </w:rPr>
        <w:noBreakHyphen/>
      </w:r>
      <w:r w:rsidRPr="00235A7B" w:rsidR="00D14ED3">
        <w:rPr>
          <w:rFonts w:cs="Times New Roman"/>
          <w:szCs w:val="26"/>
        </w:rPr>
        <w:t>use customers while improving affordability for modest</w:t>
      </w:r>
      <w:r w:rsidR="00270999">
        <w:rPr>
          <w:rFonts w:cs="Times New Roman"/>
          <w:szCs w:val="26"/>
        </w:rPr>
        <w:noBreakHyphen/>
      </w:r>
      <w:r w:rsidRPr="00235A7B" w:rsidR="00D14ED3">
        <w:rPr>
          <w:rFonts w:cs="Times New Roman"/>
          <w:szCs w:val="26"/>
        </w:rPr>
        <w:t xml:space="preserve"> and low</w:t>
      </w:r>
      <w:r w:rsidR="00270999">
        <w:rPr>
          <w:rFonts w:cs="Times New Roman"/>
          <w:szCs w:val="26"/>
        </w:rPr>
        <w:noBreakHyphen/>
      </w:r>
      <w:r w:rsidRPr="00235A7B" w:rsidR="00D14ED3">
        <w:rPr>
          <w:rFonts w:cs="Times New Roman"/>
          <w:szCs w:val="26"/>
        </w:rPr>
        <w:t>use customers.</w:t>
      </w:r>
      <w:r w:rsidRPr="00235A7B" w:rsidR="00D14ED3">
        <w:rPr>
          <w:rStyle w:val="FootnoteReference"/>
          <w:rFonts w:cs="Times New Roman"/>
          <w:szCs w:val="26"/>
        </w:rPr>
        <w:footnoteReference w:id="99"/>
      </w:r>
      <w:r w:rsidRPr="00235A7B" w:rsidR="00D14ED3">
        <w:rPr>
          <w:rFonts w:cs="Times New Roman"/>
          <w:szCs w:val="26"/>
        </w:rPr>
        <w:t xml:space="preserve"> </w:t>
      </w:r>
      <w:r>
        <w:rPr>
          <w:rFonts w:cs="Times New Roman"/>
          <w:szCs w:val="26"/>
        </w:rPr>
        <w:t>Cal Water</w:t>
      </w:r>
      <w:r w:rsidRPr="00235A7B" w:rsidDel="00907C89" w:rsidR="00D14ED3">
        <w:rPr>
          <w:rFonts w:cs="Times New Roman"/>
          <w:szCs w:val="26"/>
        </w:rPr>
        <w:t xml:space="preserve"> </w:t>
      </w:r>
      <w:r w:rsidRPr="00235A7B" w:rsidR="00D14ED3">
        <w:rPr>
          <w:rFonts w:cs="Times New Roman"/>
          <w:szCs w:val="26"/>
        </w:rPr>
        <w:t>believes</w:t>
      </w:r>
      <w:r w:rsidR="00CE0158">
        <w:rPr>
          <w:rFonts w:cs="Times New Roman"/>
          <w:szCs w:val="26"/>
        </w:rPr>
        <w:t xml:space="preserve"> </w:t>
      </w:r>
      <w:r w:rsidRPr="00235A7B" w:rsidDel="00907C89" w:rsidR="00D14ED3">
        <w:rPr>
          <w:rFonts w:cs="Times New Roman"/>
          <w:szCs w:val="26"/>
        </w:rPr>
        <w:t xml:space="preserve">that </w:t>
      </w:r>
      <w:r w:rsidRPr="00235A7B" w:rsidR="00D14ED3">
        <w:rPr>
          <w:rFonts w:cs="Times New Roman"/>
          <w:szCs w:val="26"/>
        </w:rPr>
        <w:t xml:space="preserve">LUWEP is </w:t>
      </w:r>
      <w:r w:rsidRPr="00235A7B" w:rsidDel="00907C89" w:rsidR="00D14ED3">
        <w:rPr>
          <w:rFonts w:cs="Times New Roman"/>
          <w:szCs w:val="26"/>
        </w:rPr>
        <w:t>only feasible if implemented alongside revenue decoupling to mitigate under</w:t>
      </w:r>
      <w:r w:rsidR="00270999">
        <w:rPr>
          <w:rFonts w:cs="Times New Roman"/>
          <w:szCs w:val="26"/>
        </w:rPr>
        <w:noBreakHyphen/>
      </w:r>
      <w:r w:rsidRPr="00235A7B" w:rsidDel="00907C89" w:rsidR="00D14ED3">
        <w:rPr>
          <w:rFonts w:cs="Times New Roman"/>
          <w:szCs w:val="26"/>
        </w:rPr>
        <w:t xml:space="preserve">collections </w:t>
      </w:r>
      <w:r w:rsidRPr="00235A7B" w:rsidR="00D14ED3">
        <w:rPr>
          <w:rFonts w:cs="Times New Roman"/>
          <w:szCs w:val="26"/>
        </w:rPr>
        <w:t xml:space="preserve">of the authorized revenue requirement </w:t>
      </w:r>
      <w:r w:rsidRPr="00235A7B" w:rsidDel="00907C89" w:rsidR="00D14ED3">
        <w:rPr>
          <w:rFonts w:cs="Times New Roman"/>
          <w:szCs w:val="26"/>
        </w:rPr>
        <w:t>that may result from declining sales.</w:t>
      </w:r>
      <w:r w:rsidRPr="00235A7B" w:rsidR="00D14ED3">
        <w:rPr>
          <w:rStyle w:val="FootnoteReference"/>
          <w:rFonts w:cs="Times New Roman"/>
          <w:szCs w:val="26"/>
        </w:rPr>
        <w:footnoteReference w:id="100"/>
      </w:r>
    </w:p>
    <w:p w:rsidR="00CE0158" w:rsidP="00F353EE" w:rsidRDefault="00EB50F8" w14:paraId="50C27B60" w14:textId="40C25178">
      <w:pPr>
        <w:pStyle w:val="Standard"/>
        <w:rPr>
          <w:rFonts w:cs="Times New Roman"/>
          <w:szCs w:val="26"/>
        </w:rPr>
      </w:pPr>
      <w:r>
        <w:rPr>
          <w:rFonts w:cs="Times New Roman"/>
          <w:szCs w:val="26"/>
        </w:rPr>
        <w:t>Cal Water</w:t>
      </w:r>
      <w:r w:rsidRPr="00235A7B" w:rsidR="00D14ED3">
        <w:rPr>
          <w:rFonts w:cs="Times New Roman"/>
          <w:szCs w:val="26"/>
        </w:rPr>
        <w:t xml:space="preserve"> states that if the Commission rejects decoupling, it proposes an alternative M</w:t>
      </w:r>
      <w:r w:rsidR="00270999">
        <w:rPr>
          <w:rFonts w:cs="Times New Roman"/>
          <w:szCs w:val="26"/>
        </w:rPr>
        <w:noBreakHyphen/>
      </w:r>
      <w:r w:rsidRPr="00235A7B" w:rsidR="00D14ED3">
        <w:rPr>
          <w:rFonts w:cs="Times New Roman"/>
          <w:szCs w:val="26"/>
        </w:rPr>
        <w:t xml:space="preserve">WRAM with flatter tier differentials and </w:t>
      </w:r>
      <w:r w:rsidR="00AA646F">
        <w:rPr>
          <w:rFonts w:cs="Times New Roman"/>
          <w:szCs w:val="26"/>
        </w:rPr>
        <w:t>an additional 5 percent of fixed revenues recovered via meter charges</w:t>
      </w:r>
      <w:r w:rsidR="00B967E8">
        <w:rPr>
          <w:rFonts w:cs="Times New Roman"/>
          <w:szCs w:val="26"/>
        </w:rPr>
        <w:t xml:space="preserve"> compared to its current rate </w:t>
      </w:r>
      <w:r w:rsidR="00B967E8">
        <w:rPr>
          <w:rFonts w:cs="Times New Roman"/>
          <w:szCs w:val="26"/>
        </w:rPr>
        <w:lastRenderedPageBreak/>
        <w:t>design</w:t>
      </w:r>
      <w:r w:rsidRPr="00235A7B" w:rsidR="00D14ED3">
        <w:rPr>
          <w:rFonts w:cs="Times New Roman"/>
          <w:szCs w:val="26"/>
        </w:rPr>
        <w:t>.</w:t>
      </w:r>
      <w:r w:rsidRPr="00235A7B" w:rsidR="00D14ED3">
        <w:rPr>
          <w:rStyle w:val="FootnoteReference"/>
          <w:rFonts w:cs="Times New Roman"/>
          <w:szCs w:val="26"/>
        </w:rPr>
        <w:footnoteReference w:id="101"/>
      </w:r>
      <w:r w:rsidRPr="00287CCB" w:rsidR="00287CCB">
        <w:rPr>
          <w:rFonts w:cs="Times New Roman"/>
          <w:szCs w:val="26"/>
          <w:vertAlign w:val="superscript"/>
        </w:rPr>
        <w:t>,</w:t>
      </w:r>
      <w:r w:rsidRPr="00235A7B" w:rsidR="00D14ED3">
        <w:rPr>
          <w:rStyle w:val="FootnoteReference"/>
          <w:rFonts w:cs="Times New Roman"/>
          <w:szCs w:val="26"/>
        </w:rPr>
        <w:footnoteReference w:id="102"/>
      </w:r>
      <w:r w:rsidRPr="00235A7B" w:rsidR="00D14ED3">
        <w:rPr>
          <w:rFonts w:cs="Times New Roman"/>
          <w:szCs w:val="26"/>
        </w:rPr>
        <w:t xml:space="preserve"> </w:t>
      </w:r>
      <w:r>
        <w:rPr>
          <w:rFonts w:cs="Times New Roman"/>
          <w:szCs w:val="26"/>
        </w:rPr>
        <w:t>Cal Water</w:t>
      </w:r>
      <w:r w:rsidRPr="00235A7B" w:rsidR="00D14ED3">
        <w:rPr>
          <w:rFonts w:cs="Times New Roman"/>
          <w:szCs w:val="26"/>
        </w:rPr>
        <w:t xml:space="preserve"> argues that this alternative M</w:t>
      </w:r>
      <w:r w:rsidR="00270999">
        <w:rPr>
          <w:rFonts w:cs="Times New Roman"/>
          <w:szCs w:val="26"/>
        </w:rPr>
        <w:noBreakHyphen/>
      </w:r>
      <w:r w:rsidRPr="00235A7B" w:rsidR="00D14ED3">
        <w:rPr>
          <w:rFonts w:cs="Times New Roman"/>
          <w:szCs w:val="26"/>
        </w:rPr>
        <w:t>WRAM, with higher fixed charges, will result in increased usage and higher bills than LUWEP which is why this is a secondary proposal and not its preferred option.</w:t>
      </w:r>
      <w:r w:rsidRPr="00235A7B" w:rsidR="00D14ED3">
        <w:rPr>
          <w:rStyle w:val="FootnoteReference"/>
          <w:rFonts w:cs="Times New Roman"/>
          <w:szCs w:val="26"/>
        </w:rPr>
        <w:footnoteReference w:id="103"/>
      </w:r>
    </w:p>
    <w:p w:rsidR="0084292E" w:rsidP="00F353EE" w:rsidRDefault="00EB50F8" w14:paraId="3E0333C7" w14:textId="01EE0847">
      <w:pPr>
        <w:pStyle w:val="Standard"/>
        <w:rPr>
          <w:rFonts w:cs="Times New Roman"/>
          <w:sz w:val="22"/>
        </w:rPr>
      </w:pPr>
      <w:r>
        <w:rPr>
          <w:rFonts w:cs="Times New Roman"/>
          <w:szCs w:val="26"/>
        </w:rPr>
        <w:t>Cal Water</w:t>
      </w:r>
      <w:r w:rsidRPr="00235A7B" w:rsidR="00D14ED3">
        <w:rPr>
          <w:rFonts w:cs="Times New Roman"/>
          <w:szCs w:val="26"/>
        </w:rPr>
        <w:t xml:space="preserve"> states</w:t>
      </w:r>
      <w:r w:rsidRPr="00235A7B" w:rsidDel="00F3696A" w:rsidR="00D14ED3">
        <w:rPr>
          <w:rFonts w:cs="Times New Roman"/>
          <w:szCs w:val="26"/>
        </w:rPr>
        <w:t xml:space="preserve"> that</w:t>
      </w:r>
      <w:r w:rsidRPr="00235A7B" w:rsidR="00D14ED3">
        <w:rPr>
          <w:rFonts w:cs="Times New Roman"/>
          <w:szCs w:val="26"/>
        </w:rPr>
        <w:t xml:space="preserve"> it</w:t>
      </w:r>
      <w:r w:rsidRPr="00235A7B" w:rsidDel="00F3696A" w:rsidR="00D14ED3">
        <w:rPr>
          <w:rFonts w:cs="Times New Roman"/>
          <w:szCs w:val="26"/>
        </w:rPr>
        <w:t xml:space="preserve"> </w:t>
      </w:r>
      <w:r w:rsidRPr="00235A7B" w:rsidR="00D14ED3">
        <w:rPr>
          <w:rFonts w:cs="Times New Roman"/>
          <w:szCs w:val="26"/>
        </w:rPr>
        <w:t>already operates under an M</w:t>
      </w:r>
      <w:r w:rsidR="00270999">
        <w:rPr>
          <w:rFonts w:cs="Times New Roman"/>
          <w:szCs w:val="26"/>
        </w:rPr>
        <w:noBreakHyphen/>
      </w:r>
      <w:r w:rsidRPr="00235A7B" w:rsidR="00D14ED3">
        <w:rPr>
          <w:rFonts w:cs="Times New Roman"/>
          <w:szCs w:val="26"/>
        </w:rPr>
        <w:t>WRAM, which tracks and recovers the difference between revenues from the currently adopted tiered rate structure and those from a uniform rate at an equivalent level of sales.</w:t>
      </w:r>
      <w:r w:rsidRPr="00235A7B" w:rsidR="00D14ED3">
        <w:rPr>
          <w:rStyle w:val="FootnoteReference"/>
          <w:rFonts w:cs="Times New Roman"/>
          <w:szCs w:val="26"/>
        </w:rPr>
        <w:footnoteReference w:id="104"/>
      </w:r>
      <w:r w:rsidRPr="00235A7B" w:rsidR="00D14ED3">
        <w:rPr>
          <w:rFonts w:cs="Times New Roman"/>
          <w:szCs w:val="26"/>
        </w:rPr>
        <w:t xml:space="preserve"> </w:t>
      </w:r>
      <w:r>
        <w:rPr>
          <w:rFonts w:cs="Times New Roman"/>
          <w:szCs w:val="26"/>
        </w:rPr>
        <w:t>Cal Water</w:t>
      </w:r>
      <w:r w:rsidRPr="00235A7B" w:rsidR="00D14ED3">
        <w:rPr>
          <w:rFonts w:cs="Times New Roman"/>
          <w:szCs w:val="26"/>
        </w:rPr>
        <w:t xml:space="preserve"> proposes to replace the M</w:t>
      </w:r>
      <w:r w:rsidR="00270999">
        <w:rPr>
          <w:rFonts w:cs="Times New Roman"/>
          <w:szCs w:val="26"/>
        </w:rPr>
        <w:noBreakHyphen/>
      </w:r>
      <w:r w:rsidRPr="00235A7B" w:rsidR="00D14ED3">
        <w:rPr>
          <w:rFonts w:cs="Times New Roman"/>
          <w:szCs w:val="26"/>
        </w:rPr>
        <w:t>WRAM with a LUWEP Decoupling Program, which is similar to the previous Water Revenue Adjustment Mechanism (WRAM)</w:t>
      </w:r>
      <w:r w:rsidR="00727A3C">
        <w:rPr>
          <w:rFonts w:cs="Times New Roman"/>
          <w:szCs w:val="26"/>
        </w:rPr>
        <w:t>,</w:t>
      </w:r>
      <w:r w:rsidRPr="00235A7B" w:rsidR="00D14ED3">
        <w:rPr>
          <w:rStyle w:val="FootnoteReference"/>
          <w:rFonts w:cs="Times New Roman"/>
          <w:szCs w:val="26"/>
        </w:rPr>
        <w:footnoteReference w:id="105"/>
      </w:r>
      <w:r w:rsidRPr="00235A7B" w:rsidR="00D14ED3">
        <w:rPr>
          <w:rFonts w:cs="Times New Roman"/>
          <w:szCs w:val="26"/>
        </w:rPr>
        <w:t xml:space="preserve"> but includes two new balancing accounts to calculate the revenue impact of deviations from forecasted quantity sales</w:t>
      </w:r>
      <w:r w:rsidR="000C0896">
        <w:rPr>
          <w:rFonts w:cs="Times New Roman"/>
          <w:szCs w:val="26"/>
        </w:rPr>
        <w:t xml:space="preserve">:  </w:t>
      </w:r>
      <w:r w:rsidR="006237E8">
        <w:rPr>
          <w:rFonts w:cs="Times New Roman"/>
          <w:szCs w:val="26"/>
        </w:rPr>
        <w:t>(1) a </w:t>
      </w:r>
      <w:r w:rsidRPr="00235A7B" w:rsidR="00D14ED3">
        <w:rPr>
          <w:rFonts w:cs="Times New Roman"/>
          <w:szCs w:val="26"/>
        </w:rPr>
        <w:t>SIBA to track the difference between actual and adopted quantity revenues</w:t>
      </w:r>
      <w:r w:rsidR="006237E8">
        <w:rPr>
          <w:rFonts w:cs="Times New Roman"/>
          <w:szCs w:val="26"/>
        </w:rPr>
        <w:t>;</w:t>
      </w:r>
      <w:r w:rsidRPr="00235A7B" w:rsidR="00D14ED3">
        <w:rPr>
          <w:rFonts w:cs="Times New Roman"/>
          <w:szCs w:val="26"/>
        </w:rPr>
        <w:t xml:space="preserve"> and </w:t>
      </w:r>
      <w:r w:rsidR="006237E8">
        <w:rPr>
          <w:rFonts w:cs="Times New Roman"/>
          <w:szCs w:val="26"/>
        </w:rPr>
        <w:t>(2) a </w:t>
      </w:r>
      <w:r w:rsidRPr="00235A7B" w:rsidR="00D14ED3">
        <w:rPr>
          <w:rFonts w:cs="Times New Roman"/>
          <w:szCs w:val="26"/>
        </w:rPr>
        <w:t>SCBA to track the difference between actual and adopted production expenses.</w:t>
      </w:r>
      <w:r w:rsidRPr="00235A7B" w:rsidR="00D14ED3">
        <w:rPr>
          <w:rStyle w:val="FootnoteReference"/>
          <w:rFonts w:cs="Times New Roman"/>
          <w:szCs w:val="26"/>
        </w:rPr>
        <w:footnoteReference w:id="106"/>
      </w:r>
      <w:r w:rsidR="00CE0158">
        <w:rPr>
          <w:rFonts w:cs="Times New Roman"/>
          <w:szCs w:val="26"/>
        </w:rPr>
        <w:t xml:space="preserve"> </w:t>
      </w:r>
      <w:r w:rsidRPr="00235A7B" w:rsidR="00D14ED3">
        <w:rPr>
          <w:rFonts w:cs="Times New Roman"/>
          <w:szCs w:val="26"/>
        </w:rPr>
        <w:t xml:space="preserve">According to </w:t>
      </w:r>
      <w:r>
        <w:rPr>
          <w:rFonts w:cs="Times New Roman"/>
          <w:szCs w:val="26"/>
        </w:rPr>
        <w:t>Cal Water</w:t>
      </w:r>
      <w:r w:rsidRPr="00235A7B" w:rsidR="00D14ED3">
        <w:rPr>
          <w:rFonts w:cs="Times New Roman"/>
          <w:szCs w:val="26"/>
        </w:rPr>
        <w:t>, the balances of these accounts would net annually to determine the total annual decoupling under</w:t>
      </w:r>
      <w:r w:rsidR="00270999">
        <w:rPr>
          <w:rFonts w:cs="Times New Roman"/>
          <w:szCs w:val="26"/>
        </w:rPr>
        <w:noBreakHyphen/>
      </w:r>
      <w:r w:rsidRPr="00235A7B" w:rsidR="00D14ED3">
        <w:rPr>
          <w:rFonts w:cs="Times New Roman"/>
          <w:szCs w:val="26"/>
        </w:rPr>
        <w:t xml:space="preserve"> or over</w:t>
      </w:r>
      <w:r w:rsidR="00270999">
        <w:rPr>
          <w:rFonts w:cs="Times New Roman"/>
          <w:szCs w:val="26"/>
        </w:rPr>
        <w:noBreakHyphen/>
      </w:r>
      <w:r w:rsidRPr="00235A7B" w:rsidR="00D14ED3">
        <w:rPr>
          <w:rFonts w:cs="Times New Roman"/>
          <w:szCs w:val="26"/>
        </w:rPr>
        <w:t>collected revenue balance.</w:t>
      </w:r>
      <w:r w:rsidRPr="00235A7B" w:rsidR="00D14ED3">
        <w:rPr>
          <w:rStyle w:val="FootnoteReference"/>
          <w:rFonts w:cs="Times New Roman"/>
          <w:szCs w:val="26"/>
        </w:rPr>
        <w:footnoteReference w:id="107"/>
      </w:r>
    </w:p>
    <w:p w:rsidRPr="00235A7B" w:rsidR="00D14ED3" w:rsidP="00F353EE" w:rsidRDefault="00D14ED3" w14:paraId="0584048D" w14:textId="039702E2">
      <w:pPr>
        <w:pStyle w:val="Standard"/>
      </w:pPr>
      <w:r w:rsidRPr="00235A7B">
        <w:rPr>
          <w:rFonts w:cs="Times New Roman"/>
          <w:szCs w:val="26"/>
        </w:rPr>
        <w:t>In contrast to the WRAM, which recovered over or under</w:t>
      </w:r>
      <w:r w:rsidR="00270999">
        <w:rPr>
          <w:rFonts w:cs="Times New Roman"/>
          <w:szCs w:val="26"/>
        </w:rPr>
        <w:noBreakHyphen/>
      </w:r>
      <w:r w:rsidRPr="00235A7B">
        <w:rPr>
          <w:rFonts w:cs="Times New Roman"/>
          <w:szCs w:val="26"/>
        </w:rPr>
        <w:t>collected balances via meter</w:t>
      </w:r>
      <w:r w:rsidR="00270999">
        <w:rPr>
          <w:rFonts w:cs="Times New Roman"/>
          <w:szCs w:val="26"/>
        </w:rPr>
        <w:noBreakHyphen/>
      </w:r>
      <w:r w:rsidRPr="00235A7B">
        <w:rPr>
          <w:rFonts w:cs="Times New Roman"/>
          <w:szCs w:val="26"/>
        </w:rPr>
        <w:t xml:space="preserve">based surcharges, </w:t>
      </w:r>
      <w:r w:rsidR="00EB50F8">
        <w:rPr>
          <w:rFonts w:cs="Times New Roman"/>
          <w:szCs w:val="26"/>
        </w:rPr>
        <w:t>Cal Water</w:t>
      </w:r>
      <w:r w:rsidRPr="00235A7B">
        <w:rPr>
          <w:rFonts w:cs="Times New Roman"/>
          <w:szCs w:val="26"/>
        </w:rPr>
        <w:t xml:space="preserve"> proposes to now amortize </w:t>
      </w:r>
      <w:r w:rsidRPr="00235A7B">
        <w:rPr>
          <w:rFonts w:cs="Times New Roman"/>
          <w:szCs w:val="26"/>
        </w:rPr>
        <w:lastRenderedPageBreak/>
        <w:t xml:space="preserve">decoupling balances in base rates via an annual </w:t>
      </w:r>
      <w:r w:rsidR="00EB50F8">
        <w:rPr>
          <w:rFonts w:cs="Times New Roman"/>
          <w:szCs w:val="26"/>
        </w:rPr>
        <w:t>Tier 1</w:t>
      </w:r>
      <w:r w:rsidRPr="00235A7B">
        <w:rPr>
          <w:rFonts w:cs="Times New Roman"/>
          <w:szCs w:val="26"/>
        </w:rPr>
        <w:t xml:space="preserve"> </w:t>
      </w:r>
      <w:r w:rsidR="00752B5D">
        <w:rPr>
          <w:rFonts w:cs="Times New Roman"/>
          <w:szCs w:val="26"/>
        </w:rPr>
        <w:t>advice letter</w:t>
      </w:r>
      <w:r w:rsidRPr="00235A7B">
        <w:rPr>
          <w:rFonts w:cs="Times New Roman"/>
          <w:szCs w:val="26"/>
        </w:rPr>
        <w:t xml:space="preserve"> </w:t>
      </w:r>
      <w:r w:rsidR="00183D4C">
        <w:rPr>
          <w:rFonts w:cs="Times New Roman"/>
          <w:szCs w:val="26"/>
        </w:rPr>
        <w:t>filing</w:t>
      </w:r>
      <w:r w:rsidRPr="00235A7B">
        <w:rPr>
          <w:rFonts w:cs="Times New Roman"/>
          <w:szCs w:val="26"/>
        </w:rPr>
        <w:t>.</w:t>
      </w:r>
      <w:r w:rsidRPr="00235A7B">
        <w:rPr>
          <w:rStyle w:val="FootnoteReference"/>
          <w:rFonts w:cs="Times New Roman"/>
          <w:sz w:val="22"/>
        </w:rPr>
        <w:footnoteReference w:id="108"/>
      </w:r>
      <w:r w:rsidRPr="00CE0158">
        <w:t xml:space="preserve"> </w:t>
      </w:r>
      <w:r w:rsidR="00EB50F8">
        <w:rPr>
          <w:rFonts w:cs="Times New Roman"/>
          <w:szCs w:val="26"/>
        </w:rPr>
        <w:t>Cal Water</w:t>
      </w:r>
      <w:r w:rsidRPr="00235A7B">
        <w:rPr>
          <w:rFonts w:cs="Times New Roman"/>
          <w:szCs w:val="26"/>
        </w:rPr>
        <w:t xml:space="preserve"> argues that amortization preserves the conservation price signals and affordability of the LUWEP compared to a meter</w:t>
      </w:r>
      <w:r w:rsidR="00270999">
        <w:rPr>
          <w:rFonts w:cs="Times New Roman"/>
          <w:szCs w:val="26"/>
        </w:rPr>
        <w:noBreakHyphen/>
      </w:r>
      <w:r w:rsidRPr="00235A7B">
        <w:rPr>
          <w:rFonts w:cs="Times New Roman"/>
          <w:szCs w:val="26"/>
        </w:rPr>
        <w:t>based surcharge, because it collects a larger share of any balances from higher</w:t>
      </w:r>
      <w:r w:rsidR="00270999">
        <w:rPr>
          <w:rFonts w:cs="Times New Roman"/>
          <w:szCs w:val="26"/>
        </w:rPr>
        <w:noBreakHyphen/>
      </w:r>
      <w:r w:rsidRPr="00235A7B">
        <w:rPr>
          <w:rFonts w:cs="Times New Roman"/>
          <w:szCs w:val="26"/>
        </w:rPr>
        <w:t>use customers and avoids confusion about meter charges.</w:t>
      </w:r>
      <w:r w:rsidRPr="00235A7B">
        <w:rPr>
          <w:rStyle w:val="FootnoteReference"/>
          <w:rFonts w:cs="Times New Roman"/>
          <w:szCs w:val="26"/>
        </w:rPr>
        <w:footnoteReference w:id="109"/>
      </w:r>
    </w:p>
    <w:p w:rsidR="00CE0158" w:rsidP="00F353EE" w:rsidRDefault="00EB50F8" w14:paraId="3FECCEDF" w14:textId="2DF4FD17">
      <w:pPr>
        <w:pStyle w:val="Standard"/>
        <w:rPr>
          <w:rFonts w:cs="Times New Roman"/>
          <w:szCs w:val="26"/>
        </w:rPr>
      </w:pPr>
      <w:r>
        <w:rPr>
          <w:rFonts w:cs="Times New Roman"/>
          <w:szCs w:val="26"/>
        </w:rPr>
        <w:t>Cal Water</w:t>
      </w:r>
      <w:r w:rsidRPr="00235A7B" w:rsidR="00D14ED3">
        <w:rPr>
          <w:rFonts w:cs="Times New Roman"/>
          <w:szCs w:val="26"/>
        </w:rPr>
        <w:t xml:space="preserve"> requests permanent reinstatement of its SRM.</w:t>
      </w:r>
      <w:r w:rsidRPr="00235A7B" w:rsidR="00D14ED3">
        <w:rPr>
          <w:rFonts w:cs="Times New Roman"/>
          <w:szCs w:val="26"/>
          <w:vertAlign w:val="superscript"/>
        </w:rPr>
        <w:footnoteReference w:id="110"/>
      </w:r>
      <w:r w:rsidR="00CE0158">
        <w:rPr>
          <w:rFonts w:cs="Times New Roman"/>
          <w:szCs w:val="26"/>
        </w:rPr>
        <w:t xml:space="preserve"> </w:t>
      </w:r>
      <w:r>
        <w:rPr>
          <w:rFonts w:cs="Times New Roman"/>
          <w:szCs w:val="26"/>
        </w:rPr>
        <w:t>Cal Water</w:t>
      </w:r>
      <w:r w:rsidRPr="00235A7B" w:rsidR="00D14ED3">
        <w:rPr>
          <w:rFonts w:cs="Times New Roman"/>
          <w:szCs w:val="26"/>
        </w:rPr>
        <w:t xml:space="preserve"> states that the SRM adjusts future sales forecasts by 50</w:t>
      </w:r>
      <w:r w:rsidR="0032703D">
        <w:rPr>
          <w:rFonts w:cs="Times New Roman"/>
          <w:szCs w:val="26"/>
        </w:rPr>
        <w:t> percent</w:t>
      </w:r>
      <w:r w:rsidRPr="00235A7B" w:rsidR="00D14ED3">
        <w:rPr>
          <w:rFonts w:cs="Times New Roman"/>
          <w:szCs w:val="26"/>
        </w:rPr>
        <w:t xml:space="preserve"> of the recorded variance if actual sales deviate from forecasts by more than </w:t>
      </w:r>
      <w:r w:rsidR="0032703D">
        <w:rPr>
          <w:rFonts w:cs="Times New Roman"/>
          <w:szCs w:val="26"/>
        </w:rPr>
        <w:t>five</w:t>
      </w:r>
      <w:r w:rsidRPr="00235A7B" w:rsidR="00D14ED3">
        <w:rPr>
          <w:rFonts w:cs="Times New Roman"/>
          <w:szCs w:val="26"/>
        </w:rPr>
        <w:t xml:space="preserve"> percent.</w:t>
      </w:r>
      <w:r w:rsidR="00CE0158">
        <w:rPr>
          <w:rFonts w:cs="Times New Roman"/>
          <w:szCs w:val="26"/>
        </w:rPr>
        <w:t xml:space="preserve"> </w:t>
      </w:r>
      <w:r>
        <w:rPr>
          <w:rFonts w:cs="Times New Roman"/>
          <w:szCs w:val="26"/>
        </w:rPr>
        <w:t>Cal Water</w:t>
      </w:r>
      <w:r w:rsidRPr="00235A7B" w:rsidR="00D14ED3">
        <w:rPr>
          <w:rFonts w:cs="Times New Roman"/>
          <w:szCs w:val="26"/>
        </w:rPr>
        <w:t xml:space="preserve"> also states that SRM will adjust rates in </w:t>
      </w:r>
      <w:r w:rsidR="00EF1E5C">
        <w:rPr>
          <w:rFonts w:cs="Times New Roman"/>
          <w:szCs w:val="26"/>
        </w:rPr>
        <w:t>EY</w:t>
      </w:r>
      <w:r w:rsidRPr="00235A7B" w:rsidR="00D14ED3">
        <w:rPr>
          <w:rFonts w:cs="Times New Roman"/>
          <w:szCs w:val="26"/>
        </w:rPr>
        <w:t>s to mitigate large accruals of decoupling balances.</w:t>
      </w:r>
      <w:r w:rsidRPr="00235A7B" w:rsidR="00D14ED3">
        <w:rPr>
          <w:rStyle w:val="FootnoteReference"/>
          <w:rFonts w:cs="Times New Roman"/>
          <w:szCs w:val="26"/>
        </w:rPr>
        <w:footnoteReference w:id="111"/>
      </w:r>
      <w:r w:rsidRPr="00235A7B" w:rsidR="00D14ED3">
        <w:rPr>
          <w:rFonts w:cs="Times New Roman"/>
          <w:szCs w:val="26"/>
        </w:rPr>
        <w:t xml:space="preserve"> It further states that, historically, 79</w:t>
      </w:r>
      <w:r w:rsidR="0032703D">
        <w:rPr>
          <w:rFonts w:cs="Times New Roman"/>
          <w:szCs w:val="26"/>
        </w:rPr>
        <w:t> percent</w:t>
      </w:r>
      <w:r w:rsidRPr="00235A7B" w:rsidR="00D14ED3">
        <w:rPr>
          <w:rFonts w:cs="Times New Roman"/>
          <w:szCs w:val="26"/>
        </w:rPr>
        <w:t xml:space="preserve"> of SRM adjustments were triggered by sales falling below projections, which leads to under</w:t>
      </w:r>
      <w:r w:rsidR="00270999">
        <w:rPr>
          <w:rFonts w:cs="Times New Roman"/>
          <w:szCs w:val="26"/>
        </w:rPr>
        <w:noBreakHyphen/>
      </w:r>
      <w:r w:rsidRPr="00235A7B" w:rsidR="00D14ED3">
        <w:rPr>
          <w:rFonts w:cs="Times New Roman"/>
          <w:szCs w:val="26"/>
        </w:rPr>
        <w:t>collections to be amortized in the next rate period.</w:t>
      </w:r>
      <w:r w:rsidRPr="00235A7B" w:rsidR="00D14ED3">
        <w:rPr>
          <w:rStyle w:val="FootnoteReference"/>
          <w:rFonts w:cs="Times New Roman"/>
          <w:szCs w:val="26"/>
        </w:rPr>
        <w:footnoteReference w:id="112"/>
      </w:r>
    </w:p>
    <w:p w:rsidRPr="00235A7B" w:rsidR="00D14ED3" w:rsidP="00F353EE" w:rsidRDefault="00EB50F8" w14:paraId="45C692B4" w14:textId="51D3F5C5">
      <w:pPr>
        <w:pStyle w:val="Standard"/>
      </w:pPr>
      <w:r>
        <w:rPr>
          <w:rFonts w:cs="Times New Roman"/>
          <w:szCs w:val="26"/>
        </w:rPr>
        <w:t>Cal Water</w:t>
      </w:r>
      <w:r w:rsidRPr="00235A7B" w:rsidR="00D14ED3">
        <w:rPr>
          <w:rFonts w:cs="Times New Roman"/>
          <w:szCs w:val="26"/>
        </w:rPr>
        <w:t xml:space="preserve"> proposes two modifications to the current SRM</w:t>
      </w:r>
      <w:r w:rsidR="000C0896">
        <w:rPr>
          <w:rFonts w:cs="Times New Roman"/>
          <w:szCs w:val="26"/>
        </w:rPr>
        <w:t xml:space="preserve">:  </w:t>
      </w:r>
      <w:r w:rsidR="006237E8">
        <w:rPr>
          <w:rFonts w:cs="Times New Roman"/>
          <w:szCs w:val="26"/>
        </w:rPr>
        <w:t>(1) </w:t>
      </w:r>
      <w:r w:rsidRPr="00235A7B" w:rsidR="00D14ED3">
        <w:rPr>
          <w:rFonts w:cs="Times New Roman"/>
          <w:szCs w:val="26"/>
        </w:rPr>
        <w:t>Sales Forecast</w:t>
      </w:r>
      <w:r w:rsidR="000C0896">
        <w:rPr>
          <w:rFonts w:cs="Times New Roman"/>
          <w:szCs w:val="26"/>
        </w:rPr>
        <w:t>:</w:t>
      </w:r>
      <w:r w:rsidR="002F430A">
        <w:rPr>
          <w:rFonts w:cs="Times New Roman"/>
          <w:szCs w:val="26"/>
        </w:rPr>
        <w:t xml:space="preserve"> </w:t>
      </w:r>
      <w:r w:rsidRPr="00235A7B" w:rsidR="00D14ED3">
        <w:rPr>
          <w:rFonts w:cs="Times New Roman"/>
          <w:szCs w:val="26"/>
        </w:rPr>
        <w:t xml:space="preserve">if sales are forecast to change by a greater variance than the SRM adjustment, </w:t>
      </w:r>
      <w:r>
        <w:rPr>
          <w:rFonts w:cs="Times New Roman"/>
          <w:szCs w:val="26"/>
        </w:rPr>
        <w:t>Cal Water</w:t>
      </w:r>
      <w:r w:rsidRPr="00235A7B" w:rsidR="00D14ED3">
        <w:rPr>
          <w:rFonts w:cs="Times New Roman"/>
          <w:szCs w:val="26"/>
        </w:rPr>
        <w:t xml:space="preserve"> proposes to maintain the higher of the two variance values;</w:t>
      </w:r>
      <w:r w:rsidRPr="00235A7B" w:rsidR="00D14ED3">
        <w:rPr>
          <w:rStyle w:val="FootnoteReference"/>
          <w:rFonts w:cs="Times New Roman"/>
          <w:szCs w:val="26"/>
        </w:rPr>
        <w:footnoteReference w:id="113"/>
      </w:r>
      <w:r w:rsidR="00CE0158">
        <w:rPr>
          <w:rFonts w:cs="Times New Roman"/>
          <w:szCs w:val="26"/>
        </w:rPr>
        <w:t xml:space="preserve"> </w:t>
      </w:r>
      <w:r w:rsidR="006237E8">
        <w:rPr>
          <w:rFonts w:cs="Times New Roman"/>
          <w:szCs w:val="26"/>
        </w:rPr>
        <w:t>(2) </w:t>
      </w:r>
      <w:r w:rsidRPr="00235A7B" w:rsidR="00D14ED3">
        <w:rPr>
          <w:rFonts w:cs="Times New Roman"/>
          <w:szCs w:val="26"/>
        </w:rPr>
        <w:t>One</w:t>
      </w:r>
      <w:r w:rsidR="00270999">
        <w:rPr>
          <w:rFonts w:cs="Times New Roman"/>
          <w:szCs w:val="26"/>
        </w:rPr>
        <w:noBreakHyphen/>
      </w:r>
      <w:r w:rsidRPr="00235A7B" w:rsidR="00D14ED3">
        <w:rPr>
          <w:rFonts w:cs="Times New Roman"/>
          <w:szCs w:val="26"/>
        </w:rPr>
        <w:t>way SRM mechanism</w:t>
      </w:r>
      <w:r w:rsidR="000C0896">
        <w:rPr>
          <w:rFonts w:cs="Times New Roman"/>
          <w:szCs w:val="26"/>
        </w:rPr>
        <w:t xml:space="preserve">:  </w:t>
      </w:r>
      <w:r w:rsidRPr="00235A7B" w:rsidR="00D14ED3">
        <w:rPr>
          <w:rFonts w:cs="Times New Roman"/>
          <w:szCs w:val="26"/>
        </w:rPr>
        <w:t xml:space="preserve">the SRM will only trigger when sales fall below forecasted levels, because </w:t>
      </w:r>
      <w:r>
        <w:rPr>
          <w:rFonts w:cs="Times New Roman"/>
          <w:szCs w:val="26"/>
        </w:rPr>
        <w:t>Cal Water</w:t>
      </w:r>
      <w:r w:rsidRPr="00235A7B" w:rsidR="00D14ED3">
        <w:rPr>
          <w:rFonts w:cs="Times New Roman"/>
          <w:szCs w:val="26"/>
        </w:rPr>
        <w:t xml:space="preserve"> argues that a short</w:t>
      </w:r>
      <w:r w:rsidR="00270999">
        <w:rPr>
          <w:rFonts w:cs="Times New Roman"/>
          <w:szCs w:val="26"/>
        </w:rPr>
        <w:noBreakHyphen/>
      </w:r>
      <w:r w:rsidRPr="00235A7B" w:rsidR="00D14ED3">
        <w:rPr>
          <w:rFonts w:cs="Times New Roman"/>
          <w:szCs w:val="26"/>
        </w:rPr>
        <w:t>term overshoot of the forecast is not indicative of future trends.</w:t>
      </w:r>
      <w:r w:rsidRPr="00235A7B" w:rsidR="00D14ED3">
        <w:rPr>
          <w:rStyle w:val="FootnoteReference"/>
          <w:rFonts w:cs="Times New Roman"/>
          <w:szCs w:val="26"/>
        </w:rPr>
        <w:footnoteReference w:id="114"/>
      </w:r>
      <w:r w:rsidR="00CE0158">
        <w:rPr>
          <w:rFonts w:cs="Times New Roman"/>
          <w:szCs w:val="26"/>
        </w:rPr>
        <w:t xml:space="preserve"> </w:t>
      </w:r>
      <w:r>
        <w:rPr>
          <w:rFonts w:cs="Times New Roman"/>
          <w:szCs w:val="26"/>
        </w:rPr>
        <w:t>Cal Water</w:t>
      </w:r>
      <w:r w:rsidRPr="00235A7B" w:rsidR="00D14ED3">
        <w:rPr>
          <w:rFonts w:cs="Times New Roman"/>
          <w:szCs w:val="26"/>
        </w:rPr>
        <w:t xml:space="preserve"> requests that the Commission authorize the SRM, even if it denies the LUWEP </w:t>
      </w:r>
      <w:r w:rsidRPr="00235A7B" w:rsidR="00D14ED3">
        <w:rPr>
          <w:rFonts w:cs="Times New Roman"/>
          <w:szCs w:val="26"/>
        </w:rPr>
        <w:lastRenderedPageBreak/>
        <w:t>decoupling.</w:t>
      </w:r>
      <w:r w:rsidRPr="00235A7B" w:rsidR="00D14ED3">
        <w:rPr>
          <w:rStyle w:val="FootnoteReference"/>
          <w:rFonts w:cs="Times New Roman"/>
          <w:szCs w:val="26"/>
        </w:rPr>
        <w:footnoteReference w:id="115"/>
      </w:r>
      <w:r w:rsidR="00CE0158">
        <w:rPr>
          <w:rFonts w:cs="Times New Roman"/>
          <w:szCs w:val="26"/>
        </w:rPr>
        <w:t xml:space="preserve"> </w:t>
      </w:r>
      <w:r w:rsidRPr="00235A7B" w:rsidR="00D14ED3">
        <w:rPr>
          <w:rFonts w:cs="Times New Roman"/>
          <w:szCs w:val="26"/>
        </w:rPr>
        <w:t>It argues that while the SRM was designed to accompany a decoupling mechanism, it can also stabilize revenue recovery and smooth rate adjustments under the M</w:t>
      </w:r>
      <w:r w:rsidR="00270999">
        <w:rPr>
          <w:rFonts w:cs="Times New Roman"/>
          <w:szCs w:val="26"/>
        </w:rPr>
        <w:noBreakHyphen/>
      </w:r>
      <w:r w:rsidRPr="00235A7B" w:rsidR="00D14ED3">
        <w:rPr>
          <w:rFonts w:cs="Times New Roman"/>
          <w:szCs w:val="26"/>
        </w:rPr>
        <w:t>WRAM by ensuring that rates are based on updated sale</w:t>
      </w:r>
      <w:r w:rsidR="00DF2208">
        <w:rPr>
          <w:rFonts w:cs="Times New Roman"/>
          <w:szCs w:val="26"/>
        </w:rPr>
        <w:t>s</w:t>
      </w:r>
      <w:r w:rsidRPr="00235A7B" w:rsidR="00D14ED3">
        <w:rPr>
          <w:rFonts w:cs="Times New Roman"/>
          <w:szCs w:val="26"/>
        </w:rPr>
        <w:t xml:space="preserve"> forecasts.</w:t>
      </w:r>
      <w:r w:rsidRPr="00235A7B" w:rsidR="00D14ED3">
        <w:rPr>
          <w:rStyle w:val="FootnoteReference"/>
          <w:rFonts w:cs="Times New Roman"/>
          <w:szCs w:val="26"/>
        </w:rPr>
        <w:footnoteReference w:id="116"/>
      </w:r>
    </w:p>
    <w:p w:rsidR="00CE0158" w:rsidP="00F353EE" w:rsidRDefault="00D14ED3" w14:paraId="0E65E266" w14:textId="199EF38D">
      <w:pPr>
        <w:pStyle w:val="Standard"/>
        <w:rPr>
          <w:rFonts w:cs="Times New Roman"/>
          <w:szCs w:val="26"/>
        </w:rPr>
      </w:pPr>
      <w:r w:rsidRPr="00235A7B">
        <w:rPr>
          <w:rFonts w:cs="Times New Roman"/>
          <w:szCs w:val="26"/>
        </w:rPr>
        <w:t xml:space="preserve">Beyond the LUWEP, </w:t>
      </w:r>
      <w:r w:rsidR="00EB50F8">
        <w:rPr>
          <w:rFonts w:cs="Times New Roman"/>
          <w:szCs w:val="26"/>
        </w:rPr>
        <w:t>Cal Water</w:t>
      </w:r>
      <w:r w:rsidRPr="00235A7B">
        <w:rPr>
          <w:rFonts w:cs="Times New Roman"/>
          <w:szCs w:val="26"/>
        </w:rPr>
        <w:t xml:space="preserve"> makes a broader argument that decoupling is needed to mitigate the financial risk that </w:t>
      </w:r>
      <w:r w:rsidR="00EB50F8">
        <w:rPr>
          <w:rFonts w:cs="Times New Roman"/>
          <w:szCs w:val="26"/>
        </w:rPr>
        <w:t>Cal Water</w:t>
      </w:r>
      <w:r w:rsidRPr="00235A7B">
        <w:rPr>
          <w:rFonts w:cs="Times New Roman"/>
          <w:szCs w:val="26"/>
        </w:rPr>
        <w:t xml:space="preserve"> and other water utilities face from long</w:t>
      </w:r>
      <w:r w:rsidR="00270999">
        <w:rPr>
          <w:rFonts w:cs="Times New Roman"/>
          <w:szCs w:val="26"/>
        </w:rPr>
        <w:noBreakHyphen/>
      </w:r>
      <w:r w:rsidRPr="00235A7B">
        <w:rPr>
          <w:rFonts w:cs="Times New Roman"/>
          <w:szCs w:val="26"/>
        </w:rPr>
        <w:t>term declines in sales combined with rising system costs.</w:t>
      </w:r>
      <w:r w:rsidRPr="00235A7B">
        <w:rPr>
          <w:rStyle w:val="FootnoteReference"/>
          <w:rFonts w:cs="Times New Roman"/>
          <w:szCs w:val="26"/>
        </w:rPr>
        <w:footnoteReference w:id="117"/>
      </w:r>
      <w:r w:rsidR="00CE0158">
        <w:rPr>
          <w:rFonts w:cs="Times New Roman"/>
          <w:szCs w:val="26"/>
        </w:rPr>
        <w:t xml:space="preserve"> </w:t>
      </w:r>
      <w:r w:rsidR="00EB50F8">
        <w:rPr>
          <w:rFonts w:cs="Times New Roman"/>
          <w:szCs w:val="26"/>
        </w:rPr>
        <w:t>Cal Water</w:t>
      </w:r>
      <w:r w:rsidRPr="00235A7B">
        <w:rPr>
          <w:rFonts w:cs="Times New Roman"/>
          <w:szCs w:val="26"/>
        </w:rPr>
        <w:t xml:space="preserve"> argues that there is a disconnect between its rate structure and its cost structure.</w:t>
      </w:r>
      <w:r w:rsidRPr="00235A7B">
        <w:rPr>
          <w:rStyle w:val="FootnoteReference"/>
          <w:rFonts w:cs="Times New Roman"/>
          <w:szCs w:val="26"/>
        </w:rPr>
        <w:footnoteReference w:id="118"/>
      </w:r>
      <w:r w:rsidR="00CE0158">
        <w:rPr>
          <w:rFonts w:cs="Times New Roman"/>
          <w:szCs w:val="26"/>
        </w:rPr>
        <w:t xml:space="preserve"> </w:t>
      </w:r>
      <w:r w:rsidR="00EB50F8">
        <w:rPr>
          <w:rFonts w:cs="Times New Roman"/>
          <w:szCs w:val="26"/>
        </w:rPr>
        <w:t>Cal Water</w:t>
      </w:r>
      <w:r w:rsidRPr="00235A7B">
        <w:rPr>
          <w:rFonts w:cs="Times New Roman"/>
          <w:szCs w:val="26"/>
        </w:rPr>
        <w:t xml:space="preserve"> explains that the imbalance stems from the design of rates to support policy goals of affordability and conservation, such as fixed costs recovered through monthly charges and revenue shifted to higher tiers. </w:t>
      </w:r>
      <w:r w:rsidR="00EB50F8">
        <w:rPr>
          <w:rFonts w:cs="Times New Roman"/>
          <w:szCs w:val="26"/>
        </w:rPr>
        <w:t>Cal Water</w:t>
      </w:r>
      <w:r w:rsidRPr="00235A7B">
        <w:rPr>
          <w:rFonts w:cs="Times New Roman"/>
          <w:szCs w:val="26"/>
        </w:rPr>
        <w:t xml:space="preserve"> further states that, while helpful for policy purposes, these features increase revenue volatility for the utility. </w:t>
      </w:r>
      <w:r w:rsidR="00EB50F8">
        <w:rPr>
          <w:rFonts w:cs="Times New Roman"/>
          <w:szCs w:val="26"/>
        </w:rPr>
        <w:t>Cal Water</w:t>
      </w:r>
      <w:r w:rsidRPr="00235A7B">
        <w:rPr>
          <w:rFonts w:cs="Times New Roman"/>
          <w:szCs w:val="26"/>
        </w:rPr>
        <w:t xml:space="preserve"> estimates that approximately half of its fixed costs, which do not vary with sales, may not be recoverable if sales fall below forecasts.</w:t>
      </w:r>
      <w:r w:rsidRPr="00235A7B">
        <w:rPr>
          <w:rStyle w:val="FootnoteReference"/>
          <w:rFonts w:cs="Times New Roman"/>
          <w:szCs w:val="26"/>
        </w:rPr>
        <w:footnoteReference w:id="119"/>
      </w:r>
      <w:r w:rsidRPr="00235A7B">
        <w:rPr>
          <w:rFonts w:cs="Times New Roman"/>
          <w:szCs w:val="26"/>
        </w:rPr>
        <w:t xml:space="preserve"> It argues that under M</w:t>
      </w:r>
      <w:r w:rsidR="00270999">
        <w:rPr>
          <w:rFonts w:cs="Times New Roman"/>
          <w:szCs w:val="26"/>
        </w:rPr>
        <w:noBreakHyphen/>
      </w:r>
      <w:r w:rsidRPr="00235A7B">
        <w:rPr>
          <w:rFonts w:cs="Times New Roman"/>
          <w:szCs w:val="26"/>
        </w:rPr>
        <w:t>WRAM, only tiered rates are adjusted, not the unrecovered fixed costs due to lower rates.</w:t>
      </w:r>
      <w:r w:rsidRPr="00235A7B">
        <w:rPr>
          <w:rStyle w:val="FootnoteReference"/>
          <w:rFonts w:cs="Times New Roman"/>
          <w:szCs w:val="26"/>
        </w:rPr>
        <w:footnoteReference w:id="120"/>
      </w:r>
    </w:p>
    <w:p w:rsidR="00D14ED3" w:rsidP="00D14ED3" w:rsidRDefault="00EB50F8" w14:paraId="2A612F4D" w14:textId="56F68256">
      <w:pPr>
        <w:pStyle w:val="Heading4"/>
      </w:pPr>
      <w:bookmarkStart w:name="_Toc222305264" w:id="88"/>
      <w:bookmarkStart w:name="_Toc228294691" w:id="89"/>
      <w:r>
        <w:t>Cal Advocates</w:t>
      </w:r>
      <w:r w:rsidR="000C0896">
        <w:t>’</w:t>
      </w:r>
      <w:r w:rsidR="00A76750">
        <w:t xml:space="preserve"> </w:t>
      </w:r>
      <w:r w:rsidRPr="00235A7B" w:rsidR="00D14ED3">
        <w:t>Proposal</w:t>
      </w:r>
      <w:bookmarkEnd w:id="88"/>
      <w:bookmarkEnd w:id="89"/>
    </w:p>
    <w:p w:rsidR="00CE0158" w:rsidP="00F353EE" w:rsidRDefault="00EB50F8" w14:paraId="40C2A31C" w14:textId="401D8957">
      <w:pPr>
        <w:pStyle w:val="Standard"/>
        <w:rPr>
          <w:rFonts w:cs="Times New Roman"/>
          <w:szCs w:val="26"/>
        </w:rPr>
      </w:pPr>
      <w:r>
        <w:rPr>
          <w:rFonts w:cs="Times New Roman"/>
          <w:szCs w:val="26"/>
        </w:rPr>
        <w:t>Cal Advocates</w:t>
      </w:r>
      <w:r w:rsidRPr="00235A7B" w:rsidR="00D14ED3">
        <w:rPr>
          <w:rFonts w:cs="Times New Roman"/>
          <w:szCs w:val="26"/>
        </w:rPr>
        <w:t xml:space="preserve"> asks the Commission to reject </w:t>
      </w:r>
      <w:r>
        <w:rPr>
          <w:rFonts w:cs="Times New Roman"/>
          <w:szCs w:val="26"/>
        </w:rPr>
        <w:t>Cal Water</w:t>
      </w:r>
      <w:r w:rsidR="000C0896">
        <w:rPr>
          <w:rFonts w:cs="Times New Roman"/>
          <w:szCs w:val="26"/>
        </w:rPr>
        <w:t>’</w:t>
      </w:r>
      <w:r w:rsidRPr="00235A7B" w:rsidR="00D14ED3">
        <w:rPr>
          <w:rFonts w:cs="Times New Roman"/>
          <w:szCs w:val="26"/>
        </w:rPr>
        <w:t>s proposal and recommends instead the following rate design changes:</w:t>
      </w:r>
    </w:p>
    <w:p w:rsidR="00CE0158" w:rsidP="008C67B5" w:rsidRDefault="00D14ED3" w14:paraId="226E81E6" w14:textId="77777777">
      <w:pPr>
        <w:pStyle w:val="BlockQuoteH033"/>
        <w:rPr>
          <w:rFonts w:cs="Times New Roman"/>
          <w:szCs w:val="26"/>
        </w:rPr>
      </w:pPr>
      <w:r w:rsidRPr="00235A7B">
        <w:rPr>
          <w:rFonts w:cs="Times New Roman"/>
          <w:szCs w:val="26"/>
        </w:rPr>
        <w:lastRenderedPageBreak/>
        <w:t>(a)</w:t>
      </w:r>
      <w:r w:rsidR="008C67B5">
        <w:rPr>
          <w:rFonts w:cs="Times New Roman"/>
          <w:szCs w:val="26"/>
        </w:rPr>
        <w:tab/>
      </w:r>
      <w:r w:rsidRPr="00235A7B">
        <w:rPr>
          <w:rFonts w:cs="Times New Roman"/>
          <w:szCs w:val="26"/>
        </w:rPr>
        <w:t xml:space="preserve">Renaming tiers in residential rate design to match the tier allocation, intended use, and </w:t>
      </w:r>
      <w:r w:rsidRPr="008C67B5">
        <w:t>signaling</w:t>
      </w:r>
      <w:r w:rsidRPr="00235A7B">
        <w:rPr>
          <w:rFonts w:cs="Times New Roman"/>
          <w:szCs w:val="26"/>
        </w:rPr>
        <w:t xml:space="preserve"> conservation goals;</w:t>
      </w:r>
      <w:r w:rsidRPr="00235A7B">
        <w:rPr>
          <w:rStyle w:val="FootnoteReference"/>
          <w:rFonts w:cs="Times New Roman"/>
          <w:szCs w:val="26"/>
        </w:rPr>
        <w:footnoteReference w:id="121"/>
      </w:r>
    </w:p>
    <w:p w:rsidRPr="00235A7B" w:rsidR="00D14ED3" w:rsidP="008C67B5" w:rsidRDefault="00D14ED3" w14:paraId="3692DAAA" w14:textId="5A30B098">
      <w:pPr>
        <w:pStyle w:val="BlockQuoteH033"/>
        <w:rPr>
          <w:rFonts w:cs="Times New Roman"/>
          <w:szCs w:val="26"/>
        </w:rPr>
      </w:pPr>
      <w:r w:rsidRPr="00235A7B">
        <w:rPr>
          <w:rFonts w:cs="Times New Roman"/>
          <w:szCs w:val="26"/>
        </w:rPr>
        <w:t>(b)</w:t>
      </w:r>
      <w:r w:rsidR="008C67B5">
        <w:rPr>
          <w:rFonts w:cs="Times New Roman"/>
          <w:szCs w:val="26"/>
        </w:rPr>
        <w:tab/>
      </w:r>
      <w:r w:rsidRPr="00235A7B">
        <w:rPr>
          <w:rFonts w:cs="Times New Roman"/>
          <w:szCs w:val="26"/>
        </w:rPr>
        <w:t>Deny continu</w:t>
      </w:r>
      <w:r w:rsidR="004503B9">
        <w:rPr>
          <w:rFonts w:cs="Times New Roman"/>
          <w:szCs w:val="26"/>
        </w:rPr>
        <w:t>ation</w:t>
      </w:r>
      <w:r w:rsidRPr="00235A7B">
        <w:rPr>
          <w:rFonts w:cs="Times New Roman"/>
          <w:szCs w:val="26"/>
        </w:rPr>
        <w:t xml:space="preserve"> of using 6</w:t>
      </w:r>
      <w:r w:rsidR="005350B3">
        <w:rPr>
          <w:rFonts w:cs="Times New Roman"/>
          <w:szCs w:val="26"/>
        </w:rPr>
        <w:t> </w:t>
      </w:r>
      <w:r w:rsidRPr="00235A7B">
        <w:rPr>
          <w:rFonts w:cs="Times New Roman"/>
          <w:szCs w:val="26"/>
        </w:rPr>
        <w:t>CCF</w:t>
      </w:r>
      <w:r w:rsidR="005350B3">
        <w:rPr>
          <w:rStyle w:val="FootnoteReference"/>
          <w:rFonts w:cs="Times New Roman"/>
          <w:szCs w:val="26"/>
        </w:rPr>
        <w:footnoteReference w:id="122"/>
      </w:r>
      <w:r w:rsidRPr="00235A7B">
        <w:rPr>
          <w:rFonts w:cs="Times New Roman"/>
          <w:szCs w:val="26"/>
        </w:rPr>
        <w:t xml:space="preserve"> as a standardized </w:t>
      </w:r>
      <w:r w:rsidR="00EB50F8">
        <w:rPr>
          <w:rFonts w:cs="Times New Roman"/>
          <w:szCs w:val="26"/>
        </w:rPr>
        <w:t>Tier 1</w:t>
      </w:r>
      <w:r w:rsidRPr="00235A7B">
        <w:rPr>
          <w:rFonts w:cs="Times New Roman"/>
          <w:szCs w:val="26"/>
        </w:rPr>
        <w:t xml:space="preserve"> breakpoint and instead set Monthly Indoor Water Use Allocation per district, ranging between 5</w:t>
      </w:r>
      <w:r w:rsidR="00270999">
        <w:rPr>
          <w:rFonts w:cs="Times New Roman"/>
          <w:szCs w:val="26"/>
        </w:rPr>
        <w:noBreakHyphen/>
      </w:r>
      <w:r w:rsidRPr="00235A7B">
        <w:rPr>
          <w:rFonts w:cs="Times New Roman"/>
          <w:szCs w:val="26"/>
        </w:rPr>
        <w:t>11</w:t>
      </w:r>
      <w:r w:rsidR="005350B3">
        <w:rPr>
          <w:rFonts w:cs="Times New Roman"/>
          <w:szCs w:val="26"/>
        </w:rPr>
        <w:t> CCF</w:t>
      </w:r>
      <w:r w:rsidRPr="00235A7B">
        <w:rPr>
          <w:rFonts w:cs="Times New Roman"/>
          <w:szCs w:val="26"/>
        </w:rPr>
        <w:t xml:space="preserve">, because a </w:t>
      </w:r>
      <w:r w:rsidR="00EB50F8">
        <w:rPr>
          <w:rFonts w:cs="Times New Roman"/>
          <w:szCs w:val="26"/>
        </w:rPr>
        <w:t>Tier 1</w:t>
      </w:r>
      <w:r w:rsidRPr="00235A7B">
        <w:rPr>
          <w:rFonts w:cs="Times New Roman"/>
          <w:szCs w:val="26"/>
        </w:rPr>
        <w:t xml:space="preserve"> breakpoint of 6</w:t>
      </w:r>
      <w:r w:rsidR="005350B3">
        <w:rPr>
          <w:rFonts w:cs="Times New Roman"/>
          <w:szCs w:val="26"/>
        </w:rPr>
        <w:t> CCF</w:t>
      </w:r>
      <w:r w:rsidRPr="00235A7B">
        <w:rPr>
          <w:rFonts w:cs="Times New Roman"/>
          <w:szCs w:val="26"/>
        </w:rPr>
        <w:t xml:space="preserve"> across all ratemaking areas is inequitable to districts with residential households that have a higher average number of people per household;</w:t>
      </w:r>
      <w:r w:rsidRPr="00235A7B">
        <w:rPr>
          <w:rStyle w:val="FootnoteReference"/>
          <w:rFonts w:cs="Times New Roman"/>
          <w:szCs w:val="26"/>
        </w:rPr>
        <w:footnoteReference w:id="123"/>
      </w:r>
      <w:r w:rsidRPr="00235A7B">
        <w:rPr>
          <w:rFonts w:cs="Times New Roman"/>
          <w:szCs w:val="26"/>
        </w:rPr>
        <w:t xml:space="preserve"> </w:t>
      </w:r>
      <w:r w:rsidR="00E81FDF">
        <w:rPr>
          <w:rFonts w:cs="Times New Roman"/>
          <w:szCs w:val="26"/>
        </w:rPr>
        <w:t>and</w:t>
      </w:r>
    </w:p>
    <w:p w:rsidR="00CE0158" w:rsidP="008C67B5" w:rsidRDefault="00D14ED3" w14:paraId="5B788B36" w14:textId="5253958F">
      <w:pPr>
        <w:pStyle w:val="BlockQuoteH033"/>
        <w:rPr>
          <w:rFonts w:cs="Times New Roman"/>
          <w:szCs w:val="26"/>
        </w:rPr>
      </w:pPr>
      <w:r w:rsidRPr="00235A7B">
        <w:rPr>
          <w:rFonts w:cs="Times New Roman"/>
          <w:szCs w:val="26"/>
        </w:rPr>
        <w:t>(c)</w:t>
      </w:r>
      <w:r w:rsidR="008C67B5">
        <w:rPr>
          <w:rFonts w:cs="Times New Roman"/>
          <w:szCs w:val="26"/>
        </w:rPr>
        <w:tab/>
      </w:r>
      <w:r w:rsidRPr="00235A7B">
        <w:rPr>
          <w:rFonts w:cs="Times New Roman"/>
          <w:szCs w:val="26"/>
        </w:rPr>
        <w:t>Allocate a standardized water usage of 6</w:t>
      </w:r>
      <w:r w:rsidR="005350B3">
        <w:rPr>
          <w:rFonts w:cs="Times New Roman"/>
          <w:szCs w:val="26"/>
        </w:rPr>
        <w:t> CCF</w:t>
      </w:r>
      <w:r w:rsidRPr="00235A7B">
        <w:rPr>
          <w:rFonts w:cs="Times New Roman"/>
          <w:szCs w:val="26"/>
        </w:rPr>
        <w:t xml:space="preserve"> as Monthly Reasonable Discretionary Water Use (</w:t>
      </w:r>
      <w:r w:rsidR="00EB50F8">
        <w:rPr>
          <w:rFonts w:cs="Times New Roman"/>
          <w:szCs w:val="26"/>
        </w:rPr>
        <w:t>Tier 2</w:t>
      </w:r>
      <w:r w:rsidRPr="00235A7B">
        <w:rPr>
          <w:rFonts w:cs="Times New Roman"/>
          <w:szCs w:val="26"/>
        </w:rPr>
        <w:t xml:space="preserve">) across </w:t>
      </w:r>
      <w:r w:rsidRPr="008C67B5">
        <w:t>all</w:t>
      </w:r>
      <w:r w:rsidRPr="00235A7B">
        <w:rPr>
          <w:rFonts w:cs="Times New Roman"/>
          <w:szCs w:val="26"/>
        </w:rPr>
        <w:t xml:space="preserve"> water districts to promote equitable access to affordable discretionary water uses;</w:t>
      </w:r>
      <w:r w:rsidRPr="00235A7B">
        <w:rPr>
          <w:rStyle w:val="FootnoteReference"/>
          <w:rFonts w:cs="Times New Roman"/>
          <w:szCs w:val="26"/>
        </w:rPr>
        <w:footnoteReference w:id="124"/>
      </w:r>
      <w:r w:rsidRPr="00235A7B">
        <w:rPr>
          <w:rFonts w:cs="Times New Roman"/>
          <w:szCs w:val="26"/>
        </w:rPr>
        <w:t xml:space="preserve"> and (d)</w:t>
      </w:r>
      <w:r w:rsidR="000E62D1">
        <w:rPr>
          <w:rFonts w:cs="Times New Roman"/>
          <w:szCs w:val="26"/>
        </w:rPr>
        <w:t> </w:t>
      </w:r>
      <w:r w:rsidRPr="00235A7B">
        <w:rPr>
          <w:rFonts w:cs="Times New Roman"/>
          <w:szCs w:val="26"/>
        </w:rPr>
        <w:t>Revert the six ratemaking districts back to a three</w:t>
      </w:r>
      <w:r w:rsidR="00270999">
        <w:rPr>
          <w:rFonts w:cs="Times New Roman"/>
          <w:szCs w:val="26"/>
        </w:rPr>
        <w:noBreakHyphen/>
      </w:r>
      <w:r w:rsidRPr="00235A7B">
        <w:rPr>
          <w:rFonts w:cs="Times New Roman"/>
          <w:szCs w:val="26"/>
        </w:rPr>
        <w:t>tier conservation rate design tier widths (rather than the currently authorized four tiers) so that their usage is not less than the monthly indoor water use target.</w:t>
      </w:r>
      <w:r w:rsidRPr="00235A7B">
        <w:rPr>
          <w:rStyle w:val="FootnoteReference"/>
          <w:rFonts w:cs="Times New Roman"/>
          <w:szCs w:val="26"/>
        </w:rPr>
        <w:footnoteReference w:id="125"/>
      </w:r>
    </w:p>
    <w:p w:rsidRPr="00235A7B" w:rsidR="00D14ED3" w:rsidP="00F6655B" w:rsidRDefault="00EB50F8" w14:paraId="106AC9BC" w14:textId="24A190B6">
      <w:pPr>
        <w:pStyle w:val="Standard"/>
      </w:pPr>
      <w:r>
        <w:rPr>
          <w:rFonts w:cs="Times New Roman"/>
          <w:szCs w:val="26"/>
        </w:rPr>
        <w:t>Cal Advocates</w:t>
      </w:r>
      <w:r w:rsidRPr="00235A7B" w:rsidR="00D14ED3">
        <w:rPr>
          <w:rFonts w:cs="Times New Roman"/>
          <w:szCs w:val="26"/>
        </w:rPr>
        <w:t xml:space="preserve"> argues that its modifications avoid overly narrow tiers and more accurately reflect variations in average household size and reasonable discretionary water use across the different districts.</w:t>
      </w:r>
      <w:r w:rsidRPr="00235A7B" w:rsidR="00D14ED3">
        <w:rPr>
          <w:rStyle w:val="FootnoteReference"/>
          <w:rFonts w:cs="Times New Roman"/>
          <w:szCs w:val="26"/>
        </w:rPr>
        <w:footnoteReference w:id="126"/>
      </w:r>
    </w:p>
    <w:p w:rsidRPr="00235A7B" w:rsidR="00D14ED3" w:rsidP="00F6655B" w:rsidRDefault="00EB50F8" w14:paraId="6BC9EA8A" w14:textId="47D537DC">
      <w:pPr>
        <w:pStyle w:val="Standard"/>
      </w:pPr>
      <w:r>
        <w:rPr>
          <w:rFonts w:cs="Times New Roman"/>
          <w:szCs w:val="26"/>
        </w:rPr>
        <w:t>Cal Advocates</w:t>
      </w:r>
      <w:r w:rsidRPr="00235A7B" w:rsidR="00D14ED3">
        <w:rPr>
          <w:rFonts w:cs="Times New Roman"/>
          <w:szCs w:val="26"/>
        </w:rPr>
        <w:t xml:space="preserve"> argues that because </w:t>
      </w:r>
      <w:r>
        <w:rPr>
          <w:rFonts w:cs="Times New Roman"/>
          <w:szCs w:val="26"/>
        </w:rPr>
        <w:t>Cal Water</w:t>
      </w:r>
      <w:r w:rsidRPr="00235A7B" w:rsidR="00D14ED3">
        <w:rPr>
          <w:rFonts w:cs="Times New Roman"/>
          <w:szCs w:val="26"/>
        </w:rPr>
        <w:t xml:space="preserve"> did not implement a </w:t>
      </w:r>
      <w:r w:rsidR="008B0F27">
        <w:rPr>
          <w:rFonts w:cs="Times New Roman"/>
          <w:szCs w:val="26"/>
        </w:rPr>
        <w:t>four</w:t>
      </w:r>
      <w:r w:rsidR="00270999">
        <w:rPr>
          <w:rFonts w:cs="Times New Roman"/>
          <w:szCs w:val="26"/>
        </w:rPr>
        <w:noBreakHyphen/>
      </w:r>
      <w:r w:rsidR="008B0F27">
        <w:rPr>
          <w:rFonts w:cs="Times New Roman"/>
          <w:szCs w:val="26"/>
        </w:rPr>
        <w:t>tier</w:t>
      </w:r>
      <w:r w:rsidRPr="00235A7B" w:rsidR="00D14ED3">
        <w:rPr>
          <w:rFonts w:cs="Times New Roman"/>
          <w:szCs w:val="26"/>
        </w:rPr>
        <w:t xml:space="preserve"> rate design until May 2024, it is too early to determine its impact on conservation and average use, which may not materialize for several years.</w:t>
      </w:r>
      <w:r w:rsidRPr="00235A7B" w:rsidR="00D14ED3">
        <w:rPr>
          <w:rStyle w:val="FootnoteReference"/>
          <w:rFonts w:cs="Times New Roman"/>
          <w:szCs w:val="26"/>
        </w:rPr>
        <w:footnoteReference w:id="127"/>
      </w:r>
      <w:r w:rsidR="00CE0158">
        <w:rPr>
          <w:rFonts w:cs="Times New Roman"/>
          <w:szCs w:val="26"/>
        </w:rPr>
        <w:t xml:space="preserve"> </w:t>
      </w:r>
      <w:r w:rsidRPr="00235A7B" w:rsidR="00D14ED3">
        <w:rPr>
          <w:rFonts w:cs="Times New Roman"/>
          <w:szCs w:val="26"/>
        </w:rPr>
        <w:t xml:space="preserve">It </w:t>
      </w:r>
      <w:r w:rsidRPr="00235A7B" w:rsidR="00D14ED3">
        <w:rPr>
          <w:rFonts w:cs="Times New Roman"/>
          <w:szCs w:val="26"/>
        </w:rPr>
        <w:lastRenderedPageBreak/>
        <w:t xml:space="preserve">requests that the Commission require </w:t>
      </w:r>
      <w:r>
        <w:rPr>
          <w:rFonts w:cs="Times New Roman"/>
          <w:szCs w:val="26"/>
        </w:rPr>
        <w:t>Cal Water</w:t>
      </w:r>
      <w:r w:rsidRPr="00235A7B" w:rsidR="00D14ED3">
        <w:rPr>
          <w:rFonts w:cs="Times New Roman"/>
          <w:szCs w:val="26"/>
        </w:rPr>
        <w:t xml:space="preserve"> to review the effectiveness and average</w:t>
      </w:r>
      <w:r w:rsidR="00270999">
        <w:rPr>
          <w:rFonts w:cs="Times New Roman"/>
          <w:szCs w:val="26"/>
        </w:rPr>
        <w:noBreakHyphen/>
      </w:r>
      <w:r w:rsidRPr="00235A7B" w:rsidR="00D14ED3">
        <w:rPr>
          <w:rFonts w:cs="Times New Roman"/>
          <w:szCs w:val="26"/>
        </w:rPr>
        <w:t xml:space="preserve">use impacts of using a </w:t>
      </w:r>
      <w:r w:rsidR="008B0F27">
        <w:rPr>
          <w:rFonts w:cs="Times New Roman"/>
          <w:szCs w:val="26"/>
        </w:rPr>
        <w:t>four</w:t>
      </w:r>
      <w:r w:rsidR="00270999">
        <w:rPr>
          <w:rFonts w:cs="Times New Roman"/>
          <w:szCs w:val="26"/>
        </w:rPr>
        <w:noBreakHyphen/>
      </w:r>
      <w:r w:rsidR="008B0F27">
        <w:rPr>
          <w:rFonts w:cs="Times New Roman"/>
          <w:szCs w:val="26"/>
        </w:rPr>
        <w:t>tier</w:t>
      </w:r>
      <w:r w:rsidRPr="00235A7B" w:rsidR="00D14ED3">
        <w:rPr>
          <w:rFonts w:cs="Times New Roman"/>
          <w:szCs w:val="26"/>
        </w:rPr>
        <w:t xml:space="preserve"> rate design in its subsequent GRC.</w:t>
      </w:r>
      <w:r w:rsidRPr="00235A7B" w:rsidR="00D14ED3">
        <w:rPr>
          <w:rStyle w:val="FootnoteReference"/>
          <w:rFonts w:cs="Times New Roman"/>
          <w:szCs w:val="26"/>
        </w:rPr>
        <w:footnoteReference w:id="128"/>
      </w:r>
    </w:p>
    <w:p w:rsidR="0084292E" w:rsidP="00F6655B" w:rsidRDefault="00EB50F8" w14:paraId="138893B8" w14:textId="642E9559">
      <w:pPr>
        <w:pStyle w:val="Standard"/>
        <w:rPr>
          <w:rFonts w:cs="Times New Roman"/>
        </w:rPr>
      </w:pPr>
      <w:r w:rsidRPr="3260C0B3">
        <w:rPr>
          <w:rFonts w:cs="Times New Roman"/>
        </w:rPr>
        <w:t>Cal Advocates</w:t>
      </w:r>
      <w:r w:rsidRPr="3260C0B3" w:rsidR="00D14ED3">
        <w:rPr>
          <w:rFonts w:cs="Times New Roman"/>
        </w:rPr>
        <w:t xml:space="preserve"> recommends that the Commission deny decoupling and adopt </w:t>
      </w:r>
      <w:r w:rsidRPr="3260C0B3">
        <w:rPr>
          <w:rFonts w:cs="Times New Roman"/>
        </w:rPr>
        <w:t>Cal Water</w:t>
      </w:r>
      <w:r w:rsidRPr="3260C0B3" w:rsidR="000C0896">
        <w:rPr>
          <w:rFonts w:cs="Times New Roman"/>
        </w:rPr>
        <w:t>’</w:t>
      </w:r>
      <w:r w:rsidRPr="3260C0B3" w:rsidR="00D14ED3">
        <w:rPr>
          <w:rFonts w:cs="Times New Roman"/>
        </w:rPr>
        <w:t>s rate multipliers requested under the LUWEP rate design.</w:t>
      </w:r>
      <w:r w:rsidRPr="3260C0B3" w:rsidR="00D14ED3">
        <w:rPr>
          <w:rStyle w:val="FootnoteReference"/>
          <w:rFonts w:cs="Times New Roman"/>
        </w:rPr>
        <w:footnoteReference w:id="129"/>
      </w:r>
      <w:r w:rsidRPr="3260C0B3" w:rsidR="00D14ED3">
        <w:rPr>
          <w:rFonts w:cs="Times New Roman"/>
        </w:rPr>
        <w:t xml:space="preserve"> </w:t>
      </w:r>
      <w:r w:rsidRPr="3260C0B3">
        <w:rPr>
          <w:rFonts w:cs="Times New Roman"/>
        </w:rPr>
        <w:t>Cal Advocates</w:t>
      </w:r>
      <w:r w:rsidRPr="3260C0B3" w:rsidR="00D14ED3">
        <w:rPr>
          <w:rFonts w:cs="Times New Roman"/>
        </w:rPr>
        <w:t xml:space="preserve"> asserts that modern rate design ensures conservation, provides an affordable option for baseline water use, and is revenue</w:t>
      </w:r>
      <w:r w:rsidR="00270999">
        <w:rPr>
          <w:rFonts w:cs="Times New Roman"/>
          <w:szCs w:val="26"/>
        </w:rPr>
        <w:noBreakHyphen/>
      </w:r>
      <w:r w:rsidRPr="3260C0B3" w:rsidR="00D14ED3">
        <w:rPr>
          <w:rFonts w:cs="Times New Roman"/>
        </w:rPr>
        <w:t>neutral.</w:t>
      </w:r>
      <w:r w:rsidRPr="3260C0B3" w:rsidR="00D14ED3">
        <w:rPr>
          <w:rStyle w:val="FootnoteReference"/>
          <w:rFonts w:cs="Times New Roman"/>
        </w:rPr>
        <w:footnoteReference w:id="130"/>
      </w:r>
    </w:p>
    <w:p w:rsidR="00CE0158" w:rsidP="00F6655B" w:rsidRDefault="00EB50F8" w14:paraId="14567813" w14:textId="0AE385C5">
      <w:pPr>
        <w:pStyle w:val="Standard"/>
        <w:rPr>
          <w:rFonts w:cs="Times New Roman"/>
          <w:szCs w:val="26"/>
        </w:rPr>
      </w:pPr>
      <w:r>
        <w:rPr>
          <w:rFonts w:cs="Times New Roman"/>
          <w:szCs w:val="26"/>
        </w:rPr>
        <w:t>Cal Advocates</w:t>
      </w:r>
      <w:r w:rsidRPr="00235A7B" w:rsidR="00D14ED3">
        <w:rPr>
          <w:rFonts w:cs="Times New Roman"/>
          <w:szCs w:val="26"/>
        </w:rPr>
        <w:t xml:space="preserve"> argues that </w:t>
      </w:r>
      <w:r>
        <w:rPr>
          <w:rFonts w:cs="Times New Roman"/>
          <w:szCs w:val="26"/>
        </w:rPr>
        <w:t>Cal Water</w:t>
      </w:r>
      <w:r w:rsidR="000C0896">
        <w:rPr>
          <w:rFonts w:cs="Times New Roman"/>
          <w:szCs w:val="26"/>
        </w:rPr>
        <w:t>’</w:t>
      </w:r>
      <w:r w:rsidRPr="00235A7B" w:rsidR="00D14ED3">
        <w:rPr>
          <w:rFonts w:cs="Times New Roman"/>
          <w:szCs w:val="26"/>
        </w:rPr>
        <w:t xml:space="preserve">s proposed LUWEP is not just and reasonable because the purported conservation and affordability benefits of the program are inadequate to justify the burden of risk it shifts to ratepayers. </w:t>
      </w:r>
      <w:r>
        <w:rPr>
          <w:rFonts w:cs="Times New Roman"/>
          <w:szCs w:val="26"/>
        </w:rPr>
        <w:t>Cal Advocates</w:t>
      </w:r>
      <w:r w:rsidRPr="00235A7B" w:rsidR="00D14ED3">
        <w:rPr>
          <w:rFonts w:cs="Times New Roman"/>
          <w:szCs w:val="26"/>
        </w:rPr>
        <w:t xml:space="preserve"> cites several prior Decisions in which the Commission found that there is no causal link between conservation rate design and WRAMs.</w:t>
      </w:r>
      <w:r w:rsidRPr="00235A7B" w:rsidR="00D14ED3">
        <w:rPr>
          <w:rStyle w:val="FootnoteReference"/>
          <w:rFonts w:cs="Times New Roman"/>
          <w:szCs w:val="26"/>
        </w:rPr>
        <w:footnoteReference w:id="131"/>
      </w:r>
      <w:r w:rsidR="00CE0158">
        <w:rPr>
          <w:rFonts w:cs="Times New Roman"/>
          <w:szCs w:val="26"/>
        </w:rPr>
        <w:t xml:space="preserve"> </w:t>
      </w:r>
      <w:r>
        <w:rPr>
          <w:rFonts w:cs="Times New Roman"/>
          <w:szCs w:val="26"/>
        </w:rPr>
        <w:t>Cal Advocates</w:t>
      </w:r>
      <w:r w:rsidRPr="00235A7B" w:rsidR="00D14ED3">
        <w:rPr>
          <w:rFonts w:cs="Times New Roman"/>
          <w:szCs w:val="26"/>
        </w:rPr>
        <w:t xml:space="preserve"> argues that similar to the WRAM, the LUWEP allows</w:t>
      </w:r>
      <w:r w:rsidR="00A96557">
        <w:rPr>
          <w:rFonts w:cs="Times New Roman"/>
          <w:szCs w:val="26"/>
        </w:rPr>
        <w:t xml:space="preserve"> Cal Water to recover the</w:t>
      </w:r>
      <w:r w:rsidRPr="00235A7B" w:rsidR="00D14ED3">
        <w:rPr>
          <w:rFonts w:cs="Times New Roman"/>
          <w:szCs w:val="26"/>
        </w:rPr>
        <w:t xml:space="preserve"> difference between projected and actual revenue, largely </w:t>
      </w:r>
      <w:r w:rsidRPr="00235A7B" w:rsidR="0082119D">
        <w:rPr>
          <w:rFonts w:cs="Times New Roman"/>
          <w:szCs w:val="26"/>
        </w:rPr>
        <w:t>eliminat</w:t>
      </w:r>
      <w:r w:rsidR="0082119D">
        <w:rPr>
          <w:rFonts w:cs="Times New Roman"/>
          <w:szCs w:val="26"/>
        </w:rPr>
        <w:t>es</w:t>
      </w:r>
      <w:r w:rsidRPr="00235A7B" w:rsidR="0082119D">
        <w:rPr>
          <w:rFonts w:cs="Times New Roman"/>
          <w:szCs w:val="26"/>
        </w:rPr>
        <w:t xml:space="preserve"> </w:t>
      </w:r>
      <w:r w:rsidRPr="00235A7B" w:rsidR="00D14ED3">
        <w:rPr>
          <w:rFonts w:cs="Times New Roman"/>
          <w:szCs w:val="26"/>
        </w:rPr>
        <w:t>the risk of forecast</w:t>
      </w:r>
      <w:r w:rsidR="0082119D">
        <w:rPr>
          <w:rFonts w:cs="Times New Roman"/>
          <w:szCs w:val="26"/>
        </w:rPr>
        <w:t>ing</w:t>
      </w:r>
      <w:r w:rsidRPr="00235A7B" w:rsidR="00D14ED3">
        <w:rPr>
          <w:rFonts w:cs="Times New Roman"/>
          <w:szCs w:val="26"/>
        </w:rPr>
        <w:t xml:space="preserve"> for investors, and by doing so, shift</w:t>
      </w:r>
      <w:r w:rsidR="00A96557">
        <w:rPr>
          <w:rFonts w:cs="Times New Roman"/>
          <w:szCs w:val="26"/>
        </w:rPr>
        <w:t>s</w:t>
      </w:r>
      <w:r w:rsidRPr="00235A7B" w:rsidR="00D14ED3">
        <w:rPr>
          <w:rFonts w:cs="Times New Roman"/>
          <w:szCs w:val="26"/>
        </w:rPr>
        <w:t xml:space="preserve"> risk to ratepayers.</w:t>
      </w:r>
      <w:r w:rsidRPr="00235A7B" w:rsidR="00D14ED3">
        <w:rPr>
          <w:rStyle w:val="FootnoteReference"/>
          <w:rFonts w:cs="Times New Roman"/>
          <w:szCs w:val="26"/>
        </w:rPr>
        <w:footnoteReference w:id="132"/>
      </w:r>
      <w:r w:rsidRPr="00235A7B" w:rsidR="00D14ED3">
        <w:rPr>
          <w:rFonts w:cs="Times New Roman"/>
          <w:szCs w:val="26"/>
        </w:rPr>
        <w:t xml:space="preserve"> </w:t>
      </w:r>
      <w:r>
        <w:rPr>
          <w:rFonts w:cs="Times New Roman"/>
          <w:szCs w:val="26"/>
        </w:rPr>
        <w:t>Cal Advocates</w:t>
      </w:r>
      <w:r w:rsidRPr="00235A7B" w:rsidR="00D14ED3">
        <w:rPr>
          <w:rFonts w:cs="Times New Roman"/>
          <w:szCs w:val="26"/>
        </w:rPr>
        <w:t xml:space="preserve"> further argues that the Commission has rejected </w:t>
      </w:r>
      <w:r w:rsidR="00096F77">
        <w:rPr>
          <w:rFonts w:cs="Times New Roman"/>
          <w:szCs w:val="26"/>
        </w:rPr>
        <w:t>Cal</w:t>
      </w:r>
      <w:r w:rsidR="005E03E9">
        <w:rPr>
          <w:rFonts w:cs="Times New Roman"/>
          <w:szCs w:val="26"/>
        </w:rPr>
        <w:t> </w:t>
      </w:r>
      <w:r w:rsidR="00096F77">
        <w:rPr>
          <w:rFonts w:cs="Times New Roman"/>
          <w:szCs w:val="26"/>
        </w:rPr>
        <w:t xml:space="preserve">Water’s repeated </w:t>
      </w:r>
      <w:r w:rsidRPr="00235A7B" w:rsidR="00D14ED3">
        <w:rPr>
          <w:rFonts w:cs="Times New Roman"/>
          <w:szCs w:val="26"/>
        </w:rPr>
        <w:t xml:space="preserve">argument that decoupling creates no risk for ratepayers because </w:t>
      </w:r>
      <w:r w:rsidR="00096F77">
        <w:rPr>
          <w:rFonts w:cs="Times New Roman"/>
          <w:szCs w:val="26"/>
        </w:rPr>
        <w:t>ratepayers</w:t>
      </w:r>
      <w:r w:rsidRPr="00235A7B" w:rsidR="00096F77">
        <w:rPr>
          <w:rFonts w:cs="Times New Roman"/>
          <w:szCs w:val="26"/>
        </w:rPr>
        <w:t xml:space="preserve"> </w:t>
      </w:r>
      <w:r w:rsidRPr="00235A7B" w:rsidR="00D14ED3">
        <w:rPr>
          <w:rFonts w:cs="Times New Roman"/>
          <w:szCs w:val="26"/>
        </w:rPr>
        <w:t>only pay the utility</w:t>
      </w:r>
      <w:r w:rsidR="000C0896">
        <w:rPr>
          <w:rFonts w:cs="Times New Roman"/>
          <w:szCs w:val="26"/>
        </w:rPr>
        <w:t>’</w:t>
      </w:r>
      <w:r w:rsidRPr="00235A7B" w:rsidR="00D14ED3">
        <w:rPr>
          <w:rFonts w:cs="Times New Roman"/>
          <w:szCs w:val="26"/>
        </w:rPr>
        <w:t>s true</w:t>
      </w:r>
      <w:r w:rsidR="00270999">
        <w:rPr>
          <w:rFonts w:cs="Times New Roman"/>
          <w:szCs w:val="26"/>
        </w:rPr>
        <w:noBreakHyphen/>
      </w:r>
      <w:r w:rsidRPr="00235A7B" w:rsidR="00D14ED3">
        <w:rPr>
          <w:rFonts w:cs="Times New Roman"/>
          <w:szCs w:val="26"/>
        </w:rPr>
        <w:t xml:space="preserve">up to the authorized revenue </w:t>
      </w:r>
      <w:r w:rsidRPr="00235A7B" w:rsidR="00D14ED3">
        <w:rPr>
          <w:rFonts w:cs="Times New Roman"/>
          <w:szCs w:val="26"/>
        </w:rPr>
        <w:lastRenderedPageBreak/>
        <w:t>requirement.</w:t>
      </w:r>
      <w:r w:rsidRPr="00235A7B" w:rsidR="00D14ED3">
        <w:rPr>
          <w:rStyle w:val="FootnoteReference"/>
          <w:rFonts w:cs="Times New Roman"/>
          <w:szCs w:val="26"/>
        </w:rPr>
        <w:footnoteReference w:id="133"/>
      </w:r>
      <w:r w:rsidRPr="00235A7B" w:rsidR="00D14ED3">
        <w:rPr>
          <w:rFonts w:cs="Times New Roman"/>
          <w:szCs w:val="26"/>
        </w:rPr>
        <w:t xml:space="preserve"> It argues that if </w:t>
      </w:r>
      <w:r>
        <w:rPr>
          <w:rFonts w:cs="Times New Roman"/>
          <w:szCs w:val="26"/>
        </w:rPr>
        <w:t>Cal Water</w:t>
      </w:r>
      <w:r w:rsidR="000C0896">
        <w:rPr>
          <w:rFonts w:cs="Times New Roman"/>
          <w:szCs w:val="26"/>
        </w:rPr>
        <w:t>’</w:t>
      </w:r>
      <w:r w:rsidRPr="00235A7B" w:rsidR="00D14ED3">
        <w:rPr>
          <w:rFonts w:cs="Times New Roman"/>
          <w:szCs w:val="26"/>
        </w:rPr>
        <w:t>s total adopted costs exceed its actual costs, that a decoupling mechanism that allows recovery of forecasted costs benefits the utility</w:t>
      </w:r>
      <w:r w:rsidR="000C0896">
        <w:rPr>
          <w:rFonts w:cs="Times New Roman"/>
          <w:szCs w:val="26"/>
        </w:rPr>
        <w:t>’</w:t>
      </w:r>
      <w:r w:rsidRPr="00235A7B" w:rsidR="00D14ED3">
        <w:rPr>
          <w:rFonts w:cs="Times New Roman"/>
          <w:szCs w:val="26"/>
        </w:rPr>
        <w:t>s shareholders.</w:t>
      </w:r>
      <w:r w:rsidRPr="00235A7B" w:rsidR="00D14ED3">
        <w:rPr>
          <w:rStyle w:val="FootnoteReference"/>
          <w:rFonts w:cs="Times New Roman"/>
          <w:szCs w:val="26"/>
        </w:rPr>
        <w:footnoteReference w:id="134"/>
      </w:r>
      <w:r w:rsidRPr="00235A7B" w:rsidR="00D14ED3">
        <w:rPr>
          <w:rFonts w:cs="Times New Roman"/>
          <w:szCs w:val="26"/>
        </w:rPr>
        <w:t xml:space="preserve"> </w:t>
      </w:r>
      <w:r>
        <w:rPr>
          <w:rFonts w:cs="Times New Roman"/>
          <w:szCs w:val="26"/>
        </w:rPr>
        <w:t>Cal Advocates</w:t>
      </w:r>
      <w:r w:rsidRPr="00235A7B" w:rsidR="00D14ED3">
        <w:rPr>
          <w:rFonts w:cs="Times New Roman"/>
          <w:szCs w:val="26"/>
        </w:rPr>
        <w:t xml:space="preserve"> also presents documentation of under collections by </w:t>
      </w:r>
      <w:r>
        <w:rPr>
          <w:rFonts w:cs="Times New Roman"/>
          <w:szCs w:val="26"/>
        </w:rPr>
        <w:t>Cal Water</w:t>
      </w:r>
      <w:r w:rsidRPr="00235A7B" w:rsidR="00D14ED3">
        <w:rPr>
          <w:rFonts w:cs="Times New Roman"/>
          <w:szCs w:val="26"/>
        </w:rPr>
        <w:t xml:space="preserve"> from ratepayers through the previous WRAM.</w:t>
      </w:r>
      <w:r w:rsidRPr="00235A7B" w:rsidR="00D14ED3">
        <w:rPr>
          <w:rStyle w:val="FootnoteReference"/>
          <w:rFonts w:cs="Times New Roman"/>
          <w:szCs w:val="26"/>
        </w:rPr>
        <w:footnoteReference w:id="135"/>
      </w:r>
      <w:r w:rsidR="00CE0158">
        <w:rPr>
          <w:rFonts w:cs="Times New Roman"/>
          <w:szCs w:val="26"/>
        </w:rPr>
        <w:t xml:space="preserve"> </w:t>
      </w:r>
      <w:r>
        <w:rPr>
          <w:rFonts w:cs="Times New Roman"/>
          <w:szCs w:val="26"/>
        </w:rPr>
        <w:t>Cal Advocates</w:t>
      </w:r>
      <w:r w:rsidRPr="00235A7B" w:rsidR="00D14ED3">
        <w:rPr>
          <w:rFonts w:cs="Times New Roman"/>
          <w:szCs w:val="26"/>
        </w:rPr>
        <w:t xml:space="preserve"> argues that shifting recovery of decoupling balances to high</w:t>
      </w:r>
      <w:r w:rsidR="00270999">
        <w:rPr>
          <w:rFonts w:cs="Times New Roman"/>
          <w:szCs w:val="26"/>
        </w:rPr>
        <w:noBreakHyphen/>
      </w:r>
      <w:r w:rsidRPr="00235A7B" w:rsidR="00D14ED3">
        <w:rPr>
          <w:rFonts w:cs="Times New Roman"/>
          <w:szCs w:val="26"/>
        </w:rPr>
        <w:t>usage customers does not inherently improve affordability outcomes or address the impact of decoupling balances on customer bills.</w:t>
      </w:r>
      <w:r w:rsidRPr="00235A7B" w:rsidR="00D14ED3">
        <w:rPr>
          <w:rStyle w:val="FootnoteReference"/>
          <w:rFonts w:cs="Times New Roman"/>
          <w:szCs w:val="26"/>
        </w:rPr>
        <w:footnoteReference w:id="136"/>
      </w:r>
      <w:r w:rsidR="00CE0158">
        <w:rPr>
          <w:rFonts w:cs="Times New Roman"/>
          <w:szCs w:val="26"/>
        </w:rPr>
        <w:t xml:space="preserve"> </w:t>
      </w:r>
      <w:r>
        <w:rPr>
          <w:rFonts w:cs="Times New Roman"/>
          <w:szCs w:val="26"/>
        </w:rPr>
        <w:t>Cal Advocates</w:t>
      </w:r>
      <w:r w:rsidRPr="00235A7B" w:rsidR="00D14ED3">
        <w:rPr>
          <w:rFonts w:cs="Times New Roman"/>
          <w:szCs w:val="26"/>
        </w:rPr>
        <w:t xml:space="preserve"> further argues that the LUWEP may pose an even greater risk to ratepayers compared to the WRAM because, unlike the WRAM</w:t>
      </w:r>
      <w:r w:rsidR="000C0896">
        <w:rPr>
          <w:rFonts w:cs="Times New Roman"/>
          <w:szCs w:val="26"/>
        </w:rPr>
        <w:t>’</w:t>
      </w:r>
      <w:r w:rsidRPr="00235A7B" w:rsidR="00D14ED3">
        <w:rPr>
          <w:rFonts w:cs="Times New Roman"/>
          <w:szCs w:val="26"/>
        </w:rPr>
        <w:t>s meter surcharge, amortizations under the LUWEP are uncapped and not visible to customers.</w:t>
      </w:r>
      <w:r w:rsidRPr="00235A7B" w:rsidR="00D14ED3">
        <w:rPr>
          <w:rStyle w:val="FootnoteReference"/>
          <w:rFonts w:cs="Times New Roman"/>
          <w:szCs w:val="26"/>
        </w:rPr>
        <w:footnoteReference w:id="137"/>
      </w:r>
      <w:r w:rsidR="00583E5E">
        <w:rPr>
          <w:rFonts w:cs="Times New Roman"/>
          <w:szCs w:val="26"/>
        </w:rPr>
        <w:t xml:space="preserve"> </w:t>
      </w:r>
      <w:r>
        <w:rPr>
          <w:rFonts w:cs="Times New Roman"/>
          <w:szCs w:val="26"/>
        </w:rPr>
        <w:t>Cal Advocates</w:t>
      </w:r>
      <w:r w:rsidRPr="00235A7B" w:rsidR="00D14ED3">
        <w:rPr>
          <w:rFonts w:cs="Times New Roman"/>
          <w:szCs w:val="26"/>
        </w:rPr>
        <w:t xml:space="preserve"> notes that </w:t>
      </w:r>
      <w:r>
        <w:rPr>
          <w:rFonts w:cs="Times New Roman"/>
          <w:szCs w:val="26"/>
        </w:rPr>
        <w:t>Cal Water</w:t>
      </w:r>
      <w:r w:rsidRPr="00235A7B" w:rsidR="00D14ED3">
        <w:rPr>
          <w:rFonts w:cs="Times New Roman"/>
          <w:szCs w:val="26"/>
        </w:rPr>
        <w:t xml:space="preserve"> acknowledges that decreased shareholder risk is a benefit of decoupling when </w:t>
      </w:r>
      <w:r>
        <w:rPr>
          <w:rFonts w:cs="Times New Roman"/>
          <w:szCs w:val="26"/>
        </w:rPr>
        <w:t>Cal Water</w:t>
      </w:r>
      <w:r w:rsidRPr="00235A7B" w:rsidR="00D14ED3">
        <w:rPr>
          <w:rFonts w:cs="Times New Roman"/>
          <w:szCs w:val="26"/>
        </w:rPr>
        <w:t xml:space="preserve"> states that </w:t>
      </w:r>
      <w:r w:rsidR="00A23D11">
        <w:rPr>
          <w:rFonts w:cs="Times New Roman"/>
          <w:szCs w:val="26"/>
        </w:rPr>
        <w:t>“</w:t>
      </w:r>
      <w:r w:rsidRPr="00235A7B" w:rsidR="00D14ED3">
        <w:rPr>
          <w:rFonts w:cs="Times New Roman"/>
          <w:szCs w:val="26"/>
        </w:rPr>
        <w:t>the financial stability of a water utility reduces shareholder</w:t>
      </w:r>
      <w:r w:rsidR="000C0896">
        <w:rPr>
          <w:rFonts w:cs="Times New Roman"/>
          <w:szCs w:val="26"/>
        </w:rPr>
        <w:t>’</w:t>
      </w:r>
      <w:r w:rsidRPr="00235A7B" w:rsidR="00D14ED3">
        <w:rPr>
          <w:rFonts w:cs="Times New Roman"/>
          <w:szCs w:val="26"/>
        </w:rPr>
        <w:t>s investment risk which, in turn, results in access to lower cost capital.</w:t>
      </w:r>
      <w:r w:rsidR="00A23D11">
        <w:rPr>
          <w:rFonts w:cs="Times New Roman"/>
          <w:szCs w:val="26"/>
        </w:rPr>
        <w:t>”</w:t>
      </w:r>
      <w:r w:rsidRPr="00235A7B" w:rsidR="00D14ED3">
        <w:rPr>
          <w:rStyle w:val="FootnoteReference"/>
          <w:rFonts w:cs="Times New Roman"/>
          <w:szCs w:val="26"/>
        </w:rPr>
        <w:footnoteReference w:id="138"/>
      </w:r>
      <w:r w:rsidRPr="00235A7B" w:rsidR="00D14ED3">
        <w:rPr>
          <w:rFonts w:cs="Times New Roman"/>
          <w:szCs w:val="26"/>
        </w:rPr>
        <w:t xml:space="preserve"> </w:t>
      </w:r>
      <w:r>
        <w:rPr>
          <w:rFonts w:cs="Times New Roman"/>
          <w:szCs w:val="26"/>
        </w:rPr>
        <w:t>Cal Advocates</w:t>
      </w:r>
      <w:r w:rsidRPr="00235A7B" w:rsidR="00D14ED3">
        <w:rPr>
          <w:rFonts w:cs="Times New Roman"/>
          <w:szCs w:val="26"/>
        </w:rPr>
        <w:t xml:space="preserve"> also argues that </w:t>
      </w:r>
      <w:r>
        <w:rPr>
          <w:rFonts w:cs="Times New Roman"/>
          <w:szCs w:val="26"/>
        </w:rPr>
        <w:t>Cal Water</w:t>
      </w:r>
      <w:r w:rsidRPr="00235A7B" w:rsidR="00D14ED3">
        <w:rPr>
          <w:rFonts w:cs="Times New Roman"/>
          <w:szCs w:val="26"/>
        </w:rPr>
        <w:t xml:space="preserve"> explicitly rejects imposing an earnings cap on decoupling balances, thereby introducing the risk of overearning.</w:t>
      </w:r>
      <w:r w:rsidRPr="00235A7B" w:rsidR="00D14ED3">
        <w:rPr>
          <w:rStyle w:val="FootnoteReference"/>
          <w:rFonts w:cs="Times New Roman"/>
          <w:szCs w:val="26"/>
        </w:rPr>
        <w:footnoteReference w:id="139"/>
      </w:r>
    </w:p>
    <w:p w:rsidR="00CE0158" w:rsidP="00F6655B" w:rsidRDefault="00EB50F8" w14:paraId="14BAB247" w14:textId="2CA8A4EE">
      <w:pPr>
        <w:pStyle w:val="Standard"/>
        <w:rPr>
          <w:rFonts w:cs="Times New Roman"/>
          <w:szCs w:val="26"/>
        </w:rPr>
      </w:pPr>
      <w:r>
        <w:rPr>
          <w:rFonts w:cs="Times New Roman"/>
          <w:szCs w:val="26"/>
        </w:rPr>
        <w:lastRenderedPageBreak/>
        <w:t>Cal Advocates</w:t>
      </w:r>
      <w:r w:rsidRPr="00235A7B" w:rsidR="00D14ED3">
        <w:rPr>
          <w:rFonts w:cs="Times New Roman"/>
          <w:szCs w:val="26"/>
        </w:rPr>
        <w:t xml:space="preserve"> recommends that the Commission reject </w:t>
      </w:r>
      <w:r>
        <w:rPr>
          <w:rFonts w:cs="Times New Roman"/>
          <w:szCs w:val="26"/>
        </w:rPr>
        <w:t>Cal Water</w:t>
      </w:r>
      <w:r w:rsidR="000C0896">
        <w:rPr>
          <w:rFonts w:cs="Times New Roman"/>
          <w:szCs w:val="26"/>
        </w:rPr>
        <w:t>’</w:t>
      </w:r>
      <w:r w:rsidRPr="00235A7B" w:rsidR="00D14ED3">
        <w:rPr>
          <w:rFonts w:cs="Times New Roman"/>
          <w:szCs w:val="26"/>
        </w:rPr>
        <w:t>s SRM, because the SRM is designed to correct for decoupling balances and is unnecessary if the Commission rejects the LUWEP.</w:t>
      </w:r>
      <w:r w:rsidRPr="00235A7B" w:rsidR="00D14ED3">
        <w:rPr>
          <w:rStyle w:val="FootnoteReference"/>
          <w:rFonts w:cs="Times New Roman"/>
          <w:szCs w:val="26"/>
        </w:rPr>
        <w:footnoteReference w:id="140"/>
      </w:r>
    </w:p>
    <w:p w:rsidRPr="00235A7B" w:rsidR="00D14ED3" w:rsidP="00F6655B" w:rsidRDefault="00D14ED3" w14:paraId="539AEFA6" w14:textId="69113853">
      <w:pPr>
        <w:pStyle w:val="Standard"/>
      </w:pPr>
      <w:r w:rsidRPr="00235A7B">
        <w:rPr>
          <w:rFonts w:cs="Times New Roman"/>
          <w:szCs w:val="26"/>
        </w:rPr>
        <w:t xml:space="preserve">In its Reply Brief, </w:t>
      </w:r>
      <w:r w:rsidR="00EB50F8">
        <w:rPr>
          <w:rFonts w:cs="Times New Roman"/>
          <w:szCs w:val="26"/>
        </w:rPr>
        <w:t>Cal Advocates</w:t>
      </w:r>
      <w:r w:rsidRPr="00235A7B">
        <w:rPr>
          <w:rFonts w:cs="Times New Roman"/>
          <w:szCs w:val="26"/>
        </w:rPr>
        <w:t xml:space="preserve"> states that </w:t>
      </w:r>
      <w:r w:rsidR="00EB50F8">
        <w:rPr>
          <w:rFonts w:cs="Times New Roman"/>
          <w:szCs w:val="26"/>
        </w:rPr>
        <w:t>Cal Water</w:t>
      </w:r>
      <w:r w:rsidR="000C0896">
        <w:rPr>
          <w:rFonts w:cs="Times New Roman"/>
          <w:szCs w:val="26"/>
        </w:rPr>
        <w:t>’</w:t>
      </w:r>
      <w:r w:rsidRPr="00235A7B">
        <w:rPr>
          <w:rFonts w:cs="Times New Roman"/>
          <w:szCs w:val="26"/>
        </w:rPr>
        <w:t xml:space="preserve">s water usage study </w:t>
      </w:r>
      <w:r w:rsidR="00096F77">
        <w:rPr>
          <w:rFonts w:cs="Times New Roman"/>
          <w:szCs w:val="26"/>
        </w:rPr>
        <w:t>fails to</w:t>
      </w:r>
      <w:r w:rsidRPr="00235A7B">
        <w:rPr>
          <w:rFonts w:cs="Times New Roman"/>
          <w:szCs w:val="26"/>
        </w:rPr>
        <w:t xml:space="preserve"> support </w:t>
      </w:r>
      <w:r w:rsidR="00EB50F8">
        <w:rPr>
          <w:rFonts w:cs="Times New Roman"/>
          <w:szCs w:val="26"/>
        </w:rPr>
        <w:t>Cal Water</w:t>
      </w:r>
      <w:r w:rsidR="000C0896">
        <w:rPr>
          <w:rFonts w:cs="Times New Roman"/>
          <w:szCs w:val="26"/>
        </w:rPr>
        <w:t>’</w:t>
      </w:r>
      <w:r w:rsidRPr="00235A7B">
        <w:rPr>
          <w:rFonts w:cs="Times New Roman"/>
          <w:szCs w:val="26"/>
        </w:rPr>
        <w:t xml:space="preserve">s conclusions about household size compared to home size and does not consider data for </w:t>
      </w:r>
      <w:r w:rsidR="00EB50F8">
        <w:rPr>
          <w:rFonts w:cs="Times New Roman"/>
          <w:szCs w:val="26"/>
        </w:rPr>
        <w:t>Cal Water</w:t>
      </w:r>
      <w:r w:rsidRPr="00235A7B">
        <w:rPr>
          <w:rFonts w:cs="Times New Roman"/>
          <w:szCs w:val="26"/>
        </w:rPr>
        <w:t xml:space="preserve"> customers in multifamily housing. </w:t>
      </w:r>
      <w:r w:rsidR="00EB50F8">
        <w:rPr>
          <w:rFonts w:cs="Times New Roman"/>
          <w:szCs w:val="26"/>
        </w:rPr>
        <w:t>Cal Advocates</w:t>
      </w:r>
      <w:r w:rsidRPr="00235A7B">
        <w:rPr>
          <w:rFonts w:cs="Times New Roman"/>
          <w:szCs w:val="26"/>
        </w:rPr>
        <w:t xml:space="preserve"> argues that </w:t>
      </w:r>
      <w:r w:rsidR="00EB50F8">
        <w:rPr>
          <w:rFonts w:cs="Times New Roman"/>
          <w:szCs w:val="26"/>
        </w:rPr>
        <w:t>Cal Water</w:t>
      </w:r>
      <w:r w:rsidR="000C0896">
        <w:rPr>
          <w:rFonts w:cs="Times New Roman"/>
          <w:szCs w:val="26"/>
        </w:rPr>
        <w:t>’</w:t>
      </w:r>
      <w:r w:rsidRPr="00235A7B">
        <w:rPr>
          <w:rFonts w:cs="Times New Roman"/>
          <w:szCs w:val="26"/>
        </w:rPr>
        <w:t xml:space="preserve">s analysis for </w:t>
      </w:r>
      <w:r w:rsidR="00EB50F8">
        <w:rPr>
          <w:rFonts w:cs="Times New Roman"/>
          <w:szCs w:val="26"/>
        </w:rPr>
        <w:t>Tier 1</w:t>
      </w:r>
      <w:r w:rsidRPr="00235A7B">
        <w:rPr>
          <w:rFonts w:cs="Times New Roman"/>
          <w:szCs w:val="26"/>
        </w:rPr>
        <w:t xml:space="preserve"> breakpoints lacked household size and income data and excluded multifamily housing, whereas </w:t>
      </w:r>
      <w:r w:rsidR="00EB50F8">
        <w:rPr>
          <w:rFonts w:cs="Times New Roman"/>
          <w:szCs w:val="26"/>
        </w:rPr>
        <w:t>Cal Advocates</w:t>
      </w:r>
      <w:r w:rsidRPr="00235A7B">
        <w:rPr>
          <w:rFonts w:cs="Times New Roman"/>
          <w:szCs w:val="26"/>
        </w:rPr>
        <w:t xml:space="preserve"> used U.S. Census data and aligned its proposal with Assembly Bill</w:t>
      </w:r>
      <w:r w:rsidR="005B1788">
        <w:rPr>
          <w:rFonts w:cs="Times New Roman"/>
          <w:szCs w:val="26"/>
        </w:rPr>
        <w:t xml:space="preserve"> (AB) </w:t>
      </w:r>
      <w:r w:rsidRPr="00235A7B">
        <w:rPr>
          <w:rFonts w:cs="Times New Roman"/>
          <w:szCs w:val="26"/>
        </w:rPr>
        <w:t xml:space="preserve">1668/Senate Bill </w:t>
      </w:r>
      <w:r w:rsidR="005B1788">
        <w:rPr>
          <w:rFonts w:cs="Times New Roman"/>
          <w:szCs w:val="26"/>
        </w:rPr>
        <w:t>(SB) </w:t>
      </w:r>
      <w:r w:rsidRPr="00235A7B">
        <w:rPr>
          <w:rFonts w:cs="Times New Roman"/>
          <w:szCs w:val="26"/>
        </w:rPr>
        <w:t>1557 requirements.</w:t>
      </w:r>
      <w:r w:rsidRPr="00235A7B">
        <w:rPr>
          <w:rStyle w:val="FootnoteReference"/>
          <w:rFonts w:cs="Times New Roman"/>
          <w:szCs w:val="26"/>
        </w:rPr>
        <w:footnoteReference w:id="141"/>
      </w:r>
      <w:r w:rsidRPr="00D300C1" w:rsidR="00D300C1">
        <w:rPr>
          <w:rFonts w:cs="Times New Roman"/>
          <w:szCs w:val="26"/>
          <w:vertAlign w:val="superscript"/>
        </w:rPr>
        <w:t>,</w:t>
      </w:r>
      <w:r w:rsidRPr="00235A7B">
        <w:rPr>
          <w:rStyle w:val="FootnoteReference"/>
          <w:rFonts w:cs="Times New Roman"/>
          <w:szCs w:val="26"/>
        </w:rPr>
        <w:footnoteReference w:id="142"/>
      </w:r>
    </w:p>
    <w:p w:rsidR="00CE0158" w:rsidP="00D14ED3" w:rsidRDefault="00FF4384" w14:paraId="52399439" w14:textId="48626031">
      <w:pPr>
        <w:pStyle w:val="Heading4"/>
      </w:pPr>
      <w:bookmarkStart w:name="_Toc222305265" w:id="90"/>
      <w:bookmarkStart w:name="_Toc228294692" w:id="91"/>
      <w:r w:rsidRPr="00FF4384">
        <w:t>National Association of Water Companies</w:t>
      </w:r>
      <w:r w:rsidRPr="00D14ED3" w:rsidR="00D14ED3">
        <w:t xml:space="preserve"> and </w:t>
      </w:r>
      <w:r w:rsidRPr="00FF4384">
        <w:t>California Water Association</w:t>
      </w:r>
      <w:r w:rsidR="000C0896">
        <w:t>’</w:t>
      </w:r>
      <w:r w:rsidRPr="00D14ED3" w:rsidR="00D14ED3">
        <w:t>s Position</w:t>
      </w:r>
      <w:bookmarkEnd w:id="90"/>
      <w:bookmarkEnd w:id="91"/>
    </w:p>
    <w:p w:rsidR="00CE0158" w:rsidP="00F6655B" w:rsidRDefault="00D14ED3" w14:paraId="1C55133E" w14:textId="259BF864">
      <w:pPr>
        <w:pStyle w:val="Standard"/>
      </w:pPr>
      <w:r w:rsidRPr="3260C0B3">
        <w:t xml:space="preserve">NAWC and CWA support </w:t>
      </w:r>
      <w:r w:rsidRPr="3260C0B3" w:rsidR="00EB50F8">
        <w:t>Cal Water</w:t>
      </w:r>
      <w:r w:rsidR="000C0896">
        <w:rPr>
          <w:szCs w:val="26"/>
        </w:rPr>
        <w:t>’</w:t>
      </w:r>
      <w:r w:rsidRPr="3260C0B3">
        <w:t>s overall design, arguing that it adheres to established cost</w:t>
      </w:r>
      <w:r w:rsidR="00270999">
        <w:rPr>
          <w:szCs w:val="26"/>
        </w:rPr>
        <w:noBreakHyphen/>
      </w:r>
      <w:r w:rsidRPr="3260C0B3">
        <w:t xml:space="preserve">causation principles and provides regulatory continuity. Both organizations argue that </w:t>
      </w:r>
      <w:r w:rsidRPr="3260C0B3" w:rsidR="00EB50F8">
        <w:t>Cal Advocates</w:t>
      </w:r>
      <w:r w:rsidR="000C0896">
        <w:rPr>
          <w:szCs w:val="26"/>
        </w:rPr>
        <w:t>’</w:t>
      </w:r>
      <w:r w:rsidRPr="3260C0B3">
        <w:t xml:space="preserve"> proposals risk undermining the conservation signal and destabilizing revenue recovery.</w:t>
      </w:r>
      <w:r w:rsidRPr="3260C0B3">
        <w:rPr>
          <w:rStyle w:val="FootnoteReference"/>
        </w:rPr>
        <w:footnoteReference w:id="143"/>
      </w:r>
      <w:r w:rsidRPr="3260C0B3">
        <w:t xml:space="preserve"> NAWC supports decoupling broadly as a best practice in utility regulation and aligns with </w:t>
      </w:r>
      <w:r w:rsidRPr="3260C0B3" w:rsidR="00EB50F8">
        <w:t>Cal Water</w:t>
      </w:r>
      <w:r w:rsidR="000C0896">
        <w:rPr>
          <w:szCs w:val="26"/>
        </w:rPr>
        <w:t>’</w:t>
      </w:r>
      <w:r w:rsidRPr="3260C0B3">
        <w:t xml:space="preserve">s reasoning, urging adoption as part of modernizing </w:t>
      </w:r>
      <w:r w:rsidRPr="3260C0B3">
        <w:lastRenderedPageBreak/>
        <w:t>regulatory frameworks.</w:t>
      </w:r>
      <w:r w:rsidRPr="3260C0B3">
        <w:rPr>
          <w:rStyle w:val="FootnoteReference"/>
        </w:rPr>
        <w:footnoteReference w:id="144"/>
      </w:r>
      <w:r w:rsidRPr="3260C0B3">
        <w:t xml:space="preserve"> CWA strongly supports approval, framing decoupling as essential to aligning financial incentives with conservation.</w:t>
      </w:r>
      <w:r w:rsidRPr="3260C0B3">
        <w:rPr>
          <w:rStyle w:val="FootnoteReference"/>
        </w:rPr>
        <w:footnoteReference w:id="145"/>
      </w:r>
    </w:p>
    <w:p w:rsidRPr="00235A7B" w:rsidR="00D14ED3" w:rsidP="006037B9" w:rsidRDefault="001A36AE" w14:paraId="75EE1DD8" w14:textId="6D4A770F">
      <w:pPr>
        <w:pStyle w:val="Heading4"/>
      </w:pPr>
      <w:bookmarkStart w:name="_Toc222305266" w:id="92"/>
      <w:bookmarkStart w:name="_Toc228294693" w:id="93"/>
      <w:r w:rsidRPr="001A36AE">
        <w:t>California Water Service Company</w:t>
      </w:r>
      <w:r w:rsidR="000C0896">
        <w:t>’</w:t>
      </w:r>
      <w:r w:rsidR="00734B50">
        <w:t>s</w:t>
      </w:r>
      <w:r w:rsidRPr="00235A7B" w:rsidR="00D14ED3">
        <w:t xml:space="preserve"> Response </w:t>
      </w:r>
      <w:r w:rsidRPr="00235A7B" w:rsidR="00D5568B">
        <w:t>to</w:t>
      </w:r>
      <w:r w:rsidRPr="00235A7B" w:rsidR="00D14ED3">
        <w:t xml:space="preserve"> </w:t>
      </w:r>
      <w:r w:rsidR="00EB50F8">
        <w:t>Cal Advocates</w:t>
      </w:r>
      <w:r w:rsidR="000C0896">
        <w:t>’</w:t>
      </w:r>
      <w:r w:rsidRPr="00235A7B" w:rsidR="00D14ED3">
        <w:t xml:space="preserve"> Proposal</w:t>
      </w:r>
      <w:bookmarkEnd w:id="92"/>
      <w:bookmarkEnd w:id="93"/>
    </w:p>
    <w:p w:rsidR="00CE0158" w:rsidP="00F6655B" w:rsidRDefault="00EB50F8" w14:paraId="7012885C" w14:textId="1D1ED138">
      <w:pPr>
        <w:pStyle w:val="Standard"/>
        <w:rPr>
          <w:rFonts w:cs="Times New Roman"/>
          <w:szCs w:val="26"/>
        </w:rPr>
      </w:pPr>
      <w:r>
        <w:rPr>
          <w:szCs w:val="26"/>
        </w:rPr>
        <w:t>Cal Water</w:t>
      </w:r>
      <w:r w:rsidRPr="00235A7B" w:rsidR="00D14ED3">
        <w:rPr>
          <w:rFonts w:cs="Times New Roman"/>
          <w:szCs w:val="26"/>
        </w:rPr>
        <w:t xml:space="preserve"> disagrees with </w:t>
      </w:r>
      <w:r>
        <w:rPr>
          <w:rFonts w:cs="Times New Roman"/>
          <w:szCs w:val="26"/>
        </w:rPr>
        <w:t>Cal Advocates</w:t>
      </w:r>
      <w:r w:rsidR="000C0896">
        <w:rPr>
          <w:rFonts w:cs="Times New Roman"/>
          <w:szCs w:val="26"/>
        </w:rPr>
        <w:t>’</w:t>
      </w:r>
      <w:r w:rsidRPr="00235A7B" w:rsidR="00D14ED3">
        <w:rPr>
          <w:rFonts w:cs="Times New Roman"/>
          <w:szCs w:val="26"/>
        </w:rPr>
        <w:t xml:space="preserve"> rate design proposal, arguing in its Reply Brief that the proposal is fundamentally flawed because rate design affects revenue collection and consumption patterns, whereas decoupling stabilizes revenue and ensures timely recovery of fixed costs.</w:t>
      </w:r>
      <w:r w:rsidRPr="00235A7B" w:rsidR="00D14ED3">
        <w:rPr>
          <w:rStyle w:val="FootnoteReference"/>
          <w:rFonts w:cs="Times New Roman"/>
          <w:szCs w:val="26"/>
        </w:rPr>
        <w:footnoteReference w:id="146"/>
      </w:r>
    </w:p>
    <w:p w:rsidR="00CE0158" w:rsidP="00F6655B" w:rsidRDefault="00EB50F8" w14:paraId="1106EBC2" w14:textId="44F473E8">
      <w:pPr>
        <w:pStyle w:val="Standard"/>
        <w:rPr>
          <w:rFonts w:cs="Times New Roman"/>
          <w:szCs w:val="26"/>
        </w:rPr>
      </w:pPr>
      <w:r>
        <w:rPr>
          <w:rFonts w:cs="Times New Roman"/>
          <w:szCs w:val="26"/>
        </w:rPr>
        <w:t>Cal Water</w:t>
      </w:r>
      <w:r w:rsidRPr="00235A7B" w:rsidR="00D14ED3">
        <w:rPr>
          <w:rFonts w:cs="Times New Roman"/>
          <w:szCs w:val="26"/>
        </w:rPr>
        <w:t xml:space="preserve"> states that applying decoupling rate multipliers to a non</w:t>
      </w:r>
      <w:r w:rsidR="00270999">
        <w:rPr>
          <w:rFonts w:cs="Times New Roman"/>
          <w:szCs w:val="26"/>
        </w:rPr>
        <w:noBreakHyphen/>
      </w:r>
      <w:r w:rsidRPr="00235A7B" w:rsidR="00D14ED3">
        <w:rPr>
          <w:rFonts w:cs="Times New Roman"/>
          <w:szCs w:val="26"/>
        </w:rPr>
        <w:t>decoupled rate structure does not address impacts on total revenue needs, revenue distribution among customer classes, or the balance between fixed and volumetric charges.</w:t>
      </w:r>
      <w:r w:rsidRPr="00235A7B" w:rsidR="00D14ED3">
        <w:rPr>
          <w:rStyle w:val="FootnoteReference"/>
          <w:rFonts w:cs="Times New Roman"/>
          <w:szCs w:val="26"/>
        </w:rPr>
        <w:footnoteReference w:id="147"/>
      </w:r>
    </w:p>
    <w:p w:rsidRPr="00235A7B" w:rsidR="00D14ED3" w:rsidP="00F6655B" w:rsidRDefault="00EB50F8" w14:paraId="5D62BE89" w14:textId="50C0095C">
      <w:pPr>
        <w:pStyle w:val="Standard"/>
      </w:pPr>
      <w:r>
        <w:rPr>
          <w:rFonts w:cs="Times New Roman"/>
          <w:szCs w:val="26"/>
        </w:rPr>
        <w:t>Cal Water</w:t>
      </w:r>
      <w:r w:rsidRPr="00235A7B" w:rsidR="00D14ED3">
        <w:rPr>
          <w:rFonts w:cs="Times New Roman"/>
          <w:szCs w:val="26"/>
        </w:rPr>
        <w:t xml:space="preserve"> rejects </w:t>
      </w:r>
      <w:r>
        <w:rPr>
          <w:rFonts w:cs="Times New Roman"/>
          <w:szCs w:val="26"/>
        </w:rPr>
        <w:t>Cal Advocates</w:t>
      </w:r>
      <w:r w:rsidR="000C0896">
        <w:rPr>
          <w:rFonts w:cs="Times New Roman"/>
          <w:szCs w:val="26"/>
        </w:rPr>
        <w:t>’</w:t>
      </w:r>
      <w:r w:rsidRPr="00235A7B" w:rsidR="00D14ED3">
        <w:rPr>
          <w:rFonts w:cs="Times New Roman"/>
          <w:szCs w:val="26"/>
        </w:rPr>
        <w:t xml:space="preserve"> specific rate design Tier breakpoint adjustments.</w:t>
      </w:r>
      <w:r w:rsidRPr="00235A7B" w:rsidR="00D14ED3">
        <w:rPr>
          <w:rStyle w:val="FootnoteReference"/>
          <w:rFonts w:cs="Times New Roman"/>
          <w:szCs w:val="26"/>
        </w:rPr>
        <w:footnoteReference w:id="148"/>
      </w:r>
      <w:r w:rsidRPr="00235A7B" w:rsidR="00D14ED3">
        <w:rPr>
          <w:rFonts w:cs="Times New Roman"/>
          <w:szCs w:val="26"/>
        </w:rPr>
        <w:t xml:space="preserve"> </w:t>
      </w:r>
      <w:r>
        <w:rPr>
          <w:rFonts w:cs="Times New Roman"/>
          <w:szCs w:val="26"/>
        </w:rPr>
        <w:t>Cal Water</w:t>
      </w:r>
      <w:r w:rsidRPr="00235A7B" w:rsidR="00D14ED3">
        <w:rPr>
          <w:rFonts w:cs="Times New Roman"/>
          <w:szCs w:val="26"/>
        </w:rPr>
        <w:t xml:space="preserve"> believes that </w:t>
      </w:r>
      <w:r>
        <w:rPr>
          <w:rFonts w:cs="Times New Roman"/>
          <w:szCs w:val="26"/>
        </w:rPr>
        <w:t>Cal Advocates</w:t>
      </w:r>
      <w:r w:rsidR="000C0896">
        <w:rPr>
          <w:rFonts w:cs="Times New Roman"/>
          <w:szCs w:val="26"/>
        </w:rPr>
        <w:t>’</w:t>
      </w:r>
      <w:r w:rsidRPr="00235A7B" w:rsidR="00D14ED3">
        <w:rPr>
          <w:rFonts w:cs="Times New Roman"/>
          <w:szCs w:val="26"/>
        </w:rPr>
        <w:t xml:space="preserve"> proposed </w:t>
      </w:r>
      <w:r>
        <w:rPr>
          <w:rFonts w:cs="Times New Roman"/>
          <w:szCs w:val="26"/>
        </w:rPr>
        <w:t>Tier 1</w:t>
      </w:r>
      <w:r w:rsidRPr="00235A7B" w:rsidR="00D14ED3">
        <w:rPr>
          <w:rFonts w:cs="Times New Roman"/>
          <w:szCs w:val="26"/>
        </w:rPr>
        <w:t xml:space="preserve"> breakpoints violate D.20</w:t>
      </w:r>
      <w:r w:rsidR="00270999">
        <w:rPr>
          <w:rFonts w:cs="Times New Roman"/>
          <w:szCs w:val="26"/>
        </w:rPr>
        <w:noBreakHyphen/>
      </w:r>
      <w:r w:rsidRPr="00235A7B" w:rsidR="00D14ED3">
        <w:rPr>
          <w:rFonts w:cs="Times New Roman"/>
          <w:szCs w:val="26"/>
        </w:rPr>
        <w:t>07</w:t>
      </w:r>
      <w:r w:rsidR="00270999">
        <w:rPr>
          <w:rFonts w:cs="Times New Roman"/>
          <w:szCs w:val="26"/>
        </w:rPr>
        <w:noBreakHyphen/>
      </w:r>
      <w:r w:rsidRPr="00235A7B" w:rsidR="00D14ED3">
        <w:rPr>
          <w:rFonts w:cs="Times New Roman"/>
          <w:szCs w:val="26"/>
        </w:rPr>
        <w:t>032 by falling below the minimum essential water threshold of 6</w:t>
      </w:r>
      <w:r w:rsidR="005350B3">
        <w:rPr>
          <w:rFonts w:cs="Times New Roman"/>
          <w:szCs w:val="26"/>
        </w:rPr>
        <w:t> CCF</w:t>
      </w:r>
      <w:r w:rsidRPr="00235A7B" w:rsidR="00D14ED3">
        <w:rPr>
          <w:rFonts w:cs="Times New Roman"/>
          <w:szCs w:val="26"/>
        </w:rPr>
        <w:t xml:space="preserve"> per month in several areas and that </w:t>
      </w:r>
      <w:r>
        <w:rPr>
          <w:rFonts w:cs="Times New Roman"/>
          <w:szCs w:val="26"/>
        </w:rPr>
        <w:t>Cal Advocates</w:t>
      </w:r>
      <w:r w:rsidRPr="00235A7B" w:rsidR="00D14ED3">
        <w:rPr>
          <w:rFonts w:cs="Times New Roman"/>
          <w:szCs w:val="26"/>
        </w:rPr>
        <w:t xml:space="preserve"> misinterprets legislative intent aimed at city</w:t>
      </w:r>
      <w:r w:rsidR="00270999">
        <w:rPr>
          <w:rFonts w:cs="Times New Roman"/>
          <w:szCs w:val="26"/>
        </w:rPr>
        <w:noBreakHyphen/>
      </w:r>
      <w:r w:rsidRPr="00235A7B" w:rsidR="00D14ED3">
        <w:rPr>
          <w:rFonts w:cs="Times New Roman"/>
          <w:szCs w:val="26"/>
        </w:rPr>
        <w:t>wide water</w:t>
      </w:r>
      <w:r w:rsidR="00270999">
        <w:rPr>
          <w:rFonts w:cs="Times New Roman"/>
          <w:szCs w:val="26"/>
        </w:rPr>
        <w:noBreakHyphen/>
      </w:r>
      <w:r w:rsidRPr="00235A7B" w:rsidR="00D14ED3">
        <w:rPr>
          <w:rFonts w:cs="Times New Roman"/>
          <w:szCs w:val="26"/>
        </w:rPr>
        <w:t xml:space="preserve">use goals rather than individual household budgets. Concerning </w:t>
      </w:r>
      <w:r>
        <w:rPr>
          <w:rFonts w:cs="Times New Roman"/>
          <w:szCs w:val="26"/>
        </w:rPr>
        <w:t>Tier 2</w:t>
      </w:r>
      <w:r w:rsidRPr="00235A7B" w:rsidR="00D14ED3">
        <w:rPr>
          <w:rFonts w:cs="Times New Roman"/>
          <w:szCs w:val="26"/>
        </w:rPr>
        <w:t xml:space="preserve"> modifications, </w:t>
      </w:r>
      <w:r>
        <w:rPr>
          <w:rFonts w:cs="Times New Roman"/>
          <w:szCs w:val="26"/>
        </w:rPr>
        <w:t>Cal Water</w:t>
      </w:r>
      <w:r w:rsidRPr="00235A7B" w:rsidR="00D14ED3">
        <w:rPr>
          <w:rFonts w:cs="Times New Roman"/>
          <w:szCs w:val="26"/>
        </w:rPr>
        <w:t xml:space="preserve"> argues that although </w:t>
      </w:r>
      <w:bookmarkStart w:name="_Hlk220691835" w:id="94"/>
      <w:r>
        <w:rPr>
          <w:rFonts w:cs="Times New Roman"/>
          <w:szCs w:val="26"/>
        </w:rPr>
        <w:t>Cal Advocates</w:t>
      </w:r>
      <w:r w:rsidRPr="00235A7B" w:rsidR="00D14ED3">
        <w:rPr>
          <w:rFonts w:cs="Times New Roman"/>
          <w:szCs w:val="26"/>
        </w:rPr>
        <w:t xml:space="preserve"> recommend basing </w:t>
      </w:r>
      <w:r>
        <w:rPr>
          <w:rFonts w:cs="Times New Roman"/>
          <w:szCs w:val="26"/>
        </w:rPr>
        <w:t>Tier 2</w:t>
      </w:r>
      <w:r w:rsidRPr="00235A7B" w:rsidR="00D14ED3">
        <w:rPr>
          <w:rFonts w:cs="Times New Roman"/>
          <w:szCs w:val="26"/>
        </w:rPr>
        <w:t xml:space="preserve"> width on efficient residential outdoor use, </w:t>
      </w:r>
      <w:r>
        <w:rPr>
          <w:rFonts w:cs="Times New Roman"/>
          <w:szCs w:val="26"/>
        </w:rPr>
        <w:t>Cal Advocates</w:t>
      </w:r>
      <w:r w:rsidRPr="00235A7B" w:rsidR="00D14ED3">
        <w:rPr>
          <w:rFonts w:cs="Times New Roman"/>
          <w:szCs w:val="26"/>
        </w:rPr>
        <w:t xml:space="preserve"> </w:t>
      </w:r>
      <w:r w:rsidRPr="00235A7B" w:rsidR="00183D4C">
        <w:rPr>
          <w:rFonts w:cs="Times New Roman"/>
          <w:szCs w:val="26"/>
        </w:rPr>
        <w:t>incorrectly</w:t>
      </w:r>
      <w:r w:rsidRPr="00235A7B" w:rsidR="00D14ED3">
        <w:rPr>
          <w:rFonts w:cs="Times New Roman"/>
          <w:szCs w:val="26"/>
        </w:rPr>
        <w:t xml:space="preserve"> set its </w:t>
      </w:r>
      <w:r>
        <w:rPr>
          <w:rFonts w:cs="Times New Roman"/>
          <w:szCs w:val="26"/>
        </w:rPr>
        <w:t>Tier 2</w:t>
      </w:r>
      <w:r w:rsidRPr="00235A7B" w:rsidR="00D14ED3">
        <w:rPr>
          <w:rFonts w:cs="Times New Roman"/>
          <w:szCs w:val="26"/>
        </w:rPr>
        <w:t xml:space="preserve"> width based on the State</w:t>
      </w:r>
      <w:r w:rsidR="000C0896">
        <w:rPr>
          <w:rFonts w:cs="Times New Roman"/>
          <w:szCs w:val="26"/>
        </w:rPr>
        <w:t>’</w:t>
      </w:r>
      <w:r w:rsidRPr="00235A7B" w:rsidR="00D14ED3">
        <w:rPr>
          <w:rFonts w:cs="Times New Roman"/>
          <w:szCs w:val="26"/>
        </w:rPr>
        <w:t>s indoor residential water use standard.</w:t>
      </w:r>
      <w:bookmarkEnd w:id="94"/>
    </w:p>
    <w:p w:rsidRPr="00235A7B" w:rsidR="00D14ED3" w:rsidP="00D14ED3" w:rsidRDefault="00D14ED3" w14:paraId="30346EA7" w14:textId="77777777">
      <w:pPr>
        <w:pStyle w:val="Heading3"/>
      </w:pPr>
      <w:bookmarkStart w:name="_Toc221109052" w:id="95"/>
      <w:bookmarkStart w:name="_Toc222305267" w:id="96"/>
      <w:bookmarkStart w:name="_Toc228294694" w:id="97"/>
      <w:r w:rsidRPr="00235A7B">
        <w:lastRenderedPageBreak/>
        <w:t>Discussion</w:t>
      </w:r>
      <w:bookmarkEnd w:id="95"/>
      <w:bookmarkEnd w:id="96"/>
      <w:bookmarkEnd w:id="97"/>
    </w:p>
    <w:p w:rsidRPr="00235A7B" w:rsidR="00D14ED3" w:rsidP="00F6655B" w:rsidRDefault="00D14ED3" w14:paraId="6685D12F" w14:textId="558F9F9F">
      <w:pPr>
        <w:pStyle w:val="Standard"/>
      </w:pPr>
      <w:r w:rsidRPr="00235A7B">
        <w:rPr>
          <w:szCs w:val="26"/>
        </w:rPr>
        <w:t xml:space="preserve">Pursuant to </w:t>
      </w:r>
      <w:r w:rsidR="003A5B7D">
        <w:rPr>
          <w:szCs w:val="26"/>
        </w:rPr>
        <w:t>Pub. Util.</w:t>
      </w:r>
      <w:r w:rsidRPr="00235A7B">
        <w:rPr>
          <w:szCs w:val="26"/>
        </w:rPr>
        <w:t xml:space="preserve"> Code </w:t>
      </w:r>
      <w:r w:rsidR="00DD056F">
        <w:rPr>
          <w:szCs w:val="26"/>
        </w:rPr>
        <w:t>Section </w:t>
      </w:r>
      <w:r w:rsidRPr="00235A7B">
        <w:rPr>
          <w:szCs w:val="26"/>
        </w:rPr>
        <w:t xml:space="preserve">451, we reject </w:t>
      </w:r>
      <w:r w:rsidR="00EB50F8">
        <w:rPr>
          <w:szCs w:val="26"/>
        </w:rPr>
        <w:t>Cal Water</w:t>
      </w:r>
      <w:r w:rsidR="000C0896">
        <w:rPr>
          <w:szCs w:val="26"/>
        </w:rPr>
        <w:t>’</w:t>
      </w:r>
      <w:r w:rsidRPr="00235A7B">
        <w:rPr>
          <w:szCs w:val="26"/>
        </w:rPr>
        <w:t>s first option, proposed decoupling and the LUWEP rate design. We do not find justification to deviate from the continuation of the M</w:t>
      </w:r>
      <w:r w:rsidR="00270999">
        <w:rPr>
          <w:szCs w:val="26"/>
        </w:rPr>
        <w:noBreakHyphen/>
      </w:r>
      <w:r w:rsidRPr="00235A7B">
        <w:rPr>
          <w:szCs w:val="26"/>
        </w:rPr>
        <w:t xml:space="preserve">WRAM and ICBA. We also decline to adopt </w:t>
      </w:r>
      <w:r w:rsidR="00EB50F8">
        <w:rPr>
          <w:szCs w:val="26"/>
        </w:rPr>
        <w:t>Cal Advocates</w:t>
      </w:r>
      <w:r w:rsidR="000C0896">
        <w:rPr>
          <w:szCs w:val="26"/>
        </w:rPr>
        <w:t>’</w:t>
      </w:r>
      <w:r w:rsidRPr="00235A7B">
        <w:rPr>
          <w:szCs w:val="26"/>
        </w:rPr>
        <w:t xml:space="preserve"> rate design changes and rate multipliers.</w:t>
      </w:r>
    </w:p>
    <w:p w:rsidR="00CE0158" w:rsidP="00F6655B" w:rsidRDefault="00D14ED3" w14:paraId="7AB1E002" w14:textId="4D810E59">
      <w:pPr>
        <w:pStyle w:val="Standard"/>
        <w:rPr>
          <w:szCs w:val="26"/>
        </w:rPr>
      </w:pPr>
      <w:r w:rsidRPr="00235A7B">
        <w:rPr>
          <w:szCs w:val="26"/>
        </w:rPr>
        <w:t xml:space="preserve">The decision adopts </w:t>
      </w:r>
      <w:r w:rsidR="00EB50F8">
        <w:rPr>
          <w:szCs w:val="26"/>
        </w:rPr>
        <w:t>Cal Water</w:t>
      </w:r>
      <w:r w:rsidR="000C0896">
        <w:rPr>
          <w:szCs w:val="26"/>
        </w:rPr>
        <w:t>’</w:t>
      </w:r>
      <w:r w:rsidRPr="00235A7B">
        <w:rPr>
          <w:szCs w:val="26"/>
        </w:rPr>
        <w:t>s second option, its proposed M</w:t>
      </w:r>
      <w:r w:rsidR="00270999">
        <w:rPr>
          <w:szCs w:val="26"/>
        </w:rPr>
        <w:noBreakHyphen/>
      </w:r>
      <w:r w:rsidRPr="00235A7B">
        <w:rPr>
          <w:szCs w:val="26"/>
        </w:rPr>
        <w:t>WRAM and authorizes the implementation of SRM, with modifications for this GRC cycle, as detailed below.</w:t>
      </w:r>
    </w:p>
    <w:p w:rsidR="00CE0158" w:rsidP="00F6655B" w:rsidRDefault="00EB50F8" w14:paraId="3098154F" w14:textId="7C6FC8AE">
      <w:pPr>
        <w:pStyle w:val="Standard"/>
        <w:rPr>
          <w:szCs w:val="26"/>
        </w:rPr>
      </w:pPr>
      <w:r>
        <w:rPr>
          <w:szCs w:val="26"/>
        </w:rPr>
        <w:t>Table 5</w:t>
      </w:r>
      <w:r w:rsidRPr="00235A7B" w:rsidR="00D14ED3">
        <w:rPr>
          <w:szCs w:val="26"/>
        </w:rPr>
        <w:t xml:space="preserve"> below lists the various proposals before the Commission.</w:t>
      </w:r>
    </w:p>
    <w:p w:rsidRPr="0043491B" w:rsidR="006037B9" w:rsidP="005D00DC" w:rsidRDefault="00EB50F8" w14:paraId="36EE9927" w14:textId="35537CDD">
      <w:pPr>
        <w:pStyle w:val="TableTitleBody"/>
        <w:spacing w:after="0"/>
        <w:rPr>
          <w:b w:val="0"/>
          <w:bCs w:val="0"/>
          <w:u w:val="single"/>
        </w:rPr>
      </w:pPr>
      <w:r>
        <w:rPr>
          <w:u w:val="single"/>
        </w:rPr>
        <w:t>Table 5</w:t>
      </w:r>
    </w:p>
    <w:p w:rsidRPr="00235A7B" w:rsidR="006037B9" w:rsidP="005D00DC" w:rsidRDefault="006037B9" w14:paraId="172E5672" w14:textId="464623B6">
      <w:pPr>
        <w:pStyle w:val="TableTitleBodyT09"/>
        <w:rPr>
          <w:b/>
          <w:bCs/>
          <w:szCs w:val="26"/>
        </w:rPr>
      </w:pPr>
      <w:r w:rsidRPr="0043491B">
        <w:t>(</w:t>
      </w:r>
      <w:r>
        <w:t>Rate Design Comparison Summary</w:t>
      </w:r>
      <w:r w:rsidRPr="0043491B">
        <w:t>)</w:t>
      </w:r>
    </w:p>
    <w:tbl>
      <w:tblPr>
        <w:tblW w:w="10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4A0" w:firstRow="1" w:lastRow="0" w:firstColumn="1" w:lastColumn="0" w:noHBand="0" w:noVBand="1"/>
      </w:tblPr>
      <w:tblGrid>
        <w:gridCol w:w="1705"/>
        <w:gridCol w:w="2160"/>
        <w:gridCol w:w="2250"/>
        <w:gridCol w:w="2250"/>
        <w:gridCol w:w="2190"/>
      </w:tblGrid>
      <w:tr w:rsidRPr="00855A91" w:rsidR="00D14ED3" w:rsidTr="00315595" w14:paraId="6017FCB8" w14:textId="77777777">
        <w:trPr>
          <w:tblHeader/>
          <w:jc w:val="center"/>
        </w:trPr>
        <w:tc>
          <w:tcPr>
            <w:tcW w:w="1705" w:type="dxa"/>
            <w:shd w:val="clear" w:color="auto" w:fill="D9D9D9" w:themeFill="background1" w:themeFillShade="D9"/>
            <w:tcMar>
              <w:top w:w="0" w:type="dxa"/>
              <w:left w:w="108" w:type="dxa"/>
              <w:bottom w:w="0" w:type="dxa"/>
              <w:right w:w="108" w:type="dxa"/>
            </w:tcMar>
            <w:vAlign w:val="bottom"/>
            <w:hideMark/>
          </w:tcPr>
          <w:p w:rsidRPr="00855A91" w:rsidR="00726F91" w:rsidP="00315595" w:rsidRDefault="00D14ED3" w14:paraId="4E0B8228" w14:textId="77777777">
            <w:pPr>
              <w:keepNext/>
              <w:spacing w:line="240" w:lineRule="auto"/>
              <w:ind w:firstLine="0"/>
              <w:rPr>
                <w:rFonts w:eastAsia="Calibri" w:cs="Aptos"/>
                <w:b/>
                <w:sz w:val="20"/>
                <w:szCs w:val="20"/>
              </w:rPr>
            </w:pPr>
            <w:r w:rsidRPr="00855A91">
              <w:rPr>
                <w:rFonts w:eastAsia="Calibri" w:cs="Aptos"/>
                <w:b/>
                <w:sz w:val="20"/>
                <w:szCs w:val="20"/>
              </w:rPr>
              <w:t>Rate Design</w:t>
            </w:r>
          </w:p>
          <w:p w:rsidRPr="00855A91" w:rsidR="00D14ED3" w:rsidP="00315595" w:rsidRDefault="00D14ED3" w14:paraId="4ACA7500" w14:textId="2B5DF1A1">
            <w:pPr>
              <w:keepNext/>
              <w:spacing w:line="240" w:lineRule="auto"/>
              <w:ind w:firstLine="0"/>
              <w:rPr>
                <w:rFonts w:eastAsia="Calibri" w:cs="Aptos"/>
                <w:b/>
                <w:sz w:val="20"/>
                <w:szCs w:val="20"/>
              </w:rPr>
            </w:pPr>
            <w:r w:rsidRPr="00855A91">
              <w:rPr>
                <w:rFonts w:eastAsia="Calibri" w:cs="Aptos"/>
                <w:b/>
                <w:sz w:val="20"/>
                <w:szCs w:val="20"/>
              </w:rPr>
              <w:t>Components</w:t>
            </w:r>
          </w:p>
        </w:tc>
        <w:tc>
          <w:tcPr>
            <w:tcW w:w="2160" w:type="dxa"/>
            <w:shd w:val="clear" w:color="auto" w:fill="D9D9D9" w:themeFill="background1" w:themeFillShade="D9"/>
            <w:tcMar>
              <w:top w:w="0" w:type="dxa"/>
              <w:left w:w="108" w:type="dxa"/>
              <w:bottom w:w="0" w:type="dxa"/>
              <w:right w:w="108" w:type="dxa"/>
            </w:tcMar>
            <w:vAlign w:val="bottom"/>
            <w:hideMark/>
          </w:tcPr>
          <w:p w:rsidRPr="00855A91" w:rsidR="00726F91" w:rsidP="00315595" w:rsidRDefault="00D14ED3" w14:paraId="74CAE23F" w14:textId="77777777">
            <w:pPr>
              <w:keepNext/>
              <w:spacing w:line="240" w:lineRule="auto"/>
              <w:ind w:firstLine="0"/>
              <w:rPr>
                <w:rFonts w:eastAsia="Calibri" w:cs="Aptos"/>
                <w:b/>
                <w:sz w:val="20"/>
                <w:szCs w:val="20"/>
              </w:rPr>
            </w:pPr>
            <w:r w:rsidRPr="00855A91">
              <w:rPr>
                <w:rFonts w:eastAsia="Calibri" w:cs="Aptos"/>
                <w:b/>
                <w:sz w:val="20"/>
                <w:szCs w:val="20"/>
              </w:rPr>
              <w:t>Current</w:t>
            </w:r>
          </w:p>
          <w:p w:rsidRPr="00855A91" w:rsidR="00726F91" w:rsidP="00315595" w:rsidRDefault="00D14ED3" w14:paraId="3E690CF6" w14:textId="68E568BA">
            <w:pPr>
              <w:keepNext/>
              <w:spacing w:line="240" w:lineRule="auto"/>
              <w:ind w:firstLine="0"/>
              <w:rPr>
                <w:rFonts w:eastAsia="Calibri" w:cs="Aptos"/>
                <w:b/>
                <w:sz w:val="20"/>
                <w:szCs w:val="20"/>
              </w:rPr>
            </w:pPr>
            <w:r w:rsidRPr="00855A91">
              <w:rPr>
                <w:rFonts w:eastAsia="Calibri" w:cs="Aptos"/>
                <w:b/>
                <w:sz w:val="20"/>
                <w:szCs w:val="20"/>
              </w:rPr>
              <w:t>M</w:t>
            </w:r>
            <w:r w:rsidR="00270999">
              <w:rPr>
                <w:rFonts w:eastAsia="Calibri" w:cs="Aptos"/>
                <w:b/>
                <w:sz w:val="20"/>
                <w:szCs w:val="20"/>
              </w:rPr>
              <w:noBreakHyphen/>
            </w:r>
            <w:r w:rsidRPr="00855A91">
              <w:rPr>
                <w:rFonts w:eastAsia="Calibri" w:cs="Aptos"/>
                <w:b/>
                <w:sz w:val="20"/>
                <w:szCs w:val="20"/>
              </w:rPr>
              <w:t>WRAM</w:t>
            </w:r>
          </w:p>
          <w:p w:rsidRPr="00855A91" w:rsidR="00D14ED3" w:rsidP="00315595" w:rsidRDefault="00D14ED3" w14:paraId="53F74FF9" w14:textId="60F1FC4D">
            <w:pPr>
              <w:keepNext/>
              <w:spacing w:line="240" w:lineRule="auto"/>
              <w:ind w:firstLine="0"/>
              <w:rPr>
                <w:rFonts w:eastAsia="Calibri" w:cs="Aptos"/>
                <w:b/>
                <w:sz w:val="20"/>
                <w:szCs w:val="20"/>
              </w:rPr>
            </w:pPr>
            <w:r w:rsidRPr="00855A91">
              <w:rPr>
                <w:rFonts w:eastAsia="Calibri" w:cs="Aptos"/>
                <w:b/>
                <w:sz w:val="20"/>
                <w:szCs w:val="20"/>
              </w:rPr>
              <w:t>Rate Design</w:t>
            </w:r>
            <w:r w:rsidRPr="00855A91">
              <w:rPr>
                <w:rStyle w:val="FootnoteReference"/>
                <w:rFonts w:eastAsia="Calibri" w:cs="Aptos"/>
                <w:b/>
                <w:sz w:val="20"/>
                <w:szCs w:val="20"/>
              </w:rPr>
              <w:footnoteReference w:id="149"/>
            </w:r>
          </w:p>
        </w:tc>
        <w:tc>
          <w:tcPr>
            <w:tcW w:w="2250" w:type="dxa"/>
            <w:shd w:val="clear" w:color="auto" w:fill="D9D9D9" w:themeFill="background1" w:themeFillShade="D9"/>
            <w:tcMar>
              <w:top w:w="0" w:type="dxa"/>
              <w:left w:w="108" w:type="dxa"/>
              <w:bottom w:w="0" w:type="dxa"/>
              <w:right w:w="108" w:type="dxa"/>
            </w:tcMar>
            <w:vAlign w:val="bottom"/>
            <w:hideMark/>
          </w:tcPr>
          <w:p w:rsidRPr="00855A91" w:rsidR="00726F91" w:rsidP="00315595" w:rsidRDefault="00D14ED3" w14:paraId="79C7E85B" w14:textId="77777777">
            <w:pPr>
              <w:keepNext/>
              <w:spacing w:line="240" w:lineRule="auto"/>
              <w:ind w:firstLine="0"/>
              <w:rPr>
                <w:rFonts w:eastAsia="Calibri" w:cs="Aptos"/>
                <w:b/>
                <w:sz w:val="20"/>
                <w:szCs w:val="20"/>
              </w:rPr>
            </w:pPr>
            <w:r w:rsidRPr="00855A91">
              <w:rPr>
                <w:rFonts w:eastAsia="Calibri" w:cs="Aptos"/>
                <w:b/>
                <w:sz w:val="20"/>
                <w:szCs w:val="20"/>
              </w:rPr>
              <w:t>Proposed LUWEP</w:t>
            </w:r>
          </w:p>
          <w:p w:rsidRPr="00855A91" w:rsidR="00726F91" w:rsidP="00315595" w:rsidRDefault="00D14ED3" w14:paraId="7D8B0FB2" w14:textId="4886E339">
            <w:pPr>
              <w:keepNext/>
              <w:spacing w:line="240" w:lineRule="auto"/>
              <w:ind w:firstLine="0"/>
              <w:rPr>
                <w:rFonts w:eastAsia="Calibri" w:cs="Aptos"/>
                <w:b/>
                <w:sz w:val="20"/>
                <w:szCs w:val="20"/>
              </w:rPr>
            </w:pPr>
            <w:r w:rsidRPr="00855A91">
              <w:rPr>
                <w:rFonts w:eastAsia="Calibri" w:cs="Aptos"/>
                <w:b/>
                <w:sz w:val="20"/>
                <w:szCs w:val="20"/>
              </w:rPr>
              <w:t>(Decoupling)</w:t>
            </w:r>
          </w:p>
          <w:p w:rsidRPr="00855A91" w:rsidR="00D14ED3" w:rsidP="00315595" w:rsidRDefault="00D14ED3" w14:paraId="51C3EE87" w14:textId="6A0C865A">
            <w:pPr>
              <w:keepNext/>
              <w:spacing w:line="240" w:lineRule="auto"/>
              <w:ind w:firstLine="0"/>
              <w:rPr>
                <w:rFonts w:eastAsia="Calibri" w:cs="Aptos"/>
                <w:b/>
                <w:sz w:val="20"/>
                <w:szCs w:val="20"/>
              </w:rPr>
            </w:pPr>
            <w:r w:rsidRPr="00855A91">
              <w:rPr>
                <w:rFonts w:eastAsia="Calibri" w:cs="Aptos"/>
                <w:b/>
                <w:sz w:val="20"/>
                <w:szCs w:val="20"/>
              </w:rPr>
              <w:t>Rate Design</w:t>
            </w:r>
          </w:p>
        </w:tc>
        <w:tc>
          <w:tcPr>
            <w:tcW w:w="2250" w:type="dxa"/>
            <w:shd w:val="clear" w:color="auto" w:fill="D9D9D9" w:themeFill="background1" w:themeFillShade="D9"/>
            <w:tcMar>
              <w:top w:w="0" w:type="dxa"/>
              <w:left w:w="108" w:type="dxa"/>
              <w:bottom w:w="0" w:type="dxa"/>
              <w:right w:w="108" w:type="dxa"/>
            </w:tcMar>
            <w:vAlign w:val="bottom"/>
            <w:hideMark/>
          </w:tcPr>
          <w:p w:rsidRPr="00855A91" w:rsidR="00726F91" w:rsidP="00315595" w:rsidRDefault="00D14ED3" w14:paraId="15ABAE45" w14:textId="57415F6F">
            <w:pPr>
              <w:keepNext/>
              <w:spacing w:line="240" w:lineRule="auto"/>
              <w:ind w:firstLine="0"/>
              <w:rPr>
                <w:rFonts w:eastAsia="Calibri" w:cs="Aptos"/>
                <w:b/>
                <w:sz w:val="20"/>
                <w:szCs w:val="20"/>
              </w:rPr>
            </w:pPr>
            <w:r w:rsidRPr="00855A91">
              <w:rPr>
                <w:rFonts w:eastAsia="Calibri" w:cs="Aptos"/>
                <w:b/>
                <w:sz w:val="20"/>
                <w:szCs w:val="20"/>
              </w:rPr>
              <w:t>Proposed M</w:t>
            </w:r>
            <w:r w:rsidR="00270999">
              <w:rPr>
                <w:rFonts w:eastAsia="Calibri" w:cs="Aptos"/>
                <w:b/>
                <w:sz w:val="20"/>
                <w:szCs w:val="20"/>
              </w:rPr>
              <w:noBreakHyphen/>
            </w:r>
            <w:r w:rsidRPr="00855A91">
              <w:rPr>
                <w:rFonts w:eastAsia="Calibri" w:cs="Aptos"/>
                <w:b/>
                <w:sz w:val="20"/>
                <w:szCs w:val="20"/>
              </w:rPr>
              <w:t>WRAM</w:t>
            </w:r>
          </w:p>
          <w:p w:rsidRPr="00855A91" w:rsidR="00726F91" w:rsidP="00315595" w:rsidRDefault="00D14ED3" w14:paraId="6B1567C7" w14:textId="50A644D6">
            <w:pPr>
              <w:keepNext/>
              <w:spacing w:line="240" w:lineRule="auto"/>
              <w:ind w:firstLine="0"/>
              <w:rPr>
                <w:rFonts w:eastAsia="Calibri" w:cs="Aptos"/>
                <w:b/>
                <w:bCs/>
                <w:sz w:val="20"/>
                <w:szCs w:val="20"/>
              </w:rPr>
            </w:pPr>
            <w:r w:rsidRPr="00855A91">
              <w:rPr>
                <w:rFonts w:eastAsia="Calibri" w:cs="Aptos"/>
                <w:b/>
                <w:sz w:val="20"/>
                <w:szCs w:val="20"/>
              </w:rPr>
              <w:t>(Alternate</w:t>
            </w:r>
            <w:r w:rsidRPr="00855A91" w:rsidR="00726F91">
              <w:rPr>
                <w:rFonts w:eastAsia="Calibri" w:cs="Aptos"/>
                <w:b/>
                <w:sz w:val="20"/>
                <w:szCs w:val="20"/>
              </w:rPr>
              <w:t> </w:t>
            </w:r>
            <w:r w:rsidRPr="00855A91">
              <w:rPr>
                <w:rFonts w:eastAsia="Calibri" w:cs="Aptos"/>
                <w:b/>
                <w:sz w:val="20"/>
                <w:szCs w:val="20"/>
              </w:rPr>
              <w:t>/</w:t>
            </w:r>
          </w:p>
          <w:p w:rsidRPr="00855A91" w:rsidR="00726F91" w:rsidP="00315595" w:rsidRDefault="00D14ED3" w14:paraId="3C31B063" w14:textId="7EBB5C7E">
            <w:pPr>
              <w:keepNext/>
              <w:spacing w:line="240" w:lineRule="auto"/>
              <w:ind w:firstLine="0"/>
              <w:rPr>
                <w:rFonts w:eastAsia="Calibri" w:cs="Aptos"/>
                <w:b/>
                <w:sz w:val="20"/>
                <w:szCs w:val="20"/>
              </w:rPr>
            </w:pPr>
            <w:r w:rsidRPr="00855A91">
              <w:rPr>
                <w:rFonts w:eastAsia="Calibri" w:cs="Aptos"/>
                <w:b/>
                <w:sz w:val="20"/>
                <w:szCs w:val="20"/>
              </w:rPr>
              <w:t>Non</w:t>
            </w:r>
            <w:r w:rsidR="00270999">
              <w:rPr>
                <w:rFonts w:eastAsia="Calibri" w:cs="Aptos"/>
                <w:b/>
                <w:sz w:val="20"/>
                <w:szCs w:val="20"/>
              </w:rPr>
              <w:noBreakHyphen/>
            </w:r>
            <w:r w:rsidRPr="00855A91">
              <w:rPr>
                <w:rFonts w:eastAsia="Calibri" w:cs="Aptos"/>
                <w:b/>
                <w:sz w:val="20"/>
                <w:szCs w:val="20"/>
              </w:rPr>
              <w:t>Decoupling)</w:t>
            </w:r>
          </w:p>
          <w:p w:rsidRPr="00855A91" w:rsidR="00D14ED3" w:rsidP="00315595" w:rsidRDefault="00D14ED3" w14:paraId="64A2A089" w14:textId="0B6BA8A6">
            <w:pPr>
              <w:keepNext/>
              <w:spacing w:line="240" w:lineRule="auto"/>
              <w:ind w:firstLine="0"/>
              <w:rPr>
                <w:rFonts w:eastAsia="Calibri" w:cs="Aptos"/>
                <w:b/>
                <w:sz w:val="20"/>
                <w:szCs w:val="20"/>
              </w:rPr>
            </w:pPr>
            <w:r w:rsidRPr="00855A91">
              <w:rPr>
                <w:rFonts w:eastAsia="Calibri" w:cs="Aptos"/>
                <w:b/>
                <w:sz w:val="20"/>
                <w:szCs w:val="20"/>
              </w:rPr>
              <w:t>Rate Design</w:t>
            </w:r>
          </w:p>
        </w:tc>
        <w:tc>
          <w:tcPr>
            <w:tcW w:w="2190" w:type="dxa"/>
            <w:shd w:val="clear" w:color="auto" w:fill="D9D9D9" w:themeFill="background1" w:themeFillShade="D9"/>
            <w:vAlign w:val="bottom"/>
          </w:tcPr>
          <w:p w:rsidR="0094401A" w:rsidP="00315595" w:rsidRDefault="00EB50F8" w14:paraId="308358BF" w14:textId="4D22D78D">
            <w:pPr>
              <w:keepNext/>
              <w:spacing w:line="240" w:lineRule="auto"/>
              <w:ind w:firstLine="0"/>
              <w:rPr>
                <w:rFonts w:eastAsia="Calibri" w:cs="Aptos"/>
                <w:b/>
                <w:bCs/>
                <w:sz w:val="20"/>
                <w:szCs w:val="20"/>
              </w:rPr>
            </w:pPr>
            <w:r>
              <w:rPr>
                <w:rFonts w:eastAsia="Calibri" w:cs="Aptos"/>
                <w:b/>
                <w:bCs/>
                <w:sz w:val="20"/>
                <w:szCs w:val="20"/>
              </w:rPr>
              <w:t>Cal Advocates</w:t>
            </w:r>
            <w:r w:rsidRPr="00855A91" w:rsidR="00D14ED3">
              <w:rPr>
                <w:rFonts w:eastAsia="Calibri" w:cs="Aptos"/>
                <w:b/>
                <w:bCs/>
                <w:sz w:val="20"/>
                <w:szCs w:val="20"/>
              </w:rPr>
              <w:t xml:space="preserve"> Rate</w:t>
            </w:r>
          </w:p>
          <w:p w:rsidRPr="00855A91" w:rsidR="00D14ED3" w:rsidP="00315595" w:rsidRDefault="00D14ED3" w14:paraId="4DF58C66" w14:textId="05B29ED1">
            <w:pPr>
              <w:keepNext/>
              <w:spacing w:line="240" w:lineRule="auto"/>
              <w:ind w:firstLine="0"/>
              <w:rPr>
                <w:rFonts w:eastAsia="Calibri" w:cs="Aptos"/>
                <w:b/>
                <w:bCs/>
                <w:sz w:val="20"/>
                <w:szCs w:val="20"/>
              </w:rPr>
            </w:pPr>
            <w:r w:rsidRPr="00855A91">
              <w:rPr>
                <w:rFonts w:eastAsia="Calibri" w:cs="Aptos"/>
                <w:b/>
                <w:bCs/>
                <w:sz w:val="20"/>
                <w:szCs w:val="20"/>
              </w:rPr>
              <w:t>Design Proposal</w:t>
            </w:r>
          </w:p>
        </w:tc>
      </w:tr>
      <w:tr w:rsidRPr="00855A91" w:rsidR="00D14ED3" w:rsidTr="00315595" w14:paraId="04E43822" w14:textId="77777777">
        <w:trPr>
          <w:jc w:val="center"/>
        </w:trPr>
        <w:tc>
          <w:tcPr>
            <w:tcW w:w="1705" w:type="dxa"/>
            <w:tcMar>
              <w:top w:w="0" w:type="dxa"/>
              <w:left w:w="108" w:type="dxa"/>
              <w:bottom w:w="0" w:type="dxa"/>
              <w:right w:w="108" w:type="dxa"/>
            </w:tcMar>
            <w:hideMark/>
          </w:tcPr>
          <w:p w:rsidRPr="00855A91" w:rsidR="00D14ED3" w:rsidP="00315595" w:rsidRDefault="00D14ED3" w14:paraId="13470C9E" w14:textId="77777777">
            <w:pPr>
              <w:spacing w:line="240" w:lineRule="auto"/>
              <w:ind w:firstLine="0"/>
              <w:rPr>
                <w:rFonts w:eastAsia="Calibri" w:cs="Aptos"/>
                <w:sz w:val="20"/>
                <w:szCs w:val="20"/>
              </w:rPr>
            </w:pPr>
            <w:r w:rsidRPr="00855A91">
              <w:rPr>
                <w:rFonts w:eastAsia="Calibri" w:cs="Aptos"/>
                <w:sz w:val="20"/>
                <w:szCs w:val="20"/>
              </w:rPr>
              <w:t>Fixed charges</w:t>
            </w:r>
          </w:p>
        </w:tc>
        <w:tc>
          <w:tcPr>
            <w:tcW w:w="2160" w:type="dxa"/>
            <w:tcMar>
              <w:top w:w="0" w:type="dxa"/>
              <w:left w:w="108" w:type="dxa"/>
              <w:bottom w:w="0" w:type="dxa"/>
              <w:right w:w="108" w:type="dxa"/>
            </w:tcMar>
            <w:hideMark/>
          </w:tcPr>
          <w:p w:rsidRPr="00855A91" w:rsidR="00D14ED3" w:rsidP="00315595" w:rsidRDefault="00D14ED3" w14:paraId="27BBC0D9" w14:textId="662AB753">
            <w:pPr>
              <w:spacing w:line="240" w:lineRule="auto"/>
              <w:ind w:firstLine="0"/>
              <w:rPr>
                <w:rFonts w:eastAsia="Calibri" w:cs="Aptos"/>
                <w:sz w:val="20"/>
                <w:szCs w:val="20"/>
              </w:rPr>
            </w:pPr>
            <w:r w:rsidRPr="00855A91">
              <w:rPr>
                <w:rFonts w:eastAsia="Calibri" w:cs="Aptos"/>
                <w:sz w:val="20"/>
                <w:szCs w:val="20"/>
              </w:rPr>
              <w:t>Meter charge covers 50</w:t>
            </w:r>
            <w:r w:rsidR="0036632E">
              <w:rPr>
                <w:rFonts w:eastAsia="Calibri" w:cs="Aptos"/>
                <w:sz w:val="20"/>
                <w:szCs w:val="20"/>
              </w:rPr>
              <w:t>-60</w:t>
            </w:r>
            <w:r w:rsidRPr="00855A91">
              <w:rPr>
                <w:rFonts w:eastAsia="Calibri" w:cs="Aptos"/>
                <w:sz w:val="20"/>
                <w:szCs w:val="20"/>
              </w:rPr>
              <w:t>% of fixed costs in each district (with slight variance)</w:t>
            </w:r>
          </w:p>
        </w:tc>
        <w:tc>
          <w:tcPr>
            <w:tcW w:w="2250" w:type="dxa"/>
            <w:tcMar>
              <w:top w:w="0" w:type="dxa"/>
              <w:left w:w="108" w:type="dxa"/>
              <w:bottom w:w="0" w:type="dxa"/>
              <w:right w:w="108" w:type="dxa"/>
            </w:tcMar>
            <w:hideMark/>
          </w:tcPr>
          <w:p w:rsidRPr="00855A91" w:rsidR="00D14ED3" w:rsidP="00315595" w:rsidRDefault="00D14ED3" w14:paraId="68E20831" w14:textId="77777777">
            <w:pPr>
              <w:spacing w:line="240" w:lineRule="auto"/>
              <w:ind w:firstLine="0"/>
              <w:rPr>
                <w:rFonts w:eastAsia="Calibri" w:cs="Aptos"/>
                <w:sz w:val="20"/>
                <w:szCs w:val="20"/>
              </w:rPr>
            </w:pPr>
            <w:r w:rsidRPr="00855A91">
              <w:rPr>
                <w:rFonts w:eastAsia="Calibri" w:cs="Aptos"/>
                <w:sz w:val="20"/>
                <w:szCs w:val="20"/>
              </w:rPr>
              <w:t>Down 10% in each district from the current rate design</w:t>
            </w:r>
          </w:p>
        </w:tc>
        <w:tc>
          <w:tcPr>
            <w:tcW w:w="2250" w:type="dxa"/>
            <w:tcMar>
              <w:top w:w="0" w:type="dxa"/>
              <w:left w:w="108" w:type="dxa"/>
              <w:bottom w:w="0" w:type="dxa"/>
              <w:right w:w="108" w:type="dxa"/>
            </w:tcMar>
            <w:hideMark/>
          </w:tcPr>
          <w:p w:rsidRPr="00855A91" w:rsidR="00D14ED3" w:rsidP="00315595" w:rsidRDefault="00D14ED3" w14:paraId="426124F4" w14:textId="04602557">
            <w:pPr>
              <w:spacing w:line="240" w:lineRule="auto"/>
              <w:ind w:firstLine="0"/>
              <w:rPr>
                <w:rFonts w:eastAsia="Calibri" w:cs="Aptos"/>
                <w:sz w:val="20"/>
                <w:szCs w:val="20"/>
              </w:rPr>
            </w:pPr>
            <w:r w:rsidRPr="00855A91">
              <w:rPr>
                <w:rFonts w:eastAsia="Calibri" w:cs="Aptos"/>
                <w:sz w:val="20"/>
                <w:szCs w:val="20"/>
              </w:rPr>
              <w:t xml:space="preserve">Up </w:t>
            </w:r>
            <w:r w:rsidR="00864D27">
              <w:rPr>
                <w:rFonts w:eastAsia="Calibri" w:cs="Aptos"/>
                <w:sz w:val="20"/>
                <w:szCs w:val="20"/>
              </w:rPr>
              <w:t>5</w:t>
            </w:r>
            <w:r w:rsidRPr="00855A91">
              <w:rPr>
                <w:rFonts w:eastAsia="Calibri" w:cs="Aptos"/>
                <w:sz w:val="20"/>
                <w:szCs w:val="20"/>
              </w:rPr>
              <w:t>% in each district from the current rate design (</w:t>
            </w:r>
            <w:r w:rsidR="00864D27">
              <w:rPr>
                <w:rFonts w:eastAsia="Calibri" w:cs="Aptos"/>
                <w:sz w:val="20"/>
                <w:szCs w:val="20"/>
              </w:rPr>
              <w:t>55</w:t>
            </w:r>
            <w:r w:rsidR="00677586">
              <w:rPr>
                <w:rFonts w:eastAsia="Calibri" w:cs="Aptos"/>
                <w:sz w:val="20"/>
                <w:szCs w:val="20"/>
              </w:rPr>
              <w:t>-65%</w:t>
            </w:r>
            <w:r w:rsidRPr="00855A91">
              <w:rPr>
                <w:rFonts w:eastAsia="Calibri" w:cs="Aptos"/>
                <w:sz w:val="20"/>
                <w:szCs w:val="20"/>
              </w:rPr>
              <w:t xml:space="preserve"> fixed costs)</w:t>
            </w:r>
          </w:p>
        </w:tc>
        <w:tc>
          <w:tcPr>
            <w:tcW w:w="2190" w:type="dxa"/>
          </w:tcPr>
          <w:p w:rsidRPr="00855A91" w:rsidR="00D14ED3" w:rsidP="00315595" w:rsidRDefault="00D14ED3" w14:paraId="23D386B9" w14:textId="77777777">
            <w:pPr>
              <w:spacing w:line="240" w:lineRule="auto"/>
              <w:ind w:firstLine="0"/>
              <w:rPr>
                <w:rFonts w:eastAsia="Calibri" w:cs="Aptos"/>
                <w:sz w:val="20"/>
                <w:szCs w:val="20"/>
              </w:rPr>
            </w:pPr>
            <w:r w:rsidRPr="00855A91">
              <w:rPr>
                <w:rFonts w:eastAsia="Calibri" w:cs="Aptos"/>
                <w:sz w:val="20"/>
                <w:szCs w:val="20"/>
              </w:rPr>
              <w:t>Not specified.</w:t>
            </w:r>
          </w:p>
        </w:tc>
      </w:tr>
      <w:tr w:rsidRPr="00855A91" w:rsidR="00D14ED3" w:rsidTr="00315595" w14:paraId="6948E7CE" w14:textId="77777777">
        <w:trPr>
          <w:jc w:val="center"/>
        </w:trPr>
        <w:tc>
          <w:tcPr>
            <w:tcW w:w="1705" w:type="dxa"/>
            <w:tcMar>
              <w:top w:w="0" w:type="dxa"/>
              <w:left w:w="108" w:type="dxa"/>
              <w:bottom w:w="0" w:type="dxa"/>
              <w:right w:w="108" w:type="dxa"/>
            </w:tcMar>
            <w:hideMark/>
          </w:tcPr>
          <w:p w:rsidRPr="00855A91" w:rsidR="00D14ED3" w:rsidP="00315595" w:rsidRDefault="00D14ED3" w14:paraId="424A2A6C" w14:textId="77777777">
            <w:pPr>
              <w:spacing w:line="240" w:lineRule="auto"/>
              <w:ind w:firstLine="0"/>
              <w:rPr>
                <w:rFonts w:eastAsia="Calibri" w:cs="Aptos"/>
                <w:sz w:val="20"/>
                <w:szCs w:val="20"/>
              </w:rPr>
            </w:pPr>
            <w:r w:rsidRPr="00855A91">
              <w:rPr>
                <w:rFonts w:eastAsia="Calibri" w:cs="Aptos"/>
                <w:sz w:val="20"/>
                <w:szCs w:val="20"/>
              </w:rPr>
              <w:t>Tiers multipliers (steepness)</w:t>
            </w:r>
          </w:p>
        </w:tc>
        <w:tc>
          <w:tcPr>
            <w:tcW w:w="2160" w:type="dxa"/>
            <w:tcMar>
              <w:top w:w="0" w:type="dxa"/>
              <w:left w:w="108" w:type="dxa"/>
              <w:bottom w:w="0" w:type="dxa"/>
              <w:right w:w="108" w:type="dxa"/>
            </w:tcMar>
            <w:hideMark/>
          </w:tcPr>
          <w:p w:rsidRPr="00855A91" w:rsidR="00D14ED3" w:rsidP="00315595" w:rsidRDefault="00EB50F8" w14:paraId="324A424F" w14:textId="71540999">
            <w:pPr>
              <w:spacing w:after="120" w:line="240" w:lineRule="auto"/>
              <w:ind w:firstLine="0"/>
              <w:rPr>
                <w:rFonts w:eastAsia="Calibri" w:cs="Aptos"/>
                <w:sz w:val="20"/>
                <w:szCs w:val="20"/>
              </w:rPr>
            </w:pPr>
            <w:r>
              <w:rPr>
                <w:rFonts w:eastAsia="Calibri" w:cs="Aptos"/>
                <w:sz w:val="20"/>
                <w:szCs w:val="20"/>
                <w:u w:val="single"/>
              </w:rPr>
              <w:t>Tier 1</w:t>
            </w:r>
            <w:r w:rsidR="000C0896">
              <w:rPr>
                <w:rFonts w:eastAsia="Calibri" w:cs="Aptos"/>
                <w:sz w:val="20"/>
                <w:szCs w:val="20"/>
              </w:rPr>
              <w:t xml:space="preserve">:  </w:t>
            </w:r>
            <w:r w:rsidRPr="00855A91" w:rsidR="00D14ED3">
              <w:rPr>
                <w:rFonts w:eastAsia="Calibri" w:cs="Aptos"/>
                <w:sz w:val="20"/>
                <w:szCs w:val="20"/>
              </w:rPr>
              <w:t xml:space="preserve">25% of </w:t>
            </w:r>
            <w:r>
              <w:rPr>
                <w:rFonts w:eastAsia="Calibri" w:cs="Aptos"/>
                <w:sz w:val="20"/>
                <w:szCs w:val="20"/>
              </w:rPr>
              <w:t>Tier 2</w:t>
            </w:r>
          </w:p>
          <w:p w:rsidRPr="00855A91" w:rsidR="00D14ED3" w:rsidP="00315595" w:rsidRDefault="00EB50F8" w14:paraId="65DE98B4" w14:textId="05AAA15D">
            <w:pPr>
              <w:spacing w:after="120" w:line="240" w:lineRule="auto"/>
              <w:ind w:firstLine="0"/>
              <w:rPr>
                <w:rFonts w:eastAsia="Calibri" w:cs="Aptos"/>
                <w:sz w:val="20"/>
                <w:szCs w:val="20"/>
              </w:rPr>
            </w:pPr>
            <w:r>
              <w:rPr>
                <w:rFonts w:eastAsia="Calibri" w:cs="Aptos"/>
                <w:sz w:val="20"/>
                <w:szCs w:val="20"/>
                <w:u w:val="single"/>
              </w:rPr>
              <w:t>Tier 2</w:t>
            </w:r>
            <w:r w:rsidR="000C0896">
              <w:rPr>
                <w:rFonts w:eastAsia="Calibri" w:cs="Aptos"/>
                <w:sz w:val="20"/>
                <w:szCs w:val="20"/>
              </w:rPr>
              <w:t xml:space="preserve">:  </w:t>
            </w:r>
            <w:r w:rsidRPr="00855A91" w:rsidR="00D14ED3">
              <w:rPr>
                <w:rFonts w:eastAsia="Calibri" w:cs="Aptos"/>
                <w:sz w:val="20"/>
                <w:szCs w:val="20"/>
              </w:rPr>
              <w:t>100%</w:t>
            </w:r>
          </w:p>
          <w:p w:rsidRPr="00855A91" w:rsidR="00D14ED3" w:rsidP="00315595" w:rsidRDefault="00EB50F8" w14:paraId="27952096" w14:textId="55640197">
            <w:pPr>
              <w:spacing w:after="120" w:line="240" w:lineRule="auto"/>
              <w:ind w:firstLine="0"/>
              <w:rPr>
                <w:rFonts w:eastAsia="Calibri" w:cs="Aptos"/>
                <w:sz w:val="20"/>
                <w:szCs w:val="20"/>
              </w:rPr>
            </w:pPr>
            <w:r>
              <w:rPr>
                <w:rFonts w:eastAsia="Calibri" w:cs="Aptos"/>
                <w:sz w:val="20"/>
                <w:szCs w:val="20"/>
                <w:u w:val="single"/>
              </w:rPr>
              <w:t>Tier 3</w:t>
            </w:r>
            <w:r w:rsidR="000C0896">
              <w:rPr>
                <w:rFonts w:eastAsia="Calibri" w:cs="Aptos"/>
                <w:sz w:val="20"/>
                <w:szCs w:val="20"/>
              </w:rPr>
              <w:t xml:space="preserve">:  </w:t>
            </w:r>
            <w:r w:rsidRPr="00855A91" w:rsidR="00D14ED3">
              <w:rPr>
                <w:rFonts w:eastAsia="Calibri" w:cs="Aptos"/>
                <w:sz w:val="20"/>
                <w:szCs w:val="20"/>
              </w:rPr>
              <w:t xml:space="preserve">125% of </w:t>
            </w:r>
            <w:r>
              <w:rPr>
                <w:rFonts w:eastAsia="Calibri" w:cs="Aptos"/>
                <w:sz w:val="20"/>
                <w:szCs w:val="20"/>
              </w:rPr>
              <w:t>Tier 2</w:t>
            </w:r>
          </w:p>
          <w:p w:rsidRPr="00855A91" w:rsidR="00D14ED3" w:rsidP="00315595" w:rsidRDefault="00EB50F8" w14:paraId="1F0FE340" w14:textId="53194CA5">
            <w:pPr>
              <w:spacing w:line="240" w:lineRule="auto"/>
              <w:ind w:firstLine="0"/>
              <w:rPr>
                <w:rFonts w:eastAsia="Calibri" w:cs="Aptos"/>
                <w:sz w:val="20"/>
                <w:szCs w:val="20"/>
              </w:rPr>
            </w:pPr>
            <w:r>
              <w:rPr>
                <w:rFonts w:eastAsia="Calibri" w:cs="Aptos"/>
                <w:sz w:val="20"/>
                <w:szCs w:val="20"/>
                <w:u w:val="single"/>
              </w:rPr>
              <w:t>Tier 4</w:t>
            </w:r>
            <w:r w:rsidR="000C0896">
              <w:rPr>
                <w:rFonts w:eastAsia="Calibri" w:cs="Aptos"/>
                <w:sz w:val="20"/>
                <w:szCs w:val="20"/>
              </w:rPr>
              <w:t xml:space="preserve">:  </w:t>
            </w:r>
            <w:r w:rsidRPr="00855A91" w:rsidR="00D14ED3">
              <w:rPr>
                <w:rFonts w:eastAsia="Calibri" w:cs="Aptos"/>
                <w:sz w:val="20"/>
                <w:szCs w:val="20"/>
              </w:rPr>
              <w:t xml:space="preserve">187% of </w:t>
            </w:r>
            <w:r>
              <w:rPr>
                <w:rFonts w:eastAsia="Calibri" w:cs="Aptos"/>
                <w:sz w:val="20"/>
                <w:szCs w:val="20"/>
              </w:rPr>
              <w:t>Tier 2</w:t>
            </w:r>
          </w:p>
        </w:tc>
        <w:tc>
          <w:tcPr>
            <w:tcW w:w="2250" w:type="dxa"/>
            <w:tcMar>
              <w:top w:w="0" w:type="dxa"/>
              <w:left w:w="108" w:type="dxa"/>
              <w:bottom w:w="0" w:type="dxa"/>
              <w:right w:w="108" w:type="dxa"/>
            </w:tcMar>
            <w:hideMark/>
          </w:tcPr>
          <w:p w:rsidR="00CE0158" w:rsidP="00315595" w:rsidRDefault="00EB50F8" w14:paraId="367394B2" w14:textId="547920FB">
            <w:pPr>
              <w:spacing w:after="120" w:line="240" w:lineRule="auto"/>
              <w:ind w:firstLine="0"/>
              <w:rPr>
                <w:rFonts w:eastAsia="Calibri" w:cs="Aptos"/>
                <w:sz w:val="20"/>
                <w:szCs w:val="20"/>
              </w:rPr>
            </w:pPr>
            <w:r>
              <w:rPr>
                <w:rFonts w:eastAsia="Calibri" w:cs="Aptos"/>
                <w:sz w:val="20"/>
                <w:szCs w:val="20"/>
                <w:u w:val="single"/>
              </w:rPr>
              <w:t>Tier 1</w:t>
            </w:r>
            <w:r w:rsidR="000C0896">
              <w:rPr>
                <w:rFonts w:eastAsia="Calibri" w:cs="Aptos"/>
                <w:sz w:val="20"/>
                <w:szCs w:val="20"/>
              </w:rPr>
              <w:t xml:space="preserve">:  </w:t>
            </w:r>
            <w:r w:rsidRPr="00855A91" w:rsidR="00D14ED3">
              <w:rPr>
                <w:rFonts w:eastAsia="Calibri" w:cs="Aptos"/>
                <w:sz w:val="20"/>
                <w:szCs w:val="20"/>
              </w:rPr>
              <w:t xml:space="preserve">25% of </w:t>
            </w:r>
            <w:r>
              <w:rPr>
                <w:rFonts w:eastAsia="Calibri" w:cs="Aptos"/>
                <w:sz w:val="20"/>
                <w:szCs w:val="20"/>
              </w:rPr>
              <w:t>Tier 2</w:t>
            </w:r>
          </w:p>
          <w:p w:rsidRPr="00855A91" w:rsidR="00D14ED3" w:rsidP="00315595" w:rsidRDefault="00EB50F8" w14:paraId="3E72D58B" w14:textId="188DC0F3">
            <w:pPr>
              <w:spacing w:after="120" w:line="240" w:lineRule="auto"/>
              <w:ind w:firstLine="0"/>
              <w:rPr>
                <w:rFonts w:eastAsia="Calibri" w:cs="Aptos"/>
                <w:sz w:val="20"/>
                <w:szCs w:val="20"/>
              </w:rPr>
            </w:pPr>
            <w:r>
              <w:rPr>
                <w:rFonts w:eastAsia="Calibri" w:cs="Aptos"/>
                <w:sz w:val="20"/>
                <w:szCs w:val="20"/>
                <w:u w:val="single"/>
              </w:rPr>
              <w:t>Tier 2</w:t>
            </w:r>
            <w:r w:rsidRPr="00E45202" w:rsidR="000C0896">
              <w:rPr>
                <w:rFonts w:eastAsia="Calibri" w:cs="Aptos"/>
                <w:sz w:val="20"/>
                <w:szCs w:val="20"/>
              </w:rPr>
              <w:t xml:space="preserve">:  </w:t>
            </w:r>
            <w:r w:rsidRPr="00855A91" w:rsidR="00D14ED3">
              <w:rPr>
                <w:rFonts w:eastAsia="Calibri" w:cs="Aptos"/>
                <w:sz w:val="20"/>
                <w:szCs w:val="20"/>
              </w:rPr>
              <w:t>100%</w:t>
            </w:r>
          </w:p>
          <w:p w:rsidRPr="00855A91" w:rsidR="00D14ED3" w:rsidP="00315595" w:rsidRDefault="00EB50F8" w14:paraId="5676FB07" w14:textId="5D42B87C">
            <w:pPr>
              <w:spacing w:after="120" w:line="240" w:lineRule="auto"/>
              <w:ind w:firstLine="0"/>
              <w:rPr>
                <w:rFonts w:eastAsia="Calibri" w:cs="Aptos"/>
                <w:sz w:val="20"/>
                <w:szCs w:val="20"/>
              </w:rPr>
            </w:pPr>
            <w:r>
              <w:rPr>
                <w:rFonts w:eastAsia="Calibri" w:cs="Aptos"/>
                <w:sz w:val="20"/>
                <w:szCs w:val="20"/>
                <w:u w:val="single"/>
              </w:rPr>
              <w:t>Tier 3</w:t>
            </w:r>
            <w:r w:rsidR="000C0896">
              <w:rPr>
                <w:rFonts w:eastAsia="Calibri" w:cs="Aptos"/>
                <w:sz w:val="20"/>
                <w:szCs w:val="20"/>
              </w:rPr>
              <w:t xml:space="preserve">:  </w:t>
            </w:r>
            <w:r w:rsidRPr="00855A91" w:rsidR="00D14ED3">
              <w:rPr>
                <w:rFonts w:eastAsia="Calibri" w:cs="Aptos"/>
                <w:sz w:val="20"/>
                <w:szCs w:val="20"/>
              </w:rPr>
              <w:t xml:space="preserve">200% of </w:t>
            </w:r>
            <w:r>
              <w:rPr>
                <w:rFonts w:eastAsia="Calibri" w:cs="Aptos"/>
                <w:sz w:val="20"/>
                <w:szCs w:val="20"/>
              </w:rPr>
              <w:t>Tier 2</w:t>
            </w:r>
          </w:p>
          <w:p w:rsidRPr="00855A91" w:rsidR="00D14ED3" w:rsidP="00315595" w:rsidRDefault="00EB50F8" w14:paraId="2D892AF6" w14:textId="2A9928F8">
            <w:pPr>
              <w:spacing w:line="240" w:lineRule="auto"/>
              <w:ind w:firstLine="0"/>
              <w:rPr>
                <w:rFonts w:eastAsia="Calibri" w:cs="Aptos"/>
                <w:sz w:val="20"/>
                <w:szCs w:val="20"/>
              </w:rPr>
            </w:pPr>
            <w:r>
              <w:rPr>
                <w:rFonts w:eastAsia="Calibri" w:cs="Aptos"/>
                <w:sz w:val="20"/>
                <w:szCs w:val="20"/>
                <w:u w:val="single"/>
              </w:rPr>
              <w:t>Tier 4</w:t>
            </w:r>
            <w:r w:rsidR="000C0896">
              <w:rPr>
                <w:rFonts w:eastAsia="Calibri" w:cs="Aptos"/>
                <w:sz w:val="20"/>
                <w:szCs w:val="20"/>
              </w:rPr>
              <w:t xml:space="preserve">:  </w:t>
            </w:r>
            <w:r w:rsidRPr="00855A91" w:rsidR="00D14ED3">
              <w:rPr>
                <w:rFonts w:eastAsia="Calibri" w:cs="Aptos"/>
                <w:sz w:val="20"/>
                <w:szCs w:val="20"/>
              </w:rPr>
              <w:t xml:space="preserve">400% of </w:t>
            </w:r>
            <w:r>
              <w:rPr>
                <w:rFonts w:eastAsia="Calibri" w:cs="Aptos"/>
                <w:sz w:val="20"/>
                <w:szCs w:val="20"/>
              </w:rPr>
              <w:t>Tier 2</w:t>
            </w:r>
          </w:p>
        </w:tc>
        <w:tc>
          <w:tcPr>
            <w:tcW w:w="2250" w:type="dxa"/>
            <w:tcMar>
              <w:top w:w="0" w:type="dxa"/>
              <w:left w:w="108" w:type="dxa"/>
              <w:bottom w:w="0" w:type="dxa"/>
              <w:right w:w="108" w:type="dxa"/>
            </w:tcMar>
            <w:hideMark/>
          </w:tcPr>
          <w:p w:rsidRPr="00855A91" w:rsidR="00D14ED3" w:rsidP="00315595" w:rsidRDefault="00EB50F8" w14:paraId="0241FD08" w14:textId="7ADC1E35">
            <w:pPr>
              <w:spacing w:after="120" w:line="240" w:lineRule="auto"/>
              <w:ind w:firstLine="0"/>
              <w:rPr>
                <w:rFonts w:eastAsia="Calibri" w:cs="Aptos"/>
                <w:sz w:val="20"/>
                <w:szCs w:val="20"/>
              </w:rPr>
            </w:pPr>
            <w:r>
              <w:rPr>
                <w:rFonts w:eastAsia="Calibri" w:cs="Aptos"/>
                <w:sz w:val="20"/>
                <w:szCs w:val="20"/>
                <w:u w:val="single"/>
              </w:rPr>
              <w:t>Tier 1</w:t>
            </w:r>
            <w:r w:rsidR="000C0896">
              <w:rPr>
                <w:rFonts w:eastAsia="Calibri" w:cs="Aptos"/>
                <w:sz w:val="20"/>
                <w:szCs w:val="20"/>
              </w:rPr>
              <w:t xml:space="preserve">:  </w:t>
            </w:r>
            <w:r w:rsidRPr="00855A91" w:rsidR="00D14ED3">
              <w:rPr>
                <w:rFonts w:eastAsia="Calibri" w:cs="Aptos"/>
                <w:sz w:val="20"/>
                <w:szCs w:val="20"/>
              </w:rPr>
              <w:t xml:space="preserve">25% of </w:t>
            </w:r>
            <w:r>
              <w:rPr>
                <w:rFonts w:eastAsia="Calibri" w:cs="Aptos"/>
                <w:sz w:val="20"/>
                <w:szCs w:val="20"/>
              </w:rPr>
              <w:t>Tier 2</w:t>
            </w:r>
          </w:p>
          <w:p w:rsidRPr="00855A91" w:rsidR="00D14ED3" w:rsidP="00315595" w:rsidRDefault="00EB50F8" w14:paraId="3894D155" w14:textId="68769574">
            <w:pPr>
              <w:spacing w:after="120" w:line="240" w:lineRule="auto"/>
              <w:ind w:firstLine="0"/>
              <w:rPr>
                <w:rFonts w:eastAsia="Calibri" w:cs="Aptos"/>
                <w:sz w:val="20"/>
                <w:szCs w:val="20"/>
              </w:rPr>
            </w:pPr>
            <w:r>
              <w:rPr>
                <w:rFonts w:eastAsia="Calibri" w:cs="Aptos"/>
                <w:sz w:val="20"/>
                <w:szCs w:val="20"/>
                <w:u w:val="single"/>
              </w:rPr>
              <w:t>Tier 2</w:t>
            </w:r>
            <w:r w:rsidR="000C0896">
              <w:rPr>
                <w:rFonts w:eastAsia="Calibri" w:cs="Aptos"/>
                <w:sz w:val="20"/>
                <w:szCs w:val="20"/>
              </w:rPr>
              <w:t xml:space="preserve">:  </w:t>
            </w:r>
            <w:r w:rsidRPr="00855A91" w:rsidR="00D14ED3">
              <w:rPr>
                <w:rFonts w:eastAsia="Calibri" w:cs="Aptos"/>
                <w:sz w:val="20"/>
                <w:szCs w:val="20"/>
              </w:rPr>
              <w:t>100%</w:t>
            </w:r>
          </w:p>
          <w:p w:rsidR="00CE0158" w:rsidP="00315595" w:rsidRDefault="00EB50F8" w14:paraId="54BF86ED" w14:textId="67331594">
            <w:pPr>
              <w:spacing w:after="120" w:line="240" w:lineRule="auto"/>
              <w:ind w:firstLine="0"/>
              <w:rPr>
                <w:rFonts w:eastAsia="Calibri" w:cs="Aptos"/>
                <w:sz w:val="20"/>
                <w:szCs w:val="20"/>
              </w:rPr>
            </w:pPr>
            <w:r>
              <w:rPr>
                <w:rFonts w:eastAsia="Calibri" w:cs="Aptos"/>
                <w:sz w:val="20"/>
                <w:szCs w:val="20"/>
                <w:u w:val="single"/>
              </w:rPr>
              <w:t>Tier 3</w:t>
            </w:r>
            <w:r w:rsidR="000C0896">
              <w:rPr>
                <w:rFonts w:eastAsia="Calibri" w:cs="Aptos"/>
                <w:sz w:val="20"/>
                <w:szCs w:val="20"/>
              </w:rPr>
              <w:t xml:space="preserve">:  </w:t>
            </w:r>
            <w:r w:rsidRPr="00855A91" w:rsidR="00D14ED3">
              <w:rPr>
                <w:rFonts w:eastAsia="Calibri" w:cs="Aptos"/>
                <w:sz w:val="20"/>
                <w:szCs w:val="20"/>
              </w:rPr>
              <w:t xml:space="preserve">125% of </w:t>
            </w:r>
            <w:r>
              <w:rPr>
                <w:rFonts w:eastAsia="Calibri" w:cs="Aptos"/>
                <w:sz w:val="20"/>
                <w:szCs w:val="20"/>
              </w:rPr>
              <w:t>Tier 2</w:t>
            </w:r>
          </w:p>
          <w:p w:rsidRPr="00855A91" w:rsidR="00D14ED3" w:rsidP="00315595" w:rsidRDefault="00EB50F8" w14:paraId="770B92FA" w14:textId="439C3842">
            <w:pPr>
              <w:spacing w:after="120" w:line="240" w:lineRule="auto"/>
              <w:ind w:firstLine="0"/>
              <w:rPr>
                <w:rFonts w:eastAsia="Calibri" w:cs="Aptos"/>
                <w:sz w:val="20"/>
                <w:szCs w:val="20"/>
              </w:rPr>
            </w:pPr>
            <w:r>
              <w:rPr>
                <w:rFonts w:eastAsia="Calibri" w:cs="Aptos"/>
                <w:sz w:val="20"/>
                <w:szCs w:val="20"/>
                <w:u w:val="single"/>
              </w:rPr>
              <w:t>Tier 4</w:t>
            </w:r>
            <w:r w:rsidR="000C0896">
              <w:rPr>
                <w:rFonts w:eastAsia="Calibri" w:cs="Aptos"/>
                <w:sz w:val="20"/>
                <w:szCs w:val="20"/>
              </w:rPr>
              <w:t xml:space="preserve">:  </w:t>
            </w:r>
            <w:r w:rsidRPr="00855A91" w:rsidR="00D14ED3">
              <w:rPr>
                <w:rFonts w:eastAsia="Calibri" w:cs="Aptos"/>
                <w:sz w:val="20"/>
                <w:szCs w:val="20"/>
              </w:rPr>
              <w:t xml:space="preserve">150% of </w:t>
            </w:r>
            <w:r>
              <w:rPr>
                <w:rFonts w:eastAsia="Calibri" w:cs="Aptos"/>
                <w:sz w:val="20"/>
                <w:szCs w:val="20"/>
              </w:rPr>
              <w:t>Tier 2</w:t>
            </w:r>
          </w:p>
        </w:tc>
        <w:tc>
          <w:tcPr>
            <w:tcW w:w="2190" w:type="dxa"/>
          </w:tcPr>
          <w:p w:rsidRPr="00855A91" w:rsidR="00D14ED3" w:rsidP="00315595" w:rsidRDefault="00D14ED3" w14:paraId="12127616" w14:textId="3F86AE73">
            <w:pPr>
              <w:spacing w:line="240" w:lineRule="auto"/>
              <w:ind w:firstLine="0"/>
              <w:rPr>
                <w:rFonts w:eastAsia="Calibri" w:cs="Aptos"/>
                <w:sz w:val="20"/>
                <w:szCs w:val="20"/>
              </w:rPr>
            </w:pPr>
            <w:r w:rsidRPr="00855A91">
              <w:rPr>
                <w:rFonts w:eastAsia="Calibri" w:cs="Aptos"/>
                <w:sz w:val="20"/>
                <w:szCs w:val="20"/>
              </w:rPr>
              <w:t xml:space="preserve">Adopt </w:t>
            </w:r>
            <w:r w:rsidR="00EB50F8">
              <w:rPr>
                <w:rFonts w:eastAsia="Calibri" w:cs="Aptos"/>
                <w:sz w:val="20"/>
                <w:szCs w:val="20"/>
              </w:rPr>
              <w:t>Cal Water</w:t>
            </w:r>
            <w:r w:rsidR="000C0896">
              <w:rPr>
                <w:rFonts w:eastAsia="Calibri" w:cs="Aptos"/>
                <w:sz w:val="20"/>
                <w:szCs w:val="20"/>
              </w:rPr>
              <w:t>’</w:t>
            </w:r>
            <w:r w:rsidRPr="00855A91">
              <w:rPr>
                <w:rFonts w:eastAsia="Calibri" w:cs="Aptos"/>
                <w:sz w:val="20"/>
                <w:szCs w:val="20"/>
              </w:rPr>
              <w:t>s LUWEP Rate Design tier multipliers.</w:t>
            </w:r>
          </w:p>
        </w:tc>
      </w:tr>
      <w:tr w:rsidRPr="00855A91" w:rsidR="00D14ED3" w:rsidTr="00315595" w14:paraId="3D4EEC62" w14:textId="77777777">
        <w:trPr>
          <w:jc w:val="center"/>
        </w:trPr>
        <w:tc>
          <w:tcPr>
            <w:tcW w:w="1705" w:type="dxa"/>
            <w:tcBorders>
              <w:bottom w:val="single" w:color="auto" w:sz="4" w:space="0"/>
            </w:tcBorders>
            <w:tcMar>
              <w:top w:w="0" w:type="dxa"/>
              <w:left w:w="108" w:type="dxa"/>
              <w:bottom w:w="0" w:type="dxa"/>
              <w:right w:w="108" w:type="dxa"/>
            </w:tcMar>
            <w:hideMark/>
          </w:tcPr>
          <w:p w:rsidRPr="00855A91" w:rsidR="00D14ED3" w:rsidP="00315595" w:rsidRDefault="00D14ED3" w14:paraId="2CF1C46C" w14:textId="77777777">
            <w:pPr>
              <w:keepNext/>
              <w:spacing w:line="240" w:lineRule="auto"/>
              <w:ind w:firstLine="0"/>
              <w:rPr>
                <w:rFonts w:eastAsia="Calibri" w:cs="Aptos"/>
                <w:sz w:val="20"/>
                <w:szCs w:val="20"/>
              </w:rPr>
            </w:pPr>
            <w:r w:rsidRPr="00855A91">
              <w:rPr>
                <w:rFonts w:eastAsia="Calibri" w:cs="Aptos"/>
                <w:sz w:val="20"/>
                <w:szCs w:val="20"/>
              </w:rPr>
              <w:lastRenderedPageBreak/>
              <w:t>Tier widths (usage breakpoints separating each tier)</w:t>
            </w:r>
          </w:p>
        </w:tc>
        <w:tc>
          <w:tcPr>
            <w:tcW w:w="2160" w:type="dxa"/>
            <w:tcBorders>
              <w:bottom w:val="single" w:color="auto" w:sz="4" w:space="0"/>
            </w:tcBorders>
            <w:tcMar>
              <w:top w:w="0" w:type="dxa"/>
              <w:left w:w="108" w:type="dxa"/>
              <w:bottom w:w="0" w:type="dxa"/>
              <w:right w:w="108" w:type="dxa"/>
            </w:tcMar>
            <w:hideMark/>
          </w:tcPr>
          <w:p w:rsidRPr="00855A91" w:rsidR="00D14ED3" w:rsidP="00315595" w:rsidRDefault="00EB50F8" w14:paraId="52091D01" w14:textId="3F217F29">
            <w:pPr>
              <w:keepNext/>
              <w:spacing w:after="120" w:line="240" w:lineRule="auto"/>
              <w:ind w:firstLine="0"/>
              <w:rPr>
                <w:rFonts w:eastAsia="Calibri" w:cs="Aptos"/>
                <w:sz w:val="20"/>
                <w:szCs w:val="20"/>
              </w:rPr>
            </w:pPr>
            <w:r>
              <w:rPr>
                <w:rFonts w:eastAsia="Calibri" w:cs="Aptos"/>
                <w:sz w:val="20"/>
                <w:szCs w:val="20"/>
                <w:u w:val="single"/>
              </w:rPr>
              <w:t>Tier 1</w:t>
            </w:r>
            <w:r w:rsidR="000C0896">
              <w:rPr>
                <w:rFonts w:eastAsia="Calibri" w:cs="Aptos"/>
                <w:sz w:val="20"/>
                <w:szCs w:val="20"/>
              </w:rPr>
              <w:t xml:space="preserve">:  </w:t>
            </w:r>
            <w:r w:rsidRPr="00855A91" w:rsidR="00D14ED3">
              <w:rPr>
                <w:rFonts w:eastAsia="Calibri" w:cs="Aptos"/>
                <w:sz w:val="20"/>
                <w:szCs w:val="20"/>
              </w:rPr>
              <w:t>6</w:t>
            </w:r>
            <w:r w:rsidR="005350B3">
              <w:rPr>
                <w:rFonts w:eastAsia="Calibri" w:cs="Aptos"/>
                <w:sz w:val="20"/>
                <w:szCs w:val="20"/>
              </w:rPr>
              <w:t> CCF</w:t>
            </w:r>
            <w:r w:rsidRPr="00855A91" w:rsidR="00D14ED3">
              <w:rPr>
                <w:rFonts w:eastAsia="Calibri" w:cs="Aptos"/>
                <w:sz w:val="20"/>
                <w:szCs w:val="20"/>
              </w:rPr>
              <w:t xml:space="preserve"> (essential use)</w:t>
            </w:r>
          </w:p>
          <w:p w:rsidRPr="00855A91" w:rsidR="00D14ED3" w:rsidP="00315595" w:rsidRDefault="00726F91" w14:paraId="42AA8AED" w14:textId="66DC7F8E">
            <w:pPr>
              <w:keepNext/>
              <w:spacing w:line="240" w:lineRule="auto"/>
              <w:ind w:firstLine="0"/>
              <w:rPr>
                <w:rFonts w:eastAsia="Calibri" w:cs="Aptos"/>
                <w:sz w:val="20"/>
                <w:szCs w:val="20"/>
              </w:rPr>
            </w:pPr>
            <w:r w:rsidRPr="00855A91">
              <w:rPr>
                <w:rFonts w:eastAsia="Calibri" w:cs="Aptos"/>
                <w:sz w:val="20"/>
                <w:szCs w:val="20"/>
                <w:u w:val="single"/>
              </w:rPr>
              <w:t>Tiers 2</w:t>
            </w:r>
            <w:r w:rsidR="00270999">
              <w:rPr>
                <w:rFonts w:eastAsia="Calibri" w:cs="Aptos"/>
                <w:sz w:val="20"/>
                <w:szCs w:val="20"/>
                <w:u w:val="single"/>
              </w:rPr>
              <w:noBreakHyphen/>
            </w:r>
            <w:r w:rsidRPr="00855A91" w:rsidR="00D14ED3">
              <w:rPr>
                <w:rFonts w:eastAsia="Calibri" w:cs="Aptos"/>
                <w:sz w:val="20"/>
                <w:szCs w:val="20"/>
                <w:u w:val="single"/>
              </w:rPr>
              <w:t>4</w:t>
            </w:r>
            <w:r w:rsidR="000C0896">
              <w:rPr>
                <w:rFonts w:eastAsia="Calibri" w:cs="Aptos"/>
                <w:sz w:val="20"/>
                <w:szCs w:val="20"/>
              </w:rPr>
              <w:t xml:space="preserve">:  </w:t>
            </w:r>
            <w:r w:rsidRPr="00855A91" w:rsidR="00D14ED3">
              <w:rPr>
                <w:rFonts w:eastAsia="Calibri" w:cs="Aptos"/>
                <w:sz w:val="20"/>
                <w:szCs w:val="20"/>
              </w:rPr>
              <w:t>varies by district</w:t>
            </w:r>
          </w:p>
        </w:tc>
        <w:tc>
          <w:tcPr>
            <w:tcW w:w="2250" w:type="dxa"/>
            <w:tcBorders>
              <w:bottom w:val="single" w:color="auto" w:sz="4" w:space="0"/>
            </w:tcBorders>
            <w:tcMar>
              <w:top w:w="0" w:type="dxa"/>
              <w:left w:w="108" w:type="dxa"/>
              <w:bottom w:w="0" w:type="dxa"/>
              <w:right w:w="108" w:type="dxa"/>
            </w:tcMar>
            <w:hideMark/>
          </w:tcPr>
          <w:p w:rsidR="00CE0158" w:rsidP="00315595" w:rsidRDefault="00EB50F8" w14:paraId="1534D879" w14:textId="4C71C1E5">
            <w:pPr>
              <w:keepNext/>
              <w:spacing w:after="120" w:line="240" w:lineRule="auto"/>
              <w:ind w:firstLine="0"/>
              <w:rPr>
                <w:rFonts w:eastAsia="Calibri" w:cs="Aptos"/>
                <w:sz w:val="20"/>
                <w:szCs w:val="20"/>
              </w:rPr>
            </w:pPr>
            <w:r>
              <w:rPr>
                <w:rFonts w:eastAsia="Calibri" w:cs="Aptos"/>
                <w:sz w:val="20"/>
                <w:szCs w:val="20"/>
                <w:u w:val="single"/>
              </w:rPr>
              <w:t>Tier 1</w:t>
            </w:r>
            <w:r w:rsidR="000C0896">
              <w:rPr>
                <w:rFonts w:eastAsia="Calibri" w:cs="Aptos"/>
                <w:sz w:val="20"/>
                <w:szCs w:val="20"/>
              </w:rPr>
              <w:t xml:space="preserve">:  </w:t>
            </w:r>
            <w:r w:rsidRPr="00855A91" w:rsidR="00D14ED3">
              <w:rPr>
                <w:rFonts w:eastAsia="Calibri" w:cs="Aptos"/>
                <w:sz w:val="20"/>
                <w:szCs w:val="20"/>
              </w:rPr>
              <w:t>6</w:t>
            </w:r>
            <w:r w:rsidR="005350B3">
              <w:rPr>
                <w:rFonts w:eastAsia="Calibri" w:cs="Aptos"/>
                <w:sz w:val="20"/>
                <w:szCs w:val="20"/>
              </w:rPr>
              <w:t> CCF</w:t>
            </w:r>
          </w:p>
          <w:p w:rsidRPr="00855A91" w:rsidR="00D14ED3" w:rsidP="00315595" w:rsidRDefault="00EB50F8" w14:paraId="5F252E30" w14:textId="1783C864">
            <w:pPr>
              <w:keepNext/>
              <w:spacing w:after="120" w:line="240" w:lineRule="auto"/>
              <w:ind w:firstLine="0"/>
              <w:rPr>
                <w:rFonts w:eastAsia="Calibri" w:cs="Aptos"/>
                <w:sz w:val="20"/>
                <w:szCs w:val="20"/>
              </w:rPr>
            </w:pPr>
            <w:r>
              <w:rPr>
                <w:rFonts w:eastAsia="Calibri" w:cs="Aptos"/>
                <w:sz w:val="20"/>
                <w:szCs w:val="20"/>
                <w:u w:val="single"/>
              </w:rPr>
              <w:t>Tier 2</w:t>
            </w:r>
            <w:r w:rsidR="000C0896">
              <w:rPr>
                <w:rFonts w:eastAsia="Calibri" w:cs="Aptos"/>
                <w:sz w:val="20"/>
                <w:szCs w:val="20"/>
              </w:rPr>
              <w:t xml:space="preserve">:  </w:t>
            </w:r>
            <w:r w:rsidRPr="00855A91" w:rsidR="00D14ED3">
              <w:rPr>
                <w:rFonts w:eastAsia="Calibri" w:cs="Aptos"/>
                <w:sz w:val="20"/>
                <w:szCs w:val="20"/>
              </w:rPr>
              <w:t xml:space="preserve">end of </w:t>
            </w:r>
            <w:r>
              <w:rPr>
                <w:rFonts w:eastAsia="Calibri" w:cs="Aptos"/>
                <w:sz w:val="20"/>
                <w:szCs w:val="20"/>
              </w:rPr>
              <w:t>Tier 1</w:t>
            </w:r>
            <w:r w:rsidRPr="00855A91" w:rsidR="00D14ED3">
              <w:rPr>
                <w:rFonts w:eastAsia="Calibri" w:cs="Aptos"/>
                <w:sz w:val="20"/>
                <w:szCs w:val="20"/>
              </w:rPr>
              <w:t xml:space="preserve"> up to 75</w:t>
            </w:r>
            <w:r w:rsidRPr="00855A91" w:rsidR="00D14ED3">
              <w:rPr>
                <w:rFonts w:eastAsia="Calibri" w:cs="Aptos"/>
                <w:sz w:val="20"/>
                <w:szCs w:val="20"/>
                <w:vertAlign w:val="superscript"/>
              </w:rPr>
              <w:t>th</w:t>
            </w:r>
            <w:r w:rsidRPr="00855A91" w:rsidR="00D14ED3">
              <w:rPr>
                <w:rFonts w:eastAsia="Calibri" w:cs="Aptos"/>
                <w:sz w:val="20"/>
                <w:szCs w:val="20"/>
              </w:rPr>
              <w:t xml:space="preserve"> percentile use</w:t>
            </w:r>
          </w:p>
          <w:p w:rsidRPr="00855A91" w:rsidR="00D14ED3" w:rsidP="00315595" w:rsidRDefault="00EB50F8" w14:paraId="3069BE48" w14:textId="1455BF08">
            <w:pPr>
              <w:keepNext/>
              <w:spacing w:after="120" w:line="240" w:lineRule="auto"/>
              <w:ind w:firstLine="0"/>
              <w:rPr>
                <w:rFonts w:eastAsia="Calibri" w:cs="Aptos"/>
                <w:sz w:val="20"/>
                <w:szCs w:val="20"/>
              </w:rPr>
            </w:pPr>
            <w:r>
              <w:rPr>
                <w:rFonts w:eastAsia="Calibri" w:cs="Aptos"/>
                <w:sz w:val="20"/>
                <w:szCs w:val="20"/>
                <w:u w:val="single"/>
              </w:rPr>
              <w:t>Tier 3</w:t>
            </w:r>
            <w:r w:rsidR="000C0896">
              <w:rPr>
                <w:rFonts w:eastAsia="Calibri" w:cs="Aptos"/>
                <w:sz w:val="20"/>
                <w:szCs w:val="20"/>
              </w:rPr>
              <w:t xml:space="preserve">:  </w:t>
            </w:r>
            <w:r w:rsidRPr="00855A91" w:rsidR="00D14ED3">
              <w:rPr>
                <w:rFonts w:eastAsia="Calibri" w:cs="Aptos"/>
                <w:sz w:val="20"/>
                <w:szCs w:val="20"/>
              </w:rPr>
              <w:t xml:space="preserve">end of </w:t>
            </w:r>
            <w:r>
              <w:rPr>
                <w:rFonts w:eastAsia="Calibri" w:cs="Aptos"/>
                <w:sz w:val="20"/>
                <w:szCs w:val="20"/>
              </w:rPr>
              <w:t>Tier 2</w:t>
            </w:r>
            <w:r w:rsidRPr="00855A91" w:rsidR="00D14ED3">
              <w:rPr>
                <w:rFonts w:eastAsia="Calibri" w:cs="Aptos"/>
                <w:sz w:val="20"/>
                <w:szCs w:val="20"/>
              </w:rPr>
              <w:t xml:space="preserve"> to 95</w:t>
            </w:r>
            <w:r w:rsidRPr="00855A91" w:rsidR="00D14ED3">
              <w:rPr>
                <w:rFonts w:eastAsia="Calibri" w:cs="Aptos"/>
                <w:sz w:val="20"/>
                <w:szCs w:val="20"/>
                <w:vertAlign w:val="superscript"/>
              </w:rPr>
              <w:t>th</w:t>
            </w:r>
            <w:r w:rsidRPr="00855A91" w:rsidR="00D14ED3">
              <w:rPr>
                <w:rFonts w:eastAsia="Calibri" w:cs="Aptos"/>
                <w:sz w:val="20"/>
                <w:szCs w:val="20"/>
              </w:rPr>
              <w:t xml:space="preserve"> percentile of use</w:t>
            </w:r>
          </w:p>
          <w:p w:rsidRPr="00855A91" w:rsidR="00D14ED3" w:rsidP="00315595" w:rsidRDefault="00EB50F8" w14:paraId="63B597A3" w14:textId="04E18B96">
            <w:pPr>
              <w:keepNext/>
              <w:spacing w:after="120" w:line="240" w:lineRule="auto"/>
              <w:ind w:firstLine="0"/>
              <w:rPr>
                <w:rFonts w:eastAsia="Calibri" w:cs="Aptos"/>
                <w:sz w:val="20"/>
                <w:szCs w:val="20"/>
              </w:rPr>
            </w:pPr>
            <w:r>
              <w:rPr>
                <w:rFonts w:eastAsia="Calibri" w:cs="Aptos"/>
                <w:sz w:val="20"/>
                <w:szCs w:val="20"/>
                <w:u w:val="single"/>
              </w:rPr>
              <w:t>Tier 4</w:t>
            </w:r>
            <w:r w:rsidR="000C0896">
              <w:rPr>
                <w:rFonts w:eastAsia="Calibri" w:cs="Aptos"/>
                <w:sz w:val="20"/>
                <w:szCs w:val="20"/>
              </w:rPr>
              <w:t xml:space="preserve">:  </w:t>
            </w:r>
            <w:r w:rsidRPr="00855A91" w:rsidR="00D14ED3">
              <w:rPr>
                <w:rFonts w:eastAsia="Calibri" w:cs="Aptos"/>
                <w:sz w:val="20"/>
                <w:szCs w:val="20"/>
              </w:rPr>
              <w:t>Use beyond 95</w:t>
            </w:r>
            <w:r w:rsidRPr="00855A91" w:rsidR="00D14ED3">
              <w:rPr>
                <w:rFonts w:eastAsia="Calibri" w:cs="Aptos"/>
                <w:sz w:val="20"/>
                <w:szCs w:val="20"/>
                <w:vertAlign w:val="superscript"/>
              </w:rPr>
              <w:t>th</w:t>
            </w:r>
            <w:r w:rsidRPr="00855A91" w:rsidR="00D14ED3">
              <w:rPr>
                <w:rFonts w:eastAsia="Calibri" w:cs="Aptos"/>
                <w:sz w:val="20"/>
                <w:szCs w:val="20"/>
              </w:rPr>
              <w:t xml:space="preserve"> percentile</w:t>
            </w:r>
          </w:p>
        </w:tc>
        <w:tc>
          <w:tcPr>
            <w:tcW w:w="2250" w:type="dxa"/>
            <w:tcBorders>
              <w:bottom w:val="single" w:color="auto" w:sz="4" w:space="0"/>
            </w:tcBorders>
            <w:tcMar>
              <w:top w:w="0" w:type="dxa"/>
              <w:left w:w="108" w:type="dxa"/>
              <w:bottom w:w="0" w:type="dxa"/>
              <w:right w:w="108" w:type="dxa"/>
            </w:tcMar>
            <w:hideMark/>
          </w:tcPr>
          <w:p w:rsidRPr="00855A91" w:rsidR="00D14ED3" w:rsidP="00315595" w:rsidRDefault="00D14ED3" w14:paraId="48872CFE" w14:textId="77777777">
            <w:pPr>
              <w:keepNext/>
              <w:spacing w:line="240" w:lineRule="auto"/>
              <w:ind w:firstLine="0"/>
              <w:rPr>
                <w:rFonts w:eastAsia="Calibri" w:cs="Aptos"/>
                <w:sz w:val="20"/>
                <w:szCs w:val="20"/>
              </w:rPr>
            </w:pPr>
            <w:r w:rsidRPr="00855A91">
              <w:rPr>
                <w:rFonts w:eastAsia="Calibri" w:cs="Aptos"/>
                <w:sz w:val="20"/>
                <w:szCs w:val="20"/>
              </w:rPr>
              <w:t>No change from the current rate design.</w:t>
            </w:r>
          </w:p>
        </w:tc>
        <w:tc>
          <w:tcPr>
            <w:tcW w:w="2190" w:type="dxa"/>
            <w:tcBorders>
              <w:bottom w:val="single" w:color="auto" w:sz="4" w:space="0"/>
            </w:tcBorders>
          </w:tcPr>
          <w:p w:rsidRPr="00855A91" w:rsidR="00D14ED3" w:rsidP="00315595" w:rsidRDefault="00EB50F8" w14:paraId="04D5F1E1" w14:textId="57E6BD44">
            <w:pPr>
              <w:keepNext/>
              <w:spacing w:after="120" w:line="240" w:lineRule="auto"/>
              <w:ind w:firstLine="0"/>
              <w:rPr>
                <w:rFonts w:eastAsia="Calibri" w:cs="Aptos"/>
                <w:sz w:val="20"/>
                <w:szCs w:val="20"/>
              </w:rPr>
            </w:pPr>
            <w:r>
              <w:rPr>
                <w:rFonts w:eastAsia="Calibri" w:cs="Aptos"/>
                <w:sz w:val="20"/>
                <w:szCs w:val="20"/>
                <w:u w:val="single"/>
              </w:rPr>
              <w:t>Tier 1</w:t>
            </w:r>
            <w:r w:rsidR="000C0896">
              <w:rPr>
                <w:rFonts w:eastAsia="Calibri" w:cs="Aptos"/>
                <w:sz w:val="20"/>
                <w:szCs w:val="20"/>
              </w:rPr>
              <w:t xml:space="preserve">:  </w:t>
            </w:r>
            <w:r w:rsidRPr="00855A91" w:rsidR="00D14ED3">
              <w:rPr>
                <w:rFonts w:eastAsia="Calibri" w:cs="Aptos"/>
                <w:sz w:val="20"/>
                <w:szCs w:val="20"/>
              </w:rPr>
              <w:t>5</w:t>
            </w:r>
            <w:r w:rsidR="00270999">
              <w:rPr>
                <w:rFonts w:eastAsia="Calibri" w:cs="Aptos"/>
                <w:sz w:val="20"/>
                <w:szCs w:val="20"/>
              </w:rPr>
              <w:noBreakHyphen/>
            </w:r>
            <w:r w:rsidRPr="00855A91" w:rsidR="00D14ED3">
              <w:rPr>
                <w:rFonts w:eastAsia="Calibri" w:cs="Aptos"/>
                <w:sz w:val="20"/>
                <w:szCs w:val="20"/>
              </w:rPr>
              <w:t>7</w:t>
            </w:r>
            <w:r w:rsidR="005350B3">
              <w:rPr>
                <w:rFonts w:eastAsia="Calibri" w:cs="Aptos"/>
                <w:sz w:val="20"/>
                <w:szCs w:val="20"/>
              </w:rPr>
              <w:t> CCF</w:t>
            </w:r>
            <w:r w:rsidRPr="00855A91" w:rsidR="00D14ED3">
              <w:rPr>
                <w:rFonts w:eastAsia="Calibri" w:cs="Aptos"/>
                <w:sz w:val="20"/>
                <w:szCs w:val="20"/>
              </w:rPr>
              <w:t xml:space="preserve"> varied by avg. household size</w:t>
            </w:r>
          </w:p>
          <w:p w:rsidRPr="00855A91" w:rsidR="00D14ED3" w:rsidP="00315595" w:rsidRDefault="00EB50F8" w14:paraId="1EAD03E8" w14:textId="1D5E76F5">
            <w:pPr>
              <w:keepNext/>
              <w:spacing w:after="120" w:line="240" w:lineRule="auto"/>
              <w:ind w:firstLine="0"/>
              <w:rPr>
                <w:rFonts w:eastAsia="Calibri" w:cs="Aptos"/>
                <w:sz w:val="20"/>
                <w:szCs w:val="20"/>
              </w:rPr>
            </w:pPr>
            <w:r>
              <w:rPr>
                <w:rFonts w:eastAsia="Calibri" w:cs="Aptos"/>
                <w:sz w:val="20"/>
                <w:szCs w:val="20"/>
                <w:u w:val="single"/>
              </w:rPr>
              <w:t>Tier 2</w:t>
            </w:r>
            <w:r w:rsidR="000C0896">
              <w:rPr>
                <w:rFonts w:eastAsia="Calibri" w:cs="Aptos"/>
                <w:sz w:val="20"/>
                <w:szCs w:val="20"/>
              </w:rPr>
              <w:t xml:space="preserve">:  </w:t>
            </w:r>
            <w:r w:rsidRPr="00855A91" w:rsidR="00D14ED3">
              <w:rPr>
                <w:rFonts w:eastAsia="Calibri" w:cs="Aptos"/>
                <w:sz w:val="20"/>
                <w:szCs w:val="20"/>
              </w:rPr>
              <w:t>6</w:t>
            </w:r>
            <w:r w:rsidR="005350B3">
              <w:rPr>
                <w:rFonts w:eastAsia="Calibri" w:cs="Aptos"/>
                <w:sz w:val="20"/>
                <w:szCs w:val="20"/>
              </w:rPr>
              <w:t> CCF</w:t>
            </w:r>
          </w:p>
          <w:p w:rsidRPr="00855A91" w:rsidR="00D14ED3" w:rsidP="00315595" w:rsidRDefault="00EB50F8" w14:paraId="6E7B937A" w14:textId="3C2605BC">
            <w:pPr>
              <w:keepNext/>
              <w:spacing w:after="120" w:line="240" w:lineRule="auto"/>
              <w:ind w:firstLine="0"/>
              <w:rPr>
                <w:rFonts w:eastAsia="Calibri" w:cs="Aptos"/>
                <w:sz w:val="20"/>
                <w:szCs w:val="20"/>
              </w:rPr>
            </w:pPr>
            <w:r>
              <w:rPr>
                <w:rFonts w:eastAsia="Calibri" w:cs="Aptos"/>
                <w:sz w:val="20"/>
                <w:szCs w:val="20"/>
                <w:u w:val="single"/>
              </w:rPr>
              <w:t>Tier 3</w:t>
            </w:r>
            <w:r w:rsidR="000C0896">
              <w:rPr>
                <w:rFonts w:eastAsia="Calibri" w:cs="Aptos"/>
                <w:sz w:val="20"/>
                <w:szCs w:val="20"/>
              </w:rPr>
              <w:t xml:space="preserve">:  </w:t>
            </w:r>
            <w:r w:rsidRPr="00855A91" w:rsidR="00D14ED3">
              <w:rPr>
                <w:rFonts w:eastAsia="Calibri" w:cs="Aptos"/>
                <w:sz w:val="20"/>
                <w:szCs w:val="20"/>
              </w:rPr>
              <w:t xml:space="preserve">Unclear for districts without </w:t>
            </w:r>
            <w:r>
              <w:rPr>
                <w:rFonts w:eastAsia="Calibri" w:cs="Aptos"/>
                <w:sz w:val="20"/>
                <w:szCs w:val="20"/>
              </w:rPr>
              <w:t>Tier 4</w:t>
            </w:r>
          </w:p>
          <w:p w:rsidRPr="00855A91" w:rsidR="00D14ED3" w:rsidP="00315595" w:rsidRDefault="00EB50F8" w14:paraId="15D59201" w14:textId="140C868C">
            <w:pPr>
              <w:keepNext/>
              <w:spacing w:after="120" w:line="240" w:lineRule="auto"/>
              <w:ind w:firstLine="0"/>
              <w:rPr>
                <w:rFonts w:eastAsia="Calibri" w:cs="Aptos"/>
                <w:sz w:val="20"/>
                <w:szCs w:val="20"/>
                <w:u w:val="single"/>
              </w:rPr>
            </w:pPr>
            <w:r>
              <w:rPr>
                <w:rFonts w:eastAsia="Calibri" w:cs="Aptos"/>
                <w:sz w:val="20"/>
                <w:szCs w:val="20"/>
                <w:u w:val="single"/>
              </w:rPr>
              <w:t>Tier 4</w:t>
            </w:r>
            <w:r w:rsidR="000C0896">
              <w:rPr>
                <w:rFonts w:eastAsia="Calibri" w:cs="Aptos"/>
                <w:sz w:val="20"/>
                <w:szCs w:val="20"/>
              </w:rPr>
              <w:t xml:space="preserve">:  </w:t>
            </w:r>
            <w:r w:rsidRPr="00855A91" w:rsidR="00D14ED3">
              <w:rPr>
                <w:rFonts w:eastAsia="Calibri" w:cs="Aptos"/>
                <w:sz w:val="20"/>
                <w:szCs w:val="20"/>
              </w:rPr>
              <w:t>Use beyond the 90</w:t>
            </w:r>
            <w:r w:rsidRPr="00855A91" w:rsidR="00D14ED3">
              <w:rPr>
                <w:rFonts w:eastAsia="Calibri" w:cs="Aptos"/>
                <w:sz w:val="20"/>
                <w:szCs w:val="20"/>
                <w:vertAlign w:val="superscript"/>
              </w:rPr>
              <w:t>th</w:t>
            </w:r>
            <w:r w:rsidRPr="00855A91" w:rsidR="00D14ED3">
              <w:rPr>
                <w:rFonts w:eastAsia="Calibri" w:cs="Aptos"/>
                <w:sz w:val="20"/>
                <w:szCs w:val="20"/>
              </w:rPr>
              <w:t xml:space="preserve"> percentile.</w:t>
            </w:r>
          </w:p>
        </w:tc>
      </w:tr>
      <w:tr w:rsidRPr="00855A91" w:rsidR="007061DC" w:rsidTr="00315595" w14:paraId="54E75766" w14:textId="77777777">
        <w:trPr>
          <w:jc w:val="center"/>
        </w:trPr>
        <w:tc>
          <w:tcPr>
            <w:tcW w:w="10555" w:type="dxa"/>
            <w:gridSpan w:val="5"/>
            <w:tcBorders>
              <w:top w:val="single" w:color="auto" w:sz="4" w:space="0"/>
              <w:left w:val="nil"/>
              <w:bottom w:val="nil"/>
              <w:right w:val="nil"/>
            </w:tcBorders>
            <w:tcMar>
              <w:top w:w="0" w:type="dxa"/>
              <w:left w:w="108" w:type="dxa"/>
              <w:bottom w:w="0" w:type="dxa"/>
              <w:right w:w="108" w:type="dxa"/>
            </w:tcMar>
          </w:tcPr>
          <w:p w:rsidRPr="00855A91" w:rsidR="007061DC" w:rsidP="00315595" w:rsidRDefault="007061DC" w14:paraId="137399FE" w14:textId="3221481C">
            <w:pPr>
              <w:keepNext/>
              <w:spacing w:after="120" w:line="240" w:lineRule="auto"/>
              <w:ind w:left="475" w:firstLine="0"/>
              <w:rPr>
                <w:rFonts w:eastAsia="Calibri" w:cs="Aptos"/>
                <w:sz w:val="20"/>
                <w:szCs w:val="20"/>
                <w:u w:val="single"/>
              </w:rPr>
            </w:pPr>
            <w:r w:rsidRPr="00855A91">
              <w:rPr>
                <w:sz w:val="20"/>
                <w:szCs w:val="26"/>
              </w:rPr>
              <w:t>*</w:t>
            </w:r>
            <w:r w:rsidR="00EB50F8">
              <w:rPr>
                <w:sz w:val="20"/>
              </w:rPr>
              <w:t>Cal Advocates</w:t>
            </w:r>
            <w:r w:rsidRPr="00855A91">
              <w:rPr>
                <w:sz w:val="20"/>
              </w:rPr>
              <w:t xml:space="preserve"> proposes to consolidate </w:t>
            </w:r>
            <w:r w:rsidRPr="00855A91" w:rsidR="00726F91">
              <w:rPr>
                <w:sz w:val="20"/>
              </w:rPr>
              <w:t>Tiers 3</w:t>
            </w:r>
            <w:r w:rsidRPr="00855A91">
              <w:rPr>
                <w:sz w:val="20"/>
              </w:rPr>
              <w:t xml:space="preserve"> and 4 for six districts.</w:t>
            </w:r>
          </w:p>
        </w:tc>
      </w:tr>
    </w:tbl>
    <w:p w:rsidRPr="00235A7B" w:rsidR="00D14ED3" w:rsidP="00D14ED3" w:rsidRDefault="00D14ED3" w14:paraId="02BF5339" w14:textId="77777777">
      <w:pPr>
        <w:pStyle w:val="Heading4"/>
      </w:pPr>
      <w:bookmarkStart w:name="_Toc221109053" w:id="98"/>
      <w:bookmarkStart w:name="_Toc222305268" w:id="99"/>
      <w:bookmarkStart w:name="_Toc228294695" w:id="100"/>
      <w:r w:rsidRPr="00235A7B">
        <w:t>Adopted Rate Design</w:t>
      </w:r>
      <w:bookmarkEnd w:id="98"/>
      <w:bookmarkEnd w:id="99"/>
      <w:bookmarkEnd w:id="100"/>
    </w:p>
    <w:p w:rsidR="00CE0158" w:rsidP="005C0D4D" w:rsidRDefault="00D14ED3" w14:paraId="5C123F6A" w14:textId="30962382">
      <w:pPr>
        <w:pStyle w:val="Standard"/>
        <w:rPr>
          <w:szCs w:val="26"/>
        </w:rPr>
      </w:pPr>
      <w:r w:rsidRPr="00235A7B">
        <w:rPr>
          <w:szCs w:val="26"/>
        </w:rPr>
        <w:t xml:space="preserve">We reject </w:t>
      </w:r>
      <w:r w:rsidR="00EB50F8">
        <w:rPr>
          <w:szCs w:val="26"/>
        </w:rPr>
        <w:t>Cal Water</w:t>
      </w:r>
      <w:r w:rsidR="000C0896">
        <w:rPr>
          <w:szCs w:val="26"/>
        </w:rPr>
        <w:t>’</w:t>
      </w:r>
      <w:r w:rsidRPr="00235A7B">
        <w:rPr>
          <w:szCs w:val="26"/>
        </w:rPr>
        <w:t>s decoupling proposal and LUWEP</w:t>
      </w:r>
      <w:r w:rsidR="00270999">
        <w:rPr>
          <w:szCs w:val="26"/>
        </w:rPr>
        <w:noBreakHyphen/>
      </w:r>
      <w:r w:rsidRPr="00235A7B">
        <w:rPr>
          <w:szCs w:val="26"/>
        </w:rPr>
        <w:t xml:space="preserve">based rate design because the evidence </w:t>
      </w:r>
      <w:r w:rsidR="00183D4C">
        <w:rPr>
          <w:szCs w:val="26"/>
        </w:rPr>
        <w:t>fails to</w:t>
      </w:r>
      <w:r w:rsidRPr="00235A7B">
        <w:rPr>
          <w:szCs w:val="26"/>
        </w:rPr>
        <w:t xml:space="preserve"> demonstrate that the proposed rate design will better support conservation or affordability objectives than the existing M</w:t>
      </w:r>
      <w:r w:rsidR="00270999">
        <w:rPr>
          <w:szCs w:val="26"/>
        </w:rPr>
        <w:noBreakHyphen/>
      </w:r>
      <w:r w:rsidRPr="00235A7B">
        <w:rPr>
          <w:szCs w:val="26"/>
        </w:rPr>
        <w:t xml:space="preserve">WRAM. On the contrary, we believe that </w:t>
      </w:r>
      <w:r w:rsidR="00EB50F8">
        <w:rPr>
          <w:szCs w:val="26"/>
        </w:rPr>
        <w:t>Cal Water</w:t>
      </w:r>
      <w:r w:rsidR="00096F77">
        <w:rPr>
          <w:szCs w:val="26"/>
        </w:rPr>
        <w:t>’s</w:t>
      </w:r>
      <w:r w:rsidRPr="00235A7B">
        <w:rPr>
          <w:szCs w:val="26"/>
        </w:rPr>
        <w:t xml:space="preserve"> proposal raises concerns about the cost of capital </w:t>
      </w:r>
      <w:r w:rsidR="00096F77">
        <w:rPr>
          <w:szCs w:val="26"/>
        </w:rPr>
        <w:t>that</w:t>
      </w:r>
      <w:r w:rsidRPr="00235A7B" w:rsidR="00096F77">
        <w:rPr>
          <w:szCs w:val="26"/>
        </w:rPr>
        <w:t xml:space="preserve"> </w:t>
      </w:r>
      <w:r w:rsidRPr="00235A7B">
        <w:rPr>
          <w:szCs w:val="26"/>
        </w:rPr>
        <w:t>can be addressed in a subsequent cost of capital proceeding, customer bill impacts in the long</w:t>
      </w:r>
      <w:r w:rsidR="00270999">
        <w:rPr>
          <w:szCs w:val="26"/>
        </w:rPr>
        <w:noBreakHyphen/>
      </w:r>
      <w:r w:rsidRPr="00235A7B">
        <w:rPr>
          <w:szCs w:val="26"/>
        </w:rPr>
        <w:t>term, and alignment with established Commission principles.</w:t>
      </w:r>
    </w:p>
    <w:p w:rsidR="00CE0158" w:rsidP="005C0D4D" w:rsidRDefault="00EB50F8" w14:paraId="005C5C10" w14:textId="5C3EC431">
      <w:pPr>
        <w:pStyle w:val="Standard"/>
        <w:rPr>
          <w:szCs w:val="26"/>
        </w:rPr>
      </w:pPr>
      <w:r>
        <w:rPr>
          <w:szCs w:val="26"/>
        </w:rPr>
        <w:t>Cal Water</w:t>
      </w:r>
      <w:r w:rsidR="000C0896">
        <w:rPr>
          <w:szCs w:val="26"/>
        </w:rPr>
        <w:t>’</w:t>
      </w:r>
      <w:r w:rsidRPr="00235A7B" w:rsidR="00D14ED3">
        <w:rPr>
          <w:szCs w:val="26"/>
        </w:rPr>
        <w:t xml:space="preserve">s decoupling and LUWEP proposal is internally inconsistent and lacks a logical and evidentiary foundation because, in its opening testimony, </w:t>
      </w:r>
      <w:r>
        <w:rPr>
          <w:szCs w:val="26"/>
        </w:rPr>
        <w:t>Cal Water</w:t>
      </w:r>
      <w:r w:rsidRPr="00235A7B" w:rsidR="00D14ED3">
        <w:rPr>
          <w:szCs w:val="26"/>
        </w:rPr>
        <w:t xml:space="preserve"> states that the revenue stability and reduced uncertainty provided by decoupling also help promote utility financial health, which directly lowers the cost of capital.</w:t>
      </w:r>
      <w:r w:rsidRPr="00235A7B" w:rsidR="00D14ED3">
        <w:rPr>
          <w:rStyle w:val="FootnoteReference"/>
          <w:szCs w:val="26"/>
        </w:rPr>
        <w:footnoteReference w:id="150"/>
      </w:r>
      <w:r w:rsidRPr="00235A7B" w:rsidR="00D14ED3">
        <w:rPr>
          <w:szCs w:val="26"/>
        </w:rPr>
        <w:t xml:space="preserve"> However, in its rebuttal, it argues against its claim that decoupling reduces utility investment risk, asserting that academic studies, based on empirical analyses of the data, confirm that decoupling does not have a </w:t>
      </w:r>
      <w:r w:rsidRPr="00235A7B" w:rsidR="00D14ED3">
        <w:rPr>
          <w:szCs w:val="26"/>
        </w:rPr>
        <w:lastRenderedPageBreak/>
        <w:t>statistically significant impact on a utility</w:t>
      </w:r>
      <w:r w:rsidR="000C0896">
        <w:rPr>
          <w:szCs w:val="26"/>
        </w:rPr>
        <w:t>’</w:t>
      </w:r>
      <w:r w:rsidRPr="00235A7B" w:rsidR="00D14ED3">
        <w:rPr>
          <w:szCs w:val="26"/>
        </w:rPr>
        <w:t>s cost of capital.</w:t>
      </w:r>
      <w:r w:rsidRPr="00235A7B" w:rsidR="00D14ED3">
        <w:rPr>
          <w:rStyle w:val="FootnoteReference"/>
          <w:szCs w:val="26"/>
        </w:rPr>
        <w:footnoteReference w:id="151"/>
      </w:r>
      <w:r w:rsidRPr="00235A7B" w:rsidR="00D14ED3">
        <w:rPr>
          <w:szCs w:val="26"/>
        </w:rPr>
        <w:t xml:space="preserve"> This is an issue to be litigated in a subsequent cost of capital proceeding. If decoupling has no statistical impact, </w:t>
      </w:r>
      <w:r>
        <w:rPr>
          <w:szCs w:val="26"/>
        </w:rPr>
        <w:t>Cal Water</w:t>
      </w:r>
      <w:r w:rsidR="000C0896">
        <w:rPr>
          <w:szCs w:val="26"/>
        </w:rPr>
        <w:t>’</w:t>
      </w:r>
      <w:r w:rsidRPr="00235A7B" w:rsidR="00D14ED3">
        <w:rPr>
          <w:szCs w:val="26"/>
        </w:rPr>
        <w:t>s claim that full decoupling is necessary to protect shareholders from the risk of lost revenue due to long</w:t>
      </w:r>
      <w:r w:rsidR="00270999">
        <w:rPr>
          <w:szCs w:val="26"/>
        </w:rPr>
        <w:noBreakHyphen/>
      </w:r>
      <w:r w:rsidRPr="00235A7B" w:rsidR="00D14ED3">
        <w:rPr>
          <w:szCs w:val="26"/>
        </w:rPr>
        <w:t xml:space="preserve">term sales declines lacks merit. Conversely, if decoupling reduces risk, this should be reflected in a lower return on equity (ROE). However, since ROE is reviewed in the cost of capital proceeding and therefore cannot be adjusted in this proceeding, the actual benefit to shareholders and its fairness to ratepayers cannot be fully evaluated here. These conflicting arguments weaken confidence in </w:t>
      </w:r>
      <w:r>
        <w:rPr>
          <w:szCs w:val="26"/>
        </w:rPr>
        <w:t>Cal Water</w:t>
      </w:r>
      <w:r w:rsidR="000C0896">
        <w:rPr>
          <w:szCs w:val="26"/>
        </w:rPr>
        <w:t>’</w:t>
      </w:r>
      <w:r w:rsidRPr="00235A7B" w:rsidR="00D14ED3">
        <w:rPr>
          <w:szCs w:val="26"/>
        </w:rPr>
        <w:t>s full decoupling proposal and the associated LUWEP in this GRC cycle. Therefore, we reject this proposal.</w:t>
      </w:r>
    </w:p>
    <w:p w:rsidR="00CE0158" w:rsidP="005C0D4D" w:rsidRDefault="00D14ED3" w14:paraId="49B199F2" w14:textId="2575B44E">
      <w:pPr>
        <w:pStyle w:val="Standard"/>
        <w:rPr>
          <w:szCs w:val="26"/>
        </w:rPr>
      </w:pPr>
      <w:r w:rsidRPr="00AF6D53">
        <w:rPr>
          <w:szCs w:val="26"/>
        </w:rPr>
        <w:t xml:space="preserve">Although we decline to implement decoupling and LUWEP in this GRC cycle, we disagree with </w:t>
      </w:r>
      <w:r w:rsidR="00EB50F8">
        <w:rPr>
          <w:szCs w:val="26"/>
        </w:rPr>
        <w:t>Cal Advocates</w:t>
      </w:r>
      <w:r w:rsidR="000C0896">
        <w:rPr>
          <w:szCs w:val="26"/>
        </w:rPr>
        <w:t>’</w:t>
      </w:r>
      <w:r w:rsidRPr="00AF6D53">
        <w:rPr>
          <w:szCs w:val="26"/>
        </w:rPr>
        <w:t xml:space="preserve"> argument that </w:t>
      </w:r>
      <w:r w:rsidR="00EB50F8">
        <w:rPr>
          <w:szCs w:val="26"/>
        </w:rPr>
        <w:t>Cal Water</w:t>
      </w:r>
      <w:r w:rsidR="000C0896">
        <w:rPr>
          <w:szCs w:val="26"/>
        </w:rPr>
        <w:t>’</w:t>
      </w:r>
      <w:r w:rsidRPr="00AF6D53">
        <w:rPr>
          <w:szCs w:val="26"/>
        </w:rPr>
        <w:t>s proposal only benefits shareholders when actual costs are less than the authorized revenues recoverable through any decoupling mechanism. This argument is one</w:t>
      </w:r>
      <w:r w:rsidR="00270999">
        <w:rPr>
          <w:szCs w:val="26"/>
        </w:rPr>
        <w:noBreakHyphen/>
      </w:r>
      <w:r w:rsidRPr="00AF6D53">
        <w:rPr>
          <w:szCs w:val="26"/>
        </w:rPr>
        <w:t xml:space="preserve">sided because it is possible that </w:t>
      </w:r>
      <w:r w:rsidR="00EB50F8">
        <w:rPr>
          <w:szCs w:val="26"/>
        </w:rPr>
        <w:t>Cal Water</w:t>
      </w:r>
      <w:r w:rsidRPr="00AF6D53">
        <w:rPr>
          <w:szCs w:val="26"/>
        </w:rPr>
        <w:t xml:space="preserve"> could bear the full burden of losses if actual costs (not recorded in a balancing account) exceed authorized revenues. We should </w:t>
      </w:r>
      <w:r>
        <w:rPr>
          <w:szCs w:val="26"/>
        </w:rPr>
        <w:t>weigh both sides of the argument and not assume that actual costs will always</w:t>
      </w:r>
      <w:r w:rsidRPr="00AF6D53">
        <w:rPr>
          <w:szCs w:val="26"/>
        </w:rPr>
        <w:t xml:space="preserve"> be lower than the authorized amount. Should </w:t>
      </w:r>
      <w:r w:rsidR="00EB50F8">
        <w:rPr>
          <w:szCs w:val="26"/>
        </w:rPr>
        <w:t>Cal Water</w:t>
      </w:r>
      <w:r w:rsidRPr="00AF6D53">
        <w:rPr>
          <w:szCs w:val="26"/>
        </w:rPr>
        <w:t xml:space="preserve"> elect to propose revenue decoupling in a subsequent GRC, it must substantiate its proposal with data illustrating multi</w:t>
      </w:r>
      <w:r w:rsidR="00270999">
        <w:rPr>
          <w:szCs w:val="26"/>
        </w:rPr>
        <w:noBreakHyphen/>
      </w:r>
      <w:r w:rsidRPr="00AF6D53">
        <w:rPr>
          <w:szCs w:val="26"/>
        </w:rPr>
        <w:t>year discrepancies between adopted and collected revenues per district and perform stress tests for both wet and dry years.</w:t>
      </w:r>
    </w:p>
    <w:p w:rsidR="0084292E" w:rsidP="005C0D4D" w:rsidRDefault="00D14ED3" w14:paraId="4DEBF16A" w14:textId="7DFFDB71">
      <w:pPr>
        <w:pStyle w:val="Standard"/>
        <w:rPr>
          <w:szCs w:val="26"/>
        </w:rPr>
      </w:pPr>
      <w:r w:rsidRPr="00235A7B">
        <w:rPr>
          <w:szCs w:val="26"/>
        </w:rPr>
        <w:lastRenderedPageBreak/>
        <w:t xml:space="preserve">We do not find sufficient justification from </w:t>
      </w:r>
      <w:r w:rsidR="00EB50F8">
        <w:rPr>
          <w:szCs w:val="26"/>
        </w:rPr>
        <w:t>Cal Water</w:t>
      </w:r>
      <w:r w:rsidRPr="00235A7B">
        <w:rPr>
          <w:szCs w:val="26"/>
        </w:rPr>
        <w:t xml:space="preserve"> in favor of its first option or </w:t>
      </w:r>
      <w:r w:rsidR="00EB50F8">
        <w:rPr>
          <w:szCs w:val="26"/>
        </w:rPr>
        <w:t>Cal Advocates</w:t>
      </w:r>
      <w:r w:rsidRPr="00235A7B">
        <w:rPr>
          <w:szCs w:val="26"/>
        </w:rPr>
        <w:t xml:space="preserve"> to deviate from continuing the </w:t>
      </w:r>
      <w:r w:rsidR="008B0F27">
        <w:rPr>
          <w:szCs w:val="26"/>
        </w:rPr>
        <w:t>four</w:t>
      </w:r>
      <w:r w:rsidR="00270999">
        <w:rPr>
          <w:szCs w:val="26"/>
        </w:rPr>
        <w:noBreakHyphen/>
      </w:r>
      <w:r w:rsidR="008B0F27">
        <w:rPr>
          <w:szCs w:val="26"/>
        </w:rPr>
        <w:t>tier</w:t>
      </w:r>
      <w:r w:rsidRPr="00235A7B">
        <w:rPr>
          <w:szCs w:val="26"/>
        </w:rPr>
        <w:t xml:space="preserve"> M</w:t>
      </w:r>
      <w:r w:rsidR="00270999">
        <w:rPr>
          <w:szCs w:val="26"/>
        </w:rPr>
        <w:noBreakHyphen/>
      </w:r>
      <w:r w:rsidRPr="00235A7B">
        <w:rPr>
          <w:szCs w:val="26"/>
        </w:rPr>
        <w:t>WRAM and ICBA.</w:t>
      </w:r>
      <w:r w:rsidR="00CE0158">
        <w:rPr>
          <w:szCs w:val="26"/>
        </w:rPr>
        <w:t xml:space="preserve"> </w:t>
      </w:r>
      <w:r w:rsidRPr="00235A7B">
        <w:rPr>
          <w:szCs w:val="26"/>
        </w:rPr>
        <w:t>We believe it is premature to depart from the current M</w:t>
      </w:r>
      <w:r w:rsidR="00270999">
        <w:rPr>
          <w:szCs w:val="26"/>
        </w:rPr>
        <w:noBreakHyphen/>
      </w:r>
      <w:r w:rsidRPr="00235A7B">
        <w:rPr>
          <w:szCs w:val="26"/>
        </w:rPr>
        <w:t xml:space="preserve">WRAM and also adopt a more aggressive tiered rate design. </w:t>
      </w:r>
      <w:r w:rsidR="00EB50F8">
        <w:rPr>
          <w:szCs w:val="26"/>
        </w:rPr>
        <w:t>Cal Water</w:t>
      </w:r>
      <w:r w:rsidRPr="00235A7B">
        <w:rPr>
          <w:szCs w:val="26"/>
        </w:rPr>
        <w:t xml:space="preserve"> only recently implemented the </w:t>
      </w:r>
      <w:r w:rsidR="008B0F27">
        <w:rPr>
          <w:szCs w:val="26"/>
        </w:rPr>
        <w:t>four</w:t>
      </w:r>
      <w:r w:rsidR="00270999">
        <w:rPr>
          <w:szCs w:val="26"/>
        </w:rPr>
        <w:noBreakHyphen/>
      </w:r>
      <w:r w:rsidR="008B0F27">
        <w:rPr>
          <w:szCs w:val="26"/>
        </w:rPr>
        <w:t>tier</w:t>
      </w:r>
      <w:r w:rsidRPr="00235A7B">
        <w:rPr>
          <w:szCs w:val="26"/>
        </w:rPr>
        <w:t xml:space="preserve"> M</w:t>
      </w:r>
      <w:r w:rsidR="00270999">
        <w:rPr>
          <w:szCs w:val="26"/>
        </w:rPr>
        <w:noBreakHyphen/>
      </w:r>
      <w:r w:rsidRPr="00235A7B">
        <w:rPr>
          <w:szCs w:val="26"/>
        </w:rPr>
        <w:t xml:space="preserve">WRAM rate design which we will continue with modifications as discussed below. Approving either a more aggressive LUWEP version or steeper tiered multipliers and breakpoints, as recommended by </w:t>
      </w:r>
      <w:r w:rsidR="00EB50F8">
        <w:rPr>
          <w:szCs w:val="26"/>
        </w:rPr>
        <w:t>Cal Advocates</w:t>
      </w:r>
      <w:r w:rsidRPr="00235A7B">
        <w:rPr>
          <w:szCs w:val="26"/>
        </w:rPr>
        <w:t>, before the impacts of the existing structure are understood, is not reasonable. We therefore find it reasonable to continue implementing M</w:t>
      </w:r>
      <w:r w:rsidR="00270999">
        <w:rPr>
          <w:szCs w:val="26"/>
        </w:rPr>
        <w:noBreakHyphen/>
      </w:r>
      <w:r w:rsidRPr="00235A7B">
        <w:rPr>
          <w:szCs w:val="26"/>
        </w:rPr>
        <w:t xml:space="preserve">WRAM with the limited modifications proposed by </w:t>
      </w:r>
      <w:r w:rsidR="00EB50F8">
        <w:rPr>
          <w:szCs w:val="26"/>
        </w:rPr>
        <w:t>Cal Water</w:t>
      </w:r>
      <w:r w:rsidRPr="00235A7B">
        <w:rPr>
          <w:szCs w:val="26"/>
        </w:rPr>
        <w:t>.</w:t>
      </w:r>
      <w:r w:rsidRPr="00235A7B">
        <w:rPr>
          <w:rStyle w:val="FootnoteReference"/>
          <w:szCs w:val="26"/>
        </w:rPr>
        <w:footnoteReference w:id="152"/>
      </w:r>
    </w:p>
    <w:p w:rsidR="00CE0158" w:rsidP="005C0D4D" w:rsidRDefault="00D14ED3" w14:paraId="65E97C7A" w14:textId="40DE2F06">
      <w:pPr>
        <w:pStyle w:val="Standard"/>
        <w:rPr>
          <w:szCs w:val="26"/>
        </w:rPr>
      </w:pPr>
      <w:r w:rsidRPr="00235A7B">
        <w:rPr>
          <w:szCs w:val="26"/>
        </w:rPr>
        <w:t xml:space="preserve">The first modification is a </w:t>
      </w:r>
      <w:r w:rsidR="00321027">
        <w:rPr>
          <w:szCs w:val="26"/>
        </w:rPr>
        <w:t>5</w:t>
      </w:r>
      <w:r w:rsidR="0032703D">
        <w:rPr>
          <w:szCs w:val="26"/>
        </w:rPr>
        <w:t> percent</w:t>
      </w:r>
      <w:r w:rsidRPr="00235A7B">
        <w:rPr>
          <w:szCs w:val="26"/>
        </w:rPr>
        <w:t xml:space="preserve"> increase in </w:t>
      </w:r>
      <w:r w:rsidR="00321027">
        <w:rPr>
          <w:szCs w:val="26"/>
        </w:rPr>
        <w:t>the portion of revenues recovered via</w:t>
      </w:r>
      <w:r w:rsidRPr="00235A7B">
        <w:rPr>
          <w:szCs w:val="26"/>
        </w:rPr>
        <w:t xml:space="preserve"> fixed charges and the second change modifies the rate for the 4th block, which is adjusted to 150</w:t>
      </w:r>
      <w:r w:rsidR="0032703D">
        <w:rPr>
          <w:szCs w:val="26"/>
        </w:rPr>
        <w:t> percent</w:t>
      </w:r>
      <w:r w:rsidRPr="00235A7B">
        <w:rPr>
          <w:szCs w:val="26"/>
        </w:rPr>
        <w:t xml:space="preserve"> of the rate for the 2nd block, down from 187</w:t>
      </w:r>
      <w:r w:rsidR="0032703D">
        <w:rPr>
          <w:szCs w:val="26"/>
        </w:rPr>
        <w:t> percent</w:t>
      </w:r>
      <w:r w:rsidRPr="00235A7B">
        <w:rPr>
          <w:szCs w:val="26"/>
        </w:rPr>
        <w:t>; the multipliers for the other blocks remain consistent with current rates.</w:t>
      </w:r>
      <w:r w:rsidRPr="00235A7B">
        <w:rPr>
          <w:rStyle w:val="FootnoteReference"/>
          <w:szCs w:val="26"/>
        </w:rPr>
        <w:footnoteReference w:id="153"/>
      </w:r>
    </w:p>
    <w:p w:rsidR="00CE0158" w:rsidP="005C0D4D" w:rsidRDefault="000E4A88" w14:paraId="7E4F60EC" w14:textId="425AC30E">
      <w:pPr>
        <w:pStyle w:val="Standard"/>
      </w:pPr>
      <w:r>
        <w:t xml:space="preserve">Increasing the portion of fixed revenues to recovered via a fixed charge </w:t>
      </w:r>
      <w:r w:rsidRPr="00008612" w:rsidR="00D14ED3">
        <w:t xml:space="preserve">by </w:t>
      </w:r>
      <w:r w:rsidR="00E07709">
        <w:t>5</w:t>
      </w:r>
      <w:r w:rsidRPr="00008612" w:rsidR="0032703D">
        <w:t> percent</w:t>
      </w:r>
      <w:r w:rsidRPr="00008612" w:rsidR="00D14ED3">
        <w:t xml:space="preserve"> is reasonable because it still meets the criteria set in </w:t>
      </w:r>
      <w:r w:rsidRPr="00008612" w:rsidR="005D1097">
        <w:t>D.</w:t>
      </w:r>
      <w:r w:rsidRPr="00008612" w:rsidR="00D14ED3">
        <w:t>16</w:t>
      </w:r>
      <w:r w:rsidR="00270999">
        <w:rPr>
          <w:szCs w:val="26"/>
        </w:rPr>
        <w:noBreakHyphen/>
      </w:r>
      <w:r w:rsidRPr="00008612" w:rsidR="00D14ED3">
        <w:t>12</w:t>
      </w:r>
      <w:r w:rsidR="00270999">
        <w:rPr>
          <w:szCs w:val="26"/>
        </w:rPr>
        <w:noBreakHyphen/>
      </w:r>
      <w:r w:rsidRPr="00008612" w:rsidR="00D14ED3">
        <w:t>026, that no more than 50</w:t>
      </w:r>
      <w:r w:rsidRPr="00008612" w:rsidR="0032703D">
        <w:t> percent</w:t>
      </w:r>
      <w:r w:rsidRPr="00008612" w:rsidR="00D14ED3">
        <w:t xml:space="preserve"> of a water company</w:t>
      </w:r>
      <w:r w:rsidR="000C0896">
        <w:rPr>
          <w:szCs w:val="26"/>
        </w:rPr>
        <w:t>’</w:t>
      </w:r>
      <w:r w:rsidRPr="00008612" w:rsidR="00D14ED3">
        <w:t>s total revenue requirement be collected via fixed charges.</w:t>
      </w:r>
      <w:r w:rsidRPr="00008612" w:rsidR="00D14ED3">
        <w:rPr>
          <w:rStyle w:val="FootnoteReference"/>
        </w:rPr>
        <w:footnoteReference w:id="154"/>
      </w:r>
      <w:r w:rsidRPr="00008612" w:rsidR="00D14ED3">
        <w:t xml:space="preserve"> The second modification to the rate multiplier is also reasonable because </w:t>
      </w:r>
      <w:r w:rsidRPr="00008612" w:rsidR="00EB50F8">
        <w:t>Cal Water</w:t>
      </w:r>
      <w:r w:rsidRPr="00008612" w:rsidR="00D14ED3">
        <w:t xml:space="preserve"> has demonstrated that 66</w:t>
      </w:r>
      <w:r w:rsidRPr="00008612" w:rsidR="0032703D">
        <w:t> percent</w:t>
      </w:r>
      <w:r w:rsidRPr="00008612" w:rsidR="00D14ED3">
        <w:t xml:space="preserve"> of its revenue requirement consists of fixed costs; therefore, increasing the fixed charge to cover </w:t>
      </w:r>
      <w:r w:rsidR="00A500C5">
        <w:t xml:space="preserve">55 </w:t>
      </w:r>
      <w:r w:rsidRPr="00008612" w:rsidR="00D14ED3">
        <w:t xml:space="preserve">to </w:t>
      </w:r>
      <w:r w:rsidR="00A500C5">
        <w:t>65</w:t>
      </w:r>
      <w:r w:rsidR="0032703D">
        <w:t> </w:t>
      </w:r>
      <w:r w:rsidRPr="00008612" w:rsidR="0032703D">
        <w:t>percent</w:t>
      </w:r>
      <w:r w:rsidRPr="00008612" w:rsidR="00D14ED3">
        <w:t xml:space="preserve"> of fixed costs </w:t>
      </w:r>
      <w:r w:rsidRPr="00008612" w:rsidR="5FBE9FF4">
        <w:t>allow</w:t>
      </w:r>
      <w:r w:rsidRPr="00008612" w:rsidR="753B8399">
        <w:t>s</w:t>
      </w:r>
      <w:r w:rsidR="007754F5">
        <w:t xml:space="preserve"> </w:t>
      </w:r>
      <w:r w:rsidRPr="00008612" w:rsidR="00EB50F8">
        <w:t>Cal Water</w:t>
      </w:r>
      <w:r w:rsidRPr="00008612" w:rsidR="00D14ED3">
        <w:t xml:space="preserve"> to collect </w:t>
      </w:r>
      <w:r w:rsidR="00A40366">
        <w:t xml:space="preserve">less </w:t>
      </w:r>
      <w:r w:rsidR="40CCB2BC">
        <w:t>tha</w:t>
      </w:r>
      <w:r w:rsidR="5FE5738D">
        <w:t>n</w:t>
      </w:r>
      <w:r w:rsidR="00A40366">
        <w:t xml:space="preserve"> 50 </w:t>
      </w:r>
      <w:r w:rsidR="00A40366">
        <w:lastRenderedPageBreak/>
        <w:t xml:space="preserve">percent of </w:t>
      </w:r>
      <w:r w:rsidR="00F13C95">
        <w:t xml:space="preserve">the </w:t>
      </w:r>
      <w:r w:rsidRPr="00008612" w:rsidR="00D14ED3">
        <w:t>total revenue requirement via fixed meter charges.</w:t>
      </w:r>
      <w:r w:rsidRPr="00008612" w:rsidR="00D14ED3">
        <w:rPr>
          <w:rStyle w:val="FootnoteReference"/>
        </w:rPr>
        <w:footnoteReference w:id="155"/>
      </w:r>
      <w:r w:rsidRPr="00008612" w:rsidR="00D14ED3">
        <w:t xml:space="preserve"> These rate design modifications enable </w:t>
      </w:r>
      <w:r w:rsidRPr="00008612" w:rsidR="00EB50F8">
        <w:t>Cal Water</w:t>
      </w:r>
      <w:r w:rsidRPr="00008612" w:rsidR="00D14ED3">
        <w:t xml:space="preserve"> to shift a greater portion of its fixed costs away from variable rates, thereby reducing its exposure to revenue volatility while avoiding significant rate changes for customers.</w:t>
      </w:r>
    </w:p>
    <w:p w:rsidRPr="00235A7B" w:rsidR="00D14ED3" w:rsidP="005C0D4D" w:rsidRDefault="00D14ED3" w14:paraId="0887459E" w14:textId="43B4C266">
      <w:pPr>
        <w:pStyle w:val="Standard"/>
      </w:pPr>
      <w:r w:rsidRPr="00235A7B">
        <w:rPr>
          <w:szCs w:val="26"/>
        </w:rPr>
        <w:t xml:space="preserve">We believe that </w:t>
      </w:r>
      <w:r w:rsidR="00EB50F8">
        <w:rPr>
          <w:szCs w:val="26"/>
        </w:rPr>
        <w:t>Cal Water</w:t>
      </w:r>
      <w:r w:rsidR="000C0896">
        <w:rPr>
          <w:szCs w:val="26"/>
        </w:rPr>
        <w:t>’</w:t>
      </w:r>
      <w:r w:rsidRPr="00235A7B">
        <w:rPr>
          <w:szCs w:val="26"/>
        </w:rPr>
        <w:t xml:space="preserve">s proposed rate design remains substantially unchanged, and the modifications will improve revenue recovery by raising monthly meter charges and retaining a moderate tier block structure. The adopted rate design will ensure revenue stability, balancing affordability, conservation, and financial sustainability. </w:t>
      </w:r>
      <w:r w:rsidR="00EB50F8">
        <w:rPr>
          <w:szCs w:val="26"/>
        </w:rPr>
        <w:t>Cal Water</w:t>
      </w:r>
      <w:r w:rsidR="000C0896">
        <w:rPr>
          <w:szCs w:val="26"/>
        </w:rPr>
        <w:t>’</w:t>
      </w:r>
      <w:r w:rsidRPr="00235A7B">
        <w:rPr>
          <w:szCs w:val="26"/>
        </w:rPr>
        <w:t>s proposal should still encourage efficient water use through appropriate price signals.</w:t>
      </w:r>
    </w:p>
    <w:p w:rsidRPr="00235A7B" w:rsidR="00D14ED3" w:rsidP="005C0D4D" w:rsidRDefault="00D14ED3" w14:paraId="48866DFA" w14:textId="1F87BC29">
      <w:pPr>
        <w:pStyle w:val="Standard"/>
      </w:pPr>
      <w:r w:rsidRPr="00008612">
        <w:t xml:space="preserve">We reject </w:t>
      </w:r>
      <w:r w:rsidRPr="00008612" w:rsidR="00EB50F8">
        <w:t>Cal Water</w:t>
      </w:r>
      <w:r w:rsidR="000C0896">
        <w:rPr>
          <w:szCs w:val="26"/>
        </w:rPr>
        <w:t>’</w:t>
      </w:r>
      <w:r w:rsidRPr="00008612">
        <w:t>s arguments supporting LUWEP in lieu of its proposed M</w:t>
      </w:r>
      <w:r w:rsidR="00270999">
        <w:rPr>
          <w:szCs w:val="26"/>
        </w:rPr>
        <w:noBreakHyphen/>
      </w:r>
      <w:r w:rsidRPr="00008612">
        <w:t xml:space="preserve">WRAM. </w:t>
      </w:r>
      <w:r w:rsidRPr="00008612" w:rsidR="00EB50F8">
        <w:t>Cal Water</w:t>
      </w:r>
      <w:r w:rsidRPr="00008612">
        <w:t xml:space="preserve"> argues that LUWEP</w:t>
      </w:r>
      <w:r w:rsidR="000C0896">
        <w:rPr>
          <w:szCs w:val="26"/>
        </w:rPr>
        <w:t>’</w:t>
      </w:r>
      <w:r w:rsidRPr="00008612">
        <w:t>s steep tier cost recovery to high</w:t>
      </w:r>
      <w:r w:rsidR="00270999">
        <w:rPr>
          <w:szCs w:val="26"/>
        </w:rPr>
        <w:noBreakHyphen/>
      </w:r>
      <w:r w:rsidRPr="00008612">
        <w:t>usage customers promotes conservation and lowers bills for lower</w:t>
      </w:r>
      <w:r w:rsidR="00270999">
        <w:rPr>
          <w:szCs w:val="26"/>
        </w:rPr>
        <w:noBreakHyphen/>
      </w:r>
      <w:r w:rsidRPr="00008612">
        <w:t>usage customers. Conversely, it states that its alternative,</w:t>
      </w:r>
      <w:r w:rsidRPr="00008612" w:rsidDel="00E54E66">
        <w:t xml:space="preserve"> M</w:t>
      </w:r>
      <w:r w:rsidR="00270999">
        <w:rPr>
          <w:szCs w:val="26"/>
        </w:rPr>
        <w:noBreakHyphen/>
      </w:r>
      <w:r w:rsidRPr="00008612" w:rsidDel="00E54E66">
        <w:t>WRAM</w:t>
      </w:r>
      <w:r w:rsidRPr="00008612">
        <w:t>, with flatter tiers and higher fixed costs, could increase bills for low</w:t>
      </w:r>
      <w:r w:rsidR="00270999">
        <w:rPr>
          <w:szCs w:val="26"/>
        </w:rPr>
        <w:noBreakHyphen/>
      </w:r>
      <w:r w:rsidRPr="00008612">
        <w:t>usage customers and boost consumption among high</w:t>
      </w:r>
      <w:r w:rsidR="00270999">
        <w:rPr>
          <w:szCs w:val="26"/>
        </w:rPr>
        <w:noBreakHyphen/>
      </w:r>
      <w:r w:rsidRPr="00008612">
        <w:t xml:space="preserve">usage customers. These conflicting proposals make </w:t>
      </w:r>
      <w:r w:rsidRPr="00008612" w:rsidR="00EB50F8">
        <w:t>Cal Water</w:t>
      </w:r>
      <w:r w:rsidR="000C0896">
        <w:rPr>
          <w:szCs w:val="26"/>
        </w:rPr>
        <w:t>’</w:t>
      </w:r>
      <w:r w:rsidRPr="00008612">
        <w:t>s plans to promote conservation and affordability unclear. Because both designs are revenue</w:t>
      </w:r>
      <w:r w:rsidR="00270999">
        <w:rPr>
          <w:szCs w:val="26"/>
        </w:rPr>
        <w:noBreakHyphen/>
      </w:r>
      <w:r w:rsidRPr="00008612">
        <w:t xml:space="preserve">neutral, the actual conservation impact of the LUWEP remains unproven. As </w:t>
      </w:r>
      <w:r w:rsidRPr="00008612" w:rsidR="00EB50F8">
        <w:t>Cal Advocates</w:t>
      </w:r>
      <w:r w:rsidRPr="00008612">
        <w:t xml:space="preserve"> notes, </w:t>
      </w:r>
      <w:r w:rsidRPr="00008612" w:rsidR="00EB50F8">
        <w:t>Cal Water</w:t>
      </w:r>
      <w:r w:rsidRPr="00008612">
        <w:t xml:space="preserve"> does not account for the impact of decoupling balances</w:t>
      </w:r>
      <w:r w:rsidR="006B3B72">
        <w:rPr>
          <w:szCs w:val="26"/>
        </w:rPr>
        <w:t> —</w:t>
      </w:r>
      <w:r w:rsidRPr="00008612">
        <w:t>charges added (or subtracted) later to recover lost revenue (or refund over</w:t>
      </w:r>
      <w:r w:rsidR="00270999">
        <w:rPr>
          <w:szCs w:val="26"/>
        </w:rPr>
        <w:noBreakHyphen/>
      </w:r>
      <w:r w:rsidRPr="00008612">
        <w:t>collections)</w:t>
      </w:r>
      <w:r w:rsidR="006B3B72">
        <w:rPr>
          <w:szCs w:val="26"/>
        </w:rPr>
        <w:t xml:space="preserve"> — </w:t>
      </w:r>
      <w:r w:rsidRPr="00008612">
        <w:t xml:space="preserve">on customer bills. </w:t>
      </w:r>
      <w:r w:rsidRPr="00008612" w:rsidR="00EB50F8">
        <w:t>Cal Water</w:t>
      </w:r>
      <w:r w:rsidR="000C0896">
        <w:rPr>
          <w:szCs w:val="26"/>
        </w:rPr>
        <w:t>’</w:t>
      </w:r>
      <w:r w:rsidRPr="00008612">
        <w:t>s assertion that LUWEP rate design and tiered structure will improve affordability is unknown due to the</w:t>
      </w:r>
      <w:r w:rsidR="00F052DC">
        <w:rPr>
          <w:szCs w:val="26"/>
        </w:rPr>
        <w:t xml:space="preserve"> </w:t>
      </w:r>
      <w:r w:rsidRPr="00008612">
        <w:t>decoupling process. Any initial bill reductions for low</w:t>
      </w:r>
      <w:r w:rsidR="00270999">
        <w:rPr>
          <w:szCs w:val="26"/>
        </w:rPr>
        <w:noBreakHyphen/>
      </w:r>
      <w:r w:rsidRPr="00008612">
        <w:t>usage tiers may be offset by subsequent</w:t>
      </w:r>
      <w:r w:rsidR="00703256">
        <w:rPr>
          <w:szCs w:val="26"/>
        </w:rPr>
        <w:t xml:space="preserve"> </w:t>
      </w:r>
      <w:r w:rsidRPr="00008612">
        <w:t>surcharges</w:t>
      </w:r>
      <w:r w:rsidR="00703256">
        <w:rPr>
          <w:szCs w:val="26"/>
        </w:rPr>
        <w:t xml:space="preserve"> </w:t>
      </w:r>
      <w:r w:rsidRPr="00008612">
        <w:t xml:space="preserve">required to reconcile </w:t>
      </w:r>
      <w:r w:rsidRPr="00008612">
        <w:lastRenderedPageBreak/>
        <w:t xml:space="preserve">revenue shortfalls, but equally, subsequent </w:t>
      </w:r>
      <w:proofErr w:type="spellStart"/>
      <w:r w:rsidRPr="00008612">
        <w:t>surcredits</w:t>
      </w:r>
      <w:proofErr w:type="spellEnd"/>
      <w:r w:rsidRPr="00008612">
        <w:t xml:space="preserve"> would refund overcollections. We find insufficient evidence to support </w:t>
      </w:r>
      <w:r w:rsidRPr="00008612" w:rsidR="00EB50F8">
        <w:t>Cal Water</w:t>
      </w:r>
      <w:r w:rsidR="000C0896">
        <w:rPr>
          <w:szCs w:val="26"/>
        </w:rPr>
        <w:t>’</w:t>
      </w:r>
      <w:r w:rsidRPr="00008612">
        <w:t>s assertion that the LUWEP program will</w:t>
      </w:r>
      <w:r>
        <w:rPr>
          <w:szCs w:val="26"/>
        </w:rPr>
        <w:t>,</w:t>
      </w:r>
      <w:r w:rsidRPr="00008612">
        <w:t xml:space="preserve"> over time</w:t>
      </w:r>
      <w:r>
        <w:rPr>
          <w:szCs w:val="26"/>
        </w:rPr>
        <w:t>,</w:t>
      </w:r>
      <w:r w:rsidRPr="00008612">
        <w:t xml:space="preserve"> result in lower overall customer bills in total. Therefore, we do not give weight to this claim in our determination.</w:t>
      </w:r>
    </w:p>
    <w:p w:rsidR="00CE0158" w:rsidP="005C0D4D" w:rsidRDefault="00D14ED3" w14:paraId="119A5CBA" w14:textId="534B95A5">
      <w:pPr>
        <w:pStyle w:val="Standard"/>
        <w:rPr>
          <w:rFonts w:cs="Times New Roman"/>
          <w:szCs w:val="26"/>
        </w:rPr>
      </w:pPr>
      <w:r w:rsidRPr="00235A7B">
        <w:rPr>
          <w:szCs w:val="26"/>
        </w:rPr>
        <w:t xml:space="preserve">The impact on affordability is unknown. </w:t>
      </w:r>
      <w:r w:rsidR="00EB50F8">
        <w:rPr>
          <w:szCs w:val="26"/>
        </w:rPr>
        <w:t>Cal Water</w:t>
      </w:r>
      <w:r w:rsidRPr="00235A7B">
        <w:rPr>
          <w:szCs w:val="26"/>
        </w:rPr>
        <w:t xml:space="preserve"> argues that its decoupling proposal allows the utility to implement a rate design that balances affordability and conservation policy while recovering its authorized revenue requirements in a timely manner, aligning with the public interest.</w:t>
      </w:r>
      <w:r w:rsidRPr="00235A7B">
        <w:rPr>
          <w:rStyle w:val="FootnoteReference"/>
          <w:szCs w:val="26"/>
        </w:rPr>
        <w:footnoteReference w:id="156"/>
      </w:r>
      <w:r w:rsidRPr="00235A7B">
        <w:rPr>
          <w:szCs w:val="26"/>
        </w:rPr>
        <w:t xml:space="preserve"> However, we agree with </w:t>
      </w:r>
      <w:r w:rsidR="00EB50F8">
        <w:rPr>
          <w:szCs w:val="26"/>
        </w:rPr>
        <w:t>Cal Advocates</w:t>
      </w:r>
      <w:r w:rsidRPr="00235A7B">
        <w:rPr>
          <w:szCs w:val="26"/>
        </w:rPr>
        <w:t xml:space="preserve"> that it is not appropriate to implement decoupling and LUWEP at this time, because the utility has already made substantial progress in reducing water use even without a conservation rate design.</w:t>
      </w:r>
      <w:r w:rsidRPr="00235A7B">
        <w:rPr>
          <w:rStyle w:val="FootnoteReference"/>
          <w:szCs w:val="26"/>
        </w:rPr>
        <w:footnoteReference w:id="157"/>
      </w:r>
      <w:r w:rsidRPr="00235A7B">
        <w:rPr>
          <w:szCs w:val="26"/>
        </w:rPr>
        <w:t xml:space="preserve"> We also find merit in </w:t>
      </w:r>
      <w:r w:rsidR="00EB50F8">
        <w:rPr>
          <w:szCs w:val="26"/>
        </w:rPr>
        <w:t>Cal Advocates</w:t>
      </w:r>
      <w:r w:rsidR="000C0896">
        <w:rPr>
          <w:szCs w:val="26"/>
        </w:rPr>
        <w:t>’</w:t>
      </w:r>
      <w:r w:rsidRPr="00235A7B">
        <w:rPr>
          <w:szCs w:val="26"/>
        </w:rPr>
        <w:t xml:space="preserve"> argument that </w:t>
      </w:r>
      <w:r w:rsidRPr="00235A7B">
        <w:rPr>
          <w:rFonts w:cs="Times New Roman"/>
          <w:szCs w:val="26"/>
        </w:rPr>
        <w:t xml:space="preserve">amortizations under the LUWEP are uncapped and not visible to customers because they would no longer be a surcharge or </w:t>
      </w:r>
      <w:proofErr w:type="spellStart"/>
      <w:r w:rsidRPr="00235A7B">
        <w:rPr>
          <w:rFonts w:cs="Times New Roman"/>
          <w:szCs w:val="26"/>
        </w:rPr>
        <w:t>surcredit</w:t>
      </w:r>
      <w:proofErr w:type="spellEnd"/>
      <w:r w:rsidRPr="00235A7B">
        <w:rPr>
          <w:rFonts w:cs="Times New Roman"/>
          <w:szCs w:val="26"/>
        </w:rPr>
        <w:t>.</w:t>
      </w:r>
    </w:p>
    <w:p w:rsidRPr="00235A7B" w:rsidR="00D14ED3" w:rsidP="005C0D4D" w:rsidRDefault="00EB50F8" w14:paraId="7948D36E" w14:textId="099FB649">
      <w:pPr>
        <w:pStyle w:val="Standard"/>
      </w:pPr>
      <w:r>
        <w:rPr>
          <w:szCs w:val="26"/>
        </w:rPr>
        <w:t>Cal Advocates</w:t>
      </w:r>
      <w:r w:rsidRPr="00235A7B" w:rsidR="00D14ED3">
        <w:rPr>
          <w:szCs w:val="26"/>
        </w:rPr>
        <w:t xml:space="preserve"> notes that </w:t>
      </w:r>
      <w:r>
        <w:rPr>
          <w:szCs w:val="26"/>
        </w:rPr>
        <w:t>Cal Water</w:t>
      </w:r>
      <w:r w:rsidRPr="00235A7B" w:rsidR="00D14ED3">
        <w:rPr>
          <w:szCs w:val="26"/>
        </w:rPr>
        <w:t xml:space="preserve"> implemented M</w:t>
      </w:r>
      <w:r w:rsidR="00270999">
        <w:rPr>
          <w:szCs w:val="26"/>
        </w:rPr>
        <w:noBreakHyphen/>
      </w:r>
      <w:r w:rsidRPr="00235A7B" w:rsidR="00D14ED3">
        <w:rPr>
          <w:szCs w:val="26"/>
        </w:rPr>
        <w:t>WRAM</w:t>
      </w:r>
      <w:r w:rsidR="000C0896">
        <w:rPr>
          <w:szCs w:val="26"/>
        </w:rPr>
        <w:t>’</w:t>
      </w:r>
      <w:r w:rsidRPr="00235A7B" w:rsidR="00D14ED3">
        <w:rPr>
          <w:szCs w:val="26"/>
        </w:rPr>
        <w:t xml:space="preserve">s </w:t>
      </w:r>
      <w:r w:rsidR="008B0F27">
        <w:rPr>
          <w:szCs w:val="26"/>
        </w:rPr>
        <w:t>four</w:t>
      </w:r>
      <w:r w:rsidR="00270999">
        <w:rPr>
          <w:szCs w:val="26"/>
        </w:rPr>
        <w:noBreakHyphen/>
      </w:r>
      <w:r w:rsidR="008B0F27">
        <w:rPr>
          <w:szCs w:val="26"/>
        </w:rPr>
        <w:t>tier</w:t>
      </w:r>
      <w:r w:rsidRPr="00235A7B" w:rsidR="00D14ED3">
        <w:rPr>
          <w:szCs w:val="26"/>
        </w:rPr>
        <w:t xml:space="preserve"> conservation rate design for the first time just over a year before filing this application, and the conservation impacts of that rate design are not yet known or detailed in the record.</w:t>
      </w:r>
      <w:r w:rsidR="00583E5E">
        <w:rPr>
          <w:szCs w:val="26"/>
        </w:rPr>
        <w:t xml:space="preserve"> </w:t>
      </w:r>
      <w:r w:rsidRPr="00235A7B" w:rsidR="00D14ED3">
        <w:rPr>
          <w:szCs w:val="26"/>
        </w:rPr>
        <w:t xml:space="preserve">By continuing </w:t>
      </w:r>
      <w:r>
        <w:rPr>
          <w:szCs w:val="26"/>
        </w:rPr>
        <w:t>Cal Water</w:t>
      </w:r>
      <w:r w:rsidR="000C0896">
        <w:rPr>
          <w:szCs w:val="26"/>
        </w:rPr>
        <w:t>’</w:t>
      </w:r>
      <w:r w:rsidRPr="00235A7B" w:rsidR="00D14ED3">
        <w:rPr>
          <w:szCs w:val="26"/>
        </w:rPr>
        <w:t xml:space="preserve">s </w:t>
      </w:r>
      <w:r w:rsidR="008B0F27">
        <w:rPr>
          <w:szCs w:val="26"/>
        </w:rPr>
        <w:t>four</w:t>
      </w:r>
      <w:r w:rsidR="00270999">
        <w:rPr>
          <w:szCs w:val="26"/>
        </w:rPr>
        <w:noBreakHyphen/>
      </w:r>
      <w:r w:rsidR="008B0F27">
        <w:rPr>
          <w:szCs w:val="26"/>
        </w:rPr>
        <w:t>tier</w:t>
      </w:r>
      <w:r w:rsidRPr="00235A7B" w:rsidR="00D14ED3">
        <w:rPr>
          <w:szCs w:val="26"/>
        </w:rPr>
        <w:t xml:space="preserve"> rate design we will have data in the next GRC which will allow us to evaluate its effectiveness then.</w:t>
      </w:r>
    </w:p>
    <w:p w:rsidR="00CE0158" w:rsidP="005C0D4D" w:rsidRDefault="00D14ED3" w14:paraId="6DE9BC6E" w14:textId="0316B7FC">
      <w:pPr>
        <w:pStyle w:val="Standard"/>
        <w:rPr>
          <w:szCs w:val="26"/>
        </w:rPr>
      </w:pPr>
      <w:r w:rsidRPr="00235A7B">
        <w:rPr>
          <w:szCs w:val="26"/>
        </w:rPr>
        <w:t xml:space="preserve">We also decline to accept </w:t>
      </w:r>
      <w:r w:rsidR="00EB50F8">
        <w:rPr>
          <w:szCs w:val="26"/>
        </w:rPr>
        <w:t>Cal Advocates</w:t>
      </w:r>
      <w:r w:rsidR="000C0896">
        <w:rPr>
          <w:szCs w:val="26"/>
        </w:rPr>
        <w:t>’</w:t>
      </w:r>
      <w:r w:rsidRPr="00235A7B">
        <w:rPr>
          <w:szCs w:val="26"/>
        </w:rPr>
        <w:t xml:space="preserve"> recommendations to rename Tiers, adjust Tier breakpoints, and implement </w:t>
      </w:r>
      <w:r w:rsidR="00EB50F8">
        <w:rPr>
          <w:szCs w:val="26"/>
        </w:rPr>
        <w:t>Cal Water</w:t>
      </w:r>
      <w:r w:rsidR="000C0896">
        <w:rPr>
          <w:szCs w:val="26"/>
        </w:rPr>
        <w:t>’</w:t>
      </w:r>
      <w:r w:rsidRPr="00235A7B">
        <w:rPr>
          <w:szCs w:val="26"/>
        </w:rPr>
        <w:t>s change to the rate multiplier under LUWEP.</w:t>
      </w:r>
      <w:r w:rsidR="00583E5E">
        <w:rPr>
          <w:szCs w:val="26"/>
        </w:rPr>
        <w:t xml:space="preserve"> </w:t>
      </w:r>
      <w:r w:rsidR="00EB50F8">
        <w:rPr>
          <w:szCs w:val="26"/>
        </w:rPr>
        <w:t>Cal Advocates</w:t>
      </w:r>
      <w:r w:rsidR="00416EA9">
        <w:rPr>
          <w:szCs w:val="26"/>
        </w:rPr>
        <w:t>’</w:t>
      </w:r>
      <w:r w:rsidRPr="00235A7B">
        <w:rPr>
          <w:szCs w:val="26"/>
        </w:rPr>
        <w:t xml:space="preserve"> proposal deviates from D.20</w:t>
      </w:r>
      <w:r w:rsidR="00270999">
        <w:rPr>
          <w:szCs w:val="26"/>
        </w:rPr>
        <w:noBreakHyphen/>
      </w:r>
      <w:r w:rsidRPr="00235A7B">
        <w:rPr>
          <w:szCs w:val="26"/>
        </w:rPr>
        <w:t>07</w:t>
      </w:r>
      <w:r w:rsidR="00270999">
        <w:rPr>
          <w:szCs w:val="26"/>
        </w:rPr>
        <w:noBreakHyphen/>
      </w:r>
      <w:r w:rsidRPr="00235A7B">
        <w:rPr>
          <w:szCs w:val="26"/>
        </w:rPr>
        <w:t>032 in recommending a change to the 6</w:t>
      </w:r>
      <w:r w:rsidR="005350B3">
        <w:rPr>
          <w:szCs w:val="26"/>
        </w:rPr>
        <w:t> CCF</w:t>
      </w:r>
      <w:r w:rsidRPr="00235A7B">
        <w:rPr>
          <w:szCs w:val="26"/>
        </w:rPr>
        <w:t xml:space="preserve"> minimum essential water threshold. </w:t>
      </w:r>
      <w:r w:rsidR="00EB50F8">
        <w:rPr>
          <w:szCs w:val="26"/>
        </w:rPr>
        <w:lastRenderedPageBreak/>
        <w:t>Cal Water</w:t>
      </w:r>
      <w:r w:rsidR="000C0896">
        <w:rPr>
          <w:szCs w:val="26"/>
        </w:rPr>
        <w:t>’</w:t>
      </w:r>
      <w:r w:rsidRPr="00235A7B">
        <w:rPr>
          <w:szCs w:val="26"/>
        </w:rPr>
        <w:t xml:space="preserve">s rebuttal testimony convincingly demonstrates discrepancies between </w:t>
      </w:r>
      <w:r w:rsidR="00EB50F8">
        <w:rPr>
          <w:szCs w:val="26"/>
        </w:rPr>
        <w:t>Cal Advocates</w:t>
      </w:r>
      <w:r w:rsidR="000C0896">
        <w:rPr>
          <w:szCs w:val="26"/>
        </w:rPr>
        <w:t>’</w:t>
      </w:r>
      <w:r w:rsidRPr="00235A7B">
        <w:rPr>
          <w:szCs w:val="26"/>
        </w:rPr>
        <w:t xml:space="preserve"> proposed 6</w:t>
      </w:r>
      <w:r w:rsidR="005350B3">
        <w:rPr>
          <w:szCs w:val="26"/>
        </w:rPr>
        <w:t> CCF</w:t>
      </w:r>
      <w:r w:rsidRPr="00235A7B">
        <w:rPr>
          <w:szCs w:val="26"/>
        </w:rPr>
        <w:t xml:space="preserve"> and the actual residential outdoor standard calculated for each of </w:t>
      </w:r>
      <w:r w:rsidR="00EB50F8">
        <w:rPr>
          <w:szCs w:val="26"/>
        </w:rPr>
        <w:t>Cal Water</w:t>
      </w:r>
      <w:r w:rsidR="000C0896">
        <w:rPr>
          <w:szCs w:val="26"/>
        </w:rPr>
        <w:t>’</w:t>
      </w:r>
      <w:r w:rsidRPr="00235A7B">
        <w:rPr>
          <w:szCs w:val="26"/>
        </w:rPr>
        <w:t>s districts (ranging from 4</w:t>
      </w:r>
      <w:r w:rsidR="00927404">
        <w:rPr>
          <w:szCs w:val="26"/>
        </w:rPr>
        <w:t> </w:t>
      </w:r>
      <w:r w:rsidRPr="00235A7B">
        <w:rPr>
          <w:szCs w:val="26"/>
        </w:rPr>
        <w:t>CCF to 37</w:t>
      </w:r>
      <w:r w:rsidR="005350B3">
        <w:rPr>
          <w:szCs w:val="26"/>
        </w:rPr>
        <w:t> CCF</w:t>
      </w:r>
      <w:r w:rsidRPr="00235A7B">
        <w:rPr>
          <w:szCs w:val="26"/>
        </w:rPr>
        <w:t>).</w:t>
      </w:r>
      <w:r w:rsidRPr="00235A7B">
        <w:rPr>
          <w:rStyle w:val="FootnoteReference"/>
          <w:szCs w:val="26"/>
        </w:rPr>
        <w:footnoteReference w:id="158"/>
      </w:r>
      <w:r w:rsidRPr="00235A7B">
        <w:rPr>
          <w:szCs w:val="26"/>
        </w:rPr>
        <w:t xml:space="preserve"> Furthermore, there is a procedural disconnect between </w:t>
      </w:r>
      <w:r w:rsidR="00EB50F8">
        <w:rPr>
          <w:szCs w:val="26"/>
        </w:rPr>
        <w:t>Cal Advocates</w:t>
      </w:r>
      <w:r w:rsidR="000C0896">
        <w:rPr>
          <w:szCs w:val="26"/>
        </w:rPr>
        <w:t>’</w:t>
      </w:r>
      <w:r w:rsidRPr="00235A7B">
        <w:rPr>
          <w:szCs w:val="26"/>
        </w:rPr>
        <w:t xml:space="preserve"> recommendation to eliminate the 4th tier and revert to a </w:t>
      </w:r>
      <w:r w:rsidR="005350B3">
        <w:rPr>
          <w:szCs w:val="26"/>
        </w:rPr>
        <w:t>three</w:t>
      </w:r>
      <w:r w:rsidR="00270999">
        <w:rPr>
          <w:szCs w:val="26"/>
        </w:rPr>
        <w:noBreakHyphen/>
      </w:r>
      <w:r w:rsidRPr="00235A7B">
        <w:rPr>
          <w:szCs w:val="26"/>
        </w:rPr>
        <w:t xml:space="preserve">tier rate design in </w:t>
      </w:r>
      <w:r w:rsidR="00C46D84">
        <w:rPr>
          <w:szCs w:val="26"/>
        </w:rPr>
        <w:t>six</w:t>
      </w:r>
      <w:r w:rsidRPr="00235A7B">
        <w:rPr>
          <w:szCs w:val="26"/>
        </w:rPr>
        <w:t xml:space="preserve"> of </w:t>
      </w:r>
      <w:r w:rsidR="00EB50F8">
        <w:rPr>
          <w:szCs w:val="26"/>
        </w:rPr>
        <w:t>Cal Water</w:t>
      </w:r>
      <w:r w:rsidR="000C0896">
        <w:rPr>
          <w:szCs w:val="26"/>
        </w:rPr>
        <w:t>’</w:t>
      </w:r>
      <w:r w:rsidRPr="00235A7B">
        <w:rPr>
          <w:szCs w:val="26"/>
        </w:rPr>
        <w:t>s 17 rate regions, and its recommendation that an impact study be conducted.</w:t>
      </w:r>
    </w:p>
    <w:p w:rsidR="00CE0158" w:rsidP="005C0D4D" w:rsidRDefault="00D14ED3" w14:paraId="73234037" w14:textId="6FC65EDF">
      <w:pPr>
        <w:pStyle w:val="Standard"/>
        <w:rPr>
          <w:szCs w:val="26"/>
        </w:rPr>
      </w:pPr>
      <w:r w:rsidRPr="00235A7B">
        <w:rPr>
          <w:szCs w:val="26"/>
        </w:rPr>
        <w:t xml:space="preserve">While we agree with </w:t>
      </w:r>
      <w:r w:rsidR="00EB50F8">
        <w:rPr>
          <w:szCs w:val="26"/>
        </w:rPr>
        <w:t>Cal Advocates</w:t>
      </w:r>
      <w:r w:rsidR="000C0896">
        <w:rPr>
          <w:szCs w:val="26"/>
        </w:rPr>
        <w:t>’</w:t>
      </w:r>
      <w:r w:rsidRPr="00235A7B">
        <w:rPr>
          <w:szCs w:val="26"/>
        </w:rPr>
        <w:t xml:space="preserve"> arguments opposing LUWEP rate design, just as with LUWEP, there is no evidence that steeper tier breakpoints proposed by </w:t>
      </w:r>
      <w:r w:rsidR="00EB50F8">
        <w:rPr>
          <w:szCs w:val="26"/>
        </w:rPr>
        <w:t>Cal Advocates</w:t>
      </w:r>
      <w:r w:rsidRPr="00235A7B">
        <w:rPr>
          <w:szCs w:val="26"/>
        </w:rPr>
        <w:t xml:space="preserve"> would effectively </w:t>
      </w:r>
      <w:r w:rsidR="00E54859">
        <w:rPr>
          <w:szCs w:val="26"/>
        </w:rPr>
        <w:t xml:space="preserve">advance </w:t>
      </w:r>
      <w:hyperlink w:tgtFrame="_blank" w:history="1" r:id="rId16">
        <w:r w:rsidRPr="00235A7B">
          <w:rPr>
            <w:szCs w:val="26"/>
          </w:rPr>
          <w:t>conservation or affordability</w:t>
        </w:r>
      </w:hyperlink>
      <w:r w:rsidR="00657793">
        <w:rPr>
          <w:szCs w:val="26"/>
        </w:rPr>
        <w:t xml:space="preserve"> </w:t>
      </w:r>
      <w:r w:rsidRPr="00235A7B">
        <w:rPr>
          <w:szCs w:val="26"/>
        </w:rPr>
        <w:t>objectives more than the M</w:t>
      </w:r>
      <w:r w:rsidR="00270999">
        <w:rPr>
          <w:szCs w:val="26"/>
        </w:rPr>
        <w:noBreakHyphen/>
      </w:r>
      <w:r w:rsidRPr="00235A7B">
        <w:rPr>
          <w:szCs w:val="26"/>
        </w:rPr>
        <w:t xml:space="preserve">WRAM. We find it premature to approve </w:t>
      </w:r>
      <w:r w:rsidR="00EB50F8">
        <w:rPr>
          <w:szCs w:val="26"/>
        </w:rPr>
        <w:t>Cal Advocates</w:t>
      </w:r>
      <w:r w:rsidR="000C0896">
        <w:rPr>
          <w:szCs w:val="26"/>
        </w:rPr>
        <w:t>’</w:t>
      </w:r>
      <w:r w:rsidRPr="00235A7B">
        <w:rPr>
          <w:szCs w:val="26"/>
        </w:rPr>
        <w:t xml:space="preserve"> more aggressive version of the </w:t>
      </w:r>
      <w:r w:rsidR="008B0F27">
        <w:rPr>
          <w:szCs w:val="26"/>
        </w:rPr>
        <w:t>four</w:t>
      </w:r>
      <w:r w:rsidR="00270999">
        <w:rPr>
          <w:szCs w:val="26"/>
        </w:rPr>
        <w:noBreakHyphen/>
      </w:r>
      <w:r w:rsidR="008B0F27">
        <w:rPr>
          <w:szCs w:val="26"/>
        </w:rPr>
        <w:t>tier</w:t>
      </w:r>
      <w:r w:rsidRPr="00235A7B">
        <w:rPr>
          <w:szCs w:val="26"/>
        </w:rPr>
        <w:t xml:space="preserve"> rate design before its impact on customers</w:t>
      </w:r>
      <w:r w:rsidR="000C0896">
        <w:rPr>
          <w:szCs w:val="26"/>
        </w:rPr>
        <w:t>’</w:t>
      </w:r>
      <w:r w:rsidRPr="00235A7B">
        <w:rPr>
          <w:szCs w:val="26"/>
        </w:rPr>
        <w:t xml:space="preserve"> usage and bills are better understood.</w:t>
      </w:r>
      <w:r w:rsidRPr="00235A7B">
        <w:rPr>
          <w:rStyle w:val="FootnoteReference"/>
          <w:szCs w:val="26"/>
        </w:rPr>
        <w:footnoteReference w:id="159"/>
      </w:r>
    </w:p>
    <w:p w:rsidR="00D14ED3" w:rsidP="00826643" w:rsidRDefault="00D14ED3" w14:paraId="4EEE4A52" w14:textId="047A6FA0">
      <w:pPr>
        <w:pStyle w:val="Standard"/>
        <w:keepNext/>
        <w:rPr>
          <w:szCs w:val="26"/>
        </w:rPr>
      </w:pPr>
      <w:r w:rsidRPr="00235A7B">
        <w:rPr>
          <w:szCs w:val="26"/>
        </w:rPr>
        <w:t>In summary, the decision adopts the following M</w:t>
      </w:r>
      <w:r w:rsidR="00270999">
        <w:rPr>
          <w:szCs w:val="26"/>
        </w:rPr>
        <w:noBreakHyphen/>
      </w:r>
      <w:r w:rsidRPr="00235A7B">
        <w:rPr>
          <w:szCs w:val="26"/>
        </w:rPr>
        <w:t>WRAM rate design:</w:t>
      </w:r>
    </w:p>
    <w:tbl>
      <w:tblPr>
        <w:tblStyle w:val="TableGrid"/>
        <w:tblW w:w="10555" w:type="dxa"/>
        <w:jc w:val="center"/>
        <w:tblLayout w:type="fixed"/>
        <w:tblCellMar>
          <w:top w:w="58" w:type="dxa"/>
          <w:bottom w:w="58" w:type="dxa"/>
        </w:tblCellMar>
        <w:tblLook w:val="04A0" w:firstRow="1" w:lastRow="0" w:firstColumn="1" w:lastColumn="0" w:noHBand="0" w:noVBand="1"/>
      </w:tblPr>
      <w:tblGrid>
        <w:gridCol w:w="5277"/>
        <w:gridCol w:w="5278"/>
      </w:tblGrid>
      <w:tr w:rsidR="00B16EAD" w:rsidTr="00B16EAD" w14:paraId="759B3916" w14:textId="77777777">
        <w:trPr>
          <w:tblHeader/>
          <w:jc w:val="center"/>
        </w:trPr>
        <w:tc>
          <w:tcPr>
            <w:tcW w:w="4675" w:type="dxa"/>
          </w:tcPr>
          <w:p w:rsidR="00B16EAD" w:rsidP="00B16EAD" w:rsidRDefault="00B16EAD" w14:paraId="1A322F6D" w14:textId="1B411FCD">
            <w:pPr>
              <w:pStyle w:val="Standard"/>
              <w:keepNext/>
              <w:spacing w:line="240" w:lineRule="auto"/>
              <w:ind w:firstLine="0"/>
            </w:pPr>
            <w:r w:rsidRPr="00170681">
              <w:rPr>
                <w:rFonts w:eastAsia="Calibri" w:cs="Aptos"/>
                <w:b/>
                <w:szCs w:val="20"/>
              </w:rPr>
              <w:t>Rate Design</w:t>
            </w:r>
          </w:p>
        </w:tc>
        <w:tc>
          <w:tcPr>
            <w:tcW w:w="4675" w:type="dxa"/>
          </w:tcPr>
          <w:p w:rsidR="00B16EAD" w:rsidP="00B16EAD" w:rsidRDefault="00B16EAD" w14:paraId="12522D29" w14:textId="20C8F62C">
            <w:pPr>
              <w:pStyle w:val="Standard"/>
              <w:keepNext/>
              <w:spacing w:line="240" w:lineRule="auto"/>
              <w:ind w:firstLine="0"/>
            </w:pPr>
            <w:r w:rsidRPr="00170681">
              <w:rPr>
                <w:rFonts w:eastAsia="Calibri" w:cs="Aptos"/>
                <w:b/>
                <w:szCs w:val="20"/>
              </w:rPr>
              <w:t>Adopted M</w:t>
            </w:r>
            <w:r w:rsidR="00270999">
              <w:rPr>
                <w:rFonts w:eastAsia="Calibri" w:cs="Aptos"/>
                <w:b/>
                <w:szCs w:val="20"/>
              </w:rPr>
              <w:noBreakHyphen/>
            </w:r>
            <w:r w:rsidRPr="00170681">
              <w:rPr>
                <w:rFonts w:eastAsia="Calibri" w:cs="Aptos"/>
                <w:b/>
                <w:szCs w:val="20"/>
              </w:rPr>
              <w:t>WRAM Rate Design</w:t>
            </w:r>
          </w:p>
        </w:tc>
      </w:tr>
      <w:tr w:rsidR="00B16EAD" w:rsidTr="00E42666" w14:paraId="59CB8F36" w14:textId="77777777">
        <w:trPr>
          <w:cantSplit/>
          <w:jc w:val="center"/>
        </w:trPr>
        <w:tc>
          <w:tcPr>
            <w:tcW w:w="4675" w:type="dxa"/>
          </w:tcPr>
          <w:p w:rsidR="00B16EAD" w:rsidP="00B16EAD" w:rsidRDefault="00B16EAD" w14:paraId="5EE9EDDD" w14:textId="4571DC91">
            <w:pPr>
              <w:pStyle w:val="Standard"/>
              <w:spacing w:line="240" w:lineRule="auto"/>
              <w:ind w:firstLine="0"/>
            </w:pPr>
            <w:r w:rsidRPr="00170681">
              <w:rPr>
                <w:rFonts w:eastAsia="Calibri" w:cs="Aptos"/>
                <w:szCs w:val="20"/>
              </w:rPr>
              <w:t>Fixed charges</w:t>
            </w:r>
          </w:p>
        </w:tc>
        <w:tc>
          <w:tcPr>
            <w:tcW w:w="4675" w:type="dxa"/>
          </w:tcPr>
          <w:p w:rsidR="00B16EAD" w:rsidP="00B16EAD" w:rsidRDefault="00B16EAD" w14:paraId="5B9D3886" w14:textId="77777777">
            <w:pPr>
              <w:spacing w:line="240" w:lineRule="auto"/>
              <w:ind w:firstLine="0"/>
              <w:rPr>
                <w:rFonts w:eastAsia="Calibri" w:cs="Aptos"/>
                <w:szCs w:val="20"/>
              </w:rPr>
            </w:pPr>
            <w:r w:rsidRPr="00170681">
              <w:rPr>
                <w:rFonts w:eastAsia="Calibri" w:cs="Aptos"/>
                <w:szCs w:val="20"/>
              </w:rPr>
              <w:t>Up 10% in each district</w:t>
            </w:r>
          </w:p>
          <w:p w:rsidR="00B16EAD" w:rsidP="00B16EAD" w:rsidRDefault="00B16EAD" w14:paraId="4F570E47" w14:textId="398E45D8">
            <w:pPr>
              <w:pStyle w:val="Standard"/>
              <w:spacing w:line="240" w:lineRule="auto"/>
              <w:ind w:firstLine="0"/>
            </w:pPr>
            <w:r w:rsidRPr="00170681">
              <w:rPr>
                <w:rFonts w:eastAsia="Calibri" w:cs="Aptos"/>
                <w:szCs w:val="20"/>
              </w:rPr>
              <w:t xml:space="preserve">from the current rate design </w:t>
            </w:r>
          </w:p>
        </w:tc>
      </w:tr>
      <w:tr w:rsidR="00B16EAD" w:rsidTr="00B16EAD" w14:paraId="266D31F4" w14:textId="77777777">
        <w:trPr>
          <w:jc w:val="center"/>
        </w:trPr>
        <w:tc>
          <w:tcPr>
            <w:tcW w:w="4675" w:type="dxa"/>
          </w:tcPr>
          <w:p w:rsidR="00B16EAD" w:rsidP="00B16EAD" w:rsidRDefault="00B16EAD" w14:paraId="7141E727" w14:textId="1AA29389">
            <w:pPr>
              <w:pStyle w:val="Standard"/>
              <w:spacing w:line="240" w:lineRule="auto"/>
              <w:ind w:firstLine="0"/>
            </w:pPr>
            <w:r w:rsidRPr="00170681">
              <w:rPr>
                <w:rFonts w:eastAsia="Calibri" w:cs="Aptos"/>
                <w:szCs w:val="20"/>
              </w:rPr>
              <w:t>Tiers multipliers</w:t>
            </w:r>
            <w:r>
              <w:rPr>
                <w:rFonts w:eastAsia="Calibri" w:cs="Aptos"/>
                <w:szCs w:val="20"/>
              </w:rPr>
              <w:t xml:space="preserve"> </w:t>
            </w:r>
            <w:r w:rsidRPr="00170681">
              <w:rPr>
                <w:rFonts w:eastAsia="Calibri" w:cs="Aptos"/>
                <w:szCs w:val="20"/>
              </w:rPr>
              <w:t>(steepness)</w:t>
            </w:r>
          </w:p>
        </w:tc>
        <w:tc>
          <w:tcPr>
            <w:tcW w:w="4675" w:type="dxa"/>
          </w:tcPr>
          <w:p w:rsidRPr="00170681" w:rsidR="00B16EAD" w:rsidP="00B16EAD" w:rsidRDefault="00EB50F8" w14:paraId="6651ED02" w14:textId="2C199A30">
            <w:pPr>
              <w:spacing w:line="240" w:lineRule="auto"/>
              <w:ind w:firstLine="0"/>
              <w:rPr>
                <w:rFonts w:eastAsia="Calibri" w:cs="Aptos"/>
                <w:szCs w:val="20"/>
              </w:rPr>
            </w:pPr>
            <w:r>
              <w:rPr>
                <w:rFonts w:eastAsia="Calibri" w:cs="Aptos"/>
                <w:szCs w:val="20"/>
                <w:u w:val="single"/>
              </w:rPr>
              <w:t>Tier 1</w:t>
            </w:r>
            <w:r w:rsidR="000C0896">
              <w:rPr>
                <w:rFonts w:eastAsia="Calibri" w:cs="Aptos"/>
                <w:szCs w:val="20"/>
              </w:rPr>
              <w:t xml:space="preserve">:  </w:t>
            </w:r>
            <w:r w:rsidRPr="00170681" w:rsidR="00B16EAD">
              <w:rPr>
                <w:rFonts w:eastAsia="Calibri" w:cs="Aptos"/>
                <w:szCs w:val="20"/>
              </w:rPr>
              <w:t xml:space="preserve">25% of </w:t>
            </w:r>
            <w:r>
              <w:rPr>
                <w:rFonts w:eastAsia="Calibri" w:cs="Aptos"/>
                <w:szCs w:val="20"/>
              </w:rPr>
              <w:t>Tier 2</w:t>
            </w:r>
          </w:p>
          <w:p w:rsidRPr="00170681" w:rsidR="00B16EAD" w:rsidP="00B16EAD" w:rsidRDefault="00EB50F8" w14:paraId="6FFE41E3" w14:textId="55B99664">
            <w:pPr>
              <w:spacing w:line="240" w:lineRule="auto"/>
              <w:ind w:firstLine="0"/>
              <w:rPr>
                <w:rFonts w:eastAsia="Calibri" w:cs="Aptos"/>
                <w:szCs w:val="20"/>
              </w:rPr>
            </w:pPr>
            <w:r>
              <w:rPr>
                <w:rFonts w:eastAsia="Calibri" w:cs="Aptos"/>
                <w:szCs w:val="20"/>
                <w:u w:val="single"/>
              </w:rPr>
              <w:t>Tier 2</w:t>
            </w:r>
            <w:r w:rsidR="000C0896">
              <w:rPr>
                <w:rFonts w:eastAsia="Calibri" w:cs="Aptos"/>
                <w:szCs w:val="20"/>
              </w:rPr>
              <w:t xml:space="preserve">:  </w:t>
            </w:r>
            <w:r w:rsidRPr="00170681" w:rsidR="00B16EAD">
              <w:rPr>
                <w:rFonts w:eastAsia="Calibri" w:cs="Aptos"/>
                <w:szCs w:val="20"/>
              </w:rPr>
              <w:t>100%</w:t>
            </w:r>
          </w:p>
          <w:p w:rsidR="00CE0158" w:rsidP="00B16EAD" w:rsidRDefault="00EB50F8" w14:paraId="43EFD9C9" w14:textId="0B7D3759">
            <w:pPr>
              <w:spacing w:line="240" w:lineRule="auto"/>
              <w:ind w:firstLine="0"/>
              <w:rPr>
                <w:rFonts w:eastAsia="Calibri" w:cs="Aptos"/>
                <w:szCs w:val="20"/>
              </w:rPr>
            </w:pPr>
            <w:r>
              <w:rPr>
                <w:rFonts w:eastAsia="Calibri" w:cs="Aptos"/>
                <w:szCs w:val="20"/>
                <w:u w:val="single"/>
              </w:rPr>
              <w:t>Tier 3</w:t>
            </w:r>
            <w:r w:rsidR="000C0896">
              <w:rPr>
                <w:rFonts w:eastAsia="Calibri" w:cs="Aptos"/>
                <w:szCs w:val="20"/>
              </w:rPr>
              <w:t xml:space="preserve">:  </w:t>
            </w:r>
            <w:r w:rsidRPr="00170681" w:rsidR="00B16EAD">
              <w:rPr>
                <w:rFonts w:eastAsia="Calibri" w:cs="Aptos"/>
                <w:szCs w:val="20"/>
              </w:rPr>
              <w:t xml:space="preserve">125% of </w:t>
            </w:r>
            <w:r>
              <w:rPr>
                <w:rFonts w:eastAsia="Calibri" w:cs="Aptos"/>
                <w:szCs w:val="20"/>
              </w:rPr>
              <w:t>Tier 2</w:t>
            </w:r>
          </w:p>
          <w:p w:rsidR="00B16EAD" w:rsidP="00B16EAD" w:rsidRDefault="00EB50F8" w14:paraId="084DA986" w14:textId="7011FCB3">
            <w:pPr>
              <w:pStyle w:val="Standard"/>
              <w:spacing w:line="240" w:lineRule="auto"/>
              <w:ind w:firstLine="0"/>
            </w:pPr>
            <w:r>
              <w:rPr>
                <w:rFonts w:eastAsia="Calibri" w:cs="Aptos"/>
                <w:szCs w:val="20"/>
                <w:u w:val="single"/>
              </w:rPr>
              <w:t>Tier 4</w:t>
            </w:r>
            <w:r w:rsidR="000C0896">
              <w:rPr>
                <w:rFonts w:eastAsia="Calibri" w:cs="Aptos"/>
                <w:szCs w:val="20"/>
              </w:rPr>
              <w:t xml:space="preserve">:  </w:t>
            </w:r>
            <w:r w:rsidRPr="00170681" w:rsidR="00B16EAD">
              <w:rPr>
                <w:rFonts w:eastAsia="Calibri" w:cs="Aptos"/>
                <w:szCs w:val="20"/>
              </w:rPr>
              <w:t xml:space="preserve">150% of </w:t>
            </w:r>
            <w:r>
              <w:rPr>
                <w:rFonts w:eastAsia="Calibri" w:cs="Aptos"/>
                <w:szCs w:val="20"/>
              </w:rPr>
              <w:t>Tier 2</w:t>
            </w:r>
          </w:p>
        </w:tc>
      </w:tr>
      <w:tr w:rsidR="00B16EAD" w:rsidTr="00E42666" w14:paraId="4CA26A5C" w14:textId="77777777">
        <w:trPr>
          <w:cantSplit/>
          <w:jc w:val="center"/>
        </w:trPr>
        <w:tc>
          <w:tcPr>
            <w:tcW w:w="4675" w:type="dxa"/>
          </w:tcPr>
          <w:p w:rsidR="00CE0158" w:rsidP="00B16EAD" w:rsidRDefault="00B16EAD" w14:paraId="2E39CA69" w14:textId="77777777">
            <w:pPr>
              <w:spacing w:line="240" w:lineRule="auto"/>
              <w:ind w:firstLine="0"/>
              <w:rPr>
                <w:rFonts w:eastAsia="Calibri" w:cs="Aptos"/>
                <w:szCs w:val="20"/>
              </w:rPr>
            </w:pPr>
            <w:r w:rsidRPr="00170681">
              <w:rPr>
                <w:rFonts w:eastAsia="Calibri" w:cs="Aptos"/>
                <w:szCs w:val="20"/>
              </w:rPr>
              <w:t>Tier widths</w:t>
            </w:r>
          </w:p>
          <w:p w:rsidR="00B16EAD" w:rsidP="00B16EAD" w:rsidRDefault="00B16EAD" w14:paraId="462220ED" w14:textId="6382DBDE">
            <w:pPr>
              <w:pStyle w:val="Standard"/>
              <w:spacing w:line="240" w:lineRule="auto"/>
              <w:ind w:firstLine="0"/>
            </w:pPr>
            <w:r w:rsidRPr="00170681">
              <w:rPr>
                <w:rFonts w:eastAsia="Calibri" w:cs="Aptos"/>
                <w:szCs w:val="20"/>
              </w:rPr>
              <w:t>(usage breakpoints separating each tier)</w:t>
            </w:r>
          </w:p>
        </w:tc>
        <w:tc>
          <w:tcPr>
            <w:tcW w:w="4675" w:type="dxa"/>
          </w:tcPr>
          <w:p w:rsidR="00B16EAD" w:rsidP="00B16EAD" w:rsidRDefault="00B16EAD" w14:paraId="26560249" w14:textId="77E874A7">
            <w:pPr>
              <w:pStyle w:val="Standard"/>
              <w:spacing w:line="240" w:lineRule="auto"/>
              <w:ind w:firstLine="0"/>
            </w:pPr>
            <w:r w:rsidRPr="00170681">
              <w:rPr>
                <w:rFonts w:eastAsia="Calibri" w:cs="Aptos"/>
                <w:szCs w:val="20"/>
              </w:rPr>
              <w:t>No change from the current M</w:t>
            </w:r>
            <w:r w:rsidR="00270999">
              <w:rPr>
                <w:rFonts w:eastAsia="Calibri" w:cs="Aptos"/>
                <w:szCs w:val="20"/>
              </w:rPr>
              <w:noBreakHyphen/>
            </w:r>
            <w:r w:rsidRPr="00170681">
              <w:rPr>
                <w:rFonts w:eastAsia="Calibri" w:cs="Aptos"/>
                <w:szCs w:val="20"/>
              </w:rPr>
              <w:t>WRAM</w:t>
            </w:r>
          </w:p>
        </w:tc>
      </w:tr>
    </w:tbl>
    <w:p w:rsidRPr="00235A7B" w:rsidR="00B16EAD" w:rsidP="00B16EAD" w:rsidRDefault="00B16EAD" w14:paraId="4B32129F" w14:textId="77777777">
      <w:pPr>
        <w:pStyle w:val="TableSub"/>
      </w:pPr>
    </w:p>
    <w:p w:rsidRPr="00235A7B" w:rsidR="00D14ED3" w:rsidP="00D14ED3" w:rsidRDefault="00FF4384" w14:paraId="3C28AF91" w14:textId="402A84A0">
      <w:pPr>
        <w:pStyle w:val="Heading4"/>
        <w:rPr>
          <w:b w:val="0"/>
        </w:rPr>
      </w:pPr>
      <w:bookmarkStart w:name="_Toc221109054" w:id="101"/>
      <w:bookmarkStart w:name="_Toc222305269" w:id="102"/>
      <w:bookmarkStart w:name="_Toc228294696" w:id="103"/>
      <w:r w:rsidRPr="00FF4384">
        <w:lastRenderedPageBreak/>
        <w:t>Monterey Water Revenue</w:t>
      </w:r>
      <w:r w:rsidR="00E35E44">
        <w:br/>
      </w:r>
      <w:r w:rsidRPr="00FF4384">
        <w:t>Adjustment Mechanism</w:t>
      </w:r>
      <w:r w:rsidRPr="00235A7B" w:rsidR="00D14ED3">
        <w:t xml:space="preserve"> and</w:t>
      </w:r>
      <w:bookmarkEnd w:id="101"/>
      <w:r w:rsidR="00E35E44">
        <w:br/>
      </w:r>
      <w:r w:rsidRPr="00FF4384">
        <w:t>Sales Reconciliation Mechanism</w:t>
      </w:r>
      <w:bookmarkEnd w:id="102"/>
      <w:bookmarkEnd w:id="103"/>
    </w:p>
    <w:p w:rsidR="00CE0158" w:rsidP="005C0D4D" w:rsidRDefault="00D14ED3" w14:paraId="5DA1B6D0" w14:textId="524D32AD">
      <w:pPr>
        <w:pStyle w:val="Standard"/>
        <w:rPr>
          <w:szCs w:val="26"/>
        </w:rPr>
      </w:pPr>
      <w:r w:rsidRPr="00235A7B">
        <w:rPr>
          <w:szCs w:val="26"/>
        </w:rPr>
        <w:t xml:space="preserve">Regarding sales variance and future trends, while </w:t>
      </w:r>
      <w:r w:rsidR="00EB50F8">
        <w:rPr>
          <w:szCs w:val="26"/>
        </w:rPr>
        <w:t>Cal Water</w:t>
      </w:r>
      <w:r w:rsidRPr="00235A7B">
        <w:rPr>
          <w:szCs w:val="26"/>
        </w:rPr>
        <w:t xml:space="preserve"> falls short of justifying its current decoupling proposal, it demonstrates its sensitivity to unexpected sales variances and a commitment to revenue stability. The purpose of the SRM is to account for inaccuracies in the utility</w:t>
      </w:r>
      <w:r w:rsidR="000C0896">
        <w:rPr>
          <w:szCs w:val="26"/>
        </w:rPr>
        <w:t>’</w:t>
      </w:r>
      <w:r w:rsidRPr="00235A7B">
        <w:rPr>
          <w:szCs w:val="26"/>
        </w:rPr>
        <w:t>s water</w:t>
      </w:r>
      <w:r w:rsidR="00270999">
        <w:rPr>
          <w:szCs w:val="26"/>
        </w:rPr>
        <w:noBreakHyphen/>
      </w:r>
      <w:r w:rsidRPr="00235A7B">
        <w:rPr>
          <w:szCs w:val="26"/>
        </w:rPr>
        <w:t>consumption forecasts</w:t>
      </w:r>
      <w:r w:rsidR="00E54859">
        <w:rPr>
          <w:szCs w:val="26"/>
        </w:rPr>
        <w:t>,</w:t>
      </w:r>
      <w:r w:rsidRPr="00235A7B">
        <w:rPr>
          <w:rStyle w:val="FootnoteReference"/>
          <w:szCs w:val="26"/>
        </w:rPr>
        <w:footnoteReference w:id="160"/>
      </w:r>
      <w:r w:rsidRPr="00235A7B">
        <w:rPr>
          <w:szCs w:val="26"/>
        </w:rPr>
        <w:t xml:space="preserve"> thereby reducing revenue imbalances. SRM was also intended to help ratepayers by mitigating surcharges after the fact and, presumably, to induce conservation or changes in usage through annual rate adjustments. It is reasonable to grant </w:t>
      </w:r>
      <w:r w:rsidR="00EB50F8">
        <w:rPr>
          <w:szCs w:val="26"/>
        </w:rPr>
        <w:t>Cal Water</w:t>
      </w:r>
      <w:r w:rsidRPr="00235A7B">
        <w:rPr>
          <w:szCs w:val="26"/>
        </w:rPr>
        <w:t xml:space="preserve"> SRM with M</w:t>
      </w:r>
      <w:r w:rsidR="00270999">
        <w:rPr>
          <w:szCs w:val="26"/>
        </w:rPr>
        <w:noBreakHyphen/>
      </w:r>
      <w:r w:rsidRPr="00235A7B">
        <w:rPr>
          <w:szCs w:val="26"/>
        </w:rPr>
        <w:t xml:space="preserve">WRAM because the SRM can align rates </w:t>
      </w:r>
      <w:r w:rsidR="00244845">
        <w:rPr>
          <w:szCs w:val="26"/>
        </w:rPr>
        <w:t>with</w:t>
      </w:r>
      <w:r w:rsidRPr="00235A7B">
        <w:rPr>
          <w:szCs w:val="26"/>
        </w:rPr>
        <w:t xml:space="preserve"> current usage patterns </w:t>
      </w:r>
      <w:r w:rsidR="009D6ED8">
        <w:rPr>
          <w:szCs w:val="26"/>
        </w:rPr>
        <w:t>in order to support</w:t>
      </w:r>
      <w:r w:rsidRPr="00235A7B">
        <w:rPr>
          <w:szCs w:val="26"/>
        </w:rPr>
        <w:t xml:space="preserve"> the utility to </w:t>
      </w:r>
      <w:r w:rsidR="009D6ED8">
        <w:rPr>
          <w:szCs w:val="26"/>
        </w:rPr>
        <w:t>collect</w:t>
      </w:r>
      <w:r w:rsidRPr="00235A7B" w:rsidR="009D6ED8">
        <w:rPr>
          <w:szCs w:val="26"/>
        </w:rPr>
        <w:t xml:space="preserve"> </w:t>
      </w:r>
      <w:r w:rsidRPr="00235A7B">
        <w:rPr>
          <w:szCs w:val="26"/>
        </w:rPr>
        <w:t>its revenue requirement.</w:t>
      </w:r>
      <w:r w:rsidRPr="00235A7B">
        <w:rPr>
          <w:rStyle w:val="FootnoteReference"/>
          <w:szCs w:val="26"/>
        </w:rPr>
        <w:footnoteReference w:id="161"/>
      </w:r>
    </w:p>
    <w:p w:rsidR="003E0E60" w:rsidP="005C0D4D" w:rsidRDefault="00D14ED3" w14:paraId="1362A24C" w14:textId="5608DDEB">
      <w:pPr>
        <w:pStyle w:val="Standard"/>
      </w:pPr>
      <w:r w:rsidRPr="00235A7B">
        <w:rPr>
          <w:szCs w:val="26"/>
        </w:rPr>
        <w:t xml:space="preserve">Though </w:t>
      </w:r>
      <w:r w:rsidR="00EB50F8">
        <w:rPr>
          <w:szCs w:val="26"/>
        </w:rPr>
        <w:t>Cal Water</w:t>
      </w:r>
      <w:r w:rsidRPr="00235A7B">
        <w:rPr>
          <w:szCs w:val="26"/>
        </w:rPr>
        <w:t xml:space="preserve"> requests both LUWEP and SRM, we find it is reasonable to reinstate SRM with M</w:t>
      </w:r>
      <w:r w:rsidR="00270999">
        <w:rPr>
          <w:szCs w:val="26"/>
        </w:rPr>
        <w:noBreakHyphen/>
      </w:r>
      <w:r w:rsidRPr="00235A7B">
        <w:rPr>
          <w:szCs w:val="26"/>
        </w:rPr>
        <w:t>WRAM instead. The Commission has previously authorized M</w:t>
      </w:r>
      <w:r w:rsidR="00270999">
        <w:rPr>
          <w:szCs w:val="26"/>
        </w:rPr>
        <w:noBreakHyphen/>
      </w:r>
      <w:r w:rsidRPr="00235A7B">
        <w:rPr>
          <w:szCs w:val="26"/>
        </w:rPr>
        <w:t>WRAM and SRM in D.25</w:t>
      </w:r>
      <w:r w:rsidR="00270999">
        <w:rPr>
          <w:szCs w:val="26"/>
        </w:rPr>
        <w:noBreakHyphen/>
      </w:r>
      <w:r w:rsidRPr="00235A7B">
        <w:rPr>
          <w:szCs w:val="26"/>
        </w:rPr>
        <w:t>06</w:t>
      </w:r>
      <w:r w:rsidR="00270999">
        <w:rPr>
          <w:szCs w:val="26"/>
        </w:rPr>
        <w:noBreakHyphen/>
      </w:r>
      <w:r w:rsidRPr="00235A7B">
        <w:rPr>
          <w:szCs w:val="26"/>
        </w:rPr>
        <w:t>036</w:t>
      </w:r>
      <w:r w:rsidR="001A4404">
        <w:rPr>
          <w:szCs w:val="26"/>
        </w:rPr>
        <w:t>, a</w:t>
      </w:r>
      <w:r>
        <w:rPr>
          <w:szCs w:val="26"/>
        </w:rPr>
        <w:t>s well as in</w:t>
      </w:r>
      <w:r w:rsidRPr="00235A7B">
        <w:rPr>
          <w:szCs w:val="26"/>
        </w:rPr>
        <w:t xml:space="preserve"> D.12</w:t>
      </w:r>
      <w:r w:rsidR="00270999">
        <w:rPr>
          <w:szCs w:val="26"/>
        </w:rPr>
        <w:noBreakHyphen/>
      </w:r>
      <w:r w:rsidRPr="00235A7B">
        <w:rPr>
          <w:szCs w:val="26"/>
        </w:rPr>
        <w:t>12</w:t>
      </w:r>
      <w:r w:rsidR="00270999">
        <w:rPr>
          <w:szCs w:val="26"/>
        </w:rPr>
        <w:noBreakHyphen/>
      </w:r>
      <w:r w:rsidRPr="00235A7B">
        <w:rPr>
          <w:szCs w:val="26"/>
        </w:rPr>
        <w:t>025 for Golden State Water Company and California</w:t>
      </w:r>
      <w:r w:rsidR="00270999">
        <w:rPr>
          <w:szCs w:val="26"/>
        </w:rPr>
        <w:noBreakHyphen/>
      </w:r>
      <w:r w:rsidRPr="00235A7B">
        <w:rPr>
          <w:szCs w:val="26"/>
        </w:rPr>
        <w:t xml:space="preserve">American Water Company in </w:t>
      </w:r>
      <w:r w:rsidRPr="00235A7B">
        <w:t>D.25</w:t>
      </w:r>
      <w:r w:rsidR="00270999">
        <w:noBreakHyphen/>
      </w:r>
      <w:r w:rsidRPr="00235A7B">
        <w:t>01</w:t>
      </w:r>
      <w:r w:rsidR="00270999">
        <w:noBreakHyphen/>
      </w:r>
      <w:r w:rsidRPr="00235A7B">
        <w:t>036</w:t>
      </w:r>
      <w:r w:rsidRPr="00235A7B">
        <w:rPr>
          <w:szCs w:val="26"/>
        </w:rPr>
        <w:t>, respectively.</w:t>
      </w:r>
      <w:r w:rsidRPr="00235A7B">
        <w:rPr>
          <w:rStyle w:val="FootnoteReference"/>
          <w:szCs w:val="26"/>
        </w:rPr>
        <w:footnoteReference w:id="162"/>
      </w:r>
    </w:p>
    <w:p w:rsidR="00CE0158" w:rsidP="005C0D4D" w:rsidRDefault="00D14ED3" w14:paraId="36DFD90D" w14:textId="23A1DB31">
      <w:pPr>
        <w:pStyle w:val="Standard"/>
        <w:rPr>
          <w:szCs w:val="26"/>
        </w:rPr>
      </w:pPr>
      <w:r w:rsidRPr="00287CCB">
        <w:t>Th</w:t>
      </w:r>
      <w:r w:rsidRPr="00235A7B">
        <w:rPr>
          <w:szCs w:val="26"/>
        </w:rPr>
        <w:t>ough past Commission decisions are not binding, they offer guidance on what is considered just and reasonable in the specific circumstances of that proceeding at that time.</w:t>
      </w:r>
    </w:p>
    <w:p w:rsidRPr="00235A7B" w:rsidR="00D14ED3" w:rsidP="005C0D4D" w:rsidRDefault="00D14ED3" w14:paraId="3B0A7881" w14:textId="769E001E">
      <w:pPr>
        <w:pStyle w:val="Standard"/>
      </w:pPr>
      <w:r w:rsidRPr="00008612">
        <w:t xml:space="preserve">An SRM is reinstated for the current </w:t>
      </w:r>
      <w:r w:rsidRPr="00008612" w:rsidR="00EB50F8">
        <w:t>Cal Water</w:t>
      </w:r>
      <w:r w:rsidRPr="00008612">
        <w:t xml:space="preserve"> GRC cycle, subject to an annual evaluation, with the following modifications. We decline to adopt a </w:t>
      </w:r>
      <w:r w:rsidRPr="00008612">
        <w:lastRenderedPageBreak/>
        <w:t>one</w:t>
      </w:r>
      <w:r w:rsidR="00FD6045">
        <w:rPr>
          <w:szCs w:val="26"/>
        </w:rPr>
        <w:noBreakHyphen/>
      </w:r>
      <w:r w:rsidRPr="00008612">
        <w:t xml:space="preserve">way SRM </w:t>
      </w:r>
      <w:r w:rsidRPr="00008612" w:rsidR="27C0C9A1">
        <w:t>that while</w:t>
      </w:r>
      <w:r w:rsidR="00C93329">
        <w:t xml:space="preserve"> </w:t>
      </w:r>
      <w:r w:rsidRPr="00008612">
        <w:t>we find merit in allowing sales adjustments, sales adjustments should be two</w:t>
      </w:r>
      <w:r w:rsidR="00FD6045">
        <w:rPr>
          <w:szCs w:val="26"/>
        </w:rPr>
        <w:noBreakHyphen/>
      </w:r>
      <w:r w:rsidRPr="00008612">
        <w:t>way rather than one</w:t>
      </w:r>
      <w:r w:rsidR="00FD6045">
        <w:rPr>
          <w:szCs w:val="26"/>
        </w:rPr>
        <w:noBreakHyphen/>
      </w:r>
      <w:r w:rsidRPr="00008612">
        <w:t>way. A one</w:t>
      </w:r>
      <w:r w:rsidR="00FD6045">
        <w:rPr>
          <w:szCs w:val="26"/>
        </w:rPr>
        <w:noBreakHyphen/>
      </w:r>
      <w:r w:rsidRPr="00008612">
        <w:t>way SRM biases adjustment in favor of protecting the utility from downward sales while leaving upward sales benefits largely with shareholders. SRM should be used as an authorized revenue requirement recovery</w:t>
      </w:r>
      <w:r w:rsidR="00270999">
        <w:rPr>
          <w:szCs w:val="26"/>
        </w:rPr>
        <w:noBreakHyphen/>
      </w:r>
      <w:r w:rsidRPr="00008612">
        <w:t>correction tool. Therefore, we adopt a two</w:t>
      </w:r>
      <w:r w:rsidR="00270999">
        <w:rPr>
          <w:szCs w:val="26"/>
        </w:rPr>
        <w:noBreakHyphen/>
      </w:r>
      <w:r w:rsidRPr="00008612">
        <w:t>way SRM. We grant these modifications to the SRM based on the record in this proceeding.</w:t>
      </w:r>
    </w:p>
    <w:p w:rsidR="00CE0158" w:rsidP="005C0D4D" w:rsidRDefault="00D14ED3" w14:paraId="62F19546" w14:textId="55E80980">
      <w:pPr>
        <w:pStyle w:val="Standard"/>
        <w:rPr>
          <w:szCs w:val="26"/>
        </w:rPr>
      </w:pPr>
      <w:r w:rsidRPr="00235A7B">
        <w:rPr>
          <w:szCs w:val="26"/>
        </w:rPr>
        <w:t xml:space="preserve">The SRM will adjust the adopted sales forecast for </w:t>
      </w:r>
      <w:r w:rsidR="00EF1E5C">
        <w:rPr>
          <w:szCs w:val="26"/>
        </w:rPr>
        <w:t>EY</w:t>
      </w:r>
      <w:r w:rsidRPr="00235A7B">
        <w:rPr>
          <w:szCs w:val="26"/>
        </w:rPr>
        <w:t xml:space="preserve">s if recorded aggregate sales for the past year are more than </w:t>
      </w:r>
      <w:r w:rsidR="0032703D">
        <w:rPr>
          <w:szCs w:val="26"/>
        </w:rPr>
        <w:t>five</w:t>
      </w:r>
      <w:r w:rsidRPr="00235A7B">
        <w:rPr>
          <w:szCs w:val="26"/>
        </w:rPr>
        <w:t xml:space="preserve"> percent different (higher or lower) than the adopted sales. The SRM will apply for the </w:t>
      </w:r>
      <w:r w:rsidR="00EF1E5C">
        <w:rPr>
          <w:szCs w:val="26"/>
        </w:rPr>
        <w:t>EY</w:t>
      </w:r>
      <w:r w:rsidRPr="00235A7B">
        <w:rPr>
          <w:szCs w:val="26"/>
        </w:rPr>
        <w:t>s of the GRC period if triggered. The mechanism will then make a 50</w:t>
      </w:r>
      <w:r w:rsidR="0032703D">
        <w:rPr>
          <w:szCs w:val="26"/>
        </w:rPr>
        <w:t> percent</w:t>
      </w:r>
      <w:r w:rsidRPr="00235A7B">
        <w:rPr>
          <w:szCs w:val="26"/>
        </w:rPr>
        <w:t xml:space="preserve"> adjustment of the variance to the sales forecast and calculate rates </w:t>
      </w:r>
      <w:r w:rsidRPr="00235A7B" w:rsidDel="001F400C">
        <w:rPr>
          <w:szCs w:val="26"/>
        </w:rPr>
        <w:t xml:space="preserve">that </w:t>
      </w:r>
      <w:r w:rsidRPr="00235A7B">
        <w:rPr>
          <w:szCs w:val="26"/>
        </w:rPr>
        <w:t>reflect the adjusted consumption.</w:t>
      </w:r>
    </w:p>
    <w:p w:rsidR="000C0896" w:rsidP="005C0D4D" w:rsidRDefault="00D14ED3" w14:paraId="5FF27DD9" w14:textId="37D432E6">
      <w:pPr>
        <w:pStyle w:val="Standard"/>
      </w:pPr>
      <w:r w:rsidRPr="00008612">
        <w:t>While the decision acknowledges</w:t>
      </w:r>
      <w:r w:rsidR="00FD283B">
        <w:rPr>
          <w:szCs w:val="26"/>
        </w:rPr>
        <w:t xml:space="preserve"> </w:t>
      </w:r>
      <w:r w:rsidRPr="00008612" w:rsidR="00EB50F8">
        <w:t>Cal Advocates</w:t>
      </w:r>
      <w:r w:rsidR="000C0896">
        <w:rPr>
          <w:szCs w:val="26"/>
        </w:rPr>
        <w:t>’</w:t>
      </w:r>
      <w:r w:rsidRPr="00008612">
        <w:t xml:space="preserve"> opposition to SRM, it finds that the</w:t>
      </w:r>
      <w:r w:rsidR="00FD283B">
        <w:rPr>
          <w:szCs w:val="26"/>
        </w:rPr>
        <w:t xml:space="preserve"> </w:t>
      </w:r>
      <w:r w:rsidRPr="00008612">
        <w:t>SRM</w:t>
      </w:r>
      <w:r w:rsidR="00FD283B">
        <w:rPr>
          <w:szCs w:val="26"/>
        </w:rPr>
        <w:t xml:space="preserve"> </w:t>
      </w:r>
      <w:r w:rsidRPr="00008612">
        <w:t>offers benefits regardless of whether</w:t>
      </w:r>
      <w:r w:rsidR="00FD283B">
        <w:rPr>
          <w:szCs w:val="26"/>
        </w:rPr>
        <w:t xml:space="preserve"> </w:t>
      </w:r>
      <w:hyperlink w:tgtFrame="_blank" w:history="1" r:id="rId17">
        <w:r w:rsidRPr="00008612">
          <w:t>decoupling</w:t>
        </w:r>
      </w:hyperlink>
      <w:r w:rsidR="00FD283B">
        <w:rPr>
          <w:szCs w:val="26"/>
        </w:rPr>
        <w:t xml:space="preserve"> </w:t>
      </w:r>
      <w:r w:rsidRPr="00008612">
        <w:t>is in place. The SRM is authorized as a tool to address</w:t>
      </w:r>
      <w:r w:rsidR="00FD283B">
        <w:rPr>
          <w:szCs w:val="26"/>
        </w:rPr>
        <w:t xml:space="preserve"> </w:t>
      </w:r>
      <w:r w:rsidRPr="00008612">
        <w:t>exogenous events</w:t>
      </w:r>
      <w:r w:rsidR="00AE44B3">
        <w:rPr>
          <w:szCs w:val="26"/>
        </w:rPr>
        <w:t xml:space="preserve"> — </w:t>
      </w:r>
      <w:r w:rsidRPr="00008612">
        <w:t>such as government</w:t>
      </w:r>
      <w:r w:rsidR="00FD6045">
        <w:rPr>
          <w:szCs w:val="26"/>
        </w:rPr>
        <w:noBreakHyphen/>
      </w:r>
      <w:r w:rsidRPr="00008612">
        <w:t>mandated drought restrictions or infrastructure failures</w:t>
      </w:r>
      <w:r w:rsidR="00AE44B3">
        <w:rPr>
          <w:szCs w:val="26"/>
        </w:rPr>
        <w:t xml:space="preserve"> — </w:t>
      </w:r>
      <w:r w:rsidRPr="00008612">
        <w:t xml:space="preserve">that impact sales forecasts beyond </w:t>
      </w:r>
      <w:r w:rsidRPr="00008612" w:rsidR="00EB50F8">
        <w:t>Cal Water</w:t>
      </w:r>
      <w:r w:rsidR="000C0896">
        <w:rPr>
          <w:szCs w:val="26"/>
        </w:rPr>
        <w:t>’</w:t>
      </w:r>
      <w:r w:rsidRPr="00008612">
        <w:t>s control.</w:t>
      </w:r>
      <w:r w:rsidRPr="00008612">
        <w:rPr>
          <w:rStyle w:val="FootnoteReference"/>
        </w:rPr>
        <w:footnoteReference w:id="163"/>
      </w:r>
    </w:p>
    <w:p w:rsidR="00CE0158" w:rsidP="005C0D4D" w:rsidRDefault="00D14ED3" w14:paraId="22A018E8" w14:textId="25A37547">
      <w:pPr>
        <w:pStyle w:val="Standard"/>
        <w:rPr>
          <w:szCs w:val="26"/>
        </w:rPr>
      </w:pPr>
      <w:r w:rsidRPr="00235A7B">
        <w:rPr>
          <w:szCs w:val="26"/>
        </w:rPr>
        <w:t xml:space="preserve">If the SRM is triggered in at least one district, we require </w:t>
      </w:r>
      <w:r w:rsidR="00EB50F8">
        <w:rPr>
          <w:szCs w:val="26"/>
        </w:rPr>
        <w:t>Cal Water</w:t>
      </w:r>
      <w:r w:rsidRPr="00235A7B">
        <w:rPr>
          <w:szCs w:val="26"/>
        </w:rPr>
        <w:t xml:space="preserve"> to report on the impact of the SRM on an annual basis via </w:t>
      </w:r>
      <w:r w:rsidR="00EB50F8">
        <w:rPr>
          <w:szCs w:val="26"/>
        </w:rPr>
        <w:t>Tier </w:t>
      </w:r>
      <w:r w:rsidR="00084A82">
        <w:rPr>
          <w:szCs w:val="26"/>
        </w:rPr>
        <w:t>1</w:t>
      </w:r>
      <w:r w:rsidRPr="00235A7B" w:rsidR="00084A82">
        <w:rPr>
          <w:szCs w:val="26"/>
        </w:rPr>
        <w:t xml:space="preserve"> </w:t>
      </w:r>
      <w:r w:rsidRPr="00235A7B">
        <w:rPr>
          <w:szCs w:val="26"/>
        </w:rPr>
        <w:t>Advice letter summarizing the variance between actual and adopted sales at each triggered district; the location and level of any SRM adjustments and supporting calculations.</w:t>
      </w:r>
    </w:p>
    <w:p w:rsidR="00B90F5A" w:rsidP="00B90F5A" w:rsidRDefault="00464FB4" w14:paraId="7F4A72DE" w14:textId="57AFD1E2">
      <w:pPr>
        <w:pStyle w:val="Heading2"/>
        <w:rPr>
          <w:bCs/>
        </w:rPr>
      </w:pPr>
      <w:bookmarkStart w:name="_Toc222305270" w:id="104"/>
      <w:bookmarkStart w:name="_Toc228294697" w:id="105"/>
      <w:r>
        <w:lastRenderedPageBreak/>
        <w:t xml:space="preserve">Scoped </w:t>
      </w:r>
      <w:r w:rsidR="009D287A">
        <w:t>Issue #</w:t>
      </w:r>
      <w:r>
        <w:t>6</w:t>
      </w:r>
      <w:r w:rsidR="000C0896">
        <w:t xml:space="preserve">:  </w:t>
      </w:r>
      <w:r w:rsidRPr="00B90F5A" w:rsidR="00B90F5A">
        <w:rPr>
          <w:bCs/>
        </w:rPr>
        <w:t xml:space="preserve">Whether </w:t>
      </w:r>
      <w:r w:rsidRPr="001A36AE" w:rsidR="001A36AE">
        <w:rPr>
          <w:bCs/>
        </w:rPr>
        <w:t>California</w:t>
      </w:r>
      <w:r w:rsidR="003D0323">
        <w:rPr>
          <w:bCs/>
        </w:rPr>
        <w:br/>
      </w:r>
      <w:r w:rsidRPr="001A36AE" w:rsidR="001A36AE">
        <w:rPr>
          <w:bCs/>
        </w:rPr>
        <w:t>Water Service Company</w:t>
      </w:r>
      <w:r w:rsidRPr="00B90F5A" w:rsidR="00B90F5A">
        <w:rPr>
          <w:bCs/>
        </w:rPr>
        <w:t xml:space="preserve"> Service </w:t>
      </w:r>
      <w:r w:rsidRPr="00B90F5A" w:rsidR="00EC049E">
        <w:rPr>
          <w:bCs/>
        </w:rPr>
        <w:t>Has</w:t>
      </w:r>
      <w:r w:rsidR="003D0323">
        <w:rPr>
          <w:bCs/>
        </w:rPr>
        <w:br/>
      </w:r>
      <w:r w:rsidRPr="00B90F5A" w:rsidR="00EC049E">
        <w:rPr>
          <w:bCs/>
        </w:rPr>
        <w:t xml:space="preserve">Complied With Prior </w:t>
      </w:r>
      <w:r w:rsidR="001A36AE">
        <w:rPr>
          <w:bCs/>
        </w:rPr>
        <w:t>Commission</w:t>
      </w:r>
      <w:r w:rsidRPr="00B90F5A" w:rsidR="00B90F5A">
        <w:rPr>
          <w:bCs/>
        </w:rPr>
        <w:t xml:space="preserve"> </w:t>
      </w:r>
      <w:r w:rsidRPr="00B90F5A" w:rsidR="00EC049E">
        <w:rPr>
          <w:bCs/>
        </w:rPr>
        <w:t>Orders</w:t>
      </w:r>
      <w:bookmarkEnd w:id="104"/>
      <w:bookmarkEnd w:id="105"/>
    </w:p>
    <w:p w:rsidR="00CE0158" w:rsidP="005C0D4D" w:rsidRDefault="00E32C35" w14:paraId="55ACFB66" w14:textId="09D50316">
      <w:pPr>
        <w:pStyle w:val="Standard"/>
      </w:pPr>
      <w:r w:rsidRPr="00E32C35">
        <w:t xml:space="preserve">This issue addresses whether </w:t>
      </w:r>
      <w:r w:rsidR="00EB50F8">
        <w:t>Cal Water</w:t>
      </w:r>
      <w:r w:rsidRPr="00E32C35">
        <w:t xml:space="preserve"> has complied with prior Commission decisions and directives governing reporting, program implementation, and cost</w:t>
      </w:r>
      <w:r w:rsidR="00270999">
        <w:noBreakHyphen/>
      </w:r>
      <w:r w:rsidRPr="00E32C35">
        <w:t xml:space="preserve">tracking. </w:t>
      </w:r>
      <w:r w:rsidR="00EB50F8">
        <w:t>Cal Water</w:t>
      </w:r>
      <w:r w:rsidRPr="00E32C35">
        <w:t xml:space="preserve"> asserts that it has fully and substantively complied with all Commission orders, citing multiple decisions and advice</w:t>
      </w:r>
      <w:r w:rsidR="00270999">
        <w:noBreakHyphen/>
      </w:r>
      <w:r w:rsidRPr="00E32C35">
        <w:t>letter filings that document completion of required conservation, low</w:t>
      </w:r>
      <w:r w:rsidR="00270999">
        <w:noBreakHyphen/>
      </w:r>
      <w:r w:rsidRPr="00E32C35">
        <w:t>income, and cost</w:t>
      </w:r>
      <w:r w:rsidR="00270999">
        <w:noBreakHyphen/>
      </w:r>
      <w:r w:rsidRPr="00E32C35">
        <w:t>tracking measures</w:t>
      </w:r>
      <w:r w:rsidR="00BF7CD2">
        <w:t>.</w:t>
      </w:r>
      <w:r w:rsidR="00BF7CD2">
        <w:rPr>
          <w:rStyle w:val="FootnoteReference"/>
        </w:rPr>
        <w:footnoteReference w:id="164"/>
      </w:r>
      <w:r w:rsidRPr="00E32C35">
        <w:t xml:space="preserve"> </w:t>
      </w:r>
      <w:r w:rsidR="00EB50F8">
        <w:t>Cal Water</w:t>
      </w:r>
      <w:r w:rsidRPr="00E32C35">
        <w:t xml:space="preserve"> contends that any reporting delays or procedural variances were promptly corrected and did not impair substantive compliance with Commission goals</w:t>
      </w:r>
      <w:r w:rsidR="00BF7CD2">
        <w:t>.</w:t>
      </w:r>
      <w:r w:rsidR="00BF7CD2">
        <w:rPr>
          <w:rStyle w:val="FootnoteReference"/>
        </w:rPr>
        <w:footnoteReference w:id="165"/>
      </w:r>
    </w:p>
    <w:p w:rsidR="00CE0158" w:rsidP="005C0D4D" w:rsidRDefault="00EB50F8" w14:paraId="62A47811" w14:textId="22BF3B5B">
      <w:pPr>
        <w:pStyle w:val="Standard"/>
      </w:pPr>
      <w:r>
        <w:t>Cal Advocates</w:t>
      </w:r>
      <w:r w:rsidRPr="00E32C35" w:rsidR="00E32C35">
        <w:t xml:space="preserve"> disagrees, asserting that </w:t>
      </w:r>
      <w:r>
        <w:t>Cal Water</w:t>
      </w:r>
      <w:r w:rsidRPr="00E32C35" w:rsidR="00E32C35">
        <w:t xml:space="preserve"> has not demonstrated complete compliance with certain directives, particularly those related to conservation reporting, balancing</w:t>
      </w:r>
      <w:r w:rsidR="00270999">
        <w:noBreakHyphen/>
      </w:r>
      <w:r w:rsidRPr="00E32C35" w:rsidR="00E32C35">
        <w:t>account transparency, and project</w:t>
      </w:r>
      <w:r w:rsidR="00270999">
        <w:noBreakHyphen/>
      </w:r>
      <w:r w:rsidRPr="00E32C35" w:rsidR="00E32C35">
        <w:t>timeline documentation.</w:t>
      </w:r>
      <w:r w:rsidR="00BF7CD2">
        <w:rPr>
          <w:rStyle w:val="FootnoteReference"/>
        </w:rPr>
        <w:footnoteReference w:id="166"/>
      </w:r>
      <w:r w:rsidRPr="00E32C35" w:rsidR="00E32C35">
        <w:t xml:space="preserve"> </w:t>
      </w:r>
      <w:r>
        <w:t>Cal Advocates</w:t>
      </w:r>
      <w:r w:rsidRPr="00E32C35" w:rsidR="00E32C35">
        <w:t xml:space="preserve"> contends that </w:t>
      </w:r>
      <w:r w:rsidR="00A23D11">
        <w:t>“</w:t>
      </w:r>
      <w:r w:rsidRPr="00E32C35" w:rsidR="00E32C35">
        <w:t>the Commission cannot reasonably determine compliance where reports are untimely or omit required data</w:t>
      </w:r>
      <w:r w:rsidR="00A23D11">
        <w:t>”</w:t>
      </w:r>
      <w:r w:rsidRPr="00E32C35" w:rsidR="00E32C35">
        <w:t xml:space="preserve"> and urges the Commission to require supplemental filings</w:t>
      </w:r>
      <w:r w:rsidR="00BF7CD2">
        <w:t>.</w:t>
      </w:r>
      <w:r w:rsidR="00BF7CD2">
        <w:rPr>
          <w:rStyle w:val="FootnoteReference"/>
        </w:rPr>
        <w:footnoteReference w:id="167"/>
      </w:r>
    </w:p>
    <w:p w:rsidR="00CE0158" w:rsidP="005C0D4D" w:rsidRDefault="00E32C35" w14:paraId="21CB6262" w14:textId="04CF8B03">
      <w:pPr>
        <w:pStyle w:val="Standard"/>
      </w:pPr>
      <w:r w:rsidRPr="00E32C35">
        <w:t xml:space="preserve">NAWC and CWA support </w:t>
      </w:r>
      <w:r w:rsidR="00EB50F8">
        <w:t>Cal Water</w:t>
      </w:r>
      <w:r w:rsidR="000C0896">
        <w:t>’</w:t>
      </w:r>
      <w:r w:rsidRPr="00E32C35">
        <w:t>s position, stating that the company has achieved substantial compliance and that remaining disputes are interpretive rather than substantive</w:t>
      </w:r>
      <w:r w:rsidR="00BF7CD2">
        <w:t>.</w:t>
      </w:r>
      <w:r w:rsidR="00BF7CD2">
        <w:rPr>
          <w:rStyle w:val="FootnoteReference"/>
        </w:rPr>
        <w:footnoteReference w:id="168"/>
      </w:r>
    </w:p>
    <w:p w:rsidRPr="00B90F5A" w:rsidR="00B90F5A" w:rsidP="005C0D4D" w:rsidRDefault="00E32C35" w14:paraId="4A85775B" w14:textId="5A9F068E">
      <w:pPr>
        <w:pStyle w:val="Standard"/>
      </w:pPr>
      <w:r w:rsidRPr="00E32C35">
        <w:lastRenderedPageBreak/>
        <w:t>The Commission must determine whether the record demonstrates substantial compliance and whether any remaining procedural issues warrant additional corrective actions.</w:t>
      </w:r>
    </w:p>
    <w:p w:rsidR="00464FB4" w:rsidP="00464FB4" w:rsidRDefault="00464FB4" w14:paraId="3A9A373C" w14:textId="122019E1">
      <w:pPr>
        <w:pStyle w:val="Heading3"/>
      </w:pPr>
      <w:bookmarkStart w:name="_Toc222305271" w:id="106"/>
      <w:bookmarkStart w:name="_Toc228294698" w:id="107"/>
      <w:r>
        <w:t>Partial Settlement</w:t>
      </w:r>
      <w:bookmarkEnd w:id="106"/>
      <w:bookmarkEnd w:id="107"/>
    </w:p>
    <w:p w:rsidR="00B90F5A" w:rsidP="005C0D4D" w:rsidRDefault="00E32C35" w14:paraId="12AB4B0B" w14:textId="5E23B20F">
      <w:pPr>
        <w:pStyle w:val="Standard"/>
      </w:pPr>
      <w:r w:rsidRPr="00E32C35">
        <w:t>This scoped issue was not addressed in the Partial Settlement Agreement, nor in the Undisputed Issues List. The entirety of this issue was litigated based on the evidentiary record and the parties</w:t>
      </w:r>
      <w:r w:rsidR="000C0896">
        <w:t>’</w:t>
      </w:r>
      <w:r w:rsidRPr="00E32C35">
        <w:t xml:space="preserve"> briefing. Accordingly, all compliance matters discussed herein are resolved on the merits of the record presented in this proceeding.</w:t>
      </w:r>
    </w:p>
    <w:p w:rsidR="00464FB4" w:rsidP="00464FB4" w:rsidRDefault="00464FB4" w14:paraId="14F3DCCE" w14:textId="77777777">
      <w:pPr>
        <w:pStyle w:val="Heading3"/>
      </w:pPr>
      <w:bookmarkStart w:name="_Toc222305272" w:id="108"/>
      <w:bookmarkStart w:name="_Toc228294699" w:id="109"/>
      <w:r>
        <w:t>Analysis</w:t>
      </w:r>
      <w:bookmarkEnd w:id="108"/>
      <w:bookmarkEnd w:id="109"/>
    </w:p>
    <w:p w:rsidRPr="00E32C35" w:rsidR="00E32C35" w:rsidP="000A7330" w:rsidRDefault="00E32C35" w14:paraId="17274E14" w14:textId="345F94F8">
      <w:pPr>
        <w:pStyle w:val="Standard"/>
      </w:pPr>
      <w:r w:rsidRPr="00E32C35">
        <w:t xml:space="preserve">Under </w:t>
      </w:r>
      <w:r w:rsidR="003A5B7D">
        <w:t>Pub. Util.</w:t>
      </w:r>
      <w:r w:rsidRPr="00E32C35">
        <w:t xml:space="preserve"> Code </w:t>
      </w:r>
      <w:r w:rsidR="004E5107">
        <w:t>Section </w:t>
      </w:r>
      <w:r w:rsidRPr="00E32C35">
        <w:t xml:space="preserve">701, the Commission has authority to supervise and regulate public utilities to ensure compliance with law and prior orders. Under </w:t>
      </w:r>
      <w:r w:rsidR="003A5B7D">
        <w:t>Pub. Util.</w:t>
      </w:r>
      <w:r w:rsidR="00AA247D">
        <w:t xml:space="preserve"> Code </w:t>
      </w:r>
      <w:r w:rsidR="004E5107">
        <w:t>Section </w:t>
      </w:r>
      <w:r w:rsidRPr="00E32C35">
        <w:t>2107, the Commission may impose penalties for violations of its rules or orders.</w:t>
      </w:r>
      <w:r w:rsidR="000A7330">
        <w:t xml:space="preserve"> </w:t>
      </w:r>
      <w:r w:rsidR="004F3355">
        <w:t>In</w:t>
      </w:r>
      <w:r w:rsidRPr="00E32C35">
        <w:t xml:space="preserve"> D.19</w:t>
      </w:r>
      <w:r w:rsidR="00270999">
        <w:noBreakHyphen/>
      </w:r>
      <w:r w:rsidRPr="00E32C35">
        <w:t>05</w:t>
      </w:r>
      <w:r w:rsidR="00270999">
        <w:noBreakHyphen/>
      </w:r>
      <w:r w:rsidRPr="00E32C35">
        <w:t xml:space="preserve">044 (2018 </w:t>
      </w:r>
      <w:r w:rsidR="00EB50F8">
        <w:t>Cal Water</w:t>
      </w:r>
      <w:r w:rsidRPr="00E32C35">
        <w:t xml:space="preserve"> GRC) and D.21</w:t>
      </w:r>
      <w:r w:rsidR="00270999">
        <w:noBreakHyphen/>
      </w:r>
      <w:r w:rsidRPr="00E32C35">
        <w:t>11</w:t>
      </w:r>
      <w:r w:rsidR="00270999">
        <w:noBreakHyphen/>
      </w:r>
      <w:r w:rsidRPr="00E32C35">
        <w:t>018 (Conservation Order Compliance)</w:t>
      </w:r>
      <w:r w:rsidR="004F3355">
        <w:t>, the Commission</w:t>
      </w:r>
      <w:r w:rsidRPr="00E32C35">
        <w:t xml:space="preserve"> imposed continuing obligations on </w:t>
      </w:r>
      <w:r w:rsidR="00EB50F8">
        <w:t>Cal Water</w:t>
      </w:r>
      <w:r w:rsidRPr="00E32C35">
        <w:t xml:space="preserve"> to file detailed conservation, low</w:t>
      </w:r>
      <w:r w:rsidR="00270999">
        <w:noBreakHyphen/>
      </w:r>
      <w:r w:rsidRPr="00E32C35">
        <w:t>income, and cost</w:t>
      </w:r>
      <w:r w:rsidR="00270999">
        <w:noBreakHyphen/>
      </w:r>
      <w:r w:rsidRPr="00E32C35">
        <w:t>tracking reports, and to maintain transparent documentation of balancing</w:t>
      </w:r>
      <w:r w:rsidR="00270999">
        <w:noBreakHyphen/>
      </w:r>
      <w:r w:rsidRPr="00E32C35">
        <w:t>account activities.</w:t>
      </w:r>
    </w:p>
    <w:p w:rsidRPr="00E32C35" w:rsidR="00E32C35" w:rsidP="00E32C35" w:rsidRDefault="00EB50F8" w14:paraId="59EB19F9" w14:textId="4B18CA33">
      <w:pPr>
        <w:pStyle w:val="Standard"/>
      </w:pPr>
      <w:r>
        <w:t>Cal Water</w:t>
      </w:r>
      <w:r w:rsidRPr="00E32C35" w:rsidR="00E32C35">
        <w:t xml:space="preserve"> asserts that it has </w:t>
      </w:r>
      <w:r w:rsidR="00A23D11">
        <w:t>“</w:t>
      </w:r>
      <w:r w:rsidRPr="00E32C35" w:rsidR="00E32C35">
        <w:t>met or exceeded every substantive requirement</w:t>
      </w:r>
      <w:r w:rsidR="00A23D11">
        <w:t>”</w:t>
      </w:r>
      <w:r w:rsidRPr="00E32C35" w:rsidR="00E32C35">
        <w:t xml:space="preserve"> of D.19</w:t>
      </w:r>
      <w:r w:rsidR="00270999">
        <w:noBreakHyphen/>
      </w:r>
      <w:r w:rsidRPr="00E32C35" w:rsidR="00E32C35">
        <w:t>05</w:t>
      </w:r>
      <w:r w:rsidR="00270999">
        <w:noBreakHyphen/>
      </w:r>
      <w:r w:rsidRPr="00E32C35" w:rsidR="00E32C35">
        <w:t>044 and D.21</w:t>
      </w:r>
      <w:r w:rsidR="00270999">
        <w:noBreakHyphen/>
      </w:r>
      <w:r w:rsidRPr="00E32C35" w:rsidR="00E32C35">
        <w:t>11</w:t>
      </w:r>
      <w:r w:rsidR="00270999">
        <w:noBreakHyphen/>
      </w:r>
      <w:r w:rsidRPr="00E32C35" w:rsidR="00E32C35">
        <w:t>018, as evidenced by its compliance filings and advice letters confirming implementation of required programs</w:t>
      </w:r>
      <w:r w:rsidR="00BF7CD2">
        <w:t>.</w:t>
      </w:r>
      <w:r w:rsidR="00BF7CD2">
        <w:rPr>
          <w:rStyle w:val="FootnoteReference"/>
        </w:rPr>
        <w:footnoteReference w:id="169"/>
      </w:r>
      <w:r w:rsidRPr="00E32C35" w:rsidR="00E32C35">
        <w:t xml:space="preserve"> It argues that any late or revised reports were accepted by </w:t>
      </w:r>
      <w:r w:rsidR="00732974">
        <w:t>Commission</w:t>
      </w:r>
      <w:r w:rsidRPr="00E32C35" w:rsidR="00E32C35">
        <w:t xml:space="preserve"> staff and did not compromise transparency or ratepayer protections</w:t>
      </w:r>
      <w:r w:rsidR="00BF7CD2">
        <w:t>.</w:t>
      </w:r>
      <w:r w:rsidR="00732974">
        <w:rPr>
          <w:rStyle w:val="FootnoteReference"/>
        </w:rPr>
        <w:footnoteReference w:id="170"/>
      </w:r>
      <w:r w:rsidRPr="00E32C35" w:rsidR="00E32C35">
        <w:t xml:space="preserve"> </w:t>
      </w:r>
      <w:r>
        <w:t>Cal Water</w:t>
      </w:r>
      <w:r w:rsidRPr="00E32C35" w:rsidR="00E32C35">
        <w:t xml:space="preserve"> highlights that Commission staff have not issued any deficiency notices or </w:t>
      </w:r>
      <w:r w:rsidRPr="00E32C35" w:rsidR="00E32C35">
        <w:lastRenderedPageBreak/>
        <w:t>enforcement actions in the relevant compliance periods, supporting a finding of substantial compliance.</w:t>
      </w:r>
    </w:p>
    <w:p w:rsidRPr="00E32C35" w:rsidR="00E32C35" w:rsidP="00E32C35" w:rsidRDefault="00EB50F8" w14:paraId="4622BA97" w14:textId="27078ECE">
      <w:pPr>
        <w:pStyle w:val="Standard"/>
      </w:pPr>
      <w:r>
        <w:t>Cal Advocates</w:t>
      </w:r>
      <w:r w:rsidRPr="00E32C35" w:rsidR="00E32C35">
        <w:t xml:space="preserve"> contends that </w:t>
      </w:r>
      <w:r>
        <w:t>Cal Water</w:t>
      </w:r>
      <w:r w:rsidRPr="00E32C35" w:rsidR="00E32C35">
        <w:t xml:space="preserve"> has not fully complied with the procedural requirements of D.19</w:t>
      </w:r>
      <w:r w:rsidR="00270999">
        <w:noBreakHyphen/>
      </w:r>
      <w:r w:rsidRPr="00E32C35" w:rsidR="00E32C35">
        <w:t>05</w:t>
      </w:r>
      <w:r w:rsidR="00270999">
        <w:noBreakHyphen/>
      </w:r>
      <w:r w:rsidRPr="00E32C35" w:rsidR="00E32C35">
        <w:t>044 or D.21</w:t>
      </w:r>
      <w:r w:rsidR="00270999">
        <w:noBreakHyphen/>
      </w:r>
      <w:r w:rsidRPr="00E32C35" w:rsidR="00E32C35">
        <w:t>11</w:t>
      </w:r>
      <w:r w:rsidR="00270999">
        <w:noBreakHyphen/>
      </w:r>
      <w:r w:rsidRPr="00E32C35" w:rsidR="00E32C35">
        <w:t>018. It points to multiple examples of reports filed beyond established deadlines or lacking data required for verification of program results</w:t>
      </w:r>
      <w:r w:rsidR="00732974">
        <w:t>.</w:t>
      </w:r>
      <w:r w:rsidR="00732974">
        <w:rPr>
          <w:rStyle w:val="FootnoteReference"/>
        </w:rPr>
        <w:footnoteReference w:id="171"/>
      </w:r>
      <w:r w:rsidRPr="00E32C35" w:rsidR="00E32C35">
        <w:t xml:space="preserve"> </w:t>
      </w:r>
      <w:r>
        <w:t>Cal Advocates</w:t>
      </w:r>
      <w:r w:rsidRPr="00E32C35" w:rsidR="00E32C35">
        <w:t xml:space="preserve"> also identifies several balancing</w:t>
      </w:r>
      <w:r w:rsidR="00270999">
        <w:noBreakHyphen/>
      </w:r>
      <w:r w:rsidRPr="00E32C35" w:rsidR="00E32C35">
        <w:t>account filings that did not include reconciliations of prior</w:t>
      </w:r>
      <w:r w:rsidR="00270999">
        <w:noBreakHyphen/>
      </w:r>
      <w:r w:rsidRPr="00E32C35" w:rsidR="00E32C35">
        <w:t xml:space="preserve">year balances or clear cost classifications, asserting that </w:t>
      </w:r>
      <w:r w:rsidR="00A23D11">
        <w:t>“</w:t>
      </w:r>
      <w:r w:rsidRPr="00E32C35" w:rsidR="00E32C35">
        <w:t>these omissions hinder staff</w:t>
      </w:r>
      <w:r w:rsidR="000C0896">
        <w:t>’</w:t>
      </w:r>
      <w:r w:rsidRPr="00E32C35" w:rsidR="00E32C35">
        <w:t>s ability to confirm accuracy and completeness</w:t>
      </w:r>
      <w:r w:rsidR="00732974">
        <w:t>.</w:t>
      </w:r>
      <w:r w:rsidR="00A23D11">
        <w:t>”</w:t>
      </w:r>
      <w:r w:rsidR="00732974">
        <w:rPr>
          <w:rStyle w:val="FootnoteReference"/>
        </w:rPr>
        <w:footnoteReference w:id="172"/>
      </w:r>
      <w:r w:rsidRPr="00E32C35" w:rsidR="00E32C35">
        <w:t xml:space="preserve"> It therefore recommends that the Commission direct </w:t>
      </w:r>
      <w:r>
        <w:t>Cal Water</w:t>
      </w:r>
      <w:r w:rsidRPr="00E32C35" w:rsidR="00E32C35">
        <w:t xml:space="preserve"> to submit supplemental compliance reports and consider penalties for repeated procedural deficiencies.</w:t>
      </w:r>
    </w:p>
    <w:p w:rsidR="001553D6" w:rsidP="006C6B20" w:rsidRDefault="00BD70A9" w14:paraId="0FFCD6B2" w14:textId="6F6B9562">
      <w:pPr>
        <w:pStyle w:val="Standard"/>
      </w:pPr>
      <w:r>
        <w:t>C</w:t>
      </w:r>
      <w:r w:rsidRPr="00E32C35" w:rsidR="00E32C35">
        <w:t xml:space="preserve">onsistent with </w:t>
      </w:r>
      <w:r w:rsidR="00EB50F8">
        <w:t>Cal Advocates</w:t>
      </w:r>
      <w:r w:rsidR="000C0896">
        <w:t>’</w:t>
      </w:r>
      <w:r w:rsidRPr="00E32C35" w:rsidR="00E32C35">
        <w:t xml:space="preserve"> concerns, the Commission will require supplemental compliance reporting to improve transparency in balancing</w:t>
      </w:r>
      <w:r w:rsidR="00270999">
        <w:noBreakHyphen/>
      </w:r>
      <w:r w:rsidRPr="00E32C35" w:rsidR="00E32C35">
        <w:t>account disclosures and project</w:t>
      </w:r>
      <w:r w:rsidR="00270999">
        <w:noBreakHyphen/>
      </w:r>
      <w:r w:rsidRPr="00E32C35" w:rsidR="00E32C35">
        <w:t>timeline documentation. This ensures that procedural completeness accompanies substantive compliance going forward.</w:t>
      </w:r>
    </w:p>
    <w:p w:rsidR="00CE0158" w:rsidP="006C6B20" w:rsidRDefault="000A7330" w14:paraId="570308CB" w14:textId="0AD6DC05">
      <w:pPr>
        <w:pStyle w:val="Standard"/>
      </w:pPr>
      <w:r w:rsidRPr="000A7330">
        <w:t xml:space="preserve">To that end, the Commission requires </w:t>
      </w:r>
      <w:r w:rsidR="000704F7">
        <w:t xml:space="preserve">that at time of filing its next GRC, </w:t>
      </w:r>
      <w:r w:rsidR="00EB50F8">
        <w:t>Cal Water</w:t>
      </w:r>
      <w:r w:rsidR="000704F7">
        <w:t xml:space="preserve"> shall </w:t>
      </w:r>
      <w:r w:rsidRPr="000A7330">
        <w:t>provide</w:t>
      </w:r>
      <w:r w:rsidR="000C0896">
        <w:t xml:space="preserve">:  </w:t>
      </w:r>
      <w:r w:rsidR="006237E8">
        <w:t>(1) a </w:t>
      </w:r>
      <w:r w:rsidRPr="000A7330">
        <w:t xml:space="preserve">consolidated </w:t>
      </w:r>
      <w:r w:rsidR="00A23D11">
        <w:t>“</w:t>
      </w:r>
      <w:r w:rsidRPr="000A7330">
        <w:t>compliance matrix</w:t>
      </w:r>
      <w:r w:rsidR="00A23D11">
        <w:t>”</w:t>
      </w:r>
      <w:r w:rsidRPr="000A7330">
        <w:t xml:space="preserve"> mapping each directive in D.19</w:t>
      </w:r>
      <w:r w:rsidR="00270999">
        <w:noBreakHyphen/>
      </w:r>
      <w:r w:rsidRPr="000A7330">
        <w:t>05</w:t>
      </w:r>
      <w:r w:rsidR="00270999">
        <w:noBreakHyphen/>
      </w:r>
      <w:r w:rsidRPr="000A7330">
        <w:t>044 and D.21</w:t>
      </w:r>
      <w:r w:rsidR="00270999">
        <w:noBreakHyphen/>
      </w:r>
      <w:r w:rsidRPr="000A7330">
        <w:t>11</w:t>
      </w:r>
      <w:r w:rsidR="00270999">
        <w:noBreakHyphen/>
      </w:r>
      <w:r w:rsidRPr="000A7330">
        <w:t xml:space="preserve">018 to the corresponding filings and completion dates; </w:t>
      </w:r>
      <w:r w:rsidR="006237E8">
        <w:t>(2) a </w:t>
      </w:r>
      <w:r w:rsidRPr="000A7330">
        <w:t>balancing</w:t>
      </w:r>
      <w:r w:rsidR="00270999">
        <w:noBreakHyphen/>
      </w:r>
      <w:r w:rsidRPr="000A7330">
        <w:t xml:space="preserve">account </w:t>
      </w:r>
      <w:r w:rsidR="00A23D11">
        <w:t>“</w:t>
      </w:r>
      <w:r w:rsidRPr="000A7330">
        <w:t>data dictionary</w:t>
      </w:r>
      <w:r w:rsidR="00A23D11">
        <w:t>”</w:t>
      </w:r>
      <w:r w:rsidRPr="000A7330">
        <w:t xml:space="preserve"> defining each account, transaction type, and reconciliation step; and (3</w:t>
      </w:r>
      <w:r w:rsidR="006237E8">
        <w:t>) a </w:t>
      </w:r>
      <w:r w:rsidRPr="000A7330">
        <w:t>project</w:t>
      </w:r>
      <w:r w:rsidR="00270999">
        <w:noBreakHyphen/>
      </w:r>
      <w:r w:rsidRPr="000A7330">
        <w:t xml:space="preserve">timeline log </w:t>
      </w:r>
      <w:r w:rsidRPr="000A7330">
        <w:lastRenderedPageBreak/>
        <w:t>identifying planned</w:t>
      </w:r>
      <w:r w:rsidR="00347520">
        <w:t xml:space="preserve"> versus </w:t>
      </w:r>
      <w:r w:rsidRPr="000A7330">
        <w:t>actual milestone dates and the reason for any deviations</w:t>
      </w:r>
      <w:r w:rsidR="00732974">
        <w:t>.</w:t>
      </w:r>
      <w:r w:rsidR="00732974">
        <w:rPr>
          <w:rStyle w:val="FootnoteReference"/>
        </w:rPr>
        <w:footnoteReference w:id="173"/>
      </w:r>
    </w:p>
    <w:p w:rsidR="00CE0158" w:rsidP="00F665DA" w:rsidRDefault="000A7330" w14:paraId="6D59DA0A" w14:textId="0B486F6F">
      <w:pPr>
        <w:pStyle w:val="Standard"/>
      </w:pPr>
      <w:r w:rsidRPr="000A7330">
        <w:t xml:space="preserve">In addition, for any report previously filed late or amended, </w:t>
      </w:r>
      <w:r w:rsidR="00EB50F8">
        <w:t>Cal Water</w:t>
      </w:r>
      <w:r w:rsidRPr="000A7330">
        <w:t xml:space="preserve"> shall include a brief variance explanation stating the cause, corrective action taken, and measures to prevent recurrence</w:t>
      </w:r>
      <w:r w:rsidR="00732974">
        <w:t>.</w:t>
      </w:r>
      <w:r w:rsidR="00732974">
        <w:rPr>
          <w:rStyle w:val="FootnoteReference"/>
        </w:rPr>
        <w:footnoteReference w:id="174"/>
      </w:r>
      <w:r w:rsidRPr="000A7330">
        <w:t xml:space="preserve"> Finally, to enhance verifiability without imposing undue burden, </w:t>
      </w:r>
      <w:r w:rsidR="00EB50F8">
        <w:t>Cal Water</w:t>
      </w:r>
      <w:r w:rsidRPr="000A7330">
        <w:t xml:space="preserve"> shall include a management attestation signed by an officer responsible for regulatory compliance, confirming that the supplemental submissions are complete and accurate to the best of the officer</w:t>
      </w:r>
      <w:r w:rsidR="000C0896">
        <w:t>’</w:t>
      </w:r>
      <w:r w:rsidRPr="000A7330">
        <w:t>s knowledge</w:t>
      </w:r>
      <w:r w:rsidR="00732974">
        <w:t>.</w:t>
      </w:r>
      <w:r w:rsidR="00732974">
        <w:rPr>
          <w:rStyle w:val="FootnoteReference"/>
        </w:rPr>
        <w:footnoteReference w:id="175"/>
      </w:r>
    </w:p>
    <w:p w:rsidRPr="006C6B20" w:rsidR="00E32C35" w:rsidP="005C0D4D" w:rsidRDefault="00732974" w14:paraId="73A80015" w14:textId="706458A4">
      <w:pPr>
        <w:pStyle w:val="Standard"/>
      </w:pPr>
      <w:r>
        <w:t>T</w:t>
      </w:r>
      <w:r w:rsidRPr="004D78A9" w:rsidR="00B90F5A">
        <w:t xml:space="preserve">he evidence weighs toward substantial compliance </w:t>
      </w:r>
      <w:r w:rsidRPr="008C0DB6" w:rsidR="00B90F5A">
        <w:t xml:space="preserve">by </w:t>
      </w:r>
      <w:r w:rsidR="00EB50F8">
        <w:t>Cal Water</w:t>
      </w:r>
      <w:r w:rsidRPr="008C0DB6" w:rsidR="00B90F5A">
        <w:t>, with some p</w:t>
      </w:r>
      <w:r w:rsidRPr="006C6B20" w:rsidR="00B90F5A">
        <w:t xml:space="preserve">rocedural lapses noted by </w:t>
      </w:r>
      <w:r w:rsidR="00EB50F8">
        <w:t>Cal Advocates</w:t>
      </w:r>
      <w:r w:rsidRPr="006C6B20" w:rsidR="00B90F5A">
        <w:t>.</w:t>
      </w:r>
      <w:r>
        <w:t xml:space="preserve"> </w:t>
      </w:r>
      <w:r w:rsidRPr="00E32C35" w:rsidR="00E32C35">
        <w:t xml:space="preserve">Based on the record, the Commission finds that </w:t>
      </w:r>
      <w:r w:rsidR="00EB50F8">
        <w:t>Cal Water</w:t>
      </w:r>
      <w:r w:rsidRPr="00E32C35" w:rsidR="00E32C35">
        <w:t xml:space="preserve"> has achieved substantial compliance with prior Commission orders issued under </w:t>
      </w:r>
      <w:r w:rsidR="003A5B7D">
        <w:t>Pub. Util.</w:t>
      </w:r>
      <w:r w:rsidR="00AA247D">
        <w:t xml:space="preserve"> </w:t>
      </w:r>
      <w:r w:rsidRPr="00E32C35" w:rsidR="00E32C35">
        <w:t xml:space="preserve">Code </w:t>
      </w:r>
      <w:r w:rsidR="009E649C">
        <w:t>Section </w:t>
      </w:r>
      <w:r w:rsidRPr="00E32C35" w:rsidR="00E32C35">
        <w:t xml:space="preserve">701 and </w:t>
      </w:r>
      <w:r w:rsidR="00D957F7">
        <w:t>Section </w:t>
      </w:r>
      <w:r w:rsidRPr="00E32C35" w:rsidR="00E32C35">
        <w:t xml:space="preserve">2107. The evidence demonstrates that </w:t>
      </w:r>
      <w:r w:rsidR="00EB50F8">
        <w:t>Cal Water</w:t>
      </w:r>
      <w:r w:rsidRPr="00E32C35" w:rsidR="00E32C35">
        <w:t xml:space="preserve"> completed the substantive objectives of prior directives</w:t>
      </w:r>
      <w:r w:rsidR="00AE44B3">
        <w:t xml:space="preserve"> — </w:t>
      </w:r>
      <w:r w:rsidRPr="00E32C35" w:rsidR="00E32C35">
        <w:t>such as conservation reporting, low</w:t>
      </w:r>
      <w:r w:rsidR="00270999">
        <w:noBreakHyphen/>
      </w:r>
      <w:r w:rsidRPr="00E32C35" w:rsidR="00E32C35">
        <w:t>income program implementation, and balancing</w:t>
      </w:r>
      <w:r w:rsidR="00270999">
        <w:noBreakHyphen/>
      </w:r>
      <w:r w:rsidRPr="00E32C35" w:rsidR="00E32C35">
        <w:t>account management</w:t>
      </w:r>
      <w:r w:rsidR="00AE44B3">
        <w:t xml:space="preserve"> — </w:t>
      </w:r>
      <w:r w:rsidRPr="00E32C35" w:rsidR="00E32C35">
        <w:t>though some filings were delayed or procedurally incomplete. These lapses do not constitute material noncompliance and caused no demonstrable harm to ratepayers.</w:t>
      </w:r>
    </w:p>
    <w:p w:rsidRPr="000A7330" w:rsidR="00F01201" w:rsidP="00F01201" w:rsidRDefault="00F01201" w14:paraId="030DCEA7" w14:textId="6AC38D5E">
      <w:pPr>
        <w:pStyle w:val="Standard"/>
      </w:pPr>
      <w:r>
        <w:t xml:space="preserve">In its </w:t>
      </w:r>
      <w:r w:rsidR="00F27172">
        <w:t>next</w:t>
      </w:r>
      <w:r>
        <w:t xml:space="preserve"> GRC, </w:t>
      </w:r>
      <w:r w:rsidRPr="00960D57">
        <w:t xml:space="preserve">Cal Water shall </w:t>
      </w:r>
      <w:r>
        <w:t>provide a compliance report as part of its witness-sponsored testimony. The compliance</w:t>
      </w:r>
      <w:r w:rsidRPr="00960D57">
        <w:t xml:space="preserve"> report </w:t>
      </w:r>
      <w:r>
        <w:t xml:space="preserve">shall </w:t>
      </w:r>
      <w:r w:rsidRPr="00960D57">
        <w:t>include:</w:t>
      </w:r>
      <w:r>
        <w:t xml:space="preserve"> (a) c</w:t>
      </w:r>
      <w:r w:rsidRPr="00960D57">
        <w:t>omprehensive reconciliations of all balancing</w:t>
      </w:r>
      <w:r>
        <w:noBreakHyphen/>
      </w:r>
      <w:r w:rsidRPr="00960D57">
        <w:t>account activities for the relevant reporting period;</w:t>
      </w:r>
      <w:r>
        <w:t xml:space="preserve"> (b) u</w:t>
      </w:r>
      <w:r w:rsidRPr="00960D57">
        <w:t>pdated documentation of infrastructure</w:t>
      </w:r>
      <w:r>
        <w:noBreakHyphen/>
      </w:r>
      <w:r w:rsidRPr="00960D57">
        <w:t xml:space="preserve">project timelines, </w:t>
      </w:r>
      <w:r w:rsidRPr="00960D57">
        <w:lastRenderedPageBreak/>
        <w:t>milestones, and any delays; and</w:t>
      </w:r>
      <w:r>
        <w:t xml:space="preserve"> (c) a</w:t>
      </w:r>
      <w:r w:rsidRPr="00960D57">
        <w:t xml:space="preserve"> description of improvements made to internal compliance</w:t>
      </w:r>
      <w:r>
        <w:noBreakHyphen/>
      </w:r>
      <w:r w:rsidRPr="00960D57">
        <w:t>tracking and data</w:t>
      </w:r>
      <w:r>
        <w:noBreakHyphen/>
      </w:r>
      <w:r w:rsidRPr="00960D57">
        <w:t>access processes.</w:t>
      </w:r>
    </w:p>
    <w:p w:rsidRPr="00C01B24" w:rsidR="004C1923" w:rsidP="005C0D4D" w:rsidRDefault="00E32C35" w14:paraId="536DA0A9" w14:textId="6383783D">
      <w:pPr>
        <w:pStyle w:val="Standard"/>
      </w:pPr>
      <w:r w:rsidRPr="00E32C35">
        <w:t xml:space="preserve">No penalties are warranted at this time because the record supports a finding of substantial compliance. However, continued or repeated procedural deficiencies may subject </w:t>
      </w:r>
      <w:r w:rsidR="00EB50F8">
        <w:t>Cal Water</w:t>
      </w:r>
      <w:r w:rsidRPr="00E32C35">
        <w:t xml:space="preserve"> to enforcement actions or penalties under </w:t>
      </w:r>
      <w:r w:rsidR="003A5B7D">
        <w:t>Pub. Util.</w:t>
      </w:r>
      <w:r w:rsidR="00AA247D">
        <w:t xml:space="preserve"> Code </w:t>
      </w:r>
      <w:r w:rsidR="00D957F7">
        <w:t>Section </w:t>
      </w:r>
      <w:r w:rsidRPr="00E32C35">
        <w:t xml:space="preserve">701 and </w:t>
      </w:r>
      <w:r w:rsidR="00D957F7">
        <w:t>Section </w:t>
      </w:r>
      <w:r w:rsidRPr="00E32C35">
        <w:t>2107.</w:t>
      </w:r>
      <w:r w:rsidRPr="006C6B20">
        <w:t xml:space="preserve"> </w:t>
      </w:r>
      <w:r w:rsidRPr="00E32C35">
        <w:t>This resolution reinforces the Commission</w:t>
      </w:r>
      <w:r w:rsidR="000C0896">
        <w:t>’</w:t>
      </w:r>
      <w:r w:rsidRPr="00E32C35">
        <w:t xml:space="preserve">s expectation that utilities maintain both substantive and procedural compliance with its orders, while recognizing </w:t>
      </w:r>
      <w:r w:rsidR="00EB50F8">
        <w:t>Cal Water</w:t>
      </w:r>
      <w:r w:rsidR="000C0896">
        <w:t>’</w:t>
      </w:r>
      <w:r w:rsidRPr="00E32C35">
        <w:t>s overall record of responsiveness and good</w:t>
      </w:r>
      <w:r w:rsidR="00270999">
        <w:noBreakHyphen/>
      </w:r>
      <w:r w:rsidRPr="00E32C35">
        <w:t>faith corrective action.</w:t>
      </w:r>
    </w:p>
    <w:p w:rsidR="00B90F5A" w:rsidP="00B90F5A" w:rsidRDefault="00464FB4" w14:paraId="7DDFC23F" w14:textId="754405B8">
      <w:pPr>
        <w:pStyle w:val="Heading2"/>
        <w:rPr>
          <w:bCs/>
        </w:rPr>
      </w:pPr>
      <w:bookmarkStart w:name="_Toc222305273" w:id="110"/>
      <w:bookmarkStart w:name="_Toc228294700" w:id="111"/>
      <w:r>
        <w:t xml:space="preserve">Scoped </w:t>
      </w:r>
      <w:r w:rsidR="009D287A">
        <w:t>Issue #</w:t>
      </w:r>
      <w:r>
        <w:t>7</w:t>
      </w:r>
      <w:r w:rsidR="000C0896">
        <w:t xml:space="preserve">:  </w:t>
      </w:r>
      <w:r w:rsidRPr="00B90F5A" w:rsidR="00B90F5A">
        <w:rPr>
          <w:bCs/>
        </w:rPr>
        <w:t xml:space="preserve">Whether </w:t>
      </w:r>
      <w:r w:rsidRPr="001A36AE" w:rsidR="001A36AE">
        <w:rPr>
          <w:bCs/>
        </w:rPr>
        <w:t>California</w:t>
      </w:r>
      <w:r w:rsidR="00B35E93">
        <w:rPr>
          <w:bCs/>
        </w:rPr>
        <w:br/>
      </w:r>
      <w:r w:rsidRPr="001A36AE" w:rsidR="001A36AE">
        <w:rPr>
          <w:bCs/>
        </w:rPr>
        <w:t>Water Service Company</w:t>
      </w:r>
      <w:r w:rsidR="000C0896">
        <w:rPr>
          <w:bCs/>
        </w:rPr>
        <w:t>’</w:t>
      </w:r>
      <w:r w:rsidRPr="00B90F5A" w:rsidR="00B90F5A">
        <w:rPr>
          <w:bCs/>
        </w:rPr>
        <w:t xml:space="preserve">s </w:t>
      </w:r>
      <w:r w:rsidRPr="00B90F5A" w:rsidR="003B4814">
        <w:rPr>
          <w:bCs/>
        </w:rPr>
        <w:t>Proposal</w:t>
      </w:r>
      <w:r w:rsidR="00B35E93">
        <w:rPr>
          <w:bCs/>
        </w:rPr>
        <w:br/>
      </w:r>
      <w:r w:rsidRPr="00B90F5A" w:rsidR="00B90F5A">
        <w:rPr>
          <w:bCs/>
        </w:rPr>
        <w:t xml:space="preserve">for the </w:t>
      </w:r>
      <w:r w:rsidR="006B31D0">
        <w:t>Low Use</w:t>
      </w:r>
      <w:r w:rsidRPr="00647ACA" w:rsidR="0061275B">
        <w:t xml:space="preserve"> Water </w:t>
      </w:r>
      <w:r w:rsidR="006B31D0">
        <w:t>Equity</w:t>
      </w:r>
      <w:r w:rsidRPr="00647ACA" w:rsidR="0061275B">
        <w:t xml:space="preserve"> Program</w:t>
      </w:r>
      <w:r w:rsidR="00B35E93">
        <w:br/>
      </w:r>
      <w:r w:rsidRPr="00B90F5A" w:rsidR="003B4814">
        <w:rPr>
          <w:bCs/>
        </w:rPr>
        <w:t xml:space="preserve">Is Just </w:t>
      </w:r>
      <w:r w:rsidRPr="00B90F5A" w:rsidR="00B90F5A">
        <w:rPr>
          <w:bCs/>
        </w:rPr>
        <w:t xml:space="preserve">and </w:t>
      </w:r>
      <w:r w:rsidRPr="00B90F5A" w:rsidR="003B4814">
        <w:rPr>
          <w:bCs/>
        </w:rPr>
        <w:t>Reasonable</w:t>
      </w:r>
      <w:bookmarkEnd w:id="110"/>
      <w:bookmarkEnd w:id="111"/>
    </w:p>
    <w:p w:rsidR="00CE0158" w:rsidP="005C0D4D" w:rsidRDefault="0034215B" w14:paraId="6C59410A" w14:textId="77777777">
      <w:pPr>
        <w:pStyle w:val="Standard"/>
      </w:pPr>
      <w:r w:rsidRPr="00917603">
        <w:t xml:space="preserve">This </w:t>
      </w:r>
      <w:r w:rsidRPr="00647ACA">
        <w:t xml:space="preserve">issue </w:t>
      </w:r>
      <w:r w:rsidR="00C7305F">
        <w:t xml:space="preserve">is discussed in </w:t>
      </w:r>
      <w:r w:rsidR="00DD056F">
        <w:t>Section </w:t>
      </w:r>
      <w:r w:rsidR="00C7305F">
        <w:t>4.5</w:t>
      </w:r>
      <w:r w:rsidR="00F77186">
        <w:t xml:space="preserve"> above</w:t>
      </w:r>
      <w:r w:rsidR="00C7305F">
        <w:t xml:space="preserve"> </w:t>
      </w:r>
      <w:r w:rsidR="00F77186">
        <w:t xml:space="preserve">as part of a consolidated discussion and analysis with </w:t>
      </w:r>
      <w:r w:rsidR="00C7305F">
        <w:t>rate design and decoupling.</w:t>
      </w:r>
    </w:p>
    <w:p w:rsidRPr="00862EA5" w:rsidR="00862EA5" w:rsidP="00862EA5" w:rsidRDefault="00464FB4" w14:paraId="2EA6FA62" w14:textId="69F64676">
      <w:pPr>
        <w:pStyle w:val="Heading2"/>
      </w:pPr>
      <w:bookmarkStart w:name="_Toc222305274" w:id="112"/>
      <w:bookmarkStart w:name="_Hlk211237331" w:id="113"/>
      <w:bookmarkStart w:name="_Toc228294701" w:id="114"/>
      <w:r>
        <w:t xml:space="preserve">Scoped </w:t>
      </w:r>
      <w:r w:rsidR="009D287A">
        <w:t>Issue #</w:t>
      </w:r>
      <w:r>
        <w:t>8</w:t>
      </w:r>
      <w:r w:rsidR="000C0896">
        <w:t xml:space="preserve">:  </w:t>
      </w:r>
      <w:r w:rsidRPr="003C3377" w:rsidR="00862EA5">
        <w:t xml:space="preserve">Whether </w:t>
      </w:r>
      <w:r w:rsidRPr="001A36AE" w:rsidR="001A36AE">
        <w:t>California Water Service Company</w:t>
      </w:r>
      <w:r w:rsidR="000C0896">
        <w:t>’</w:t>
      </w:r>
      <w:r w:rsidRPr="003C3377" w:rsidR="00862EA5">
        <w:t xml:space="preserve">s Water Rights Leases </w:t>
      </w:r>
      <w:r w:rsidRPr="003C3377" w:rsidR="003B4814">
        <w:t xml:space="preserve">Comply </w:t>
      </w:r>
      <w:r w:rsidRPr="003C3377" w:rsidR="00862EA5">
        <w:t xml:space="preserve">with </w:t>
      </w:r>
      <w:r w:rsidRPr="003C3377" w:rsidR="003B4814">
        <w:t xml:space="preserve">Prior </w:t>
      </w:r>
      <w:r w:rsidRPr="003C3377" w:rsidR="00862EA5">
        <w:t xml:space="preserve">Commission </w:t>
      </w:r>
      <w:r w:rsidRPr="003C3377" w:rsidR="003B4814">
        <w:t>Orders</w:t>
      </w:r>
      <w:bookmarkEnd w:id="112"/>
      <w:bookmarkEnd w:id="114"/>
    </w:p>
    <w:bookmarkEnd w:id="113"/>
    <w:p w:rsidR="00B14B83" w:rsidP="00B14B83" w:rsidRDefault="00B14B83" w14:paraId="28BBBB32" w14:textId="22659A7B">
      <w:pPr>
        <w:pStyle w:val="Standard"/>
      </w:pPr>
      <w:r w:rsidRPr="00B14B83">
        <w:t xml:space="preserve">This issue concerns whether </w:t>
      </w:r>
      <w:r w:rsidR="00EB50F8">
        <w:t>Cal Water</w:t>
      </w:r>
      <w:r w:rsidR="000C0896">
        <w:t>’</w:t>
      </w:r>
      <w:r w:rsidRPr="00B14B83">
        <w:t>s water rights leases comply with applicable Commission decisions and directives.</w:t>
      </w:r>
      <w:r w:rsidR="00CB729D">
        <w:t xml:space="preserve"> </w:t>
      </w:r>
      <w:r w:rsidRPr="00B14B83">
        <w:t>This scoped issue was fully addressed in the Undisputed Issues List, which states</w:t>
      </w:r>
      <w:r w:rsidR="000C0896">
        <w:t xml:space="preserve">:  </w:t>
      </w:r>
      <w:r w:rsidR="00A23D11">
        <w:t>“</w:t>
      </w:r>
      <w:r w:rsidRPr="00B14B83">
        <w:t xml:space="preserve">Parties agree there is no dispute over whether </w:t>
      </w:r>
      <w:r w:rsidR="00EB50F8">
        <w:t>Cal Water</w:t>
      </w:r>
      <w:r w:rsidR="000C0896">
        <w:t>’</w:t>
      </w:r>
      <w:r w:rsidRPr="00B14B83">
        <w:t>s water rights leases are in compliance with Commission orders in this proceeding.</w:t>
      </w:r>
      <w:r w:rsidR="00A23D11">
        <w:t>”</w:t>
      </w:r>
      <w:r w:rsidR="00CB729D">
        <w:rPr>
          <w:rStyle w:val="FootnoteReference"/>
        </w:rPr>
        <w:footnoteReference w:id="176"/>
      </w:r>
    </w:p>
    <w:p w:rsidRPr="00A0257D" w:rsidR="00A0257D" w:rsidP="00A0257D" w:rsidRDefault="00EB50F8" w14:paraId="1469E358" w14:textId="6877506C">
      <w:pPr>
        <w:pStyle w:val="Standard"/>
      </w:pPr>
      <w:r>
        <w:t>Cal Water</w:t>
      </w:r>
      <w:r w:rsidR="000C0896">
        <w:t>’</w:t>
      </w:r>
      <w:r w:rsidRPr="00A0257D" w:rsidR="00A0257D">
        <w:t xml:space="preserve">s opening brief confirms that </w:t>
      </w:r>
      <w:r w:rsidR="00A23D11">
        <w:t>“</w:t>
      </w:r>
      <w:r w:rsidRPr="00A0257D" w:rsidR="00A0257D">
        <w:t>all existing water rights leases and transfers are performed in accordance with prior Commission approvals and remain in compliance with applicable decisions and accounting requirements</w:t>
      </w:r>
      <w:r w:rsidR="00CB729D">
        <w:t>.</w:t>
      </w:r>
      <w:r w:rsidR="00A23D11">
        <w:t>”</w:t>
      </w:r>
      <w:r w:rsidR="00CB729D">
        <w:rPr>
          <w:rStyle w:val="FootnoteReference"/>
        </w:rPr>
        <w:footnoteReference w:id="177"/>
      </w:r>
      <w:r w:rsidRPr="00A0257D" w:rsidR="00A0257D">
        <w:t xml:space="preserve"> </w:t>
      </w:r>
      <w:r>
        <w:lastRenderedPageBreak/>
        <w:t>Cal Advocates</w:t>
      </w:r>
      <w:r w:rsidR="000C0896">
        <w:t>’</w:t>
      </w:r>
      <w:r w:rsidRPr="00A0257D" w:rsidR="00A0257D">
        <w:t xml:space="preserve"> filings do not raise any objection or dispute to this issue, and no testimony or exhibits were introduced challenging </w:t>
      </w:r>
      <w:r>
        <w:t>Cal Water</w:t>
      </w:r>
      <w:r w:rsidR="000C0896">
        <w:t>’</w:t>
      </w:r>
      <w:r w:rsidRPr="00A0257D" w:rsidR="00A0257D">
        <w:t>s compliance. Both parties</w:t>
      </w:r>
      <w:r w:rsidR="000C0896">
        <w:t>’</w:t>
      </w:r>
      <w:r w:rsidRPr="00A0257D" w:rsidR="00A0257D">
        <w:t xml:space="preserve"> treatment of this issue as undisputed aligns with the Joint Motion and Undisputed Issues List submitted under </w:t>
      </w:r>
      <w:r w:rsidR="003A5B7D">
        <w:t>Rule </w:t>
      </w:r>
      <w:r w:rsidRPr="00A0257D" w:rsidR="00A0257D">
        <w:t>12.1(d).</w:t>
      </w:r>
    </w:p>
    <w:p w:rsidR="00CE0158" w:rsidP="00485E6E" w:rsidRDefault="00A0257D" w14:paraId="0BE634DF" w14:textId="1563D817">
      <w:pPr>
        <w:pStyle w:val="Standard"/>
      </w:pPr>
      <w:r w:rsidRPr="00A0257D">
        <w:t>Based on the parties</w:t>
      </w:r>
      <w:r w:rsidR="000C0896">
        <w:t>’</w:t>
      </w:r>
      <w:r w:rsidRPr="00A0257D">
        <w:t xml:space="preserve"> stipulations and the absence of any adverse record evidence, the Commission finds that </w:t>
      </w:r>
      <w:r w:rsidR="00EB50F8">
        <w:t>Cal Water</w:t>
      </w:r>
      <w:r w:rsidR="000C0896">
        <w:t>’</w:t>
      </w:r>
      <w:r w:rsidRPr="00A0257D">
        <w:t xml:space="preserve">s water rights leases are in full compliance with all applicable Commission orders, including prior approvals governing lease terms, accounting treatment, and reporting obligations under </w:t>
      </w:r>
      <w:r w:rsidR="003A5B7D">
        <w:t>Pub. Util.</w:t>
      </w:r>
      <w:r w:rsidRPr="00A0257D">
        <w:t xml:space="preserve"> Code </w:t>
      </w:r>
      <w:r w:rsidR="004E5107">
        <w:t>Section </w:t>
      </w:r>
      <w:r w:rsidRPr="00A0257D">
        <w:t>851.</w:t>
      </w:r>
    </w:p>
    <w:p w:rsidR="00A0257D" w:rsidP="00A0257D" w:rsidRDefault="00B14B83" w14:paraId="7054CFFE" w14:textId="372119C4">
      <w:pPr>
        <w:pStyle w:val="Standard"/>
      </w:pPr>
      <w:r w:rsidRPr="00B14B83">
        <w:t xml:space="preserve">Pursuant to </w:t>
      </w:r>
      <w:r w:rsidR="003A5B7D">
        <w:t>Rule </w:t>
      </w:r>
      <w:r w:rsidRPr="00B14B83">
        <w:t>13.9(b), the Commission incorporates the undisputed resolution of this issue into the record. No further action is necessary.</w:t>
      </w:r>
    </w:p>
    <w:p w:rsidR="000E4D84" w:rsidP="000E4D84" w:rsidRDefault="000E4D84" w14:paraId="6CAB0814" w14:textId="74FE9113">
      <w:pPr>
        <w:pStyle w:val="Heading2"/>
      </w:pPr>
      <w:bookmarkStart w:name="_Toc222305275" w:id="115"/>
      <w:bookmarkStart w:name="_Toc228294702" w:id="116"/>
      <w:r>
        <w:t xml:space="preserve">Scoped </w:t>
      </w:r>
      <w:r w:rsidR="009D287A">
        <w:t>Issue #</w:t>
      </w:r>
      <w:r>
        <w:t>9</w:t>
      </w:r>
      <w:r w:rsidR="000C0896">
        <w:t xml:space="preserve">:  </w:t>
      </w:r>
      <w:r w:rsidRPr="003C3377" w:rsidR="00862EA5">
        <w:t xml:space="preserve">Whether </w:t>
      </w:r>
      <w:r w:rsidRPr="001A36AE" w:rsidR="001A36AE">
        <w:t>California</w:t>
      </w:r>
      <w:r w:rsidR="00911FF6">
        <w:br/>
      </w:r>
      <w:r w:rsidRPr="001A36AE" w:rsidR="001A36AE">
        <w:t>Water Service Company</w:t>
      </w:r>
      <w:r w:rsidRPr="003C3377" w:rsidR="00862EA5">
        <w:t xml:space="preserve"> </w:t>
      </w:r>
      <w:r w:rsidRPr="003C3377" w:rsidR="003B4814">
        <w:t xml:space="preserve">Is In Compliance </w:t>
      </w:r>
      <w:r w:rsidRPr="003C3377" w:rsidR="00862EA5">
        <w:t>with California</w:t>
      </w:r>
      <w:r w:rsidR="000C0896">
        <w:t>’</w:t>
      </w:r>
      <w:r w:rsidRPr="003C3377" w:rsidR="00862EA5">
        <w:t xml:space="preserve">s </w:t>
      </w:r>
      <w:r w:rsidRPr="003C3377" w:rsidR="003B4814">
        <w:t xml:space="preserve">Regulatory Requirements </w:t>
      </w:r>
      <w:r w:rsidRPr="003C3377" w:rsidR="00862EA5">
        <w:t xml:space="preserve">for the </w:t>
      </w:r>
      <w:r w:rsidRPr="003C3377" w:rsidR="003B4814">
        <w:t xml:space="preserve">Provision </w:t>
      </w:r>
      <w:r w:rsidRPr="003C3377" w:rsidR="00862EA5">
        <w:t xml:space="preserve">of </w:t>
      </w:r>
      <w:r w:rsidRPr="003C3377" w:rsidR="003B4814">
        <w:t xml:space="preserve">Safe </w:t>
      </w:r>
      <w:r w:rsidRPr="003C3377" w:rsidR="00862EA5">
        <w:t xml:space="preserve">and </w:t>
      </w:r>
      <w:r w:rsidRPr="003C3377" w:rsidR="003B4814">
        <w:t>Reliable Water Service</w:t>
      </w:r>
      <w:r w:rsidRPr="003C3377" w:rsidR="00862EA5">
        <w:t xml:space="preserve">, </w:t>
      </w:r>
      <w:r w:rsidRPr="003C3377" w:rsidR="003B4814">
        <w:t xml:space="preserve">Including </w:t>
      </w:r>
      <w:r w:rsidRPr="003C3377" w:rsidR="00862EA5">
        <w:t xml:space="preserve">but </w:t>
      </w:r>
      <w:r w:rsidRPr="003C3377" w:rsidR="003B4814">
        <w:t xml:space="preserve">Not Limited </w:t>
      </w:r>
      <w:r w:rsidRPr="003C3377" w:rsidR="00862EA5">
        <w:t xml:space="preserve">to </w:t>
      </w:r>
      <w:r w:rsidRPr="003C3377" w:rsidR="003B4814">
        <w:t xml:space="preserve">Adequate </w:t>
      </w:r>
      <w:r w:rsidRPr="003C3377" w:rsidR="00862EA5">
        <w:t>Emergency Preparedness</w:t>
      </w:r>
      <w:r w:rsidR="00B170FD">
        <w:br/>
      </w:r>
      <w:r w:rsidRPr="003C3377" w:rsidR="00862EA5">
        <w:t>Plans, the Low</w:t>
      </w:r>
      <w:r w:rsidR="00270999">
        <w:noBreakHyphen/>
      </w:r>
      <w:r w:rsidRPr="003C3377" w:rsidR="00862EA5">
        <w:t>Income Rate Assistance</w:t>
      </w:r>
      <w:r w:rsidR="00EE757F">
        <w:t xml:space="preserve"> </w:t>
      </w:r>
      <w:r w:rsidRPr="003C3377" w:rsidR="003B4814">
        <w:t>Program</w:t>
      </w:r>
      <w:r w:rsidRPr="003C3377" w:rsidR="00862EA5">
        <w:t xml:space="preserve">, and </w:t>
      </w:r>
      <w:r w:rsidRPr="003C3377" w:rsidR="003B4814">
        <w:t>Any Other Conservation</w:t>
      </w:r>
      <w:r w:rsidRPr="003C3377" w:rsidR="00862EA5">
        <w:t xml:space="preserve">, </w:t>
      </w:r>
      <w:r w:rsidRPr="003C3377" w:rsidR="003B4814">
        <w:t>Accessibility</w:t>
      </w:r>
      <w:r w:rsidRPr="003C3377" w:rsidR="00862EA5">
        <w:t xml:space="preserve">, and </w:t>
      </w:r>
      <w:r w:rsidRPr="003C3377" w:rsidR="003B4814">
        <w:t>Water Equity Safeguards</w:t>
      </w:r>
      <w:bookmarkEnd w:id="115"/>
      <w:bookmarkEnd w:id="116"/>
    </w:p>
    <w:p w:rsidRPr="00485E6E" w:rsidR="00485E6E" w:rsidP="00485E6E" w:rsidRDefault="00485E6E" w14:paraId="03B84089" w14:textId="2097D128">
      <w:pPr>
        <w:pStyle w:val="Standard"/>
      </w:pPr>
      <w:r w:rsidRPr="00485E6E">
        <w:t xml:space="preserve">This issue was addressed through the </w:t>
      </w:r>
      <w:r w:rsidR="007A2749">
        <w:t>Motion for Partial Settlement</w:t>
      </w:r>
      <w:r w:rsidRPr="00485E6E">
        <w:t xml:space="preserve"> and the accompanying Undisputed Issues List. The record demonstrates that all parties reached full agreement on the matters encompassed by this scoped issue, and no disputed sub</w:t>
      </w:r>
      <w:r w:rsidR="00270999">
        <w:noBreakHyphen/>
      </w:r>
      <w:r w:rsidRPr="00485E6E">
        <w:t>issues remain for adjudication.</w:t>
      </w:r>
    </w:p>
    <w:p w:rsidR="00FE1BC9" w:rsidP="00FE1BC9" w:rsidRDefault="000E4D84" w14:paraId="334E5BF6" w14:textId="5256A650">
      <w:pPr>
        <w:pStyle w:val="Heading2"/>
        <w:rPr>
          <w:bCs/>
        </w:rPr>
      </w:pPr>
      <w:bookmarkStart w:name="_Toc222305276" w:id="117"/>
      <w:bookmarkStart w:name="_Toc228294703" w:id="118"/>
      <w:r>
        <w:lastRenderedPageBreak/>
        <w:t xml:space="preserve">Scoped </w:t>
      </w:r>
      <w:r w:rsidR="009D287A">
        <w:t>Issue #</w:t>
      </w:r>
      <w:r>
        <w:t>10</w:t>
      </w:r>
      <w:r w:rsidR="000C0896">
        <w:t xml:space="preserve">:  </w:t>
      </w:r>
      <w:r w:rsidRPr="00FE1BC9" w:rsidR="00FE1BC9">
        <w:rPr>
          <w:bCs/>
        </w:rPr>
        <w:t xml:space="preserve">Whether </w:t>
      </w:r>
      <w:r w:rsidRPr="001A36AE" w:rsidR="001A36AE">
        <w:rPr>
          <w:bCs/>
        </w:rPr>
        <w:t>California</w:t>
      </w:r>
      <w:r w:rsidR="007D0C4C">
        <w:rPr>
          <w:bCs/>
        </w:rPr>
        <w:br/>
      </w:r>
      <w:r w:rsidRPr="001A36AE" w:rsidR="001A36AE">
        <w:rPr>
          <w:bCs/>
        </w:rPr>
        <w:t>Water Service Company</w:t>
      </w:r>
      <w:r w:rsidR="000C0896">
        <w:rPr>
          <w:bCs/>
        </w:rPr>
        <w:t>’</w:t>
      </w:r>
      <w:r w:rsidRPr="00FE1BC9" w:rsidR="00FE1BC9">
        <w:rPr>
          <w:bCs/>
        </w:rPr>
        <w:t xml:space="preserve">s </w:t>
      </w:r>
      <w:r w:rsidRPr="00FE1BC9" w:rsidR="002C2DB7">
        <w:rPr>
          <w:bCs/>
        </w:rPr>
        <w:t>Water Quality Meets All Applicable Local</w:t>
      </w:r>
      <w:r w:rsidRPr="00FE1BC9" w:rsidR="00FE1BC9">
        <w:rPr>
          <w:bCs/>
        </w:rPr>
        <w:t xml:space="preserve">, </w:t>
      </w:r>
      <w:r w:rsidRPr="00FE1BC9" w:rsidR="002C2DB7">
        <w:rPr>
          <w:bCs/>
        </w:rPr>
        <w:t>State</w:t>
      </w:r>
      <w:r w:rsidR="002C2DB7">
        <w:rPr>
          <w:bCs/>
        </w:rPr>
        <w:t>,</w:t>
      </w:r>
      <w:r w:rsidRPr="00FE1BC9" w:rsidR="002C2DB7">
        <w:rPr>
          <w:bCs/>
        </w:rPr>
        <w:t xml:space="preserve"> </w:t>
      </w:r>
      <w:r w:rsidRPr="00FE1BC9" w:rsidR="00FE1BC9">
        <w:rPr>
          <w:bCs/>
        </w:rPr>
        <w:t xml:space="preserve">and </w:t>
      </w:r>
      <w:r w:rsidRPr="00FE1BC9" w:rsidR="002C2DB7">
        <w:rPr>
          <w:bCs/>
        </w:rPr>
        <w:t xml:space="preserve">Federal Drinking Water Standards </w:t>
      </w:r>
      <w:r w:rsidRPr="00FE1BC9" w:rsidR="00FE1BC9">
        <w:rPr>
          <w:bCs/>
        </w:rPr>
        <w:t>and</w:t>
      </w:r>
      <w:r w:rsidR="001535EA">
        <w:rPr>
          <w:bCs/>
        </w:rPr>
        <w:br/>
      </w:r>
      <w:r w:rsidRPr="00FE1BC9" w:rsidR="002C2DB7">
        <w:rPr>
          <w:bCs/>
        </w:rPr>
        <w:t xml:space="preserve">Other Provisions </w:t>
      </w:r>
      <w:r w:rsidRPr="00FE1BC9" w:rsidR="00FE1BC9">
        <w:rPr>
          <w:bCs/>
        </w:rPr>
        <w:t>of General Order</w:t>
      </w:r>
      <w:r w:rsidR="002C2DB7">
        <w:rPr>
          <w:bCs/>
        </w:rPr>
        <w:t> </w:t>
      </w:r>
      <w:r w:rsidRPr="00FE1BC9" w:rsidR="00FE1BC9">
        <w:rPr>
          <w:bCs/>
        </w:rPr>
        <w:t>103</w:t>
      </w:r>
      <w:r w:rsidR="00270999">
        <w:rPr>
          <w:bCs/>
        </w:rPr>
        <w:noBreakHyphen/>
      </w:r>
      <w:r w:rsidRPr="00FE1BC9" w:rsidR="00FE1BC9">
        <w:rPr>
          <w:bCs/>
        </w:rPr>
        <w:t>A</w:t>
      </w:r>
      <w:bookmarkEnd w:id="117"/>
      <w:bookmarkEnd w:id="118"/>
    </w:p>
    <w:p w:rsidRPr="002348AD" w:rsidR="002348AD" w:rsidP="005C0D4D" w:rsidRDefault="002348AD" w14:paraId="3C7AD797" w14:textId="4B7DC1DD">
      <w:pPr>
        <w:pStyle w:val="Standard"/>
      </w:pPr>
      <w:r w:rsidRPr="002348AD">
        <w:t xml:space="preserve">This issue addresses whether </w:t>
      </w:r>
      <w:r w:rsidR="00EB50F8">
        <w:t>Cal Water</w:t>
      </w:r>
      <w:r w:rsidR="000C0896">
        <w:t>’</w:t>
      </w:r>
      <w:r w:rsidRPr="002348AD">
        <w:t>s water quality meets applicable requirements under local, state, and federal law, as well as the Commission</w:t>
      </w:r>
      <w:r w:rsidR="000C0896">
        <w:t>’</w:t>
      </w:r>
      <w:r w:rsidRPr="002348AD">
        <w:t xml:space="preserve">s </w:t>
      </w:r>
      <w:r w:rsidR="00AC0B25">
        <w:t>GO </w:t>
      </w:r>
      <w:r w:rsidRPr="002348AD">
        <w:t>103</w:t>
      </w:r>
      <w:r w:rsidR="00270999">
        <w:noBreakHyphen/>
      </w:r>
      <w:r w:rsidRPr="002348AD">
        <w:t>A.</w:t>
      </w:r>
    </w:p>
    <w:p w:rsidRPr="00A74D24" w:rsidR="002348AD" w:rsidP="005C0D4D" w:rsidRDefault="00A74D24" w14:paraId="4FADA19C" w14:textId="09EBF4F3">
      <w:pPr>
        <w:pStyle w:val="Standard"/>
      </w:pPr>
      <w:r w:rsidRPr="00A74D24">
        <w:t xml:space="preserve">All parties generally agree that </w:t>
      </w:r>
      <w:r w:rsidR="00EB50F8">
        <w:t>Cal Water</w:t>
      </w:r>
      <w:r w:rsidRPr="00A74D24">
        <w:t xml:space="preserve"> is currently in compliance with applicable drinking</w:t>
      </w:r>
      <w:r w:rsidR="00270999">
        <w:noBreakHyphen/>
      </w:r>
      <w:r w:rsidRPr="00A74D24">
        <w:t xml:space="preserve">water standards. </w:t>
      </w:r>
      <w:r w:rsidR="00EB50F8">
        <w:t>Cal Water</w:t>
      </w:r>
      <w:r w:rsidRPr="00A74D24">
        <w:t xml:space="preserve"> asserts that it maintains a strong compliance record, meets or exceeds all </w:t>
      </w:r>
      <w:bookmarkStart w:name="_Hlk212712901" w:id="119"/>
      <w:r w:rsidRPr="00A74D24">
        <w:t>maximum contaminant levels</w:t>
      </w:r>
      <w:bookmarkEnd w:id="119"/>
      <w:r w:rsidRPr="00A74D24">
        <w:t>, and invests proactively in treatment facilities and water</w:t>
      </w:r>
      <w:r w:rsidR="00270999">
        <w:noBreakHyphen/>
      </w:r>
      <w:r w:rsidRPr="00A74D24">
        <w:t>quality monitoring infrastructure</w:t>
      </w:r>
      <w:r w:rsidR="00CB729D">
        <w:t>.</w:t>
      </w:r>
      <w:r w:rsidR="00CB729D">
        <w:rPr>
          <w:rStyle w:val="FootnoteReference"/>
        </w:rPr>
        <w:footnoteReference w:id="178"/>
      </w:r>
      <w:r w:rsidRPr="00A74D24">
        <w:t xml:space="preserve"> </w:t>
      </w:r>
      <w:r w:rsidR="00EB50F8">
        <w:t>Cal Water</w:t>
      </w:r>
      <w:r w:rsidRPr="00A74D24">
        <w:t xml:space="preserve"> cites its annual Consumer Confidence Reports, Division of Drinking Water inspection results, and its Water Quality Assurance Program as evidence of ongoing compliance and proactive management. </w:t>
      </w:r>
      <w:r w:rsidR="00EB50F8">
        <w:t>Cal Water</w:t>
      </w:r>
      <w:r w:rsidRPr="00A74D24">
        <w:t xml:space="preserve"> also emphasizes that it has installed 35 new monitoring stations, completed voluntary PFAS and manganese sampling across all districts, and upgraded 18 wells since 2023 to meet anticipated standards</w:t>
      </w:r>
      <w:r w:rsidR="00CB729D">
        <w:t>.</w:t>
      </w:r>
      <w:r w:rsidR="00CB729D">
        <w:rPr>
          <w:rStyle w:val="FootnoteReference"/>
        </w:rPr>
        <w:footnoteReference w:id="179"/>
      </w:r>
    </w:p>
    <w:p w:rsidR="00CE0158" w:rsidP="005C0D4D" w:rsidRDefault="00EB50F8" w14:paraId="6A0FF73F" w14:textId="2498C902">
      <w:pPr>
        <w:pStyle w:val="Standard"/>
      </w:pPr>
      <w:r>
        <w:t>Cal Advocates</w:t>
      </w:r>
      <w:r w:rsidRPr="002348AD" w:rsidR="002348AD">
        <w:t xml:space="preserve"> concurs that </w:t>
      </w:r>
      <w:r>
        <w:t>Cal Water</w:t>
      </w:r>
      <w:r w:rsidRPr="002348AD" w:rsidR="002348AD">
        <w:t xml:space="preserve"> is in basic compliance with </w:t>
      </w:r>
      <w:r w:rsidR="00AC0B25">
        <w:t>GO </w:t>
      </w:r>
      <w:r w:rsidRPr="002348AD" w:rsidR="002348AD">
        <w:t>103</w:t>
      </w:r>
      <w:r w:rsidR="00270999">
        <w:noBreakHyphen/>
      </w:r>
      <w:r w:rsidRPr="002348AD" w:rsidR="002348AD">
        <w:t>A and applicable drinking</w:t>
      </w:r>
      <w:r w:rsidR="00270999">
        <w:noBreakHyphen/>
      </w:r>
      <w:r w:rsidRPr="002348AD" w:rsidR="002348AD">
        <w:t xml:space="preserve">water standards but recommends additional transparency measures. </w:t>
      </w:r>
      <w:r>
        <w:t>Cal Advocates</w:t>
      </w:r>
      <w:r w:rsidRPr="002348AD" w:rsidR="002348AD">
        <w:t xml:space="preserve"> raises concerns about the timeliness of certain consumer notifications and emphasizes that the Commission should require forward</w:t>
      </w:r>
      <w:r w:rsidR="00270999">
        <w:noBreakHyphen/>
      </w:r>
      <w:r w:rsidRPr="002348AD" w:rsidR="002348AD">
        <w:t xml:space="preserve">looking compliance reporting on contaminants of emerging concern, particularly </w:t>
      </w:r>
      <w:bookmarkStart w:name="_Hlk212713157" w:id="120"/>
      <w:r w:rsidRPr="002348AD" w:rsidR="002348AD">
        <w:t xml:space="preserve">PFAS, </w:t>
      </w:r>
      <w:bookmarkEnd w:id="120"/>
      <w:r w:rsidRPr="003E73D4" w:rsidR="002348AD">
        <w:t>manganese, and hexavalent chromium</w:t>
      </w:r>
      <w:r w:rsidR="00CB729D">
        <w:t>.</w:t>
      </w:r>
      <w:r w:rsidR="00CB729D">
        <w:rPr>
          <w:rStyle w:val="FootnoteReference"/>
        </w:rPr>
        <w:footnoteReference w:id="180"/>
      </w:r>
    </w:p>
    <w:p w:rsidRPr="00A74D24" w:rsidR="00A74D24" w:rsidP="005C0D4D" w:rsidRDefault="00EB50F8" w14:paraId="098A1329" w14:textId="2BB5A924">
      <w:pPr>
        <w:pStyle w:val="Standard"/>
      </w:pPr>
      <w:r>
        <w:lastRenderedPageBreak/>
        <w:t>Cal Water</w:t>
      </w:r>
      <w:r w:rsidRPr="00A74D24" w:rsidR="00A74D24">
        <w:t xml:space="preserve"> has implemented a </w:t>
      </w:r>
      <w:r w:rsidRPr="003E73D4" w:rsidR="00A74D24">
        <w:t>systemwide Emerging Contaminants Task Force, established district</w:t>
      </w:r>
      <w:r w:rsidR="00270999">
        <w:noBreakHyphen/>
      </w:r>
      <w:r w:rsidRPr="003E73D4" w:rsidR="00A74D24">
        <w:t>level response protocols,</w:t>
      </w:r>
      <w:r w:rsidRPr="00A74D24" w:rsidR="00A74D24">
        <w:t xml:space="preserve"> and participates in the SWRCB early</w:t>
      </w:r>
      <w:r w:rsidR="00270999">
        <w:noBreakHyphen/>
      </w:r>
      <w:r w:rsidRPr="00A74D24" w:rsidR="00A74D24">
        <w:t>adoption testing program for PFAS</w:t>
      </w:r>
      <w:r w:rsidR="00CB729D">
        <w:t>.</w:t>
      </w:r>
      <w:r w:rsidR="00CB729D">
        <w:rPr>
          <w:rStyle w:val="FootnoteReference"/>
        </w:rPr>
        <w:footnoteReference w:id="181"/>
      </w:r>
      <w:r w:rsidRPr="00A74D24" w:rsidR="00A74D24">
        <w:t xml:space="preserve"> </w:t>
      </w:r>
      <w:r>
        <w:t>Cal Water</w:t>
      </w:r>
      <w:r w:rsidRPr="00A74D24" w:rsidR="00A74D24">
        <w:t xml:space="preserve"> reports that 100</w:t>
      </w:r>
      <w:r w:rsidR="0032703D">
        <w:t> percent</w:t>
      </w:r>
      <w:r w:rsidRPr="00A74D24" w:rsidR="00A74D24">
        <w:t xml:space="preserve"> of its active sources currently meet state and federal standards and that it maintains blending and treatment plans for wells with detectable but below</w:t>
      </w:r>
      <w:r w:rsidR="003E73D4">
        <w:t xml:space="preserve"> </w:t>
      </w:r>
      <w:r w:rsidRPr="00A74D24" w:rsidR="003E73D4">
        <w:t>maximum</w:t>
      </w:r>
      <w:r w:rsidR="00270999">
        <w:noBreakHyphen/>
      </w:r>
      <w:r w:rsidRPr="00A74D24" w:rsidR="003E73D4">
        <w:t>contaminant</w:t>
      </w:r>
      <w:r w:rsidR="00270999">
        <w:noBreakHyphen/>
      </w:r>
      <w:r w:rsidRPr="00A74D24" w:rsidR="003E73D4">
        <w:t>level</w:t>
      </w:r>
      <w:r w:rsidRPr="00A74D24" w:rsidR="00A74D24">
        <w:t xml:space="preserve"> concentrations.</w:t>
      </w:r>
    </w:p>
    <w:p w:rsidR="00A74D24" w:rsidP="005C0D4D" w:rsidRDefault="00A74D24" w14:paraId="3219D1BB" w14:textId="2A09DB76">
      <w:pPr>
        <w:pStyle w:val="Standard"/>
      </w:pPr>
      <w:r w:rsidRPr="00A74D24">
        <w:t xml:space="preserve">NAWC supports </w:t>
      </w:r>
      <w:r w:rsidR="00EB50F8">
        <w:t>Cal Water</w:t>
      </w:r>
      <w:r w:rsidR="000C0896">
        <w:t>’</w:t>
      </w:r>
      <w:r w:rsidRPr="00A74D24">
        <w:t xml:space="preserve">s position, asserting that </w:t>
      </w:r>
      <w:r w:rsidR="00EB50F8">
        <w:t>Cal Water</w:t>
      </w:r>
      <w:r w:rsidR="000C0896">
        <w:t>’</w:t>
      </w:r>
      <w:r w:rsidRPr="00A74D24">
        <w:t>s compliance record exceeds industry norms and that the company maintains one of the most robust water</w:t>
      </w:r>
      <w:r w:rsidR="00270999">
        <w:noBreakHyphen/>
      </w:r>
      <w:r w:rsidRPr="00A74D24">
        <w:t xml:space="preserve">quality testing programs among </w:t>
      </w:r>
      <w:r w:rsidR="00EB50F8">
        <w:t>Class A</w:t>
      </w:r>
      <w:r w:rsidRPr="00A74D24">
        <w:t xml:space="preserve"> water utilities in California</w:t>
      </w:r>
      <w:r w:rsidR="00D26DBF">
        <w:t>.</w:t>
      </w:r>
      <w:r w:rsidR="00D26DBF">
        <w:rPr>
          <w:rStyle w:val="FootnoteReference"/>
        </w:rPr>
        <w:footnoteReference w:id="182"/>
      </w:r>
      <w:r w:rsidRPr="00A74D24">
        <w:t xml:space="preserve"> CWA similarly supports </w:t>
      </w:r>
      <w:r w:rsidR="00EB50F8">
        <w:t>Cal Water</w:t>
      </w:r>
      <w:r w:rsidRPr="00A74D24">
        <w:t xml:space="preserve">, cautioning that expanding this scoped issue into broader policy oversight could duplicate the jurisdiction of the </w:t>
      </w:r>
      <w:bookmarkStart w:name="_Hlk212713365" w:id="121"/>
      <w:r w:rsidRPr="00A74D24">
        <w:t>SWRCB</w:t>
      </w:r>
      <w:bookmarkEnd w:id="121"/>
      <w:r w:rsidRPr="00A74D24">
        <w:t>.</w:t>
      </w:r>
      <w:r w:rsidR="00D26DBF">
        <w:rPr>
          <w:rStyle w:val="FootnoteReference"/>
        </w:rPr>
        <w:footnoteReference w:id="183"/>
      </w:r>
    </w:p>
    <w:p w:rsidR="000E4D84" w:rsidP="000E4D84" w:rsidRDefault="000E4D84" w14:paraId="15E8FA0C" w14:textId="72B358B4">
      <w:pPr>
        <w:pStyle w:val="Heading3"/>
      </w:pPr>
      <w:bookmarkStart w:name="_Toc222305277" w:id="122"/>
      <w:bookmarkStart w:name="_Toc228294704" w:id="123"/>
      <w:r>
        <w:t>Partial Settlement</w:t>
      </w:r>
      <w:bookmarkEnd w:id="122"/>
      <w:bookmarkEnd w:id="123"/>
    </w:p>
    <w:p w:rsidR="001E255A" w:rsidP="005C0D4D" w:rsidRDefault="002348AD" w14:paraId="72B10133" w14:textId="390276E0">
      <w:pPr>
        <w:pStyle w:val="Standard"/>
      </w:pPr>
      <w:r w:rsidRPr="002348AD">
        <w:t>Portions of this scoped issue were resolved through the Partial Settlement Agreement and the accompanying Undisputed Issues List. The Partial Settlement Agreement stipulate</w:t>
      </w:r>
      <w:r w:rsidR="0096017C">
        <w:t>s</w:t>
      </w:r>
      <w:r w:rsidRPr="002348AD">
        <w:t xml:space="preserve"> that </w:t>
      </w:r>
      <w:r w:rsidR="00EB50F8">
        <w:t>Cal Water</w:t>
      </w:r>
      <w:r w:rsidRPr="002348AD">
        <w:t xml:space="preserve"> is currently in compliance with all applicable local, state, and federal drinking</w:t>
      </w:r>
      <w:r w:rsidR="00270999">
        <w:noBreakHyphen/>
      </w:r>
      <w:r w:rsidRPr="002348AD">
        <w:t xml:space="preserve">water standards, as well as the requirements of </w:t>
      </w:r>
      <w:r w:rsidR="00AC0B25">
        <w:t>GO </w:t>
      </w:r>
      <w:r w:rsidRPr="002348AD">
        <w:t>103</w:t>
      </w:r>
      <w:r w:rsidR="00270999">
        <w:noBreakHyphen/>
      </w:r>
      <w:r w:rsidRPr="002348AD">
        <w:t>A.</w:t>
      </w:r>
      <w:r w:rsidR="001E255A">
        <w:t xml:space="preserve"> </w:t>
      </w:r>
      <w:r w:rsidRPr="002348AD">
        <w:t>The parties further agree that there are no material deficiencies requiring Commission</w:t>
      </w:r>
      <w:r w:rsidR="00270999">
        <w:noBreakHyphen/>
      </w:r>
      <w:r w:rsidRPr="002348AD">
        <w:t xml:space="preserve">imposed remediation. </w:t>
      </w:r>
      <w:r w:rsidR="001E255A">
        <w:t>What follows is an analysis of the unsettled portions of this scoped issue.</w:t>
      </w:r>
    </w:p>
    <w:p w:rsidR="000E4D84" w:rsidP="000E4D84" w:rsidRDefault="000E4D84" w14:paraId="51EBA35A" w14:textId="77777777">
      <w:pPr>
        <w:pStyle w:val="Heading3"/>
      </w:pPr>
      <w:bookmarkStart w:name="_Toc222305278" w:id="124"/>
      <w:bookmarkStart w:name="_Toc228294705" w:id="125"/>
      <w:r>
        <w:t>Analysis</w:t>
      </w:r>
      <w:bookmarkEnd w:id="124"/>
      <w:bookmarkEnd w:id="125"/>
    </w:p>
    <w:p w:rsidRPr="00A33A03" w:rsidR="00A33A03" w:rsidP="00A33A03" w:rsidRDefault="00A33A03" w14:paraId="32D97B4C" w14:textId="1ED9A841">
      <w:pPr>
        <w:pStyle w:val="Standard"/>
      </w:pPr>
      <w:r w:rsidRPr="00A33A03">
        <w:t xml:space="preserve">Under </w:t>
      </w:r>
      <w:r w:rsidR="003A5B7D">
        <w:t>Pub. Util.</w:t>
      </w:r>
      <w:r w:rsidR="00AA247D">
        <w:t xml:space="preserve"> Code </w:t>
      </w:r>
      <w:r w:rsidR="004E5107">
        <w:t>Section </w:t>
      </w:r>
      <w:r w:rsidRPr="00A33A03">
        <w:t xml:space="preserve">451, utility service must be </w:t>
      </w:r>
      <w:r w:rsidR="00A23D11">
        <w:t>“</w:t>
      </w:r>
      <w:r w:rsidRPr="00A33A03">
        <w:t>adequate, efficient, just, and reasonable.</w:t>
      </w:r>
      <w:r w:rsidR="00A23D11">
        <w:t>”</w:t>
      </w:r>
      <w:r w:rsidRPr="00A33A03">
        <w:t xml:space="preserve"> </w:t>
      </w:r>
      <w:r w:rsidR="00AC0B25">
        <w:t>GO </w:t>
      </w:r>
      <w:r w:rsidRPr="00A33A03">
        <w:t>103</w:t>
      </w:r>
      <w:r w:rsidR="00270999">
        <w:noBreakHyphen/>
      </w:r>
      <w:r w:rsidRPr="00A33A03">
        <w:t xml:space="preserve">A requires </w:t>
      </w:r>
      <w:r w:rsidR="00EB50F8">
        <w:t>Class A</w:t>
      </w:r>
      <w:r w:rsidRPr="00A33A03">
        <w:t xml:space="preserve"> and </w:t>
      </w:r>
      <w:r w:rsidR="00EB50F8">
        <w:t>Class B</w:t>
      </w:r>
      <w:r w:rsidRPr="00A33A03">
        <w:t xml:space="preserve"> water </w:t>
      </w:r>
      <w:r w:rsidRPr="00A33A03">
        <w:lastRenderedPageBreak/>
        <w:t>utilities to meet all applicable state and federal drinking</w:t>
      </w:r>
      <w:r w:rsidR="00270999">
        <w:noBreakHyphen/>
      </w:r>
      <w:r w:rsidRPr="00A33A03">
        <w:t>water standards, maintain monitoring and reporting programs, and take prompt corrective action upon detection of violations. Compliance with state and federal maximum</w:t>
      </w:r>
      <w:r w:rsidR="00270999">
        <w:noBreakHyphen/>
      </w:r>
      <w:r w:rsidRPr="00A33A03">
        <w:t>contaminant</w:t>
      </w:r>
      <w:r w:rsidR="00270999">
        <w:noBreakHyphen/>
      </w:r>
      <w:r w:rsidRPr="00A33A03">
        <w:t xml:space="preserve">level standards, as incorporated into </w:t>
      </w:r>
      <w:r w:rsidR="00AC0B25">
        <w:t>GO </w:t>
      </w:r>
      <w:r w:rsidRPr="00A33A03">
        <w:t>103</w:t>
      </w:r>
      <w:r w:rsidR="00270999">
        <w:noBreakHyphen/>
      </w:r>
      <w:r w:rsidRPr="00A33A03">
        <w:t xml:space="preserve">A, is presumptively sufficient to satisfy </w:t>
      </w:r>
      <w:r w:rsidR="003A5B7D">
        <w:t>Pub. Util.</w:t>
      </w:r>
      <w:r w:rsidR="003D383E">
        <w:t xml:space="preserve"> Code </w:t>
      </w:r>
      <w:r w:rsidR="004E5107">
        <w:t>Section </w:t>
      </w:r>
      <w:r w:rsidRPr="00A33A03">
        <w:t>451 when supported by the evidentiary record.</w:t>
      </w:r>
    </w:p>
    <w:p w:rsidRPr="00A33A03" w:rsidR="00A33A03" w:rsidP="00A33A03" w:rsidRDefault="00EB50F8" w14:paraId="5C5BD7EB" w14:textId="6B33CCA3">
      <w:pPr>
        <w:pStyle w:val="Standard"/>
      </w:pPr>
      <w:r>
        <w:t>Cal Water</w:t>
      </w:r>
      <w:r w:rsidRPr="00A33A03" w:rsidR="00A33A03">
        <w:t xml:space="preserve"> represents that it currently meets all applicable </w:t>
      </w:r>
      <w:r w:rsidRPr="00A74D24" w:rsidR="003E73D4">
        <w:t>maximum contaminant levels</w:t>
      </w:r>
      <w:r w:rsidRPr="00A33A03" w:rsidR="00A33A03">
        <w:t xml:space="preserve"> and </w:t>
      </w:r>
      <w:r w:rsidR="00AC0B25">
        <w:t>GO </w:t>
      </w:r>
      <w:r w:rsidRPr="00A33A03" w:rsidR="00A33A03">
        <w:t>103</w:t>
      </w:r>
      <w:r w:rsidR="00270999">
        <w:noBreakHyphen/>
      </w:r>
      <w:r w:rsidRPr="00A33A03" w:rsidR="00A33A03">
        <w:t>A requirements and that its compliance is verified by annual Division of Drinking Water inspections and its Consumer Confidence Reports</w:t>
      </w:r>
      <w:r w:rsidR="00D26DBF">
        <w:t>.</w:t>
      </w:r>
      <w:r w:rsidR="00D26DBF">
        <w:rPr>
          <w:rStyle w:val="FootnoteReference"/>
        </w:rPr>
        <w:footnoteReference w:id="184"/>
      </w:r>
      <w:r w:rsidRPr="00A33A03" w:rsidR="00A33A03">
        <w:t xml:space="preserve"> </w:t>
      </w:r>
      <w:r>
        <w:t>Cal Water</w:t>
      </w:r>
      <w:r w:rsidRPr="00A33A03" w:rsidR="00A33A03">
        <w:t xml:space="preserve"> points to its Water Quality Assurance Program and continuing investment in treatment facilities, laboratory testing, and monitoring technology as evidence of sustained compliance</w:t>
      </w:r>
      <w:r w:rsidR="00D26DBF">
        <w:t>.</w:t>
      </w:r>
      <w:r w:rsidR="00D26DBF">
        <w:rPr>
          <w:rStyle w:val="FootnoteReference"/>
        </w:rPr>
        <w:footnoteReference w:id="185"/>
      </w:r>
      <w:r w:rsidRPr="00A33A03" w:rsidR="00A33A03">
        <w:t xml:space="preserve"> </w:t>
      </w:r>
      <w:r>
        <w:t>Cal Water</w:t>
      </w:r>
      <w:r w:rsidRPr="00A33A03" w:rsidR="00A33A03">
        <w:t xml:space="preserve"> further explains that it has undertaken proactive testing and operational responses related to PFAS and other emerging contaminants, including well replacements and blending strategies, and that these steps demonstrate prudent forward planning consistent with </w:t>
      </w:r>
      <w:r w:rsidR="00AC0B25">
        <w:t>GO </w:t>
      </w:r>
      <w:r w:rsidRPr="00A33A03" w:rsidR="00A33A03">
        <w:t>103</w:t>
      </w:r>
      <w:r w:rsidR="00270999">
        <w:noBreakHyphen/>
      </w:r>
      <w:r w:rsidRPr="00A33A03" w:rsidR="00A33A03">
        <w:t>A</w:t>
      </w:r>
      <w:r w:rsidR="000C0896">
        <w:t>’</w:t>
      </w:r>
      <w:r w:rsidRPr="00A33A03" w:rsidR="00A33A03">
        <w:t>s requirements for continuous quality assurance</w:t>
      </w:r>
      <w:r w:rsidR="00D26DBF">
        <w:t>.</w:t>
      </w:r>
      <w:r w:rsidR="00D26DBF">
        <w:rPr>
          <w:rStyle w:val="FootnoteReference"/>
        </w:rPr>
        <w:footnoteReference w:id="186"/>
      </w:r>
      <w:r w:rsidRPr="00A33A03" w:rsidR="00A33A03">
        <w:t xml:space="preserve"> </w:t>
      </w:r>
      <w:r w:rsidRPr="006E61F5" w:rsidR="006E61F5">
        <w:t xml:space="preserve">In addition, </w:t>
      </w:r>
      <w:r>
        <w:t>Cal Water</w:t>
      </w:r>
      <w:r w:rsidRPr="006E61F5" w:rsidR="006E61F5">
        <w:t xml:space="preserve"> details district</w:t>
      </w:r>
      <w:r w:rsidR="00270999">
        <w:noBreakHyphen/>
      </w:r>
      <w:r w:rsidRPr="006E61F5" w:rsidR="006E61F5">
        <w:t>level source testing and contingency actions (</w:t>
      </w:r>
      <w:r w:rsidRPr="0080343B" w:rsidR="0080343B">
        <w:rPr>
          <w:i/>
          <w:iCs/>
        </w:rPr>
        <w:t>e.g.</w:t>
      </w:r>
      <w:r w:rsidRPr="006E61F5" w:rsidR="006E61F5">
        <w:t xml:space="preserve">, standby treatment designs and interties) as part of its ongoing risk management, and reports no outstanding </w:t>
      </w:r>
      <w:r w:rsidRPr="00A74D24" w:rsidR="003E73D4">
        <w:t>Division of Drinking Water</w:t>
      </w:r>
      <w:r w:rsidRPr="006E61F5" w:rsidR="006E61F5">
        <w:t xml:space="preserve"> enforcement actions during the relevant period</w:t>
      </w:r>
      <w:r w:rsidR="00D26DBF">
        <w:t>.</w:t>
      </w:r>
      <w:r w:rsidR="00D26DBF">
        <w:rPr>
          <w:rStyle w:val="FootnoteReference"/>
        </w:rPr>
        <w:footnoteReference w:id="187"/>
      </w:r>
    </w:p>
    <w:p w:rsidRPr="00A33A03" w:rsidR="00A33A03" w:rsidP="00A33A03" w:rsidRDefault="00EB50F8" w14:paraId="4A772CE2" w14:textId="233EF5E3">
      <w:pPr>
        <w:pStyle w:val="Standard"/>
      </w:pPr>
      <w:r>
        <w:t>Cal Advocates</w:t>
      </w:r>
      <w:r w:rsidRPr="00A33A03" w:rsidR="00A33A03">
        <w:t xml:space="preserve"> concurs that </w:t>
      </w:r>
      <w:r>
        <w:t>Cal Water</w:t>
      </w:r>
      <w:r w:rsidRPr="00A33A03" w:rsidR="00A33A03">
        <w:t xml:space="preserve"> is presently in compliance but recommends additional transparency measures to ensure continued compliance </w:t>
      </w:r>
      <w:r w:rsidRPr="00A33A03" w:rsidR="00A33A03">
        <w:lastRenderedPageBreak/>
        <w:t xml:space="preserve">as new contaminants are regulated. </w:t>
      </w:r>
      <w:r>
        <w:t>Cal Advocates</w:t>
      </w:r>
      <w:r w:rsidRPr="00A33A03" w:rsidR="00A33A03">
        <w:t xml:space="preserve"> raises concerns regarding the </w:t>
      </w:r>
      <w:r w:rsidR="007F4B4D">
        <w:t>adequacy of Cal Water’s flushing practices.</w:t>
      </w:r>
      <w:r w:rsidR="004C46AE">
        <w:rPr>
          <w:rStyle w:val="FootnoteReference"/>
        </w:rPr>
        <w:footnoteReference w:id="188"/>
      </w:r>
      <w:r w:rsidR="007F4B4D">
        <w:t xml:space="preserve"> </w:t>
      </w:r>
      <w:r w:rsidR="00D54135">
        <w:t>Cal Advocates recommends that</w:t>
      </w:r>
      <w:r w:rsidR="00CC3B10">
        <w:t xml:space="preserve"> the Commission require that Cal Water follow </w:t>
      </w:r>
      <w:r w:rsidR="001B0884">
        <w:t>the Division of Drinking Water’s (DDW) best management practices on flushing.</w:t>
      </w:r>
    </w:p>
    <w:p w:rsidR="00A33A03" w:rsidP="00A33A03" w:rsidRDefault="00A33A03" w14:paraId="20F6D4BB" w14:textId="73640922">
      <w:pPr>
        <w:pStyle w:val="Standard"/>
      </w:pPr>
      <w:r w:rsidRPr="00A33A03">
        <w:t xml:space="preserve">The record and the Partial Settlement Agreement establish that </w:t>
      </w:r>
      <w:r w:rsidR="00EB50F8">
        <w:t>Cal Water</w:t>
      </w:r>
      <w:r w:rsidRPr="00A33A03">
        <w:t xml:space="preserve"> is presently in compliance with all applicable local, state, and federal drinking</w:t>
      </w:r>
      <w:r w:rsidR="00270999">
        <w:noBreakHyphen/>
      </w:r>
      <w:r w:rsidRPr="00A33A03">
        <w:t xml:space="preserve">water standards, consistent with </w:t>
      </w:r>
      <w:r w:rsidR="00AC0B25">
        <w:t>GO </w:t>
      </w:r>
      <w:r w:rsidRPr="00A33A03">
        <w:t>103</w:t>
      </w:r>
      <w:r w:rsidR="00270999">
        <w:noBreakHyphen/>
      </w:r>
      <w:r w:rsidRPr="00A33A03">
        <w:t xml:space="preserve">A. </w:t>
      </w:r>
      <w:r w:rsidRPr="00A33A03" w:rsidR="00980FAD">
        <w:t xml:space="preserve">The record, including </w:t>
      </w:r>
      <w:r w:rsidR="00EB50F8">
        <w:t>Cal Water</w:t>
      </w:r>
      <w:r w:rsidR="000C0896">
        <w:t>’</w:t>
      </w:r>
      <w:r w:rsidRPr="00A33A03" w:rsidR="00980FAD">
        <w:t>s documented sampling data and SWRCB inspection summaries,</w:t>
      </w:r>
      <w:r w:rsidR="00980FAD">
        <w:rPr>
          <w:rStyle w:val="FootnoteReference"/>
        </w:rPr>
        <w:footnoteReference w:id="189"/>
      </w:r>
      <w:r w:rsidRPr="00A33A03" w:rsidR="00980FAD">
        <w:t xml:space="preserve"> contains no evidence of unresolved violations or deficiencies.</w:t>
      </w:r>
      <w:r w:rsidR="00980FAD">
        <w:t xml:space="preserve"> </w:t>
      </w:r>
      <w:r w:rsidRPr="00E523C4" w:rsidR="00980FAD">
        <w:t>Additionally, we received the Water Quality Report dated August 2024, prepared by the Commission</w:t>
      </w:r>
      <w:r w:rsidR="000C0896">
        <w:t>’</w:t>
      </w:r>
      <w:r w:rsidRPr="00E523C4" w:rsidR="00980FAD">
        <w:t>s Water</w:t>
      </w:r>
      <w:r w:rsidR="00EB1859">
        <w:t xml:space="preserve"> </w:t>
      </w:r>
      <w:r w:rsidRPr="00E523C4" w:rsidR="00980FAD">
        <w:t xml:space="preserve">Division, which indicates that </w:t>
      </w:r>
      <w:r w:rsidR="00EB50F8">
        <w:t>Cal Water</w:t>
      </w:r>
      <w:r w:rsidRPr="00E523C4" w:rsidR="00980FAD">
        <w:t xml:space="preserve"> has no water quality issues.</w:t>
      </w:r>
    </w:p>
    <w:p w:rsidRPr="00A33A03" w:rsidR="006E61F5" w:rsidP="00A33A03" w:rsidRDefault="006E61F5" w14:paraId="5F19CD32" w14:textId="47FC753C">
      <w:pPr>
        <w:pStyle w:val="Standard"/>
      </w:pPr>
      <w:r w:rsidRPr="006E61F5">
        <w:t xml:space="preserve">The Commission finds that </w:t>
      </w:r>
      <w:r w:rsidR="00EB50F8">
        <w:t>Cal Water</w:t>
      </w:r>
      <w:r w:rsidR="000C0896">
        <w:t>’</w:t>
      </w:r>
      <w:r w:rsidRPr="006E61F5">
        <w:t xml:space="preserve">s current operations demonstrate full compliance with </w:t>
      </w:r>
      <w:r w:rsidR="00AC0B25">
        <w:t>GO </w:t>
      </w:r>
      <w:r w:rsidRPr="006E61F5">
        <w:t>103</w:t>
      </w:r>
      <w:r w:rsidR="00270999">
        <w:noBreakHyphen/>
      </w:r>
      <w:r w:rsidRPr="006E61F5">
        <w:t>A</w:t>
      </w:r>
      <w:r w:rsidR="000C0896">
        <w:t>’</w:t>
      </w:r>
      <w:r w:rsidRPr="006E61F5">
        <w:t>s substantive requirements for monitoring, reporting, and corrective action, and that the company</w:t>
      </w:r>
      <w:r w:rsidR="000C0896">
        <w:t>’</w:t>
      </w:r>
      <w:r w:rsidRPr="006E61F5">
        <w:t>s proactive measures</w:t>
      </w:r>
      <w:r w:rsidR="00AE44B3">
        <w:t xml:space="preserve"> — </w:t>
      </w:r>
      <w:r w:rsidRPr="006E61F5">
        <w:t>such as PFAS testing, blending strategies, and well replacements</w:t>
      </w:r>
      <w:r w:rsidR="00AE44B3">
        <w:t xml:space="preserve"> — </w:t>
      </w:r>
      <w:r w:rsidRPr="006E61F5">
        <w:t>exceed the minimum expectations of prudent utility practice</w:t>
      </w:r>
      <w:r w:rsidR="00D26DBF">
        <w:t>.</w:t>
      </w:r>
      <w:r w:rsidR="00D26DBF">
        <w:rPr>
          <w:rStyle w:val="FootnoteReference"/>
        </w:rPr>
        <w:footnoteReference w:id="190"/>
      </w:r>
      <w:r w:rsidRPr="006E61F5">
        <w:t xml:space="preserve"> No evidence in this record suggests any ongoing or material violation of state or federal drinking</w:t>
      </w:r>
      <w:r w:rsidR="00270999">
        <w:noBreakHyphen/>
      </w:r>
      <w:r w:rsidRPr="006E61F5">
        <w:t>water standards.</w:t>
      </w:r>
    </w:p>
    <w:p w:rsidR="00642BC9" w:rsidP="00642BC9" w:rsidRDefault="000E4D84" w14:paraId="7059ACD8" w14:textId="44A1DE49">
      <w:pPr>
        <w:pStyle w:val="Heading2"/>
        <w:rPr>
          <w:bCs/>
        </w:rPr>
      </w:pPr>
      <w:bookmarkStart w:name="_Toc222305279" w:id="126"/>
      <w:bookmarkStart w:name="_Toc228294706" w:id="127"/>
      <w:r>
        <w:lastRenderedPageBreak/>
        <w:t xml:space="preserve">Scoped </w:t>
      </w:r>
      <w:r w:rsidR="009D287A">
        <w:t>Issue #</w:t>
      </w:r>
      <w:r>
        <w:t>11</w:t>
      </w:r>
      <w:r w:rsidR="000C0896">
        <w:t xml:space="preserve">:  </w:t>
      </w:r>
      <w:r w:rsidRPr="00642BC9" w:rsidR="00642BC9">
        <w:rPr>
          <w:bCs/>
        </w:rPr>
        <w:t xml:space="preserve">Whether </w:t>
      </w:r>
      <w:r w:rsidRPr="00FF4384" w:rsidR="00FF4384">
        <w:rPr>
          <w:bCs/>
        </w:rPr>
        <w:t>California</w:t>
      </w:r>
      <w:r w:rsidR="00464F93">
        <w:rPr>
          <w:bCs/>
        </w:rPr>
        <w:br/>
      </w:r>
      <w:r w:rsidRPr="00FF4384" w:rsidR="00FF4384">
        <w:rPr>
          <w:bCs/>
        </w:rPr>
        <w:t>Water Service Company</w:t>
      </w:r>
      <w:r w:rsidR="000C0896">
        <w:rPr>
          <w:bCs/>
        </w:rPr>
        <w:t>’</w:t>
      </w:r>
      <w:r w:rsidRPr="00642BC9" w:rsidR="00642BC9">
        <w:rPr>
          <w:bCs/>
        </w:rPr>
        <w:t xml:space="preserve">s Application </w:t>
      </w:r>
      <w:r w:rsidRPr="00642BC9" w:rsidR="00BA7972">
        <w:rPr>
          <w:bCs/>
        </w:rPr>
        <w:t xml:space="preserve">Supports </w:t>
      </w:r>
      <w:r w:rsidRPr="00642BC9" w:rsidR="00642BC9">
        <w:rPr>
          <w:bCs/>
        </w:rPr>
        <w:t xml:space="preserve">the </w:t>
      </w:r>
      <w:r w:rsidRPr="00642BC9" w:rsidR="00BA7972">
        <w:rPr>
          <w:bCs/>
        </w:rPr>
        <w:t xml:space="preserve">Goals </w:t>
      </w:r>
      <w:r w:rsidRPr="00642BC9" w:rsidR="00642BC9">
        <w:rPr>
          <w:bCs/>
        </w:rPr>
        <w:t xml:space="preserve">and </w:t>
      </w:r>
      <w:r w:rsidRPr="00642BC9" w:rsidR="00BA7972">
        <w:rPr>
          <w:bCs/>
        </w:rPr>
        <w:t xml:space="preserve">Objectives </w:t>
      </w:r>
      <w:r w:rsidRPr="00642BC9" w:rsidR="00642BC9">
        <w:rPr>
          <w:bCs/>
        </w:rPr>
        <w:t>of</w:t>
      </w:r>
      <w:r w:rsidR="00464F93">
        <w:rPr>
          <w:bCs/>
        </w:rPr>
        <w:br/>
      </w:r>
      <w:r w:rsidRPr="00642BC9" w:rsidR="00642BC9">
        <w:rPr>
          <w:bCs/>
        </w:rPr>
        <w:t xml:space="preserve">the </w:t>
      </w:r>
      <w:r w:rsidR="001A36AE">
        <w:rPr>
          <w:bCs/>
        </w:rPr>
        <w:t>Commission</w:t>
      </w:r>
      <w:r w:rsidR="000C0896">
        <w:rPr>
          <w:bCs/>
        </w:rPr>
        <w:t>’</w:t>
      </w:r>
      <w:r w:rsidRPr="00642BC9" w:rsidR="00642BC9">
        <w:rPr>
          <w:bCs/>
        </w:rPr>
        <w:t>s Environmental and</w:t>
      </w:r>
      <w:r w:rsidR="00464F93">
        <w:rPr>
          <w:bCs/>
        </w:rPr>
        <w:br/>
      </w:r>
      <w:r w:rsidRPr="00642BC9" w:rsidR="00642BC9">
        <w:rPr>
          <w:bCs/>
        </w:rPr>
        <w:t>Social Justice Action Plan</w:t>
      </w:r>
      <w:bookmarkEnd w:id="126"/>
      <w:bookmarkEnd w:id="127"/>
    </w:p>
    <w:p w:rsidR="00CE0158" w:rsidP="005C0D4D" w:rsidRDefault="00A61B6E" w14:paraId="39346EED" w14:textId="3FF2BAF7">
      <w:pPr>
        <w:pStyle w:val="Standard"/>
      </w:pPr>
      <w:r w:rsidRPr="00A61B6E">
        <w:t xml:space="preserve">This issue concerns whether </w:t>
      </w:r>
      <w:r w:rsidR="00EB50F8">
        <w:t>Cal Water</w:t>
      </w:r>
      <w:r w:rsidR="000C0896">
        <w:t>’</w:t>
      </w:r>
      <w:r w:rsidRPr="00A61B6E">
        <w:t>s Application supports the goals and objectives of the Commission</w:t>
      </w:r>
      <w:r w:rsidR="000C0896">
        <w:t>’</w:t>
      </w:r>
      <w:r w:rsidRPr="00A61B6E">
        <w:t xml:space="preserve">s </w:t>
      </w:r>
      <w:r w:rsidRPr="00A61B6E" w:rsidR="003E73D4">
        <w:t xml:space="preserve">ESJ </w:t>
      </w:r>
      <w:r w:rsidRPr="00A61B6E">
        <w:t>Action Plan.</w:t>
      </w:r>
    </w:p>
    <w:p w:rsidRPr="00E523C4" w:rsidR="00A61B6E" w:rsidP="005C0D4D" w:rsidRDefault="00EB50F8" w14:paraId="48C4E33E" w14:textId="4BBE6BD8">
      <w:pPr>
        <w:pStyle w:val="Standard"/>
      </w:pPr>
      <w:r>
        <w:t>Cal Water</w:t>
      </w:r>
      <w:r w:rsidRPr="00A61B6E" w:rsidR="00A61B6E">
        <w:t xml:space="preserve"> asserts that its Application advances the ESJ Action Plan by expanding equitable access to safe, reliable, and affordable water service, targeting infrastructure investment in </w:t>
      </w:r>
      <w:bookmarkStart w:name="_Hlk212713601" w:id="128"/>
      <w:r w:rsidRPr="00A61B6E" w:rsidR="00A61B6E">
        <w:t xml:space="preserve">disadvantaged communities (DACs), </w:t>
      </w:r>
      <w:bookmarkEnd w:id="128"/>
      <w:r w:rsidRPr="00A61B6E" w:rsidR="00A61B6E">
        <w:t>and integrating climate resilience into its operations</w:t>
      </w:r>
      <w:r w:rsidR="00AF3406">
        <w:t>.</w:t>
      </w:r>
      <w:r w:rsidR="00AF3406">
        <w:rPr>
          <w:rStyle w:val="FootnoteReference"/>
        </w:rPr>
        <w:footnoteReference w:id="191"/>
      </w:r>
      <w:r w:rsidRPr="00A61B6E" w:rsidR="00A61B6E">
        <w:t xml:space="preserve"> </w:t>
      </w:r>
      <w:r>
        <w:t>Cal Water</w:t>
      </w:r>
      <w:r w:rsidRPr="00A61B6E" w:rsidR="00A61B6E">
        <w:t xml:space="preserve"> emphasizes that more than half of its priority main replacement and water quality projects are located in or adjacent to census tracts identified by </w:t>
      </w:r>
      <w:proofErr w:type="spellStart"/>
      <w:r w:rsidRPr="00A61B6E" w:rsidR="00A61B6E">
        <w:t>CalEnviroScreen</w:t>
      </w:r>
      <w:proofErr w:type="spellEnd"/>
      <w:r w:rsidRPr="00A61B6E" w:rsidR="00A61B6E">
        <w:t xml:space="preserve"> as DACs, and that its </w:t>
      </w:r>
      <w:r w:rsidRPr="003C3665" w:rsidR="00D16A62">
        <w:rPr>
          <w:bCs/>
          <w:szCs w:val="26"/>
        </w:rPr>
        <w:t>Customer Assistance Program</w:t>
      </w:r>
      <w:r w:rsidRPr="00A61B6E" w:rsidR="00D16A62">
        <w:t xml:space="preserve"> </w:t>
      </w:r>
      <w:r w:rsidR="00D16A62">
        <w:t>(</w:t>
      </w:r>
      <w:r w:rsidRPr="00A61B6E" w:rsidR="00A61B6E">
        <w:t>CAP</w:t>
      </w:r>
      <w:r w:rsidR="00D16A62">
        <w:t>)</w:t>
      </w:r>
      <w:r w:rsidRPr="00A61B6E" w:rsidR="00A61B6E">
        <w:t xml:space="preserve"> and </w:t>
      </w:r>
      <w:bookmarkStart w:name="_Hlk212711153" w:id="129"/>
      <w:r w:rsidRPr="00A61B6E" w:rsidR="00A61B6E">
        <w:t xml:space="preserve">Arrearage Management Program (AMP) </w:t>
      </w:r>
      <w:bookmarkEnd w:id="129"/>
      <w:r w:rsidRPr="00E523C4" w:rsidR="00454FCD">
        <w:t>provide customer</w:t>
      </w:r>
      <w:r w:rsidR="00270999">
        <w:noBreakHyphen/>
      </w:r>
      <w:r w:rsidRPr="00E523C4" w:rsidR="00454FCD">
        <w:t>assistance mechanisms consistent with Commission policy applicable at the time of filing</w:t>
      </w:r>
      <w:r w:rsidRPr="00E523C4" w:rsidR="00AF3406">
        <w:t>.</w:t>
      </w:r>
      <w:r w:rsidRPr="00E523C4" w:rsidR="00AF3406">
        <w:rPr>
          <w:rStyle w:val="FootnoteReference"/>
        </w:rPr>
        <w:footnoteReference w:id="192"/>
      </w:r>
      <w:r w:rsidRPr="00E523C4" w:rsidR="00A61B6E">
        <w:t xml:space="preserve"> </w:t>
      </w:r>
      <w:r>
        <w:t>Cal Water</w:t>
      </w:r>
      <w:r w:rsidRPr="00E523C4" w:rsidR="00A61B6E">
        <w:t xml:space="preserve"> further references community engagement and bilingual outreach efforts</w:t>
      </w:r>
      <w:r w:rsidR="00AE44B3">
        <w:t xml:space="preserve"> — </w:t>
      </w:r>
      <w:r w:rsidRPr="00E523C4" w:rsidR="00A61B6E">
        <w:t>such as targeted notifications, public workshops, and coordination with local governments</w:t>
      </w:r>
      <w:r w:rsidR="00AE44B3">
        <w:t xml:space="preserve"> — </w:t>
      </w:r>
      <w:r w:rsidRPr="00E523C4" w:rsidR="00A61B6E">
        <w:t xml:space="preserve">as evidence of its alignment with </w:t>
      </w:r>
      <w:r w:rsidR="00FA14E5">
        <w:t>Goal </w:t>
      </w:r>
      <w:r w:rsidRPr="00E523C4" w:rsidR="00A61B6E">
        <w:t xml:space="preserve">1 (access to safe and affordable services) and </w:t>
      </w:r>
      <w:r w:rsidR="00FA14E5">
        <w:t>Goal </w:t>
      </w:r>
      <w:r w:rsidRPr="00E523C4" w:rsidR="00A61B6E">
        <w:t>3 (community participation) of the ESJ Action Plan.</w:t>
      </w:r>
    </w:p>
    <w:p w:rsidRPr="00E523C4" w:rsidR="006975E9" w:rsidP="005C0D4D" w:rsidRDefault="00EB50F8" w14:paraId="023F2A63" w14:textId="1498F4E4">
      <w:pPr>
        <w:pStyle w:val="Standard"/>
      </w:pPr>
      <w:r>
        <w:t>Cal Water</w:t>
      </w:r>
      <w:r w:rsidR="000C0896">
        <w:t>’</w:t>
      </w:r>
      <w:r w:rsidRPr="00E523C4" w:rsidR="006975E9">
        <w:t>s reply brief further highlights that its district</w:t>
      </w:r>
      <w:r w:rsidR="00270999">
        <w:noBreakHyphen/>
      </w:r>
      <w:r w:rsidRPr="00E523C4" w:rsidR="006975E9">
        <w:t xml:space="preserve">level affordability programs and outreach initiatives are developed in partnership with local nonprofit organizations and municipalities, including translation of notices into Spanish, Tagalog, and Mandarin, to enhance participation among linguistically </w:t>
      </w:r>
      <w:r w:rsidRPr="00E523C4" w:rsidR="006975E9">
        <w:lastRenderedPageBreak/>
        <w:t>isolated households</w:t>
      </w:r>
      <w:r w:rsidRPr="00E523C4" w:rsidR="00AF3406">
        <w:t>.</w:t>
      </w:r>
      <w:r w:rsidRPr="00E523C4" w:rsidR="00AF3406">
        <w:rPr>
          <w:rStyle w:val="FootnoteReference"/>
        </w:rPr>
        <w:footnoteReference w:id="193"/>
      </w:r>
      <w:r w:rsidRPr="00E523C4" w:rsidR="006975E9">
        <w:t xml:space="preserve"> It asserts that these efforts directly operationalize </w:t>
      </w:r>
      <w:r w:rsidR="00FA14E5">
        <w:t>Goal </w:t>
      </w:r>
      <w:r w:rsidRPr="00E523C4" w:rsidR="006975E9">
        <w:t>3 of the ESJ Action Plan regarding community participation and access to information.</w:t>
      </w:r>
    </w:p>
    <w:p w:rsidRPr="00E523C4" w:rsidR="00A61B6E" w:rsidP="005C0D4D" w:rsidRDefault="0068235A" w14:paraId="444E9751" w14:textId="12B046B3">
      <w:pPr>
        <w:pStyle w:val="Standard"/>
      </w:pPr>
      <w:r>
        <w:t>Cal Advocates</w:t>
      </w:r>
      <w:r w:rsidR="007F5CB9">
        <w:t>’ brief notes that the Commission should find that approximately 50</w:t>
      </w:r>
      <w:r w:rsidR="00547116">
        <w:t xml:space="preserve"> percent</w:t>
      </w:r>
      <w:r w:rsidR="007F5CB9">
        <w:t xml:space="preserve"> of Cal Water’s capital projects </w:t>
      </w:r>
      <w:r w:rsidR="00B858A8">
        <w:t>are within ESJ communities</w:t>
      </w:r>
      <w:r w:rsidR="005958FF">
        <w:t xml:space="preserve"> as </w:t>
      </w:r>
      <w:r w:rsidR="00906A31">
        <w:t xml:space="preserve">designated by </w:t>
      </w:r>
      <w:proofErr w:type="spellStart"/>
      <w:r w:rsidR="00906A31">
        <w:t>CalEnviroScreen</w:t>
      </w:r>
      <w:proofErr w:type="spellEnd"/>
      <w:r w:rsidR="00906A31">
        <w:t xml:space="preserve"> 4.0.</w:t>
      </w:r>
      <w:r w:rsidR="00906A31">
        <w:rPr>
          <w:rStyle w:val="FootnoteReference"/>
        </w:rPr>
        <w:footnoteReference w:id="194"/>
      </w:r>
    </w:p>
    <w:p w:rsidR="00CE0158" w:rsidP="005C0D4D" w:rsidRDefault="006975E9" w14:paraId="55683787" w14:textId="2E6B1F5A">
      <w:pPr>
        <w:pStyle w:val="Standard"/>
      </w:pPr>
      <w:r w:rsidRPr="00E523C4">
        <w:t xml:space="preserve">While neither NAWC nor CWA directly litigated this issue in their briefs, both organizations support </w:t>
      </w:r>
      <w:r w:rsidR="00EB50F8">
        <w:t>Cal Water</w:t>
      </w:r>
      <w:r w:rsidR="000C0896">
        <w:t>’</w:t>
      </w:r>
      <w:r w:rsidRPr="00E523C4">
        <w:t>s general efforts to align ratemaking with equity and affordability principles. NAWC states that water utilities inherently advance ESJ outcomes by maintaining universal service obligations, and CWA emphasizes that Commission recognition of DAC</w:t>
      </w:r>
      <w:r w:rsidR="00270999">
        <w:noBreakHyphen/>
      </w:r>
      <w:r w:rsidRPr="00E523C4">
        <w:t xml:space="preserve">focused investment promotes consistency across </w:t>
      </w:r>
      <w:r w:rsidR="00EB50F8">
        <w:t>Class A</w:t>
      </w:r>
      <w:r w:rsidRPr="00E523C4">
        <w:t xml:space="preserve"> water utilities</w:t>
      </w:r>
      <w:r w:rsidRPr="00E523C4" w:rsidR="00AF3406">
        <w:t>.</w:t>
      </w:r>
      <w:r w:rsidRPr="00E523C4" w:rsidR="00AF3406">
        <w:rPr>
          <w:rStyle w:val="FootnoteReference"/>
        </w:rPr>
        <w:footnoteReference w:id="195"/>
      </w:r>
    </w:p>
    <w:p w:rsidR="000E4D84" w:rsidP="000E4D84" w:rsidRDefault="000E4D84" w14:paraId="1536D29F" w14:textId="728AE460">
      <w:pPr>
        <w:pStyle w:val="Heading3"/>
      </w:pPr>
      <w:bookmarkStart w:name="_Toc222305280" w:id="130"/>
      <w:bookmarkStart w:name="_Toc228294707" w:id="131"/>
      <w:r>
        <w:t>Partial Settlement</w:t>
      </w:r>
      <w:bookmarkEnd w:id="130"/>
      <w:bookmarkEnd w:id="131"/>
    </w:p>
    <w:p w:rsidRPr="00434027" w:rsidR="00434027" w:rsidP="005C0D4D" w:rsidRDefault="00434027" w14:paraId="5BC12AD7" w14:textId="605DEE1C">
      <w:pPr>
        <w:pStyle w:val="Standard"/>
      </w:pPr>
      <w:bookmarkStart w:name="_Hlk210991427" w:id="132"/>
      <w:r w:rsidRPr="00434027">
        <w:t>This scoped issue was not addressed in the Partial Settlement Agreement or the Undisputed Issues List. The entirety of this issue was litigated based on the record and the parties</w:t>
      </w:r>
      <w:r w:rsidR="000C0896">
        <w:t>’</w:t>
      </w:r>
      <w:r w:rsidRPr="00434027">
        <w:t xml:space="preserve"> briefs.</w:t>
      </w:r>
    </w:p>
    <w:p w:rsidR="000E4D84" w:rsidP="000E4D84" w:rsidRDefault="000E4D84" w14:paraId="34570D5D" w14:textId="77777777">
      <w:pPr>
        <w:pStyle w:val="Heading3"/>
      </w:pPr>
      <w:bookmarkStart w:name="_Toc222305281" w:id="133"/>
      <w:bookmarkStart w:name="_Toc228294708" w:id="134"/>
      <w:bookmarkEnd w:id="132"/>
      <w:r>
        <w:t>Analysis</w:t>
      </w:r>
      <w:bookmarkEnd w:id="133"/>
      <w:bookmarkEnd w:id="134"/>
    </w:p>
    <w:p w:rsidRPr="00434027" w:rsidR="00434027" w:rsidP="00434027" w:rsidRDefault="00434027" w14:paraId="70248996" w14:textId="359FF8C2">
      <w:pPr>
        <w:pStyle w:val="Standard"/>
      </w:pPr>
      <w:r w:rsidRPr="00434027">
        <w:t>The Commission</w:t>
      </w:r>
      <w:r w:rsidR="000C0896">
        <w:t>’</w:t>
      </w:r>
      <w:r w:rsidRPr="00434027">
        <w:t>s ESJ Action Plan, most recently updated in 2022, outlines 12 goals for incorporating equity and community participation into Commission proceedings. Relevant goals include:</w:t>
      </w:r>
    </w:p>
    <w:p w:rsidRPr="00434027" w:rsidR="00434027" w:rsidP="008D5E78" w:rsidRDefault="00FA14E5" w14:paraId="44BF20C0" w14:textId="6E2524E7">
      <w:pPr>
        <w:pStyle w:val="BlockQuoteBullet1"/>
        <w:numPr>
          <w:ilvl w:val="0"/>
          <w:numId w:val="13"/>
        </w:numPr>
        <w:tabs>
          <w:tab w:val="clear" w:pos="720"/>
        </w:tabs>
        <w:ind w:left="1080"/>
      </w:pPr>
      <w:r>
        <w:t>Goal </w:t>
      </w:r>
      <w:r w:rsidRPr="00434027" w:rsidR="00434027">
        <w:t>1</w:t>
      </w:r>
      <w:r w:rsidR="000C0896">
        <w:t xml:space="preserve">:  </w:t>
      </w:r>
      <w:r w:rsidRPr="00434027" w:rsidR="00434027">
        <w:t>Ensure access to safe, clean, affordable, and reliable utility services for ESJ communities;</w:t>
      </w:r>
    </w:p>
    <w:p w:rsidRPr="00434027" w:rsidR="00434027" w:rsidP="008D5E78" w:rsidRDefault="00FA14E5" w14:paraId="735836E5" w14:textId="01617D64">
      <w:pPr>
        <w:pStyle w:val="BlockQuoteBullet1"/>
        <w:numPr>
          <w:ilvl w:val="0"/>
          <w:numId w:val="13"/>
        </w:numPr>
        <w:tabs>
          <w:tab w:val="clear" w:pos="720"/>
        </w:tabs>
        <w:ind w:left="1080"/>
      </w:pPr>
      <w:r>
        <w:t>Goal </w:t>
      </w:r>
      <w:r w:rsidRPr="00434027" w:rsidR="00434027">
        <w:t>3</w:t>
      </w:r>
      <w:r w:rsidR="000C0896">
        <w:t xml:space="preserve">:  </w:t>
      </w:r>
      <w:r w:rsidRPr="00434027" w:rsidR="00434027">
        <w:t>Improve participation of ESJ communities in CPUC decision</w:t>
      </w:r>
      <w:r w:rsidR="00270999">
        <w:noBreakHyphen/>
      </w:r>
      <w:r w:rsidRPr="00434027" w:rsidR="00434027">
        <w:t>making; and</w:t>
      </w:r>
    </w:p>
    <w:p w:rsidRPr="00434027" w:rsidR="00434027" w:rsidP="008D5E78" w:rsidRDefault="00FA14E5" w14:paraId="1A3EE488" w14:textId="61EE89AC">
      <w:pPr>
        <w:pStyle w:val="BlockQuoteBullet1"/>
        <w:numPr>
          <w:ilvl w:val="0"/>
          <w:numId w:val="13"/>
        </w:numPr>
        <w:tabs>
          <w:tab w:val="clear" w:pos="720"/>
        </w:tabs>
        <w:ind w:left="1080"/>
      </w:pPr>
      <w:r>
        <w:lastRenderedPageBreak/>
        <w:t>Goal </w:t>
      </w:r>
      <w:r w:rsidRPr="00434027" w:rsidR="00434027">
        <w:t>5</w:t>
      </w:r>
      <w:r w:rsidR="000C0896">
        <w:t xml:space="preserve">:  </w:t>
      </w:r>
      <w:r w:rsidRPr="00434027" w:rsidR="00434027">
        <w:t>Enhance investment in infrastructure that serves low</w:t>
      </w:r>
      <w:r w:rsidR="00270999">
        <w:noBreakHyphen/>
      </w:r>
      <w:r w:rsidRPr="00434027" w:rsidR="00434027">
        <w:t>income and disadvantaged populations.</w:t>
      </w:r>
    </w:p>
    <w:p w:rsidRPr="00434027" w:rsidR="00434027" w:rsidP="00434027" w:rsidRDefault="00434027" w14:paraId="79D1FA43" w14:textId="5C4CA197">
      <w:pPr>
        <w:pStyle w:val="Standard"/>
      </w:pPr>
      <w:r>
        <w:t xml:space="preserve">Under </w:t>
      </w:r>
      <w:r w:rsidR="003A5B7D">
        <w:t>Pub. Util.</w:t>
      </w:r>
      <w:r w:rsidR="00AA247D">
        <w:t xml:space="preserve"> Code</w:t>
      </w:r>
      <w:r>
        <w:t xml:space="preserve"> </w:t>
      </w:r>
      <w:r w:rsidR="004E5107">
        <w:t>Section </w:t>
      </w:r>
      <w:r>
        <w:t xml:space="preserve">451, utilities must provide safe and reasonable service at just and reasonable rates, and under </w:t>
      </w:r>
      <w:r w:rsidR="003A5B7D">
        <w:t>Pub. Util.</w:t>
      </w:r>
      <w:r w:rsidR="00AA247D">
        <w:t xml:space="preserve"> Code </w:t>
      </w:r>
      <w:r w:rsidR="004E5107">
        <w:t>Section </w:t>
      </w:r>
      <w:r>
        <w:t>321.1, the Commission must consider safety, reliability, and public health in its regulation of utilities. These statutory obligations complement the ESJ Action Plan</w:t>
      </w:r>
      <w:r w:rsidR="000C0896">
        <w:t>’</w:t>
      </w:r>
      <w:r>
        <w:t>s goals.</w:t>
      </w:r>
    </w:p>
    <w:p w:rsidR="00434027" w:rsidP="00434027" w:rsidRDefault="00434027" w14:paraId="077AD9C6" w14:textId="22064A8F">
      <w:pPr>
        <w:pStyle w:val="Standard"/>
      </w:pPr>
      <w:r w:rsidRPr="00434027">
        <w:t>Commission precedent has integrated ESJ considerations into ratemaking. In D.20</w:t>
      </w:r>
      <w:r w:rsidR="00270999">
        <w:noBreakHyphen/>
      </w:r>
      <w:r w:rsidRPr="00434027">
        <w:t>08</w:t>
      </w:r>
      <w:r w:rsidR="00270999">
        <w:noBreakHyphen/>
      </w:r>
      <w:r w:rsidRPr="00434027">
        <w:t>046 (</w:t>
      </w:r>
      <w:r w:rsidR="004941FE">
        <w:t>San </w:t>
      </w:r>
      <w:r w:rsidRPr="00434027">
        <w:t xml:space="preserve">Gabriel Valley Water Company GRC), the Commission held that a utility must demonstrate </w:t>
      </w:r>
      <w:r w:rsidR="00A23D11">
        <w:t>“</w:t>
      </w:r>
      <w:r w:rsidRPr="00434027">
        <w:t>specific, measurable outcomes</w:t>
      </w:r>
      <w:r w:rsidR="00A23D11">
        <w:t>”</w:t>
      </w:r>
      <w:r w:rsidRPr="00434027">
        <w:t xml:space="preserve"> that directly benefit DACs and low</w:t>
      </w:r>
      <w:r w:rsidR="00270999">
        <w:noBreakHyphen/>
      </w:r>
      <w:r w:rsidRPr="00434027">
        <w:t>income ratepayers. Likewise, in D.18</w:t>
      </w:r>
      <w:r w:rsidR="00270999">
        <w:noBreakHyphen/>
      </w:r>
      <w:r w:rsidRPr="00434027">
        <w:t>08</w:t>
      </w:r>
      <w:r w:rsidR="00270999">
        <w:noBreakHyphen/>
      </w:r>
      <w:r w:rsidRPr="00434027">
        <w:t>013 (PG&amp;E Wildfire Safety OIR), the Commission required that utilities demonstrate how their plans advance ESJ principles through data</w:t>
      </w:r>
      <w:r w:rsidR="00270999">
        <w:noBreakHyphen/>
      </w:r>
      <w:r w:rsidRPr="00434027">
        <w:t>supported evidence rather than general policy assertions.</w:t>
      </w:r>
    </w:p>
    <w:p w:rsidRPr="00E523C4" w:rsidR="006975E9" w:rsidP="00434027" w:rsidRDefault="006975E9" w14:paraId="55F3950E" w14:textId="2219F8C9">
      <w:pPr>
        <w:pStyle w:val="Standard"/>
      </w:pPr>
      <w:r w:rsidRPr="006975E9">
        <w:t>More recently, the Commission</w:t>
      </w:r>
      <w:r w:rsidR="000C0896">
        <w:t>’</w:t>
      </w:r>
      <w:r w:rsidRPr="006975E9">
        <w:t>s 2022 update to the ESJ Action Plan reemphasized that progress reporting must include both qualitative and quantitative data to assess whether utilities</w:t>
      </w:r>
      <w:r w:rsidR="000C0896">
        <w:t>’</w:t>
      </w:r>
      <w:r w:rsidRPr="006975E9">
        <w:t xml:space="preserve"> investments reduce disparities in service quality and affordability across ESJ communities.</w:t>
      </w:r>
      <w:r w:rsidR="00454FCD">
        <w:t xml:space="preserve"> In addition, </w:t>
      </w:r>
      <w:r w:rsidRPr="00E523C4" w:rsidR="00454FCD">
        <w:t>the Commission adopted D.25</w:t>
      </w:r>
      <w:r w:rsidR="00270999">
        <w:noBreakHyphen/>
      </w:r>
      <w:r w:rsidRPr="00E523C4" w:rsidR="00454FCD">
        <w:t>12</w:t>
      </w:r>
      <w:r w:rsidR="00270999">
        <w:noBreakHyphen/>
      </w:r>
      <w:r w:rsidRPr="00E523C4" w:rsidR="00454FCD">
        <w:t xml:space="preserve">044 on </w:t>
      </w:r>
      <w:r w:rsidR="0068306C">
        <w:t>December </w:t>
      </w:r>
      <w:r w:rsidRPr="00E523C4" w:rsidR="00454FCD">
        <w:t>18, 2025, which establishes a comprehensive, statewide framework for assessing affordability for regulated utilities, including standardized metrics, reporting requirements, and implementation timelines applicable on a prospective basis. Affordability metrics and reporting obligations for water utilities are now governed by that decision.</w:t>
      </w:r>
    </w:p>
    <w:p w:rsidR="00CE0158" w:rsidP="00434027" w:rsidRDefault="00434027" w14:paraId="66E6EACA" w14:textId="3AE91935">
      <w:pPr>
        <w:pStyle w:val="Standard"/>
      </w:pPr>
      <w:r w:rsidRPr="00E523C4">
        <w:t xml:space="preserve">The record demonstrates that </w:t>
      </w:r>
      <w:r w:rsidR="00EB50F8">
        <w:t>Cal Water</w:t>
      </w:r>
      <w:r w:rsidR="000C0896">
        <w:t>’</w:t>
      </w:r>
      <w:r w:rsidRPr="00E523C4">
        <w:t>s Application includes affordability, infrastructure, and community</w:t>
      </w:r>
      <w:r w:rsidR="00270999">
        <w:noBreakHyphen/>
      </w:r>
      <w:r w:rsidRPr="00E523C4">
        <w:t xml:space="preserve">outreach elements that are broadly consistent with ESJ goals. </w:t>
      </w:r>
      <w:r w:rsidR="00EB50F8">
        <w:t>Cal Water</w:t>
      </w:r>
      <w:r w:rsidRPr="00E523C4">
        <w:t xml:space="preserve"> identifies infrastructure projects in DACs</w:t>
      </w:r>
      <w:r w:rsidR="00AE44B3">
        <w:t xml:space="preserve"> — </w:t>
      </w:r>
      <w:r w:rsidRPr="00E523C4">
        <w:lastRenderedPageBreak/>
        <w:t>including the Selma Water Quality Improvement Project, Willows main replacement program, and Dominguez District storage and resiliency upgrades</w:t>
      </w:r>
      <w:r w:rsidR="00AE44B3">
        <w:t xml:space="preserve"> — </w:t>
      </w:r>
      <w:r w:rsidRPr="00E523C4">
        <w:t>as examples of targeted investment in vulnerable areas</w:t>
      </w:r>
      <w:r w:rsidRPr="00E523C4" w:rsidR="00AF3406">
        <w:t>.</w:t>
      </w:r>
      <w:r w:rsidRPr="00E523C4" w:rsidR="00AF3406">
        <w:rPr>
          <w:rStyle w:val="FootnoteReference"/>
        </w:rPr>
        <w:footnoteReference w:id="196"/>
      </w:r>
      <w:r w:rsidRPr="00E523C4">
        <w:t xml:space="preserve"> In addition, </w:t>
      </w:r>
      <w:r w:rsidR="00EB50F8">
        <w:t>Cal Water</w:t>
      </w:r>
      <w:r w:rsidRPr="00E523C4">
        <w:t xml:space="preserve"> maintains that its low</w:t>
      </w:r>
      <w:r w:rsidR="00270999">
        <w:noBreakHyphen/>
      </w:r>
      <w:r w:rsidRPr="00E523C4">
        <w:t xml:space="preserve">income CAP and AMP programs provide direct affordability relief consistent with ESJ </w:t>
      </w:r>
      <w:r w:rsidR="00FA14E5">
        <w:t>Goal </w:t>
      </w:r>
      <w:r w:rsidRPr="00E523C4">
        <w:t>1, noting that more than 25,000 customers participate across its districts</w:t>
      </w:r>
      <w:r w:rsidRPr="00E523C4" w:rsidR="00AF3406">
        <w:t>.</w:t>
      </w:r>
      <w:r w:rsidRPr="00E523C4" w:rsidR="00AF3406">
        <w:rPr>
          <w:rStyle w:val="FootnoteReference"/>
        </w:rPr>
        <w:footnoteReference w:id="197"/>
      </w:r>
    </w:p>
    <w:p w:rsidRPr="00E523C4" w:rsidR="006975E9" w:rsidP="00434027" w:rsidRDefault="00EB50F8" w14:paraId="7AA0849D" w14:textId="4FE77243">
      <w:pPr>
        <w:pStyle w:val="Standard"/>
      </w:pPr>
      <w:r>
        <w:t>Cal Water</w:t>
      </w:r>
      <w:r w:rsidRPr="00E523C4" w:rsidR="006975E9">
        <w:t xml:space="preserve"> also references partnerships with local governments in DACs to identify critical service gaps, such as unserved mobile</w:t>
      </w:r>
      <w:r w:rsidR="00270999">
        <w:noBreakHyphen/>
      </w:r>
      <w:r w:rsidRPr="00E523C4" w:rsidR="006975E9">
        <w:t>home communities, and states that these collaborations inform its capital project prioritization process</w:t>
      </w:r>
      <w:r w:rsidRPr="00E523C4" w:rsidR="00AF3406">
        <w:t>.</w:t>
      </w:r>
      <w:r w:rsidRPr="00E523C4" w:rsidR="00AF3406">
        <w:rPr>
          <w:rStyle w:val="FootnoteReference"/>
        </w:rPr>
        <w:footnoteReference w:id="198"/>
      </w:r>
      <w:r w:rsidRPr="00E523C4" w:rsidR="006975E9">
        <w:t xml:space="preserve"> The company indicates that such outreach is integral to ensuring that disadvantaged and linguistically isolated customers can meaningfully participate in Commission proceedings and water</w:t>
      </w:r>
      <w:r w:rsidR="00270999">
        <w:noBreakHyphen/>
      </w:r>
      <w:r w:rsidRPr="00E523C4" w:rsidR="006975E9">
        <w:t>quality consultations.</w:t>
      </w:r>
    </w:p>
    <w:p w:rsidRPr="00E523C4" w:rsidR="006975E9" w:rsidP="00434027" w:rsidRDefault="00EB50F8" w14:paraId="5392938C" w14:textId="2286230F">
      <w:pPr>
        <w:pStyle w:val="Standard"/>
      </w:pPr>
      <w:r>
        <w:t>Cal Advocates</w:t>
      </w:r>
      <w:r w:rsidRPr="00E523C4" w:rsidR="00434027">
        <w:t xml:space="preserve"> does not dispute the existence of these programs but asserts that </w:t>
      </w:r>
      <w:r>
        <w:t>Cal Water</w:t>
      </w:r>
      <w:r w:rsidR="000C0896">
        <w:t>’</w:t>
      </w:r>
      <w:r w:rsidRPr="00E523C4" w:rsidR="00434027">
        <w:t xml:space="preserve">s ESJ claims lack quantifiable metrics to evaluate progress. </w:t>
      </w:r>
      <w:r>
        <w:t>Cal Advocates</w:t>
      </w:r>
      <w:r w:rsidRPr="00E523C4" w:rsidR="006975E9">
        <w:t xml:space="preserve"> further argues that district</w:t>
      </w:r>
      <w:r w:rsidR="00270999">
        <w:noBreakHyphen/>
      </w:r>
      <w:r w:rsidRPr="00E523C4" w:rsidR="006975E9">
        <w:t>level disaggregation of CAP and AMP participation data would allow for better understanding of geographic disparities in affordability outcomes and would strengthen the evidence of ESJ consistency</w:t>
      </w:r>
      <w:r w:rsidRPr="00E523C4" w:rsidR="00AF3406">
        <w:t>.</w:t>
      </w:r>
      <w:r w:rsidRPr="00E523C4" w:rsidR="00AF3406">
        <w:rPr>
          <w:rStyle w:val="FootnoteReference"/>
        </w:rPr>
        <w:footnoteReference w:id="199"/>
      </w:r>
    </w:p>
    <w:p w:rsidR="00CE0158" w:rsidP="00F665DA" w:rsidRDefault="00454FCD" w14:paraId="4023AE71" w14:textId="0DE1FC2D">
      <w:pPr>
        <w:pStyle w:val="Standard"/>
      </w:pPr>
      <w:r w:rsidRPr="00E523C4">
        <w:t>To avoid duplicative or inconsistent affordability requirements, and consistent with D.25</w:t>
      </w:r>
      <w:r w:rsidR="00270999">
        <w:noBreakHyphen/>
      </w:r>
      <w:r w:rsidRPr="00E523C4">
        <w:t>12</w:t>
      </w:r>
      <w:r w:rsidR="00270999">
        <w:noBreakHyphen/>
      </w:r>
      <w:r w:rsidRPr="00E523C4">
        <w:t>044, the Commission declines to impose separate affordability metrics or ratios in this proceeding. Future affordability</w:t>
      </w:r>
      <w:r w:rsidR="00270999">
        <w:noBreakHyphen/>
      </w:r>
      <w:r w:rsidRPr="00E523C4">
        <w:t>related reporting shall be governed by the requirements adopted in D.25</w:t>
      </w:r>
      <w:r w:rsidR="00270999">
        <w:noBreakHyphen/>
      </w:r>
      <w:r w:rsidRPr="00E523C4">
        <w:t>12</w:t>
      </w:r>
      <w:r w:rsidR="00270999">
        <w:noBreakHyphen/>
      </w:r>
      <w:r w:rsidRPr="00E523C4">
        <w:t>044.</w:t>
      </w:r>
    </w:p>
    <w:p w:rsidR="00434027" w:rsidP="00434027" w:rsidRDefault="00434027" w14:paraId="18B0062A" w14:textId="4A451463">
      <w:pPr>
        <w:pStyle w:val="Standard"/>
      </w:pPr>
      <w:r w:rsidRPr="00434027">
        <w:lastRenderedPageBreak/>
        <w:t xml:space="preserve">The record supports a finding that </w:t>
      </w:r>
      <w:r w:rsidR="00EB50F8">
        <w:t>Cal Water</w:t>
      </w:r>
      <w:r w:rsidR="000C0896">
        <w:t>’</w:t>
      </w:r>
      <w:r w:rsidRPr="00434027">
        <w:t xml:space="preserve">s Application is generally consistent with the goals and objectives of the </w:t>
      </w:r>
      <w:r w:rsidR="003E73D4">
        <w:t>Commission</w:t>
      </w:r>
      <w:r w:rsidR="000C0896">
        <w:t>’</w:t>
      </w:r>
      <w:r w:rsidR="003E73D4">
        <w:t xml:space="preserve">s </w:t>
      </w:r>
      <w:r w:rsidRPr="00434027">
        <w:t xml:space="preserve">ESJ Action Plan. </w:t>
      </w:r>
      <w:r w:rsidR="00EB50F8">
        <w:t>Cal Water</w:t>
      </w:r>
      <w:r w:rsidRPr="00434027">
        <w:t xml:space="preserve"> demonstrates clear alignment through its affordability programs, arrearage</w:t>
      </w:r>
      <w:r w:rsidR="00270999">
        <w:noBreakHyphen/>
      </w:r>
      <w:r w:rsidRPr="00434027">
        <w:t xml:space="preserve">management efforts, and targeted infrastructure investments in disadvantaged communities. However, the Commission agrees with </w:t>
      </w:r>
      <w:r w:rsidR="00EB50F8">
        <w:t>Cal Advocates</w:t>
      </w:r>
      <w:r w:rsidRPr="00434027">
        <w:t xml:space="preserve"> that measurable and verifiable outcomes are required to demonstrate full compliance with the intent of the ESJ Action Plan and D.20</w:t>
      </w:r>
      <w:r w:rsidR="00270999">
        <w:noBreakHyphen/>
      </w:r>
      <w:r w:rsidRPr="00434027">
        <w:t>08</w:t>
      </w:r>
      <w:r w:rsidR="00270999">
        <w:noBreakHyphen/>
      </w:r>
      <w:r w:rsidRPr="00434027">
        <w:t>046.</w:t>
      </w:r>
    </w:p>
    <w:p w:rsidRPr="00E523C4" w:rsidR="006975E9" w:rsidP="00434027" w:rsidRDefault="00454FCD" w14:paraId="3DF2D2FE" w14:textId="3B2B9577">
      <w:pPr>
        <w:pStyle w:val="Standard"/>
      </w:pPr>
      <w:r w:rsidRPr="00E523C4">
        <w:t xml:space="preserve">Accordingly, the Commission directs </w:t>
      </w:r>
      <w:r w:rsidR="00EB50F8">
        <w:t>Cal Water</w:t>
      </w:r>
      <w:r w:rsidRPr="00E523C4">
        <w:t xml:space="preserve"> to include in its next GRC filing a dedicated ESJ Implementation Summary that</w:t>
      </w:r>
      <w:r w:rsidR="000C0896">
        <w:t xml:space="preserve">:  </w:t>
      </w:r>
      <w:r w:rsidR="006237E8">
        <w:t>(1) </w:t>
      </w:r>
      <w:r w:rsidRPr="00E523C4">
        <w:t>provides district</w:t>
      </w:r>
      <w:r w:rsidR="00270999">
        <w:noBreakHyphen/>
      </w:r>
      <w:r w:rsidRPr="00E523C4">
        <w:t xml:space="preserve">level DAC infrastructure investment data; </w:t>
      </w:r>
      <w:r w:rsidR="006237E8">
        <w:t>(2) </w:t>
      </w:r>
      <w:r w:rsidRPr="00E523C4">
        <w:t>reports participation levels in customer</w:t>
      </w:r>
      <w:r w:rsidR="00270999">
        <w:noBreakHyphen/>
      </w:r>
      <w:r w:rsidRPr="00E523C4">
        <w:t xml:space="preserve">assistance programs and outreach initiatives; and </w:t>
      </w:r>
      <w:r w:rsidR="006237E8">
        <w:t>(3) </w:t>
      </w:r>
      <w:r w:rsidRPr="00E523C4">
        <w:t>describes community engagement efforts undertaken to promote participation by disadvantaged and linguistically isolated customers. Any affordability metrics, ratios, or eligibility analyses included in that summary shall be consistent with, and derived from, the framework adopted in D.25</w:t>
      </w:r>
      <w:r w:rsidR="00270999">
        <w:noBreakHyphen/>
      </w:r>
      <w:r w:rsidRPr="00E523C4">
        <w:t>12</w:t>
      </w:r>
      <w:r w:rsidR="00270999">
        <w:noBreakHyphen/>
      </w:r>
      <w:r w:rsidRPr="00E523C4">
        <w:t>044.</w:t>
      </w:r>
    </w:p>
    <w:p w:rsidRPr="00E523C4" w:rsidR="00454FCD" w:rsidP="006975E9" w:rsidRDefault="006975E9" w14:paraId="287B4B71" w14:textId="51878747">
      <w:pPr>
        <w:pStyle w:val="Standard"/>
      </w:pPr>
      <w:r w:rsidRPr="00E523C4">
        <w:t>This approach ensures continued integration of ESJ principles into water</w:t>
      </w:r>
      <w:r w:rsidR="00270999">
        <w:noBreakHyphen/>
      </w:r>
      <w:r w:rsidRPr="00E523C4">
        <w:t xml:space="preserve">utility regulation while promoting </w:t>
      </w:r>
      <w:r w:rsidRPr="00E523C4" w:rsidR="00454FCD">
        <w:t>transparency and accountability, without imposing affordability requirements that duplicate or conflict with the Commission</w:t>
      </w:r>
      <w:r w:rsidR="000C0896">
        <w:t>’</w:t>
      </w:r>
      <w:r w:rsidRPr="00E523C4" w:rsidR="00454FCD">
        <w:t>s statewide affordability framework.</w:t>
      </w:r>
    </w:p>
    <w:p w:rsidRPr="00E523C4" w:rsidR="006975E9" w:rsidP="006975E9" w:rsidRDefault="006975E9" w14:paraId="3DDC8FDB" w14:textId="72D4F04F">
      <w:pPr>
        <w:pStyle w:val="Standard"/>
      </w:pPr>
      <w:r w:rsidRPr="00E523C4">
        <w:t xml:space="preserve">The Commission further encourages </w:t>
      </w:r>
      <w:r w:rsidR="00EB50F8">
        <w:t>Cal Water</w:t>
      </w:r>
      <w:r w:rsidRPr="00E523C4">
        <w:t xml:space="preserve"> to collaborate with </w:t>
      </w:r>
      <w:r w:rsidR="00EB50F8">
        <w:t>Cal Advocates</w:t>
      </w:r>
      <w:r w:rsidRPr="00E523C4">
        <w:t xml:space="preserve"> and Commission staff to standardize ESJ metrics for </w:t>
      </w:r>
      <w:r w:rsidR="00EB50F8">
        <w:t>Class A</w:t>
      </w:r>
      <w:r w:rsidRPr="00E523C4">
        <w:t xml:space="preserve"> water utilities, consistent with the ESJ Action Plan</w:t>
      </w:r>
      <w:r w:rsidRPr="00E523C4" w:rsidR="00454FCD">
        <w:t xml:space="preserve"> and D.25</w:t>
      </w:r>
      <w:r w:rsidR="00270999">
        <w:noBreakHyphen/>
      </w:r>
      <w:r w:rsidRPr="00E523C4" w:rsidR="00454FCD">
        <w:t>12</w:t>
      </w:r>
      <w:r w:rsidR="00270999">
        <w:noBreakHyphen/>
      </w:r>
      <w:r w:rsidRPr="00E523C4" w:rsidR="00454FCD">
        <w:t>044, thereby facilitating comparative assessment across future GRCs.</w:t>
      </w:r>
    </w:p>
    <w:p w:rsidR="00F81088" w:rsidP="00F81088" w:rsidRDefault="000E4D84" w14:paraId="45E87AEE" w14:textId="11BB5945">
      <w:pPr>
        <w:pStyle w:val="Heading2"/>
        <w:rPr>
          <w:bCs/>
        </w:rPr>
      </w:pPr>
      <w:bookmarkStart w:name="_Toc222305282" w:id="135"/>
      <w:bookmarkStart w:name="_Toc228294709" w:id="136"/>
      <w:r>
        <w:lastRenderedPageBreak/>
        <w:t xml:space="preserve">Scoped </w:t>
      </w:r>
      <w:r w:rsidR="009D287A">
        <w:t>Issue #</w:t>
      </w:r>
      <w:r>
        <w:t>12</w:t>
      </w:r>
      <w:r w:rsidR="008B2B66">
        <w:t xml:space="preserve"> and </w:t>
      </w:r>
      <w:r w:rsidR="005902ED">
        <w:t>Issues </w:t>
      </w:r>
      <w:r w:rsidR="008B2B66">
        <w:t>#20</w:t>
      </w:r>
      <w:r w:rsidR="00270999">
        <w:noBreakHyphen/>
      </w:r>
      <w:r w:rsidR="00A35F81">
        <w:t>#</w:t>
      </w:r>
      <w:r w:rsidR="008B2B66">
        <w:t>23</w:t>
      </w:r>
      <w:bookmarkEnd w:id="135"/>
      <w:bookmarkEnd w:id="136"/>
    </w:p>
    <w:p w:rsidRPr="00E97406" w:rsidR="00E97406" w:rsidP="005C0D4D" w:rsidRDefault="008B2B66" w14:paraId="435E9475" w14:textId="23D760DD">
      <w:pPr>
        <w:pStyle w:val="Standard"/>
      </w:pPr>
      <w:r>
        <w:t>S</w:t>
      </w:r>
      <w:r w:rsidRPr="00E97406" w:rsidR="00E97406">
        <w:t xml:space="preserve">coped </w:t>
      </w:r>
      <w:r w:rsidR="009D287A">
        <w:t>Issue #</w:t>
      </w:r>
      <w:r>
        <w:t>12</w:t>
      </w:r>
      <w:r w:rsidRPr="00E97406" w:rsidR="00E97406">
        <w:t xml:space="preserve"> addresses whether </w:t>
      </w:r>
      <w:r w:rsidR="00EB50F8">
        <w:t>Cal Water</w:t>
      </w:r>
      <w:r w:rsidR="000C0896">
        <w:t>’</w:t>
      </w:r>
      <w:r w:rsidRPr="00E97406" w:rsidR="00E97406">
        <w:t xml:space="preserve">s proposed </w:t>
      </w:r>
      <w:r w:rsidR="005925FC">
        <w:t xml:space="preserve">BAMAs </w:t>
      </w:r>
      <w:r w:rsidRPr="00E97406" w:rsidR="00E97406">
        <w:t>are reasonable and in the public interest.</w:t>
      </w:r>
      <w:r w:rsidR="00AF3406">
        <w:t xml:space="preserve"> </w:t>
      </w:r>
      <w:r w:rsidRPr="00E97406" w:rsidR="00E97406">
        <w:t>This issue also encompasses specific sub</w:t>
      </w:r>
      <w:r w:rsidR="00270999">
        <w:noBreakHyphen/>
      </w:r>
      <w:r w:rsidRPr="00E97406" w:rsidR="00E97406">
        <w:t>issues and Special Requests analyzed in greater detail below</w:t>
      </w:r>
      <w:r w:rsidR="000C0896">
        <w:t xml:space="preserve">:  </w:t>
      </w:r>
      <w:r w:rsidRPr="00E97406" w:rsidR="00E97406">
        <w:t xml:space="preserve">Scoped </w:t>
      </w:r>
      <w:r w:rsidR="009D287A">
        <w:t>Issue #</w:t>
      </w:r>
      <w:r w:rsidRPr="00E97406" w:rsidR="00E97406">
        <w:t>20 (Catastrophic Event Memorandum Account</w:t>
      </w:r>
      <w:r w:rsidR="00117113">
        <w:t xml:space="preserve"> (CEMA)</w:t>
      </w:r>
      <w:r w:rsidRPr="00E97406" w:rsidR="00E97406">
        <w:t xml:space="preserve">), Scoped </w:t>
      </w:r>
      <w:r w:rsidR="009D287A">
        <w:t>Issue #</w:t>
      </w:r>
      <w:r w:rsidRPr="00E97406" w:rsidR="00E97406">
        <w:t>21 (Conservation Expense Balancing Account</w:t>
      </w:r>
      <w:r w:rsidR="00117113">
        <w:t xml:space="preserve"> (CEBA)</w:t>
      </w:r>
      <w:r w:rsidRPr="00E97406" w:rsidR="00E97406">
        <w:t xml:space="preserve">), Scoped </w:t>
      </w:r>
      <w:r w:rsidR="009D287A">
        <w:t>Issue #</w:t>
      </w:r>
      <w:r w:rsidRPr="00E97406" w:rsidR="00E97406">
        <w:t>22 (Liability Insurance Balancing Account</w:t>
      </w:r>
      <w:r w:rsidR="00117113">
        <w:t xml:space="preserve"> (LIBA)</w:t>
      </w:r>
      <w:r w:rsidRPr="00E97406" w:rsidR="00E97406">
        <w:t xml:space="preserve">), and Scoped </w:t>
      </w:r>
      <w:r w:rsidR="009D287A">
        <w:t>Issue #</w:t>
      </w:r>
      <w:r w:rsidRPr="00E97406" w:rsidR="00E97406">
        <w:t>23 (Water Contamination Remediation Memorandum Account</w:t>
      </w:r>
      <w:r w:rsidR="002B30D4">
        <w:t xml:space="preserve"> </w:t>
      </w:r>
      <w:r w:rsidRPr="00E97406" w:rsidR="002B30D4">
        <w:t>(WCRMA)</w:t>
      </w:r>
      <w:r w:rsidRPr="00E97406" w:rsidR="00E97406">
        <w:t>).</w:t>
      </w:r>
    </w:p>
    <w:p w:rsidR="00CE0158" w:rsidP="005C0D4D" w:rsidRDefault="00EB50F8" w14:paraId="68076D08" w14:textId="2F217FC2">
      <w:pPr>
        <w:pStyle w:val="Standard"/>
      </w:pPr>
      <w:r>
        <w:t>Cal Water</w:t>
      </w:r>
      <w:r w:rsidRPr="00E97406" w:rsidR="00E97406">
        <w:t xml:space="preserve"> requests authorization to continue or establish several </w:t>
      </w:r>
      <w:r w:rsidR="0032094F">
        <w:t xml:space="preserve">BAMAs </w:t>
      </w:r>
      <w:r w:rsidRPr="00E97406" w:rsidR="00E97406">
        <w:t>to track volatile or uncontrollable costs that it asserts are beyond management control. These accounts include both existing mechanisms</w:t>
      </w:r>
      <w:r w:rsidR="00AE44B3">
        <w:t xml:space="preserve"> — </w:t>
      </w:r>
      <w:r w:rsidRPr="00E97406" w:rsidR="00E97406">
        <w:t>such as the Conservation Expense, Pension Cost, and Health Cost Balancing Accounts</w:t>
      </w:r>
      <w:r w:rsidR="00AE44B3">
        <w:t xml:space="preserve"> — </w:t>
      </w:r>
      <w:r w:rsidRPr="00E97406" w:rsidR="00E97406">
        <w:t>and new or modified accounts, such as LIBA</w:t>
      </w:r>
      <w:r w:rsidR="00117113">
        <w:t xml:space="preserve"> </w:t>
      </w:r>
      <w:r w:rsidRPr="00E97406" w:rsidR="00E97406">
        <w:t xml:space="preserve">and </w:t>
      </w:r>
      <w:bookmarkStart w:name="_Hlk212714268" w:id="137"/>
      <w:r w:rsidRPr="00E97406" w:rsidR="00E97406">
        <w:t>WCRMA</w:t>
      </w:r>
      <w:bookmarkEnd w:id="137"/>
      <w:r w:rsidRPr="00E97406" w:rsidR="00E97406">
        <w:t xml:space="preserve">. </w:t>
      </w:r>
      <w:r>
        <w:t>Cal Water</w:t>
      </w:r>
      <w:r w:rsidRPr="00E97406" w:rsidR="00E97406">
        <w:t xml:space="preserve"> argues that these accounts are necessary to maintain regulatory consistency, protect ratepayers and shareholders from unforeseen volatility, and comply with Commission policy regarding uncontrollable cost </w:t>
      </w:r>
      <w:r w:rsidRPr="00C606EB" w:rsidR="00E97406">
        <w:t>categories</w:t>
      </w:r>
      <w:r w:rsidR="00AF3406">
        <w:t>.</w:t>
      </w:r>
      <w:r w:rsidR="00AF3406">
        <w:rPr>
          <w:rStyle w:val="FootnoteReference"/>
        </w:rPr>
        <w:footnoteReference w:id="200"/>
      </w:r>
    </w:p>
    <w:p w:rsidRPr="00C606EB" w:rsidR="00C606EB" w:rsidP="005C0D4D" w:rsidRDefault="00EB50F8" w14:paraId="4B3BE2C6" w14:textId="2298624B">
      <w:pPr>
        <w:pStyle w:val="Standard"/>
      </w:pPr>
      <w:r>
        <w:t>Cal Water</w:t>
      </w:r>
      <w:r w:rsidRPr="00C606EB" w:rsidR="00C606EB">
        <w:t xml:space="preserve"> emphasizes that continuation of existing accounts such as the Pension Cost Balancing Account (PCBA) and Health Cost Balancing Account (HCBA) has proven effective in prior GRCs, preventing deferred rate</w:t>
      </w:r>
      <w:r w:rsidR="00270999">
        <w:noBreakHyphen/>
      </w:r>
      <w:r w:rsidRPr="00C606EB" w:rsidR="00C606EB">
        <w:t>case adjustments and ensuring symmetrical treatment of over</w:t>
      </w:r>
      <w:r w:rsidR="00270999">
        <w:noBreakHyphen/>
      </w:r>
      <w:r w:rsidRPr="00C606EB" w:rsidR="00C606EB">
        <w:t xml:space="preserve"> and under</w:t>
      </w:r>
      <w:r w:rsidR="00270999">
        <w:noBreakHyphen/>
      </w:r>
      <w:r w:rsidRPr="00C606EB" w:rsidR="00C606EB">
        <w:t>collections.</w:t>
      </w:r>
    </w:p>
    <w:p w:rsidRPr="00E97406" w:rsidR="00E97406" w:rsidP="005C0D4D" w:rsidRDefault="00EB50F8" w14:paraId="19F409A3" w14:textId="48CA2942">
      <w:pPr>
        <w:pStyle w:val="Standard"/>
      </w:pPr>
      <w:r>
        <w:t>Cal Advocates</w:t>
      </w:r>
      <w:r w:rsidRPr="00E97406" w:rsidR="00E97406">
        <w:t xml:space="preserve"> opposes several of the proposed accounts, arguing that </w:t>
      </w:r>
      <w:r>
        <w:t>Cal Water</w:t>
      </w:r>
      <w:r w:rsidRPr="00E97406" w:rsidR="00E97406">
        <w:t xml:space="preserve"> has not demonstrated that </w:t>
      </w:r>
      <w:r w:rsidRPr="00E97406" w:rsidR="007676D2">
        <w:t>all</w:t>
      </w:r>
      <w:r w:rsidRPr="00E97406" w:rsidR="00E97406">
        <w:t xml:space="preserve"> the underlying cost categories are both material and beyond management control. </w:t>
      </w:r>
      <w:r>
        <w:t>Cal Advocates</w:t>
      </w:r>
      <w:r w:rsidRPr="00E97406" w:rsidR="00E97406">
        <w:t xml:space="preserve"> contends that the proliferation of such accounts</w:t>
      </w:r>
      <w:r w:rsidR="00AE44B3">
        <w:t xml:space="preserve"> — </w:t>
      </w:r>
      <w:r w:rsidRPr="00E97406" w:rsidR="00E97406">
        <w:t xml:space="preserve">sometimes referred to as </w:t>
      </w:r>
      <w:r w:rsidR="00A23D11">
        <w:t>“</w:t>
      </w:r>
      <w:r w:rsidRPr="00E97406" w:rsidR="00E97406">
        <w:t>memo creep</w:t>
      </w:r>
      <w:r w:rsidR="00A23D11">
        <w:t>”</w:t>
      </w:r>
      <w:r w:rsidR="00AE44B3">
        <w:t xml:space="preserve"> — </w:t>
      </w:r>
      <w:r w:rsidRPr="00E97406" w:rsidR="00E97406">
        <w:t xml:space="preserve">risks </w:t>
      </w:r>
      <w:r w:rsidRPr="00E97406" w:rsidR="00E97406">
        <w:lastRenderedPageBreak/>
        <w:t>duplicating existing ratemaking mechanisms, weakening cost</w:t>
      </w:r>
      <w:r w:rsidR="00270999">
        <w:noBreakHyphen/>
      </w:r>
      <w:r w:rsidRPr="00E97406" w:rsidR="00E97406">
        <w:t xml:space="preserve">control incentives, </w:t>
      </w:r>
      <w:r w:rsidRPr="00C606EB" w:rsidR="00E97406">
        <w:t>and complicating future regulatory review</w:t>
      </w:r>
      <w:r w:rsidR="00AF3406">
        <w:t>.</w:t>
      </w:r>
      <w:r w:rsidR="00AF3406">
        <w:rPr>
          <w:rStyle w:val="FootnoteReference"/>
        </w:rPr>
        <w:footnoteReference w:id="201"/>
      </w:r>
      <w:r w:rsidRPr="00C606EB" w:rsidR="00E97406">
        <w:t xml:space="preserve"> </w:t>
      </w:r>
      <w:r>
        <w:t>Cal Advocates</w:t>
      </w:r>
      <w:r w:rsidRPr="00C606EB" w:rsidR="00E97406">
        <w:t xml:space="preserve"> argues that </w:t>
      </w:r>
      <w:r w:rsidRPr="00E97406" w:rsidR="00E97406">
        <w:t>where expenses can be forecasted with reasonable accuracy or are already reflected in the adopted revenue requirement, new balancing or memorandum accounts are unnecessary.</w:t>
      </w:r>
    </w:p>
    <w:p w:rsidR="00E97406" w:rsidP="005C0D4D" w:rsidRDefault="00E97406" w14:paraId="42227BF2" w14:textId="7A079A82">
      <w:pPr>
        <w:pStyle w:val="Standard"/>
      </w:pPr>
      <w:r w:rsidRPr="00E97406">
        <w:t xml:space="preserve">NAWC and CWA generally support </w:t>
      </w:r>
      <w:r w:rsidR="00EB50F8">
        <w:t>Cal Water</w:t>
      </w:r>
      <w:r w:rsidR="000C0896">
        <w:t>’</w:t>
      </w:r>
      <w:r w:rsidRPr="00E97406">
        <w:t>s positions, citing Commission precedent in D.19</w:t>
      </w:r>
      <w:r w:rsidR="00270999">
        <w:noBreakHyphen/>
      </w:r>
      <w:r w:rsidRPr="00E97406">
        <w:t>12</w:t>
      </w:r>
      <w:r w:rsidR="00270999">
        <w:noBreakHyphen/>
      </w:r>
      <w:r w:rsidRPr="00E97406">
        <w:t>057 (California</w:t>
      </w:r>
      <w:r w:rsidR="00270999">
        <w:noBreakHyphen/>
      </w:r>
      <w:r w:rsidRPr="00E97406">
        <w:t>American Water GRC) and D.20</w:t>
      </w:r>
      <w:r w:rsidR="00270999">
        <w:noBreakHyphen/>
      </w:r>
      <w:r w:rsidRPr="00E97406">
        <w:t>08</w:t>
      </w:r>
      <w:r w:rsidR="00270999">
        <w:noBreakHyphen/>
      </w:r>
      <w:r w:rsidRPr="00E97406">
        <w:t>046 (</w:t>
      </w:r>
      <w:r w:rsidR="004941FE">
        <w:t>San </w:t>
      </w:r>
      <w:r w:rsidRPr="00E97406">
        <w:t>Gabriel Valley Water Company GRC), which authorize balancing accounts for volatile, externally driven costs. Both organizations emphasize that well</w:t>
      </w:r>
      <w:r w:rsidR="00FD6045">
        <w:noBreakHyphen/>
      </w:r>
      <w:r w:rsidRPr="00E97406">
        <w:t xml:space="preserve">structured </w:t>
      </w:r>
      <w:r w:rsidR="0032094F">
        <w:t>BAMA</w:t>
      </w:r>
      <w:r w:rsidRPr="00E97406">
        <w:t>s protect ratepayers as much as utilities by avoiding large, deferred cost adjustments at the next rate case.</w:t>
      </w:r>
    </w:p>
    <w:p w:rsidRPr="00F81088" w:rsidR="00F81088" w:rsidP="005C0D4D" w:rsidRDefault="00DC409F" w14:paraId="78C02227" w14:textId="39EAA22B">
      <w:pPr>
        <w:pStyle w:val="Standard"/>
      </w:pPr>
      <w:r w:rsidRPr="00DC409F">
        <w:t>The Commission</w:t>
      </w:r>
      <w:r w:rsidR="000C0896">
        <w:t>’</w:t>
      </w:r>
      <w:r w:rsidRPr="00DC409F">
        <w:t xml:space="preserve">s determinations in this section establish the overarching framework for evaluating </w:t>
      </w:r>
      <w:r w:rsidR="00EB50F8">
        <w:t>Cal Water</w:t>
      </w:r>
      <w:r w:rsidR="000C0896">
        <w:t>’</w:t>
      </w:r>
      <w:r w:rsidRPr="00DC409F">
        <w:t xml:space="preserve">s </w:t>
      </w:r>
      <w:r w:rsidR="0032094F">
        <w:t>BAMA</w:t>
      </w:r>
      <w:r w:rsidRPr="00DC409F">
        <w:t>s. The detailed adjudication of each individual account</w:t>
      </w:r>
      <w:r w:rsidR="00AE44B3">
        <w:t xml:space="preserve"> — </w:t>
      </w:r>
      <w:r w:rsidRPr="00DC409F">
        <w:t>covering authorization, scope, and conditions of operation</w:t>
      </w:r>
      <w:r w:rsidR="00AE44B3">
        <w:t xml:space="preserve"> — </w:t>
      </w:r>
      <w:r w:rsidRPr="00DC409F">
        <w:t xml:space="preserve">is </w:t>
      </w:r>
      <w:r w:rsidRPr="004F3355">
        <w:t>provided in Sections</w:t>
      </w:r>
      <w:r w:rsidR="00EF3DDB">
        <w:t> </w:t>
      </w:r>
      <w:r w:rsidRPr="004F3355">
        <w:t>4.20</w:t>
      </w:r>
      <w:r w:rsidR="00270999">
        <w:noBreakHyphen/>
      </w:r>
      <w:r w:rsidRPr="004F3355">
        <w:t>4.23 of this decision. Together, these sections implement</w:t>
      </w:r>
      <w:r w:rsidRPr="00DC409F">
        <w:t xml:space="preserve"> the Commission</w:t>
      </w:r>
      <w:r w:rsidR="000C0896">
        <w:t>’</w:t>
      </w:r>
      <w:r w:rsidRPr="00DC409F">
        <w:t xml:space="preserve">s policy that </w:t>
      </w:r>
      <w:r w:rsidR="0032094F">
        <w:t>BAMA</w:t>
      </w:r>
      <w:r w:rsidRPr="00DC409F">
        <w:t>s must be narrowly tailored, supported by record evidence of volatility or external causation, and operated symmetrically to protect both ratepayers and shareholders.</w:t>
      </w:r>
    </w:p>
    <w:p w:rsidR="000E4D84" w:rsidP="000E4D84" w:rsidRDefault="000E4D84" w14:paraId="7112F1E3" w14:textId="360DAFAB">
      <w:pPr>
        <w:pStyle w:val="Heading3"/>
      </w:pPr>
      <w:bookmarkStart w:name="_Toc222305283" w:id="138"/>
      <w:bookmarkStart w:name="_Toc228294710" w:id="139"/>
      <w:r>
        <w:t>Partial Settlement</w:t>
      </w:r>
      <w:bookmarkEnd w:id="138"/>
      <w:bookmarkEnd w:id="139"/>
    </w:p>
    <w:p w:rsidRPr="00E97406" w:rsidR="00E97406" w:rsidP="005C0D4D" w:rsidRDefault="00E97406" w14:paraId="1C6BC26D" w14:textId="06818F2E">
      <w:pPr>
        <w:pStyle w:val="Standard"/>
      </w:pPr>
      <w:bookmarkStart w:name="_Hlk211239313" w:id="140"/>
      <w:r w:rsidRPr="00E97406">
        <w:t xml:space="preserve">Portions of </w:t>
      </w:r>
      <w:r w:rsidRPr="00E97406" w:rsidR="00D91D90">
        <w:t>th</w:t>
      </w:r>
      <w:r w:rsidR="00D91D90">
        <w:t>ese</w:t>
      </w:r>
      <w:r w:rsidRPr="00E97406" w:rsidR="00D91D90">
        <w:t xml:space="preserve"> </w:t>
      </w:r>
      <w:r w:rsidR="007676D2">
        <w:t>issues</w:t>
      </w:r>
      <w:r w:rsidRPr="00E97406" w:rsidR="007676D2">
        <w:t xml:space="preserve"> </w:t>
      </w:r>
      <w:r w:rsidRPr="00E97406">
        <w:t>were resolved through the Partial Settlement Agreement and the Undisputed Issues List.</w:t>
      </w:r>
      <w:r w:rsidR="00AF3406">
        <w:t xml:space="preserve"> </w:t>
      </w:r>
      <w:r w:rsidR="001E255A">
        <w:t>What follows is an analysis of the unsettled portions of this scoped issue</w:t>
      </w:r>
      <w:r w:rsidRPr="00E97406">
        <w:t>.</w:t>
      </w:r>
    </w:p>
    <w:p w:rsidR="000E4D84" w:rsidP="000E4D84" w:rsidRDefault="00D91D90" w14:paraId="08D89C49" w14:textId="7BE78E7D">
      <w:pPr>
        <w:pStyle w:val="Heading3"/>
      </w:pPr>
      <w:bookmarkStart w:name="_Toc222305284" w:id="141"/>
      <w:bookmarkStart w:name="_Toc228294711" w:id="142"/>
      <w:bookmarkEnd w:id="140"/>
      <w:r>
        <w:lastRenderedPageBreak/>
        <w:t xml:space="preserve">Scoped </w:t>
      </w:r>
      <w:r w:rsidR="009D287A">
        <w:t>Issue #</w:t>
      </w:r>
      <w:r w:rsidR="008B2B66">
        <w:t>12</w:t>
      </w:r>
      <w:r w:rsidR="000C0896">
        <w:t xml:space="preserve">:  </w:t>
      </w:r>
      <w:r w:rsidRPr="00F81088" w:rsidR="008B2B66">
        <w:rPr>
          <w:bCs/>
        </w:rPr>
        <w:t>Whether</w:t>
      </w:r>
      <w:r w:rsidR="004941FE">
        <w:rPr>
          <w:bCs/>
        </w:rPr>
        <w:br/>
      </w:r>
      <w:r w:rsidRPr="00FF4384" w:rsidR="00FF4384">
        <w:rPr>
          <w:bCs/>
        </w:rPr>
        <w:t>California Water Service</w:t>
      </w:r>
      <w:r w:rsidR="007014A6">
        <w:rPr>
          <w:bCs/>
        </w:rPr>
        <w:t xml:space="preserve"> </w:t>
      </w:r>
      <w:r w:rsidRPr="00FF4384" w:rsidR="00FF4384">
        <w:rPr>
          <w:bCs/>
        </w:rPr>
        <w:t>Company</w:t>
      </w:r>
      <w:r w:rsidR="000C0896">
        <w:rPr>
          <w:bCs/>
        </w:rPr>
        <w:t>’</w:t>
      </w:r>
      <w:r w:rsidRPr="00F81088" w:rsidR="008B2B66">
        <w:rPr>
          <w:bCs/>
        </w:rPr>
        <w:t>s</w:t>
      </w:r>
      <w:r w:rsidR="007014A6">
        <w:rPr>
          <w:bCs/>
        </w:rPr>
        <w:br/>
      </w:r>
      <w:r w:rsidRPr="00F81088" w:rsidR="00F97759">
        <w:rPr>
          <w:bCs/>
        </w:rPr>
        <w:t>Proposed Balancing</w:t>
      </w:r>
      <w:r w:rsidR="007014A6">
        <w:rPr>
          <w:bCs/>
        </w:rPr>
        <w:t xml:space="preserve"> </w:t>
      </w:r>
      <w:r w:rsidRPr="00F81088" w:rsidR="008B2B66">
        <w:rPr>
          <w:bCs/>
        </w:rPr>
        <w:t xml:space="preserve">and </w:t>
      </w:r>
      <w:r w:rsidRPr="00F81088" w:rsidR="00F97759">
        <w:rPr>
          <w:bCs/>
        </w:rPr>
        <w:t>Memorandum Accounts Are</w:t>
      </w:r>
      <w:r w:rsidR="007014A6">
        <w:rPr>
          <w:bCs/>
        </w:rPr>
        <w:t xml:space="preserve"> </w:t>
      </w:r>
      <w:r w:rsidRPr="00F81088" w:rsidR="00F97759">
        <w:rPr>
          <w:bCs/>
        </w:rPr>
        <w:t xml:space="preserve">Reasonable </w:t>
      </w:r>
      <w:r w:rsidRPr="00F81088" w:rsidR="008B2B66">
        <w:rPr>
          <w:bCs/>
        </w:rPr>
        <w:t>and</w:t>
      </w:r>
      <w:r w:rsidR="007014A6">
        <w:rPr>
          <w:bCs/>
        </w:rPr>
        <w:br/>
      </w:r>
      <w:r w:rsidRPr="00F81088" w:rsidR="00F97759">
        <w:rPr>
          <w:bCs/>
        </w:rPr>
        <w:t xml:space="preserve">In </w:t>
      </w:r>
      <w:r w:rsidRPr="00F81088" w:rsidR="008B2B66">
        <w:rPr>
          <w:bCs/>
        </w:rPr>
        <w:t xml:space="preserve">the </w:t>
      </w:r>
      <w:r w:rsidRPr="00F81088" w:rsidR="00F97759">
        <w:rPr>
          <w:bCs/>
        </w:rPr>
        <w:t>Public Interest</w:t>
      </w:r>
      <w:bookmarkEnd w:id="141"/>
      <w:bookmarkEnd w:id="142"/>
    </w:p>
    <w:p w:rsidRPr="00E97406" w:rsidR="00E97406" w:rsidP="00E97406" w:rsidRDefault="00E97406" w14:paraId="1CA9086F" w14:textId="50C5C679">
      <w:pPr>
        <w:pStyle w:val="Standard"/>
      </w:pPr>
      <w:r w:rsidRPr="00E97406">
        <w:t>Commission precedent in D.02</w:t>
      </w:r>
      <w:r w:rsidR="00270999">
        <w:noBreakHyphen/>
      </w:r>
      <w:r w:rsidRPr="00E97406">
        <w:t>08</w:t>
      </w:r>
      <w:r w:rsidR="00270999">
        <w:noBreakHyphen/>
      </w:r>
      <w:r w:rsidRPr="00E97406">
        <w:t>054 and D.09</w:t>
      </w:r>
      <w:r w:rsidR="00270999">
        <w:noBreakHyphen/>
      </w:r>
      <w:r w:rsidRPr="00E97406">
        <w:t>03</w:t>
      </w:r>
      <w:r w:rsidR="00270999">
        <w:noBreakHyphen/>
      </w:r>
      <w:r w:rsidRPr="00E97406">
        <w:t>025 establishes that balancing or memorandum accounts are appropriate when:</w:t>
      </w:r>
    </w:p>
    <w:p w:rsidRPr="00E97406" w:rsidR="00E97406" w:rsidP="008D5E78" w:rsidRDefault="00E97406" w14:paraId="1BB5570E" w14:textId="154FEC7D">
      <w:pPr>
        <w:pStyle w:val="BlockQuoteBullet1"/>
        <w:numPr>
          <w:ilvl w:val="0"/>
          <w:numId w:val="14"/>
        </w:numPr>
        <w:tabs>
          <w:tab w:val="clear" w:pos="1080"/>
        </w:tabs>
      </w:pPr>
      <w:r w:rsidRPr="00E97406">
        <w:t>Costs or revenues are uncertain and largely beyond the utility</w:t>
      </w:r>
      <w:r w:rsidR="000C0896">
        <w:t>’</w:t>
      </w:r>
      <w:r w:rsidRPr="00E97406">
        <w:t>s control;</w:t>
      </w:r>
    </w:p>
    <w:p w:rsidRPr="00E97406" w:rsidR="00E97406" w:rsidP="008D5E78" w:rsidRDefault="00E97406" w14:paraId="16D96791" w14:textId="77777777">
      <w:pPr>
        <w:pStyle w:val="BlockQuoteBullet1"/>
        <w:numPr>
          <w:ilvl w:val="0"/>
          <w:numId w:val="14"/>
        </w:numPr>
        <w:tabs>
          <w:tab w:val="clear" w:pos="1080"/>
        </w:tabs>
      </w:pPr>
      <w:r w:rsidRPr="00E97406">
        <w:t>The event or market condition is unforeseen or extraordinary; and</w:t>
      </w:r>
    </w:p>
    <w:p w:rsidRPr="00E97406" w:rsidR="00E97406" w:rsidP="008D5E78" w:rsidRDefault="00E97406" w14:paraId="2D66D0FC" w14:textId="2717F2FA">
      <w:pPr>
        <w:pStyle w:val="BlockQuoteBullet1"/>
        <w:numPr>
          <w:ilvl w:val="0"/>
          <w:numId w:val="14"/>
        </w:numPr>
        <w:tabs>
          <w:tab w:val="clear" w:pos="1080"/>
        </w:tabs>
      </w:pPr>
      <w:r w:rsidRPr="00E97406">
        <w:t xml:space="preserve">Ratepayer protection requires cost tracking prior to the next </w:t>
      </w:r>
      <w:r w:rsidR="002F4FE3">
        <w:t>GRC</w:t>
      </w:r>
      <w:r w:rsidRPr="00E97406">
        <w:t>.</w:t>
      </w:r>
    </w:p>
    <w:p w:rsidRPr="00E97406" w:rsidR="00E97406" w:rsidP="00E97406" w:rsidRDefault="00E97406" w14:paraId="5C6C2CEF" w14:textId="1B1AE64E">
      <w:pPr>
        <w:pStyle w:val="Standard"/>
      </w:pPr>
      <w:r w:rsidRPr="00E97406">
        <w:t>Subsequent decisions</w:t>
      </w:r>
      <w:r w:rsidR="00AE44B3">
        <w:t xml:space="preserve"> — </w:t>
      </w:r>
      <w:r w:rsidRPr="00E97406">
        <w:t>including D.19</w:t>
      </w:r>
      <w:r w:rsidR="00270999">
        <w:noBreakHyphen/>
      </w:r>
      <w:r w:rsidRPr="00E97406">
        <w:t>12</w:t>
      </w:r>
      <w:r w:rsidR="00270999">
        <w:noBreakHyphen/>
      </w:r>
      <w:r w:rsidRPr="00E97406">
        <w:t>057 (Cal</w:t>
      </w:r>
      <w:r w:rsidR="00270999">
        <w:noBreakHyphen/>
      </w:r>
      <w:r w:rsidRPr="00E97406">
        <w:t>Am GRC), D.20</w:t>
      </w:r>
      <w:r w:rsidR="00270999">
        <w:noBreakHyphen/>
      </w:r>
      <w:r w:rsidRPr="00E97406">
        <w:t>08</w:t>
      </w:r>
      <w:r w:rsidR="00270999">
        <w:noBreakHyphen/>
      </w:r>
      <w:r w:rsidRPr="00E97406">
        <w:t>046 (</w:t>
      </w:r>
      <w:r w:rsidR="004941FE">
        <w:t>San </w:t>
      </w:r>
      <w:r w:rsidRPr="00E97406">
        <w:t>Gabriel GRC)</w:t>
      </w:r>
      <w:r w:rsidR="00AE44B3">
        <w:t xml:space="preserve"> — </w:t>
      </w:r>
      <w:r w:rsidRPr="00E97406">
        <w:t>reaffirm that balancing accounts should be narrowly tailored, supported by clear evidence of volatility, and structured symmetrically to ensure both upward and downward rate adjustments.</w:t>
      </w:r>
    </w:p>
    <w:p w:rsidR="00E97406" w:rsidP="00E97406" w:rsidRDefault="00E97406" w14:paraId="3D04C16A" w14:textId="6F1B1BFB">
      <w:pPr>
        <w:pStyle w:val="Standard"/>
      </w:pPr>
      <w:r w:rsidRPr="00E97406">
        <w:t xml:space="preserve">The record demonstrates that certain </w:t>
      </w:r>
      <w:r w:rsidR="00EB50F8">
        <w:t>Cal Water</w:t>
      </w:r>
      <w:r w:rsidRPr="00E97406">
        <w:t xml:space="preserve"> accounts</w:t>
      </w:r>
      <w:r w:rsidR="00AE44B3">
        <w:t xml:space="preserve"> — </w:t>
      </w:r>
      <w:r w:rsidRPr="00E97406">
        <w:t xml:space="preserve">such as the CEMA, </w:t>
      </w:r>
      <w:bookmarkStart w:name="_Hlk212706386" w:id="143"/>
      <w:r w:rsidRPr="00E97406">
        <w:t>CEBA</w:t>
      </w:r>
      <w:bookmarkEnd w:id="143"/>
      <w:r w:rsidRPr="00E97406">
        <w:t>, PCBA, and HCBA</w:t>
      </w:r>
      <w:r w:rsidR="00AE44B3">
        <w:t xml:space="preserve"> — </w:t>
      </w:r>
      <w:r w:rsidRPr="00E97406">
        <w:t>have well</w:t>
      </w:r>
      <w:r w:rsidR="00270999">
        <w:noBreakHyphen/>
      </w:r>
      <w:r w:rsidRPr="00E97406">
        <w:t xml:space="preserve">established precedent and continue to provide a reasonable means of managing costs that are externally driven or </w:t>
      </w:r>
      <w:r w:rsidRPr="00C606EB">
        <w:t>policy</w:t>
      </w:r>
      <w:r w:rsidR="00270999">
        <w:noBreakHyphen/>
      </w:r>
      <w:r w:rsidRPr="00C606EB">
        <w:t xml:space="preserve">mandated. </w:t>
      </w:r>
      <w:r w:rsidR="00EB50F8">
        <w:t>Cal Water</w:t>
      </w:r>
      <w:r w:rsidRPr="00C606EB" w:rsidR="00C606EB">
        <w:t xml:space="preserve"> provides examples of how the CEBA and PCBA have operated over multiple GRC cycles to stabilize customer rates while allowing for symmetrical cost recovery</w:t>
      </w:r>
      <w:r w:rsidR="00AF3406">
        <w:t>.</w:t>
      </w:r>
      <w:r w:rsidR="00AF3406">
        <w:rPr>
          <w:rStyle w:val="FootnoteReference"/>
        </w:rPr>
        <w:footnoteReference w:id="202"/>
      </w:r>
      <w:r w:rsidRPr="00C606EB" w:rsidR="00C606EB">
        <w:t xml:space="preserve"> </w:t>
      </w:r>
      <w:r w:rsidRPr="00C606EB">
        <w:t xml:space="preserve">These mechanisms protect ratepayers by </w:t>
      </w:r>
      <w:r w:rsidRPr="00E97406">
        <w:t>enabling timely tracking of unforeseen or volatile expenses that would otherwise require deferred recovery through future rate cases.</w:t>
      </w:r>
    </w:p>
    <w:p w:rsidR="00CE0158" w:rsidP="00C606EB" w:rsidRDefault="00C606EB" w14:paraId="023F57B7" w14:textId="02F3749E">
      <w:pPr>
        <w:pStyle w:val="Standard"/>
      </w:pPr>
      <w:r w:rsidRPr="00C606EB">
        <w:t xml:space="preserve">However, the Commission remains cautious about expanding such mechanisms beyond clearly uncontrollable cost categories. As </w:t>
      </w:r>
      <w:r w:rsidR="00EB50F8">
        <w:t>Cal Advocates</w:t>
      </w:r>
      <w:r w:rsidRPr="00C606EB">
        <w:t xml:space="preserve"> </w:t>
      </w:r>
      <w:r w:rsidRPr="00C606EB">
        <w:lastRenderedPageBreak/>
        <w:t xml:space="preserve">correctly observes, duplicative or broadly defined accounts can obscure accountability, create risk of double recovery, and reduce management incentives for cost containment. </w:t>
      </w:r>
      <w:r w:rsidR="00EB50F8">
        <w:t>Cal Advocates</w:t>
      </w:r>
      <w:r w:rsidRPr="00C606EB">
        <w:t xml:space="preserve"> points specifically to the proposed </w:t>
      </w:r>
      <w:r w:rsidR="008850D0">
        <w:t>LIBA</w:t>
      </w:r>
      <w:r w:rsidRPr="00C606EB">
        <w:t xml:space="preserve">, arguing that insurance premiums are forecastable based on market trend data and therefore do not meet the </w:t>
      </w:r>
      <w:r w:rsidR="00A23D11">
        <w:t>“</w:t>
      </w:r>
      <w:r w:rsidRPr="00C606EB">
        <w:t>external volatility</w:t>
      </w:r>
      <w:r w:rsidR="00A23D11">
        <w:t>”</w:t>
      </w:r>
      <w:r w:rsidRPr="00C606EB">
        <w:t xml:space="preserve"> test</w:t>
      </w:r>
      <w:r w:rsidR="00AF3406">
        <w:t>.</w:t>
      </w:r>
      <w:r w:rsidR="00AF3406">
        <w:rPr>
          <w:rStyle w:val="FootnoteReference"/>
        </w:rPr>
        <w:footnoteReference w:id="203"/>
      </w:r>
      <w:r w:rsidRPr="00C606EB">
        <w:t xml:space="preserve"> </w:t>
      </w:r>
      <w:r w:rsidR="00EB50F8">
        <w:t>Cal Advocates</w:t>
      </w:r>
      <w:r w:rsidRPr="00C606EB">
        <w:t xml:space="preserve"> also notes that the WCRMA could duplicate existing CEMA and pollution</w:t>
      </w:r>
      <w:r w:rsidR="00270999">
        <w:noBreakHyphen/>
      </w:r>
      <w:r w:rsidRPr="00C606EB">
        <w:t>control mechanisms unless limited to specific non</w:t>
      </w:r>
      <w:r w:rsidR="00270999">
        <w:noBreakHyphen/>
      </w:r>
      <w:r w:rsidRPr="00C606EB">
        <w:t>rate</w:t>
      </w:r>
      <w:r w:rsidR="00270999">
        <w:noBreakHyphen/>
      </w:r>
      <w:r w:rsidRPr="00C606EB">
        <w:t>base remediation costs</w:t>
      </w:r>
      <w:r w:rsidR="00AF3406">
        <w:t>.</w:t>
      </w:r>
      <w:r w:rsidR="00AF3406">
        <w:rPr>
          <w:rStyle w:val="FootnoteReference"/>
        </w:rPr>
        <w:footnoteReference w:id="204"/>
      </w:r>
    </w:p>
    <w:p w:rsidRPr="00E97406" w:rsidR="00E97406" w:rsidP="005939F0" w:rsidRDefault="00E97406" w14:paraId="5D4D0A25" w14:textId="7E94BAB3">
      <w:pPr>
        <w:pStyle w:val="Standard"/>
      </w:pPr>
      <w:r>
        <w:t xml:space="preserve">Based on the record, the Commission finds that </w:t>
      </w:r>
      <w:r w:rsidR="00EB50F8">
        <w:t>Cal Water</w:t>
      </w:r>
      <w:r w:rsidR="000C0896">
        <w:t>’</w:t>
      </w:r>
      <w:r>
        <w:t xml:space="preserve">s proposed </w:t>
      </w:r>
      <w:r w:rsidR="0032094F">
        <w:t>BAMA</w:t>
      </w:r>
      <w:r>
        <w:t xml:space="preserve">s are reasonable in part. The record supports continuation of established accounts such as the CEMA, CEBA, PCBA, and HCBA. </w:t>
      </w:r>
      <w:r w:rsidR="00EB50F8">
        <w:t>Cal Advocates</w:t>
      </w:r>
      <w:r w:rsidR="000C0896">
        <w:t>’</w:t>
      </w:r>
      <w:r>
        <w:t xml:space="preserve"> concerns regarding the proliferation of new accounts are well</w:t>
      </w:r>
      <w:r w:rsidR="00270999">
        <w:noBreakHyphen/>
      </w:r>
      <w:r>
        <w:t>taken, and proposed accounts lacking sufficient evidentiary support</w:t>
      </w:r>
      <w:r w:rsidR="00AE44B3">
        <w:t xml:space="preserve"> — </w:t>
      </w:r>
      <w:r>
        <w:t>such as overbroad infrastructure or wildfire</w:t>
      </w:r>
      <w:r w:rsidR="00270999">
        <w:noBreakHyphen/>
      </w:r>
      <w:r>
        <w:t>related mechanisms</w:t>
      </w:r>
      <w:r w:rsidR="00AE44B3">
        <w:t xml:space="preserve"> — </w:t>
      </w:r>
      <w:r>
        <w:t>are denied or modified.</w:t>
      </w:r>
      <w:r w:rsidR="001A390C">
        <w:t xml:space="preserve"> </w:t>
      </w:r>
      <w:r>
        <w:t xml:space="preserve">Each remaining </w:t>
      </w:r>
      <w:r w:rsidR="0032094F">
        <w:t>BAMA</w:t>
      </w:r>
      <w:r>
        <w:t xml:space="preserve"> is addressed individually in Sections</w:t>
      </w:r>
      <w:r w:rsidR="00EF3DDB">
        <w:t> </w:t>
      </w:r>
      <w:r>
        <w:t>4.20</w:t>
      </w:r>
      <w:r w:rsidR="00270999">
        <w:noBreakHyphen/>
      </w:r>
      <w:r>
        <w:t>4.23 of this decision.</w:t>
      </w:r>
    </w:p>
    <w:p w:rsidR="00CE0158" w:rsidP="00CA4EAD" w:rsidRDefault="00E97406" w14:paraId="5F9F804B" w14:textId="77777777">
      <w:pPr>
        <w:pStyle w:val="Standard"/>
      </w:pPr>
      <w:r w:rsidRPr="00E97406">
        <w:t>This approach ensures regulatory consistency, protects ratepayers from speculative or duplicative recovery, and preserves utility flexibility to manage uncontrollable costs.</w:t>
      </w:r>
    </w:p>
    <w:p w:rsidR="008B2B66" w:rsidP="008B2B66" w:rsidRDefault="008B2B66" w14:paraId="66DE517C" w14:textId="440A05C2">
      <w:pPr>
        <w:pStyle w:val="Heading3"/>
      </w:pPr>
      <w:bookmarkStart w:name="_Toc222305285" w:id="144"/>
      <w:bookmarkStart w:name="_Toc228294712" w:id="145"/>
      <w:r>
        <w:t xml:space="preserve">Scoped </w:t>
      </w:r>
      <w:r w:rsidR="009D287A">
        <w:t>Issue #</w:t>
      </w:r>
      <w:r>
        <w:t>20</w:t>
      </w:r>
      <w:r w:rsidR="000C0896">
        <w:t xml:space="preserve">:  </w:t>
      </w:r>
      <w:r w:rsidRPr="003C3377">
        <w:t xml:space="preserve">Special </w:t>
      </w:r>
      <w:r w:rsidR="00D92D0A">
        <w:t>Request #</w:t>
      </w:r>
      <w:r w:rsidRPr="003C3377">
        <w:t>8:</w:t>
      </w:r>
      <w:r w:rsidR="00AE44B3">
        <w:br/>
      </w:r>
      <w:r w:rsidRPr="003C3377">
        <w:t>Amortizing Balancing Accounts</w:t>
      </w:r>
      <w:bookmarkEnd w:id="144"/>
      <w:bookmarkEnd w:id="145"/>
    </w:p>
    <w:p w:rsidR="008B2B66" w:rsidP="008B2B66" w:rsidRDefault="008B2B66" w14:paraId="4E0228E3" w14:textId="07518B7E">
      <w:pPr>
        <w:pStyle w:val="Standard"/>
      </w:pPr>
      <w:r w:rsidRPr="00B81189">
        <w:t xml:space="preserve">This issue addresses whether </w:t>
      </w:r>
      <w:r w:rsidR="00EB50F8">
        <w:t>Cal Water</w:t>
      </w:r>
      <w:r w:rsidR="000C0896">
        <w:t>’</w:t>
      </w:r>
      <w:r w:rsidRPr="00B81189">
        <w:t xml:space="preserve">s Special </w:t>
      </w:r>
      <w:r w:rsidR="00D92D0A">
        <w:t>Request #</w:t>
      </w:r>
      <w:r w:rsidRPr="00B81189">
        <w:t>8</w:t>
      </w:r>
      <w:r w:rsidR="00AE44B3">
        <w:t> </w:t>
      </w:r>
      <w:r w:rsidRPr="00B81189">
        <w:t xml:space="preserve">— to amortize the balances in its </w:t>
      </w:r>
      <w:r>
        <w:t>BAMA</w:t>
      </w:r>
      <w:r w:rsidRPr="00B81189">
        <w:t>s, including the CEMA</w:t>
      </w:r>
      <w:r w:rsidR="00AE44B3">
        <w:t> —</w:t>
      </w:r>
      <w:r w:rsidR="00583E5E">
        <w:t xml:space="preserve"> </w:t>
      </w:r>
      <w:r w:rsidRPr="00B81189">
        <w:t>is reasonable.</w:t>
      </w:r>
    </w:p>
    <w:p w:rsidR="00CE0158" w:rsidP="008B2B66" w:rsidRDefault="00EB50F8" w14:paraId="5FD5AC0C" w14:textId="55F4D141">
      <w:pPr>
        <w:pStyle w:val="Standard"/>
      </w:pPr>
      <w:r>
        <w:t>Cal Water</w:t>
      </w:r>
      <w:r w:rsidRPr="00B81189" w:rsidR="008B2B66">
        <w:t xml:space="preserve"> requests authority to amortize within 90 days of a final decision the balances in its CEMA, </w:t>
      </w:r>
      <w:r w:rsidR="008B2B66">
        <w:t>CEBA</w:t>
      </w:r>
      <w:r w:rsidRPr="00B81189" w:rsidR="008B2B66">
        <w:t xml:space="preserve">, </w:t>
      </w:r>
      <w:r w:rsidR="00DB0E20">
        <w:t>PCBA</w:t>
      </w:r>
      <w:r w:rsidRPr="00B81189" w:rsidR="008B2B66">
        <w:t xml:space="preserve">, Healthcare Cost Balancing Account, </w:t>
      </w:r>
      <w:r w:rsidRPr="00B81189" w:rsidR="008B2B66">
        <w:lastRenderedPageBreak/>
        <w:t>General District Balancing Account, Asbestos Litigation Memorandum Account (ALMA), Public Safety Power Shut</w:t>
      </w:r>
      <w:r w:rsidR="00270999">
        <w:noBreakHyphen/>
      </w:r>
      <w:r w:rsidRPr="00B81189" w:rsidR="008B2B66">
        <w:t>Off Memorandum Account (PSPS MA), and Drinking Water Fees Balancing Account</w:t>
      </w:r>
      <w:r w:rsidR="00D16A62">
        <w:t xml:space="preserve"> (DWFBA)</w:t>
      </w:r>
      <w:r w:rsidR="008B2B66">
        <w:t>.</w:t>
      </w:r>
      <w:r w:rsidR="008B2B66">
        <w:rPr>
          <w:rStyle w:val="FootnoteReference"/>
        </w:rPr>
        <w:footnoteReference w:id="205"/>
      </w:r>
    </w:p>
    <w:p w:rsidR="00CE0158" w:rsidP="008B2B66" w:rsidRDefault="00EB50F8" w14:paraId="6E6074FB" w14:textId="5460B3CA">
      <w:pPr>
        <w:pStyle w:val="Standard"/>
      </w:pPr>
      <w:r>
        <w:t>Cal Water</w:t>
      </w:r>
      <w:r w:rsidRPr="00B81189" w:rsidR="008B2B66">
        <w:t xml:space="preserve"> states that its request is procedural and consistent with longstanding </w:t>
      </w:r>
      <w:r>
        <w:t>Class A</w:t>
      </w:r>
      <w:r w:rsidRPr="00B81189" w:rsidR="008B2B66">
        <w:t xml:space="preserve"> practice</w:t>
      </w:r>
      <w:r w:rsidR="007676D2">
        <w:t>,</w:t>
      </w:r>
      <w:r w:rsidRPr="00B81189" w:rsidR="008B2B66">
        <w:t xml:space="preserve"> allowing timely disposition of reviewed balances through </w:t>
      </w:r>
      <w:r w:rsidR="00752B5D">
        <w:t>advice letter</w:t>
      </w:r>
      <w:r w:rsidR="008B2B66">
        <w:t xml:space="preserve"> filings</w:t>
      </w:r>
      <w:r w:rsidRPr="00B81189" w:rsidR="008B2B66">
        <w:t>.</w:t>
      </w:r>
      <w:r w:rsidR="008B2B66">
        <w:t xml:space="preserve"> </w:t>
      </w:r>
      <w:r w:rsidRPr="00B81189" w:rsidR="008B2B66">
        <w:t>It argues that CEMA and similar accounts are vital for tracking extraordinary costs outside the company</w:t>
      </w:r>
      <w:r w:rsidR="000C0896">
        <w:t>’</w:t>
      </w:r>
      <w:r w:rsidRPr="00B81189" w:rsidR="008B2B66">
        <w:t>s control and that recovery remains subject to reasonableness review</w:t>
      </w:r>
      <w:r w:rsidR="008B2B66">
        <w:t>.</w:t>
      </w:r>
      <w:r w:rsidR="008B2B66">
        <w:rPr>
          <w:rStyle w:val="FootnoteReference"/>
        </w:rPr>
        <w:footnoteReference w:id="206"/>
      </w:r>
    </w:p>
    <w:p w:rsidR="008B2B66" w:rsidP="008B2B66" w:rsidRDefault="00EB50F8" w14:paraId="2DB84663" w14:textId="334D7DF4">
      <w:pPr>
        <w:pStyle w:val="Standard"/>
      </w:pPr>
      <w:r>
        <w:t>Cal Advocates</w:t>
      </w:r>
      <w:r w:rsidRPr="00B81189" w:rsidR="008B2B66">
        <w:t xml:space="preserve"> does not oppose amortization of the CEMA, PSPS MA, or ALMA, but cautions against expanding CEMA</w:t>
      </w:r>
      <w:r w:rsidR="000C0896">
        <w:t>’</w:t>
      </w:r>
      <w:r w:rsidRPr="00B81189" w:rsidR="008B2B66">
        <w:t>s scope or shortening its review intervals. It maintains that CEMA must remain limited to costs directly associated with disaster events declared by competent authorities, consistent with D.09</w:t>
      </w:r>
      <w:r w:rsidR="00270999">
        <w:noBreakHyphen/>
      </w:r>
      <w:r w:rsidRPr="00B81189" w:rsidR="008B2B66">
        <w:t>03</w:t>
      </w:r>
      <w:r w:rsidR="00270999">
        <w:noBreakHyphen/>
      </w:r>
      <w:r w:rsidRPr="00B81189" w:rsidR="008B2B66">
        <w:t xml:space="preserve">025, and that </w:t>
      </w:r>
      <w:r>
        <w:t>Cal Water</w:t>
      </w:r>
      <w:r w:rsidRPr="00B81189" w:rsidR="008B2B66">
        <w:t xml:space="preserve"> has not demonstrated extraordinary risk requiring departure from standard practice</w:t>
      </w:r>
      <w:r w:rsidR="008B2B66">
        <w:t>.</w:t>
      </w:r>
      <w:r w:rsidR="008B2B66">
        <w:rPr>
          <w:rStyle w:val="FootnoteReference"/>
        </w:rPr>
        <w:footnoteReference w:id="207"/>
      </w:r>
      <w:r w:rsidRPr="00B81189" w:rsidR="008B2B66">
        <w:t xml:space="preserve"> </w:t>
      </w:r>
      <w:r>
        <w:t>Cal Advocates</w:t>
      </w:r>
      <w:r w:rsidRPr="00B81189" w:rsidR="008B2B66">
        <w:t xml:space="preserve"> further argues that accelerated amortization may reduce the transparency and public oversight that the existing framework provides.</w:t>
      </w:r>
    </w:p>
    <w:p w:rsidRPr="00DF66EA" w:rsidR="008B2B66" w:rsidP="00861737" w:rsidRDefault="00861737" w14:paraId="11710D2C" w14:textId="53E3FFE1">
      <w:pPr>
        <w:pStyle w:val="Standard"/>
      </w:pPr>
      <w:r>
        <w:t xml:space="preserve">Under GO 96-B, amortization of balancing accounts requires a Tier 1 advice letter, whereas amortization of memorandum accounts requires a Tier 3 advice letter. </w:t>
      </w:r>
      <w:r w:rsidRPr="00B81189" w:rsidR="008B2B66">
        <w:t>The record shows broad agreement that timely amortization of approved balances reduces carrying costs and promotes regulatory efficiency without compromising ratepayer protections. No party disputes that CEMA, PSPS MA, and ALMA serve legitimate ratemaking functions. However, the record does not support broadening CEMA eligibility beyond disaster</w:t>
      </w:r>
      <w:r w:rsidR="00270999">
        <w:noBreakHyphen/>
      </w:r>
      <w:r w:rsidRPr="00B81189" w:rsidR="008B2B66">
        <w:t xml:space="preserve">related </w:t>
      </w:r>
      <w:r w:rsidRPr="00B81189" w:rsidR="008B2B66">
        <w:lastRenderedPageBreak/>
        <w:t xml:space="preserve">costs verified through state or federal emergency declarations, nor shortening the interval for review below the standard </w:t>
      </w:r>
      <w:r w:rsidR="00EB50F8">
        <w:t>Tier 3</w:t>
      </w:r>
      <w:r w:rsidR="008B2B66">
        <w:t xml:space="preserve"> </w:t>
      </w:r>
      <w:r w:rsidR="00752B5D">
        <w:t>advice letter</w:t>
      </w:r>
      <w:r w:rsidRPr="00B81189" w:rsidR="008B2B66">
        <w:t xml:space="preserve"> timeline.</w:t>
      </w:r>
    </w:p>
    <w:p w:rsidR="00CE0158" w:rsidP="008B2B66" w:rsidRDefault="008B2B66" w14:paraId="6AF52717" w14:textId="3A9CD1E6">
      <w:pPr>
        <w:pStyle w:val="Standard"/>
      </w:pPr>
      <w:r w:rsidRPr="00B81189">
        <w:t>Commission precedent in D.09</w:t>
      </w:r>
      <w:r w:rsidR="00270999">
        <w:noBreakHyphen/>
      </w:r>
      <w:r w:rsidRPr="00B81189">
        <w:t>03</w:t>
      </w:r>
      <w:r w:rsidR="00270999">
        <w:noBreakHyphen/>
      </w:r>
      <w:r w:rsidRPr="00B81189">
        <w:t>025 establishes that CEMA treatment is appropriate only when</w:t>
      </w:r>
      <w:r w:rsidR="006237E8">
        <w:t xml:space="preserve">: </w:t>
      </w:r>
      <w:r w:rsidRPr="00B81189">
        <w:t xml:space="preserve"> </w:t>
      </w:r>
      <w:r w:rsidR="006237E8">
        <w:t>(1) </w:t>
      </w:r>
      <w:r w:rsidRPr="00B81189">
        <w:t xml:space="preserve">the event is declared a disaster by </w:t>
      </w:r>
      <w:r w:rsidR="00722C6B">
        <w:t xml:space="preserve">a </w:t>
      </w:r>
      <w:r w:rsidRPr="00B81189">
        <w:t>competent authority</w:t>
      </w:r>
      <w:r w:rsidR="006237E8">
        <w:t>; (2) </w:t>
      </w:r>
      <w:r w:rsidRPr="00B81189">
        <w:t>costs are incremental to those authorized in rates</w:t>
      </w:r>
      <w:r w:rsidR="006237E8">
        <w:t>; and (3) </w:t>
      </w:r>
      <w:r w:rsidRPr="00B81189">
        <w:t xml:space="preserve">recorded amounts are subject to subsequent reasonableness review. </w:t>
      </w:r>
      <w:r w:rsidR="00EB50F8">
        <w:t>Cal Water</w:t>
      </w:r>
      <w:r w:rsidR="000C0896">
        <w:t>’</w:t>
      </w:r>
      <w:r w:rsidRPr="00B81189">
        <w:t xml:space="preserve">s proposal meets these criteria and aligns with Commission practice permitting amortization within 90 days of a final decision through a </w:t>
      </w:r>
      <w:r w:rsidR="00EB50F8">
        <w:t>Tier 3</w:t>
      </w:r>
      <w:r w:rsidRPr="00B81189">
        <w:t xml:space="preserve"> </w:t>
      </w:r>
      <w:r w:rsidR="00752B5D">
        <w:t>advice letter</w:t>
      </w:r>
      <w:r w:rsidRPr="00B81189">
        <w:t xml:space="preserve"> process</w:t>
      </w:r>
      <w:r>
        <w:t>.</w:t>
      </w:r>
      <w:r>
        <w:rPr>
          <w:rStyle w:val="FootnoteReference"/>
        </w:rPr>
        <w:footnoteReference w:id="208"/>
      </w:r>
    </w:p>
    <w:p w:rsidR="00CE0158" w:rsidP="008B2B66" w:rsidRDefault="00EB50F8" w14:paraId="727966D4" w14:textId="0D987DF9">
      <w:pPr>
        <w:pStyle w:val="Standard"/>
      </w:pPr>
      <w:r>
        <w:t>Cal Advocates</w:t>
      </w:r>
      <w:r w:rsidR="000C0896">
        <w:t>’</w:t>
      </w:r>
      <w:r w:rsidRPr="00B81189" w:rsidR="008B2B66">
        <w:t xml:space="preserve"> recommendation to maintain current CEMA parameters is persuasive and supported by precedent. While </w:t>
      </w:r>
      <w:r>
        <w:t>Cal Water</w:t>
      </w:r>
      <w:r w:rsidR="000C0896">
        <w:t>’</w:t>
      </w:r>
      <w:r w:rsidRPr="00B81189" w:rsidR="008B2B66">
        <w:t>s timing proposal is reasonable to avoid unnecessary carrying costs, there is no evidentiary basis to extend CEMA eligibility or to accelerate review beyond standard practice.</w:t>
      </w:r>
    </w:p>
    <w:p w:rsidRPr="00B81189" w:rsidR="008B2B66" w:rsidP="008B2B66" w:rsidRDefault="008B2B66" w14:paraId="6948339B" w14:textId="05B16D12">
      <w:pPr>
        <w:pStyle w:val="Standard"/>
      </w:pPr>
      <w:r w:rsidRPr="00B81189">
        <w:t xml:space="preserve">The Commission finds </w:t>
      </w:r>
      <w:r w:rsidR="00EB50F8">
        <w:t>Cal Water</w:t>
      </w:r>
      <w:r w:rsidR="000C0896">
        <w:t>’</w:t>
      </w:r>
      <w:r w:rsidRPr="00B81189">
        <w:t xml:space="preserve">s Special </w:t>
      </w:r>
      <w:r w:rsidR="00D92D0A">
        <w:t>Request #</w:t>
      </w:r>
      <w:r w:rsidRPr="00B81189">
        <w:t xml:space="preserve">8 reasonable as it relates to the CEMA, PSPS MA, ALMA, and General District Balancing Accounts. </w:t>
      </w:r>
      <w:r w:rsidR="00EB50F8">
        <w:t>Cal Water</w:t>
      </w:r>
      <w:r w:rsidRPr="00B81189">
        <w:t xml:space="preserve"> may amortize verified balances for </w:t>
      </w:r>
      <w:r w:rsidR="00861737">
        <w:t xml:space="preserve">balance accounts through Tier 1 advice letter filings and may amortize memorandum accounts </w:t>
      </w:r>
      <w:r w:rsidRPr="00B81189">
        <w:t xml:space="preserve">through </w:t>
      </w:r>
      <w:r w:rsidR="00EB50F8">
        <w:t>Tier 3</w:t>
      </w:r>
      <w:r>
        <w:t xml:space="preserve"> </w:t>
      </w:r>
      <w:r w:rsidR="00752B5D">
        <w:t>advice letter</w:t>
      </w:r>
      <w:r>
        <w:t xml:space="preserve"> filings</w:t>
      </w:r>
      <w:r w:rsidRPr="00B81189">
        <w:t xml:space="preserve"> within 90 days of this decision, subject to subsequent reasonableness review. No expansion of CEMA eligibility is authorized. All claimed catastrophic event expenditures remain subject to verification under D.09</w:t>
      </w:r>
      <w:r w:rsidR="00270999">
        <w:noBreakHyphen/>
      </w:r>
      <w:r w:rsidRPr="00B81189">
        <w:t>03</w:t>
      </w:r>
      <w:r w:rsidR="00270999">
        <w:noBreakHyphen/>
      </w:r>
      <w:r w:rsidRPr="00B81189">
        <w:t>025.</w:t>
      </w:r>
    </w:p>
    <w:p w:rsidR="008B2B66" w:rsidP="008B2B66" w:rsidRDefault="008B2B66" w14:paraId="6F80E751" w14:textId="52C1087B">
      <w:pPr>
        <w:pStyle w:val="Standard"/>
      </w:pPr>
      <w:r w:rsidRPr="00B81189">
        <w:t xml:space="preserve">This outcome maintains consistency with </w:t>
      </w:r>
      <w:r w:rsidR="003A5B7D">
        <w:t>Pub. Util.</w:t>
      </w:r>
      <w:r w:rsidRPr="00B81189">
        <w:t xml:space="preserve"> Code </w:t>
      </w:r>
      <w:r w:rsidR="00D957F7">
        <w:t>Section</w:t>
      </w:r>
      <w:r w:rsidR="00722C6B">
        <w:t>s</w:t>
      </w:r>
      <w:r w:rsidR="00D957F7">
        <w:t> </w:t>
      </w:r>
      <w:r w:rsidRPr="00B81189">
        <w:t>451 and 701, ensuring that balancing</w:t>
      </w:r>
      <w:r w:rsidR="00270999">
        <w:noBreakHyphen/>
      </w:r>
      <w:r w:rsidRPr="00B81189">
        <w:t>account amortizations remain just, reasonable, and in the public interest.</w:t>
      </w:r>
    </w:p>
    <w:p w:rsidRPr="00243BF9" w:rsidR="00243BF9" w:rsidP="00243BF9" w:rsidRDefault="008B2B66" w14:paraId="6B1CF054" w14:textId="417440DF">
      <w:pPr>
        <w:pStyle w:val="Heading3"/>
      </w:pPr>
      <w:bookmarkStart w:name="_Toc222305286" w:id="146"/>
      <w:bookmarkStart w:name="_Toc228294713" w:id="147"/>
      <w:r>
        <w:lastRenderedPageBreak/>
        <w:t xml:space="preserve">Scoped </w:t>
      </w:r>
      <w:r w:rsidR="009D287A">
        <w:t>Issue #</w:t>
      </w:r>
      <w:r>
        <w:t>21</w:t>
      </w:r>
      <w:r w:rsidR="000C0896">
        <w:t xml:space="preserve">:  </w:t>
      </w:r>
      <w:r w:rsidRPr="00243BF9" w:rsidR="00243BF9">
        <w:rPr>
          <w:bCs/>
        </w:rPr>
        <w:t xml:space="preserve">Special </w:t>
      </w:r>
      <w:r w:rsidR="00D92D0A">
        <w:rPr>
          <w:bCs/>
        </w:rPr>
        <w:t>Request #</w:t>
      </w:r>
      <w:r w:rsidRPr="00243BF9" w:rsidR="00243BF9">
        <w:rPr>
          <w:bCs/>
        </w:rPr>
        <w:t>9</w:t>
      </w:r>
      <w:r w:rsidR="00AE44B3">
        <w:rPr>
          <w:bCs/>
        </w:rPr>
        <w:t>:</w:t>
      </w:r>
      <w:r w:rsidR="00AE44B3">
        <w:rPr>
          <w:bCs/>
        </w:rPr>
        <w:br/>
      </w:r>
      <w:r w:rsidRPr="00243BF9" w:rsidR="00243BF9">
        <w:rPr>
          <w:bCs/>
        </w:rPr>
        <w:t>Reauthorizing Balancing Accounts</w:t>
      </w:r>
      <w:bookmarkEnd w:id="146"/>
      <w:bookmarkEnd w:id="147"/>
    </w:p>
    <w:p w:rsidRPr="003A68DE" w:rsidR="00243BF9" w:rsidP="00243BF9" w:rsidRDefault="00243BF9" w14:paraId="503CA4DA" w14:textId="105762D4">
      <w:pPr>
        <w:pStyle w:val="Standard"/>
      </w:pPr>
      <w:r w:rsidRPr="003A68DE">
        <w:t xml:space="preserve">This issue addresses whether </w:t>
      </w:r>
      <w:r w:rsidR="00EB50F8">
        <w:t>Cal Water</w:t>
      </w:r>
      <w:r w:rsidR="000C0896">
        <w:t>’</w:t>
      </w:r>
      <w:r w:rsidRPr="003A68DE">
        <w:t xml:space="preserve">s Special </w:t>
      </w:r>
      <w:r w:rsidR="00D92D0A">
        <w:t>Request #</w:t>
      </w:r>
      <w:r w:rsidRPr="003A68DE">
        <w:t>9 to reauthorize three existing balancing accounts</w:t>
      </w:r>
      <w:r w:rsidR="00AE44B3">
        <w:t xml:space="preserve"> — </w:t>
      </w:r>
      <w:r w:rsidRPr="003A68DE">
        <w:t>the CEBA, PCBA, and HCBA</w:t>
      </w:r>
      <w:r w:rsidR="00AE44B3">
        <w:t xml:space="preserve"> — </w:t>
      </w:r>
      <w:r w:rsidRPr="003A68DE">
        <w:t>for the 2026</w:t>
      </w:r>
      <w:r w:rsidR="00270999">
        <w:noBreakHyphen/>
      </w:r>
      <w:r w:rsidRPr="003A68DE">
        <w:t>2028 rate case cycle is reasonable and consistent with Commission policy.</w:t>
      </w:r>
    </w:p>
    <w:p w:rsidR="00CE0158" w:rsidP="00243BF9" w:rsidRDefault="00EB50F8" w14:paraId="39B78E5E" w14:textId="08B72CD7">
      <w:pPr>
        <w:pStyle w:val="Standard"/>
      </w:pPr>
      <w:r>
        <w:t>Cal Water</w:t>
      </w:r>
      <w:r w:rsidRPr="003A68DE" w:rsidR="00243BF9">
        <w:t xml:space="preserve"> contends that these accounts are essential for tracking cost categories that are volatile, policy</w:t>
      </w:r>
      <w:r w:rsidR="00270999">
        <w:noBreakHyphen/>
      </w:r>
      <w:r w:rsidRPr="003A68DE" w:rsidR="00243BF9">
        <w:t>driven, or otherwise beyond management</w:t>
      </w:r>
      <w:r w:rsidR="000C0896">
        <w:t>’</w:t>
      </w:r>
      <w:r w:rsidRPr="003A68DE" w:rsidR="00243BF9">
        <w:t>s direct control. It argues that reauthorization will promote regulatory consistency, mitigate rate volatility, and ensure continued alignment with Commission precedent governing balancing accounts for uncontrollable expenses</w:t>
      </w:r>
      <w:r w:rsidR="00243BF9">
        <w:t>.</w:t>
      </w:r>
      <w:r w:rsidR="00243BF9">
        <w:rPr>
          <w:rStyle w:val="FootnoteReference"/>
        </w:rPr>
        <w:footnoteReference w:id="209"/>
      </w:r>
    </w:p>
    <w:p w:rsidR="00CE0158" w:rsidP="00243BF9" w:rsidRDefault="00243BF9" w14:paraId="38564482" w14:textId="3A0897E0">
      <w:pPr>
        <w:pStyle w:val="Standard"/>
      </w:pPr>
      <w:r w:rsidRPr="003A68DE">
        <w:t xml:space="preserve">For the CEBA, </w:t>
      </w:r>
      <w:r w:rsidR="00EB50F8">
        <w:t>Cal Water</w:t>
      </w:r>
      <w:r w:rsidRPr="003A68DE">
        <w:t xml:space="preserve"> explains that this account records Commission</w:t>
      </w:r>
      <w:r w:rsidR="00270999">
        <w:noBreakHyphen/>
      </w:r>
      <w:r w:rsidRPr="003A68DE">
        <w:t>mandated conservation program costs</w:t>
      </w:r>
      <w:r w:rsidR="00AE44B3">
        <w:t xml:space="preserve"> — </w:t>
      </w:r>
      <w:r w:rsidRPr="003A68DE">
        <w:t>such as rebates, outreach, and technical assistance</w:t>
      </w:r>
      <w:r w:rsidR="00AE44B3">
        <w:t xml:space="preserve"> — </w:t>
      </w:r>
      <w:r w:rsidRPr="003A68DE">
        <w:t>required under state conservation statutes and the Water Action Plan. The company cites D.07</w:t>
      </w:r>
      <w:r w:rsidR="00270999">
        <w:noBreakHyphen/>
      </w:r>
      <w:r w:rsidRPr="003A68DE">
        <w:t>05</w:t>
      </w:r>
      <w:r w:rsidR="00270999">
        <w:noBreakHyphen/>
      </w:r>
      <w:r w:rsidRPr="003A68DE">
        <w:t>062 and D.19</w:t>
      </w:r>
      <w:r w:rsidR="00270999">
        <w:noBreakHyphen/>
      </w:r>
      <w:r w:rsidRPr="003A68DE">
        <w:t>12</w:t>
      </w:r>
      <w:r w:rsidR="00270999">
        <w:noBreakHyphen/>
      </w:r>
      <w:r w:rsidRPr="003A68DE">
        <w:t>057 (California</w:t>
      </w:r>
      <w:r w:rsidR="00270999">
        <w:noBreakHyphen/>
      </w:r>
      <w:r w:rsidRPr="003A68DE">
        <w:t>American Water GRC) as precedent establishing conservation balancing accounts as necessary to promote transparent, predictable, and stable funding for conservation programs that advance statewide policy goals</w:t>
      </w:r>
      <w:r>
        <w:t>.</w:t>
      </w:r>
      <w:r>
        <w:rPr>
          <w:rStyle w:val="FootnoteReference"/>
        </w:rPr>
        <w:footnoteReference w:id="210"/>
      </w:r>
    </w:p>
    <w:p w:rsidRPr="003A68DE" w:rsidR="00243BF9" w:rsidP="00243BF9" w:rsidRDefault="00243BF9" w14:paraId="67CDAB6F" w14:textId="4389EAC0">
      <w:pPr>
        <w:pStyle w:val="Standard"/>
      </w:pPr>
      <w:r w:rsidRPr="003A68DE">
        <w:t xml:space="preserve">For the PCBA and HCBA, </w:t>
      </w:r>
      <w:r w:rsidR="00EB50F8">
        <w:t>Cal Water</w:t>
      </w:r>
      <w:r w:rsidRPr="003A68DE">
        <w:t xml:space="preserve"> maintains that these accounts protect both shareholders and customers from unanticipated cost swings arising from market conditions, investment performance, and health</w:t>
      </w:r>
      <w:r w:rsidR="00270999">
        <w:noBreakHyphen/>
      </w:r>
      <w:r w:rsidRPr="003A68DE">
        <w:t>care inflation. It emphasizes that the accounts function symmetrically</w:t>
      </w:r>
      <w:r w:rsidR="00AE44B3">
        <w:t xml:space="preserve"> — </w:t>
      </w:r>
      <w:r w:rsidRPr="003A68DE">
        <w:t>providing recovery when costs exceed forecasts and refunds when costs are lower than projected</w:t>
      </w:r>
      <w:r w:rsidR="00AE44B3">
        <w:t xml:space="preserve"> — </w:t>
      </w:r>
      <w:r w:rsidRPr="003A68DE">
        <w:lastRenderedPageBreak/>
        <w:t>ensuring equitable treatment across rate cycles</w:t>
      </w:r>
      <w:r>
        <w:t>.</w:t>
      </w:r>
      <w:r>
        <w:rPr>
          <w:rStyle w:val="FootnoteReference"/>
        </w:rPr>
        <w:footnoteReference w:id="211"/>
      </w:r>
      <w:r w:rsidRPr="003A68DE">
        <w:t xml:space="preserve"> </w:t>
      </w:r>
      <w:r w:rsidR="00EB50F8">
        <w:t>Cal Water</w:t>
      </w:r>
      <w:r w:rsidRPr="003A68DE">
        <w:t xml:space="preserve"> further asserts that pension and health benefits are contractual obligations determined by independent actuarial studies and governed by federal law, not discretionary costs. These cost drivers, it contends, meet the Commission</w:t>
      </w:r>
      <w:r w:rsidR="000C0896">
        <w:t>’</w:t>
      </w:r>
      <w:r w:rsidRPr="003A68DE">
        <w:t>s established criteria for balancing</w:t>
      </w:r>
      <w:r w:rsidR="00270999">
        <w:noBreakHyphen/>
      </w:r>
      <w:r w:rsidRPr="003A68DE">
        <w:t>account treatment because they are significant in magnitude, volatile in timing, and largely outside management</w:t>
      </w:r>
      <w:r w:rsidR="000C0896">
        <w:t>’</w:t>
      </w:r>
      <w:r w:rsidRPr="003A68DE">
        <w:t>s control.</w:t>
      </w:r>
    </w:p>
    <w:p w:rsidRPr="003A68DE" w:rsidR="00243BF9" w:rsidP="00243BF9" w:rsidRDefault="00EB50F8" w14:paraId="5836A055" w14:textId="02B20B75">
      <w:pPr>
        <w:pStyle w:val="Standard"/>
      </w:pPr>
      <w:r>
        <w:t>Cal Advocates</w:t>
      </w:r>
      <w:r w:rsidRPr="003A68DE" w:rsidR="00243BF9">
        <w:t xml:space="preserve"> does not oppose reauthorization of the CEBA and PCBA but proposes two important limitations. First, </w:t>
      </w:r>
      <w:r>
        <w:t>Cal Advocates</w:t>
      </w:r>
      <w:r w:rsidRPr="003A68DE" w:rsidR="00243BF9">
        <w:t xml:space="preserve"> argues that costs associated with the </w:t>
      </w:r>
      <w:bookmarkStart w:name="_Hlk212715769" w:id="148"/>
      <w:r w:rsidRPr="003A68DE" w:rsidR="00243BF9">
        <w:t>Supplemental Executive Retirement Plan (SERP)</w:t>
      </w:r>
      <w:bookmarkEnd w:id="148"/>
      <w:r w:rsidRPr="003A68DE" w:rsidR="00243BF9">
        <w:t xml:space="preserve"> are executive</w:t>
      </w:r>
      <w:r w:rsidR="00270999">
        <w:noBreakHyphen/>
      </w:r>
      <w:r w:rsidRPr="003A68DE" w:rsidR="00243BF9">
        <w:t>compensation expenses that should not be tracked in the PCBA or recovered from ratepayers. Second, it recommends that any overcollections be promptly refunded to customers each year rather than deferred to the end of the three</w:t>
      </w:r>
      <w:r w:rsidR="00270999">
        <w:noBreakHyphen/>
      </w:r>
      <w:r w:rsidRPr="003A68DE" w:rsidR="00243BF9">
        <w:t>year GRC cycle</w:t>
      </w:r>
      <w:r w:rsidR="00243BF9">
        <w:t>.</w:t>
      </w:r>
      <w:r w:rsidR="00243BF9">
        <w:rPr>
          <w:rStyle w:val="FootnoteReference"/>
        </w:rPr>
        <w:footnoteReference w:id="212"/>
      </w:r>
      <w:r w:rsidRPr="003A68DE" w:rsidR="00243BF9">
        <w:t xml:space="preserve"> </w:t>
      </w:r>
      <w:r>
        <w:t>Cal Advocates</w:t>
      </w:r>
      <w:r w:rsidRPr="003A68DE" w:rsidR="00243BF9">
        <w:t xml:space="preserve"> also urges stronger annual reporting requirements and a requirement for </w:t>
      </w:r>
      <w:r>
        <w:t>Tier </w:t>
      </w:r>
      <w:r w:rsidR="00861737">
        <w:t>1</w:t>
      </w:r>
      <w:r w:rsidR="00243BF9">
        <w:t xml:space="preserve"> </w:t>
      </w:r>
      <w:r w:rsidR="00752B5D">
        <w:t>advice letter</w:t>
      </w:r>
      <w:r w:rsidRPr="003A68DE" w:rsidR="00243BF9">
        <w:t>s documenting account activity, to prevent these balancing accounts from becoming long</w:t>
      </w:r>
      <w:r w:rsidR="00270999">
        <w:noBreakHyphen/>
      </w:r>
      <w:r w:rsidRPr="003A68DE" w:rsidR="00243BF9">
        <w:t>term cost</w:t>
      </w:r>
      <w:r w:rsidR="00270999">
        <w:noBreakHyphen/>
      </w:r>
      <w:r w:rsidRPr="003A68DE" w:rsidR="00243BF9">
        <w:t>recovery mechanisms without timely Commission review.</w:t>
      </w:r>
    </w:p>
    <w:p w:rsidRPr="00792A99" w:rsidR="00243BF9" w:rsidP="00243BF9" w:rsidRDefault="00243BF9" w14:paraId="42B1C302" w14:textId="1BEA8001">
      <w:pPr>
        <w:pStyle w:val="Standard"/>
      </w:pPr>
      <w:r w:rsidRPr="003A68DE">
        <w:t xml:space="preserve">NAWC and CWA support </w:t>
      </w:r>
      <w:r w:rsidR="00EB50F8">
        <w:t>Cal Water</w:t>
      </w:r>
      <w:r w:rsidR="000C0896">
        <w:t>’</w:t>
      </w:r>
      <w:r w:rsidRPr="003A68DE">
        <w:t xml:space="preserve">s proposal, emphasizing that these balancing accounts are widely used among </w:t>
      </w:r>
      <w:r w:rsidR="00EB50F8">
        <w:t>Class A</w:t>
      </w:r>
      <w:r w:rsidRPr="003A68DE">
        <w:t xml:space="preserve"> water utilities and that retaining them promotes consistency, transparency, and balanced risk</w:t>
      </w:r>
      <w:r w:rsidR="00270999">
        <w:noBreakHyphen/>
      </w:r>
      <w:r w:rsidRPr="003A68DE">
        <w:t>sharing between utilities and ratepayers. Both organizations stress that abrupt policy changes could increase regulatory uncertainty and create asymmetrical risk exposure inconsistent with prior Commission decisions.</w:t>
      </w:r>
    </w:p>
    <w:p w:rsidRPr="003A68DE" w:rsidR="00243BF9" w:rsidP="00243BF9" w:rsidRDefault="00243BF9" w14:paraId="3892ED4F" w14:textId="73380340">
      <w:pPr>
        <w:pStyle w:val="Standard"/>
      </w:pPr>
      <w:r w:rsidRPr="003A68DE">
        <w:lastRenderedPageBreak/>
        <w:t>Balancing accounts are an established regulatory tool that promote</w:t>
      </w:r>
      <w:r w:rsidR="00A671A8">
        <w:t>s</w:t>
      </w:r>
      <w:r w:rsidRPr="003A68DE">
        <w:t xml:space="preserve"> equitable risk</w:t>
      </w:r>
      <w:r w:rsidR="00270999">
        <w:noBreakHyphen/>
      </w:r>
      <w:r w:rsidRPr="003A68DE">
        <w:t>sharing between ratepayers and utilities by tracking the difference between authorized and actual costs for categories that are either volatile or subject to external control. Commission precedent</w:t>
      </w:r>
      <w:r w:rsidR="00AE44B3">
        <w:t> —</w:t>
      </w:r>
      <w:r w:rsidR="004A2197">
        <w:t xml:space="preserve"> </w:t>
      </w:r>
      <w:r w:rsidRPr="003A68DE">
        <w:t>D.08</w:t>
      </w:r>
      <w:r w:rsidR="00270999">
        <w:noBreakHyphen/>
      </w:r>
      <w:r w:rsidRPr="003A68DE">
        <w:t>02</w:t>
      </w:r>
      <w:r w:rsidR="00270999">
        <w:noBreakHyphen/>
      </w:r>
      <w:r w:rsidRPr="003A68DE">
        <w:t>036 (Water Conservation Decision), D.10</w:t>
      </w:r>
      <w:r w:rsidR="00270999">
        <w:noBreakHyphen/>
      </w:r>
      <w:r w:rsidRPr="003A68DE">
        <w:t>12</w:t>
      </w:r>
      <w:r w:rsidR="00270999">
        <w:noBreakHyphen/>
      </w:r>
      <w:r w:rsidRPr="003A68DE">
        <w:t>056 (Golden State Water GRC), and D.19</w:t>
      </w:r>
      <w:r w:rsidR="00270999">
        <w:noBreakHyphen/>
      </w:r>
      <w:r w:rsidRPr="003A68DE">
        <w:t>12</w:t>
      </w:r>
      <w:r w:rsidR="00270999">
        <w:noBreakHyphen/>
      </w:r>
      <w:r w:rsidRPr="003A68DE">
        <w:t>057 (Cal</w:t>
      </w:r>
      <w:r w:rsidR="00270999">
        <w:noBreakHyphen/>
      </w:r>
      <w:r w:rsidRPr="003A68DE">
        <w:t>Am GRC)</w:t>
      </w:r>
      <w:r w:rsidR="00AE44B3">
        <w:t xml:space="preserve"> — </w:t>
      </w:r>
      <w:r w:rsidRPr="003A68DE">
        <w:t>establishes that balancing</w:t>
      </w:r>
      <w:r w:rsidR="00270999">
        <w:noBreakHyphen/>
      </w:r>
      <w:r w:rsidRPr="003A68DE">
        <w:t>account treatment is appropriate when the expense category is significant, difficult to forecast accurately, and influenced by market or policy conditions rather than utility discretion.</w:t>
      </w:r>
    </w:p>
    <w:p w:rsidR="00CE0158" w:rsidP="00243BF9" w:rsidRDefault="00243BF9" w14:paraId="698F8C07" w14:textId="4C996452">
      <w:pPr>
        <w:pStyle w:val="Standard"/>
      </w:pPr>
      <w:r w:rsidRPr="001733A1">
        <w:t xml:space="preserve">The </w:t>
      </w:r>
      <w:r w:rsidRPr="003A68DE">
        <w:t xml:space="preserve">CEBA remains a necessary and appropriate ratemaking mechanism for tracking conservation costs mandated under state and Commission policy. The record demonstrates that </w:t>
      </w:r>
      <w:r w:rsidR="00EB50F8">
        <w:t>Cal Water</w:t>
      </w:r>
      <w:r w:rsidRPr="003A68DE">
        <w:t xml:space="preserve"> continues to implement extensive water</w:t>
      </w:r>
      <w:r w:rsidR="00270999">
        <w:noBreakHyphen/>
      </w:r>
      <w:r w:rsidRPr="003A68DE">
        <w:t>efficiency programs, rebates, and outreach initiatives in partnership with the California Water Efficiency Partnership and local agencies. These programs vary annually in both cost and participation, driven by external conditions such as drought declarations, new appliance standards, and customer application</w:t>
      </w:r>
      <w:r>
        <w:t>.</w:t>
      </w:r>
      <w:r>
        <w:rPr>
          <w:rStyle w:val="FootnoteReference"/>
        </w:rPr>
        <w:footnoteReference w:id="213"/>
      </w:r>
    </w:p>
    <w:p w:rsidR="00296DD9" w:rsidP="00243BF9" w:rsidRDefault="00296DD9" w14:paraId="402BEE98" w14:textId="42F9AD74">
      <w:pPr>
        <w:pStyle w:val="Standard"/>
      </w:pPr>
      <w:r w:rsidRPr="00296DD9">
        <w:t>The Commission further finds that an increased conservation budget of $13.8 million is reasonable for this GRC cycle, as reflected in Cal Water’s modified proposal, where such funding is targeted to districts facing non-compliance with applicable conservation requirements or mandates. This targeted approach ensures that conservation funding is directed to areas of greatest need while maintaining ratepayer protections.</w:t>
      </w:r>
    </w:p>
    <w:p w:rsidRPr="001733A1" w:rsidR="00243BF9" w:rsidP="00243BF9" w:rsidRDefault="00EB50F8" w14:paraId="50F0EE72" w14:textId="79AB6AC5">
      <w:pPr>
        <w:pStyle w:val="Standard"/>
      </w:pPr>
      <w:r>
        <w:t>Cal Advocates</w:t>
      </w:r>
      <w:r w:rsidR="000C0896">
        <w:t>’</w:t>
      </w:r>
      <w:r w:rsidRPr="003A68DE" w:rsidR="00243BF9">
        <w:t xml:space="preserve"> suggestion that the CEBA overlaps with WRAM/</w:t>
      </w:r>
      <w:r w:rsidRPr="003C3665" w:rsidR="00DB0E20">
        <w:rPr>
          <w:bCs/>
          <w:szCs w:val="26"/>
        </w:rPr>
        <w:t>Modified Cost Balancing Account</w:t>
      </w:r>
      <w:r w:rsidRPr="003A68DE" w:rsidR="00DB0E20">
        <w:t xml:space="preserve"> </w:t>
      </w:r>
      <w:r w:rsidR="00DB0E20">
        <w:t>(</w:t>
      </w:r>
      <w:r w:rsidRPr="003A68DE" w:rsidR="00243BF9">
        <w:t>MCBA</w:t>
      </w:r>
      <w:r w:rsidR="00DB0E20">
        <w:t>)</w:t>
      </w:r>
      <w:r w:rsidRPr="003A68DE" w:rsidR="00243BF9">
        <w:t xml:space="preserve"> functions is not supported by the record. The WRAM and MCBA track volumetric sales and purchased</w:t>
      </w:r>
      <w:r w:rsidR="00270999">
        <w:noBreakHyphen/>
      </w:r>
      <w:r w:rsidRPr="003A68DE" w:rsidR="00243BF9">
        <w:t xml:space="preserve">water cost </w:t>
      </w:r>
      <w:r w:rsidRPr="003A68DE" w:rsidR="00243BF9">
        <w:lastRenderedPageBreak/>
        <w:t>differentials, whereas the CEBA exclusively records programmatic conservation expenditures. Maintaining this separation preserves transparency, ensures proper cost allocation, and is consistent with D.08</w:t>
      </w:r>
      <w:r w:rsidR="00270999">
        <w:noBreakHyphen/>
      </w:r>
      <w:r w:rsidRPr="003A68DE" w:rsidR="00243BF9">
        <w:t>02</w:t>
      </w:r>
      <w:r w:rsidR="00270999">
        <w:noBreakHyphen/>
      </w:r>
      <w:r w:rsidRPr="003A68DE" w:rsidR="00243BF9">
        <w:t>036</w:t>
      </w:r>
      <w:r w:rsidR="000C0896">
        <w:t>’</w:t>
      </w:r>
      <w:r w:rsidRPr="003A68DE" w:rsidR="00243BF9">
        <w:t>s directive to track conservation costs distinctly from sales</w:t>
      </w:r>
      <w:r w:rsidR="00270999">
        <w:noBreakHyphen/>
      </w:r>
      <w:r w:rsidRPr="003A68DE" w:rsidR="00243BF9">
        <w:t>revenue mechanisms.</w:t>
      </w:r>
    </w:p>
    <w:p w:rsidRPr="003A68DE" w:rsidR="00243BF9" w:rsidP="00243BF9" w:rsidRDefault="00243BF9" w14:paraId="45F87B6F" w14:textId="40680766">
      <w:pPr>
        <w:pStyle w:val="Standard"/>
      </w:pPr>
      <w:r w:rsidRPr="003A68DE">
        <w:t>The Commission clarifies, however, that CEBA entries shall be limited to incremental, Commission</w:t>
      </w:r>
      <w:r w:rsidR="00270999">
        <w:noBreakHyphen/>
      </w:r>
      <w:r w:rsidRPr="003A68DE">
        <w:t>approved conservation programs and shall not include routine marketing or discretionary outreach expenses that are stable and forecastable.</w:t>
      </w:r>
      <w:r>
        <w:t xml:space="preserve"> </w:t>
      </w:r>
      <w:r w:rsidRPr="000C1D36">
        <w:t xml:space="preserve">Such routine outreach, education, and marketing expenses are predictable and </w:t>
      </w:r>
      <w:r w:rsidR="00722C6B">
        <w:t>are properly</w:t>
      </w:r>
      <w:r w:rsidRPr="000C1D36" w:rsidR="00722C6B">
        <w:t xml:space="preserve"> </w:t>
      </w:r>
      <w:r w:rsidRPr="000C1D36">
        <w:t>recovered through base rates rather than tracked in the CEBA, because they do not exhibit the volatility or external cost drivers that justify balancing</w:t>
      </w:r>
      <w:r w:rsidR="00270999">
        <w:noBreakHyphen/>
      </w:r>
      <w:r w:rsidRPr="000C1D36">
        <w:t>account treatment.</w:t>
      </w:r>
    </w:p>
    <w:p w:rsidRPr="003A68DE" w:rsidR="001947C4" w:rsidP="00F60A1B" w:rsidRDefault="00296DD9" w14:paraId="7C06D705" w14:textId="66B5AFBD">
      <w:pPr>
        <w:pStyle w:val="Standard"/>
      </w:pPr>
      <w:r w:rsidRPr="00296DD9">
        <w:t>The CEBA is reauthorized as a one-way balancing account, consistent with party agreement, to allow recovery of incremental, Commission-approved conservation program costs without the risk of over-collection.</w:t>
      </w:r>
      <w:r w:rsidR="001947C4">
        <w:t xml:space="preserve"> In its</w:t>
      </w:r>
      <w:r w:rsidR="00F27172">
        <w:t xml:space="preserve"> next</w:t>
      </w:r>
      <w:r w:rsidR="001947C4">
        <w:t xml:space="preserve"> GRC, Cal Water </w:t>
      </w:r>
      <w:r w:rsidRPr="00960D57" w:rsidR="001947C4">
        <w:t xml:space="preserve">shall </w:t>
      </w:r>
      <w:r w:rsidR="001947C4">
        <w:t xml:space="preserve">provide a status report on the CEBA by providing this status report as part of its witness-sponsored testimony, and the </w:t>
      </w:r>
      <w:r w:rsidRPr="00960D57" w:rsidR="001947C4">
        <w:t xml:space="preserve">status report </w:t>
      </w:r>
      <w:r w:rsidR="001947C4">
        <w:t xml:space="preserve">shall include a summary of </w:t>
      </w:r>
      <w:r w:rsidRPr="00960D57" w:rsidR="001947C4">
        <w:t xml:space="preserve">authorized versus recorded expenditures, </w:t>
      </w:r>
      <w:r w:rsidR="001947C4">
        <w:t xml:space="preserve">requests to amortize over- and under-collections, </w:t>
      </w:r>
      <w:r w:rsidRPr="00960D57" w:rsidR="001947C4">
        <w:t>program</w:t>
      </w:r>
      <w:r w:rsidR="001947C4">
        <w:noBreakHyphen/>
      </w:r>
      <w:r w:rsidRPr="00960D57" w:rsidR="001947C4">
        <w:t>participation metrics, and supporting documentation of costs and conservation outcomes.</w:t>
      </w:r>
    </w:p>
    <w:p w:rsidR="00CE0158" w:rsidP="00243BF9" w:rsidRDefault="00243BF9" w14:paraId="52E67289" w14:textId="14066C45">
      <w:pPr>
        <w:pStyle w:val="Standard"/>
      </w:pPr>
      <w:r w:rsidRPr="001733A1">
        <w:t xml:space="preserve">The </w:t>
      </w:r>
      <w:r w:rsidRPr="003A68DE">
        <w:t>PCBA continues to be justified given the volatility of pension obligations, which depend on market performance and actuarial adjustments beyond the company</w:t>
      </w:r>
      <w:r w:rsidR="000C0896">
        <w:t>’</w:t>
      </w:r>
      <w:r w:rsidRPr="003A68DE">
        <w:t>s control.</w:t>
      </w:r>
    </w:p>
    <w:p w:rsidRPr="003A68DE" w:rsidR="00243BF9" w:rsidP="00243BF9" w:rsidRDefault="00243BF9" w14:paraId="13F1B9E4" w14:textId="09900245">
      <w:pPr>
        <w:pStyle w:val="Standard"/>
      </w:pPr>
      <w:r w:rsidRPr="003A68DE">
        <w:t>Although less disputed, the</w:t>
      </w:r>
      <w:r w:rsidRPr="001733A1">
        <w:rPr>
          <w:i/>
          <w:iCs/>
        </w:rPr>
        <w:t xml:space="preserve"> </w:t>
      </w:r>
      <w:r w:rsidRPr="003A68DE">
        <w:t>HCBA serves an analogous function by tracking fluctuations in employer health</w:t>
      </w:r>
      <w:r w:rsidR="00270999">
        <w:noBreakHyphen/>
      </w:r>
      <w:r w:rsidRPr="003A68DE">
        <w:t>care premiums and benefit costs. These costs remain volatile due to inflation, insurance</w:t>
      </w:r>
      <w:r w:rsidR="00270999">
        <w:noBreakHyphen/>
      </w:r>
      <w:r w:rsidRPr="003A68DE">
        <w:t xml:space="preserve">market conditions, and federal policy changes. Reauthorization of the HCBA maintains parity among </w:t>
      </w:r>
      <w:r w:rsidR="00EB50F8">
        <w:t>Class A</w:t>
      </w:r>
      <w:r w:rsidRPr="003A68DE">
        <w:t xml:space="preserve"> </w:t>
      </w:r>
      <w:r w:rsidRPr="003A68DE">
        <w:lastRenderedPageBreak/>
        <w:t>utilities and ensures that ratepayers and shareholders share equally in upward or downward cost trends.</w:t>
      </w:r>
    </w:p>
    <w:p w:rsidRPr="001733A1" w:rsidR="00243BF9" w:rsidP="00243BF9" w:rsidRDefault="00243BF9" w14:paraId="3B7524FD" w14:textId="68FA299E">
      <w:pPr>
        <w:pStyle w:val="Standard"/>
      </w:pPr>
      <w:r w:rsidRPr="001733A1">
        <w:t xml:space="preserve">Based on the record, the Commission authorizes </w:t>
      </w:r>
      <w:r w:rsidR="00EB50F8">
        <w:t>Cal Water</w:t>
      </w:r>
      <w:r w:rsidRPr="001733A1">
        <w:t xml:space="preserve"> to continue its CEBA, PCBA, and HCBA for the 2026</w:t>
      </w:r>
      <w:r w:rsidR="00270999">
        <w:noBreakHyphen/>
      </w:r>
      <w:r w:rsidRPr="001733A1">
        <w:t>2028 GRC cycle.</w:t>
      </w:r>
      <w:r>
        <w:t xml:space="preserve"> </w:t>
      </w:r>
      <w:r w:rsidRPr="001733A1">
        <w:t>The CEBA shall remain limited to incremental conservation program expenditures consistent with Commission policy and</w:t>
      </w:r>
      <w:r w:rsidRPr="00296DD9" w:rsidR="00296DD9">
        <w:t xml:space="preserve"> is authorized as a one-way balancing account for this GRC cycle</w:t>
      </w:r>
      <w:r w:rsidRPr="001733A1">
        <w:t>. The PCBA shall exclude SERP costs and continue to reconcile actual versus authorized pension expenses at the close of each GRC cycle. The HCBA shall remain in place to track employer health</w:t>
      </w:r>
      <w:r w:rsidR="00270999">
        <w:noBreakHyphen/>
      </w:r>
      <w:r w:rsidRPr="001733A1">
        <w:t>care cost volatility.</w:t>
      </w:r>
    </w:p>
    <w:p w:rsidR="00CE0158" w:rsidP="00243BF9" w:rsidRDefault="00296DD9" w14:paraId="32A14763" w14:textId="601B8603">
      <w:pPr>
        <w:pStyle w:val="Standard"/>
      </w:pPr>
      <w:r w:rsidRPr="00296DD9">
        <w:t>The CEBA shall operate as a one-way balancing account, while the PCBA and HCBA</w:t>
      </w:r>
      <w:r w:rsidRPr="001733A1" w:rsidR="00243BF9">
        <w:t xml:space="preserve"> shall remain subject to reasonableness review and symmetrical treatment of over</w:t>
      </w:r>
      <w:r w:rsidR="00270999">
        <w:noBreakHyphen/>
      </w:r>
      <w:r w:rsidRPr="001733A1" w:rsidR="00243BF9">
        <w:t xml:space="preserve"> and under</w:t>
      </w:r>
      <w:r w:rsidR="00270999">
        <w:noBreakHyphen/>
      </w:r>
      <w:r w:rsidRPr="001733A1" w:rsidR="00243BF9">
        <w:t xml:space="preserve">collections. This outcome maintains regulatory consistency, transparency, and fairness across </w:t>
      </w:r>
      <w:r w:rsidR="00EB50F8">
        <w:t>Class A</w:t>
      </w:r>
      <w:r w:rsidRPr="001733A1" w:rsidR="00243BF9">
        <w:t xml:space="preserve"> water utilities</w:t>
      </w:r>
      <w:r w:rsidR="00243BF9">
        <w:t>.</w:t>
      </w:r>
    </w:p>
    <w:p w:rsidR="008B2B66" w:rsidP="008B2B66" w:rsidRDefault="008B2B66" w14:paraId="74AA4931" w14:textId="4EF10402">
      <w:pPr>
        <w:pStyle w:val="Heading3"/>
      </w:pPr>
      <w:bookmarkStart w:name="_Toc222305287" w:id="149"/>
      <w:bookmarkStart w:name="_Toc228294714" w:id="150"/>
      <w:r>
        <w:t xml:space="preserve">Scoped </w:t>
      </w:r>
      <w:r w:rsidR="009D287A">
        <w:t>Issue #</w:t>
      </w:r>
      <w:r>
        <w:t>22</w:t>
      </w:r>
      <w:r w:rsidR="000C0896">
        <w:t xml:space="preserve">:  </w:t>
      </w:r>
      <w:r w:rsidRPr="003C3377" w:rsidR="00243BF9">
        <w:t xml:space="preserve">Special </w:t>
      </w:r>
      <w:r w:rsidR="00D92D0A">
        <w:t>Request #</w:t>
      </w:r>
      <w:r w:rsidRPr="003C3377" w:rsidR="00243BF9">
        <w:t>10</w:t>
      </w:r>
      <w:r w:rsidR="00AE44B3">
        <w:t>:</w:t>
      </w:r>
      <w:r w:rsidR="00AE44B3">
        <w:br/>
      </w:r>
      <w:r w:rsidRPr="003C3377" w:rsidR="00243BF9">
        <w:t>Request for Liability Insurance Account</w:t>
      </w:r>
      <w:bookmarkEnd w:id="149"/>
      <w:bookmarkEnd w:id="150"/>
    </w:p>
    <w:p w:rsidRPr="00574E79" w:rsidR="00243BF9" w:rsidP="00243BF9" w:rsidRDefault="00243BF9" w14:paraId="6B5B0FE8" w14:textId="47AC1CEF">
      <w:pPr>
        <w:pStyle w:val="Standard"/>
      </w:pPr>
      <w:r w:rsidRPr="00574E79">
        <w:t xml:space="preserve">This issue addresses whether </w:t>
      </w:r>
      <w:r w:rsidR="00EB50F8">
        <w:t>Cal Water</w:t>
      </w:r>
      <w:r w:rsidR="000C0896">
        <w:t>’</w:t>
      </w:r>
      <w:r>
        <w:t>s</w:t>
      </w:r>
      <w:r w:rsidRPr="00574E79">
        <w:t xml:space="preserve"> proposal to establish a </w:t>
      </w:r>
      <w:bookmarkStart w:name="_Hlk212706650" w:id="151"/>
      <w:r w:rsidRPr="00574E79">
        <w:t xml:space="preserve">LIBA </w:t>
      </w:r>
      <w:bookmarkEnd w:id="151"/>
      <w:r w:rsidRPr="00574E79">
        <w:t>is reasonable.</w:t>
      </w:r>
      <w:r>
        <w:t xml:space="preserve"> </w:t>
      </w:r>
      <w:r w:rsidR="00EB50F8">
        <w:t>Cal Water</w:t>
      </w:r>
      <w:r w:rsidRPr="00574E79">
        <w:t xml:space="preserve"> requests authorization to create a two</w:t>
      </w:r>
      <w:r w:rsidR="00270999">
        <w:noBreakHyphen/>
      </w:r>
      <w:r w:rsidRPr="00574E79">
        <w:t>way balancing account to track the difference between forecast and actual liability</w:t>
      </w:r>
      <w:r w:rsidR="00270999">
        <w:noBreakHyphen/>
      </w:r>
      <w:r w:rsidRPr="00574E79">
        <w:t>insurance expenses, including premiums for general</w:t>
      </w:r>
      <w:r w:rsidR="00270999">
        <w:noBreakHyphen/>
      </w:r>
      <w:r w:rsidRPr="00574E79">
        <w:t>liability, excess</w:t>
      </w:r>
      <w:r w:rsidR="00270999">
        <w:noBreakHyphen/>
      </w:r>
      <w:r w:rsidRPr="00574E79">
        <w:t>liability, and umbrella policies</w:t>
      </w:r>
      <w:r>
        <w:t>.</w:t>
      </w:r>
      <w:r>
        <w:rPr>
          <w:rStyle w:val="FootnoteReference"/>
        </w:rPr>
        <w:footnoteReference w:id="214"/>
      </w:r>
      <w:r w:rsidRPr="00574E79">
        <w:t xml:space="preserve"> </w:t>
      </w:r>
      <w:r w:rsidR="00EB50F8">
        <w:t>Cal Water</w:t>
      </w:r>
      <w:r w:rsidRPr="00574E79">
        <w:t xml:space="preserve"> asserts that liability</w:t>
      </w:r>
      <w:r w:rsidR="00270999">
        <w:noBreakHyphen/>
      </w:r>
      <w:r w:rsidRPr="00574E79">
        <w:t>insurance costs are volatile and driven primarily by external market conditions, litigation trends, and carrier risk assessments</w:t>
      </w:r>
      <w:r w:rsidR="00AE44B3">
        <w:t xml:space="preserve"> — </w:t>
      </w:r>
      <w:r w:rsidRPr="00574E79">
        <w:t>factors outside management</w:t>
      </w:r>
      <w:r w:rsidR="000C0896">
        <w:t>’</w:t>
      </w:r>
      <w:r w:rsidRPr="00574E79">
        <w:t>s control.</w:t>
      </w:r>
    </w:p>
    <w:p w:rsidR="00CE0158" w:rsidP="00243BF9" w:rsidRDefault="00EB50F8" w14:paraId="59A21521" w14:textId="45EBB8BD">
      <w:pPr>
        <w:pStyle w:val="Standard"/>
      </w:pPr>
      <w:r>
        <w:t>Cal Water</w:t>
      </w:r>
      <w:r w:rsidRPr="00574E79" w:rsidR="00243BF9">
        <w:t xml:space="preserve"> explains that the LIBA would function symmetrically</w:t>
      </w:r>
      <w:r w:rsidR="000C0896">
        <w:t xml:space="preserve">:  </w:t>
      </w:r>
      <w:r w:rsidRPr="00574E79" w:rsidR="00243BF9">
        <w:t xml:space="preserve">if actual insurance costs exceed forecast levels, </w:t>
      </w:r>
      <w:r>
        <w:t>Cal Water</w:t>
      </w:r>
      <w:r w:rsidRPr="00574E79" w:rsidR="00243BF9">
        <w:t xml:space="preserve"> may seek recovery through amortization; if costs fall below forecasts, the difference would be refunded to </w:t>
      </w:r>
      <w:r w:rsidRPr="00574E79" w:rsidR="00243BF9">
        <w:lastRenderedPageBreak/>
        <w:t xml:space="preserve">ratepayers. In rebuttal, </w:t>
      </w:r>
      <w:r>
        <w:t>Cal Water</w:t>
      </w:r>
      <w:r w:rsidRPr="00574E79" w:rsidR="00243BF9">
        <w:t xml:space="preserve"> modified its proposal so that only 85</w:t>
      </w:r>
      <w:r w:rsidR="0032703D">
        <w:t> percent</w:t>
      </w:r>
      <w:r w:rsidRPr="00574E79" w:rsidR="00243BF9">
        <w:t xml:space="preserve"> of any balance (over</w:t>
      </w:r>
      <w:r w:rsidR="00270999">
        <w:noBreakHyphen/>
      </w:r>
      <w:r w:rsidRPr="00574E79" w:rsidR="00243BF9">
        <w:t xml:space="preserve"> or under</w:t>
      </w:r>
      <w:r w:rsidR="00270999">
        <w:noBreakHyphen/>
      </w:r>
      <w:r w:rsidRPr="00574E79" w:rsidR="00243BF9">
        <w:t>collection) would be amortized as a surcharge or sur</w:t>
      </w:r>
      <w:r w:rsidR="00270999">
        <w:noBreakHyphen/>
      </w:r>
      <w:r w:rsidRPr="00574E79" w:rsidR="00243BF9">
        <w:t xml:space="preserve">credit, mirroring the approach approved for the </w:t>
      </w:r>
      <w:r w:rsidR="00243BF9">
        <w:t>HCBA.</w:t>
      </w:r>
      <w:r w:rsidR="00243BF9">
        <w:rPr>
          <w:rStyle w:val="FootnoteReference"/>
        </w:rPr>
        <w:footnoteReference w:id="215"/>
      </w:r>
    </w:p>
    <w:p w:rsidR="00CE0158" w:rsidP="00243BF9" w:rsidRDefault="00EB50F8" w14:paraId="4C2F342B" w14:textId="34CBB383">
      <w:pPr>
        <w:pStyle w:val="Standard"/>
      </w:pPr>
      <w:r>
        <w:t>Cal Water</w:t>
      </w:r>
      <w:r w:rsidRPr="00574E79" w:rsidR="00243BF9">
        <w:t xml:space="preserve"> cites D.19</w:t>
      </w:r>
      <w:r w:rsidR="00270999">
        <w:noBreakHyphen/>
      </w:r>
      <w:r w:rsidRPr="00574E79" w:rsidR="00243BF9">
        <w:t>12</w:t>
      </w:r>
      <w:r w:rsidR="00270999">
        <w:noBreakHyphen/>
      </w:r>
      <w:r w:rsidRPr="00574E79" w:rsidR="00243BF9">
        <w:t>057 (California</w:t>
      </w:r>
      <w:r w:rsidR="00270999">
        <w:noBreakHyphen/>
      </w:r>
      <w:r w:rsidRPr="00574E79" w:rsidR="00243BF9">
        <w:t>American Water GRC) and D.16</w:t>
      </w:r>
      <w:r w:rsidR="00270999">
        <w:noBreakHyphen/>
      </w:r>
      <w:r w:rsidRPr="00574E79" w:rsidR="00243BF9">
        <w:t>12</w:t>
      </w:r>
      <w:r w:rsidR="00270999">
        <w:noBreakHyphen/>
      </w:r>
      <w:r w:rsidRPr="00574E79" w:rsidR="00243BF9">
        <w:t>026 (</w:t>
      </w:r>
      <w:r w:rsidR="004941FE">
        <w:t>San </w:t>
      </w:r>
      <w:r w:rsidRPr="00574E79" w:rsidR="00243BF9">
        <w:t xml:space="preserve">Gabriel Valley Water GRC) as precedent for allowing balancing accounts when expenses are substantial and beyond utility control. According to </w:t>
      </w:r>
      <w:r>
        <w:t>Cal Water</w:t>
      </w:r>
      <w:r w:rsidRPr="00574E79" w:rsidR="00243BF9">
        <w:t>, the volatility of the commercial</w:t>
      </w:r>
      <w:r w:rsidR="00270999">
        <w:noBreakHyphen/>
      </w:r>
      <w:r w:rsidRPr="00574E79" w:rsidR="00243BF9">
        <w:t>insurance market</w:t>
      </w:r>
      <w:r w:rsidR="00991BEA">
        <w:t> </w:t>
      </w:r>
      <w:r w:rsidRPr="00574E79" w:rsidR="00243BF9">
        <w:t>—</w:t>
      </w:r>
      <w:r w:rsidR="00991BEA">
        <w:t xml:space="preserve"> </w:t>
      </w:r>
      <w:r w:rsidRPr="00574E79" w:rsidR="00243BF9">
        <w:t>particularly for wildfire and liability coverage</w:t>
      </w:r>
      <w:r w:rsidR="00991BEA">
        <w:t> </w:t>
      </w:r>
      <w:r w:rsidRPr="00574E79" w:rsidR="00243BF9">
        <w:t>—</w:t>
      </w:r>
      <w:r w:rsidR="00991BEA">
        <w:t xml:space="preserve"> </w:t>
      </w:r>
      <w:r w:rsidRPr="00574E79" w:rsidR="00243BF9">
        <w:t>justifies such protection for both ratepayers and shareholders</w:t>
      </w:r>
      <w:r w:rsidR="00243BF9">
        <w:t>.</w:t>
      </w:r>
      <w:r w:rsidR="00243BF9">
        <w:rPr>
          <w:rStyle w:val="FootnoteReference"/>
        </w:rPr>
        <w:footnoteReference w:id="216"/>
      </w:r>
    </w:p>
    <w:p w:rsidRPr="00574E79" w:rsidR="00243BF9" w:rsidP="00243BF9" w:rsidRDefault="00EB50F8" w14:paraId="4FB65149" w14:textId="2C564AC1">
      <w:pPr>
        <w:pStyle w:val="Standard"/>
      </w:pPr>
      <w:r>
        <w:t>Cal Water</w:t>
      </w:r>
      <w:r w:rsidRPr="00574E79" w:rsidR="00243BF9">
        <w:t xml:space="preserve"> further explains that statewide wildfire exposure has produced double</w:t>
      </w:r>
      <w:r w:rsidR="00270999">
        <w:noBreakHyphen/>
      </w:r>
      <w:r w:rsidRPr="00574E79" w:rsidR="00243BF9">
        <w:t>digit premium increases even for utilities with minimal claims history, reflecting reinsurance constraints rather than company performance. It asserts that establishing a LIBA would provide transparency, ensure symmetrical sharing of unexpected cost swings, and prevent rate lag in recognizing unavoidable market shifts.</w:t>
      </w:r>
    </w:p>
    <w:p w:rsidR="00CE0158" w:rsidP="00243BF9" w:rsidRDefault="00EB50F8" w14:paraId="429FEB98" w14:textId="65AF2C61">
      <w:pPr>
        <w:pStyle w:val="Standard"/>
      </w:pPr>
      <w:r>
        <w:t>Cal Advocates</w:t>
      </w:r>
      <w:r w:rsidRPr="00574E79" w:rsidR="00243BF9">
        <w:t xml:space="preserve"> opposes the proposed LIBA, arguing that insurance premiums can generally be forecast with reasonable accuracy and that </w:t>
      </w:r>
      <w:r>
        <w:t>Cal Water</w:t>
      </w:r>
      <w:r w:rsidRPr="00574E79" w:rsidR="00243BF9">
        <w:t xml:space="preserve"> has not demonstrated significant historic deviation between authorized and actual costs</w:t>
      </w:r>
      <w:r w:rsidR="00243BF9">
        <w:t>.</w:t>
      </w:r>
      <w:r w:rsidR="00243BF9">
        <w:rPr>
          <w:rStyle w:val="FootnoteReference"/>
        </w:rPr>
        <w:footnoteReference w:id="217"/>
      </w:r>
      <w:r w:rsidRPr="00574E79" w:rsidR="00243BF9">
        <w:t xml:space="preserve"> </w:t>
      </w:r>
      <w:r>
        <w:t>Cal Advocates</w:t>
      </w:r>
      <w:r w:rsidRPr="00574E79" w:rsidR="00243BF9">
        <w:t xml:space="preserve"> contends that the proposal would shift normal business risk to ratepayers and weaken incentives for </w:t>
      </w:r>
      <w:r>
        <w:t>Cal Water</w:t>
      </w:r>
      <w:r w:rsidRPr="00574E79" w:rsidR="00243BF9">
        <w:t xml:space="preserve"> to negotiate competitively priced coverage. It also warns that the 85</w:t>
      </w:r>
      <w:r w:rsidR="0032703D">
        <w:t> percent</w:t>
      </w:r>
      <w:r w:rsidRPr="00574E79" w:rsidR="00243BF9">
        <w:t xml:space="preserve"> cost</w:t>
      </w:r>
      <w:r w:rsidR="00270999">
        <w:noBreakHyphen/>
      </w:r>
      <w:r w:rsidRPr="00574E79" w:rsidR="00243BF9">
        <w:t xml:space="preserve">sharing proposal could still require ratepayers to shoulder part of any premium increase resulting from management choices such as deductible levels or coverage limits. </w:t>
      </w:r>
      <w:r>
        <w:lastRenderedPageBreak/>
        <w:t>Cal Advocates</w:t>
      </w:r>
      <w:r w:rsidRPr="00574E79" w:rsidR="00243BF9">
        <w:t xml:space="preserve"> further asserts that existing balancing mechanisms already provide adequate risk mitigation and that a new account could complicate oversight</w:t>
      </w:r>
      <w:r w:rsidR="00243BF9">
        <w:t>.</w:t>
      </w:r>
      <w:r w:rsidR="00243BF9">
        <w:rPr>
          <w:rStyle w:val="FootnoteReference"/>
        </w:rPr>
        <w:footnoteReference w:id="218"/>
      </w:r>
    </w:p>
    <w:p w:rsidR="00243BF9" w:rsidP="00243BF9" w:rsidRDefault="00243BF9" w14:paraId="1A824C87" w14:textId="5766643E">
      <w:pPr>
        <w:pStyle w:val="Standard"/>
      </w:pPr>
      <w:r w:rsidRPr="00574E79">
        <w:t xml:space="preserve">NAWC and CWA support </w:t>
      </w:r>
      <w:r w:rsidR="00EB50F8">
        <w:t>Cal Water</w:t>
      </w:r>
      <w:r w:rsidR="000C0896">
        <w:t>’</w:t>
      </w:r>
      <w:r w:rsidRPr="00574E79">
        <w:t>s request, emphasizing that liability</w:t>
      </w:r>
      <w:r w:rsidR="00270999">
        <w:noBreakHyphen/>
      </w:r>
      <w:r w:rsidRPr="00574E79">
        <w:t>insurance markets have tightened considerably following catastrophic</w:t>
      </w:r>
      <w:r w:rsidR="00270999">
        <w:noBreakHyphen/>
      </w:r>
      <w:r w:rsidRPr="00574E79">
        <w:t xml:space="preserve">loss events. They note that premium growth has outpaced inflation and that the LIBA would provide needed regulatory flexibility consistent with other </w:t>
      </w:r>
      <w:r w:rsidR="00EB50F8">
        <w:t>Class A</w:t>
      </w:r>
      <w:r w:rsidRPr="00574E79">
        <w:t xml:space="preserve"> utility mechanisms.</w:t>
      </w:r>
    </w:p>
    <w:p w:rsidRPr="00FF1B76" w:rsidR="00243BF9" w:rsidP="00243BF9" w:rsidRDefault="00243BF9" w14:paraId="13BE8C05" w14:textId="64A2F78D">
      <w:pPr>
        <w:pStyle w:val="Standard"/>
      </w:pPr>
      <w:r w:rsidRPr="00FF1B76">
        <w:t>In D.19</w:t>
      </w:r>
      <w:r w:rsidR="00270999">
        <w:noBreakHyphen/>
      </w:r>
      <w:r w:rsidRPr="00FF1B76">
        <w:t>12</w:t>
      </w:r>
      <w:r w:rsidR="00270999">
        <w:noBreakHyphen/>
      </w:r>
      <w:r w:rsidRPr="00FF1B76">
        <w:t>057 (Cal</w:t>
      </w:r>
      <w:r w:rsidR="00270999">
        <w:noBreakHyphen/>
      </w:r>
      <w:r w:rsidRPr="00FF1B76">
        <w:t>Am GRC) and D.16</w:t>
      </w:r>
      <w:r w:rsidR="00270999">
        <w:noBreakHyphen/>
      </w:r>
      <w:r w:rsidRPr="00FF1B76">
        <w:t>12</w:t>
      </w:r>
      <w:r w:rsidR="00270999">
        <w:noBreakHyphen/>
      </w:r>
      <w:r w:rsidRPr="00FF1B76">
        <w:t>026 (</w:t>
      </w:r>
      <w:r w:rsidR="004941FE">
        <w:t>San </w:t>
      </w:r>
      <w:r w:rsidRPr="00FF1B76">
        <w:t>Gabriel GRC), the Commission approved balancing accounts for cost categories</w:t>
      </w:r>
      <w:r w:rsidR="00AE44B3">
        <w:t xml:space="preserve"> — </w:t>
      </w:r>
      <w:r w:rsidRPr="00FF1B76">
        <w:t>such as insurance, healthcare, and pension</w:t>
      </w:r>
      <w:r>
        <w:t>s</w:t>
      </w:r>
      <w:r w:rsidR="00AE44B3">
        <w:t xml:space="preserve"> — </w:t>
      </w:r>
      <w:r w:rsidRPr="00FF1B76">
        <w:t>whose volatility results from external market or regulatory conditions. Those decisions emphasize the symmetrical nature of such accounts and the requirement for after</w:t>
      </w:r>
      <w:r w:rsidR="00270999">
        <w:noBreakHyphen/>
      </w:r>
      <w:r w:rsidRPr="00FF1B76">
        <w:t>the</w:t>
      </w:r>
      <w:r w:rsidR="00270999">
        <w:noBreakHyphen/>
      </w:r>
      <w:r w:rsidRPr="00FF1B76">
        <w:t>fact reasonableness review to preserve ratepayer protection.</w:t>
      </w:r>
    </w:p>
    <w:p w:rsidRPr="00574E79" w:rsidR="00243BF9" w:rsidP="00243BF9" w:rsidRDefault="00243BF9" w14:paraId="100E5F68" w14:textId="7397E4BB">
      <w:pPr>
        <w:pStyle w:val="Standard"/>
      </w:pPr>
      <w:r w:rsidRPr="00574E79">
        <w:t>The record demonstrates that liability</w:t>
      </w:r>
      <w:r w:rsidR="00270999">
        <w:noBreakHyphen/>
      </w:r>
      <w:r w:rsidRPr="00574E79">
        <w:t>insurance premiums for California water utilities have fluctuated markedly in recent years due to market hardening, wildfire</w:t>
      </w:r>
      <w:r w:rsidR="00270999">
        <w:noBreakHyphen/>
      </w:r>
      <w:r w:rsidRPr="00574E79">
        <w:t>related risk adjustments, and changes in global reinsurance pricing</w:t>
      </w:r>
      <w:r>
        <w:t>.</w:t>
      </w:r>
      <w:r>
        <w:rPr>
          <w:rStyle w:val="FootnoteReference"/>
        </w:rPr>
        <w:footnoteReference w:id="219"/>
      </w:r>
      <w:r w:rsidRPr="00574E79">
        <w:t xml:space="preserve"> </w:t>
      </w:r>
      <w:r w:rsidR="00EB50F8">
        <w:t>Cal Water</w:t>
      </w:r>
      <w:r w:rsidRPr="00574E79">
        <w:t xml:space="preserve"> provided evidence that its actual premiums have deviated from forecasts by up to 20</w:t>
      </w:r>
      <w:r w:rsidR="0032703D">
        <w:t> percent</w:t>
      </w:r>
      <w:r w:rsidRPr="00574E79">
        <w:t xml:space="preserve"> in some years, largely driven by external factors.</w:t>
      </w:r>
    </w:p>
    <w:p w:rsidRPr="00574E79" w:rsidR="00243BF9" w:rsidP="00243BF9" w:rsidRDefault="00243BF9" w14:paraId="126EC61E" w14:textId="0F9575EB">
      <w:pPr>
        <w:pStyle w:val="Standard"/>
      </w:pPr>
      <w:r w:rsidRPr="00574E79">
        <w:t xml:space="preserve">While </w:t>
      </w:r>
      <w:r w:rsidR="00EB50F8">
        <w:t>Cal Advocates</w:t>
      </w:r>
      <w:r w:rsidRPr="00574E79">
        <w:t xml:space="preserve"> argues that insurance costs are predictable, the Commission finds that liability</w:t>
      </w:r>
      <w:r w:rsidR="00270999">
        <w:noBreakHyphen/>
      </w:r>
      <w:r w:rsidRPr="00574E79">
        <w:t xml:space="preserve">insurance premiums exhibit substantial volatility and cannot be forecast precisely at the time of a GRC. Utilities must maintain continuous coverage to protect customers and shareholders, and premiums are </w:t>
      </w:r>
      <w:r w:rsidRPr="00574E79">
        <w:lastRenderedPageBreak/>
        <w:t>set by third</w:t>
      </w:r>
      <w:r w:rsidR="00270999">
        <w:noBreakHyphen/>
      </w:r>
      <w:r w:rsidRPr="00574E79">
        <w:t>party carriers based on industry</w:t>
      </w:r>
      <w:r w:rsidR="00270999">
        <w:noBreakHyphen/>
      </w:r>
      <w:r w:rsidRPr="00574E79">
        <w:t xml:space="preserve">wide risk models, not internal decisions. Accordingly, the record supports </w:t>
      </w:r>
      <w:r w:rsidR="00EB50F8">
        <w:t>Cal Water</w:t>
      </w:r>
      <w:r w:rsidR="000C0896">
        <w:t>’</w:t>
      </w:r>
      <w:r w:rsidRPr="00574E79">
        <w:t>s claim that premium variability is largely exogenous.</w:t>
      </w:r>
    </w:p>
    <w:p w:rsidRPr="00574E79" w:rsidR="00243BF9" w:rsidP="00243BF9" w:rsidRDefault="00243BF9" w14:paraId="3EB31C41" w14:textId="2F6A3542">
      <w:pPr>
        <w:pStyle w:val="Standard"/>
      </w:pPr>
      <w:r w:rsidRPr="00574E79">
        <w:t>The proposed 85</w:t>
      </w:r>
      <w:r w:rsidR="0032703D">
        <w:t> percent</w:t>
      </w:r>
      <w:r w:rsidRPr="00574E79">
        <w:t xml:space="preserve"> amortization structure appropriately balances risk between ratepayers and shareholders. This risk</w:t>
      </w:r>
      <w:r w:rsidR="00270999">
        <w:noBreakHyphen/>
      </w:r>
      <w:r w:rsidRPr="00574E79">
        <w:t>sharing approach is consistent with that approved for the HCBA in D.19</w:t>
      </w:r>
      <w:r w:rsidR="00270999">
        <w:noBreakHyphen/>
      </w:r>
      <w:r w:rsidRPr="00574E79">
        <w:t>12</w:t>
      </w:r>
      <w:r w:rsidR="00270999">
        <w:noBreakHyphen/>
      </w:r>
      <w:r w:rsidRPr="00574E79">
        <w:t>057 and ensures that both parties retain a financial stake in controlling premium volatility while maintaining adequate coverage. By limiting recovery (and refunds) to 85</w:t>
      </w:r>
      <w:r w:rsidR="0032703D">
        <w:t> percent</w:t>
      </w:r>
      <w:r w:rsidRPr="00574E79">
        <w:t xml:space="preserve"> of the balance, the mechanism preserves incentives for </w:t>
      </w:r>
      <w:r w:rsidR="00EB50F8">
        <w:t>Cal Water</w:t>
      </w:r>
      <w:r w:rsidRPr="00574E79">
        <w:t xml:space="preserve"> to negotiate cost</w:t>
      </w:r>
      <w:r w:rsidR="00270999">
        <w:noBreakHyphen/>
      </w:r>
      <w:r w:rsidRPr="00574E79">
        <w:t>effective insurance contracts and to pursue risk</w:t>
      </w:r>
      <w:r w:rsidR="00270999">
        <w:noBreakHyphen/>
      </w:r>
      <w:r w:rsidRPr="00574E79">
        <w:t>mitigation strategies.</w:t>
      </w:r>
    </w:p>
    <w:p w:rsidRPr="00574E79" w:rsidR="00243BF9" w:rsidP="00243BF9" w:rsidRDefault="00243BF9" w14:paraId="784FBBA8" w14:textId="7BFF0321">
      <w:pPr>
        <w:pStyle w:val="Standard"/>
      </w:pPr>
      <w:r w:rsidRPr="00574E79">
        <w:t>The Commission clarifies that only direct, third</w:t>
      </w:r>
      <w:r w:rsidR="00270999">
        <w:noBreakHyphen/>
      </w:r>
      <w:r w:rsidRPr="00574E79">
        <w:t>party premium payments may be recorded in the LIBA. Self</w:t>
      </w:r>
      <w:r w:rsidR="00270999">
        <w:noBreakHyphen/>
      </w:r>
      <w:r w:rsidRPr="00574E79">
        <w:t>insured reserves, deductible losses, and internal risk</w:t>
      </w:r>
      <w:r w:rsidR="00270999">
        <w:noBreakHyphen/>
      </w:r>
      <w:r w:rsidRPr="00574E79">
        <w:t>management administration costs shall remain part of ordinary O&amp;M and may not be tracked in the account. All entries are subject to reasonableness review before any amortization request.</w:t>
      </w:r>
    </w:p>
    <w:p w:rsidRPr="00FF1B76" w:rsidR="00243BF9" w:rsidP="00243BF9" w:rsidRDefault="00243BF9" w14:paraId="7AB2A278" w14:textId="60940D5A">
      <w:pPr>
        <w:pStyle w:val="Standard"/>
      </w:pPr>
      <w:r w:rsidRPr="00FF1B76">
        <w:t>The record supports creation of a LIBA for the 2026</w:t>
      </w:r>
      <w:r w:rsidR="00270999">
        <w:noBreakHyphen/>
      </w:r>
      <w:r w:rsidRPr="00FF1B76">
        <w:t>2028 period, limited to third</w:t>
      </w:r>
      <w:r w:rsidR="00270999">
        <w:noBreakHyphen/>
      </w:r>
      <w:r w:rsidRPr="00FF1B76">
        <w:t>party premium expenses for general</w:t>
      </w:r>
      <w:r w:rsidR="00270999">
        <w:noBreakHyphen/>
      </w:r>
      <w:r w:rsidRPr="00FF1B76">
        <w:t>liability, excess</w:t>
      </w:r>
      <w:r w:rsidR="00270999">
        <w:noBreakHyphen/>
      </w:r>
      <w:r w:rsidRPr="00FF1B76">
        <w:t>liability, and umbrella coverage. The LIBA is justified by external market volatility and aligns with Commission precedent authorizing balancing accounts for uncontrollable cost categories. The 85</w:t>
      </w:r>
      <w:r w:rsidR="0032703D">
        <w:t> percent</w:t>
      </w:r>
      <w:r w:rsidRPr="00FF1B76">
        <w:t xml:space="preserve"> risk</w:t>
      </w:r>
      <w:r w:rsidR="00270999">
        <w:noBreakHyphen/>
      </w:r>
      <w:r w:rsidRPr="00FF1B76">
        <w:t>sharing framework ensures balanced incentives for cost control and symmetrical treatment of over</w:t>
      </w:r>
      <w:r w:rsidR="00270999">
        <w:noBreakHyphen/>
      </w:r>
      <w:r w:rsidRPr="00FF1B76">
        <w:t xml:space="preserve"> and under</w:t>
      </w:r>
      <w:r w:rsidR="00270999">
        <w:noBreakHyphen/>
      </w:r>
      <w:r w:rsidRPr="00FF1B76">
        <w:t>collections while preserving ratepayer protection through reasonableness review</w:t>
      </w:r>
    </w:p>
    <w:p w:rsidR="00243BF9" w:rsidP="00243BF9" w:rsidRDefault="00243BF9" w14:paraId="2B9C6447" w14:textId="5FC901CC">
      <w:pPr>
        <w:pStyle w:val="Standard"/>
      </w:pPr>
      <w:r w:rsidRPr="00263300">
        <w:t>The 85</w:t>
      </w:r>
      <w:r w:rsidR="0032703D">
        <w:t> percent</w:t>
      </w:r>
      <w:r w:rsidRPr="00263300">
        <w:t xml:space="preserve"> sharing mechanism balances risk between ratepayers and shareholders and preserves incentives for prudent cost control.</w:t>
      </w:r>
      <w:r w:rsidR="001947C4">
        <w:t xml:space="preserve"> In its </w:t>
      </w:r>
      <w:r w:rsidR="00F27172">
        <w:t>next</w:t>
      </w:r>
      <w:r w:rsidR="001947C4">
        <w:t xml:space="preserve"> GRC, Cal Water </w:t>
      </w:r>
      <w:r w:rsidRPr="00960D57" w:rsidR="001947C4">
        <w:t xml:space="preserve">shall </w:t>
      </w:r>
      <w:r w:rsidR="001947C4">
        <w:t>provide a status report on the</w:t>
      </w:r>
      <w:r w:rsidRPr="00960D57" w:rsidR="001947C4">
        <w:t xml:space="preserve"> </w:t>
      </w:r>
      <w:r w:rsidR="001947C4">
        <w:t xml:space="preserve">LIBA by providing this status report as part of its witness-sponsored testimony, and the </w:t>
      </w:r>
      <w:r w:rsidRPr="00960D57" w:rsidR="001947C4">
        <w:t xml:space="preserve">status report </w:t>
      </w:r>
      <w:r w:rsidR="001947C4">
        <w:t xml:space="preserve">shall </w:t>
      </w:r>
      <w:r w:rsidR="001947C4">
        <w:lastRenderedPageBreak/>
        <w:t xml:space="preserve">include a summary of </w:t>
      </w:r>
      <w:r w:rsidRPr="00960D57" w:rsidR="001947C4">
        <w:t>recorded entries, year</w:t>
      </w:r>
      <w:r w:rsidR="001947C4">
        <w:noBreakHyphen/>
      </w:r>
      <w:r w:rsidRPr="00960D57" w:rsidR="001947C4">
        <w:t xml:space="preserve">end balances, </w:t>
      </w:r>
      <w:r w:rsidR="001947C4">
        <w:t xml:space="preserve">requests to amortize over- and under-collections, </w:t>
      </w:r>
      <w:r w:rsidRPr="00960D57" w:rsidR="001947C4">
        <w:t>and explanations for any material deviations between forecast and actual values.</w:t>
      </w:r>
    </w:p>
    <w:p w:rsidR="008B2B66" w:rsidP="008B2B66" w:rsidRDefault="008B2B66" w14:paraId="596AA8F6" w14:textId="4916C5D9">
      <w:pPr>
        <w:pStyle w:val="Heading3"/>
      </w:pPr>
      <w:bookmarkStart w:name="_Toc222305288" w:id="152"/>
      <w:bookmarkStart w:name="_Toc228294715" w:id="153"/>
      <w:r>
        <w:t xml:space="preserve">Scoped </w:t>
      </w:r>
      <w:r w:rsidR="009D287A">
        <w:t>Issue #</w:t>
      </w:r>
      <w:r>
        <w:t>23</w:t>
      </w:r>
      <w:r w:rsidR="000C0896">
        <w:t xml:space="preserve">:  </w:t>
      </w:r>
      <w:r w:rsidRPr="003C3377" w:rsidR="00243BF9">
        <w:t xml:space="preserve">Special </w:t>
      </w:r>
      <w:r w:rsidR="00D92D0A">
        <w:t>Request #</w:t>
      </w:r>
      <w:r w:rsidRPr="003C3377" w:rsidR="00243BF9">
        <w:t>11</w:t>
      </w:r>
      <w:r w:rsidR="00AE44B3">
        <w:t>:</w:t>
      </w:r>
      <w:r w:rsidR="00AE44B3">
        <w:br/>
      </w:r>
      <w:r w:rsidRPr="003C3377" w:rsidR="00243BF9">
        <w:t>Request for Water Contamination Remediation Memo Account</w:t>
      </w:r>
      <w:bookmarkEnd w:id="152"/>
      <w:bookmarkEnd w:id="153"/>
    </w:p>
    <w:p w:rsidRPr="00943553" w:rsidR="00243BF9" w:rsidP="00243BF9" w:rsidRDefault="00243BF9" w14:paraId="61FCE438" w14:textId="2CC8DF24">
      <w:pPr>
        <w:pStyle w:val="Standard"/>
      </w:pPr>
      <w:r w:rsidRPr="00943553">
        <w:t xml:space="preserve">This issue addresses whether </w:t>
      </w:r>
      <w:r w:rsidR="00EB50F8">
        <w:t>Cal Water</w:t>
      </w:r>
      <w:r w:rsidR="000C0896">
        <w:t>’</w:t>
      </w:r>
      <w:r>
        <w:t>s</w:t>
      </w:r>
      <w:r w:rsidRPr="00943553">
        <w:t xml:space="preserve"> proposal to establish a WCRMA is reasonable and in the public interest. </w:t>
      </w:r>
      <w:r w:rsidR="00EB50F8">
        <w:t>Cal Water</w:t>
      </w:r>
      <w:r w:rsidRPr="00943553">
        <w:t xml:space="preserve"> seeks authority to consolidate multiple contaminant</w:t>
      </w:r>
      <w:r w:rsidR="00270999">
        <w:noBreakHyphen/>
      </w:r>
      <w:r w:rsidRPr="00943553">
        <w:t>specific memorandum accounts into a single, unified account that would record incremental costs associated with the investigation, remediation, and treatment of water contamination caused by third parties.</w:t>
      </w:r>
    </w:p>
    <w:p w:rsidRPr="00943553" w:rsidR="00243BF9" w:rsidP="00243BF9" w:rsidRDefault="00EB50F8" w14:paraId="3DCC1F39" w14:textId="591D7E5A">
      <w:pPr>
        <w:pStyle w:val="Standard"/>
      </w:pPr>
      <w:r>
        <w:t>Cal Water</w:t>
      </w:r>
      <w:r w:rsidRPr="00943553" w:rsidR="00243BF9">
        <w:t xml:space="preserve"> argues that a consolidated WCRMA would simplify regulatory administration, improve transparency, and reduce the proliferation of multiple single</w:t>
      </w:r>
      <w:r w:rsidR="00270999">
        <w:noBreakHyphen/>
      </w:r>
      <w:r w:rsidRPr="00943553" w:rsidR="00243BF9">
        <w:t>contaminant accounts</w:t>
      </w:r>
      <w:r w:rsidR="00243BF9">
        <w:t>.</w:t>
      </w:r>
      <w:r w:rsidR="00243BF9">
        <w:rPr>
          <w:rStyle w:val="FootnoteReference"/>
        </w:rPr>
        <w:footnoteReference w:id="220"/>
      </w:r>
      <w:r w:rsidRPr="00943553" w:rsidR="00243BF9">
        <w:t xml:space="preserve"> </w:t>
      </w:r>
      <w:r>
        <w:t>Cal Water</w:t>
      </w:r>
      <w:r w:rsidRPr="00943553" w:rsidR="00243BF9">
        <w:t xml:space="preserve"> notes that its current portfolio includes separate memorandum accounts for contaminants such as PFAS, 1,2,3</w:t>
      </w:r>
      <w:r w:rsidR="00270999">
        <w:noBreakHyphen/>
      </w:r>
      <w:r w:rsidRPr="00943553" w:rsidR="00243BF9">
        <w:t>TCP, and chromium</w:t>
      </w:r>
      <w:r w:rsidR="00270999">
        <w:noBreakHyphen/>
      </w:r>
      <w:r w:rsidRPr="00943553" w:rsidR="00243BF9">
        <w:t>6, each requiring frequent Commission filings and duplicative reporting. It asserts that a single WCRMA would enhance efficiency while retaining Commission oversight through sub</w:t>
      </w:r>
      <w:r w:rsidR="00270999">
        <w:noBreakHyphen/>
      </w:r>
      <w:r w:rsidRPr="00943553" w:rsidR="00243BF9">
        <w:t>accounting and reasonableness review.</w:t>
      </w:r>
    </w:p>
    <w:p w:rsidR="00CE0158" w:rsidP="00243BF9" w:rsidRDefault="00EB50F8" w14:paraId="75C71330" w14:textId="2C4094EF">
      <w:pPr>
        <w:pStyle w:val="Standard"/>
      </w:pPr>
      <w:r>
        <w:t>Cal Water</w:t>
      </w:r>
      <w:r w:rsidRPr="00943553" w:rsidR="00243BF9">
        <w:t xml:space="preserve"> maintains that its proposal is consistent with Commission policy and prior authorizations, citing D.19</w:t>
      </w:r>
      <w:r w:rsidR="00270999">
        <w:noBreakHyphen/>
      </w:r>
      <w:r w:rsidRPr="00943553" w:rsidR="00243BF9">
        <w:t>12</w:t>
      </w:r>
      <w:r w:rsidR="00270999">
        <w:noBreakHyphen/>
      </w:r>
      <w:r w:rsidRPr="00943553" w:rsidR="00243BF9">
        <w:t>057 (Cal</w:t>
      </w:r>
      <w:r w:rsidR="00270999">
        <w:noBreakHyphen/>
      </w:r>
      <w:r w:rsidRPr="00943553" w:rsidR="00243BF9">
        <w:t>Am GRC) and D.16</w:t>
      </w:r>
      <w:r w:rsidR="00270999">
        <w:noBreakHyphen/>
      </w:r>
      <w:r w:rsidRPr="00943553" w:rsidR="00243BF9">
        <w:t>12</w:t>
      </w:r>
      <w:r w:rsidR="00270999">
        <w:noBreakHyphen/>
      </w:r>
      <w:r w:rsidRPr="00943553" w:rsidR="00243BF9">
        <w:t>026 (</w:t>
      </w:r>
      <w:r w:rsidR="004941FE">
        <w:t>San </w:t>
      </w:r>
      <w:r w:rsidRPr="00943553" w:rsidR="00243BF9">
        <w:t xml:space="preserve">Gabriel Valley GRC), which approved memorandum accounts to track remediation expenses for emerging contaminants. </w:t>
      </w:r>
      <w:r>
        <w:t>Cal Water</w:t>
      </w:r>
      <w:r w:rsidRPr="00943553" w:rsidR="00243BF9">
        <w:t xml:space="preserve"> emphasizes that the WCRMA would not grant automatic cost recovery but would allow </w:t>
      </w:r>
      <w:r w:rsidRPr="00943553" w:rsidR="00243BF9">
        <w:lastRenderedPageBreak/>
        <w:t>interim recording of extraordinary and unforeseeable contamination</w:t>
      </w:r>
      <w:r w:rsidR="00270999">
        <w:noBreakHyphen/>
      </w:r>
      <w:r w:rsidRPr="00943553" w:rsidR="00243BF9">
        <w:t>related expenses pending review</w:t>
      </w:r>
      <w:r w:rsidR="00243BF9">
        <w:t>.</w:t>
      </w:r>
      <w:r w:rsidR="00243BF9">
        <w:rPr>
          <w:rStyle w:val="FootnoteReference"/>
        </w:rPr>
        <w:footnoteReference w:id="221"/>
      </w:r>
    </w:p>
    <w:p w:rsidRPr="00943553" w:rsidR="00243BF9" w:rsidP="00243BF9" w:rsidRDefault="00EB50F8" w14:paraId="74687FC0" w14:textId="0898D484">
      <w:pPr>
        <w:pStyle w:val="Standard"/>
      </w:pPr>
      <w:r>
        <w:t>Cal Water</w:t>
      </w:r>
      <w:r w:rsidRPr="00943553" w:rsidR="00243BF9">
        <w:t xml:space="preserve"> adds that the WCRMA would provide a consistent framework for documenting cleanup costs mandated by state or federal regulators and for tracking third</w:t>
      </w:r>
      <w:r w:rsidR="00270999">
        <w:noBreakHyphen/>
      </w:r>
      <w:r w:rsidRPr="00943553" w:rsidR="00243BF9">
        <w:t xml:space="preserve">party reimbursement litigation. By standardizing accounting across districts, </w:t>
      </w:r>
      <w:r>
        <w:t>Cal Water</w:t>
      </w:r>
      <w:r w:rsidRPr="00943553" w:rsidR="00243BF9">
        <w:t xml:space="preserve"> argues the mechanism would enhance auditability and reduce regulatory lag without diminishing transparency.</w:t>
      </w:r>
    </w:p>
    <w:p w:rsidRPr="00943553" w:rsidR="00243BF9" w:rsidP="00243BF9" w:rsidRDefault="00EB50F8" w14:paraId="67F9D1CC" w14:textId="18DBFD79">
      <w:pPr>
        <w:pStyle w:val="Standard"/>
      </w:pPr>
      <w:r>
        <w:t>Cal Advocates</w:t>
      </w:r>
      <w:r w:rsidRPr="00943553" w:rsidR="00243BF9">
        <w:t xml:space="preserve"> opposes creation of a single WCRMA, arguing that </w:t>
      </w:r>
      <w:r w:rsidR="00760409">
        <w:t>Cal Water</w:t>
      </w:r>
      <w:r w:rsidRPr="00943553" w:rsidR="00243BF9">
        <w:t xml:space="preserve"> has not demonstrated a specific administrative inefficiency from maintaining contaminant</w:t>
      </w:r>
      <w:r w:rsidR="00270999">
        <w:noBreakHyphen/>
      </w:r>
      <w:r w:rsidRPr="00943553" w:rsidR="00243BF9">
        <w:t>specific accounts</w:t>
      </w:r>
      <w:r w:rsidR="00243BF9">
        <w:t>.</w:t>
      </w:r>
      <w:r w:rsidR="00243BF9">
        <w:rPr>
          <w:rStyle w:val="FootnoteReference"/>
        </w:rPr>
        <w:footnoteReference w:id="222"/>
      </w:r>
      <w:r w:rsidRPr="00943553" w:rsidR="00243BF9">
        <w:t xml:space="preserve"> It contends that a broad, umbrella account could reduce clarity by pooling unrelated costs and complicating Commission review. </w:t>
      </w:r>
      <w:r>
        <w:t>Cal Advocates</w:t>
      </w:r>
      <w:r w:rsidRPr="00943553" w:rsidR="00243BF9">
        <w:t xml:space="preserve"> also maintains that remediation activities are a regular part of utility operations and should generally be funded through base rates rather than new memorandum accounts. It warns that consolidation could create an open</w:t>
      </w:r>
      <w:r w:rsidR="00FD6045">
        <w:noBreakHyphen/>
      </w:r>
      <w:r w:rsidRPr="00943553" w:rsidR="00243BF9">
        <w:t>ended mechanism lacking clearly defined eligibility criteria and might expand the scope of costs recorded without showing that they are unforeseeable or extraordinary.</w:t>
      </w:r>
    </w:p>
    <w:p w:rsidR="00CE0158" w:rsidP="00243BF9" w:rsidRDefault="00EB50F8" w14:paraId="0E66F0BA" w14:textId="5D0A4130">
      <w:pPr>
        <w:pStyle w:val="Standard"/>
      </w:pPr>
      <w:r>
        <w:t>Cal Advocates</w:t>
      </w:r>
      <w:r w:rsidRPr="00943553" w:rsidR="00243BF9">
        <w:t xml:space="preserve"> further cites the Commission</w:t>
      </w:r>
      <w:r w:rsidR="000C0896">
        <w:t>’</w:t>
      </w:r>
      <w:r w:rsidRPr="00943553" w:rsidR="00243BF9">
        <w:t xml:space="preserve">s repeated concerns about </w:t>
      </w:r>
      <w:r w:rsidR="00A23D11">
        <w:t>“</w:t>
      </w:r>
      <w:r w:rsidRPr="00943553" w:rsidR="00243BF9">
        <w:t>memo creep</w:t>
      </w:r>
      <w:r w:rsidR="00A23D11">
        <w:t>”</w:t>
      </w:r>
      <w:r w:rsidR="00AE44B3">
        <w:t xml:space="preserve"> — </w:t>
      </w:r>
      <w:r w:rsidRPr="00943553" w:rsidR="00243BF9">
        <w:t>the gradual expansion of memorandum accounts without clear evidence of new or uncontrollable risks</w:t>
      </w:r>
      <w:r w:rsidR="00AE44B3">
        <w:t xml:space="preserve"> — </w:t>
      </w:r>
      <w:r w:rsidRPr="00943553" w:rsidR="00243BF9">
        <w:t xml:space="preserve">and argues that </w:t>
      </w:r>
      <w:r>
        <w:t>Cal Water</w:t>
      </w:r>
      <w:r w:rsidRPr="00943553" w:rsidR="00243BF9">
        <w:t xml:space="preserve"> failed to document any instances where multiple contaminant accounts caused regulatory delay</w:t>
      </w:r>
      <w:r w:rsidR="00243BF9">
        <w:t>.</w:t>
      </w:r>
      <w:r w:rsidR="00243BF9">
        <w:rPr>
          <w:rStyle w:val="FootnoteReference"/>
        </w:rPr>
        <w:footnoteReference w:id="223"/>
      </w:r>
    </w:p>
    <w:p w:rsidR="00243BF9" w:rsidP="00243BF9" w:rsidRDefault="00EB50F8" w14:paraId="6E996DA4" w14:textId="2A01979A">
      <w:pPr>
        <w:pStyle w:val="Standard"/>
      </w:pPr>
      <w:r>
        <w:lastRenderedPageBreak/>
        <w:t>Cal Water</w:t>
      </w:r>
      <w:r w:rsidRPr="00943553" w:rsidR="00243BF9">
        <w:t xml:space="preserve"> responds that the WCRMA would not weaken oversight but rather streamline it by establishing a single account with sub</w:t>
      </w:r>
      <w:r w:rsidR="00270999">
        <w:noBreakHyphen/>
      </w:r>
      <w:r w:rsidRPr="00943553" w:rsidR="00243BF9">
        <w:t>accounts for each contaminant and district. Each sub</w:t>
      </w:r>
      <w:r w:rsidR="00270999">
        <w:noBreakHyphen/>
      </w:r>
      <w:r w:rsidRPr="00943553" w:rsidR="00243BF9">
        <w:t>account would retain detailed work</w:t>
      </w:r>
      <w:r w:rsidR="00270999">
        <w:noBreakHyphen/>
      </w:r>
      <w:r w:rsidRPr="00943553" w:rsidR="00243BF9">
        <w:t>order and cost tracking, ensuring that Commission staff can audit individual entries</w:t>
      </w:r>
      <w:r w:rsidR="00243BF9">
        <w:t>.</w:t>
      </w:r>
      <w:r w:rsidR="00243BF9">
        <w:rPr>
          <w:rStyle w:val="FootnoteReference"/>
        </w:rPr>
        <w:footnoteReference w:id="224"/>
      </w:r>
      <w:r w:rsidRPr="00943553" w:rsidR="00243BF9">
        <w:t xml:space="preserve"> </w:t>
      </w:r>
      <w:r>
        <w:t>Cal Water</w:t>
      </w:r>
      <w:r w:rsidRPr="00943553" w:rsidR="00243BF9">
        <w:t xml:space="preserve"> asserts that this approach is fully consistent with existing practice and does not expand recovery authority without further Commission approval.</w:t>
      </w:r>
    </w:p>
    <w:p w:rsidR="00243BF9" w:rsidP="00243BF9" w:rsidRDefault="00243BF9" w14:paraId="0F10151B" w14:textId="2D88FC84">
      <w:pPr>
        <w:pStyle w:val="Standard"/>
      </w:pPr>
      <w:r w:rsidRPr="00484CDA">
        <w:t>In D.19</w:t>
      </w:r>
      <w:r w:rsidR="00270999">
        <w:noBreakHyphen/>
      </w:r>
      <w:r w:rsidRPr="00484CDA">
        <w:t>12</w:t>
      </w:r>
      <w:r w:rsidR="00270999">
        <w:noBreakHyphen/>
      </w:r>
      <w:r w:rsidRPr="00484CDA">
        <w:t>057 (Cal</w:t>
      </w:r>
      <w:r w:rsidR="00270999">
        <w:noBreakHyphen/>
      </w:r>
      <w:r w:rsidRPr="00484CDA">
        <w:t>Am GRC), the Commission approved a contamination</w:t>
      </w:r>
      <w:r w:rsidR="00270999">
        <w:noBreakHyphen/>
      </w:r>
      <w:r w:rsidRPr="00484CDA">
        <w:t>remediation memorandum account limited to specific emerging contaminants (PFAS and 1,2,3</w:t>
      </w:r>
      <w:r w:rsidR="00270999">
        <w:noBreakHyphen/>
      </w:r>
      <w:r w:rsidRPr="00484CDA">
        <w:t>TCP) and conditioned recovery on clear documentation of regulatory or third</w:t>
      </w:r>
      <w:r w:rsidR="00270999">
        <w:noBreakHyphen/>
      </w:r>
      <w:r w:rsidRPr="00484CDA">
        <w:t>party cost drivers. Similarly, D.16</w:t>
      </w:r>
      <w:r w:rsidR="00270999">
        <w:noBreakHyphen/>
      </w:r>
      <w:r w:rsidRPr="00484CDA">
        <w:t>12</w:t>
      </w:r>
      <w:r w:rsidR="00270999">
        <w:noBreakHyphen/>
      </w:r>
      <w:r w:rsidRPr="00484CDA">
        <w:t>026 (</w:t>
      </w:r>
      <w:r w:rsidR="004941FE">
        <w:t>San </w:t>
      </w:r>
      <w:r w:rsidRPr="00484CDA">
        <w:t>Gabriel GRC) reaffirmed that such accounts are appropriate only where the magnitude, timing, and cause of expenses are unforeseeable and beyond management control.</w:t>
      </w:r>
    </w:p>
    <w:p w:rsidRPr="00943553" w:rsidR="00243BF9" w:rsidP="00243BF9" w:rsidRDefault="00EB50F8" w14:paraId="77066F44" w14:textId="2C1F15D1">
      <w:pPr>
        <w:pStyle w:val="Standard"/>
      </w:pPr>
      <w:r>
        <w:t>Cal Water</w:t>
      </w:r>
      <w:r w:rsidR="000C0896">
        <w:t>’</w:t>
      </w:r>
      <w:r w:rsidRPr="00943553" w:rsidR="00243BF9">
        <w:t>s proposal to consolidate its PFAS, TCP, and other contaminant accounts into a single WCRMA has administrative merit and is supported by the record as a means to reduce duplicative reporting and improve efficiency while preserving Commission oversight</w:t>
      </w:r>
      <w:r w:rsidR="00243BF9">
        <w:t>.</w:t>
      </w:r>
      <w:r w:rsidR="00243BF9">
        <w:rPr>
          <w:rStyle w:val="FootnoteReference"/>
        </w:rPr>
        <w:footnoteReference w:id="225"/>
      </w:r>
      <w:r w:rsidRPr="00943553" w:rsidR="00243BF9">
        <w:t xml:space="preserve"> The record demonstrates that </w:t>
      </w:r>
      <w:r>
        <w:t>Cal Water</w:t>
      </w:r>
      <w:r w:rsidRPr="00943553" w:rsidR="00243BF9">
        <w:t xml:space="preserve"> has been required to maintain multiple nearly identical memorandum accounts, each requiring individual annual filings and data requests for costs arising from similar remediation activities.</w:t>
      </w:r>
    </w:p>
    <w:p w:rsidRPr="00943553" w:rsidR="00243BF9" w:rsidP="00243BF9" w:rsidRDefault="00243BF9" w14:paraId="4CE78853" w14:textId="45BF2A8E">
      <w:pPr>
        <w:pStyle w:val="Standard"/>
      </w:pPr>
      <w:r w:rsidRPr="00943553">
        <w:t xml:space="preserve">At the same time, </w:t>
      </w:r>
      <w:r w:rsidR="00EB50F8">
        <w:t>Cal Advocates</w:t>
      </w:r>
      <w:r w:rsidRPr="00943553">
        <w:t xml:space="preserve"> raises valid concerns that consolidation could reduce cost transparency if </w:t>
      </w:r>
      <w:r w:rsidR="00EB50F8">
        <w:t>Cal Water</w:t>
      </w:r>
      <w:r w:rsidRPr="00943553">
        <w:t xml:space="preserve"> fails to maintain contaminant</w:t>
      </w:r>
      <w:r w:rsidR="00270999">
        <w:noBreakHyphen/>
      </w:r>
      <w:r w:rsidRPr="00943553">
        <w:t>specific sub</w:t>
      </w:r>
      <w:r w:rsidR="00270999">
        <w:noBreakHyphen/>
      </w:r>
      <w:r w:rsidRPr="00943553">
        <w:t xml:space="preserve">records. The Commission agrees that a pooled </w:t>
      </w:r>
      <w:r w:rsidRPr="00943553">
        <w:lastRenderedPageBreak/>
        <w:t>structure without detailed sub</w:t>
      </w:r>
      <w:r w:rsidR="00270999">
        <w:noBreakHyphen/>
      </w:r>
      <w:r w:rsidRPr="00943553">
        <w:t>accounting would obscure the nature, magnitude, and causation of individual remediation costs and could hinder audit trails for future reasonableness reviews.</w:t>
      </w:r>
    </w:p>
    <w:p w:rsidRPr="00943553" w:rsidR="00243BF9" w:rsidP="00243BF9" w:rsidRDefault="00243BF9" w14:paraId="61129B63" w14:textId="67917ED4">
      <w:pPr>
        <w:pStyle w:val="Standard"/>
      </w:pPr>
      <w:r w:rsidRPr="00484CDA">
        <w:t xml:space="preserve">The record supports establishment of a WCRMA </w:t>
      </w:r>
      <w:r w:rsidRPr="00943553">
        <w:t>to replace multiple contaminant</w:t>
      </w:r>
      <w:r w:rsidR="00270999">
        <w:noBreakHyphen/>
      </w:r>
      <w:r w:rsidRPr="00943553">
        <w:t>specific memorandum accounts, subject to strict reporting and sub</w:t>
      </w:r>
      <w:r w:rsidR="00270999">
        <w:noBreakHyphen/>
      </w:r>
      <w:r w:rsidRPr="00943553">
        <w:t>accounting requirements.</w:t>
      </w:r>
    </w:p>
    <w:p w:rsidR="0084292E" w:rsidP="00500635" w:rsidRDefault="00243BF9" w14:paraId="1958C5C5" w14:textId="7205BB93">
      <w:pPr>
        <w:pStyle w:val="Standard"/>
      </w:pPr>
      <w:r w:rsidRPr="00960D57">
        <w:t xml:space="preserve">The WCRMA shall record only incremental, unforeseeable, and externally driven remediation costs related to water contamination caused by third parties or new regulatory mandates. </w:t>
      </w:r>
      <w:r w:rsidR="00EB50F8">
        <w:t>Cal Water</w:t>
      </w:r>
      <w:r w:rsidRPr="00960D57">
        <w:t xml:space="preserve"> must maintain separate sub</w:t>
      </w:r>
      <w:r w:rsidR="00270999">
        <w:noBreakHyphen/>
      </w:r>
      <w:r w:rsidRPr="00960D57">
        <w:t xml:space="preserve">accounts for each contaminant and district to ensure transparency and enable future reasonableness review. </w:t>
      </w:r>
      <w:r w:rsidR="001947C4">
        <w:t>T</w:t>
      </w:r>
      <w:r w:rsidRPr="00960D57">
        <w:t xml:space="preserve">he memorandum account may be recovered through </w:t>
      </w:r>
      <w:r w:rsidR="00EB50F8">
        <w:t>Cal Water</w:t>
      </w:r>
      <w:r w:rsidR="000C0896">
        <w:t>’</w:t>
      </w:r>
      <w:r w:rsidRPr="00960D57">
        <w:t>s next GRC.</w:t>
      </w:r>
      <w:r w:rsidR="001947C4">
        <w:t xml:space="preserve"> Specifically, in its </w:t>
      </w:r>
      <w:r w:rsidR="00F27172">
        <w:t>next</w:t>
      </w:r>
      <w:r w:rsidR="001947C4">
        <w:t xml:space="preserve"> GRC, Cal Water </w:t>
      </w:r>
      <w:r w:rsidRPr="00960D57" w:rsidR="001947C4">
        <w:t xml:space="preserve">shall </w:t>
      </w:r>
      <w:r w:rsidR="001947C4">
        <w:t>provide a status report on the</w:t>
      </w:r>
      <w:r w:rsidRPr="00960D57" w:rsidR="001947C4">
        <w:t xml:space="preserve"> </w:t>
      </w:r>
      <w:r w:rsidR="001947C4">
        <w:t>WCRMA by providing this status report as part of its witness-sponsored testimony, and the</w:t>
      </w:r>
      <w:r w:rsidRPr="00960D57" w:rsidR="001947C4">
        <w:t xml:space="preserve"> status report </w:t>
      </w:r>
      <w:r w:rsidR="001947C4">
        <w:t>shall include a summary of</w:t>
      </w:r>
      <w:r w:rsidRPr="00960D57" w:rsidR="001947C4">
        <w:t xml:space="preserve"> recorded entries, contaminant categories, district locations, </w:t>
      </w:r>
      <w:r w:rsidR="001947C4">
        <w:t xml:space="preserve">requests to amortize under-collections, </w:t>
      </w:r>
      <w:r w:rsidRPr="00960D57" w:rsidR="001947C4">
        <w:t>and the status of any ongoing third</w:t>
      </w:r>
      <w:r w:rsidR="001947C4">
        <w:noBreakHyphen/>
      </w:r>
      <w:r w:rsidRPr="00960D57" w:rsidR="001947C4">
        <w:t>party recovery actions.</w:t>
      </w:r>
    </w:p>
    <w:p w:rsidR="000E4D84" w:rsidP="000E4D84" w:rsidRDefault="000E4D84" w14:paraId="21A3891F" w14:textId="65295CAB">
      <w:pPr>
        <w:pStyle w:val="Heading2"/>
      </w:pPr>
      <w:bookmarkStart w:name="_Toc222305289" w:id="154"/>
      <w:bookmarkStart w:name="_Toc228294716" w:id="155"/>
      <w:r>
        <w:t xml:space="preserve">Scoped </w:t>
      </w:r>
      <w:r w:rsidR="009D287A">
        <w:t>Issue #</w:t>
      </w:r>
      <w:r>
        <w:t>13</w:t>
      </w:r>
      <w:r w:rsidR="000C0896">
        <w:t xml:space="preserve">:  </w:t>
      </w:r>
      <w:r w:rsidRPr="003C3377" w:rsidR="00862EA5">
        <w:t xml:space="preserve">Special </w:t>
      </w:r>
      <w:r w:rsidR="00D92D0A">
        <w:t>Request #</w:t>
      </w:r>
      <w:r w:rsidRPr="003C3377" w:rsidR="00862EA5">
        <w:t>1</w:t>
      </w:r>
      <w:r w:rsidR="00AE44B3">
        <w:t>:</w:t>
      </w:r>
      <w:r w:rsidR="00AE44B3">
        <w:br/>
      </w:r>
      <w:r w:rsidRPr="003C3377" w:rsidR="00862EA5">
        <w:t>Enhancing Affordability Through Consolidation</w:t>
      </w:r>
      <w:bookmarkEnd w:id="154"/>
      <w:bookmarkEnd w:id="155"/>
    </w:p>
    <w:p w:rsidR="00CA4EAD" w:rsidP="009B314B" w:rsidRDefault="00587E0B" w14:paraId="05CD7B3C" w14:textId="7DA3A3A2">
      <w:pPr>
        <w:pStyle w:val="Standard"/>
      </w:pPr>
      <w:r w:rsidRPr="00587E0B">
        <w:t xml:space="preserve">This scoped issue addresses </w:t>
      </w:r>
      <w:r w:rsidR="00EB50F8">
        <w:t>Cal Water</w:t>
      </w:r>
      <w:r w:rsidR="000C0896">
        <w:t>’</w:t>
      </w:r>
      <w:r w:rsidRPr="00587E0B">
        <w:t xml:space="preserve">s Special </w:t>
      </w:r>
      <w:r w:rsidR="00D92D0A">
        <w:t>Request #</w:t>
      </w:r>
      <w:r w:rsidRPr="00587E0B">
        <w:t>1, which proposed to enhance affordability in the Dixon District by removing the existing RSF subsidy embedded in Dixon</w:t>
      </w:r>
      <w:r w:rsidR="000C0896">
        <w:t>’</w:t>
      </w:r>
      <w:r w:rsidRPr="00587E0B">
        <w:t>s rates and instead addressing affordability through consolidation of Dixon</w:t>
      </w:r>
      <w:r w:rsidR="000C0896">
        <w:t>’</w:t>
      </w:r>
      <w:r w:rsidRPr="00587E0B">
        <w:t>s revenue requirement with that of the Livermore District.</w:t>
      </w:r>
      <w:r w:rsidR="009B314B">
        <w:t xml:space="preserve"> </w:t>
      </w:r>
      <w:r w:rsidRPr="00587E0B">
        <w:t>This issue was fully resolved through the Partial Settlement Agreement</w:t>
      </w:r>
      <w:r w:rsidR="000C0896">
        <w:t>’</w:t>
      </w:r>
      <w:r w:rsidRPr="00587E0B">
        <w:t>s accompanying Undisputed Issues List, and no party identified any remaining dispute for adjudication.</w:t>
      </w:r>
    </w:p>
    <w:p w:rsidRPr="003C3377" w:rsidR="00862EA5" w:rsidP="00862EA5" w:rsidRDefault="000E4D84" w14:paraId="25E86088" w14:textId="4E0760AB">
      <w:pPr>
        <w:pStyle w:val="Heading2"/>
      </w:pPr>
      <w:bookmarkStart w:name="_Toc222305290" w:id="156"/>
      <w:bookmarkStart w:name="_Toc228294717" w:id="157"/>
      <w:r>
        <w:lastRenderedPageBreak/>
        <w:t xml:space="preserve">Scoped </w:t>
      </w:r>
      <w:r w:rsidR="009D287A">
        <w:t>Issue #</w:t>
      </w:r>
      <w:r>
        <w:t>14</w:t>
      </w:r>
      <w:r w:rsidR="000C0896">
        <w:t xml:space="preserve">:  </w:t>
      </w:r>
      <w:r w:rsidRPr="003C3377" w:rsidR="00862EA5">
        <w:t xml:space="preserve">Special </w:t>
      </w:r>
      <w:r w:rsidR="00D92D0A">
        <w:t>Request #</w:t>
      </w:r>
      <w:r w:rsidRPr="003C3377" w:rsidR="00862EA5">
        <w:t>2:</w:t>
      </w:r>
      <w:r w:rsidR="009B532D">
        <w:br/>
      </w:r>
      <w:r w:rsidRPr="003C3377" w:rsidR="00862EA5">
        <w:t xml:space="preserve">Updating the </w:t>
      </w:r>
      <w:r w:rsidRPr="00FF4384" w:rsidR="00FF4384">
        <w:t>Rate Support Fund</w:t>
      </w:r>
      <w:bookmarkEnd w:id="156"/>
      <w:bookmarkEnd w:id="157"/>
    </w:p>
    <w:p w:rsidR="00CE0158" w:rsidP="00E523C4" w:rsidRDefault="00ED50A2" w14:paraId="5E442226" w14:textId="080420FA">
      <w:pPr>
        <w:pStyle w:val="Standard"/>
      </w:pPr>
      <w:r w:rsidRPr="00ED50A2">
        <w:t xml:space="preserve">This scoped issue addresses whether </w:t>
      </w:r>
      <w:r w:rsidR="00EB50F8">
        <w:t>Cal Water</w:t>
      </w:r>
      <w:r w:rsidR="000C0896">
        <w:t>’</w:t>
      </w:r>
      <w:r w:rsidRPr="00ED50A2">
        <w:t>s proposal to update the RSF</w:t>
      </w:r>
      <w:r w:rsidR="00AE44B3">
        <w:t xml:space="preserve"> — </w:t>
      </w:r>
      <w:r w:rsidRPr="00ED50A2">
        <w:t>including retaining RSF subsidies for the Kern River Valley and Willows Districts, eliminating the Dixon District subsidy, and applying a new annual subsidy for the Selma District</w:t>
      </w:r>
      <w:r w:rsidR="00AE44B3">
        <w:t xml:space="preserve"> — </w:t>
      </w:r>
      <w:r w:rsidRPr="00ED50A2">
        <w:t>is reasonable.</w:t>
      </w:r>
      <w:r w:rsidR="009B314B">
        <w:t xml:space="preserve"> </w:t>
      </w:r>
      <w:r w:rsidRPr="00ED50A2">
        <w:t>This issue was fully resolved in the Partial Settlement Agreement and its accompanying Undisputed Issues List, which collectively define</w:t>
      </w:r>
      <w:r w:rsidR="006D67F0">
        <w:t>s</w:t>
      </w:r>
      <w:r w:rsidRPr="00ED50A2">
        <w:t xml:space="preserve"> the updated RSF structure and methodology.</w:t>
      </w:r>
    </w:p>
    <w:p w:rsidR="000E4D84" w:rsidP="000E4D84" w:rsidRDefault="000E4D84" w14:paraId="4EBBD7A3" w14:textId="05D16CC4">
      <w:pPr>
        <w:pStyle w:val="Heading2"/>
        <w:rPr>
          <w:bCs/>
        </w:rPr>
      </w:pPr>
      <w:bookmarkStart w:name="_Toc222305291" w:id="158"/>
      <w:bookmarkStart w:name="_Toc228294718" w:id="159"/>
      <w:r>
        <w:t xml:space="preserve">Scoped </w:t>
      </w:r>
      <w:r w:rsidR="009D287A">
        <w:t>Issue #</w:t>
      </w:r>
      <w:r>
        <w:t>15</w:t>
      </w:r>
      <w:r w:rsidR="000C0896">
        <w:t xml:space="preserve">:  </w:t>
      </w:r>
      <w:r w:rsidRPr="000E4D84">
        <w:rPr>
          <w:bCs/>
        </w:rPr>
        <w:t xml:space="preserve">Special </w:t>
      </w:r>
      <w:r w:rsidR="00D92D0A">
        <w:rPr>
          <w:bCs/>
        </w:rPr>
        <w:t>Request #</w:t>
      </w:r>
      <w:r w:rsidRPr="000E4D84">
        <w:rPr>
          <w:bCs/>
        </w:rPr>
        <w:t>3:</w:t>
      </w:r>
      <w:r w:rsidR="003E0326">
        <w:rPr>
          <w:bCs/>
        </w:rPr>
        <w:br/>
      </w:r>
      <w:r w:rsidRPr="000E4D84">
        <w:rPr>
          <w:bCs/>
        </w:rPr>
        <w:t>Authorizing Decoupling and Sales</w:t>
      </w:r>
      <w:r w:rsidR="003E0326">
        <w:rPr>
          <w:bCs/>
        </w:rPr>
        <w:br/>
      </w:r>
      <w:r w:rsidRPr="000E4D84">
        <w:rPr>
          <w:bCs/>
        </w:rPr>
        <w:t>Reconciliation Mechanism</w:t>
      </w:r>
      <w:bookmarkEnd w:id="158"/>
      <w:bookmarkEnd w:id="159"/>
    </w:p>
    <w:p w:rsidR="00CE0158" w:rsidP="005C0D4D" w:rsidRDefault="000A12BA" w14:paraId="61DD2870" w14:textId="77777777">
      <w:pPr>
        <w:pStyle w:val="Standard"/>
      </w:pPr>
      <w:r w:rsidRPr="000A12BA">
        <w:t>This issue</w:t>
      </w:r>
      <w:r w:rsidR="00861352">
        <w:t xml:space="preserve"> is discussed in </w:t>
      </w:r>
      <w:r w:rsidR="00DD056F">
        <w:t>Section </w:t>
      </w:r>
      <w:r w:rsidR="00861352">
        <w:t xml:space="preserve">4.5 </w:t>
      </w:r>
      <w:r w:rsidR="00F77186">
        <w:t>above as part of a consolidated discussion and analysis with</w:t>
      </w:r>
      <w:r w:rsidR="00861352">
        <w:t xml:space="preserve"> rate design and LUWEP.</w:t>
      </w:r>
    </w:p>
    <w:p w:rsidR="00666FCC" w:rsidP="00666FCC" w:rsidRDefault="0E376CDD" w14:paraId="6CDB3314" w14:textId="784591E6">
      <w:pPr>
        <w:pStyle w:val="Heading2"/>
      </w:pPr>
      <w:bookmarkStart w:name="_Toc222305292" w:id="160"/>
      <w:bookmarkStart w:name="_Toc228294719" w:id="161"/>
      <w:r>
        <w:t xml:space="preserve">Scoped </w:t>
      </w:r>
      <w:r w:rsidR="5A0F4BD7">
        <w:t>Issue #</w:t>
      </w:r>
      <w:r>
        <w:t>16</w:t>
      </w:r>
      <w:r w:rsidR="6580AFA6">
        <w:t xml:space="preserve">:  </w:t>
      </w:r>
      <w:r w:rsidR="4A9B43F7">
        <w:t xml:space="preserve">Special </w:t>
      </w:r>
      <w:r w:rsidR="2C5994F8">
        <w:t>Request #</w:t>
      </w:r>
      <w:r w:rsidR="4A9B43F7">
        <w:t>4</w:t>
      </w:r>
      <w:r w:rsidR="335C3DF2">
        <w:t>:</w:t>
      </w:r>
      <w:r w:rsidR="000E4D84">
        <w:br/>
      </w:r>
      <w:r w:rsidR="4A9B43F7">
        <w:t>Authorizing Annual Sales and Services Forecasts</w:t>
      </w:r>
      <w:bookmarkEnd w:id="160"/>
      <w:bookmarkEnd w:id="161"/>
    </w:p>
    <w:p w:rsidRPr="00026543" w:rsidR="00026543" w:rsidRDefault="16EB2B69" w14:paraId="7843B856" w14:textId="543F33CC">
      <w:r w:rsidRPr="2750161B">
        <w:rPr>
          <w:rFonts w:eastAsia="Book Antiqua" w:cs="Book Antiqua"/>
          <w:szCs w:val="26"/>
        </w:rPr>
        <w:t>This scoped issue concerns whether Special Request</w:t>
      </w:r>
      <w:r w:rsidR="00D92D0A">
        <w:t> </w:t>
      </w:r>
      <w:r w:rsidRPr="2750161B">
        <w:rPr>
          <w:rFonts w:eastAsia="Book Antiqua" w:cs="Book Antiqua"/>
          <w:szCs w:val="26"/>
        </w:rPr>
        <w:t xml:space="preserve">#4 is reasonable. </w:t>
      </w:r>
      <w:r w:rsidR="4A9B43F7">
        <w:t xml:space="preserve">Special </w:t>
      </w:r>
      <w:r w:rsidR="2C5994F8">
        <w:t>Request #</w:t>
      </w:r>
      <w:r w:rsidR="4A9B43F7">
        <w:t>4</w:t>
      </w:r>
      <w:r w:rsidR="6580AFA6">
        <w:t xml:space="preserve"> </w:t>
      </w:r>
      <w:r w:rsidR="4A9B43F7">
        <w:t>would provide discrete annual sales and services forecasts over the GRC period.</w:t>
      </w:r>
      <w:r w:rsidR="7B971912">
        <w:t xml:space="preserve"> </w:t>
      </w:r>
      <w:r w:rsidR="56B39A6D">
        <w:t xml:space="preserve">The Partial Settlement Agreement does not include a separate provision directly addressing this request; however, the accompanying Undisputed Issues List confirms that the issue is not contested. </w:t>
      </w:r>
      <w:r w:rsidR="085984A7">
        <w:t>Cal Advocates</w:t>
      </w:r>
      <w:r w:rsidR="56B39A6D">
        <w:t xml:space="preserve"> does not oppose </w:t>
      </w:r>
      <w:r w:rsidR="085984A7">
        <w:t>Cal Water</w:t>
      </w:r>
      <w:r w:rsidR="6580AFA6">
        <w:t>’</w:t>
      </w:r>
      <w:r w:rsidR="56B39A6D">
        <w:t>s proposal to forecast sales and services over the GRC period to reflect expected changes in water use. Both parties</w:t>
      </w:r>
      <w:r w:rsidR="6580AFA6">
        <w:t>’</w:t>
      </w:r>
      <w:r w:rsidR="56B39A6D">
        <w:t xml:space="preserve"> proposed methodologies recognize that water demand will vary across the test and escalation years and that updated annual forecasts improve accuracy in revenue requirement calculations and rate design.</w:t>
      </w:r>
    </w:p>
    <w:p w:rsidR="00666FCC" w:rsidP="00666FCC" w:rsidRDefault="0E376CDD" w14:paraId="54B5FF4F" w14:textId="015EF0FC">
      <w:pPr>
        <w:pStyle w:val="Heading2"/>
      </w:pPr>
      <w:bookmarkStart w:name="_Toc222305293" w:id="162"/>
      <w:bookmarkStart w:name="_Toc228294720" w:id="163"/>
      <w:r>
        <w:lastRenderedPageBreak/>
        <w:t xml:space="preserve">Scoped </w:t>
      </w:r>
      <w:r w:rsidR="5A0F4BD7">
        <w:t>Issue #</w:t>
      </w:r>
      <w:r>
        <w:t>17</w:t>
      </w:r>
      <w:r w:rsidR="6580AFA6">
        <w:t xml:space="preserve">:  </w:t>
      </w:r>
      <w:r w:rsidR="4A9B43F7">
        <w:t xml:space="preserve">Special </w:t>
      </w:r>
      <w:r w:rsidR="2C5994F8">
        <w:t>Request #</w:t>
      </w:r>
      <w:r w:rsidR="4A9B43F7">
        <w:t>5:</w:t>
      </w:r>
      <w:r w:rsidR="000E4D84">
        <w:br/>
      </w:r>
      <w:r w:rsidR="4A9B43F7">
        <w:t>Incorporating Subsequent Rate</w:t>
      </w:r>
      <w:r w:rsidR="000E4D84">
        <w:br/>
      </w:r>
      <w:r w:rsidR="4A9B43F7">
        <w:t>Changes into Final Rates</w:t>
      </w:r>
      <w:bookmarkEnd w:id="162"/>
      <w:bookmarkEnd w:id="163"/>
    </w:p>
    <w:p w:rsidR="00666FCC" w:rsidRDefault="063BC618" w14:paraId="12EFA5C4" w14:textId="04B91A94">
      <w:r w:rsidRPr="2750161B">
        <w:rPr>
          <w:rFonts w:eastAsia="Book Antiqua" w:cs="Book Antiqua"/>
          <w:szCs w:val="26"/>
        </w:rPr>
        <w:t>This scoped issue concerns whether Special Request</w:t>
      </w:r>
      <w:r w:rsidR="00D92D0A">
        <w:t> </w:t>
      </w:r>
      <w:r w:rsidRPr="2750161B">
        <w:rPr>
          <w:rFonts w:eastAsia="Book Antiqua" w:cs="Book Antiqua"/>
          <w:szCs w:val="26"/>
        </w:rPr>
        <w:t>#5 is reasonable.</w:t>
      </w:r>
      <w:r>
        <w:t xml:space="preserve"> </w:t>
      </w:r>
      <w:r w:rsidR="4A9B43F7">
        <w:t xml:space="preserve">Special </w:t>
      </w:r>
      <w:r w:rsidR="2C5994F8">
        <w:t>Request #</w:t>
      </w:r>
      <w:r w:rsidR="4A9B43F7">
        <w:t>5</w:t>
      </w:r>
      <w:r w:rsidR="35C38CEE">
        <w:t xml:space="preserve"> </w:t>
      </w:r>
      <w:r w:rsidR="4A9B43F7">
        <w:t>would incorporate rate changes due to other proceedings or the advice letter process into the calculations of final rates in this proceeding.)</w:t>
      </w:r>
    </w:p>
    <w:p w:rsidRPr="00BF63F1" w:rsidR="00BF63F1" w:rsidP="00BF63F1" w:rsidRDefault="00BF63F1" w14:paraId="14870A45" w14:textId="579C558E">
      <w:pPr>
        <w:pStyle w:val="Standard"/>
      </w:pPr>
      <w:r w:rsidRPr="00BF63F1">
        <w:t>This scoped issue was entirely addressed in the Undisputed Issues List, which provides that final rates implemented pursuant to this decision will reflect both the GRC</w:t>
      </w:r>
      <w:r w:rsidR="00270999">
        <w:noBreakHyphen/>
      </w:r>
      <w:r w:rsidRPr="00BF63F1">
        <w:t>authorized rates and any other Commission</w:t>
      </w:r>
      <w:r w:rsidR="00270999">
        <w:noBreakHyphen/>
      </w:r>
      <w:r w:rsidRPr="00BF63F1">
        <w:t>approved revenue or rate changes issued through separate proceedings or advice letter processes.</w:t>
      </w:r>
    </w:p>
    <w:p w:rsidRPr="00BF63F1" w:rsidR="00BF63F1" w:rsidP="00BF63F1" w:rsidRDefault="00BF63F1" w14:paraId="1BA1C33F" w14:textId="55BC8C8A">
      <w:pPr>
        <w:pStyle w:val="Standard"/>
      </w:pPr>
      <w:r>
        <w:t>T</w:t>
      </w:r>
      <w:r w:rsidRPr="00BF63F1">
        <w:t>his treatment is routine and consistent with established ratemaking practice. Incorporating subsequent authorized rate changes into the final rates ensures that the utility</w:t>
      </w:r>
      <w:r w:rsidR="000C0896">
        <w:t>’</w:t>
      </w:r>
      <w:r w:rsidRPr="00BF63F1">
        <w:t>s total authorized revenue requirement remains current and consistent with the Commission</w:t>
      </w:r>
      <w:r w:rsidR="000C0896">
        <w:t>’</w:t>
      </w:r>
      <w:r w:rsidRPr="00BF63F1">
        <w:t>s most recent decisions, while also preventing duplicative or conflicting rate adjustments.</w:t>
      </w:r>
    </w:p>
    <w:p w:rsidR="000E4D84" w:rsidP="00E74F91" w:rsidRDefault="005939F0" w14:paraId="06B1D48F" w14:textId="26142AD7">
      <w:pPr>
        <w:pStyle w:val="Standard"/>
      </w:pPr>
      <w:r>
        <w:t>T</w:t>
      </w:r>
      <w:r w:rsidRPr="00BF63F1" w:rsidR="00BF63F1">
        <w:t>his approach is undisputed, reflects standard ratemaking procedure, and is consistent with the Commission</w:t>
      </w:r>
      <w:r w:rsidR="000C0896">
        <w:t>’</w:t>
      </w:r>
      <w:r w:rsidRPr="00BF63F1" w:rsidR="00BF63F1">
        <w:t xml:space="preserve">s authority under </w:t>
      </w:r>
      <w:r w:rsidR="003A5B7D">
        <w:t>Pub. Util.</w:t>
      </w:r>
      <w:r w:rsidR="00837935">
        <w:t xml:space="preserve"> Code </w:t>
      </w:r>
      <w:r w:rsidR="00D957F7">
        <w:t>Section</w:t>
      </w:r>
      <w:r w:rsidR="00792797">
        <w:t>s</w:t>
      </w:r>
      <w:r w:rsidR="00D957F7">
        <w:t> </w:t>
      </w:r>
      <w:r w:rsidRPr="00BF63F1" w:rsidR="00BF63F1">
        <w:t>451, 454, and 701</w:t>
      </w:r>
      <w:r>
        <w:t xml:space="preserve">. </w:t>
      </w:r>
      <w:r w:rsidRPr="00BF63F1" w:rsidR="00BF63F1">
        <w:t>Final rates implemented under this decision shall therefore include both</w:t>
      </w:r>
      <w:r w:rsidR="006237E8">
        <w:t xml:space="preserve">: </w:t>
      </w:r>
      <w:r w:rsidRPr="00BF63F1" w:rsidR="00BF63F1">
        <w:t xml:space="preserve"> </w:t>
      </w:r>
      <w:r w:rsidR="006237E8">
        <w:t>(1) </w:t>
      </w:r>
      <w:r w:rsidRPr="00BF63F1" w:rsidR="00BF63F1">
        <w:t>the rates adopted in this GRC</w:t>
      </w:r>
      <w:r w:rsidR="006237E8">
        <w:t>;</w:t>
      </w:r>
      <w:r w:rsidRPr="00BF63F1" w:rsidR="00BF63F1">
        <w:t xml:space="preserve"> and </w:t>
      </w:r>
      <w:r w:rsidR="006237E8">
        <w:t>(2) </w:t>
      </w:r>
      <w:r w:rsidRPr="00BF63F1" w:rsidR="00BF63F1">
        <w:t>any other Commission</w:t>
      </w:r>
      <w:r w:rsidR="00270999">
        <w:noBreakHyphen/>
      </w:r>
      <w:r w:rsidRPr="00BF63F1" w:rsidR="00BF63F1">
        <w:t>authorized changes approved through advice letters or other ratemaking proceedings.</w:t>
      </w:r>
    </w:p>
    <w:p w:rsidR="00666FCC" w:rsidP="00666FCC" w:rsidRDefault="000E4D84" w14:paraId="4E42764E" w14:textId="35AA78A3">
      <w:pPr>
        <w:pStyle w:val="Heading2"/>
      </w:pPr>
      <w:bookmarkStart w:name="_Toc222305294" w:id="164"/>
      <w:bookmarkStart w:name="_Toc228294721" w:id="165"/>
      <w:r>
        <w:t xml:space="preserve">Scoped </w:t>
      </w:r>
      <w:r w:rsidR="009D287A">
        <w:t>Issue #</w:t>
      </w:r>
      <w:r>
        <w:t>18</w:t>
      </w:r>
      <w:r w:rsidR="000C0896">
        <w:t xml:space="preserve">:  </w:t>
      </w:r>
      <w:r w:rsidRPr="003C3377" w:rsidR="00666FCC">
        <w:t xml:space="preserve">Special </w:t>
      </w:r>
      <w:r w:rsidR="00D92D0A">
        <w:t>Request #</w:t>
      </w:r>
      <w:r w:rsidRPr="003C3377" w:rsidR="00666FCC">
        <w:t>6:</w:t>
      </w:r>
      <w:r w:rsidR="006068CF">
        <w:br/>
      </w:r>
      <w:r w:rsidRPr="003C3377" w:rsidR="00666FCC">
        <w:t>Updating Escalation Factors for Final Rates</w:t>
      </w:r>
      <w:bookmarkEnd w:id="164"/>
      <w:bookmarkEnd w:id="165"/>
    </w:p>
    <w:p w:rsidRPr="00150D5D" w:rsidR="00150D5D" w:rsidP="00150D5D" w:rsidRDefault="211A53BE" w14:paraId="65EDCE06" w14:textId="7DF050A2">
      <w:pPr>
        <w:pStyle w:val="Standard"/>
      </w:pPr>
      <w:r>
        <w:t xml:space="preserve">This scoped issue concerns whether Special </w:t>
      </w:r>
      <w:r w:rsidR="2C5994F8">
        <w:t>Request #</w:t>
      </w:r>
      <w:r>
        <w:t xml:space="preserve">6 is reasonable. Special </w:t>
      </w:r>
      <w:r w:rsidR="2C5994F8">
        <w:t>Request #</w:t>
      </w:r>
      <w:r>
        <w:t xml:space="preserve">6 asks that </w:t>
      </w:r>
      <w:r w:rsidR="085984A7">
        <w:t>Cal Water</w:t>
      </w:r>
      <w:r>
        <w:t xml:space="preserve"> apply updated escalation factors for expenses and capital when calculating the final revenue requirement and rates for the decision in this proceeding.</w:t>
      </w:r>
    </w:p>
    <w:p w:rsidRPr="00960D57" w:rsidR="00150D5D" w:rsidP="00627432" w:rsidRDefault="00150D5D" w14:paraId="50B880A6" w14:textId="7E7213EE">
      <w:pPr>
        <w:pStyle w:val="Standard"/>
      </w:pPr>
      <w:r w:rsidRPr="00960D57">
        <w:lastRenderedPageBreak/>
        <w:t xml:space="preserve">This issue was fully addressed in the Undisputed Issues List, which provides that the Commission should use the escalation factors </w:t>
      </w:r>
      <w:r w:rsidRPr="00960D57" w:rsidR="00627432">
        <w:t>provided as part of this proceeding.</w:t>
      </w:r>
      <w:r w:rsidRPr="00960D57" w:rsidR="00220926">
        <w:t xml:space="preserve"> Moreover, the evidentiary record officially closed on </w:t>
      </w:r>
      <w:r w:rsidR="000C0896">
        <w:t>January </w:t>
      </w:r>
      <w:r w:rsidRPr="00960D57" w:rsidR="00220926">
        <w:t>5, 2026, upon the issuance of the ALJ</w:t>
      </w:r>
      <w:r w:rsidR="000C0896">
        <w:t>’</w:t>
      </w:r>
      <w:r w:rsidRPr="00960D57" w:rsidR="00220926">
        <w:t xml:space="preserve">s Ruling Setting Submission Date. </w:t>
      </w:r>
      <w:r w:rsidRPr="00960D57">
        <w:t>Accordingly,</w:t>
      </w:r>
      <w:r w:rsidRPr="00960D57" w:rsidR="00220926">
        <w:t xml:space="preserve"> when calculating </w:t>
      </w:r>
      <w:r w:rsidR="00EB50F8">
        <w:t>Cal Water</w:t>
      </w:r>
      <w:r w:rsidR="000C0896">
        <w:t>’</w:t>
      </w:r>
      <w:r w:rsidRPr="00960D57" w:rsidR="00220926">
        <w:t>s final revenue requirement and rates,</w:t>
      </w:r>
      <w:r w:rsidRPr="00960D57">
        <w:t xml:space="preserve"> the escalation factors adopted in this decision</w:t>
      </w:r>
      <w:r w:rsidR="0094525A">
        <w:t>,</w:t>
      </w:r>
      <w:r w:rsidRPr="00960D57" w:rsidR="00220926">
        <w:t xml:space="preserve"> and based on the evidence submitted prior to the submission date</w:t>
      </w:r>
      <w:r w:rsidR="0094525A">
        <w:t>, shall be applied.</w:t>
      </w:r>
    </w:p>
    <w:p w:rsidR="00666FCC" w:rsidP="00666FCC" w:rsidRDefault="000E4D84" w14:paraId="2CB7B505" w14:textId="04702ADA">
      <w:pPr>
        <w:pStyle w:val="Heading2"/>
      </w:pPr>
      <w:bookmarkStart w:name="_Toc222305295" w:id="166"/>
      <w:bookmarkStart w:name="_Toc228294722" w:id="167"/>
      <w:r>
        <w:t xml:space="preserve">Scoped </w:t>
      </w:r>
      <w:r w:rsidR="009D287A">
        <w:t>Issue #</w:t>
      </w:r>
      <w:r>
        <w:t>19</w:t>
      </w:r>
      <w:r w:rsidR="000C0896">
        <w:t xml:space="preserve">:  </w:t>
      </w:r>
      <w:r w:rsidRPr="003C3377" w:rsidR="00666FCC">
        <w:t xml:space="preserve">Special </w:t>
      </w:r>
      <w:r w:rsidR="00D92D0A">
        <w:t>Request #</w:t>
      </w:r>
      <w:r w:rsidRPr="003C3377" w:rsidR="00666FCC">
        <w:t>7:</w:t>
      </w:r>
      <w:r w:rsidR="00E41944">
        <w:br/>
      </w:r>
      <w:r w:rsidRPr="003C3377" w:rsidR="00666FCC">
        <w:t>Payroll Escalation Based on Union Contract</w:t>
      </w:r>
      <w:bookmarkEnd w:id="166"/>
      <w:bookmarkEnd w:id="167"/>
    </w:p>
    <w:p w:rsidRPr="00550BB5" w:rsidR="00550BB5" w:rsidP="00550BB5" w:rsidRDefault="00550BB5" w14:paraId="73B27CB0" w14:textId="5FFE773A">
      <w:pPr>
        <w:pStyle w:val="Standard"/>
      </w:pPr>
      <w:r w:rsidRPr="00550BB5">
        <w:t xml:space="preserve">This issue concerns whether </w:t>
      </w:r>
      <w:r w:rsidR="00EB50F8">
        <w:t>Cal Water</w:t>
      </w:r>
      <w:r w:rsidR="000C0896">
        <w:t>’</w:t>
      </w:r>
      <w:r w:rsidRPr="00550BB5">
        <w:t xml:space="preserve">s Special </w:t>
      </w:r>
      <w:r w:rsidR="00D92D0A">
        <w:t>Request #</w:t>
      </w:r>
      <w:r w:rsidRPr="00550BB5">
        <w:t>7</w:t>
      </w:r>
      <w:r w:rsidR="00AE44B3">
        <w:t> </w:t>
      </w:r>
      <w:r w:rsidRPr="00550BB5">
        <w:t>— proposing that payroll escalation for escalation</w:t>
      </w:r>
      <w:r w:rsidR="00270999">
        <w:noBreakHyphen/>
      </w:r>
      <w:r w:rsidRPr="00550BB5">
        <w:t xml:space="preserve"> and attrition</w:t>
      </w:r>
      <w:r w:rsidR="00270999">
        <w:noBreakHyphen/>
      </w:r>
      <w:r w:rsidRPr="00550BB5">
        <w:t>year step filings be calculated using the company</w:t>
      </w:r>
      <w:r w:rsidR="000C0896">
        <w:t>’</w:t>
      </w:r>
      <w:r w:rsidRPr="00550BB5">
        <w:t>s actual union</w:t>
      </w:r>
      <w:r w:rsidR="00270999">
        <w:noBreakHyphen/>
      </w:r>
      <w:r w:rsidRPr="00550BB5">
        <w:t>contract annual wage increases</w:t>
      </w:r>
      <w:r w:rsidR="00AE44B3">
        <w:t> </w:t>
      </w:r>
      <w:r w:rsidRPr="00550BB5">
        <w:t xml:space="preserve">— is just and reasonable under </w:t>
      </w:r>
      <w:r w:rsidR="003A5B7D">
        <w:t>Pub. Util.</w:t>
      </w:r>
      <w:r w:rsidRPr="00550BB5">
        <w:t xml:space="preserve"> Code </w:t>
      </w:r>
      <w:r w:rsidR="004E5107">
        <w:t>Section </w:t>
      </w:r>
      <w:r w:rsidRPr="00550BB5">
        <w:t xml:space="preserve">451. </w:t>
      </w:r>
      <w:r w:rsidR="00EB50F8">
        <w:t>Cal Water</w:t>
      </w:r>
      <w:r w:rsidRPr="00550BB5">
        <w:t xml:space="preserve"> contends that basing payroll escalation on wage adjustments established under its collective bargaining agreement (CBA) more accurately reflects actual labor costs than applying the escalation indices traditionally used in past </w:t>
      </w:r>
      <w:r w:rsidR="00191DA5">
        <w:t>GRC</w:t>
      </w:r>
      <w:r w:rsidRPr="00550BB5">
        <w:t xml:space="preserve">s. </w:t>
      </w:r>
      <w:r w:rsidR="00EB50F8">
        <w:t>Cal Water</w:t>
      </w:r>
      <w:r w:rsidRPr="00726583" w:rsidR="00726583">
        <w:t xml:space="preserve"> further emphasizes that the CBA wage increases are binding contractual obligations and represent known and measurable costs the company must pay during the rate cycle.</w:t>
      </w:r>
    </w:p>
    <w:p w:rsidR="0084292E" w:rsidP="0060116A" w:rsidRDefault="0060116A" w14:paraId="2ADC0434" w14:textId="03F4DAC0">
      <w:pPr>
        <w:pStyle w:val="Standard"/>
      </w:pPr>
      <w:r>
        <w:t>T</w:t>
      </w:r>
      <w:r w:rsidRPr="0090114D">
        <w:t>he Commission finds that a uniform escalation methodology is warranted in this proceeding.</w:t>
      </w:r>
      <w:r w:rsidRPr="00774A78" w:rsidR="00774A78">
        <w:t xml:space="preserve"> While Cal Water’s CBAs establish binding, contractually specified wage increases that represent known and measurable labor costs for the Test Year, escalation and attrition year adjustments must be consistent with the Rate Case Plan, which requires the use of inflation indices rather than utility-specific cost forecasts</w:t>
      </w:r>
      <w:r w:rsidRPr="0090114D">
        <w:t>.</w:t>
      </w:r>
    </w:p>
    <w:p w:rsidR="000E4D84" w:rsidP="000E4D84" w:rsidRDefault="000E4D84" w14:paraId="48618A8D" w14:textId="7DA7D67A">
      <w:pPr>
        <w:pStyle w:val="Heading3"/>
      </w:pPr>
      <w:bookmarkStart w:name="_Toc222305296" w:id="168"/>
      <w:bookmarkStart w:name="_Toc228294723" w:id="169"/>
      <w:r>
        <w:lastRenderedPageBreak/>
        <w:t>Partial Settlement</w:t>
      </w:r>
      <w:bookmarkEnd w:id="168"/>
      <w:bookmarkEnd w:id="169"/>
    </w:p>
    <w:p w:rsidRPr="00D925AC" w:rsidR="00D925AC" w:rsidP="005C0D4D" w:rsidRDefault="001265AE" w14:paraId="57E20434" w14:textId="1A1D593E">
      <w:pPr>
        <w:pStyle w:val="Standard"/>
      </w:pPr>
      <w:r w:rsidRPr="001265AE">
        <w:t>This scoped issue was not addressed in the Partial Settlement Agreement or the Undisputed Issues List. The entirety of this issue was litigated through testimony and briefing; therefore, the Commission adjudicates it based on the evidentiary record presented.</w:t>
      </w:r>
    </w:p>
    <w:p w:rsidR="000E4D84" w:rsidP="000E4D84" w:rsidRDefault="000E4D84" w14:paraId="4F31FFB5" w14:textId="77777777">
      <w:pPr>
        <w:pStyle w:val="Heading3"/>
      </w:pPr>
      <w:bookmarkStart w:name="_Toc222305297" w:id="170"/>
      <w:bookmarkStart w:name="_Toc228294724" w:id="171"/>
      <w:r>
        <w:t>Analysis</w:t>
      </w:r>
      <w:bookmarkEnd w:id="170"/>
      <w:bookmarkEnd w:id="171"/>
    </w:p>
    <w:p w:rsidRPr="00726583" w:rsidR="00726583" w:rsidP="00D925AC" w:rsidRDefault="00726583" w14:paraId="6DBE5A12" w14:textId="1DFE5FA7">
      <w:pPr>
        <w:pStyle w:val="Standard"/>
      </w:pPr>
      <w:r w:rsidRPr="00726583">
        <w:t xml:space="preserve">Under </w:t>
      </w:r>
      <w:r w:rsidR="003A5B7D">
        <w:t>Pub. Util.</w:t>
      </w:r>
      <w:r w:rsidRPr="00726583">
        <w:t xml:space="preserve"> Code </w:t>
      </w:r>
      <w:r w:rsidR="004E5107">
        <w:t>Section </w:t>
      </w:r>
      <w:r w:rsidRPr="00726583">
        <w:t xml:space="preserve">451, utilities are entitled to recover only just and reasonable costs, and the burden rests on the utility to demonstrate that its proposed method produces rates that meet that standard. Escalation methodologies are determined in each </w:t>
      </w:r>
      <w:r w:rsidR="00191DA5">
        <w:t>GRC</w:t>
      </w:r>
      <w:r w:rsidRPr="00726583">
        <w:t xml:space="preserve"> based on the record of that proceeding; </w:t>
      </w:r>
      <w:r w:rsidRPr="00774A78" w:rsidR="00774A78">
        <w:t>however, such methodologies must remain consistent with applicable Commission policy, including the Rate Case Plan</w:t>
      </w:r>
      <w:r w:rsidRPr="00726583">
        <w:t xml:space="preserve">. In prior </w:t>
      </w:r>
      <w:r w:rsidR="00EB50F8">
        <w:t>Cal Water</w:t>
      </w:r>
      <w:r w:rsidRPr="00726583">
        <w:t xml:space="preserve"> GRCs, the Commission has used escalation indices prepared by the Water Division as forecasting tools for post</w:t>
      </w:r>
      <w:r w:rsidR="00270999">
        <w:noBreakHyphen/>
      </w:r>
      <w:r w:rsidRPr="00726583">
        <w:t>test</w:t>
      </w:r>
      <w:r w:rsidR="00270999">
        <w:noBreakHyphen/>
      </w:r>
      <w:r w:rsidRPr="00726583">
        <w:t>year labor costs.</w:t>
      </w:r>
    </w:p>
    <w:p w:rsidR="001265AE" w:rsidP="00D925AC" w:rsidRDefault="00EB50F8" w14:paraId="782E86F8" w14:textId="103396ED">
      <w:pPr>
        <w:pStyle w:val="Standard"/>
      </w:pPr>
      <w:r>
        <w:t>Cal Water</w:t>
      </w:r>
      <w:r w:rsidRPr="001265AE" w:rsidR="001265AE">
        <w:t xml:space="preserve"> argues that the proposal aligns with cost</w:t>
      </w:r>
      <w:r w:rsidR="00270999">
        <w:noBreakHyphen/>
      </w:r>
      <w:r w:rsidRPr="001265AE" w:rsidR="001265AE">
        <w:t>of</w:t>
      </w:r>
      <w:r w:rsidR="00270999">
        <w:noBreakHyphen/>
      </w:r>
      <w:r w:rsidRPr="001265AE" w:rsidR="001265AE">
        <w:t>service principles by reflecting contractually binding labor costs the company is obligated to pay under its CBA</w:t>
      </w:r>
      <w:r w:rsidR="00CC58BD">
        <w:t>.</w:t>
      </w:r>
      <w:r w:rsidR="00CC58BD">
        <w:rPr>
          <w:rStyle w:val="FootnoteReference"/>
        </w:rPr>
        <w:footnoteReference w:id="226"/>
      </w:r>
      <w:r w:rsidRPr="001265AE" w:rsidR="001265AE">
        <w:t xml:space="preserve"> It maintains that the CBA was negotiated at arm</w:t>
      </w:r>
      <w:r w:rsidR="000C0896">
        <w:t>’</w:t>
      </w:r>
      <w:r w:rsidRPr="001265AE" w:rsidR="001265AE">
        <w:t>s length, applies uniformly to represented employees, and specifies wage increases that are known, measurable, and verifiable, and that using CBA wage escalation would remain subject to audit.</w:t>
      </w:r>
    </w:p>
    <w:p w:rsidR="0060116A" w:rsidP="0060116A" w:rsidRDefault="0060116A" w14:paraId="7686CBF3" w14:textId="37B43B0C">
      <w:pPr>
        <w:pStyle w:val="Standard"/>
      </w:pPr>
      <w:r w:rsidRPr="00824687">
        <w:t>The record shows that approximately 68</w:t>
      </w:r>
      <w:r w:rsidR="0032703D">
        <w:t> percent</w:t>
      </w:r>
      <w:r w:rsidRPr="00824687">
        <w:t xml:space="preserve"> of </w:t>
      </w:r>
      <w:r w:rsidR="00EB50F8">
        <w:t>Cal Water</w:t>
      </w:r>
      <w:r w:rsidR="000C0896">
        <w:t>’</w:t>
      </w:r>
      <w:r w:rsidRPr="00824687">
        <w:t xml:space="preserve">s workforce is covered by </w:t>
      </w:r>
      <w:r w:rsidR="00D16A62">
        <w:t>CBA</w:t>
      </w:r>
      <w:r w:rsidRPr="00824687">
        <w:t>s, making CBA</w:t>
      </w:r>
      <w:r w:rsidR="00270999">
        <w:noBreakHyphen/>
      </w:r>
      <w:r w:rsidRPr="00824687">
        <w:t>specified wage increases the dominant and most representative driver of forward</w:t>
      </w:r>
      <w:r w:rsidR="00270999">
        <w:noBreakHyphen/>
      </w:r>
      <w:r w:rsidRPr="00824687">
        <w:t>year labor cost escalation for the company.</w:t>
      </w:r>
      <w:r>
        <w:rPr>
          <w:rStyle w:val="FootnoteReference"/>
        </w:rPr>
        <w:footnoteReference w:id="227"/>
      </w:r>
    </w:p>
    <w:p w:rsidR="001265AE" w:rsidP="00726583" w:rsidRDefault="00EB50F8" w14:paraId="5B408EE1" w14:textId="6784638E">
      <w:pPr>
        <w:pStyle w:val="Standard"/>
      </w:pPr>
      <w:r>
        <w:lastRenderedPageBreak/>
        <w:t>Cal Advocates</w:t>
      </w:r>
      <w:r w:rsidRPr="001265AE" w:rsidR="001265AE">
        <w:t xml:space="preserve"> counters that substituting company</w:t>
      </w:r>
      <w:r w:rsidR="00270999">
        <w:noBreakHyphen/>
      </w:r>
      <w:r w:rsidRPr="001265AE" w:rsidR="001265AE">
        <w:t>specific escalation for the Commission</w:t>
      </w:r>
      <w:r w:rsidR="000C0896">
        <w:t>’</w:t>
      </w:r>
      <w:r w:rsidRPr="001265AE" w:rsidR="001265AE">
        <w:t>s standardized indices could undermine consistency and comparability among utilities</w:t>
      </w:r>
      <w:r w:rsidR="00CC58BD">
        <w:t>.</w:t>
      </w:r>
      <w:r w:rsidR="00CC58BD">
        <w:rPr>
          <w:rStyle w:val="FootnoteReference"/>
        </w:rPr>
        <w:footnoteReference w:id="228"/>
      </w:r>
      <w:r w:rsidRPr="001265AE" w:rsidR="001265AE">
        <w:t xml:space="preserve"> </w:t>
      </w:r>
      <w:r>
        <w:t>Cal Advocates</w:t>
      </w:r>
      <w:r w:rsidRPr="00726583" w:rsidR="00726583">
        <w:t xml:space="preserve"> does not dispute the validity or binding nature of </w:t>
      </w:r>
      <w:r>
        <w:t>Cal Water</w:t>
      </w:r>
      <w:r w:rsidR="000C0896">
        <w:t>’</w:t>
      </w:r>
      <w:r w:rsidRPr="00726583" w:rsidR="00726583">
        <w:t xml:space="preserve">s CBAs but argues that </w:t>
      </w:r>
      <w:r>
        <w:t>Cal Water</w:t>
      </w:r>
      <w:r w:rsidRPr="00726583" w:rsidR="00726583">
        <w:t xml:space="preserve"> has not demonstrated that CBA escalators provide more accurate or reasonable forecasts for forward</w:t>
      </w:r>
      <w:r w:rsidR="00270999">
        <w:noBreakHyphen/>
      </w:r>
      <w:r w:rsidRPr="00726583" w:rsidR="00726583">
        <w:t>year ratemaking in this proceeding.</w:t>
      </w:r>
      <w:r w:rsidR="00726583">
        <w:t xml:space="preserve"> </w:t>
      </w:r>
      <w:r w:rsidRPr="001265AE" w:rsidR="001265AE">
        <w:t>It contends that the Water Division</w:t>
      </w:r>
      <w:r w:rsidR="000C0896">
        <w:t>’</w:t>
      </w:r>
      <w:r w:rsidRPr="001265AE" w:rsidR="001265AE">
        <w:t>s indices reflect prevailing labor</w:t>
      </w:r>
      <w:r w:rsidR="00270999">
        <w:noBreakHyphen/>
      </w:r>
      <w:r w:rsidRPr="001265AE" w:rsidR="001265AE">
        <w:t>market and inflation trends, providing a neutral benchmark that prevents cross</w:t>
      </w:r>
      <w:r w:rsidR="00270999">
        <w:noBreakHyphen/>
      </w:r>
      <w:r w:rsidRPr="001265AE" w:rsidR="001265AE">
        <w:t xml:space="preserve">utility disparities. </w:t>
      </w:r>
      <w:r>
        <w:t>Cal Advocates</w:t>
      </w:r>
      <w:r w:rsidRPr="001265AE" w:rsidR="001265AE">
        <w:t xml:space="preserve"> further argues that CBA</w:t>
      </w:r>
      <w:r w:rsidR="00270999">
        <w:noBreakHyphen/>
      </w:r>
      <w:r w:rsidRPr="001265AE" w:rsidR="001265AE">
        <w:t>based escalation would effectively lock in above</w:t>
      </w:r>
      <w:r w:rsidR="00270999">
        <w:noBreakHyphen/>
      </w:r>
      <w:r w:rsidRPr="001265AE" w:rsidR="001265AE">
        <w:t>market wage growth without a separate reasonableness showing, contrary to D.19</w:t>
      </w:r>
      <w:r w:rsidR="00270999">
        <w:noBreakHyphen/>
      </w:r>
      <w:r w:rsidRPr="001265AE" w:rsidR="001265AE">
        <w:t>05</w:t>
      </w:r>
      <w:r w:rsidR="00270999">
        <w:noBreakHyphen/>
      </w:r>
      <w:r w:rsidRPr="001265AE" w:rsidR="001265AE">
        <w:t xml:space="preserve">044 (2018 </w:t>
      </w:r>
      <w:r>
        <w:t>Cal Water</w:t>
      </w:r>
      <w:r w:rsidRPr="001265AE" w:rsidR="001265AE">
        <w:t xml:space="preserve"> GRC) and D.20</w:t>
      </w:r>
      <w:r w:rsidR="00270999">
        <w:noBreakHyphen/>
      </w:r>
      <w:r w:rsidRPr="001265AE" w:rsidR="001265AE">
        <w:t>08</w:t>
      </w:r>
      <w:r w:rsidR="00270999">
        <w:noBreakHyphen/>
      </w:r>
      <w:r w:rsidRPr="001265AE" w:rsidR="001265AE">
        <w:t>046 (</w:t>
      </w:r>
      <w:r w:rsidR="004941FE">
        <w:t>San </w:t>
      </w:r>
      <w:r w:rsidRPr="001265AE" w:rsidR="001265AE">
        <w:t>Gabriel Valley Water GRC), both of which reaffirm that utilities seeking deviations from standard escalation methods bear a heightened evidentiary burden.</w:t>
      </w:r>
    </w:p>
    <w:p w:rsidR="0060116A" w:rsidP="00CA082A" w:rsidRDefault="0060116A" w14:paraId="53A3536B" w14:textId="7A9D0560">
      <w:pPr>
        <w:pStyle w:val="Standard"/>
      </w:pPr>
      <w:r>
        <w:t>T</w:t>
      </w:r>
      <w:r w:rsidRPr="0090114D">
        <w:t>he Commission finds</w:t>
      </w:r>
      <w:r w:rsidRPr="00774A78" w:rsidR="00774A78">
        <w:t xml:space="preserve"> that while Cal Water’s CBA-based wage increases are appropriate for establishing Test Year labor costs, Cal Water has not demonstrated that applying those increases to escalation and attrition years is consistent with the Rate Case Plan or results in more reasonable forecasts than the Commission’s established inflation-based methodology. Accordingly, escalation and attrition year payroll expenses shall be calculated using the adopted inflation indices</w:t>
      </w:r>
      <w:r w:rsidRPr="0090114D">
        <w:t>.</w:t>
      </w:r>
    </w:p>
    <w:p w:rsidRPr="00CA082A" w:rsidR="00CA082A" w:rsidP="00CA082A" w:rsidRDefault="00CA082A" w14:paraId="5B52899B" w14:textId="3BA42F7F">
      <w:pPr>
        <w:pStyle w:val="Standard"/>
      </w:pPr>
      <w:r w:rsidRPr="00CA082A">
        <w:t xml:space="preserve">The Commission grants </w:t>
      </w:r>
      <w:r w:rsidR="00EB50F8">
        <w:t>Cal Water</w:t>
      </w:r>
      <w:r w:rsidR="000C0896">
        <w:t>’</w:t>
      </w:r>
      <w:r w:rsidRPr="00CA082A">
        <w:t xml:space="preserve">s Special </w:t>
      </w:r>
      <w:r w:rsidR="00D92D0A">
        <w:t>Request #</w:t>
      </w:r>
      <w:r w:rsidRPr="00CA082A">
        <w:t>7</w:t>
      </w:r>
      <w:r w:rsidR="00774A78">
        <w:t xml:space="preserve"> in part</w:t>
      </w:r>
      <w:r w:rsidRPr="00CA082A">
        <w:t xml:space="preserve">. </w:t>
      </w:r>
      <w:r w:rsidR="00EB50F8">
        <w:t>Cal Water</w:t>
      </w:r>
      <w:r w:rsidR="00774A78">
        <w:t xml:space="preserve"> </w:t>
      </w:r>
      <w:r w:rsidRPr="00774A78" w:rsidR="00774A78">
        <w:t xml:space="preserve">may use CBA-based wage increases to establish Test Year payroll expenses where supported by the record; however, Cal Water shall calculate escalation </w:t>
      </w:r>
      <w:r w:rsidRPr="00774A78" w:rsidR="00774A78">
        <w:lastRenderedPageBreak/>
        <w:t>and attrition year payroll expenses using the adopted inflation indices, consistent with the Rate Case Plan</w:t>
      </w:r>
      <w:r w:rsidRPr="009E106F" w:rsidR="0060116A">
        <w:t>.</w:t>
      </w:r>
    </w:p>
    <w:p w:rsidRPr="00960D57" w:rsidR="001265AE" w:rsidP="00CA082A" w:rsidRDefault="00CA082A" w14:paraId="3357D30D" w14:textId="1DA4CFA3">
      <w:pPr>
        <w:pStyle w:val="Standard"/>
      </w:pPr>
      <w:r w:rsidRPr="00CA082A">
        <w:t>This determination is based on the evidentiary record in this proceeding and ensures that forward</w:t>
      </w:r>
      <w:r w:rsidR="00270999">
        <w:noBreakHyphen/>
      </w:r>
      <w:r w:rsidRPr="00CA082A">
        <w:t xml:space="preserve">year payroll escalation remains just, reasonable, and consistent with </w:t>
      </w:r>
      <w:r w:rsidR="003A5B7D">
        <w:t>Pub. Util.</w:t>
      </w:r>
      <w:r w:rsidRPr="00CA082A">
        <w:t xml:space="preserve"> Code </w:t>
      </w:r>
      <w:r w:rsidR="004E5107">
        <w:t>Section </w:t>
      </w:r>
      <w:r w:rsidRPr="00CA082A">
        <w:t>451.</w:t>
      </w:r>
    </w:p>
    <w:p w:rsidR="00666FCC" w:rsidP="00666FCC" w:rsidRDefault="000E4D84" w14:paraId="720AC36E" w14:textId="56838559">
      <w:pPr>
        <w:pStyle w:val="Heading2"/>
      </w:pPr>
      <w:bookmarkStart w:name="_Toc222305298" w:id="172"/>
      <w:bookmarkStart w:name="_Toc228294725" w:id="173"/>
      <w:r>
        <w:t xml:space="preserve">Scoped </w:t>
      </w:r>
      <w:r w:rsidR="009D287A">
        <w:t>Issue #</w:t>
      </w:r>
      <w:r>
        <w:t>20</w:t>
      </w:r>
      <w:r w:rsidR="000C0896">
        <w:t xml:space="preserve">:  </w:t>
      </w:r>
      <w:r w:rsidRPr="003C3377" w:rsidR="00666FCC">
        <w:t xml:space="preserve">Special </w:t>
      </w:r>
      <w:r w:rsidR="00D92D0A">
        <w:t>Request #</w:t>
      </w:r>
      <w:r w:rsidRPr="003C3377" w:rsidR="00666FCC">
        <w:t>8:</w:t>
      </w:r>
      <w:r w:rsidR="00845ECB">
        <w:br/>
      </w:r>
      <w:r w:rsidRPr="003C3377" w:rsidR="00666FCC">
        <w:t>Amortizing Balancing Accounts</w:t>
      </w:r>
      <w:bookmarkEnd w:id="172"/>
      <w:bookmarkEnd w:id="173"/>
    </w:p>
    <w:p w:rsidRPr="00B81189" w:rsidR="00B81189" w:rsidP="008B2B66" w:rsidRDefault="008B2B66" w14:paraId="193FDD8C" w14:textId="47645BF6">
      <w:pPr>
        <w:pStyle w:val="Standard"/>
        <w:ind w:left="360" w:firstLine="360"/>
      </w:pPr>
      <w:r w:rsidRPr="00B81189">
        <w:t>This issue</w:t>
      </w:r>
      <w:r>
        <w:t xml:space="preserve"> is discussed in </w:t>
      </w:r>
      <w:r w:rsidR="00DD056F">
        <w:t>Section </w:t>
      </w:r>
      <w:r>
        <w:t>4.12 above.</w:t>
      </w:r>
    </w:p>
    <w:p w:rsidR="00666FCC" w:rsidP="00CC3B22" w:rsidRDefault="000E4D84" w14:paraId="363CBB35" w14:textId="17DACA48">
      <w:pPr>
        <w:pStyle w:val="Heading2"/>
      </w:pPr>
      <w:bookmarkStart w:name="_Toc222305299" w:id="174"/>
      <w:bookmarkStart w:name="_Toc228294726" w:id="175"/>
      <w:r>
        <w:t xml:space="preserve">Scoped </w:t>
      </w:r>
      <w:r w:rsidR="009D287A">
        <w:t>Issue #</w:t>
      </w:r>
      <w:r>
        <w:t>21</w:t>
      </w:r>
      <w:r w:rsidR="000C0896">
        <w:t xml:space="preserve">:  </w:t>
      </w:r>
      <w:r w:rsidRPr="003C3377" w:rsidR="00666FCC">
        <w:t xml:space="preserve">Special </w:t>
      </w:r>
      <w:r w:rsidR="00D92D0A">
        <w:t>Request #</w:t>
      </w:r>
      <w:r w:rsidRPr="003C3377" w:rsidR="00666FCC">
        <w:t>9:</w:t>
      </w:r>
      <w:r w:rsidR="00845ECB">
        <w:br/>
      </w:r>
      <w:r w:rsidRPr="003C3377" w:rsidR="00666FCC">
        <w:t>Reauthorizing Balancing Accounts</w:t>
      </w:r>
      <w:bookmarkEnd w:id="174"/>
      <w:bookmarkEnd w:id="175"/>
    </w:p>
    <w:p w:rsidR="00243BF9" w:rsidP="00243BF9" w:rsidRDefault="00243BF9" w14:paraId="72F9BFA8" w14:textId="67684F80">
      <w:pPr>
        <w:pStyle w:val="Standard"/>
        <w:ind w:left="360" w:firstLine="360"/>
      </w:pPr>
      <w:r w:rsidRPr="00B81189">
        <w:t>This issue</w:t>
      </w:r>
      <w:r>
        <w:t xml:space="preserve"> is discussed in </w:t>
      </w:r>
      <w:r w:rsidR="00DD056F">
        <w:t>Section </w:t>
      </w:r>
      <w:r>
        <w:t>4.12 above.</w:t>
      </w:r>
    </w:p>
    <w:p w:rsidR="00CC3B22" w:rsidP="00CC3B22" w:rsidRDefault="000E4D84" w14:paraId="65E75AFE" w14:textId="67205BC8">
      <w:pPr>
        <w:pStyle w:val="Heading2"/>
      </w:pPr>
      <w:bookmarkStart w:name="_Toc222305300" w:id="176"/>
      <w:bookmarkStart w:name="_Toc228294727" w:id="177"/>
      <w:r>
        <w:t xml:space="preserve">Scoped </w:t>
      </w:r>
      <w:r w:rsidR="009D287A">
        <w:t>Issue #</w:t>
      </w:r>
      <w:r>
        <w:t>22</w:t>
      </w:r>
      <w:r w:rsidR="000C0896">
        <w:t xml:space="preserve">:  </w:t>
      </w:r>
      <w:r w:rsidRPr="003C3377" w:rsidR="00CC3B22">
        <w:t xml:space="preserve">Special </w:t>
      </w:r>
      <w:r w:rsidR="00D92D0A">
        <w:t>Request #</w:t>
      </w:r>
      <w:r w:rsidRPr="003C3377" w:rsidR="00CC3B22">
        <w:t>10:</w:t>
      </w:r>
      <w:r w:rsidR="00845ECB">
        <w:br/>
      </w:r>
      <w:r w:rsidRPr="003C3377" w:rsidR="00CC3B22">
        <w:t>Request for Liability Insurance Account</w:t>
      </w:r>
      <w:bookmarkEnd w:id="176"/>
      <w:bookmarkEnd w:id="177"/>
    </w:p>
    <w:p w:rsidR="00243BF9" w:rsidP="00243BF9" w:rsidRDefault="00243BF9" w14:paraId="629FB88D" w14:textId="5FCBD4BC">
      <w:pPr>
        <w:pStyle w:val="Standard"/>
        <w:ind w:left="360" w:firstLine="360"/>
      </w:pPr>
      <w:r w:rsidRPr="00B81189">
        <w:t>This issue</w:t>
      </w:r>
      <w:r>
        <w:t xml:space="preserve"> is discussed in </w:t>
      </w:r>
      <w:r w:rsidR="00DD056F">
        <w:t>Section </w:t>
      </w:r>
      <w:r>
        <w:t>4.12 above.</w:t>
      </w:r>
    </w:p>
    <w:p w:rsidR="00CC3B22" w:rsidP="00CC3B22" w:rsidRDefault="000E4D84" w14:paraId="12275A5B" w14:textId="169B895D">
      <w:pPr>
        <w:pStyle w:val="Heading2"/>
      </w:pPr>
      <w:bookmarkStart w:name="_Toc222305301" w:id="178"/>
      <w:bookmarkStart w:name="_Toc228294728" w:id="179"/>
      <w:r>
        <w:t xml:space="preserve">Scoped </w:t>
      </w:r>
      <w:r w:rsidR="009D287A">
        <w:t>Issue #</w:t>
      </w:r>
      <w:r>
        <w:t>23</w:t>
      </w:r>
      <w:r w:rsidR="000C0896">
        <w:t xml:space="preserve">:  </w:t>
      </w:r>
      <w:r w:rsidRPr="003C3377" w:rsidR="00CC3B22">
        <w:t xml:space="preserve">Special </w:t>
      </w:r>
      <w:r w:rsidR="00D92D0A">
        <w:t>Request #</w:t>
      </w:r>
      <w:r w:rsidRPr="003C3377" w:rsidR="00CC3B22">
        <w:t>11:</w:t>
      </w:r>
      <w:r w:rsidR="00845ECB">
        <w:br/>
      </w:r>
      <w:r w:rsidRPr="003C3377" w:rsidR="00CC3B22">
        <w:t>Request for Water Contamination</w:t>
      </w:r>
      <w:r w:rsidR="00845ECB">
        <w:br/>
      </w:r>
      <w:r w:rsidRPr="003C3377" w:rsidR="00CC3B22">
        <w:t>Remediation Memo Account</w:t>
      </w:r>
      <w:bookmarkEnd w:id="178"/>
      <w:bookmarkEnd w:id="179"/>
    </w:p>
    <w:p w:rsidR="00243BF9" w:rsidP="00243BF9" w:rsidRDefault="00243BF9" w14:paraId="7896A85E" w14:textId="7161903E">
      <w:pPr>
        <w:pStyle w:val="Standard"/>
        <w:ind w:left="360" w:firstLine="360"/>
      </w:pPr>
      <w:r w:rsidRPr="00B81189">
        <w:t>This issue</w:t>
      </w:r>
      <w:r>
        <w:t xml:space="preserve"> is discussed in </w:t>
      </w:r>
      <w:r w:rsidR="00DD056F">
        <w:t>Section </w:t>
      </w:r>
      <w:r>
        <w:t>4.12 above.</w:t>
      </w:r>
    </w:p>
    <w:p w:rsidR="00CC3B22" w:rsidP="00CC3B22" w:rsidRDefault="000E4D84" w14:paraId="34CF8C4A" w14:textId="322B702B">
      <w:pPr>
        <w:pStyle w:val="Heading2"/>
      </w:pPr>
      <w:bookmarkStart w:name="_Toc222305302" w:id="180"/>
      <w:bookmarkStart w:name="_Toc228294729" w:id="181"/>
      <w:r>
        <w:t xml:space="preserve">Scoped </w:t>
      </w:r>
      <w:r w:rsidR="009D287A">
        <w:t>Issue #</w:t>
      </w:r>
      <w:r>
        <w:t>24</w:t>
      </w:r>
      <w:r w:rsidR="000C0896">
        <w:t xml:space="preserve">:  </w:t>
      </w:r>
      <w:r w:rsidRPr="003C3377" w:rsidR="00CC3B22">
        <w:t xml:space="preserve">Special </w:t>
      </w:r>
      <w:r w:rsidR="00D92D0A">
        <w:t>Request #</w:t>
      </w:r>
      <w:r w:rsidRPr="003C3377" w:rsidR="00CC3B22">
        <w:t>14:</w:t>
      </w:r>
      <w:r w:rsidR="00845ECB">
        <w:br/>
      </w:r>
      <w:r w:rsidRPr="003C3377" w:rsidR="00CC3B22">
        <w:t>Attrition Year Normalization</w:t>
      </w:r>
      <w:bookmarkEnd w:id="180"/>
      <w:bookmarkEnd w:id="181"/>
    </w:p>
    <w:p w:rsidR="00CE0158" w:rsidP="009B314B" w:rsidRDefault="008E1817" w14:paraId="51763F32" w14:textId="3AE9C63D">
      <w:pPr>
        <w:pStyle w:val="Standard"/>
      </w:pPr>
      <w:r w:rsidRPr="008E1817">
        <w:t xml:space="preserve">This issue concerns </w:t>
      </w:r>
      <w:r w:rsidR="00EB50F8">
        <w:t>Cal Water</w:t>
      </w:r>
      <w:r w:rsidR="000C0896">
        <w:t>’</w:t>
      </w:r>
      <w:r w:rsidRPr="008E1817">
        <w:t xml:space="preserve">s Special </w:t>
      </w:r>
      <w:r w:rsidR="00D92D0A">
        <w:t>Request #</w:t>
      </w:r>
      <w:r w:rsidRPr="008E1817">
        <w:t>14 (Attrition Year Normalization), in which the company seeks authorization to update its practice for applying deferred taxes during the attrition year of the GRC cycle to prevent a normalization violation under federal tax law.</w:t>
      </w:r>
      <w:r w:rsidR="009B314B">
        <w:t xml:space="preserve"> </w:t>
      </w:r>
      <w:r w:rsidRPr="00026543" w:rsidR="009B314B">
        <w:t xml:space="preserve">The Partial Settlement Agreement </w:t>
      </w:r>
      <w:r w:rsidR="009B314B">
        <w:t>fully</w:t>
      </w:r>
      <w:r w:rsidRPr="00026543" w:rsidR="009B314B">
        <w:t xml:space="preserve"> address</w:t>
      </w:r>
      <w:r w:rsidR="009B314B">
        <w:t>ed</w:t>
      </w:r>
      <w:r w:rsidRPr="00026543" w:rsidR="009B314B">
        <w:t xml:space="preserve"> this request</w:t>
      </w:r>
      <w:r w:rsidR="009B314B">
        <w:t>, and</w:t>
      </w:r>
      <w:r w:rsidRPr="00026543" w:rsidR="009B314B">
        <w:t xml:space="preserve"> t</w:t>
      </w:r>
      <w:r w:rsidR="009B314B">
        <w:t>his</w:t>
      </w:r>
      <w:r w:rsidRPr="00026543" w:rsidR="009B314B">
        <w:t xml:space="preserve"> issue is not contested</w:t>
      </w:r>
      <w:r w:rsidR="009B314B">
        <w:t xml:space="preserve">. </w:t>
      </w:r>
      <w:r w:rsidRPr="008E1817">
        <w:t xml:space="preserve">Accordingly, </w:t>
      </w:r>
      <w:r w:rsidR="00EB50F8">
        <w:t>Cal Water</w:t>
      </w:r>
      <w:r w:rsidR="000C0896">
        <w:t>’</w:t>
      </w:r>
      <w:r w:rsidRPr="008E1817">
        <w:t xml:space="preserve">s Special </w:t>
      </w:r>
      <w:r w:rsidR="00D92D0A">
        <w:t>Request #</w:t>
      </w:r>
      <w:r w:rsidRPr="008E1817">
        <w:t>14 (Attrition Year Normalization) is approved as reflected in the Rebuttal Results of Operations Model.</w:t>
      </w:r>
    </w:p>
    <w:p w:rsidR="00CC3B22" w:rsidP="00CC3B22" w:rsidRDefault="000E4D84" w14:paraId="033384B5" w14:textId="548C29D9">
      <w:pPr>
        <w:pStyle w:val="Heading2"/>
      </w:pPr>
      <w:bookmarkStart w:name="_Toc222305303" w:id="182"/>
      <w:bookmarkStart w:name="_Toc228294730" w:id="183"/>
      <w:r>
        <w:lastRenderedPageBreak/>
        <w:t xml:space="preserve">Scoped </w:t>
      </w:r>
      <w:r w:rsidR="009D287A">
        <w:t>Issue #</w:t>
      </w:r>
      <w:r>
        <w:t>25</w:t>
      </w:r>
      <w:r w:rsidR="000C0896">
        <w:t xml:space="preserve">:  </w:t>
      </w:r>
      <w:r w:rsidRPr="003C3377" w:rsidR="00CC3B22">
        <w:t xml:space="preserve">Special </w:t>
      </w:r>
      <w:r w:rsidR="00D92D0A">
        <w:t>Request #</w:t>
      </w:r>
      <w:r w:rsidRPr="003C3377" w:rsidR="00CC3B22">
        <w:t>15:</w:t>
      </w:r>
      <w:r w:rsidR="00FD3C87">
        <w:br/>
      </w:r>
      <w:r w:rsidRPr="003C3377" w:rsidR="00CC3B22">
        <w:t>Deferred Tax Liability with Current Year Capital Additions</w:t>
      </w:r>
      <w:bookmarkEnd w:id="182"/>
      <w:bookmarkEnd w:id="183"/>
    </w:p>
    <w:p w:rsidRPr="00EF0ED4" w:rsidR="00B52136" w:rsidP="009B314B" w:rsidRDefault="008E1817" w14:paraId="525AFD9E" w14:textId="6EF241F7">
      <w:pPr>
        <w:pStyle w:val="Standard"/>
      </w:pPr>
      <w:r w:rsidRPr="008E1817">
        <w:t xml:space="preserve">This issue concerns </w:t>
      </w:r>
      <w:r w:rsidR="00EB50F8">
        <w:t>Cal Water</w:t>
      </w:r>
      <w:r w:rsidR="000C0896">
        <w:t>’</w:t>
      </w:r>
      <w:r w:rsidRPr="008E1817">
        <w:t xml:space="preserve">s Special </w:t>
      </w:r>
      <w:r w:rsidR="00D92D0A">
        <w:t>Request #</w:t>
      </w:r>
      <w:r w:rsidRPr="008E1817">
        <w:t>15 (Deferred Tax Liability with Current</w:t>
      </w:r>
      <w:r w:rsidR="00270999">
        <w:noBreakHyphen/>
      </w:r>
      <w:r w:rsidRPr="008E1817">
        <w:t>Year Capital Additions), through which the company seeks authorization to modify its practice for prorating deferred</w:t>
      </w:r>
      <w:r w:rsidR="00270999">
        <w:noBreakHyphen/>
      </w:r>
      <w:r w:rsidRPr="008E1817">
        <w:t>tax liabilities associated with current</w:t>
      </w:r>
      <w:r w:rsidR="00270999">
        <w:noBreakHyphen/>
      </w:r>
      <w:r w:rsidRPr="008E1817">
        <w:t>year capital additions to ensure full compliance with federal normalization</w:t>
      </w:r>
      <w:r w:rsidR="00270999">
        <w:noBreakHyphen/>
      </w:r>
      <w:r w:rsidRPr="008E1817">
        <w:t>proration rules under the Internal Revenue Code.</w:t>
      </w:r>
      <w:r w:rsidR="009B314B">
        <w:t xml:space="preserve"> </w:t>
      </w:r>
      <w:r w:rsidRPr="00026543" w:rsidR="009B314B">
        <w:t xml:space="preserve">The Partial Settlement Agreement </w:t>
      </w:r>
      <w:r w:rsidR="009B314B">
        <w:t>fully</w:t>
      </w:r>
      <w:r w:rsidRPr="00026543" w:rsidR="009B314B">
        <w:t xml:space="preserve"> address</w:t>
      </w:r>
      <w:r w:rsidR="009B314B">
        <w:t>ed</w:t>
      </w:r>
      <w:r w:rsidRPr="00026543" w:rsidR="009B314B">
        <w:t xml:space="preserve"> this request</w:t>
      </w:r>
      <w:r w:rsidR="009B314B">
        <w:t>, and</w:t>
      </w:r>
      <w:r w:rsidRPr="00026543" w:rsidR="009B314B">
        <w:t xml:space="preserve"> t</w:t>
      </w:r>
      <w:r w:rsidR="009B314B">
        <w:t>his</w:t>
      </w:r>
      <w:r w:rsidRPr="00026543" w:rsidR="009B314B">
        <w:t xml:space="preserve"> issue is not contested</w:t>
      </w:r>
      <w:r w:rsidR="009B314B">
        <w:t xml:space="preserve">. </w:t>
      </w:r>
      <w:r w:rsidRPr="008E1817">
        <w:t xml:space="preserve">Accordingly, </w:t>
      </w:r>
      <w:r w:rsidR="00EB50F8">
        <w:t>Cal Water</w:t>
      </w:r>
      <w:r w:rsidR="000C0896">
        <w:t>’</w:t>
      </w:r>
      <w:r w:rsidRPr="008E1817">
        <w:t xml:space="preserve">s Special </w:t>
      </w:r>
      <w:r w:rsidR="00D92D0A">
        <w:t>Request #</w:t>
      </w:r>
      <w:r w:rsidRPr="008E1817">
        <w:t>15 (Deferred Tax Liability with Current</w:t>
      </w:r>
      <w:r w:rsidR="00270999">
        <w:noBreakHyphen/>
      </w:r>
      <w:r w:rsidRPr="008E1817">
        <w:t>Year Capital Additions) is approved as reflected in the Rebuttal Results of Operations Model.</w:t>
      </w:r>
    </w:p>
    <w:p w:rsidR="00603238" w:rsidP="00FA1B4F" w:rsidRDefault="00603238" w14:paraId="7178ACD3" w14:textId="77777777">
      <w:pPr>
        <w:pStyle w:val="Heading1"/>
      </w:pPr>
      <w:bookmarkStart w:name="_Toc222305304" w:id="184"/>
      <w:bookmarkStart w:name="_Toc8123721" w:id="185"/>
      <w:bookmarkStart w:name="_Toc228294731" w:id="186"/>
      <w:r>
        <w:t>Summary of Public Comment</w:t>
      </w:r>
      <w:bookmarkEnd w:id="184"/>
      <w:bookmarkEnd w:id="186"/>
    </w:p>
    <w:p w:rsidR="00603238" w:rsidP="005C0D4D" w:rsidRDefault="003A5B7D" w14:paraId="19A6B6EF" w14:textId="2B7CB2EB">
      <w:pPr>
        <w:pStyle w:val="Standard"/>
      </w:pPr>
      <w:r>
        <w:t>Rule </w:t>
      </w:r>
      <w:r w:rsidRPr="00747E8A" w:rsidR="00603238">
        <w:t xml:space="preserve">1.18 allows any member of the public to submit written comment in any Commission proceeding using the </w:t>
      </w:r>
      <w:r w:rsidR="00A23D11">
        <w:t>“</w:t>
      </w:r>
      <w:r w:rsidRPr="00747E8A" w:rsidR="00603238">
        <w:t>Public Comment</w:t>
      </w:r>
      <w:r w:rsidR="00A23D11">
        <w:t>”</w:t>
      </w:r>
      <w:r w:rsidRPr="00747E8A" w:rsidR="00603238">
        <w:t xml:space="preserve"> tab of the online Docket Card for that proceeding on the Commission</w:t>
      </w:r>
      <w:r w:rsidR="000C0896">
        <w:t>’</w:t>
      </w:r>
      <w:r w:rsidRPr="00747E8A" w:rsidR="00603238">
        <w:t xml:space="preserve">s website. </w:t>
      </w:r>
      <w:r>
        <w:t>Rule </w:t>
      </w:r>
      <w:r w:rsidRPr="00747E8A" w:rsidR="00603238">
        <w:t>1.18(b) requires that relevant written comment submitted in a proceeding be summarized in the final decision issued in that proceeding.</w:t>
      </w:r>
    </w:p>
    <w:p w:rsidR="00CE0158" w:rsidP="005C0D4D" w:rsidRDefault="003E37F9" w14:paraId="3A70E050" w14:textId="5C66AC17">
      <w:pPr>
        <w:pStyle w:val="Standard"/>
        <w:rPr>
          <w:szCs w:val="26"/>
        </w:rPr>
      </w:pPr>
      <w:r>
        <w:rPr>
          <w:szCs w:val="26"/>
        </w:rPr>
        <w:t xml:space="preserve">As of </w:t>
      </w:r>
      <w:r w:rsidR="00695434">
        <w:rPr>
          <w:szCs w:val="26"/>
        </w:rPr>
        <w:t xml:space="preserve">the end of </w:t>
      </w:r>
      <w:r>
        <w:rPr>
          <w:szCs w:val="26"/>
        </w:rPr>
        <w:t xml:space="preserve">October 2025, 72 </w:t>
      </w:r>
      <w:r w:rsidRPr="003E37F9">
        <w:rPr>
          <w:szCs w:val="26"/>
        </w:rPr>
        <w:t xml:space="preserve">public comments appear on the </w:t>
      </w:r>
      <w:r>
        <w:rPr>
          <w:szCs w:val="26"/>
        </w:rPr>
        <w:t>D</w:t>
      </w:r>
      <w:r w:rsidRPr="003E37F9">
        <w:rPr>
          <w:szCs w:val="26"/>
        </w:rPr>
        <w:t>ocket</w:t>
      </w:r>
      <w:r>
        <w:rPr>
          <w:szCs w:val="26"/>
        </w:rPr>
        <w:t xml:space="preserve"> Card</w:t>
      </w:r>
      <w:r w:rsidRPr="003E37F9">
        <w:rPr>
          <w:szCs w:val="26"/>
        </w:rPr>
        <w:t xml:space="preserve"> for A.24</w:t>
      </w:r>
      <w:r w:rsidR="00270999">
        <w:rPr>
          <w:szCs w:val="26"/>
        </w:rPr>
        <w:noBreakHyphen/>
      </w:r>
      <w:r w:rsidRPr="003E37F9">
        <w:rPr>
          <w:szCs w:val="26"/>
        </w:rPr>
        <w:t>07</w:t>
      </w:r>
      <w:r w:rsidR="00270999">
        <w:rPr>
          <w:szCs w:val="26"/>
        </w:rPr>
        <w:noBreakHyphen/>
      </w:r>
      <w:r w:rsidRPr="003E37F9">
        <w:rPr>
          <w:szCs w:val="26"/>
        </w:rPr>
        <w:t xml:space="preserve">003. </w:t>
      </w:r>
      <w:r w:rsidRPr="003E37F9" w:rsidR="006D67F0">
        <w:rPr>
          <w:szCs w:val="26"/>
        </w:rPr>
        <w:t>Most</w:t>
      </w:r>
      <w:r w:rsidRPr="003E37F9">
        <w:rPr>
          <w:szCs w:val="26"/>
        </w:rPr>
        <w:t xml:space="preserve"> commenters oppose California Water</w:t>
      </w:r>
      <w:r w:rsidR="000C0896">
        <w:rPr>
          <w:szCs w:val="26"/>
        </w:rPr>
        <w:t>’</w:t>
      </w:r>
      <w:r w:rsidRPr="003E37F9">
        <w:rPr>
          <w:szCs w:val="26"/>
        </w:rPr>
        <w:t xml:space="preserve">s proposed rate increases, asserting that recent bills have already doubled or tripled despite little or no change in usage. Many </w:t>
      </w:r>
      <w:r w:rsidR="004941FE">
        <w:rPr>
          <w:szCs w:val="26"/>
        </w:rPr>
        <w:t>San </w:t>
      </w:r>
      <w:r w:rsidRPr="003E37F9">
        <w:rPr>
          <w:szCs w:val="26"/>
        </w:rPr>
        <w:t>Carlos residents argue that their rates are substantially higher than those in neighboring cities such as Redwood City, Atherton, and Menlo Park, and they object to what they view as inequitable or punitive tier structures that disadvantage families, multi</w:t>
      </w:r>
      <w:r w:rsidR="00270999">
        <w:rPr>
          <w:szCs w:val="26"/>
        </w:rPr>
        <w:noBreakHyphen/>
      </w:r>
      <w:r w:rsidRPr="003E37F9">
        <w:rPr>
          <w:szCs w:val="26"/>
        </w:rPr>
        <w:t>unit households, and properties with accessory dwelling units. Several commenters cite affordability concerns for seniors, low</w:t>
      </w:r>
      <w:r w:rsidR="00270999">
        <w:rPr>
          <w:szCs w:val="26"/>
        </w:rPr>
        <w:noBreakHyphen/>
      </w:r>
      <w:r w:rsidRPr="003E37F9">
        <w:rPr>
          <w:szCs w:val="26"/>
        </w:rPr>
        <w:t xml:space="preserve">income customers, and small businesses, and request </w:t>
      </w:r>
      <w:r w:rsidRPr="003E37F9">
        <w:rPr>
          <w:szCs w:val="26"/>
        </w:rPr>
        <w:lastRenderedPageBreak/>
        <w:t xml:space="preserve">greater transparency in </w:t>
      </w:r>
      <w:r w:rsidR="00EB50F8">
        <w:rPr>
          <w:szCs w:val="26"/>
        </w:rPr>
        <w:t>Cal Water</w:t>
      </w:r>
      <w:r w:rsidR="000C0896">
        <w:rPr>
          <w:szCs w:val="26"/>
        </w:rPr>
        <w:t>’</w:t>
      </w:r>
      <w:r w:rsidRPr="003E37F9">
        <w:rPr>
          <w:szCs w:val="26"/>
        </w:rPr>
        <w:t xml:space="preserve">s public notices and billing practices. A few comments, including from the Hermosa Beach Chamber of Commerce and the NAACP Butte County Branch, support the </w:t>
      </w:r>
      <w:r w:rsidR="0008334E">
        <w:rPr>
          <w:szCs w:val="26"/>
        </w:rPr>
        <w:t>A</w:t>
      </w:r>
      <w:r w:rsidRPr="003E37F9">
        <w:rPr>
          <w:szCs w:val="26"/>
        </w:rPr>
        <w:t>pplication on the grounds that system upgrades and infrastructure investments are necessary to maintain water quality and reliability.</w:t>
      </w:r>
    </w:p>
    <w:p w:rsidRPr="003E37F9" w:rsidR="00F94ED2" w:rsidP="005C0D4D" w:rsidRDefault="003E37F9" w14:paraId="36D4EA3E" w14:textId="3A8987C2">
      <w:pPr>
        <w:pStyle w:val="Standard"/>
      </w:pPr>
      <w:r w:rsidRPr="003E37F9">
        <w:rPr>
          <w:szCs w:val="26"/>
        </w:rPr>
        <w:t xml:space="preserve">On </w:t>
      </w:r>
      <w:r w:rsidR="000C0896">
        <w:rPr>
          <w:szCs w:val="26"/>
        </w:rPr>
        <w:t>May </w:t>
      </w:r>
      <w:r w:rsidRPr="003E37F9">
        <w:rPr>
          <w:szCs w:val="26"/>
        </w:rPr>
        <w:t xml:space="preserve">30, 2025, the assigned </w:t>
      </w:r>
      <w:r>
        <w:rPr>
          <w:szCs w:val="26"/>
        </w:rPr>
        <w:t xml:space="preserve">ALJ </w:t>
      </w:r>
      <w:r w:rsidRPr="003E37F9">
        <w:rPr>
          <w:szCs w:val="26"/>
        </w:rPr>
        <w:t>issued a ruling requesting additional information from the parties, including responses to certain issues raised in the public comments appearing on the Docket Card. Those party responses are available on the Docket Card. Overall, public sentiment recorded on the docket is overwhelmingly opposed to the proposed magnitude and structure of the rate increases.</w:t>
      </w:r>
    </w:p>
    <w:p w:rsidR="004A1EAD" w:rsidP="004A1EAD" w:rsidRDefault="004A1EAD" w14:paraId="597B8972" w14:textId="77777777">
      <w:pPr>
        <w:pStyle w:val="Heading1"/>
      </w:pPr>
      <w:bookmarkStart w:name="_Toc222305305" w:id="187"/>
      <w:bookmarkStart w:name="_Toc8123723" w:id="188"/>
      <w:bookmarkStart w:name="_Toc228294732" w:id="189"/>
      <w:bookmarkEnd w:id="185"/>
      <w:r>
        <w:t>Procedural Matters</w:t>
      </w:r>
      <w:bookmarkEnd w:id="187"/>
      <w:bookmarkEnd w:id="189"/>
    </w:p>
    <w:p w:rsidR="00CE0158" w:rsidP="00695434" w:rsidRDefault="004A1EAD" w14:paraId="77897529" w14:textId="77777777">
      <w:pPr>
        <w:pStyle w:val="Standard"/>
      </w:pPr>
      <w:r w:rsidRPr="008B175A">
        <w:t xml:space="preserve">This decision affirms all rulings made by the </w:t>
      </w:r>
      <w:r w:rsidR="002F4FE3">
        <w:t xml:space="preserve">ALJ </w:t>
      </w:r>
      <w:r w:rsidRPr="008B175A">
        <w:t>and assigned Commissioner in this proceeding. All motions not ruled on are deemed denied.</w:t>
      </w:r>
    </w:p>
    <w:p w:rsidR="005939A5" w:rsidP="005939A5" w:rsidRDefault="005939A5" w14:paraId="134EF664" w14:textId="175A1FFA">
      <w:pPr>
        <w:pStyle w:val="Heading1"/>
      </w:pPr>
      <w:bookmarkStart w:name="_Toc222305306" w:id="190"/>
      <w:bookmarkStart w:name="_Toc228294733" w:id="191"/>
      <w:r>
        <w:t>Comments on Proposed Decision</w:t>
      </w:r>
      <w:bookmarkEnd w:id="188"/>
      <w:bookmarkEnd w:id="190"/>
      <w:bookmarkEnd w:id="191"/>
    </w:p>
    <w:p w:rsidR="00CE0158" w:rsidP="00B52136" w:rsidRDefault="005C58FA" w14:paraId="6901E823" w14:textId="19F2CBB9">
      <w:pPr>
        <w:pStyle w:val="Standard"/>
      </w:pPr>
      <w:r w:rsidRPr="00B52136">
        <w:t xml:space="preserve">The proposed decision of ALJ </w:t>
      </w:r>
      <w:r w:rsidR="000F3EFA">
        <w:t>Alberto T.</w:t>
      </w:r>
      <w:r w:rsidRPr="00B52136" w:rsidR="00B52136">
        <w:t xml:space="preserve"> Rosas </w:t>
      </w:r>
      <w:r w:rsidRPr="00B52136">
        <w:t>in this matter was mailed</w:t>
      </w:r>
      <w:r>
        <w:t xml:space="preserve"> to the parties in accordance with </w:t>
      </w:r>
      <w:r w:rsidR="00DD056F">
        <w:t>Pub. Util. Code Section </w:t>
      </w:r>
      <w:r>
        <w:t xml:space="preserve">311 and comments were allowed under </w:t>
      </w:r>
      <w:r w:rsidR="003A5B7D">
        <w:t>Rule </w:t>
      </w:r>
      <w:r>
        <w:t>14.3.</w:t>
      </w:r>
      <w:r w:rsidR="00FD4C68">
        <w:t xml:space="preserve"> Per an ALJ ruling, the deadline for reply comments was extended.</w:t>
      </w:r>
      <w:r>
        <w:t xml:space="preserve"> Comments were filed on</w:t>
      </w:r>
      <w:r w:rsidR="00FD4C68">
        <w:t xml:space="preserve"> April 2, 2026</w:t>
      </w:r>
      <w:r>
        <w:t xml:space="preserve">, and reply comments were filed on </w:t>
      </w:r>
      <w:r w:rsidR="00FD4C68">
        <w:t xml:space="preserve">April 13, 2026, </w:t>
      </w:r>
      <w:r>
        <w:t>by</w:t>
      </w:r>
      <w:r w:rsidR="00FD4C68">
        <w:t xml:space="preserve"> Cal Water</w:t>
      </w:r>
      <w:r w:rsidRPr="00960D57" w:rsidR="00FD4C68">
        <w:t xml:space="preserve">, </w:t>
      </w:r>
      <w:r w:rsidR="00FD4C68">
        <w:t>Cal Advocates</w:t>
      </w:r>
      <w:r w:rsidRPr="00960D57" w:rsidR="00FD4C68">
        <w:t>, NAWC, and CWA</w:t>
      </w:r>
      <w:r>
        <w:t>.</w:t>
      </w:r>
    </w:p>
    <w:p w:rsidRPr="00565CBA" w:rsidR="007C3369" w:rsidP="007C3369" w:rsidRDefault="00565CBA" w14:paraId="38E49069" w14:textId="4F5B6B2E">
      <w:pPr>
        <w:pStyle w:val="Standard"/>
      </w:pPr>
      <w:r>
        <w:t xml:space="preserve">Cal Water generally supports the proposed decision forward-looking, evidence-based framework but requests targeted modifications </w:t>
      </w:r>
      <w:r w:rsidR="4C9308C7">
        <w:t xml:space="preserve">that it believes will </w:t>
      </w:r>
      <w:r>
        <w:t xml:space="preserve">better reflect operational realities and cost recovery principles. Cal Water </w:t>
      </w:r>
      <w:r w:rsidR="4F66F976">
        <w:t xml:space="preserve">believes </w:t>
      </w:r>
      <w:r>
        <w:t xml:space="preserve">that the proposed decision in several areas adopts overly restrictive or inconsistent standards, particularly with respect to capital project treatment, AMI deployment, labor escalation, and conservation funding. It </w:t>
      </w:r>
      <w:r w:rsidR="18B6B0A6">
        <w:t>suggest</w:t>
      </w:r>
      <w:r w:rsidR="008D6457">
        <w:t>s</w:t>
      </w:r>
      <w:r>
        <w:t xml:space="preserve"> greater </w:t>
      </w:r>
      <w:r>
        <w:lastRenderedPageBreak/>
        <w:t xml:space="preserve">flexibility in recovering capital costs through advice letter processes, clarification of cost caps and project categorizations, and the use of AFUDC at the authorized rate of return. Cal Water </w:t>
      </w:r>
      <w:r w:rsidR="19BBB1AD">
        <w:t>still</w:t>
      </w:r>
      <w:r>
        <w:t xml:space="preserve"> advocates for approval of its AMI proposal and increased conservation funding targeted to compliance needs. In general, Cal Water’s comments emphasize </w:t>
      </w:r>
      <w:r w:rsidR="6A71458E">
        <w:t xml:space="preserve">what it believes would be better </w:t>
      </w:r>
      <w:r w:rsidR="007C3369">
        <w:t>alignment with cost-of-service principles, administrative efficiency, and consistency with prior Commission precedent.</w:t>
      </w:r>
    </w:p>
    <w:p w:rsidRPr="00565CBA" w:rsidR="007C3369" w:rsidP="007C3369" w:rsidRDefault="007C3369" w14:paraId="3384E3E3" w14:textId="19A1EF7C">
      <w:pPr>
        <w:pStyle w:val="Standard"/>
      </w:pPr>
      <w:r>
        <w:t xml:space="preserve">Cal Advocates generally supports the proposed decision’s efforts to constrain unsupported cost increases but </w:t>
      </w:r>
      <w:r w:rsidR="66CC4910">
        <w:t>believes</w:t>
      </w:r>
      <w:r>
        <w:t xml:space="preserve"> the proposed decision departs from established Commission policies or lacks sufficient evidentiary support. Cal Advocates objects to the use of utility-specific escalation methods, including Cal Water’s proposal to apply collective bargaining agreement-based wage increases to escalation years, arguing that </w:t>
      </w:r>
      <w:r w:rsidR="0117B6E2">
        <w:t>these</w:t>
      </w:r>
      <w:r>
        <w:t xml:space="preserve"> approaches are inconsistent with the Rate Case Plan. It also challenges the inclusion of contingency allowances and certain capital expenditures as insufficiently supported by the record. Cal Advocates </w:t>
      </w:r>
      <w:r w:rsidR="008D6457">
        <w:t>believes the decision should</w:t>
      </w:r>
      <w:r>
        <w:t xml:space="preserve"> use standardized methodologies, </w:t>
      </w:r>
      <w:r w:rsidR="008D6457">
        <w:t>rely</w:t>
      </w:r>
      <w:r>
        <w:t xml:space="preserve"> on</w:t>
      </w:r>
      <w:r w:rsidR="008D6457">
        <w:t xml:space="preserve"> what it believes are the </w:t>
      </w:r>
      <w:r>
        <w:t xml:space="preserve">historical </w:t>
      </w:r>
      <w:r w:rsidR="008D6457">
        <w:t xml:space="preserve">ratemaking </w:t>
      </w:r>
      <w:r>
        <w:t>trends</w:t>
      </w:r>
      <w:r w:rsidR="008D6457">
        <w:t>, and,</w:t>
      </w:r>
      <w:r>
        <w:t xml:space="preserve"> where appropriate, limiting recovery to costs that are clearly demonstrated to be reasonable and necessary.</w:t>
      </w:r>
      <w:r w:rsidR="4107E556">
        <w:t xml:space="preserve"> </w:t>
      </w:r>
      <w:r w:rsidR="738B25D3">
        <w:t>Based on the record of this proceeding we have made</w:t>
      </w:r>
      <w:r w:rsidR="008D6457">
        <w:t xml:space="preserve"> various</w:t>
      </w:r>
      <w:r w:rsidR="738B25D3">
        <w:t xml:space="preserve"> changes based on these comments.</w:t>
      </w:r>
    </w:p>
    <w:p w:rsidRPr="00565CBA" w:rsidR="007C3369" w:rsidP="007C3369" w:rsidRDefault="007C3369" w14:paraId="0C2749D8" w14:textId="127E43D0">
      <w:pPr>
        <w:pStyle w:val="Standard"/>
      </w:pPr>
      <w:r>
        <w:t xml:space="preserve">CWA, representing smaller and mid-sized water utilities, raises broader policy concerns regarding the implications of the proposed decision beyond this proceeding. CWA cautions against adopting overly rigid or prescriptive standards that could limit utility flexibility or create unintended precedent for future general rate cases. Its comments focus on ensuring that the proposed decision does not establish policies that would unduly constrain capital </w:t>
      </w:r>
      <w:r>
        <w:lastRenderedPageBreak/>
        <w:t>investment, cost recovery mechanisms, or operational decision-making across the industry. CWA generally urges the Commission to clarify that determinations in this proceeding are based on the specific record and should not be interpreted as broadly applicable policy changes.</w:t>
      </w:r>
      <w:r w:rsidR="0202722F">
        <w:t xml:space="preserve"> We agree and emphasize that the outcomes adopted herein are applicable only to Cal Water based on the record</w:t>
      </w:r>
      <w:r w:rsidR="7FF286C8">
        <w:t xml:space="preserve"> for this proceeding.</w:t>
      </w:r>
    </w:p>
    <w:p w:rsidRPr="00565CBA" w:rsidR="007C3369" w:rsidP="007C3369" w:rsidRDefault="007C3369" w14:paraId="5A4896CB" w14:textId="746D215D">
      <w:pPr>
        <w:pStyle w:val="Standard"/>
      </w:pPr>
      <w:r>
        <w:t>NAWC similarly focuses on broader regulatory and policy implications, emphasizing the importance of maintaining stable and predictable ratemaking frameworks. NAWC expresses concern that certain aspects of the proposed decision could introduce uncertainty or discourage infrastructure investment if applied more broadly. NAWC advocates for clear articulation that the proposed decision’s determinations are grounded in the specific evidentiary record and should not be construed as establishing new Commission-wide standards absent a more comprehensive policy proceeding.</w:t>
      </w:r>
      <w:r w:rsidR="44C9320B">
        <w:t xml:space="preserve"> We agree that this decision is not a policy-changing decision applicable beyond this proceeding.</w:t>
      </w:r>
    </w:p>
    <w:p w:rsidR="007C3369" w:rsidRDefault="007C3369" w14:paraId="7D361D65" w14:textId="3765F6CC">
      <w:pPr>
        <w:pStyle w:val="Standard"/>
      </w:pPr>
      <w:r>
        <w:t xml:space="preserve">In response to party comments, we have made several targeted revisions to the proposed decision to improve clarity, ensure consistency with established policy, and better align outcomes with the evidentiary record. Most notably, the Commission revises its treatment of labor escalation to limit the use of collective bargaining agreement-based wage increases to the Test Year, with escalation and attrition years calculated using inflation indices consistent with the Rate Case Plan. The Commission also removes the </w:t>
      </w:r>
      <w:r w:rsidR="00E53D2A">
        <w:t>proposed</w:t>
      </w:r>
      <w:r w:rsidR="10F872FC">
        <w:t xml:space="preserve"> </w:t>
      </w:r>
      <w:r>
        <w:t xml:space="preserve">10 percent contingency cap and </w:t>
      </w:r>
      <w:r w:rsidR="00890A2F">
        <w:t>now</w:t>
      </w:r>
      <w:r>
        <w:t xml:space="preserve"> excludes contingency allowances from </w:t>
      </w:r>
      <w:r w:rsidR="00E53D2A">
        <w:t xml:space="preserve">the </w:t>
      </w:r>
      <w:r>
        <w:t xml:space="preserve">rate base due to insufficient record support. With respect to capital project treatment, the Commission clarifies compliance and advice letter processes, including the use of Tier 1, Tier 2, and Tier 3 advice letters in appropriate circumstances, and refines language </w:t>
      </w:r>
      <w:r>
        <w:lastRenderedPageBreak/>
        <w:t xml:space="preserve">regarding project categorization and </w:t>
      </w:r>
      <w:r w:rsidR="00890A2F">
        <w:t xml:space="preserve">budgeted </w:t>
      </w:r>
      <w:r>
        <w:t>cost</w:t>
      </w:r>
      <w:r w:rsidR="00890A2F">
        <w:t>s</w:t>
      </w:r>
      <w:r>
        <w:t>. The Commission further revises its treatment of conservation funding by increasing the authorized budget, reauthorizing the Conservation Expense Balancing Account as a one-way mechanism, and clarifying eligible expenditures. In addition, the Commission adopts AFUDC at the authorized rate of return for construction work in progress, consistent with prior decisions. These revisions collectively enhance the internal consistency of the proposed decision, respond to stakeholder concerns, and ensure that the adopted outcomes remain just, reasonable, and supported by the record.</w:t>
      </w:r>
    </w:p>
    <w:p w:rsidR="008157D1" w:rsidRDefault="008157D1" w14:paraId="49B2DBED" w14:textId="10FC409B">
      <w:pPr>
        <w:pStyle w:val="Standard"/>
      </w:pPr>
      <w:r>
        <w:t xml:space="preserve">The revised decision authorizes Cal Water to recover </w:t>
      </w:r>
      <w:r w:rsidRPr="009E6EDB">
        <w:t>$2,037,650 of capital costs in 2026</w:t>
      </w:r>
      <w:r>
        <w:t xml:space="preserve"> (50% of </w:t>
      </w:r>
      <w:r w:rsidRPr="00153FD0">
        <w:t>$4,482,831</w:t>
      </w:r>
      <w:r>
        <w:t>) and</w:t>
      </w:r>
      <w:r w:rsidRPr="00BA6469">
        <w:t xml:space="preserve"> $15,413,917 in capital costs in 2027</w:t>
      </w:r>
      <w:r>
        <w:t xml:space="preserve"> (50% of </w:t>
      </w:r>
      <w:r w:rsidRPr="00153FD0">
        <w:t>$32,721,122</w:t>
      </w:r>
      <w:r>
        <w:t xml:space="preserve">) in rates. The revised decision makes it clear that Cal Water may request the remaining 50 percent </w:t>
      </w:r>
      <w:r w:rsidRPr="0047173C">
        <w:t>in i</w:t>
      </w:r>
      <w:r>
        <w:t>ts</w:t>
      </w:r>
      <w:r w:rsidRPr="0047173C">
        <w:t xml:space="preserve"> next GRC</w:t>
      </w:r>
      <w:r>
        <w:t xml:space="preserve">. </w:t>
      </w:r>
      <w:r w:rsidRPr="00516895">
        <w:t>Cal Water is also authorized to recover $1,893,288 for necessary meter replacements for th</w:t>
      </w:r>
      <w:r>
        <w:t>ose</w:t>
      </w:r>
      <w:r w:rsidRPr="00516895">
        <w:t> districts which are not in the AMI program.</w:t>
      </w:r>
    </w:p>
    <w:p w:rsidR="00547116" w:rsidP="00547116" w:rsidRDefault="00890A2F" w14:paraId="4B0D49A2" w14:textId="5281E508">
      <w:pPr>
        <w:pStyle w:val="Standard"/>
      </w:pPr>
      <w:r>
        <w:t>Finally</w:t>
      </w:r>
      <w:r w:rsidR="00547116">
        <w:t>, i</w:t>
      </w:r>
      <w:r w:rsidRPr="00547116" w:rsidR="00547116">
        <w:t xml:space="preserve">n the </w:t>
      </w:r>
      <w:r w:rsidR="00547116">
        <w:t>propose</w:t>
      </w:r>
      <w:r>
        <w:t>d</w:t>
      </w:r>
      <w:r w:rsidR="00547116">
        <w:t xml:space="preserve"> decision</w:t>
      </w:r>
      <w:r w:rsidRPr="00547116" w:rsidR="00547116">
        <w:t>, the revenue requirement increase was overstated at 11.1</w:t>
      </w:r>
      <w:r w:rsidR="00547116">
        <w:t xml:space="preserve"> percent</w:t>
      </w:r>
      <w:r w:rsidRPr="00547116" w:rsidR="00547116">
        <w:t xml:space="preserve"> due to modeling errors; the correct figure should have been 10.8</w:t>
      </w:r>
      <w:r w:rsidR="00547116">
        <w:t xml:space="preserve"> percent</w:t>
      </w:r>
      <w:r w:rsidRPr="00547116" w:rsidR="00547116">
        <w:t xml:space="preserve">. </w:t>
      </w:r>
      <w:r w:rsidR="00547116">
        <w:t>The revised decision</w:t>
      </w:r>
      <w:r w:rsidRPr="00547116" w:rsidR="00547116">
        <w:t xml:space="preserve">, </w:t>
      </w:r>
      <w:r w:rsidR="00547116">
        <w:t xml:space="preserve">even </w:t>
      </w:r>
      <w:r w:rsidRPr="00547116" w:rsidR="00547116">
        <w:t>with an additional revenue requirement, reflects a corrected increase of 10.9</w:t>
      </w:r>
      <w:r w:rsidR="00547116">
        <w:t xml:space="preserve"> percent</w:t>
      </w:r>
      <w:r w:rsidRPr="00547116" w:rsidR="00547116">
        <w:t>. The prior modeling error</w:t>
      </w:r>
      <w:r>
        <w:t>s</w:t>
      </w:r>
      <w:r w:rsidRPr="00547116" w:rsidR="00547116">
        <w:t xml:space="preserve"> account for the apparent rate decrease notwithstanding the additional revenue requirement.</w:t>
      </w:r>
    </w:p>
    <w:p w:rsidR="005939A5" w:rsidP="005939A5" w:rsidRDefault="005939A5" w14:paraId="5B1A41B0" w14:textId="6F60A0B3">
      <w:pPr>
        <w:pStyle w:val="Heading1"/>
      </w:pPr>
      <w:bookmarkStart w:name="_Toc8123724" w:id="192"/>
      <w:bookmarkStart w:name="_Toc222305307" w:id="193"/>
      <w:bookmarkStart w:name="_Toc228294734" w:id="194"/>
      <w:r>
        <w:t>Assignment of Proceeding</w:t>
      </w:r>
      <w:bookmarkEnd w:id="192"/>
      <w:bookmarkEnd w:id="193"/>
      <w:bookmarkEnd w:id="194"/>
    </w:p>
    <w:p w:rsidR="005939A5" w:rsidP="006E6574" w:rsidRDefault="00F94ED2" w14:paraId="1956EBD6" w14:textId="733585E2">
      <w:pPr>
        <w:pStyle w:val="Standard"/>
      </w:pPr>
      <w:r>
        <w:t>Matthew Baker</w:t>
      </w:r>
      <w:r w:rsidR="005939A5">
        <w:t xml:space="preserve"> is the assigned Commissioner and </w:t>
      </w:r>
      <w:r w:rsidR="000F3EFA">
        <w:t>Alberto T.</w:t>
      </w:r>
      <w:r>
        <w:t xml:space="preserve"> Rosas</w:t>
      </w:r>
      <w:r w:rsidR="005939A5">
        <w:t xml:space="preserve"> is the assigned </w:t>
      </w:r>
      <w:r w:rsidR="002F4FE3">
        <w:t>ALJ</w:t>
      </w:r>
      <w:r w:rsidR="005939A5">
        <w:t xml:space="preserve"> in this proceeding.</w:t>
      </w:r>
    </w:p>
    <w:p w:rsidR="005939A5" w:rsidP="0024656E" w:rsidRDefault="005939A5" w14:paraId="36A21DA0" w14:textId="4C3CDBEA">
      <w:pPr>
        <w:pStyle w:val="Dummy"/>
      </w:pPr>
      <w:bookmarkStart w:name="_Toc8123725" w:id="195"/>
      <w:bookmarkStart w:name="_Toc222305308" w:id="196"/>
      <w:bookmarkStart w:name="_Toc228294735" w:id="197"/>
      <w:r>
        <w:lastRenderedPageBreak/>
        <w:t>Findings of Fact</w:t>
      </w:r>
      <w:bookmarkEnd w:id="195"/>
      <w:bookmarkEnd w:id="196"/>
      <w:bookmarkEnd w:id="197"/>
    </w:p>
    <w:p w:rsidRPr="00960D57" w:rsidR="005E6521" w:rsidP="00F55524" w:rsidRDefault="005E6521" w14:paraId="6ED32D8D" w14:textId="77777777">
      <w:pPr>
        <w:pStyle w:val="Section"/>
      </w:pPr>
      <w:r w:rsidRPr="00960D57">
        <w:t>General Findings</w:t>
      </w:r>
    </w:p>
    <w:p w:rsidRPr="00960D57" w:rsidR="005E6521" w:rsidP="00C31C0E" w:rsidRDefault="005E6521" w14:paraId="78A82F95" w14:textId="0FE38C89">
      <w:pPr>
        <w:pStyle w:val="FoF"/>
      </w:pPr>
      <w:r w:rsidRPr="00960D57">
        <w:t xml:space="preserve">On </w:t>
      </w:r>
      <w:r w:rsidR="0068306C">
        <w:t>August </w:t>
      </w:r>
      <w:r w:rsidRPr="00960D57">
        <w:t xml:space="preserve">4, 2025, </w:t>
      </w:r>
      <w:r w:rsidR="00EB50F8">
        <w:t>Cal Water</w:t>
      </w:r>
      <w:r w:rsidRPr="00960D57">
        <w:t xml:space="preserve">, </w:t>
      </w:r>
      <w:r w:rsidR="00EB50F8">
        <w:t>Cal Advocates</w:t>
      </w:r>
      <w:r w:rsidRPr="00960D57">
        <w:t xml:space="preserve">, NAWC, and CWA filed a </w:t>
      </w:r>
      <w:r w:rsidRPr="00960D57" w:rsidR="007A2749">
        <w:t>Motion for Partial Settlement</w:t>
      </w:r>
      <w:r w:rsidRPr="00960D57">
        <w:t>, which included an accompanying Undisputed Issues List.</w:t>
      </w:r>
    </w:p>
    <w:p w:rsidR="0E2FEE0A" w:rsidP="2750161B" w:rsidRDefault="0E2FEE0A" w14:paraId="5D76AFE6" w14:textId="7FAB0D62">
      <w:pPr>
        <w:pStyle w:val="FoF"/>
      </w:pPr>
      <w:r>
        <w:t xml:space="preserve">The Partial Settlement Agreement and Undisputed Issues List </w:t>
      </w:r>
      <w:r w:rsidR="0422DB40">
        <w:t xml:space="preserve">reasonably </w:t>
      </w:r>
      <w:r>
        <w:t>resolve</w:t>
      </w:r>
      <w:r w:rsidR="2CE63A32">
        <w:t>s</w:t>
      </w:r>
      <w:r>
        <w:t xml:space="preserve"> </w:t>
      </w:r>
      <w:r w:rsidR="09B5F7AF">
        <w:t>many of the material issues within the scope of this proceeding</w:t>
      </w:r>
      <w:r>
        <w:t xml:space="preserve">, including rate base, revenue requirement, rate design, accounting procedures, </w:t>
      </w:r>
      <w:r w:rsidR="1727D4C4">
        <w:t>BAMA</w:t>
      </w:r>
      <w:r>
        <w:t xml:space="preserve">s, and several special requests; and they incorporate methodologies reflected in </w:t>
      </w:r>
      <w:r w:rsidR="085984A7">
        <w:t>Cal Water</w:t>
      </w:r>
      <w:r w:rsidR="6580AFA6">
        <w:t>’</w:t>
      </w:r>
      <w:r>
        <w:t xml:space="preserve">s </w:t>
      </w:r>
      <w:r w:rsidR="62B6A7AC">
        <w:t>RO</w:t>
      </w:r>
      <w:r>
        <w:t xml:space="preserve"> Model, which form the basis for the</w:t>
      </w:r>
      <w:r w:rsidR="4B431710">
        <w:t xml:space="preserve"> </w:t>
      </w:r>
      <w:r w:rsidR="30149C13">
        <w:t>TY</w:t>
      </w:r>
      <w:r>
        <w:t xml:space="preserve"> and </w:t>
      </w:r>
      <w:r w:rsidR="015A0F81">
        <w:t>EY</w:t>
      </w:r>
      <w:r>
        <w:t xml:space="preserve"> revenue</w:t>
      </w:r>
      <w:r w:rsidR="5B7F1E7A">
        <w:t xml:space="preserve"> requirements.</w:t>
      </w:r>
    </w:p>
    <w:p w:rsidRPr="00960D57" w:rsidR="00B52136" w:rsidP="00F55524" w:rsidRDefault="00B52136" w14:paraId="14B0C6C3" w14:textId="1D9BB429">
      <w:pPr>
        <w:pStyle w:val="Section"/>
      </w:pPr>
      <w:r w:rsidRPr="00960D57">
        <w:t xml:space="preserve">Scoped </w:t>
      </w:r>
      <w:r w:rsidR="009D287A">
        <w:t>Issue #</w:t>
      </w:r>
      <w:r w:rsidRPr="00960D57">
        <w:t>1</w:t>
      </w:r>
      <w:r w:rsidR="00FC4E12">
        <w:t xml:space="preserve"> — </w:t>
      </w:r>
      <w:r w:rsidRPr="00960D57">
        <w:t>Overview of Requested Rate Increases</w:t>
      </w:r>
    </w:p>
    <w:p w:rsidR="00B46883" w:rsidP="00B46883" w:rsidRDefault="00B52136" w14:paraId="7B8FDDC4" w14:textId="77777777">
      <w:pPr>
        <w:pStyle w:val="FoF"/>
      </w:pPr>
      <w:r w:rsidRPr="00960D57">
        <w:t xml:space="preserve">The evidentiary record supports moderate rate increases </w:t>
      </w:r>
      <w:r w:rsidR="00D547BA">
        <w:t xml:space="preserve">that are </w:t>
      </w:r>
      <w:r w:rsidRPr="00960D57">
        <w:t>sufficient to fund essential infrastructure and compliance obligations while balancing affordability concerns.</w:t>
      </w:r>
    </w:p>
    <w:p w:rsidRPr="00960D57" w:rsidR="00DF4C6E" w:rsidP="00B46883" w:rsidRDefault="00B46883" w14:paraId="1C47C993" w14:textId="2B83D98C">
      <w:pPr>
        <w:pStyle w:val="FoF"/>
      </w:pPr>
      <w:r>
        <w:t>As to t</w:t>
      </w:r>
      <w:r w:rsidRPr="00B46883">
        <w:t>he Commission</w:t>
      </w:r>
      <w:r>
        <w:t>’s</w:t>
      </w:r>
      <w:r w:rsidRPr="00B46883">
        <w:t xml:space="preserve"> </w:t>
      </w:r>
      <w:r>
        <w:t xml:space="preserve">reliance on the </w:t>
      </w:r>
      <w:r w:rsidRPr="00B46883">
        <w:t xml:space="preserve">two </w:t>
      </w:r>
      <w:r w:rsidR="00C31ACD">
        <w:t>monthly</w:t>
      </w:r>
      <w:r>
        <w:t xml:space="preserve"> memorandums prepared by </w:t>
      </w:r>
      <w:r w:rsidRPr="00B46883">
        <w:t xml:space="preserve">Cal Advocates </w:t>
      </w:r>
      <w:r>
        <w:t>per</w:t>
      </w:r>
      <w:r w:rsidRPr="00B46883">
        <w:t xml:space="preserve"> the Commission’s Water Rate Case Plan, D. 07</w:t>
      </w:r>
      <w:r w:rsidR="00270999">
        <w:noBreakHyphen/>
      </w:r>
      <w:r w:rsidRPr="00B46883">
        <w:t>05</w:t>
      </w:r>
      <w:r w:rsidR="00270999">
        <w:noBreakHyphen/>
      </w:r>
      <w:r w:rsidRPr="00B46883">
        <w:t>062</w:t>
      </w:r>
      <w:r>
        <w:t>, t</w:t>
      </w:r>
      <w:r w:rsidRPr="00960D57" w:rsidR="00DF4C6E">
        <w:t>he use of current Commission labor and non</w:t>
      </w:r>
      <w:r w:rsidR="00270999">
        <w:noBreakHyphen/>
      </w:r>
      <w:r w:rsidRPr="00960D57" w:rsidR="00DF4C6E">
        <w:t>labor escalation memo factors on the adjusted test</w:t>
      </w:r>
      <w:r w:rsidR="00270999">
        <w:noBreakHyphen/>
      </w:r>
      <w:r w:rsidRPr="00960D57" w:rsidR="00DF4C6E">
        <w:t xml:space="preserve">year O&amp;M and A&amp;G expense levels, combined with the capital additions and IDC rate adopted in Scoped </w:t>
      </w:r>
      <w:r w:rsidR="009D287A">
        <w:t>Issue #</w:t>
      </w:r>
      <w:r w:rsidRPr="00960D57" w:rsidR="00DF4C6E">
        <w:t>3, yields lower revenue requirements providing sufficient revenues to support safe and reliable service.</w:t>
      </w:r>
    </w:p>
    <w:p w:rsidRPr="00960D57" w:rsidR="00DF4C6E" w:rsidP="0024656E" w:rsidRDefault="00DF4C6E" w14:paraId="3505E75C" w14:textId="73D7501D">
      <w:pPr>
        <w:pStyle w:val="FoF"/>
      </w:pPr>
      <w:r w:rsidRPr="00960D57">
        <w:t>Production</w:t>
      </w:r>
      <w:r w:rsidR="00270999">
        <w:noBreakHyphen/>
      </w:r>
      <w:r w:rsidRPr="00960D57">
        <w:t>related costs that are tracked in balancing accounts or recovered through purveyor tariffs are more accurately recovered when modeled using the adopted balancing</w:t>
      </w:r>
      <w:r w:rsidR="00270999">
        <w:noBreakHyphen/>
      </w:r>
      <w:r w:rsidRPr="00960D57">
        <w:t>account and tariff mechanisms, rather than by applying generic O&amp;M escalation factors to forecast unit prices.</w:t>
      </w:r>
    </w:p>
    <w:p w:rsidRPr="00960D57" w:rsidR="00B52136" w:rsidP="00F55524" w:rsidRDefault="00B52136" w14:paraId="7D2B56A0" w14:textId="3251F0B4">
      <w:pPr>
        <w:pStyle w:val="Section"/>
      </w:pPr>
      <w:r w:rsidRPr="00960D57">
        <w:lastRenderedPageBreak/>
        <w:t xml:space="preserve">Scoped </w:t>
      </w:r>
      <w:r w:rsidR="009D287A">
        <w:t>Issue #</w:t>
      </w:r>
      <w:r w:rsidRPr="00960D57">
        <w:t>2</w:t>
      </w:r>
      <w:r w:rsidR="00FC4E12">
        <w:t xml:space="preserve"> — </w:t>
      </w:r>
      <w:r w:rsidRPr="00960D57">
        <w:t>O&amp;M and A&amp;G Expenses</w:t>
      </w:r>
    </w:p>
    <w:p w:rsidRPr="00960D57" w:rsidR="004536BE" w:rsidP="0024656E" w:rsidRDefault="00EB50F8" w14:paraId="12406087" w14:textId="30EEC6D2">
      <w:pPr>
        <w:pStyle w:val="FoF"/>
      </w:pPr>
      <w:r>
        <w:t>Cal Water</w:t>
      </w:r>
      <w:r w:rsidR="000C0896">
        <w:t>’</w:t>
      </w:r>
      <w:r w:rsidRPr="00960D57" w:rsidR="004536BE">
        <w:t>s O&amp;M and A&amp;G forecasts were developed using internal budgeting processes and incorporate inflation, labor cost escalators, and regulatory compliance requirements, supported in part by external actuarial analyses.</w:t>
      </w:r>
    </w:p>
    <w:p w:rsidR="006D67F0" w:rsidP="0024656E" w:rsidRDefault="004536BE" w14:paraId="74B0B889" w14:textId="6E7EB3B8">
      <w:pPr>
        <w:pStyle w:val="FoF"/>
      </w:pPr>
      <w:r w:rsidRPr="00960D57">
        <w:t>Historical averages provide a useful benchmark for evaluating expense forecasts, but they do not alone reflect current operating conditions</w:t>
      </w:r>
      <w:r w:rsidR="006D67F0">
        <w:t>.</w:t>
      </w:r>
    </w:p>
    <w:p w:rsidR="00CE0158" w:rsidP="0024656E" w:rsidRDefault="004536BE" w14:paraId="5EF86C75" w14:textId="1970DCC7">
      <w:pPr>
        <w:pStyle w:val="FoF"/>
      </w:pPr>
      <w:r w:rsidRPr="00960D57">
        <w:t xml:space="preserve"> </w:t>
      </w:r>
      <w:r w:rsidR="00272029">
        <w:t>T</w:t>
      </w:r>
      <w:r w:rsidRPr="00960D57">
        <w:t xml:space="preserve">he record supports adopting </w:t>
      </w:r>
      <w:r w:rsidR="00EB50F8">
        <w:t>Cal Water</w:t>
      </w:r>
      <w:r w:rsidR="000C0896">
        <w:t>’</w:t>
      </w:r>
      <w:r w:rsidRPr="00960D57">
        <w:t>s forward</w:t>
      </w:r>
      <w:r w:rsidR="00270999">
        <w:noBreakHyphen/>
      </w:r>
      <w:r w:rsidRPr="00960D57">
        <w:t>looking forecasts</w:t>
      </w:r>
      <w:r w:rsidR="00272029">
        <w:t xml:space="preserve">, with </w:t>
      </w:r>
      <w:r w:rsidRPr="00960D57">
        <w:t>adjust</w:t>
      </w:r>
      <w:r w:rsidR="00272029">
        <w:t>ments</w:t>
      </w:r>
      <w:r w:rsidRPr="00960D57">
        <w:t xml:space="preserve"> </w:t>
      </w:r>
      <w:r w:rsidR="00272029">
        <w:t>to</w:t>
      </w:r>
      <w:r w:rsidRPr="00960D57">
        <w:t xml:space="preserve"> O&amp;M and A&amp;G categories </w:t>
      </w:r>
      <w:r w:rsidR="00272029">
        <w:t>(</w:t>
      </w:r>
      <w:r w:rsidRPr="00960D57">
        <w:t>where escalations above inflation or historical norms</w:t>
      </w:r>
      <w:r w:rsidR="00272029">
        <w:t xml:space="preserve"> are</w:t>
      </w:r>
      <w:r w:rsidR="00566F05">
        <w:t xml:space="preserve"> </w:t>
      </w:r>
      <w:r w:rsidR="00272029">
        <w:t>n</w:t>
      </w:r>
      <w:r w:rsidR="00566F05">
        <w:t>o</w:t>
      </w:r>
      <w:r w:rsidR="00272029">
        <w:t>t justified)</w:t>
      </w:r>
      <w:r w:rsidRPr="00960D57">
        <w:t>.</w:t>
      </w:r>
    </w:p>
    <w:p w:rsidRPr="00960D57" w:rsidR="00852994" w:rsidP="00852994" w:rsidRDefault="4301E3A5" w14:paraId="5E84CFB3" w14:textId="08984664">
      <w:pPr>
        <w:pStyle w:val="FoF"/>
      </w:pPr>
      <w:r w:rsidRPr="00960D57">
        <w:t xml:space="preserve">The record supports adoption of the </w:t>
      </w:r>
      <w:proofErr w:type="spellStart"/>
      <w:r w:rsidRPr="00960D57">
        <w:t>M.Cubed</w:t>
      </w:r>
      <w:proofErr w:type="spellEnd"/>
      <w:r w:rsidRPr="00960D57">
        <w:t xml:space="preserve"> </w:t>
      </w:r>
      <w:r w:rsidR="00C47F0F">
        <w:t>U</w:t>
      </w:r>
      <w:r w:rsidRPr="00960D57" w:rsidR="00C47F0F">
        <w:t>nrestricted</w:t>
      </w:r>
      <w:r w:rsidRPr="00960D57">
        <w:t xml:space="preserve"> sales forecast for the </w:t>
      </w:r>
      <w:r w:rsidR="4BD69110">
        <w:t>TY</w:t>
      </w:r>
      <w:r w:rsidRPr="00960D57">
        <w:t xml:space="preserve"> and both </w:t>
      </w:r>
      <w:r w:rsidR="1589BBA1">
        <w:t>EY</w:t>
      </w:r>
      <w:r w:rsidRPr="00960D57">
        <w:t>s, and that Escalation</w:t>
      </w:r>
      <w:r w:rsidR="00270999">
        <w:noBreakHyphen/>
      </w:r>
      <w:r w:rsidRPr="00960D57">
        <w:t xml:space="preserve">Year sales forecasts should reflect changes in water use over time rather than simply repeating the </w:t>
      </w:r>
      <w:r w:rsidR="4BD69110">
        <w:t>TY</w:t>
      </w:r>
      <w:r w:rsidRPr="00960D57">
        <w:t xml:space="preserve"> forecast.</w:t>
      </w:r>
    </w:p>
    <w:p w:rsidR="00852994" w:rsidP="00852994" w:rsidRDefault="00852994" w14:paraId="40683A6C" w14:textId="385916B2">
      <w:pPr>
        <w:pStyle w:val="FoF"/>
      </w:pPr>
      <w:r>
        <w:t>Cal Water’</w:t>
      </w:r>
      <w:r w:rsidRPr="00960D57">
        <w:t>s actuarial forecasts for pension and healthcare costs reflect prudently incurred and reasonable expenses, supported by external analyses and industry</w:t>
      </w:r>
      <w:r w:rsidR="00270999">
        <w:noBreakHyphen/>
      </w:r>
      <w:r w:rsidRPr="00960D57">
        <w:t>standard actuarial methods.</w:t>
      </w:r>
    </w:p>
    <w:p w:rsidRPr="00960D57" w:rsidR="0052688E" w:rsidP="001A74E9" w:rsidRDefault="5D053BED" w14:paraId="205FA267" w14:textId="65027CEB">
      <w:pPr>
        <w:pStyle w:val="FoF"/>
      </w:pPr>
      <w:r w:rsidRPr="00960D57">
        <w:t xml:space="preserve">The evidentiary record establishes that the appropriate Test Year </w:t>
      </w:r>
      <w:r w:rsidR="6339BA9B">
        <w:t>O&amp;M</w:t>
      </w:r>
      <w:r w:rsidRPr="00960D57">
        <w:t xml:space="preserve"> and </w:t>
      </w:r>
      <w:r w:rsidR="6339BA9B">
        <w:t xml:space="preserve">A&amp;G </w:t>
      </w:r>
      <w:r w:rsidRPr="00960D57">
        <w:t>expense levels vary by category, and that a category</w:t>
      </w:r>
      <w:r w:rsidR="00270999">
        <w:noBreakHyphen/>
      </w:r>
      <w:r w:rsidRPr="00960D57">
        <w:t>specific approach</w:t>
      </w:r>
      <w:r w:rsidR="1D19FEAE">
        <w:t xml:space="preserve"> </w:t>
      </w:r>
      <w:r w:rsidRPr="00960D57">
        <w:t>is necessary to determine reasonable expense forecasts for the disputed sub</w:t>
      </w:r>
      <w:r w:rsidR="00270999">
        <w:noBreakHyphen/>
      </w:r>
      <w:r w:rsidRPr="00960D57">
        <w:t xml:space="preserve">issues under Scoped </w:t>
      </w:r>
      <w:r w:rsidR="5A0F4BD7">
        <w:t>Issue #</w:t>
      </w:r>
      <w:r w:rsidRPr="00960D57">
        <w:t xml:space="preserve">2, as reflected in the adopted amounts summarized in </w:t>
      </w:r>
      <w:r w:rsidR="085984A7">
        <w:t>Table 2</w:t>
      </w:r>
      <w:r w:rsidRPr="00960D57">
        <w:t>.</w:t>
      </w:r>
    </w:p>
    <w:p w:rsidRPr="00960D57" w:rsidR="00BE1211" w:rsidP="00F55524" w:rsidRDefault="00BE1211" w14:paraId="6A107512" w14:textId="17548771">
      <w:pPr>
        <w:pStyle w:val="Section"/>
      </w:pPr>
      <w:r w:rsidRPr="00960D57">
        <w:t xml:space="preserve">Scoped </w:t>
      </w:r>
      <w:r w:rsidR="009D287A">
        <w:t>Issue #</w:t>
      </w:r>
      <w:r w:rsidRPr="00960D57">
        <w:t>3</w:t>
      </w:r>
      <w:r w:rsidR="00FC4E12">
        <w:t xml:space="preserve"> — </w:t>
      </w:r>
      <w:r w:rsidRPr="00960D57">
        <w:t>Plant Additions</w:t>
      </w:r>
    </w:p>
    <w:p w:rsidRPr="00960D57" w:rsidR="00BE1211" w:rsidP="0024656E" w:rsidRDefault="00EB50F8" w14:paraId="5B6E712E" w14:textId="4B75D0E8">
      <w:pPr>
        <w:pStyle w:val="FoF"/>
      </w:pPr>
      <w:r>
        <w:t>Cal Water</w:t>
      </w:r>
      <w:r w:rsidR="000C0896">
        <w:t>’</w:t>
      </w:r>
      <w:r w:rsidRPr="00960D57" w:rsidR="00BE1211">
        <w:t>s capital forecasts include treatment</w:t>
      </w:r>
      <w:r w:rsidR="00270999">
        <w:noBreakHyphen/>
      </w:r>
      <w:r w:rsidRPr="00960D57" w:rsidR="00BE1211">
        <w:t xml:space="preserve">plant expansions, distribution system replacements, </w:t>
      </w:r>
      <w:r w:rsidRPr="00960D57" w:rsidR="00DD1991">
        <w:t xml:space="preserve">AMI </w:t>
      </w:r>
      <w:r w:rsidRPr="00960D57" w:rsidR="00BE1211">
        <w:t>deployment, and facility improvements.</w:t>
      </w:r>
    </w:p>
    <w:p w:rsidR="00CE0158" w:rsidP="0024656E" w:rsidRDefault="00EB50F8" w14:paraId="04B1E50F" w14:textId="15FC4501">
      <w:pPr>
        <w:pStyle w:val="FoF"/>
      </w:pPr>
      <w:r>
        <w:t>Cal Water</w:t>
      </w:r>
      <w:r w:rsidRPr="00960D57" w:rsidR="00BE1211">
        <w:t xml:space="preserve"> provided credible documentation for projects tied to regulatory mandates and safety standards</w:t>
      </w:r>
      <w:r w:rsidR="003B3C00">
        <w:t>,</w:t>
      </w:r>
      <w:r w:rsidRPr="00960D57" w:rsidR="00BE1211">
        <w:t xml:space="preserve"> </w:t>
      </w:r>
      <w:r w:rsidR="003B3C00">
        <w:t>and t</w:t>
      </w:r>
      <w:r w:rsidRPr="003B3C00" w:rsidR="003B3C00">
        <w:t xml:space="preserve">he record supports implementation of AMI </w:t>
      </w:r>
      <w:r w:rsidRPr="003B3C00" w:rsidR="003B3C00">
        <w:lastRenderedPageBreak/>
        <w:t>in five ratemaking areas, subject to performance-based standards and staged cost recovery tied to infrastructure that is installed and used and useful</w:t>
      </w:r>
      <w:r w:rsidRPr="00960D57" w:rsidR="00BE1211">
        <w:t>.</w:t>
      </w:r>
    </w:p>
    <w:p w:rsidRPr="00960D57" w:rsidR="00DE13B2" w:rsidRDefault="73E1E6DA" w14:paraId="499B5B05" w14:textId="300E543F">
      <w:pPr>
        <w:pStyle w:val="FoF"/>
        <w:rPr>
          <w:szCs w:val="26"/>
        </w:rPr>
      </w:pPr>
      <w:r w:rsidRPr="00960D57">
        <w:t xml:space="preserve">Several projects are premature, lack sufficient documentation, or exceed </w:t>
      </w:r>
      <w:r w:rsidR="085984A7">
        <w:t>Cal Water</w:t>
      </w:r>
      <w:r w:rsidR="6580AFA6">
        <w:t>’</w:t>
      </w:r>
      <w:r w:rsidRPr="00960D57">
        <w:t>s demonstrated construction capacity</w:t>
      </w:r>
      <w:r w:rsidRPr="00960D57" w:rsidR="25BDE6D7">
        <w:t xml:space="preserve">; </w:t>
      </w:r>
      <w:r w:rsidR="1EB8B788">
        <w:t>Table</w:t>
      </w:r>
      <w:r w:rsidR="0043155F">
        <w:t> </w:t>
      </w:r>
      <w:r w:rsidR="1EB8B788">
        <w:t xml:space="preserve">4 lists those </w:t>
      </w:r>
      <w:r w:rsidR="3101DC91">
        <w:t>projects (</w:t>
      </w:r>
      <w:r w:rsidR="1EB8B788">
        <w:t>PIDs</w:t>
      </w:r>
      <w:r w:rsidR="718573FE">
        <w:t>)</w:t>
      </w:r>
      <w:r w:rsidR="1EB8B788">
        <w:t xml:space="preserve"> that are either adopted, adopted with mo</w:t>
      </w:r>
      <w:r w:rsidR="663E607A">
        <w:t>di</w:t>
      </w:r>
      <w:r w:rsidR="1EB8B788">
        <w:t>f</w:t>
      </w:r>
      <w:r w:rsidR="739942A3">
        <w:t>ic</w:t>
      </w:r>
      <w:r w:rsidR="1EB8B788">
        <w:t>ation, deferred</w:t>
      </w:r>
      <w:r w:rsidR="0AA55C2D">
        <w:t>, or</w:t>
      </w:r>
      <w:r w:rsidR="1EB8B788">
        <w:t xml:space="preserve"> denied</w:t>
      </w:r>
      <w:r w:rsidRPr="00960D57" w:rsidR="25BDE6D7">
        <w:t>.</w:t>
      </w:r>
    </w:p>
    <w:p w:rsidRPr="00960D57" w:rsidR="00DE13B2" w:rsidP="0024656E" w:rsidRDefault="00DE13B2" w14:paraId="19FC4ADE" w14:textId="171B9CFF">
      <w:pPr>
        <w:pStyle w:val="FoF"/>
      </w:pPr>
      <w:r w:rsidRPr="00960D57">
        <w:t>The district</w:t>
      </w:r>
      <w:r w:rsidR="00270999">
        <w:noBreakHyphen/>
      </w:r>
      <w:r w:rsidRPr="00960D57">
        <w:t xml:space="preserve">level documentation in </w:t>
      </w:r>
      <w:r w:rsidR="00C47F0F">
        <w:t xml:space="preserve">Ex. CWS-03 (Att. E-G), </w:t>
      </w:r>
      <w:r w:rsidR="000A6C2E">
        <w:t>Ex. </w:t>
      </w:r>
      <w:r w:rsidRPr="00960D57">
        <w:t>CWS</w:t>
      </w:r>
      <w:r w:rsidR="00270999">
        <w:noBreakHyphen/>
      </w:r>
      <w:r w:rsidRPr="00960D57">
        <w:t xml:space="preserve">27 through </w:t>
      </w:r>
      <w:r w:rsidR="000A6C2E">
        <w:t>Ex. </w:t>
      </w:r>
      <w:r w:rsidRPr="00960D57">
        <w:t>CWS</w:t>
      </w:r>
      <w:r w:rsidR="00270999">
        <w:noBreakHyphen/>
      </w:r>
      <w:r w:rsidRPr="00960D57">
        <w:t xml:space="preserve">50 and </w:t>
      </w:r>
      <w:r w:rsidR="0037262A">
        <w:t>Ex. </w:t>
      </w:r>
      <w:r w:rsidRPr="00960D57">
        <w:t>CalAdv</w:t>
      </w:r>
      <w:r w:rsidR="00270999">
        <w:noBreakHyphen/>
      </w:r>
      <w:r w:rsidRPr="00960D57">
        <w:t>07 identifies, for each proposed capital project, whether the record contains engineering reports, regulatory citations, cost estimates, construction schedules, or other documentation sufficient to support inclusion in rate base.</w:t>
      </w:r>
    </w:p>
    <w:p w:rsidR="00DE13B2" w:rsidP="0024656E" w:rsidRDefault="00DE13B2" w14:paraId="648D346B" w14:textId="2FCD8007">
      <w:pPr>
        <w:pStyle w:val="FoF"/>
      </w:pPr>
      <w:r w:rsidRPr="00960D57">
        <w:t xml:space="preserve">Projects included in </w:t>
      </w:r>
      <w:r w:rsidR="00EB50F8">
        <w:t>Cal Water</w:t>
      </w:r>
      <w:r w:rsidR="000C0896">
        <w:t>’</w:t>
      </w:r>
      <w:r w:rsidRPr="00960D57">
        <w:t>s forecast that lack updated construction</w:t>
      </w:r>
      <w:r w:rsidR="00270999">
        <w:noBreakHyphen/>
      </w:r>
      <w:r w:rsidRPr="00960D57">
        <w:t xml:space="preserve">readiness evidence or that remain unbuilt </w:t>
      </w:r>
      <w:r w:rsidR="003E0E60">
        <w:t xml:space="preserve">and deferred </w:t>
      </w:r>
      <w:r w:rsidRPr="00960D57">
        <w:t>from prior GRC cycles are not adequately supported for inclusion in rate base at this time.</w:t>
      </w:r>
      <w:r w:rsidR="00FF4F7A">
        <w:t xml:space="preserve"> Deferred</w:t>
      </w:r>
      <w:r w:rsidR="00F14DF8">
        <w:t xml:space="preserve"> </w:t>
      </w:r>
      <w:r w:rsidR="00997266">
        <w:t xml:space="preserve">projects </w:t>
      </w:r>
      <w:r w:rsidR="00935472">
        <w:t>completed within the previously authorized</w:t>
      </w:r>
      <w:r w:rsidR="00997266">
        <w:t xml:space="preserve"> scope can be included in rates, up to the authorized budget cap, via a Tier 2 </w:t>
      </w:r>
      <w:r w:rsidR="00935472">
        <w:t xml:space="preserve">Advice </w:t>
      </w:r>
      <w:r w:rsidR="00997266">
        <w:t>Letter.</w:t>
      </w:r>
    </w:p>
    <w:p w:rsidR="0062677C" w:rsidP="0024656E" w:rsidRDefault="0062677C" w14:paraId="73819494" w14:textId="3EA43518">
      <w:pPr>
        <w:pStyle w:val="FoF"/>
      </w:pPr>
      <w:r w:rsidRPr="00960D57">
        <w:t>The Commission</w:t>
      </w:r>
      <w:r w:rsidR="000C0896">
        <w:t>’</w:t>
      </w:r>
      <w:r w:rsidRPr="00960D57">
        <w:t>s determinations regarding Common Plant programs and district</w:t>
      </w:r>
      <w:r w:rsidR="00270999">
        <w:noBreakHyphen/>
      </w:r>
      <w:r w:rsidRPr="00960D57">
        <w:t xml:space="preserve">level plant projects, including approvals, modifications, deferrals, and denials, are set forth in </w:t>
      </w:r>
      <w:r w:rsidR="00EB50F8">
        <w:t>Table 2</w:t>
      </w:r>
      <w:r w:rsidRPr="00960D57">
        <w:t xml:space="preserve"> and </w:t>
      </w:r>
      <w:r w:rsidR="00EB50F8">
        <w:t>Table 3</w:t>
      </w:r>
      <w:r w:rsidRPr="00960D57">
        <w:t xml:space="preserve"> and are intended to govern ratemaking treatment of those projects for purposes of the RO Model and </w:t>
      </w:r>
      <w:r w:rsidR="009A779A">
        <w:t>Appendices </w:t>
      </w:r>
      <w:r w:rsidR="00341211">
        <w:t>A</w:t>
      </w:r>
      <w:r w:rsidR="009A779A">
        <w:t xml:space="preserve"> through </w:t>
      </w:r>
      <w:r w:rsidR="00341211">
        <w:t>X</w:t>
      </w:r>
      <w:r w:rsidRPr="00960D57">
        <w:t>.</w:t>
      </w:r>
    </w:p>
    <w:p w:rsidRPr="00960D57" w:rsidR="00487EC0" w:rsidP="00487EC0" w:rsidRDefault="002F2145" w14:paraId="57E1A013" w14:textId="186F9953">
      <w:pPr>
        <w:pStyle w:val="FoF"/>
      </w:pPr>
      <w:r w:rsidRPr="002F2145">
        <w:t xml:space="preserve"> Contingency allowances may be used as a project management tool to address uncertainties in capital forecasting; however, the record in this proceeding does not demonstrate that the proposed contingency amounts are supported by sufficiently specific, project-level evidence or tied to identifiable and measurable cost drivers to warrant inclusion in rates</w:t>
      </w:r>
      <w:r w:rsidRPr="001232D2" w:rsidR="00487EC0">
        <w:t>.</w:t>
      </w:r>
    </w:p>
    <w:p w:rsidRPr="00960D57" w:rsidR="00395E82" w:rsidP="00F55524" w:rsidRDefault="00395E82" w14:paraId="40AE8C78" w14:textId="50CE199D">
      <w:pPr>
        <w:pStyle w:val="Section"/>
      </w:pPr>
      <w:r w:rsidRPr="00960D57">
        <w:lastRenderedPageBreak/>
        <w:t xml:space="preserve">Scoped </w:t>
      </w:r>
      <w:r w:rsidR="009D287A">
        <w:t>Issue #</w:t>
      </w:r>
      <w:r w:rsidRPr="00960D57">
        <w:t>4</w:t>
      </w:r>
      <w:r w:rsidR="00FC4E12">
        <w:t xml:space="preserve"> — </w:t>
      </w:r>
      <w:r w:rsidRPr="00960D57">
        <w:t>Revenue Requirement and Return</w:t>
      </w:r>
    </w:p>
    <w:p w:rsidRPr="00960D57" w:rsidR="005970FB" w:rsidP="0024656E" w:rsidRDefault="00F260B8" w14:paraId="4C1EE9D2" w14:textId="2153ECCE">
      <w:pPr>
        <w:pStyle w:val="FoF"/>
      </w:pPr>
      <w:r w:rsidRPr="00960D57">
        <w:t xml:space="preserve">An adjusted revenue requirement that incorporates adopted O&amp;M expenses, adopted plant additions, and escalation applied to adopted </w:t>
      </w:r>
      <w:r w:rsidR="00EF1E5C">
        <w:t>TY</w:t>
      </w:r>
      <w:r w:rsidRPr="00960D57">
        <w:t xml:space="preserve"> values enables </w:t>
      </w:r>
      <w:r w:rsidR="00EB50F8">
        <w:t>Cal Water</w:t>
      </w:r>
      <w:r w:rsidRPr="00960D57">
        <w:t xml:space="preserve"> to provide safe and reliable service at just and reasonable rates.</w:t>
      </w:r>
    </w:p>
    <w:p w:rsidRPr="00960D57" w:rsidR="005970FB" w:rsidP="0024656E" w:rsidRDefault="005970FB" w14:paraId="3C853985" w14:textId="7FBD66F1">
      <w:pPr>
        <w:pStyle w:val="FoF"/>
      </w:pPr>
      <w:r w:rsidRPr="00960D57">
        <w:rPr>
          <w:rFonts w:eastAsia="Times New Roman" w:cs="Times New Roman"/>
          <w:szCs w:val="26"/>
        </w:rPr>
        <w:t>Administration and Research activities support planning, coordination, and compliance functions associated with Commission</w:t>
      </w:r>
      <w:r w:rsidR="00270999">
        <w:rPr>
          <w:rFonts w:eastAsia="Times New Roman" w:cs="Times New Roman"/>
          <w:szCs w:val="26"/>
        </w:rPr>
        <w:noBreakHyphen/>
      </w:r>
      <w:r w:rsidRPr="00960D57">
        <w:rPr>
          <w:rFonts w:eastAsia="Times New Roman" w:cs="Times New Roman"/>
          <w:szCs w:val="26"/>
        </w:rPr>
        <w:t>authorized conservation programs.</w:t>
      </w:r>
    </w:p>
    <w:p w:rsidRPr="00960D57" w:rsidR="005970FB" w:rsidP="0024656E" w:rsidRDefault="005970FB" w14:paraId="569CE73C" w14:textId="008BDA47">
      <w:pPr>
        <w:pStyle w:val="FoF"/>
      </w:pPr>
      <w:r w:rsidRPr="00960D57">
        <w:rPr>
          <w:rFonts w:eastAsia="Times New Roman" w:cs="Times New Roman"/>
          <w:szCs w:val="26"/>
        </w:rPr>
        <w:t>During the 2020</w:t>
      </w:r>
      <w:r w:rsidR="00270999">
        <w:rPr>
          <w:rFonts w:eastAsia="Times New Roman" w:cs="Times New Roman"/>
          <w:szCs w:val="26"/>
        </w:rPr>
        <w:noBreakHyphen/>
      </w:r>
      <w:r w:rsidRPr="00960D57">
        <w:rPr>
          <w:rFonts w:eastAsia="Times New Roman" w:cs="Times New Roman"/>
          <w:szCs w:val="26"/>
        </w:rPr>
        <w:t xml:space="preserve">2022 period, </w:t>
      </w:r>
      <w:r w:rsidR="00EB50F8">
        <w:rPr>
          <w:rFonts w:eastAsia="Times New Roman" w:cs="Times New Roman"/>
          <w:szCs w:val="26"/>
        </w:rPr>
        <w:t>Cal Water</w:t>
      </w:r>
      <w:r w:rsidRPr="00960D57">
        <w:rPr>
          <w:rFonts w:eastAsia="Times New Roman" w:cs="Times New Roman"/>
          <w:szCs w:val="26"/>
        </w:rPr>
        <w:t xml:space="preserve"> utilized approximately 68.65</w:t>
      </w:r>
      <w:r w:rsidR="0032703D">
        <w:rPr>
          <w:rFonts w:eastAsia="Times New Roman" w:cs="Times New Roman"/>
          <w:szCs w:val="26"/>
        </w:rPr>
        <w:t> percent</w:t>
      </w:r>
      <w:r w:rsidRPr="00960D57">
        <w:rPr>
          <w:rFonts w:eastAsia="Times New Roman" w:cs="Times New Roman"/>
          <w:szCs w:val="26"/>
        </w:rPr>
        <w:t xml:space="preserve"> of previously authorized Administration and Research conservation funding.</w:t>
      </w:r>
    </w:p>
    <w:p w:rsidRPr="00960D57" w:rsidR="00686689" w:rsidP="00387CA9" w:rsidRDefault="005970FB" w14:paraId="7B71BD29" w14:textId="16C21C1F">
      <w:pPr>
        <w:pStyle w:val="FoF"/>
      </w:pPr>
      <w:r w:rsidRPr="00960D57">
        <w:rPr>
          <w:rFonts w:eastAsia="Times New Roman" w:cs="Times New Roman"/>
          <w:szCs w:val="26"/>
        </w:rPr>
        <w:t xml:space="preserve">The record does not demonstrate that </w:t>
      </w:r>
      <w:r w:rsidR="00EB50F8">
        <w:rPr>
          <w:rFonts w:eastAsia="Times New Roman" w:cs="Times New Roman"/>
          <w:szCs w:val="26"/>
        </w:rPr>
        <w:t>Cal Water</w:t>
      </w:r>
      <w:r w:rsidR="000C0896">
        <w:rPr>
          <w:rFonts w:eastAsia="Times New Roman" w:cs="Times New Roman"/>
          <w:szCs w:val="26"/>
        </w:rPr>
        <w:t>’</w:t>
      </w:r>
      <w:r w:rsidRPr="00960D57">
        <w:rPr>
          <w:rFonts w:eastAsia="Times New Roman" w:cs="Times New Roman"/>
          <w:szCs w:val="26"/>
        </w:rPr>
        <w:t>s proposed increase in Administration and Research conservation funding, including funding for new full</w:t>
      </w:r>
      <w:r w:rsidR="00270999">
        <w:rPr>
          <w:rFonts w:eastAsia="Times New Roman" w:cs="Times New Roman"/>
          <w:szCs w:val="26"/>
        </w:rPr>
        <w:noBreakHyphen/>
      </w:r>
      <w:r w:rsidRPr="00960D57">
        <w:rPr>
          <w:rFonts w:eastAsia="Times New Roman" w:cs="Times New Roman"/>
          <w:szCs w:val="26"/>
        </w:rPr>
        <w:t>time equivalent positions, is supported by demonstrated need or expected utilization beyond historical levels.</w:t>
      </w:r>
    </w:p>
    <w:p w:rsidR="00686689" w:rsidP="003E5054" w:rsidRDefault="00CB0965" w14:paraId="52002CD3" w14:textId="57A5A70D">
      <w:pPr>
        <w:pStyle w:val="FoF"/>
      </w:pPr>
      <w:r>
        <w:t>The Commission’s Uniform System of Accounts for Class A water utilities includes both interest on borrowed funds and a reasonable return on utility equity funds as a component of construction cost. Allowance for Funds Used During Construction (AFUDC) compensates a utility for the financing costs it incurs during construction of new facilities.</w:t>
      </w:r>
    </w:p>
    <w:p w:rsidRPr="00960D57" w:rsidR="00395E82" w:rsidP="00F55524" w:rsidRDefault="00395E82" w14:paraId="32EA5410" w14:textId="2C31CAC4">
      <w:pPr>
        <w:pStyle w:val="Section"/>
      </w:pPr>
      <w:r w:rsidRPr="00960D57">
        <w:lastRenderedPageBreak/>
        <w:t xml:space="preserve">Scoped </w:t>
      </w:r>
      <w:r w:rsidR="009D287A">
        <w:t>Issue #</w:t>
      </w:r>
      <w:r w:rsidRPr="00960D57">
        <w:t>5</w:t>
      </w:r>
      <w:r w:rsidR="006037B9">
        <w:t xml:space="preserve">, </w:t>
      </w:r>
      <w:r w:rsidR="00013C03">
        <w:t>#</w:t>
      </w:r>
      <w:r w:rsidR="006037B9">
        <w:t>7</w:t>
      </w:r>
      <w:r w:rsidR="00AE2539">
        <w:t xml:space="preserve"> &amp; </w:t>
      </w:r>
      <w:r w:rsidR="00013C03">
        <w:t>#</w:t>
      </w:r>
      <w:r w:rsidR="006037B9">
        <w:t>15</w:t>
      </w:r>
      <w:r w:rsidR="00FC4E12">
        <w:t xml:space="preserve"> — </w:t>
      </w:r>
      <w:r w:rsidRPr="00960D57">
        <w:t>Rate Design</w:t>
      </w:r>
      <w:r w:rsidR="006037B9">
        <w:t>, LUWEP</w:t>
      </w:r>
      <w:r w:rsidR="00AE2539">
        <w:t xml:space="preserve"> &amp; </w:t>
      </w:r>
      <w:r w:rsidR="006037B9">
        <w:t>Decoupling</w:t>
      </w:r>
    </w:p>
    <w:p w:rsidR="00CE0158" w:rsidP="00341D98" w:rsidRDefault="00A15FB0" w14:paraId="0762171F" w14:textId="6092804A">
      <w:pPr>
        <w:pStyle w:val="FoF"/>
        <w:keepNext/>
      </w:pPr>
      <w:r>
        <w:t>C</w:t>
      </w:r>
      <w:r w:rsidR="00EB50F8">
        <w:t>al Water</w:t>
      </w:r>
      <w:r w:rsidR="000C0896">
        <w:t>’</w:t>
      </w:r>
      <w:r w:rsidRPr="00235A7B" w:rsidR="006037B9">
        <w:t xml:space="preserve">s proposed decoupling </w:t>
      </w:r>
      <w:r w:rsidR="00436492">
        <w:t>Option </w:t>
      </w:r>
      <w:r w:rsidRPr="00235A7B" w:rsidR="006037B9">
        <w:t xml:space="preserve">1 </w:t>
      </w:r>
      <w:r>
        <w:t>(</w:t>
      </w:r>
      <w:r w:rsidRPr="00235A7B" w:rsidR="006037B9">
        <w:t>LUWEP rate design</w:t>
      </w:r>
      <w:r>
        <w:t>)</w:t>
      </w:r>
      <w:r w:rsidRPr="00235A7B" w:rsidR="006037B9">
        <w:t xml:space="preserve"> would have steeper tier multipliers (difference between tiers) and higher breakpoints compared to the current M</w:t>
      </w:r>
      <w:r w:rsidR="00270999">
        <w:noBreakHyphen/>
      </w:r>
      <w:r w:rsidRPr="00235A7B" w:rsidR="006037B9">
        <w:t>WRAM rate design.</w:t>
      </w:r>
    </w:p>
    <w:p w:rsidRPr="00235A7B" w:rsidR="006037B9" w:rsidP="006A5B76" w:rsidRDefault="006037B9" w14:paraId="0DA69767" w14:textId="7C4637C6">
      <w:pPr>
        <w:pStyle w:val="FoF"/>
        <w:keepNext/>
      </w:pPr>
      <w:r w:rsidRPr="00235A7B">
        <w:t>There is no supporting evidence that a steeper tier will lower bills for low</w:t>
      </w:r>
      <w:r w:rsidR="00270999">
        <w:noBreakHyphen/>
      </w:r>
      <w:r w:rsidRPr="00235A7B">
        <w:t>use customers if there are decoupling surcharges later.</w:t>
      </w:r>
    </w:p>
    <w:p w:rsidR="00CE0158" w:rsidP="00B403A6" w:rsidRDefault="00EB50F8" w14:paraId="07295AE7" w14:textId="50228E3E">
      <w:pPr>
        <w:pStyle w:val="FoF"/>
      </w:pPr>
      <w:r>
        <w:t>Cal Water</w:t>
      </w:r>
      <w:r w:rsidRPr="00235A7B" w:rsidR="006037B9">
        <w:t xml:space="preserve"> implemented its current M</w:t>
      </w:r>
      <w:r w:rsidR="00270999">
        <w:noBreakHyphen/>
      </w:r>
      <w:r w:rsidRPr="00235A7B" w:rsidR="006037B9">
        <w:t>WRAM, with a four</w:t>
      </w:r>
      <w:r w:rsidR="00270999">
        <w:noBreakHyphen/>
      </w:r>
      <w:r w:rsidRPr="00235A7B" w:rsidR="006037B9">
        <w:t>tiered conservation rate design</w:t>
      </w:r>
      <w:r w:rsidR="00C47F0F">
        <w:t xml:space="preserve"> in most districts</w:t>
      </w:r>
      <w:r w:rsidRPr="00235A7B" w:rsidR="006037B9">
        <w:t>, in 2024.</w:t>
      </w:r>
    </w:p>
    <w:p w:rsidR="00CE0158" w:rsidP="00B403A6" w:rsidRDefault="006037B9" w14:paraId="4FD43900" w14:textId="6CB816EA">
      <w:pPr>
        <w:pStyle w:val="FoF"/>
      </w:pPr>
      <w:r w:rsidRPr="00235A7B">
        <w:t>The current M</w:t>
      </w:r>
      <w:r w:rsidR="00270999">
        <w:noBreakHyphen/>
      </w:r>
      <w:r w:rsidRPr="00235A7B">
        <w:t>WRAM was implemented specifically to provide a strong conservation signal.</w:t>
      </w:r>
    </w:p>
    <w:p w:rsidRPr="00235A7B" w:rsidR="006037B9" w:rsidP="00B403A6" w:rsidRDefault="00EB50F8" w14:paraId="0EBB70AE" w14:textId="09E91FCA">
      <w:pPr>
        <w:pStyle w:val="FoF"/>
      </w:pPr>
      <w:r>
        <w:t>Cal Water</w:t>
      </w:r>
      <w:r w:rsidRPr="00235A7B" w:rsidR="006037B9">
        <w:t xml:space="preserve"> has demonstrated that 66</w:t>
      </w:r>
      <w:r w:rsidR="0032703D">
        <w:t> percent</w:t>
      </w:r>
      <w:r w:rsidRPr="00235A7B" w:rsidR="006037B9">
        <w:t xml:space="preserve"> of its revenue requirement consists of fixed costs; and that increasing the fixed</w:t>
      </w:r>
      <w:r w:rsidR="00C47F0F">
        <w:t xml:space="preserve"> costs in the service</w:t>
      </w:r>
      <w:r w:rsidRPr="00235A7B" w:rsidR="006037B9">
        <w:t xml:space="preserve"> charge </w:t>
      </w:r>
      <w:r w:rsidR="009A4C0C">
        <w:t>by 5</w:t>
      </w:r>
      <w:r w:rsidR="00CB6214">
        <w:t xml:space="preserve"> percent</w:t>
      </w:r>
      <w:r w:rsidRPr="00235A7B" w:rsidR="006037B9">
        <w:t xml:space="preserve"> to recover </w:t>
      </w:r>
      <w:r w:rsidR="00CB6214">
        <w:t>55 to 65</w:t>
      </w:r>
      <w:r w:rsidR="0032703D">
        <w:t> percent</w:t>
      </w:r>
      <w:r w:rsidRPr="00235A7B" w:rsidR="006037B9">
        <w:t xml:space="preserve"> of those fixed costs would result in </w:t>
      </w:r>
      <w:r w:rsidR="008B6B95">
        <w:t>a higher percent</w:t>
      </w:r>
      <w:r w:rsidRPr="00235A7B" w:rsidR="006037B9">
        <w:t xml:space="preserve"> of the total revenue requirement being collected through fixed meter charges</w:t>
      </w:r>
      <w:r w:rsidR="009F6E61">
        <w:t>.</w:t>
      </w:r>
    </w:p>
    <w:p w:rsidRPr="00235A7B" w:rsidR="006037B9" w:rsidP="00B403A6" w:rsidRDefault="006037B9" w14:paraId="47DE8B11" w14:textId="0808D8F1">
      <w:pPr>
        <w:pStyle w:val="FoF"/>
      </w:pPr>
      <w:r w:rsidRPr="00235A7B">
        <w:t xml:space="preserve">The record does not demonstrate that </w:t>
      </w:r>
      <w:r w:rsidR="00436492">
        <w:t>Option </w:t>
      </w:r>
      <w:r w:rsidRPr="00235A7B">
        <w:t xml:space="preserve">1 will produce superior conservation or lower overall customer bill outcomes compared to </w:t>
      </w:r>
      <w:r w:rsidR="00436492">
        <w:t>Option </w:t>
      </w:r>
      <w:r w:rsidRPr="00235A7B">
        <w:t>2.</w:t>
      </w:r>
    </w:p>
    <w:p w:rsidRPr="00235A7B" w:rsidR="006037B9" w:rsidP="00B403A6" w:rsidRDefault="00EB50F8" w14:paraId="3F89EC6F" w14:textId="247F016B">
      <w:pPr>
        <w:pStyle w:val="FoF"/>
      </w:pPr>
      <w:r>
        <w:t>Cal Water</w:t>
      </w:r>
      <w:r w:rsidRPr="00235A7B" w:rsidR="006037B9">
        <w:t xml:space="preserve"> </w:t>
      </w:r>
      <w:r w:rsidR="009F6E61">
        <w:t>failed to meet its burden to show</w:t>
      </w:r>
      <w:r w:rsidRPr="00235A7B" w:rsidR="006037B9">
        <w:t xml:space="preserve"> that </w:t>
      </w:r>
      <w:r w:rsidR="00436492">
        <w:t>Option </w:t>
      </w:r>
      <w:r w:rsidRPr="00235A7B" w:rsidR="006037B9">
        <w:t>1 decoupling reduces shareholder risk and lowers the cost of capital, or has no statistically significant cost</w:t>
      </w:r>
      <w:r w:rsidR="00270999">
        <w:noBreakHyphen/>
      </w:r>
      <w:r w:rsidRPr="00235A7B" w:rsidR="006037B9">
        <w:t>of</w:t>
      </w:r>
      <w:r w:rsidR="00270999">
        <w:noBreakHyphen/>
      </w:r>
      <w:r w:rsidRPr="00235A7B" w:rsidR="006037B9">
        <w:t>capital effect.</w:t>
      </w:r>
    </w:p>
    <w:p w:rsidRPr="00235A7B" w:rsidR="006037B9" w:rsidP="00B403A6" w:rsidRDefault="00EB50F8" w14:paraId="29402F53" w14:textId="7CA45C8C">
      <w:pPr>
        <w:pStyle w:val="FoF"/>
      </w:pPr>
      <w:r>
        <w:t>Cal Advocates</w:t>
      </w:r>
      <w:r w:rsidRPr="00235A7B" w:rsidR="006037B9">
        <w:t xml:space="preserve"> opposes decoupling, asserting </w:t>
      </w:r>
      <w:r>
        <w:t>Cal Water</w:t>
      </w:r>
      <w:r w:rsidR="000C0896">
        <w:t>’</w:t>
      </w:r>
      <w:r w:rsidRPr="00235A7B" w:rsidR="006037B9">
        <w:t>s conservation and affordability benefits are unsubstantiated and that it shifts sales forecast risk from shareholders to ratepayers.</w:t>
      </w:r>
    </w:p>
    <w:p w:rsidRPr="00235A7B" w:rsidR="006037B9" w:rsidP="00B403A6" w:rsidRDefault="00EB50F8" w14:paraId="1E644431" w14:textId="1816492A">
      <w:pPr>
        <w:pStyle w:val="FoF"/>
      </w:pPr>
      <w:r>
        <w:t>Cal Water</w:t>
      </w:r>
      <w:r w:rsidR="000C0896">
        <w:t>’</w:t>
      </w:r>
      <w:r w:rsidRPr="00235A7B" w:rsidR="006037B9">
        <w:t xml:space="preserve">s current rate design has a uniform </w:t>
      </w:r>
      <w:r>
        <w:t>Tier 1</w:t>
      </w:r>
      <w:r w:rsidRPr="00235A7B" w:rsidR="006037B9">
        <w:t xml:space="preserve"> breakpoint of 6</w:t>
      </w:r>
      <w:r w:rsidR="005350B3">
        <w:t> CCF</w:t>
      </w:r>
      <w:r w:rsidRPr="00235A7B" w:rsidR="006037B9">
        <w:t xml:space="preserve"> for all districts.</w:t>
      </w:r>
    </w:p>
    <w:p w:rsidRPr="00235A7B" w:rsidR="006037B9" w:rsidP="00B403A6" w:rsidRDefault="00EB50F8" w14:paraId="2077C973" w14:textId="24915A36">
      <w:pPr>
        <w:pStyle w:val="FoF"/>
      </w:pPr>
      <w:r>
        <w:lastRenderedPageBreak/>
        <w:t>Cal Water</w:t>
      </w:r>
      <w:r w:rsidRPr="00235A7B" w:rsidR="006037B9">
        <w:t xml:space="preserve"> does not use household size and income data and excludes multifamily housing.</w:t>
      </w:r>
    </w:p>
    <w:p w:rsidRPr="00235A7B" w:rsidR="006037B9" w:rsidP="00B403A6" w:rsidRDefault="00EB50F8" w14:paraId="2E77F4EE" w14:textId="3E8F996A">
      <w:pPr>
        <w:pStyle w:val="FoF"/>
      </w:pPr>
      <w:r>
        <w:t>Cal Advocates</w:t>
      </w:r>
      <w:r w:rsidR="000C0896">
        <w:t>’</w:t>
      </w:r>
      <w:r w:rsidRPr="00235A7B" w:rsidR="006037B9">
        <w:t xml:space="preserve"> proposal on setting tier breakpoints uses U.S. Census household size data.</w:t>
      </w:r>
    </w:p>
    <w:p w:rsidRPr="00235A7B" w:rsidR="006037B9" w:rsidP="00B403A6" w:rsidRDefault="00EB50F8" w14:paraId="70999AB1" w14:textId="2979C12C">
      <w:pPr>
        <w:pStyle w:val="FoF"/>
      </w:pPr>
      <w:r>
        <w:t>Cal Water</w:t>
      </w:r>
      <w:r w:rsidR="000C0896">
        <w:t>’</w:t>
      </w:r>
      <w:r w:rsidRPr="00235A7B" w:rsidR="006037B9">
        <w:t>s one</w:t>
      </w:r>
      <w:r w:rsidR="00270999">
        <w:noBreakHyphen/>
      </w:r>
      <w:r w:rsidRPr="00235A7B" w:rsidR="006037B9">
        <w:t>way SRM proposal includes adjusting future sales forecasts by 50</w:t>
      </w:r>
      <w:r w:rsidR="0032703D">
        <w:t> percent</w:t>
      </w:r>
      <w:r w:rsidRPr="00235A7B" w:rsidR="006037B9">
        <w:t xml:space="preserve"> of the recorded variance when actual sales </w:t>
      </w:r>
      <w:r w:rsidR="0016409F">
        <w:t>vary by more than five percent from adopted sales forecasts</w:t>
      </w:r>
      <w:r w:rsidRPr="00235A7B" w:rsidR="006037B9">
        <w:t xml:space="preserve">. </w:t>
      </w:r>
      <w:r>
        <w:t>Cal Water</w:t>
      </w:r>
      <w:r w:rsidRPr="00235A7B" w:rsidR="006037B9">
        <w:t xml:space="preserve"> suggests</w:t>
      </w:r>
      <w:r w:rsidR="000C051D">
        <w:t xml:space="preserve">: </w:t>
      </w:r>
      <w:r w:rsidRPr="00235A7B" w:rsidR="006037B9">
        <w:t xml:space="preserve"> </w:t>
      </w:r>
      <w:r w:rsidR="000C051D">
        <w:t>(a) </w:t>
      </w:r>
      <w:r w:rsidRPr="00235A7B" w:rsidR="006037B9">
        <w:t>applying the larger of the SRM variance or forecasted change when forecasts exceed the SRM threshold</w:t>
      </w:r>
      <w:r w:rsidR="006237E8">
        <w:t xml:space="preserve">; and </w:t>
      </w:r>
      <w:r w:rsidR="000C051D">
        <w:t>(b) </w:t>
      </w:r>
      <w:r w:rsidRPr="00235A7B" w:rsidR="006037B9">
        <w:t>operating SRM as a one</w:t>
      </w:r>
      <w:r w:rsidR="00270999">
        <w:noBreakHyphen/>
      </w:r>
      <w:r w:rsidRPr="00235A7B" w:rsidR="006037B9">
        <w:t>way mechanism triggered only when sales fall below forecast.</w:t>
      </w:r>
    </w:p>
    <w:p w:rsidRPr="00235A7B" w:rsidR="006037B9" w:rsidP="00B403A6" w:rsidRDefault="006037B9" w14:paraId="4FD07116" w14:textId="3EF472CD">
      <w:pPr>
        <w:pStyle w:val="FoF"/>
      </w:pPr>
      <w:r w:rsidRPr="00235A7B">
        <w:t>A two</w:t>
      </w:r>
      <w:r w:rsidR="00270999">
        <w:noBreakHyphen/>
      </w:r>
      <w:r w:rsidRPr="00235A7B">
        <w:t xml:space="preserve">way SRM that adjusts forecasts when sales are more than </w:t>
      </w:r>
      <w:r w:rsidR="0032703D">
        <w:t>five</w:t>
      </w:r>
      <w:r w:rsidRPr="00235A7B">
        <w:t xml:space="preserve"> percent above or below adopted </w:t>
      </w:r>
      <w:r w:rsidR="003645FB">
        <w:t xml:space="preserve">sales forecasts </w:t>
      </w:r>
      <w:r w:rsidRPr="00235A7B">
        <w:t>functions better as a forecast</w:t>
      </w:r>
      <w:r w:rsidR="00270999">
        <w:noBreakHyphen/>
      </w:r>
      <w:r w:rsidRPr="00235A7B">
        <w:t>correction tool than a one</w:t>
      </w:r>
      <w:r w:rsidR="00270999">
        <w:noBreakHyphen/>
      </w:r>
      <w:r w:rsidRPr="00235A7B">
        <w:t>way mechanism that only protects against downward sales and not increased sales as well.</w:t>
      </w:r>
    </w:p>
    <w:p w:rsidR="006037B9" w:rsidP="00B403A6" w:rsidRDefault="006037B9" w14:paraId="4C51EF02" w14:textId="4F75460C">
      <w:pPr>
        <w:pStyle w:val="FoF"/>
      </w:pPr>
      <w:r w:rsidRPr="00235A7B">
        <w:t xml:space="preserve">If SRM adjustments occur, annual reporting via </w:t>
      </w:r>
      <w:r w:rsidR="00EB50F8">
        <w:t>Tier </w:t>
      </w:r>
      <w:r w:rsidR="00D63BEC">
        <w:t>1</w:t>
      </w:r>
      <w:r w:rsidRPr="00235A7B" w:rsidR="00D63BEC">
        <w:t xml:space="preserve"> </w:t>
      </w:r>
      <w:r w:rsidR="00752B5D">
        <w:t>advice letter</w:t>
      </w:r>
      <w:r w:rsidRPr="00235A7B">
        <w:t xml:space="preserve"> on recorded</w:t>
      </w:r>
      <w:r w:rsidR="00347520">
        <w:t xml:space="preserve"> versus </w:t>
      </w:r>
      <w:r w:rsidRPr="00235A7B">
        <w:t>adopted sales, SRM adjustments by district, and supporting calculations is necessary for transparency and oversight.</w:t>
      </w:r>
    </w:p>
    <w:p w:rsidRPr="00960D57" w:rsidR="00963DDE" w:rsidP="00F55524" w:rsidRDefault="00963DDE" w14:paraId="3A84D408" w14:textId="3530E884">
      <w:pPr>
        <w:pStyle w:val="Section"/>
      </w:pPr>
      <w:r w:rsidRPr="00960D57">
        <w:t>Scoped Issue</w:t>
      </w:r>
      <w:r w:rsidR="00972D97">
        <w:t> </w:t>
      </w:r>
      <w:r w:rsidRPr="00960D57" w:rsidR="00C675F2">
        <w:t>#</w:t>
      </w:r>
      <w:r w:rsidRPr="00960D57">
        <w:t>6</w:t>
      </w:r>
      <w:r w:rsidR="00AE2539">
        <w:t xml:space="preserve"> &amp; </w:t>
      </w:r>
      <w:r w:rsidR="00972D97">
        <w:t>#</w:t>
      </w:r>
      <w:r w:rsidRPr="00960D57">
        <w:t>10</w:t>
      </w:r>
      <w:r w:rsidR="00FC4E12">
        <w:t xml:space="preserve"> — </w:t>
      </w:r>
      <w:r w:rsidRPr="00960D57">
        <w:t>Regulatory and Water</w:t>
      </w:r>
      <w:r w:rsidR="00270999">
        <w:noBreakHyphen/>
      </w:r>
      <w:r w:rsidRPr="00960D57">
        <w:t>Quality Compliance</w:t>
      </w:r>
    </w:p>
    <w:p w:rsidRPr="00960D57" w:rsidR="00963DDE" w:rsidP="00B403A6" w:rsidRDefault="00EB50F8" w14:paraId="12434DBD" w14:textId="610D2701">
      <w:pPr>
        <w:pStyle w:val="FoF"/>
      </w:pPr>
      <w:r>
        <w:t>Cal Water</w:t>
      </w:r>
      <w:r w:rsidR="002E0BB2">
        <w:t xml:space="preserve">’s </w:t>
      </w:r>
      <w:r w:rsidRPr="00960D57" w:rsidR="00963DDE">
        <w:t xml:space="preserve">compliance filings demonstrate substantial completion of required </w:t>
      </w:r>
      <w:r w:rsidR="002E0BB2">
        <w:t xml:space="preserve">conservation </w:t>
      </w:r>
      <w:r w:rsidRPr="00960D57" w:rsidR="00963DDE">
        <w:t>report</w:t>
      </w:r>
      <w:r w:rsidR="002E0BB2">
        <w:t>ing</w:t>
      </w:r>
      <w:r w:rsidRPr="00960D57" w:rsidR="00963DDE">
        <w:t xml:space="preserve"> and </w:t>
      </w:r>
      <w:r w:rsidR="002E0BB2">
        <w:t>Commission required actions</w:t>
      </w:r>
      <w:r w:rsidRPr="00960D57" w:rsidR="00963DDE">
        <w:t>.</w:t>
      </w:r>
    </w:p>
    <w:p w:rsidR="00CE0158" w:rsidP="00B403A6" w:rsidRDefault="00EB50F8" w14:paraId="60138AD8" w14:textId="6962B65A">
      <w:pPr>
        <w:pStyle w:val="FoF"/>
        <w:rPr>
          <w:rFonts w:eastAsia="Times New Roman" w:cs="Times New Roman"/>
          <w:szCs w:val="26"/>
        </w:rPr>
      </w:pPr>
      <w:r>
        <w:t>Cal Water</w:t>
      </w:r>
      <w:r w:rsidRPr="00960D57" w:rsidR="00963DDE">
        <w:t xml:space="preserve"> is in compliance with all applicable state and federal drinking</w:t>
      </w:r>
      <w:r w:rsidR="00270999">
        <w:noBreakHyphen/>
      </w:r>
      <w:r w:rsidRPr="00960D57" w:rsidR="00963DDE">
        <w:t xml:space="preserve">water standards and with </w:t>
      </w:r>
      <w:r w:rsidR="00AC0B25">
        <w:t>GO </w:t>
      </w:r>
      <w:r w:rsidRPr="00960D57" w:rsidR="00963DDE">
        <w:t>103</w:t>
      </w:r>
      <w:r w:rsidR="00270999">
        <w:noBreakHyphen/>
      </w:r>
      <w:r w:rsidRPr="00960D57" w:rsidR="00963DDE">
        <w:t>A and has undertaken proactive testing and operational responses to contaminants of emerging concern, including PFAS, consistent with prudent utility practice.</w:t>
      </w:r>
    </w:p>
    <w:p w:rsidRPr="00960D57" w:rsidR="00C675F2" w:rsidP="00F55524" w:rsidRDefault="00C675F2" w14:paraId="1A0BE3E9" w14:textId="471E88E1">
      <w:pPr>
        <w:pStyle w:val="Section"/>
      </w:pPr>
      <w:r w:rsidRPr="00960D57">
        <w:lastRenderedPageBreak/>
        <w:t>Scoped Issue</w:t>
      </w:r>
      <w:r w:rsidR="00FB429C">
        <w:t> </w:t>
      </w:r>
      <w:r w:rsidRPr="00960D57">
        <w:t>#9</w:t>
      </w:r>
      <w:r w:rsidR="00BF7D15">
        <w:t> </w:t>
      </w:r>
      <w:r w:rsidR="00A44AAA">
        <w:t>&amp;</w:t>
      </w:r>
      <w:r w:rsidRPr="00960D57">
        <w:t xml:space="preserve"> </w:t>
      </w:r>
      <w:r w:rsidR="00FB429C">
        <w:t>#</w:t>
      </w:r>
      <w:r w:rsidRPr="00960D57">
        <w:t>13</w:t>
      </w:r>
      <w:r w:rsidR="00270999">
        <w:noBreakHyphen/>
      </w:r>
      <w:r w:rsidR="00FB429C">
        <w:t>#</w:t>
      </w:r>
      <w:r w:rsidRPr="00960D57">
        <w:t>14</w:t>
      </w:r>
      <w:r w:rsidR="00FC4E12">
        <w:t xml:space="preserve"> — </w:t>
      </w:r>
      <w:r w:rsidRPr="00960D57">
        <w:t>Regional Consolidation and RSF</w:t>
      </w:r>
    </w:p>
    <w:p w:rsidRPr="00960D57" w:rsidR="00C675F2" w:rsidP="00B403A6" w:rsidRDefault="00C675F2" w14:paraId="43907B84" w14:textId="3D6D5A84">
      <w:pPr>
        <w:pStyle w:val="FoF"/>
      </w:pPr>
      <w:r w:rsidRPr="00960D57">
        <w:rPr>
          <w:szCs w:val="26"/>
        </w:rPr>
        <w:t xml:space="preserve">The Partial Settlement Agreement consolidates the Dixon and Livermore Districts into a new Diablo Ranch Region for ratemaking purposes; </w:t>
      </w:r>
      <w:r w:rsidRPr="00960D57">
        <w:t>this consolidation provides gradual subsidy reductions over time, mitigating bill impacts and promot</w:t>
      </w:r>
      <w:r w:rsidR="00566F05">
        <w:t>es</w:t>
      </w:r>
      <w:r w:rsidRPr="00960D57">
        <w:t xml:space="preserve"> long</w:t>
      </w:r>
      <w:r w:rsidR="00270999">
        <w:noBreakHyphen/>
      </w:r>
      <w:r w:rsidRPr="00960D57">
        <w:t>term affordability.</w:t>
      </w:r>
    </w:p>
    <w:p w:rsidRPr="00960D57" w:rsidR="00C675F2" w:rsidP="00B403A6" w:rsidRDefault="00C675F2" w14:paraId="1B9D0243" w14:textId="7C751F84">
      <w:pPr>
        <w:pStyle w:val="FoF"/>
      </w:pPr>
      <w:r w:rsidRPr="00960D57">
        <w:t>The Partial Settlement Agreement updates the RSF to implement a three</w:t>
      </w:r>
      <w:r w:rsidR="00270999">
        <w:noBreakHyphen/>
      </w:r>
      <w:r w:rsidRPr="00960D57">
        <w:t xml:space="preserve">tier discount structure </w:t>
      </w:r>
      <w:r w:rsidR="00C47F0F">
        <w:t xml:space="preserve">in the Kern Valley District </w:t>
      </w:r>
      <w:r w:rsidRPr="00960D57">
        <w:t>and apply offsets to the Willows and Selma Districts.</w:t>
      </w:r>
    </w:p>
    <w:p w:rsidRPr="00960D57" w:rsidR="00C11096" w:rsidP="00B403A6" w:rsidRDefault="00C675F2" w14:paraId="21A3CED2" w14:textId="77777777">
      <w:pPr>
        <w:pStyle w:val="FoF"/>
      </w:pPr>
      <w:r w:rsidRPr="00960D57">
        <w:t>The updated RSF structure provides a balanced approach to affordability, regional equity, and rate stability for economically disadvantaged communities.</w:t>
      </w:r>
    </w:p>
    <w:p w:rsidRPr="00960D57" w:rsidR="00C11096" w:rsidP="00F55524" w:rsidRDefault="00C11096" w14:paraId="1BDF2468" w14:textId="0210DE16">
      <w:pPr>
        <w:pStyle w:val="Section"/>
      </w:pPr>
      <w:r w:rsidRPr="00960D57">
        <w:t xml:space="preserve">Scoped </w:t>
      </w:r>
      <w:r w:rsidR="009D287A">
        <w:t>Issue #</w:t>
      </w:r>
      <w:r w:rsidRPr="00960D57">
        <w:t>11</w:t>
      </w:r>
      <w:r w:rsidR="007D4896">
        <w:t xml:space="preserve"> — </w:t>
      </w:r>
      <w:r w:rsidRPr="00960D57">
        <w:t>ESJ Considerations</w:t>
      </w:r>
    </w:p>
    <w:p w:rsidRPr="00960D57" w:rsidR="00C11096" w:rsidP="00B403A6" w:rsidRDefault="00C11096" w14:paraId="7A931C85" w14:textId="22A62FD6">
      <w:pPr>
        <w:pStyle w:val="FoF"/>
      </w:pPr>
      <w:r w:rsidRPr="00960D57">
        <w:t>The Commission</w:t>
      </w:r>
      <w:r w:rsidR="000C0896">
        <w:t>’</w:t>
      </w:r>
      <w:r w:rsidRPr="00960D57">
        <w:t>s ESJ Action Plan promotes equitable access to safe, clean, and affordable water service and encourages measurable outcomes benefiting disadvantaged communities.</w:t>
      </w:r>
    </w:p>
    <w:p w:rsidRPr="00960D57" w:rsidR="00C11096" w:rsidP="00B403A6" w:rsidRDefault="00EB50F8" w14:paraId="6CD07467" w14:textId="165AD7FF">
      <w:pPr>
        <w:pStyle w:val="FoF"/>
      </w:pPr>
      <w:r>
        <w:t>Cal Water</w:t>
      </w:r>
      <w:r w:rsidR="000C0896">
        <w:t>’</w:t>
      </w:r>
      <w:r w:rsidRPr="00960D57" w:rsidR="00C11096">
        <w:t xml:space="preserve">s </w:t>
      </w:r>
      <w:r w:rsidRPr="00960D57" w:rsidR="0008334E">
        <w:t>A</w:t>
      </w:r>
      <w:r w:rsidRPr="00960D57" w:rsidR="00C11096">
        <w:t>pplication demonstrates alignment with ESJ principles through</w:t>
      </w:r>
      <w:r w:rsidRPr="00960D57" w:rsidR="004115ED">
        <w:t xml:space="preserve"> customer</w:t>
      </w:r>
      <w:r w:rsidR="00270999">
        <w:noBreakHyphen/>
      </w:r>
      <w:r w:rsidRPr="00960D57" w:rsidR="004115ED">
        <w:t>assistance</w:t>
      </w:r>
      <w:r w:rsidRPr="00960D57" w:rsidR="00C11096">
        <w:t>, bilingual outreach, and targeted infrastructure projects but lacks measurable performance metrics.</w:t>
      </w:r>
    </w:p>
    <w:p w:rsidRPr="00960D57" w:rsidR="00C11096" w:rsidP="00F55524" w:rsidRDefault="00C11096" w14:paraId="5E7C7125" w14:textId="1AFFF444">
      <w:pPr>
        <w:pStyle w:val="Section"/>
      </w:pPr>
      <w:r w:rsidRPr="00960D57">
        <w:t>Scoped Issue</w:t>
      </w:r>
      <w:r w:rsidR="00BF7D15">
        <w:t> </w:t>
      </w:r>
      <w:r w:rsidRPr="00960D57">
        <w:t>#12</w:t>
      </w:r>
      <w:r w:rsidR="00AE2539">
        <w:t xml:space="preserve"> &amp; </w:t>
      </w:r>
      <w:r w:rsidR="00B84CE1">
        <w:t>#</w:t>
      </w:r>
      <w:r w:rsidRPr="00960D57">
        <w:t>20</w:t>
      </w:r>
      <w:r w:rsidR="00270999">
        <w:noBreakHyphen/>
      </w:r>
      <w:r w:rsidRPr="00960D57">
        <w:t>23</w:t>
      </w:r>
      <w:r w:rsidR="00FC4E12">
        <w:t xml:space="preserve"> — </w:t>
      </w:r>
      <w:r w:rsidRPr="00960D57">
        <w:t>Balancing and Memorandum Accounts</w:t>
      </w:r>
    </w:p>
    <w:p w:rsidRPr="00960D57" w:rsidR="00A246D1" w:rsidP="00B403A6" w:rsidRDefault="00C11096" w14:paraId="58FDC150" w14:textId="0E2360B7">
      <w:pPr>
        <w:pStyle w:val="FoF"/>
      </w:pPr>
      <w:r w:rsidRPr="00960D57">
        <w:t xml:space="preserve">Commission precedent authorizes </w:t>
      </w:r>
      <w:r w:rsidR="00120577">
        <w:t>BAMA</w:t>
      </w:r>
      <w:r w:rsidR="00852994">
        <w:t>s</w:t>
      </w:r>
      <w:r w:rsidR="00120577">
        <w:t xml:space="preserve"> to track costs that are volatile or outside management control </w:t>
      </w:r>
      <w:r w:rsidRPr="00960D57">
        <w:t>only when costs are substantially uncertain, largely outside management control, and tracking serves a demonstrable ratepayer benefit</w:t>
      </w:r>
      <w:r w:rsidR="00120577">
        <w:t>. L</w:t>
      </w:r>
      <w:r w:rsidRPr="00960D57">
        <w:t>ong</w:t>
      </w:r>
      <w:r w:rsidR="00270999">
        <w:noBreakHyphen/>
      </w:r>
      <w:r w:rsidRPr="00960D57">
        <w:t>standing accounts such as CEMA, CEBA, PCBA, and HCBA meet these criteria and are supported by the record.</w:t>
      </w:r>
    </w:p>
    <w:p w:rsidR="00A246D1" w:rsidP="00A246D1" w:rsidRDefault="00A246D1" w14:paraId="61C68A51" w14:textId="449230D9">
      <w:pPr>
        <w:pStyle w:val="FoF"/>
      </w:pPr>
      <w:r w:rsidRPr="00960D57">
        <w:t>CEBA does not duplicate the functions of WRAM or MCBA</w:t>
      </w:r>
      <w:r>
        <w:t>, and a</w:t>
      </w:r>
      <w:r w:rsidRPr="00960D57">
        <w:t>mortizing CEBA balances at the end of the three</w:t>
      </w:r>
      <w:r w:rsidR="00270999">
        <w:noBreakHyphen/>
      </w:r>
      <w:r w:rsidRPr="00960D57">
        <w:t>year tracking period avoids unnecessary rate volatility.</w:t>
      </w:r>
    </w:p>
    <w:p w:rsidRPr="00960D57" w:rsidR="000C1D36" w:rsidP="00B403A6" w:rsidRDefault="000C1D36" w14:paraId="3F549B48" w14:textId="3B1B6ACF">
      <w:pPr>
        <w:pStyle w:val="FoF"/>
      </w:pPr>
      <w:r w:rsidRPr="00960D57">
        <w:lastRenderedPageBreak/>
        <w:t>Routine conservation outreach, education, and marketing expenses are stable, predictable, and reasonably forecastable</w:t>
      </w:r>
      <w:r w:rsidR="00120577">
        <w:t>.</w:t>
      </w:r>
      <w:r w:rsidRPr="00960D57" w:rsidDel="001F114A" w:rsidR="001F114A">
        <w:t xml:space="preserve"> </w:t>
      </w:r>
    </w:p>
    <w:p w:rsidRPr="00960D57" w:rsidR="00C11096" w:rsidP="002D27D3" w:rsidRDefault="00C11096" w14:paraId="607B41E3" w14:textId="5EFB327C">
      <w:pPr>
        <w:pStyle w:val="FoF"/>
      </w:pPr>
      <w:r w:rsidRPr="00960D57">
        <w:t xml:space="preserve">The record supports timely amortization of verified balances in existing accounts through </w:t>
      </w:r>
      <w:r w:rsidR="00EB50F8">
        <w:t>Tier </w:t>
      </w:r>
      <w:r w:rsidR="003B73D6">
        <w:t>1</w:t>
      </w:r>
      <w:r w:rsidRPr="00960D57" w:rsidR="003B73D6">
        <w:t xml:space="preserve"> </w:t>
      </w:r>
      <w:r w:rsidR="00C47F0F">
        <w:t xml:space="preserve">and 3 </w:t>
      </w:r>
      <w:r w:rsidR="00752B5D">
        <w:t>advice letter</w:t>
      </w:r>
      <w:r w:rsidRPr="00960D57" w:rsidR="00CC58BD">
        <w:t xml:space="preserve"> filings</w:t>
      </w:r>
      <w:r w:rsidRPr="00960D57">
        <w:t>, subject to reasonableness review.</w:t>
      </w:r>
      <w:r w:rsidR="002D27D3">
        <w:t xml:space="preserve"> </w:t>
      </w:r>
      <w:r w:rsidRPr="00C3003B" w:rsidR="002D27D3">
        <w:t xml:space="preserve">The record </w:t>
      </w:r>
      <w:r w:rsidR="002D27D3">
        <w:t xml:space="preserve">further </w:t>
      </w:r>
      <w:r w:rsidRPr="00C3003B" w:rsidR="002D27D3">
        <w:t>supports that Cal Water should provide CEBA, LIBA, and WCRMA status report</w:t>
      </w:r>
      <w:r w:rsidR="002D27D3">
        <w:t>s</w:t>
      </w:r>
      <w:r w:rsidRPr="00C3003B" w:rsidR="002D27D3">
        <w:t xml:space="preserve">, as part of its witness-sponsored testimony in its </w:t>
      </w:r>
      <w:r w:rsidR="00F27172">
        <w:t>next</w:t>
      </w:r>
      <w:r w:rsidRPr="00C3003B" w:rsidR="002D27D3">
        <w:t xml:space="preserve"> GRC.</w:t>
      </w:r>
    </w:p>
    <w:p w:rsidRPr="00960D57" w:rsidR="00C11096" w:rsidP="00B403A6" w:rsidRDefault="00EB50F8" w14:paraId="4E78EE71" w14:textId="1C9202F9">
      <w:pPr>
        <w:pStyle w:val="FoF"/>
      </w:pPr>
      <w:r>
        <w:t>Cal Water</w:t>
      </w:r>
      <w:r w:rsidRPr="00960D57" w:rsidR="00C11096">
        <w:t xml:space="preserve"> demonstrated that liability</w:t>
      </w:r>
      <w:r w:rsidR="00270999">
        <w:noBreakHyphen/>
      </w:r>
      <w:r w:rsidRPr="00960D57" w:rsidR="00C11096">
        <w:t>insurance costs have fluctuated due to external market conditions; establishing LIBA with an 85</w:t>
      </w:r>
      <w:r w:rsidR="00270999">
        <w:noBreakHyphen/>
      </w:r>
      <w:r w:rsidRPr="00960D57" w:rsidR="00C11096">
        <w:t>percent sharing mechanism appropriately allocates risk.</w:t>
      </w:r>
    </w:p>
    <w:p w:rsidRPr="00960D57" w:rsidR="00C11096" w:rsidP="00B403A6" w:rsidRDefault="00C11096" w14:paraId="0E45CDB1" w14:textId="60779505">
      <w:pPr>
        <w:pStyle w:val="FoF"/>
      </w:pPr>
      <w:r w:rsidRPr="00960D57">
        <w:t>Consolidating contamination</w:t>
      </w:r>
      <w:r w:rsidR="00270999">
        <w:noBreakHyphen/>
      </w:r>
      <w:r w:rsidRPr="00960D57">
        <w:t>related memorandum accounts into a single WCRMA with contaminant</w:t>
      </w:r>
      <w:r w:rsidR="00270999">
        <w:noBreakHyphen/>
      </w:r>
      <w:r w:rsidRPr="00960D57">
        <w:t>specific sub</w:t>
      </w:r>
      <w:r w:rsidR="00270999">
        <w:noBreakHyphen/>
      </w:r>
      <w:r w:rsidRPr="00960D57">
        <w:t>accounts improves administrative efficiency while maintaining transparency and oversight.</w:t>
      </w:r>
    </w:p>
    <w:p w:rsidRPr="00960D57" w:rsidR="00C11096" w:rsidP="00B403A6" w:rsidRDefault="6E38D820" w14:paraId="13A11683" w14:textId="77777777">
      <w:pPr>
        <w:pStyle w:val="FoF"/>
      </w:pPr>
      <w:r>
        <w:t>A balanced approach that approves proven mechanisms, adopts new accounts where adequately supported, and denies or modifies duplicative proposals provides just and reasonable outcomes consistent with Commission policy.</w:t>
      </w:r>
    </w:p>
    <w:p w:rsidR="3728BEE7" w:rsidP="2750161B" w:rsidRDefault="3728BEE7" w14:paraId="61531C34" w14:textId="36E23DAE">
      <w:pPr>
        <w:pStyle w:val="FoF"/>
        <w:rPr>
          <w:rFonts w:eastAsia="Book Antiqua" w:cs="Book Antiqua"/>
          <w:szCs w:val="26"/>
        </w:rPr>
      </w:pPr>
      <w:r w:rsidRPr="2750161B">
        <w:rPr>
          <w:rFonts w:eastAsia="Book Antiqua" w:cs="Book Antiqua"/>
          <w:szCs w:val="26"/>
        </w:rPr>
        <w:t>Cal</w:t>
      </w:r>
      <w:r w:rsidR="005041EB">
        <w:rPr>
          <w:rFonts w:eastAsia="Book Antiqua" w:cs="Book Antiqua"/>
          <w:szCs w:val="26"/>
        </w:rPr>
        <w:t> </w:t>
      </w:r>
      <w:r w:rsidRPr="2750161B">
        <w:rPr>
          <w:rFonts w:eastAsia="Book Antiqua" w:cs="Book Antiqua"/>
          <w:szCs w:val="26"/>
        </w:rPr>
        <w:t>Water timely sought and was granted authority to file a tariff to implement interim rates, effective on the first day of the Test Year, and to establish a memorandum account to track the difference between the interim rates and final rates. The first day of the Test Year for this proceeding was January</w:t>
      </w:r>
      <w:r w:rsidR="005041EB">
        <w:rPr>
          <w:rFonts w:eastAsia="Book Antiqua" w:cs="Book Antiqua"/>
          <w:szCs w:val="26"/>
        </w:rPr>
        <w:t> </w:t>
      </w:r>
      <w:r w:rsidRPr="2750161B">
        <w:rPr>
          <w:rFonts w:eastAsia="Book Antiqua" w:cs="Book Antiqua"/>
          <w:szCs w:val="26"/>
        </w:rPr>
        <w:t>1, 2026.</w:t>
      </w:r>
    </w:p>
    <w:p w:rsidRPr="00960D57" w:rsidR="00C11096" w:rsidP="00F55524" w:rsidRDefault="00C11096" w14:paraId="433C7130" w14:textId="27C278E9">
      <w:pPr>
        <w:pStyle w:val="Section"/>
      </w:pPr>
      <w:bookmarkStart w:name="_Hlk215570257" w:id="198"/>
      <w:r w:rsidRPr="00960D57">
        <w:t xml:space="preserve">Scoped </w:t>
      </w:r>
      <w:r w:rsidR="009D287A">
        <w:t>Issue</w:t>
      </w:r>
      <w:r w:rsidR="00CB66FF">
        <w:t>s</w:t>
      </w:r>
      <w:r w:rsidR="009D287A">
        <w:t> #</w:t>
      </w:r>
      <w:r w:rsidRPr="00960D57">
        <w:t>16</w:t>
      </w:r>
      <w:r w:rsidR="00270999">
        <w:noBreakHyphen/>
      </w:r>
      <w:r w:rsidR="00F55524">
        <w:t>#</w:t>
      </w:r>
      <w:r w:rsidRPr="00960D57">
        <w:t>19</w:t>
      </w:r>
      <w:r w:rsidR="00FC4E12">
        <w:t xml:space="preserve"> — </w:t>
      </w:r>
      <w:r w:rsidRPr="00960D57">
        <w:t>Forecasting and Escalation</w:t>
      </w:r>
    </w:p>
    <w:p w:rsidRPr="00960D57" w:rsidR="00032581" w:rsidP="00B403A6" w:rsidRDefault="00F91A66" w14:paraId="4408C375" w14:textId="6061C630">
      <w:pPr>
        <w:pStyle w:val="FoF"/>
      </w:pPr>
      <w:bookmarkStart w:name="_Hlk215569394" w:id="199"/>
      <w:r w:rsidRPr="00960D57">
        <w:t>Annual sales and services forecasts better reflect changing water</w:t>
      </w:r>
      <w:r w:rsidR="00270999">
        <w:noBreakHyphen/>
      </w:r>
      <w:r w:rsidRPr="00960D57">
        <w:t xml:space="preserve">use patterns over the GRC cycle, and applying the escalation factors adopted in this </w:t>
      </w:r>
      <w:r w:rsidRPr="00960D57">
        <w:lastRenderedPageBreak/>
        <w:t>proceeding</w:t>
      </w:r>
      <w:r w:rsidR="00AE44B3">
        <w:t xml:space="preserve"> — </w:t>
      </w:r>
      <w:r w:rsidRPr="00960D57">
        <w:t>based on the record and the utility</w:t>
      </w:r>
      <w:r w:rsidR="000C0896">
        <w:t>’</w:t>
      </w:r>
      <w:r w:rsidRPr="00960D57">
        <w:t>s supported forecasts</w:t>
      </w:r>
      <w:r w:rsidR="00AE44B3">
        <w:t xml:space="preserve"> — </w:t>
      </w:r>
      <w:r w:rsidRPr="00960D57">
        <w:t>ensures that the revenue requirement reflects prevailing cost conditions.</w:t>
      </w:r>
      <w:bookmarkEnd w:id="198"/>
      <w:bookmarkEnd w:id="199"/>
    </w:p>
    <w:p w:rsidRPr="009E106F" w:rsidR="0060116A" w:rsidP="00B403A6" w:rsidRDefault="00EB50F8" w14:paraId="19765665" w14:textId="2E34F65B">
      <w:pPr>
        <w:pStyle w:val="FoF"/>
      </w:pPr>
      <w:r>
        <w:rPr>
          <w:rStyle w:val="Strong"/>
          <w:b w:val="0"/>
        </w:rPr>
        <w:t>Cal Water</w:t>
      </w:r>
      <w:r w:rsidR="000C0896">
        <w:rPr>
          <w:rStyle w:val="Strong"/>
          <w:b w:val="0"/>
        </w:rPr>
        <w:t>’</w:t>
      </w:r>
      <w:r w:rsidRPr="009E106F" w:rsidR="0060116A">
        <w:rPr>
          <w:rStyle w:val="Strong"/>
          <w:b w:val="0"/>
        </w:rPr>
        <w:t xml:space="preserve">s </w:t>
      </w:r>
      <w:r w:rsidR="00D16A62">
        <w:rPr>
          <w:rStyle w:val="Strong"/>
          <w:b w:val="0"/>
        </w:rPr>
        <w:t>CBA</w:t>
      </w:r>
      <w:r w:rsidRPr="009E106F" w:rsidR="0060116A">
        <w:rPr>
          <w:rStyle w:val="Strong"/>
          <w:b w:val="0"/>
        </w:rPr>
        <w:t>s establish binding and measurable wage increases</w:t>
      </w:r>
      <w:r w:rsidR="00774A78">
        <w:rPr>
          <w:rStyle w:val="Strong"/>
          <w:b w:val="0"/>
        </w:rPr>
        <w:t xml:space="preserve"> </w:t>
      </w:r>
      <w:r w:rsidRPr="00774A78" w:rsidR="00774A78">
        <w:rPr>
          <w:bCs/>
        </w:rPr>
        <w:t>that</w:t>
      </w:r>
      <w:r w:rsidRPr="003D246E" w:rsidR="00774A78">
        <w:t xml:space="preserve"> represent known and </w:t>
      </w:r>
      <w:proofErr w:type="spellStart"/>
      <w:r w:rsidRPr="003D246E" w:rsidR="00774A78">
        <w:t>non</w:t>
      </w:r>
      <w:r w:rsidRPr="00774A78" w:rsidR="00774A78">
        <w:rPr>
          <w:bCs/>
        </w:rPr>
        <w:t xml:space="preserve"> </w:t>
      </w:r>
      <w:r w:rsidRPr="003D246E" w:rsidR="00774A78">
        <w:t>discretionary</w:t>
      </w:r>
      <w:proofErr w:type="spellEnd"/>
      <w:r w:rsidRPr="003D246E" w:rsidR="00774A78">
        <w:t xml:space="preserve"> labor costs </w:t>
      </w:r>
      <w:r w:rsidRPr="00774A78" w:rsidR="00774A78">
        <w:rPr>
          <w:bCs/>
        </w:rPr>
        <w:t>for the Test Year; however, the Rate Case Plan requires that escalation and attrition year labor cost forecasts be based on adopted inflation indices rather than</w:t>
      </w:r>
      <w:r w:rsidRPr="003D246E" w:rsidR="00774A78">
        <w:t xml:space="preserve"> utility</w:t>
      </w:r>
      <w:r w:rsidRPr="00774A78" w:rsidR="00774A78">
        <w:rPr>
          <w:bCs/>
        </w:rPr>
        <w:t>-specific cost projections</w:t>
      </w:r>
      <w:r w:rsidRPr="009E106F" w:rsidR="0060116A">
        <w:rPr>
          <w:rStyle w:val="Strong"/>
          <w:b w:val="0"/>
        </w:rPr>
        <w:t>.</w:t>
      </w:r>
    </w:p>
    <w:p w:rsidRPr="00960D57" w:rsidR="00C11096" w:rsidP="001B52EF" w:rsidRDefault="00C11096" w14:paraId="0FFBEE33" w14:textId="4076821A">
      <w:pPr>
        <w:pStyle w:val="Section"/>
        <w:rPr>
          <w:szCs w:val="26"/>
        </w:rPr>
      </w:pPr>
      <w:r w:rsidRPr="00960D57">
        <w:t xml:space="preserve">Scoped </w:t>
      </w:r>
      <w:r w:rsidR="00036A7A">
        <w:t>Issues </w:t>
      </w:r>
      <w:r w:rsidRPr="00960D57">
        <w:t>#24</w:t>
      </w:r>
      <w:r w:rsidR="00AE2539">
        <w:t> </w:t>
      </w:r>
      <w:r w:rsidR="00270999">
        <w:noBreakHyphen/>
      </w:r>
      <w:r w:rsidRPr="00960D57">
        <w:t>25</w:t>
      </w:r>
      <w:r w:rsidR="00FC4E12">
        <w:t xml:space="preserve"> — </w:t>
      </w:r>
      <w:r w:rsidRPr="00960D57">
        <w:t>Tax Normalization Adjustments</w:t>
      </w:r>
    </w:p>
    <w:p w:rsidRPr="00960D57" w:rsidR="00C11096" w:rsidP="00B403A6" w:rsidRDefault="00EB50F8" w14:paraId="4FABA0B7" w14:textId="4813662E">
      <w:pPr>
        <w:pStyle w:val="FoF"/>
      </w:pPr>
      <w:r>
        <w:t>Cal Water</w:t>
      </w:r>
      <w:r w:rsidRPr="00960D57" w:rsidR="00C11096">
        <w:t xml:space="preserve"> requests authorization to update deferred tax treatments and proration methods to prevent normalization violations under federal tax law</w:t>
      </w:r>
      <w:r w:rsidRPr="00960D57" w:rsidR="00507416">
        <w:t>; t</w:t>
      </w:r>
      <w:r w:rsidRPr="00960D57" w:rsidR="00C11096">
        <w:t>h</w:t>
      </w:r>
      <w:r w:rsidRPr="00960D57" w:rsidR="00507416">
        <w:t>is</w:t>
      </w:r>
      <w:r w:rsidRPr="00960D57" w:rsidR="00C11096">
        <w:t xml:space="preserve"> proposed adjustments maintain compliance with federal requirements, ensure revenue neutrality, and align with Commission ratemaking practices.</w:t>
      </w:r>
    </w:p>
    <w:p w:rsidRPr="00960D57" w:rsidR="00C11096" w:rsidP="0024656E" w:rsidRDefault="00507416" w14:paraId="26D30A7C" w14:textId="027C7A80">
      <w:pPr>
        <w:pStyle w:val="FoF"/>
      </w:pPr>
      <w:r w:rsidRPr="00960D57">
        <w:t>T</w:t>
      </w:r>
      <w:r w:rsidRPr="00960D57" w:rsidR="00C11096">
        <w:t>he proposed tax</w:t>
      </w:r>
      <w:r w:rsidR="00270999">
        <w:noBreakHyphen/>
      </w:r>
      <w:r w:rsidRPr="00960D57" w:rsidR="00C11096">
        <w:t>related treatments are procedural in nature, have no material rate impact, and are reasonable in light of the record.</w:t>
      </w:r>
    </w:p>
    <w:p w:rsidRPr="006C122A" w:rsidR="005939A5" w:rsidP="0024656E" w:rsidRDefault="005939A5" w14:paraId="12FC5FF3" w14:textId="77777777">
      <w:pPr>
        <w:pStyle w:val="Dummy"/>
      </w:pPr>
      <w:bookmarkStart w:name="_Toc8123726" w:id="200"/>
      <w:bookmarkStart w:name="_Toc222305309" w:id="201"/>
      <w:bookmarkStart w:name="_Toc228294736" w:id="202"/>
      <w:r w:rsidRPr="006C122A">
        <w:t>Conclusions of Law</w:t>
      </w:r>
      <w:bookmarkEnd w:id="200"/>
      <w:bookmarkEnd w:id="201"/>
      <w:bookmarkEnd w:id="202"/>
    </w:p>
    <w:p w:rsidRPr="00A66768" w:rsidR="00614C95" w:rsidP="001B52EF" w:rsidRDefault="00614C95" w14:paraId="27D92207" w14:textId="63D4D80C">
      <w:pPr>
        <w:pStyle w:val="Section"/>
      </w:pPr>
      <w:r w:rsidRPr="00A66768">
        <w:t>General Conclusions</w:t>
      </w:r>
    </w:p>
    <w:p w:rsidRPr="00E353A9" w:rsidR="006F1545" w:rsidP="00C31C0E" w:rsidRDefault="00EB50F8" w14:paraId="38AF4B46" w14:textId="615BE24B">
      <w:pPr>
        <w:pStyle w:val="CoL"/>
      </w:pPr>
      <w:r>
        <w:t>Cal Water</w:t>
      </w:r>
      <w:r w:rsidR="000C0896">
        <w:t>’</w:t>
      </w:r>
      <w:r w:rsidRPr="00E353A9" w:rsidR="00E476EE">
        <w:t xml:space="preserve">s </w:t>
      </w:r>
      <w:r w:rsidRPr="00E353A9" w:rsidR="00421F3C">
        <w:t>revenue requirements and rate increases are, as set forth in this decision, just and reasonable.</w:t>
      </w:r>
    </w:p>
    <w:p w:rsidR="00614C95" w:rsidP="00614C95" w:rsidRDefault="00614C95" w14:paraId="342D45A0" w14:textId="669D1999">
      <w:pPr>
        <w:pStyle w:val="CoL"/>
      </w:pPr>
      <w:r w:rsidRPr="00614C95">
        <w:t xml:space="preserve">Under </w:t>
      </w:r>
      <w:r w:rsidR="003A5B7D">
        <w:t>Pub. Util.</w:t>
      </w:r>
      <w:r w:rsidRPr="00614C95">
        <w:t xml:space="preserve"> Code </w:t>
      </w:r>
      <w:r w:rsidR="004E5107">
        <w:t>Section </w:t>
      </w:r>
      <w:r w:rsidRPr="00614C95">
        <w:t>451, all utility rates, charges, and practices must be just and reasonable.</w:t>
      </w:r>
    </w:p>
    <w:p w:rsidRPr="00614C95" w:rsidR="00614C95" w:rsidP="00614C95" w:rsidRDefault="00614C95" w14:paraId="5D73DE90" w14:textId="7F4DB509">
      <w:pPr>
        <w:pStyle w:val="CoL"/>
      </w:pPr>
      <w:r w:rsidRPr="00614C95">
        <w:t xml:space="preserve">Under </w:t>
      </w:r>
      <w:r w:rsidR="003A5B7D">
        <w:t>Pub. Util.</w:t>
      </w:r>
      <w:r w:rsidRPr="00614C95">
        <w:t xml:space="preserve"> Code </w:t>
      </w:r>
      <w:r w:rsidR="004E5107">
        <w:t>Section </w:t>
      </w:r>
      <w:r w:rsidRPr="00614C95">
        <w:t>454(a), a utility must obtain Commission authorization before changing any rate and bears the burden of proving that the change is justified.</w:t>
      </w:r>
    </w:p>
    <w:p w:rsidRPr="00614C95" w:rsidR="00614C95" w:rsidP="00614C95" w:rsidRDefault="00614C95" w14:paraId="412E350C" w14:textId="35DBEDA3">
      <w:pPr>
        <w:pStyle w:val="CoL"/>
      </w:pPr>
      <w:r w:rsidRPr="00614C95">
        <w:t>The Commission applies a preponderance</w:t>
      </w:r>
      <w:r w:rsidR="00270999">
        <w:noBreakHyphen/>
      </w:r>
      <w:r w:rsidRPr="00614C95">
        <w:t>of</w:t>
      </w:r>
      <w:r w:rsidR="00270999">
        <w:noBreakHyphen/>
      </w:r>
      <w:r w:rsidRPr="00614C95">
        <w:t>the</w:t>
      </w:r>
      <w:r w:rsidR="00270999">
        <w:noBreakHyphen/>
      </w:r>
      <w:r w:rsidRPr="00614C95">
        <w:t>evidence standard to proposed revenue requirements, rate changes, plant additions, ratemaking mechanisms, and accounts.</w:t>
      </w:r>
    </w:p>
    <w:p w:rsidRPr="00614C95" w:rsidR="00614C95" w:rsidP="00614C95" w:rsidRDefault="00614C95" w14:paraId="24B5D511" w14:textId="6BC84161">
      <w:pPr>
        <w:pStyle w:val="CoL"/>
      </w:pPr>
      <w:r w:rsidRPr="00614C95">
        <w:lastRenderedPageBreak/>
        <w:t xml:space="preserve">Under </w:t>
      </w:r>
      <w:r w:rsidR="003A5B7D">
        <w:t>Pub. Util.</w:t>
      </w:r>
      <w:r w:rsidRPr="00614C95">
        <w:t xml:space="preserve"> Code </w:t>
      </w:r>
      <w:r w:rsidR="004E5107">
        <w:t>Section </w:t>
      </w:r>
      <w:r w:rsidRPr="00614C95">
        <w:t>701, the Commission has broad authority to regulate public utilities, require compliance filings, and adopt ratemaking mechanisms in the public interest.</w:t>
      </w:r>
    </w:p>
    <w:p w:rsidRPr="00614C95" w:rsidR="00614C95" w:rsidP="00614C95" w:rsidRDefault="00614C95" w14:paraId="6EBBC07E" w14:textId="4C8A46A9">
      <w:pPr>
        <w:pStyle w:val="CoL"/>
      </w:pPr>
      <w:r w:rsidRPr="00614C95">
        <w:t>The Commission may rely on recorded historical data, objective benchmarks, and inflation indices to assess the reasonableness of forecasts and variances.</w:t>
      </w:r>
    </w:p>
    <w:p w:rsidRPr="00614C95" w:rsidR="00614C95" w:rsidP="00614C95" w:rsidRDefault="005F0D5F" w14:paraId="33D4A161" w14:textId="0EEA67CF">
      <w:pPr>
        <w:pStyle w:val="CoL"/>
      </w:pPr>
      <w:r>
        <w:t>The Commission requires that</w:t>
      </w:r>
      <w:r w:rsidR="009426E3">
        <w:t xml:space="preserve"> c</w:t>
      </w:r>
      <w:r w:rsidRPr="00614C95" w:rsidR="00614C95">
        <w:t>apital projects included in rate base be supported by evidence of need and cost reasonableness</w:t>
      </w:r>
      <w:r w:rsidR="003F7DD7">
        <w:t xml:space="preserve"> and</w:t>
      </w:r>
      <w:r w:rsidRPr="00614C95" w:rsidR="009C3D66">
        <w:t xml:space="preserve"> </w:t>
      </w:r>
      <w:r w:rsidR="003F7DD7">
        <w:t>p</w:t>
      </w:r>
      <w:r w:rsidRPr="00614C95" w:rsidR="00614C95">
        <w:t>rojects lacking adequate documentation be deferred or denied.</w:t>
      </w:r>
    </w:p>
    <w:p w:rsidRPr="00614C95" w:rsidR="00614C95" w:rsidP="00614C95" w:rsidRDefault="003B28BA" w14:paraId="4CB2DCE8" w14:textId="40DBBC1A">
      <w:pPr>
        <w:pStyle w:val="CoL"/>
      </w:pPr>
      <w:r>
        <w:t>BAMA</w:t>
      </w:r>
      <w:r w:rsidRPr="00614C95" w:rsidR="00614C95">
        <w:t>s are authorized only when costs are material, largely outside utility control, and narrowly defined; they must remain subject to reasonableness review prior to recovery or refund.</w:t>
      </w:r>
    </w:p>
    <w:p w:rsidR="00614C95" w:rsidP="00614C95" w:rsidRDefault="00614C95" w14:paraId="78A376CA" w14:textId="7A0093CF">
      <w:pPr>
        <w:pStyle w:val="CoL"/>
      </w:pPr>
      <w:r w:rsidRPr="00614C95">
        <w:t>The Commission may require forward</w:t>
      </w:r>
      <w:r w:rsidR="00270999">
        <w:noBreakHyphen/>
      </w:r>
      <w:r w:rsidRPr="00614C95">
        <w:t>looking plans or reports where necessary to ensure continued adequacy, safety, reliability, affordability, or compliance.</w:t>
      </w:r>
    </w:p>
    <w:p w:rsidRPr="00E353A9" w:rsidR="00773E48" w:rsidP="00614C95" w:rsidRDefault="004138C2" w14:paraId="11C77CD0" w14:textId="63FE1DC1">
      <w:pPr>
        <w:pStyle w:val="CoL"/>
      </w:pPr>
      <w:r w:rsidRPr="00E353A9">
        <w:t>The Commission may require forward</w:t>
      </w:r>
      <w:r w:rsidR="00270999">
        <w:noBreakHyphen/>
      </w:r>
      <w:r w:rsidRPr="00E353A9">
        <w:t xml:space="preserve">looking plans or reports where necessary to </w:t>
      </w:r>
      <w:r w:rsidRPr="00E353A9" w:rsidR="00731293">
        <w:t>expedite and improve subsequent ratesetting</w:t>
      </w:r>
      <w:r w:rsidR="00E353A9">
        <w:t xml:space="preserve"> </w:t>
      </w:r>
      <w:r w:rsidRPr="00E353A9" w:rsidR="00731293">
        <w:t>proceedings.</w:t>
      </w:r>
    </w:p>
    <w:p w:rsidRPr="00A66768" w:rsidR="005932FE" w:rsidP="001B52EF" w:rsidRDefault="00614C95" w14:paraId="02927C8A" w14:textId="3C0FBEE6">
      <w:pPr>
        <w:pStyle w:val="Section"/>
      </w:pPr>
      <w:r w:rsidRPr="00A66768">
        <w:t>Conclusions Related to the Partial Settlement Agreement</w:t>
      </w:r>
    </w:p>
    <w:p w:rsidR="77D72C33" w:rsidP="2750161B" w:rsidRDefault="7A09DB2E" w14:paraId="057CAA55" w14:textId="7801930A">
      <w:pPr>
        <w:pStyle w:val="CoL"/>
      </w:pPr>
      <w:r>
        <w:t>The Partial Settlement Agreement is supported by the record, satisfies Rule 12.1(d), is reasonable in light of the whole record and in the public interest</w:t>
      </w:r>
      <w:r w:rsidR="005F0D5F">
        <w:t>,</w:t>
      </w:r>
      <w:r>
        <w:t xml:space="preserve"> and its adoption avoids further litigation, conserves administrative resources, and facilitates efficient implementation of adopted rates.</w:t>
      </w:r>
    </w:p>
    <w:p w:rsidR="00614C95" w:rsidP="00614C95" w:rsidRDefault="00614C95" w14:paraId="23077C9C" w14:textId="69F02EAC">
      <w:pPr>
        <w:pStyle w:val="CoL"/>
      </w:pPr>
      <w:r w:rsidRPr="00614C95">
        <w:t xml:space="preserve">Each of the issues resolved in the </w:t>
      </w:r>
      <w:r w:rsidRPr="00614C95" w:rsidR="00A66768">
        <w:t>Part</w:t>
      </w:r>
      <w:r w:rsidR="00A66768">
        <w:t>ial</w:t>
      </w:r>
      <w:r w:rsidRPr="00614C95" w:rsidR="00A66768">
        <w:t xml:space="preserve"> S</w:t>
      </w:r>
      <w:r w:rsidR="00A66768">
        <w:t>e</w:t>
      </w:r>
      <w:r w:rsidRPr="00614C95" w:rsidR="00A66768">
        <w:t>tt</w:t>
      </w:r>
      <w:r w:rsidR="00A66768">
        <w:t>lement Agreement</w:t>
      </w:r>
      <w:r w:rsidRPr="00614C95">
        <w:t xml:space="preserve"> is supported by evidence in the record.</w:t>
      </w:r>
    </w:p>
    <w:p w:rsidR="00A66768" w:rsidP="00A66768" w:rsidRDefault="77D72C33" w14:paraId="08BDC2E0" w14:textId="4B09F603">
      <w:pPr>
        <w:pStyle w:val="CoL"/>
      </w:pPr>
      <w:r>
        <w:t xml:space="preserve">The </w:t>
      </w:r>
      <w:r w:rsidR="518DEA49">
        <w:t>Partial Settlement Agreement</w:t>
      </w:r>
      <w:r>
        <w:t xml:space="preserve"> is consistent with applicable law, including </w:t>
      </w:r>
      <w:r w:rsidR="790F52AE">
        <w:t>Pub. Util.</w:t>
      </w:r>
      <w:r>
        <w:t xml:space="preserve"> Code </w:t>
      </w:r>
      <w:r w:rsidR="265C4E0F">
        <w:t>Section </w:t>
      </w:r>
      <w:r>
        <w:t xml:space="preserve">451, </w:t>
      </w:r>
      <w:r w:rsidR="265C4E0F">
        <w:t>Section </w:t>
      </w:r>
      <w:r>
        <w:t xml:space="preserve">454, and </w:t>
      </w:r>
      <w:r w:rsidR="265C4E0F">
        <w:t>Section </w:t>
      </w:r>
      <w:r>
        <w:t xml:space="preserve">701, and relevant </w:t>
      </w:r>
      <w:r>
        <w:lastRenderedPageBreak/>
        <w:t>Commission decisions and policies governing just and reasonable rates, prudent cost recovery, conservation, affordability, and compliance</w:t>
      </w:r>
      <w:r w:rsidR="7D007A70">
        <w:t>; and, therefore, the Commission should ap</w:t>
      </w:r>
      <w:r w:rsidR="23C3FCB8">
        <w:t>p</w:t>
      </w:r>
      <w:r w:rsidR="7D007A70">
        <w:t>rove</w:t>
      </w:r>
      <w:r w:rsidR="005F0D5F">
        <w:t xml:space="preserve"> it</w:t>
      </w:r>
      <w:r w:rsidR="7D007A70">
        <w:t>.</w:t>
      </w:r>
    </w:p>
    <w:p w:rsidR="00A66768" w:rsidP="00A66768" w:rsidRDefault="00614C95" w14:paraId="233AEC0F" w14:textId="77777777">
      <w:pPr>
        <w:pStyle w:val="CoL"/>
      </w:pPr>
      <w:r w:rsidRPr="00614C95">
        <w:t xml:space="preserve">The </w:t>
      </w:r>
      <w:r w:rsidRPr="00614C95" w:rsidR="00A66768">
        <w:t>Part</w:t>
      </w:r>
      <w:r w:rsidR="00A66768">
        <w:t>ial</w:t>
      </w:r>
      <w:r w:rsidRPr="00614C95" w:rsidR="00A66768">
        <w:t xml:space="preserve"> S</w:t>
      </w:r>
      <w:r w:rsidR="00A66768">
        <w:t>e</w:t>
      </w:r>
      <w:r w:rsidRPr="00614C95" w:rsidR="00A66768">
        <w:t>tt</w:t>
      </w:r>
      <w:r w:rsidR="00A66768">
        <w:t>lement Agreement</w:t>
      </w:r>
      <w:r w:rsidRPr="00614C95">
        <w:t xml:space="preserve"> is in the public interest because it advances safe and reliable service at just and reasonable rates, enhances administrative efficiency, reduces litigation costs and uncertainty, and provides a transparent and implementable framework for ratemaking and compliance.</w:t>
      </w:r>
    </w:p>
    <w:p w:rsidR="00B00C87" w:rsidP="00B00C87" w:rsidRDefault="00614C95" w14:paraId="6E65A080" w14:textId="508E6506">
      <w:pPr>
        <w:pStyle w:val="CoL"/>
      </w:pPr>
      <w:r w:rsidRPr="00614C95">
        <w:t xml:space="preserve">The process by which the </w:t>
      </w:r>
      <w:r w:rsidRPr="00614C95" w:rsidR="00A66768">
        <w:t>Part</w:t>
      </w:r>
      <w:r w:rsidR="00A66768">
        <w:t>ial</w:t>
      </w:r>
      <w:r w:rsidRPr="00614C95" w:rsidR="00A66768">
        <w:t xml:space="preserve"> S</w:t>
      </w:r>
      <w:r w:rsidR="00A66768">
        <w:t>e</w:t>
      </w:r>
      <w:r w:rsidRPr="00614C95" w:rsidR="00A66768">
        <w:t>tt</w:t>
      </w:r>
      <w:r w:rsidR="00A66768">
        <w:t>lement Agreement</w:t>
      </w:r>
      <w:r w:rsidRPr="00614C95">
        <w:t xml:space="preserve"> was developed complied with </w:t>
      </w:r>
      <w:r w:rsidR="003A5B7D">
        <w:t>Rule </w:t>
      </w:r>
      <w:r w:rsidRPr="00614C95">
        <w:t xml:space="preserve">12.1(b), and adoption of the </w:t>
      </w:r>
      <w:r w:rsidR="00A66768">
        <w:t>agreement</w:t>
      </w:r>
      <w:r w:rsidRPr="00614C95">
        <w:t xml:space="preserve"> is binding on all parties to this proceeding.</w:t>
      </w:r>
    </w:p>
    <w:p w:rsidR="00CE0158" w:rsidP="00B00C87" w:rsidRDefault="00090BAF" w14:paraId="0739CA65" w14:textId="77777777">
      <w:pPr>
        <w:pStyle w:val="CoL"/>
      </w:pPr>
      <w:r w:rsidRPr="00E353A9">
        <w:t xml:space="preserve">Consistent with </w:t>
      </w:r>
      <w:r w:rsidR="003A5B7D">
        <w:t>Rule </w:t>
      </w:r>
      <w:r w:rsidRPr="00E353A9">
        <w:t>12.5,</w:t>
      </w:r>
      <w:r w:rsidRPr="00E353A9" w:rsidR="00F247DE">
        <w:t xml:space="preserve"> the adoption of a settlement does not constitute approval </w:t>
      </w:r>
      <w:r w:rsidRPr="00E353A9" w:rsidR="00387629">
        <w:t xml:space="preserve">of, or precedent regarding, any principal or issue </w:t>
      </w:r>
      <w:r w:rsidRPr="00E353A9" w:rsidR="0015314A">
        <w:t>in the proceeding or in a future proceeding.</w:t>
      </w:r>
    </w:p>
    <w:p w:rsidR="00A66768" w:rsidP="00A66768" w:rsidRDefault="00614C95" w14:paraId="38DC522B" w14:textId="68C2761B">
      <w:pPr>
        <w:pStyle w:val="CoL"/>
      </w:pPr>
      <w:r w:rsidRPr="00614C95">
        <w:t>The Partial Settlement Agreement should be adopted.</w:t>
      </w:r>
    </w:p>
    <w:p w:rsidRPr="00A66768" w:rsidR="00A66768" w:rsidP="001B52EF" w:rsidRDefault="00A66768" w14:paraId="32E737DF" w14:textId="3203C17D">
      <w:pPr>
        <w:pStyle w:val="Section"/>
      </w:pPr>
      <w:r w:rsidRPr="00A66768">
        <w:t xml:space="preserve">Scoped </w:t>
      </w:r>
      <w:r w:rsidR="009D287A">
        <w:t>Issue #</w:t>
      </w:r>
      <w:r w:rsidRPr="00A66768">
        <w:t>1</w:t>
      </w:r>
      <w:r w:rsidR="00BF7D15">
        <w:t xml:space="preserve"> — </w:t>
      </w:r>
      <w:r w:rsidRPr="00A66768">
        <w:t>Overall Revenue Requirement Framework</w:t>
      </w:r>
    </w:p>
    <w:p w:rsidR="00A66768" w:rsidP="00A66768" w:rsidRDefault="00A66768" w14:paraId="6C7A50B5" w14:textId="77777777">
      <w:pPr>
        <w:pStyle w:val="CoL"/>
      </w:pPr>
      <w:r w:rsidRPr="00A66768">
        <w:t xml:space="preserve">The Partial Settlement </w:t>
      </w:r>
      <w:r>
        <w:t xml:space="preserve">Agreement </w:t>
      </w:r>
      <w:r w:rsidRPr="00A66768">
        <w:t>resolving general office expenses, depreciation, property taxes, and overhead allocations is reasonable, consistent with law, and in the public interest, and should be approved.</w:t>
      </w:r>
    </w:p>
    <w:p w:rsidRPr="00960D57" w:rsidR="00A66768" w:rsidP="00A66768" w:rsidRDefault="00A66768" w14:paraId="1711FDFD" w14:textId="18DE082B">
      <w:pPr>
        <w:pStyle w:val="CoL"/>
      </w:pPr>
      <w:r w:rsidRPr="00A66768">
        <w:t>Adjustments adopted in this decision</w:t>
      </w:r>
      <w:r w:rsidR="009426E3">
        <w:t xml:space="preserve"> are necessary to</w:t>
      </w:r>
      <w:r w:rsidRPr="00A66768">
        <w:t xml:space="preserve"> yield just and reasonable rate increases that balance ratepayer protection with investment in safe and reliable service.</w:t>
      </w:r>
    </w:p>
    <w:p w:rsidRPr="00960D57" w:rsidR="00DF4C6E" w:rsidP="00DF4C6E" w:rsidRDefault="00DF4C6E" w14:paraId="65AA1273" w14:textId="26EB12B6">
      <w:pPr>
        <w:pStyle w:val="CoL"/>
      </w:pPr>
      <w:r w:rsidRPr="00960D57">
        <w:t>It is reasonable and consistent with the Rate Case Plan and prior Commission practice to calculate escalation</w:t>
      </w:r>
      <w:r w:rsidR="00270999">
        <w:noBreakHyphen/>
      </w:r>
      <w:r w:rsidRPr="00960D57">
        <w:t>year O&amp;M and A&amp;G expenses using the most recent Commission labor and non</w:t>
      </w:r>
      <w:r w:rsidR="00270999">
        <w:noBreakHyphen/>
      </w:r>
      <w:r w:rsidRPr="00960D57">
        <w:t>labor escalation memo factors, applied to the adjusted test</w:t>
      </w:r>
      <w:r w:rsidR="00270999">
        <w:noBreakHyphen/>
      </w:r>
      <w:r w:rsidRPr="00960D57">
        <w:t>year expense levels adopted in this decision.</w:t>
      </w:r>
    </w:p>
    <w:p w:rsidRPr="00960D57" w:rsidR="00DF4C6E" w:rsidP="00DF4C6E" w:rsidRDefault="00DF4C6E" w14:paraId="0A9A89ED" w14:textId="40920DC8">
      <w:pPr>
        <w:pStyle w:val="CoL"/>
      </w:pPr>
      <w:r w:rsidRPr="00960D57">
        <w:lastRenderedPageBreak/>
        <w:t>It is reasonable and consistent with cost</w:t>
      </w:r>
      <w:r w:rsidR="00270999">
        <w:noBreakHyphen/>
      </w:r>
      <w:r w:rsidRPr="00960D57">
        <w:t>causation and prior Commission decisions to recover production</w:t>
      </w:r>
      <w:r w:rsidR="00270999">
        <w:noBreakHyphen/>
      </w:r>
      <w:r w:rsidRPr="00960D57">
        <w:t>related costs that are subject to balancing</w:t>
      </w:r>
      <w:r w:rsidR="00270999">
        <w:noBreakHyphen/>
      </w:r>
      <w:r w:rsidRPr="00960D57">
        <w:t>account treatment or purveyor tariffs through those mechanisms, rather than by applying generic O&amp;M escalation factors to those costs.</w:t>
      </w:r>
    </w:p>
    <w:p w:rsidRPr="00960D57" w:rsidR="00A66768" w:rsidP="001B52EF" w:rsidRDefault="00A66768" w14:paraId="443B2061" w14:textId="04199D41">
      <w:pPr>
        <w:pStyle w:val="Section"/>
      </w:pPr>
      <w:r w:rsidRPr="00960D57">
        <w:t xml:space="preserve">Scoped </w:t>
      </w:r>
      <w:r w:rsidR="009D287A">
        <w:t>Issue #</w:t>
      </w:r>
      <w:r w:rsidRPr="00960D57">
        <w:t>2</w:t>
      </w:r>
      <w:r w:rsidR="00BF7D15">
        <w:t xml:space="preserve"> — </w:t>
      </w:r>
      <w:r w:rsidRPr="00960D57">
        <w:t>O&amp;M and A&amp;G</w:t>
      </w:r>
    </w:p>
    <w:p w:rsidRPr="00960D57" w:rsidR="00A66768" w:rsidP="00A66768" w:rsidRDefault="00091521" w14:paraId="0CA5E0F8" w14:textId="0FD16549">
      <w:pPr>
        <w:pStyle w:val="CoL"/>
      </w:pPr>
      <w:r w:rsidRPr="00960D57">
        <w:t xml:space="preserve">It is reasonable to evaluate </w:t>
      </w:r>
      <w:r w:rsidR="00EB50F8">
        <w:t>Cal Water</w:t>
      </w:r>
      <w:r w:rsidR="000C0896">
        <w:t>’</w:t>
      </w:r>
      <w:r w:rsidRPr="00960D57">
        <w:t xml:space="preserve">s O&amp;M and A&amp;G forecasts using historical averages as a benchmark, but not as a prescriptive methodology; the Commission may adopt </w:t>
      </w:r>
      <w:r w:rsidR="00EB50F8">
        <w:t>Cal Water</w:t>
      </w:r>
      <w:r w:rsidR="000C0896">
        <w:t>’</w:t>
      </w:r>
      <w:r w:rsidRPr="00960D57">
        <w:t>s forward</w:t>
      </w:r>
      <w:r w:rsidR="00270999">
        <w:noBreakHyphen/>
      </w:r>
      <w:r w:rsidRPr="00960D57">
        <w:t>looking forecasts where supported by specific evidence and apply targeted adjustments only where the company has not sufficiently justified increases above inflation or historical trends.</w:t>
      </w:r>
    </w:p>
    <w:p w:rsidRPr="00960D57" w:rsidR="00721D4D" w:rsidP="00D23234" w:rsidRDefault="00721D4D" w14:paraId="41EA6035" w14:textId="45896EC1">
      <w:pPr>
        <w:pStyle w:val="CoL"/>
      </w:pPr>
      <w:r w:rsidRPr="00960D57">
        <w:t xml:space="preserve">It is reasonable and consistent with </w:t>
      </w:r>
      <w:r w:rsidR="003A5B7D">
        <w:t>Pub. Util.</w:t>
      </w:r>
      <w:r w:rsidRPr="00960D57">
        <w:t xml:space="preserve"> Code </w:t>
      </w:r>
      <w:r w:rsidR="00D957F7">
        <w:t>Section </w:t>
      </w:r>
      <w:r w:rsidRPr="00960D57">
        <w:t xml:space="preserve">451 and </w:t>
      </w:r>
      <w:r w:rsidR="00D957F7">
        <w:t>Section </w:t>
      </w:r>
      <w:r w:rsidRPr="00960D57">
        <w:t>454 to</w:t>
      </w:r>
      <w:r w:rsidR="000C0896">
        <w:t xml:space="preserve">:  </w:t>
      </w:r>
      <w:r w:rsidR="000C051D">
        <w:t>(a) </w:t>
      </w:r>
      <w:r w:rsidRPr="00960D57">
        <w:t xml:space="preserve">adopt the </w:t>
      </w:r>
      <w:proofErr w:type="spellStart"/>
      <w:r w:rsidRPr="00960D57">
        <w:t>M.Cubed</w:t>
      </w:r>
      <w:proofErr w:type="spellEnd"/>
      <w:r w:rsidRPr="00960D57">
        <w:t xml:space="preserve"> </w:t>
      </w:r>
      <w:r w:rsidR="00C47F0F">
        <w:t>U</w:t>
      </w:r>
      <w:r w:rsidRPr="00960D57">
        <w:t xml:space="preserve">nrestricted sales forecast for the </w:t>
      </w:r>
      <w:r w:rsidR="00EF1E5C">
        <w:t>TY</w:t>
      </w:r>
      <w:r w:rsidRPr="00960D57">
        <w:t xml:space="preserve"> and </w:t>
      </w:r>
      <w:r w:rsidR="00EF1E5C">
        <w:t>EY</w:t>
      </w:r>
      <w:r w:rsidRPr="00960D57">
        <w:t>s and use that forecast to derive production</w:t>
      </w:r>
      <w:r w:rsidR="00270999">
        <w:noBreakHyphen/>
      </w:r>
      <w:r w:rsidRPr="00960D57">
        <w:t xml:space="preserve">related O&amp;M; </w:t>
      </w:r>
      <w:r w:rsidR="000C051D">
        <w:t>(b) </w:t>
      </w:r>
      <w:r w:rsidRPr="00960D57">
        <w:t>rely on tariff</w:t>
      </w:r>
      <w:r w:rsidR="00270999">
        <w:noBreakHyphen/>
      </w:r>
      <w:r w:rsidRPr="00960D57">
        <w:t xml:space="preserve">based wholesale unit costs for purchased water; </w:t>
      </w:r>
      <w:r w:rsidR="000E62D1">
        <w:t>(c) </w:t>
      </w:r>
      <w:r w:rsidRPr="00960D57">
        <w:t xml:space="preserve">adopt </w:t>
      </w:r>
      <w:r w:rsidR="00EB50F8">
        <w:t>Cal Advocates</w:t>
      </w:r>
      <w:r w:rsidR="000C0896">
        <w:t>’</w:t>
      </w:r>
      <w:r w:rsidRPr="00960D57">
        <w:t xml:space="preserve"> five</w:t>
      </w:r>
      <w:r w:rsidR="00270999">
        <w:noBreakHyphen/>
      </w:r>
      <w:r w:rsidRPr="00960D57">
        <w:t>year historical unit</w:t>
      </w:r>
      <w:r w:rsidR="00270999">
        <w:noBreakHyphen/>
      </w:r>
      <w:r w:rsidRPr="00960D57">
        <w:t xml:space="preserve">rate proposals for purchased power and chemical expenses; and </w:t>
      </w:r>
      <w:r w:rsidR="000E62D1">
        <w:t>(d) </w:t>
      </w:r>
      <w:r w:rsidRPr="00960D57" w:rsidR="00E262D3">
        <w:t>adopt the lower of competing forecasts</w:t>
      </w:r>
      <w:r w:rsidR="00686689">
        <w:t xml:space="preserve"> </w:t>
      </w:r>
      <w:r w:rsidRPr="00960D57" w:rsidR="00E262D3">
        <w:t>for</w:t>
      </w:r>
      <w:r w:rsidRPr="00960D57">
        <w:t xml:space="preserve"> non</w:t>
      </w:r>
      <w:r w:rsidR="00270999">
        <w:noBreakHyphen/>
      </w:r>
      <w:r w:rsidRPr="00960D57">
        <w:t xml:space="preserve">settled O&amp;M and A&amp;G accounts where </w:t>
      </w:r>
      <w:r w:rsidR="00EB50F8">
        <w:t>Cal Water</w:t>
      </w:r>
      <w:r w:rsidR="000C0896">
        <w:t>’</w:t>
      </w:r>
      <w:r w:rsidRPr="00960D57">
        <w:t>s forecast exceeds 110</w:t>
      </w:r>
      <w:r w:rsidR="0032703D">
        <w:t> percent</w:t>
      </w:r>
      <w:r w:rsidRPr="00960D57">
        <w:t xml:space="preserve"> of the five</w:t>
      </w:r>
      <w:r w:rsidR="00270999">
        <w:noBreakHyphen/>
      </w:r>
      <w:r w:rsidRPr="00960D57">
        <w:t>year inflation</w:t>
      </w:r>
      <w:r w:rsidR="00270999">
        <w:noBreakHyphen/>
      </w:r>
      <w:r w:rsidRPr="00960D57">
        <w:t>adjusted historical average without adequate evidentiary support for the higher level.</w:t>
      </w:r>
    </w:p>
    <w:p w:rsidRPr="0052688E" w:rsidR="0052688E" w:rsidP="0052688E" w:rsidRDefault="0052688E" w14:paraId="6F791D2E" w14:textId="07312CFA">
      <w:pPr>
        <w:pStyle w:val="CoL"/>
      </w:pPr>
      <w:r w:rsidRPr="0052688E">
        <w:t xml:space="preserve">It is reasonable and consistent with </w:t>
      </w:r>
      <w:r w:rsidR="003A5B7D">
        <w:t>Pub. Util.</w:t>
      </w:r>
      <w:r w:rsidRPr="0052688E">
        <w:t xml:space="preserve"> Code </w:t>
      </w:r>
      <w:r w:rsidR="00D957F7">
        <w:t>Section </w:t>
      </w:r>
      <w:r w:rsidRPr="0052688E">
        <w:t xml:space="preserve">451 and </w:t>
      </w:r>
      <w:r w:rsidR="00D957F7">
        <w:t>Section </w:t>
      </w:r>
      <w:r w:rsidRPr="0052688E">
        <w:t>454 to adopt the Test Year O&amp;M and A&amp;G expense levels for the disputed sub</w:t>
      </w:r>
      <w:r w:rsidR="00270999">
        <w:noBreakHyphen/>
      </w:r>
      <w:r w:rsidRPr="0052688E">
        <w:t xml:space="preserve">issues under Scoped </w:t>
      </w:r>
      <w:r w:rsidR="009D287A">
        <w:t>Issue #</w:t>
      </w:r>
      <w:r w:rsidRPr="0052688E">
        <w:t>2 as determined on a category</w:t>
      </w:r>
      <w:r w:rsidR="00270999">
        <w:noBreakHyphen/>
      </w:r>
      <w:r w:rsidRPr="0052688E">
        <w:t xml:space="preserve">specific basis and summarized in </w:t>
      </w:r>
      <w:r w:rsidR="00EB50F8">
        <w:t>Table 2</w:t>
      </w:r>
      <w:r w:rsidRPr="0052688E">
        <w:t>, reflecting the Commission</w:t>
      </w:r>
      <w:r w:rsidR="000C0896">
        <w:t>’</w:t>
      </w:r>
      <w:r w:rsidRPr="0052688E">
        <w:t>s evaluation of historical data, inflation</w:t>
      </w:r>
      <w:r w:rsidR="00270999">
        <w:noBreakHyphen/>
      </w:r>
      <w:r w:rsidRPr="0052688E">
        <w:t>adjusted benchmarks, documented cost drivers, and the parties</w:t>
      </w:r>
      <w:r w:rsidR="000C0896">
        <w:t>’</w:t>
      </w:r>
      <w:r w:rsidRPr="0052688E">
        <w:t xml:space="preserve"> competing proposals.</w:t>
      </w:r>
    </w:p>
    <w:p w:rsidRPr="0052688E" w:rsidR="0052688E" w:rsidP="0052688E" w:rsidRDefault="0052688E" w14:paraId="1461647A" w14:textId="0A53C93A">
      <w:pPr>
        <w:pStyle w:val="CoL"/>
      </w:pPr>
      <w:r w:rsidRPr="0052688E">
        <w:lastRenderedPageBreak/>
        <w:t>For production</w:t>
      </w:r>
      <w:r w:rsidR="00270999">
        <w:noBreakHyphen/>
      </w:r>
      <w:r w:rsidRPr="0052688E">
        <w:t xml:space="preserve">related </w:t>
      </w:r>
      <w:r w:rsidR="00640A72">
        <w:t>O&amp;M</w:t>
      </w:r>
      <w:r w:rsidRPr="0052688E">
        <w:t xml:space="preserve"> expenses, it is reasonable and consistent with Commission precedent to</w:t>
      </w:r>
      <w:r w:rsidR="000C0896">
        <w:t xml:space="preserve">:  </w:t>
      </w:r>
      <w:r w:rsidR="000C051D">
        <w:t>(a) </w:t>
      </w:r>
      <w:r w:rsidRPr="0052688E">
        <w:t xml:space="preserve">adopt the </w:t>
      </w:r>
      <w:proofErr w:type="spellStart"/>
      <w:r w:rsidRPr="0052688E">
        <w:t>M.Cubed</w:t>
      </w:r>
      <w:proofErr w:type="spellEnd"/>
      <w:r w:rsidRPr="0052688E">
        <w:t xml:space="preserve"> </w:t>
      </w:r>
      <w:r w:rsidR="00C47F0F">
        <w:t>U</w:t>
      </w:r>
      <w:r w:rsidRPr="0052688E">
        <w:t xml:space="preserve">nrestricted sales forecast for the </w:t>
      </w:r>
      <w:r w:rsidR="00EF1E5C">
        <w:t>TY</w:t>
      </w:r>
      <w:r w:rsidRPr="0052688E">
        <w:t xml:space="preserve"> and </w:t>
      </w:r>
      <w:r w:rsidR="00D16A62">
        <w:t>EY</w:t>
      </w:r>
      <w:r w:rsidRPr="0052688E">
        <w:t xml:space="preserve">s; </w:t>
      </w:r>
      <w:r w:rsidR="000C051D">
        <w:t>(b) </w:t>
      </w:r>
      <w:r w:rsidRPr="0052688E">
        <w:t>compute purchased</w:t>
      </w:r>
      <w:r w:rsidR="00270999">
        <w:noBreakHyphen/>
      </w:r>
      <w:r w:rsidRPr="0052688E">
        <w:t>water expense using tariff</w:t>
      </w:r>
      <w:r w:rsidR="00270999">
        <w:noBreakHyphen/>
      </w:r>
      <w:r w:rsidRPr="0052688E">
        <w:t xml:space="preserve">based wholesale unit costs applied to that sales forecast; </w:t>
      </w:r>
      <w:r w:rsidR="000E62D1">
        <w:t>(c) </w:t>
      </w:r>
      <w:r w:rsidRPr="0052688E">
        <w:t>compute purchased</w:t>
      </w:r>
      <w:r w:rsidR="00270999">
        <w:noBreakHyphen/>
      </w:r>
      <w:r w:rsidRPr="0052688E">
        <w:t xml:space="preserve">power and chemical expenses using </w:t>
      </w:r>
      <w:r w:rsidR="00EB50F8">
        <w:t>Cal Advocates</w:t>
      </w:r>
      <w:r w:rsidR="000C0896">
        <w:t>’</w:t>
      </w:r>
      <w:r w:rsidRPr="0052688E">
        <w:t xml:space="preserve"> adopted five</w:t>
      </w:r>
      <w:r w:rsidR="00270999">
        <w:noBreakHyphen/>
      </w:r>
      <w:r w:rsidRPr="0052688E">
        <w:t>year historical unit</w:t>
      </w:r>
      <w:r w:rsidR="00270999">
        <w:noBreakHyphen/>
      </w:r>
      <w:r w:rsidRPr="0052688E">
        <w:t xml:space="preserve">rate proposals applied to the same sales forecast; and </w:t>
      </w:r>
      <w:r w:rsidR="000E62D1">
        <w:t>(d) </w:t>
      </w:r>
      <w:r w:rsidRPr="0052688E">
        <w:t>apply these methodologies in lieu of unsupported higher unit</w:t>
      </w:r>
      <w:r w:rsidR="00270999">
        <w:noBreakHyphen/>
      </w:r>
      <w:r w:rsidRPr="0052688E">
        <w:t>cost assumptions.</w:t>
      </w:r>
    </w:p>
    <w:p w:rsidRPr="00960D57" w:rsidR="0052688E" w:rsidP="00714615" w:rsidRDefault="0052688E" w14:paraId="7FB8AAA9" w14:textId="6329042F">
      <w:pPr>
        <w:pStyle w:val="CoL"/>
      </w:pPr>
      <w:r w:rsidRPr="0052688E">
        <w:t xml:space="preserve">It is reasonable and consistent with </w:t>
      </w:r>
      <w:r w:rsidR="003A5B7D">
        <w:t>Pub. Util.</w:t>
      </w:r>
      <w:r w:rsidRPr="0052688E">
        <w:t xml:space="preserve"> Code </w:t>
      </w:r>
      <w:r w:rsidR="00A5152F">
        <w:t>Section </w:t>
      </w:r>
      <w:r w:rsidRPr="0052688E">
        <w:t xml:space="preserve">451 and </w:t>
      </w:r>
      <w:r w:rsidR="00A5152F">
        <w:t>Section </w:t>
      </w:r>
      <w:r w:rsidRPr="0052688E">
        <w:t>454 to exclude from Test Year O&amp;M and A&amp;G recovery any costs attributable to district</w:t>
      </w:r>
      <w:r w:rsidR="00270999">
        <w:noBreakHyphen/>
      </w:r>
      <w:r w:rsidRPr="0052688E">
        <w:t>level or common</w:t>
      </w:r>
      <w:r w:rsidR="00270999">
        <w:noBreakHyphen/>
      </w:r>
      <w:r w:rsidRPr="0052688E">
        <w:t>plant capital projects that are denied, deferred, or not adopted for cost recovery in this decision.</w:t>
      </w:r>
    </w:p>
    <w:p w:rsidRPr="00960D57" w:rsidR="00A66768" w:rsidP="001B52EF" w:rsidRDefault="00A66768" w14:paraId="51BCA9F3" w14:textId="28DDE2BB">
      <w:pPr>
        <w:pStyle w:val="Section"/>
      </w:pPr>
      <w:r w:rsidRPr="00960D57">
        <w:t xml:space="preserve">Scoped </w:t>
      </w:r>
      <w:r w:rsidR="009D287A">
        <w:t>Issue #</w:t>
      </w:r>
      <w:r w:rsidRPr="00960D57">
        <w:t>3</w:t>
      </w:r>
      <w:r w:rsidR="00BF7D15">
        <w:t xml:space="preserve"> — </w:t>
      </w:r>
      <w:r w:rsidRPr="00960D57">
        <w:t>Plant Additions and Capital Projects</w:t>
      </w:r>
    </w:p>
    <w:p w:rsidRPr="00960D57" w:rsidR="00A66768" w:rsidP="00A66768" w:rsidRDefault="00A66768" w14:paraId="5E8D18CD" w14:textId="0812F086">
      <w:pPr>
        <w:pStyle w:val="CoL"/>
      </w:pPr>
      <w:r w:rsidRPr="00960D57">
        <w:t xml:space="preserve">It is reasonable to approve </w:t>
      </w:r>
      <w:r w:rsidR="009426E3">
        <w:t>Cal</w:t>
      </w:r>
      <w:r w:rsidR="00EA2C22">
        <w:t> </w:t>
      </w:r>
      <w:r w:rsidR="009426E3">
        <w:t xml:space="preserve">Water’s proposed </w:t>
      </w:r>
      <w:r w:rsidRPr="00960D57">
        <w:t>treatment</w:t>
      </w:r>
      <w:r w:rsidR="00270999">
        <w:noBreakHyphen/>
      </w:r>
      <w:r w:rsidRPr="00960D57">
        <w:t xml:space="preserve">plant expansions and other regulatory compliance projects </w:t>
      </w:r>
      <w:r w:rsidR="009426E3">
        <w:t xml:space="preserve">which are </w:t>
      </w:r>
      <w:r w:rsidRPr="00960D57">
        <w:t>supported by documented engineering need and cost evidence.</w:t>
      </w:r>
    </w:p>
    <w:p w:rsidR="00A66768" w:rsidP="00A66768" w:rsidRDefault="00A66768" w14:paraId="02504658" w14:textId="694AE72A">
      <w:pPr>
        <w:pStyle w:val="CoL"/>
      </w:pPr>
      <w:r w:rsidRPr="00960D57">
        <w:t xml:space="preserve">It is reasonable to defer or deny </w:t>
      </w:r>
      <w:r w:rsidR="009426E3">
        <w:t xml:space="preserve">certain </w:t>
      </w:r>
      <w:r w:rsidRPr="00960D57">
        <w:t xml:space="preserve">plant additions </w:t>
      </w:r>
      <w:r w:rsidR="009426E3">
        <w:t xml:space="preserve">that are </w:t>
      </w:r>
      <w:r w:rsidRPr="00960D57">
        <w:t>lacking sufficient documentation</w:t>
      </w:r>
      <w:r w:rsidR="003B3C00">
        <w:t>,</w:t>
      </w:r>
      <w:r w:rsidR="003D246E">
        <w:t xml:space="preserve"> </w:t>
      </w:r>
      <w:r w:rsidRPr="00960D57">
        <w:t>including discretionary office expansions.</w:t>
      </w:r>
    </w:p>
    <w:p w:rsidR="0018415E" w:rsidP="00A66768" w:rsidRDefault="0018415E" w14:paraId="5289441F" w14:textId="2DF3ED44">
      <w:pPr>
        <w:pStyle w:val="CoL"/>
      </w:pPr>
      <w:r w:rsidRPr="0018415E">
        <w:t>It is reasonable to</w:t>
      </w:r>
      <w:r w:rsidR="002F7572">
        <w:t xml:space="preserve"> </w:t>
      </w:r>
      <w:r w:rsidRPr="0018415E">
        <w:t>authorize</w:t>
      </w:r>
      <w:r w:rsidR="002F7572">
        <w:t xml:space="preserve"> </w:t>
      </w:r>
      <w:r w:rsidRPr="0018415E">
        <w:t>recovery of</w:t>
      </w:r>
      <w:r w:rsidR="002F7572">
        <w:t xml:space="preserve"> </w:t>
      </w:r>
      <w:r w:rsidRPr="0018415E">
        <w:t>50</w:t>
      </w:r>
      <w:r w:rsidR="00547116">
        <w:t xml:space="preserve"> percent</w:t>
      </w:r>
      <w:r w:rsidR="002F7572">
        <w:t xml:space="preserve"> </w:t>
      </w:r>
      <w:r w:rsidRPr="0018415E">
        <w:t>of the 2026 and 2027</w:t>
      </w:r>
      <w:r w:rsidR="002F7572">
        <w:t xml:space="preserve"> </w:t>
      </w:r>
      <w:r w:rsidRPr="0018415E">
        <w:t>AMI</w:t>
      </w:r>
      <w:r w:rsidR="002F7572">
        <w:t xml:space="preserve"> </w:t>
      </w:r>
      <w:r w:rsidRPr="0018415E">
        <w:t>system</w:t>
      </w:r>
      <w:r w:rsidR="002F7572">
        <w:t xml:space="preserve"> </w:t>
      </w:r>
      <w:r w:rsidRPr="0018415E">
        <w:t>deployment</w:t>
      </w:r>
      <w:r w:rsidR="002F7572">
        <w:t xml:space="preserve"> </w:t>
      </w:r>
      <w:r w:rsidRPr="0018415E">
        <w:t>costs</w:t>
      </w:r>
      <w:r w:rsidR="002F7572">
        <w:t xml:space="preserve"> </w:t>
      </w:r>
      <w:r w:rsidRPr="0018415E">
        <w:t>through</w:t>
      </w:r>
      <w:r w:rsidR="002F7572">
        <w:t xml:space="preserve"> </w:t>
      </w:r>
      <w:r w:rsidRPr="0018415E">
        <w:t>rates;</w:t>
      </w:r>
      <w:r w:rsidR="002F7572">
        <w:t xml:space="preserve"> </w:t>
      </w:r>
      <w:r w:rsidRPr="0018415E">
        <w:t>and it is</w:t>
      </w:r>
      <w:r w:rsidR="002F7572">
        <w:t xml:space="preserve"> </w:t>
      </w:r>
      <w:r w:rsidRPr="0018415E">
        <w:t>also</w:t>
      </w:r>
      <w:r w:rsidR="002F7572">
        <w:t xml:space="preserve"> </w:t>
      </w:r>
      <w:r w:rsidRPr="0018415E">
        <w:t>reasonable to</w:t>
      </w:r>
      <w:r w:rsidR="002F7572">
        <w:t xml:space="preserve"> </w:t>
      </w:r>
      <w:r w:rsidRPr="0018415E">
        <w:t>require</w:t>
      </w:r>
      <w:r w:rsidR="002F7572">
        <w:t xml:space="preserve"> </w:t>
      </w:r>
      <w:r w:rsidRPr="0018415E">
        <w:t>the</w:t>
      </w:r>
      <w:r w:rsidR="002F7572">
        <w:t xml:space="preserve"> </w:t>
      </w:r>
      <w:r w:rsidRPr="0018415E">
        <w:t>remaining 50</w:t>
      </w:r>
      <w:r w:rsidR="00547116">
        <w:t xml:space="preserve"> percent</w:t>
      </w:r>
      <w:r w:rsidR="002F7572">
        <w:t xml:space="preserve"> </w:t>
      </w:r>
      <w:r w:rsidRPr="0018415E">
        <w:t>be</w:t>
      </w:r>
      <w:r w:rsidR="002F7572">
        <w:t xml:space="preserve"> </w:t>
      </w:r>
      <w:r w:rsidRPr="0018415E">
        <w:t>recorded</w:t>
      </w:r>
      <w:r w:rsidR="002F7572">
        <w:t xml:space="preserve"> </w:t>
      </w:r>
      <w:r w:rsidRPr="0018415E">
        <w:t>in</w:t>
      </w:r>
      <w:r w:rsidR="002F7572">
        <w:t xml:space="preserve"> </w:t>
      </w:r>
      <w:r w:rsidRPr="0018415E">
        <w:t>a new 2026-2027 A</w:t>
      </w:r>
      <w:r w:rsidR="008F7750">
        <w:t>MI</w:t>
      </w:r>
      <w:r w:rsidRPr="0018415E">
        <w:t xml:space="preserve"> Implementation Memorandum Account for recovery in the next GRC,</w:t>
      </w:r>
      <w:r w:rsidR="002F7572">
        <w:t xml:space="preserve"> </w:t>
      </w:r>
      <w:r w:rsidRPr="0018415E">
        <w:t>subject to the A</w:t>
      </w:r>
      <w:r w:rsidR="008F7750">
        <w:t>MI</w:t>
      </w:r>
      <w:r w:rsidRPr="0018415E">
        <w:t xml:space="preserve"> system being successfully completed and performing its</w:t>
      </w:r>
      <w:r w:rsidR="002F7572">
        <w:t xml:space="preserve"> </w:t>
      </w:r>
      <w:r w:rsidRPr="0018415E">
        <w:t>intended</w:t>
      </w:r>
      <w:r w:rsidR="002F7572">
        <w:t xml:space="preserve"> </w:t>
      </w:r>
      <w:r w:rsidRPr="0018415E">
        <w:t>functions.</w:t>
      </w:r>
    </w:p>
    <w:p w:rsidRPr="002F7572" w:rsidR="00292282" w:rsidP="002F7572" w:rsidRDefault="00292282" w14:paraId="55865C20" w14:textId="58E326A6">
      <w:pPr>
        <w:pStyle w:val="CoL"/>
      </w:pPr>
      <w:r w:rsidRPr="0018415E">
        <w:t>It is reasonable to</w:t>
      </w:r>
      <w:r w:rsidR="002F7572">
        <w:t xml:space="preserve"> </w:t>
      </w:r>
      <w:r w:rsidRPr="0018415E">
        <w:t>authorize</w:t>
      </w:r>
      <w:r w:rsidR="002F7572">
        <w:t xml:space="preserve"> </w:t>
      </w:r>
      <w:r w:rsidRPr="0018415E">
        <w:t>recovery of</w:t>
      </w:r>
      <w:r>
        <w:t xml:space="preserve"> $1,893,288 for necessary meter replacements for</w:t>
      </w:r>
      <w:r w:rsidR="002F7572">
        <w:t xml:space="preserve"> </w:t>
      </w:r>
      <w:r>
        <w:t>the</w:t>
      </w:r>
      <w:r w:rsidR="002F7572">
        <w:t xml:space="preserve"> </w:t>
      </w:r>
      <w:r>
        <w:t>remaining</w:t>
      </w:r>
      <w:r w:rsidR="002F7572">
        <w:t xml:space="preserve"> </w:t>
      </w:r>
      <w:r>
        <w:t>districts, which are not in the AMI</w:t>
      </w:r>
      <w:r w:rsidR="002F7572">
        <w:t xml:space="preserve"> </w:t>
      </w:r>
      <w:r>
        <w:t>program.</w:t>
      </w:r>
    </w:p>
    <w:p w:rsidRPr="00960D57" w:rsidR="00DE13B2" w:rsidP="00DE13B2" w:rsidRDefault="00DE13B2" w14:paraId="11AA040B" w14:textId="13ABFF02">
      <w:pPr>
        <w:pStyle w:val="CoL"/>
      </w:pPr>
      <w:r w:rsidRPr="00960D57">
        <w:t xml:space="preserve">It is reasonable to categorize each capital project based on the evidentiary support, and to include in rate base only those projects for which the evidentiary </w:t>
      </w:r>
      <w:r w:rsidRPr="00960D57">
        <w:lastRenderedPageBreak/>
        <w:t>record demonstrates engineering need, regulatory justification, reasonable cost estimates, and construction readiness</w:t>
      </w:r>
      <w:r w:rsidR="003B3C00">
        <w:t xml:space="preserve">, </w:t>
      </w:r>
      <w:r w:rsidRPr="003B3C00" w:rsidR="003B3C00">
        <w:t xml:space="preserve">or, for projects such as AMI deployment, to allow staged cost recovery </w:t>
      </w:r>
      <w:r w:rsidR="0018415E">
        <w:t xml:space="preserve">either </w:t>
      </w:r>
      <w:r w:rsidRPr="003B3C00" w:rsidR="003B3C00">
        <w:t>through the advice letter process as infrastructure becomes used and useful</w:t>
      </w:r>
      <w:r w:rsidR="00582386">
        <w:t xml:space="preserve">, </w:t>
      </w:r>
      <w:r w:rsidRPr="00582386" w:rsidR="00582386">
        <w:t>or for AMI in the next GRC through a memorandum account</w:t>
      </w:r>
      <w:r w:rsidRPr="003B3C00" w:rsidR="003B3C00">
        <w:t>.</w:t>
      </w:r>
    </w:p>
    <w:p w:rsidRPr="003E0E60" w:rsidR="003E0E60" w:rsidP="003E0E60" w:rsidRDefault="003E0E60" w14:paraId="51BE0BB1" w14:textId="19EEDC86">
      <w:pPr>
        <w:pStyle w:val="CoL"/>
      </w:pPr>
      <w:r w:rsidRPr="003E0E60">
        <w:t xml:space="preserve">It is reasonable to deny without prejudice </w:t>
      </w:r>
      <w:r w:rsidR="00EB50F8">
        <w:t>Cal Water</w:t>
      </w:r>
      <w:r w:rsidRPr="003E0E60">
        <w:t xml:space="preserve">’s request to include </w:t>
      </w:r>
      <w:r w:rsidR="007118CE">
        <w:t xml:space="preserve">unbuilt, </w:t>
      </w:r>
      <w:r w:rsidRPr="003E0E60">
        <w:t xml:space="preserve">previously </w:t>
      </w:r>
      <w:r w:rsidR="007118CE">
        <w:t>authorized</w:t>
      </w:r>
      <w:r w:rsidRPr="003E0E60">
        <w:t xml:space="preserve"> deferred capital projects, </w:t>
      </w:r>
      <w:r w:rsidRPr="004158D2">
        <w:t xml:space="preserve">while allowing </w:t>
      </w:r>
      <w:r w:rsidR="00EB50F8">
        <w:t>Cal Water</w:t>
      </w:r>
      <w:r w:rsidRPr="004158D2">
        <w:t xml:space="preserve"> the opportunity to seek approval </w:t>
      </w:r>
      <w:r w:rsidR="005127C8">
        <w:t>to add a deferred project into rates via a Tier 2 advice letter, up to the budgeted cap, if it is consistent with the proposed scope</w:t>
      </w:r>
      <w:r w:rsidRPr="003E0E60">
        <w:t>.</w:t>
      </w:r>
    </w:p>
    <w:p w:rsidR="00582386" w:rsidP="003B3C00" w:rsidRDefault="0062677C" w14:paraId="12FE9DD5" w14:textId="2EF8194E">
      <w:pPr>
        <w:pStyle w:val="CoL"/>
      </w:pPr>
      <w:r w:rsidRPr="00960D57">
        <w:t>It is reasonable to implement the Commission</w:t>
      </w:r>
      <w:r w:rsidR="000C0896">
        <w:t>’</w:t>
      </w:r>
      <w:r w:rsidRPr="00960D57">
        <w:t>s determinations regarding Common Plant programs and district</w:t>
      </w:r>
      <w:r w:rsidR="00270999">
        <w:noBreakHyphen/>
      </w:r>
      <w:r w:rsidRPr="00960D57">
        <w:t xml:space="preserve">level plant projects, as summarized in </w:t>
      </w:r>
      <w:r w:rsidR="00EB50F8">
        <w:t>Table 2</w:t>
      </w:r>
      <w:r w:rsidR="00666BA2">
        <w:t xml:space="preserve"> and </w:t>
      </w:r>
      <w:r w:rsidR="00EB50F8">
        <w:t>Table 3</w:t>
      </w:r>
      <w:r w:rsidRPr="00960D57">
        <w:t xml:space="preserve">, as the controlling ratemaking instructions for purposes of the RO Model and </w:t>
      </w:r>
      <w:r w:rsidR="009A779A">
        <w:t>Appendices </w:t>
      </w:r>
      <w:r w:rsidR="00341211">
        <w:t>A</w:t>
      </w:r>
      <w:r w:rsidR="009A779A">
        <w:t xml:space="preserve"> through </w:t>
      </w:r>
      <w:r w:rsidR="00341211">
        <w:t>X</w:t>
      </w:r>
      <w:r w:rsidRPr="00960D57">
        <w:t>.</w:t>
      </w:r>
    </w:p>
    <w:p w:rsidRPr="00960D57" w:rsidR="00487EC0" w:rsidP="00487EC0" w:rsidRDefault="00487EC0" w14:paraId="6279D9C0" w14:textId="49D81013">
      <w:pPr>
        <w:pStyle w:val="CoL"/>
      </w:pPr>
      <w:r w:rsidRPr="001232D2">
        <w:t xml:space="preserve">It is </w:t>
      </w:r>
      <w:r w:rsidR="004169A0">
        <w:t>un</w:t>
      </w:r>
      <w:r w:rsidRPr="001232D2">
        <w:t xml:space="preserve">reasonable to authorize </w:t>
      </w:r>
      <w:r w:rsidRPr="001232D2" w:rsidR="075C356C">
        <w:t>insuffic</w:t>
      </w:r>
      <w:r w:rsidR="00582386">
        <w:t>i</w:t>
      </w:r>
      <w:r w:rsidRPr="001232D2" w:rsidR="075C356C">
        <w:t xml:space="preserve">ently justified </w:t>
      </w:r>
      <w:r w:rsidRPr="001232D2">
        <w:t xml:space="preserve">contingency allowances for </w:t>
      </w:r>
      <w:r w:rsidR="004169A0">
        <w:t>Cal Water</w:t>
      </w:r>
      <w:r w:rsidRPr="001232D2">
        <w:t>’s forecast</w:t>
      </w:r>
      <w:r w:rsidRPr="001232D2" w:rsidR="26A8D631">
        <w:t>ed</w:t>
      </w:r>
      <w:r w:rsidRPr="001232D2">
        <w:t xml:space="preserve"> capital budgets</w:t>
      </w:r>
      <w:r w:rsidR="002F2145">
        <w:t>. This determination does not preclude Cal Water from seeking recovery of reasonable, documented cost increases in a future proceeding or through the advice letter process</w:t>
      </w:r>
      <w:r w:rsidRPr="008579F7">
        <w:t>.</w:t>
      </w:r>
    </w:p>
    <w:p w:rsidRPr="00960D57" w:rsidR="00A66768" w:rsidP="001B52EF" w:rsidRDefault="00A66768" w14:paraId="2C6C23A3" w14:textId="114BB108">
      <w:pPr>
        <w:pStyle w:val="Section"/>
      </w:pPr>
      <w:r w:rsidRPr="00960D57">
        <w:t xml:space="preserve">Scoped </w:t>
      </w:r>
      <w:r w:rsidR="009D287A">
        <w:t>Issue #</w:t>
      </w:r>
      <w:r w:rsidRPr="00960D57">
        <w:t>4</w:t>
      </w:r>
      <w:r w:rsidR="00BF7D15">
        <w:t xml:space="preserve"> — </w:t>
      </w:r>
      <w:r w:rsidRPr="00960D57">
        <w:t>Overall Revenue Requirement Components</w:t>
      </w:r>
    </w:p>
    <w:p w:rsidRPr="00960D57" w:rsidR="00F260B8" w:rsidP="00A66768" w:rsidRDefault="00F260B8" w14:paraId="4E6CF76F" w14:textId="2170D277">
      <w:pPr>
        <w:pStyle w:val="CoL"/>
      </w:pPr>
      <w:r w:rsidRPr="00960D57">
        <w:t>Escalation</w:t>
      </w:r>
      <w:r w:rsidR="00270999">
        <w:noBreakHyphen/>
      </w:r>
      <w:r w:rsidRPr="00960D57">
        <w:t>year increases should be limited to credible estimates of inflation indices and regulatory cost drivers and applied only to Commission</w:t>
      </w:r>
      <w:r w:rsidR="00270999">
        <w:noBreakHyphen/>
      </w:r>
      <w:r w:rsidRPr="00960D57">
        <w:t xml:space="preserve">adopted </w:t>
      </w:r>
      <w:r w:rsidR="00EF1E5C">
        <w:t>TY</w:t>
      </w:r>
      <w:r w:rsidRPr="00960D57">
        <w:t xml:space="preserve"> cost levels to ensure rates remain just and reasonable.</w:t>
      </w:r>
    </w:p>
    <w:p w:rsidR="005970FB" w:rsidP="005970FB" w:rsidRDefault="005970FB" w14:paraId="1A8D86A5" w14:textId="00ED7B41">
      <w:pPr>
        <w:pStyle w:val="CoL"/>
      </w:pPr>
      <w:r w:rsidRPr="00960D57">
        <w:t xml:space="preserve">It is reasonable to authorize Administration and Research conservation expenses </w:t>
      </w:r>
      <w:r w:rsidR="009426E3">
        <w:t xml:space="preserve">that </w:t>
      </w:r>
      <w:r w:rsidR="000951C3">
        <w:t>are</w:t>
      </w:r>
      <w:r w:rsidRPr="00960D57" w:rsidR="000951C3">
        <w:t xml:space="preserve"> </w:t>
      </w:r>
      <w:r w:rsidRPr="00960D57">
        <w:t>supported by record evidence and demonstrated historical utilization.</w:t>
      </w:r>
    </w:p>
    <w:p w:rsidRPr="00960D57" w:rsidR="005803CD" w:rsidP="005803CD" w:rsidRDefault="005803CD" w14:paraId="2755F6E2" w14:textId="397E3B1A">
      <w:pPr>
        <w:pStyle w:val="CoL"/>
      </w:pPr>
      <w:r>
        <w:lastRenderedPageBreak/>
        <w:t>Cal</w:t>
      </w:r>
      <w:r w:rsidR="001469DB">
        <w:t> </w:t>
      </w:r>
      <w:r>
        <w:t>Water’s c</w:t>
      </w:r>
      <w:r w:rsidRPr="00614C95">
        <w:t>onservation and water</w:t>
      </w:r>
      <w:r w:rsidR="00270999">
        <w:noBreakHyphen/>
      </w:r>
      <w:r w:rsidRPr="00614C95">
        <w:t xml:space="preserve">efficiency programs </w:t>
      </w:r>
      <w:r>
        <w:t>have</w:t>
      </w:r>
      <w:r w:rsidRPr="00614C95">
        <w:t xml:space="preserve"> demonstrate</w:t>
      </w:r>
      <w:r>
        <w:t>d</w:t>
      </w:r>
      <w:r w:rsidRPr="00614C95">
        <w:t xml:space="preserve"> cost</w:t>
      </w:r>
      <w:r w:rsidR="00270999">
        <w:noBreakHyphen/>
      </w:r>
      <w:r w:rsidRPr="00614C95">
        <w:t>effectiveness, avoid</w:t>
      </w:r>
      <w:r>
        <w:t>ed</w:t>
      </w:r>
      <w:r w:rsidRPr="00614C95">
        <w:t xml:space="preserve"> duplication, and produce measurable outcomes.</w:t>
      </w:r>
    </w:p>
    <w:p w:rsidRPr="00960D57" w:rsidR="00085094" w:rsidP="000951C3" w:rsidRDefault="005970FB" w14:paraId="5B1979C3" w14:textId="0470371F">
      <w:pPr>
        <w:pStyle w:val="CoL"/>
      </w:pPr>
      <w:r w:rsidRPr="00960D57">
        <w:t>Where the record does not support full approval of a proposed increase in Administration and Research conservation funding, it is reasonable to limit recovery of those expenses to a level reflecting demonstrated historical utilization.</w:t>
      </w:r>
    </w:p>
    <w:p w:rsidRPr="000951C3" w:rsidR="000951C3" w:rsidP="003E5054" w:rsidRDefault="000951C3" w14:paraId="3F25768D" w14:textId="0675D061">
      <w:pPr>
        <w:pStyle w:val="CoL"/>
      </w:pPr>
      <w:r w:rsidRPr="000951C3">
        <w:t>It is reasonable to apply AFUDC rather than IDC to construction work in progress, and to set the AFUDC rate equal to Cal Water’s authorized rate of return, consistent with Commission precedent, including D.20</w:t>
      </w:r>
      <w:r w:rsidR="00E95C69">
        <w:noBreakHyphen/>
      </w:r>
      <w:r w:rsidRPr="000951C3">
        <w:t>12</w:t>
      </w:r>
      <w:r w:rsidR="00E95C69">
        <w:noBreakHyphen/>
      </w:r>
      <w:r w:rsidRPr="000951C3">
        <w:t>007 and D.24</w:t>
      </w:r>
      <w:r w:rsidR="00E95C69">
        <w:noBreakHyphen/>
      </w:r>
      <w:r w:rsidRPr="000951C3">
        <w:t>03</w:t>
      </w:r>
      <w:r w:rsidR="00E95C69">
        <w:noBreakHyphen/>
      </w:r>
      <w:r w:rsidRPr="000951C3">
        <w:t>042</w:t>
      </w:r>
      <w:r>
        <w:t xml:space="preserve">, </w:t>
      </w:r>
      <w:r w:rsidRPr="000951C3">
        <w:t>as this approach reasonably reflects the cost of capital incurred during construction and ensures consistency with established ratemaking principles.</w:t>
      </w:r>
    </w:p>
    <w:p w:rsidRPr="00960D57" w:rsidR="000D2526" w:rsidP="001B52EF" w:rsidRDefault="000D2526" w14:paraId="6D95E392" w14:textId="2D46FC87">
      <w:pPr>
        <w:pStyle w:val="Section"/>
      </w:pPr>
      <w:r w:rsidRPr="00960D57">
        <w:t xml:space="preserve">Scoped </w:t>
      </w:r>
      <w:r w:rsidR="00084475">
        <w:t>Issue #</w:t>
      </w:r>
      <w:r w:rsidRPr="00960D57">
        <w:t>5</w:t>
      </w:r>
      <w:r w:rsidR="00935545">
        <w:t xml:space="preserve">, </w:t>
      </w:r>
      <w:r w:rsidRPr="00960D57" w:rsidR="00084475">
        <w:t>#</w:t>
      </w:r>
      <w:r w:rsidR="00935545">
        <w:t>7</w:t>
      </w:r>
      <w:r w:rsidR="00AE2539">
        <w:t xml:space="preserve"> &amp; </w:t>
      </w:r>
      <w:r w:rsidRPr="00960D57" w:rsidR="00084475">
        <w:t>#</w:t>
      </w:r>
      <w:r w:rsidR="00935545">
        <w:t>15</w:t>
      </w:r>
      <w:r w:rsidR="00FD1F89">
        <w:t xml:space="preserve"> — </w:t>
      </w:r>
      <w:r w:rsidRPr="00960D57">
        <w:t xml:space="preserve">Rate Design, </w:t>
      </w:r>
      <w:r w:rsidR="00935545">
        <w:t>LUWEP</w:t>
      </w:r>
      <w:r w:rsidR="00AE2539">
        <w:t xml:space="preserve"> &amp; </w:t>
      </w:r>
      <w:r w:rsidR="00935545">
        <w:t>Decoupling</w:t>
      </w:r>
    </w:p>
    <w:p w:rsidR="00935545" w:rsidP="00935545" w:rsidRDefault="00935545" w14:paraId="08B1C030" w14:textId="380BE308">
      <w:pPr>
        <w:pStyle w:val="CoL"/>
      </w:pPr>
      <w:r w:rsidRPr="00235A7B">
        <w:t xml:space="preserve">It is reasonable to adopt a modified </w:t>
      </w:r>
      <w:r w:rsidR="00436492">
        <w:t>Option </w:t>
      </w:r>
      <w:r w:rsidRPr="00235A7B">
        <w:t xml:space="preserve">2, which includes modifications to the existing </w:t>
      </w:r>
      <w:r w:rsidR="008B0F27">
        <w:t>four</w:t>
      </w:r>
      <w:r w:rsidR="00270999">
        <w:noBreakHyphen/>
      </w:r>
      <w:r w:rsidR="008B0F27">
        <w:t>tier</w:t>
      </w:r>
      <w:r w:rsidRPr="00235A7B">
        <w:t xml:space="preserve">ed rate design, including a flatter tier differential for </w:t>
      </w:r>
      <w:r w:rsidR="00EB50F8">
        <w:t>Tier 4</w:t>
      </w:r>
      <w:r w:rsidRPr="00235A7B">
        <w:t xml:space="preserve"> and an increase of </w:t>
      </w:r>
      <w:r w:rsidR="00761EFD">
        <w:t>5</w:t>
      </w:r>
      <w:r w:rsidR="0032703D">
        <w:t> percent</w:t>
      </w:r>
      <w:r w:rsidRPr="00235A7B">
        <w:t xml:space="preserve"> in fixed </w:t>
      </w:r>
      <w:r w:rsidR="00C47F0F">
        <w:t xml:space="preserve">costs recovery in the fixed </w:t>
      </w:r>
      <w:r w:rsidRPr="00235A7B">
        <w:t xml:space="preserve">charge, to promote revenue and rate stability and maintain a conservation signal until the impacts of a </w:t>
      </w:r>
      <w:r w:rsidR="008B0F27">
        <w:t>four</w:t>
      </w:r>
      <w:r w:rsidR="00270999">
        <w:noBreakHyphen/>
      </w:r>
      <w:r w:rsidR="008B0F27">
        <w:t>tier</w:t>
      </w:r>
      <w:r w:rsidRPr="00235A7B">
        <w:t xml:space="preserve"> conservation rate design are better understood.</w:t>
      </w:r>
    </w:p>
    <w:p w:rsidR="00CE0158" w:rsidP="00935545" w:rsidRDefault="00935545" w14:paraId="233BF25F" w14:textId="1FAB636A">
      <w:pPr>
        <w:pStyle w:val="CoL"/>
      </w:pPr>
      <w:r w:rsidRPr="00235A7B">
        <w:t>It is reasonable to adopt a two</w:t>
      </w:r>
      <w:r w:rsidR="00270999">
        <w:noBreakHyphen/>
      </w:r>
      <w:r w:rsidRPr="00235A7B">
        <w:t xml:space="preserve">way SRM that adjusts adopted sales forecasts in </w:t>
      </w:r>
      <w:r w:rsidR="00EF1E5C">
        <w:t>EY</w:t>
      </w:r>
      <w:r w:rsidRPr="00235A7B">
        <w:t xml:space="preserve">s when recorded sales deviate by more than </w:t>
      </w:r>
      <w:r w:rsidR="0032703D">
        <w:t>five</w:t>
      </w:r>
      <w:r w:rsidRPr="00235A7B">
        <w:t xml:space="preserve"> percent (up or down), applying </w:t>
      </w:r>
      <w:r w:rsidR="00345287">
        <w:t>an adjustment of 50</w:t>
      </w:r>
      <w:r w:rsidR="00222B3A">
        <w:t> </w:t>
      </w:r>
      <w:r w:rsidR="00345287">
        <w:t>percent of the</w:t>
      </w:r>
      <w:r w:rsidRPr="00235A7B">
        <w:t xml:space="preserve"> variance.</w:t>
      </w:r>
    </w:p>
    <w:p w:rsidR="00935545" w:rsidP="00935545" w:rsidRDefault="00935545" w14:paraId="01BE048A" w14:textId="3B116D91">
      <w:pPr>
        <w:pStyle w:val="CoL"/>
      </w:pPr>
      <w:r w:rsidRPr="00235A7B">
        <w:t xml:space="preserve">It is reasonable to require an annual SRM reporting through a </w:t>
      </w:r>
      <w:r w:rsidR="00EB50F8">
        <w:t>Tier </w:t>
      </w:r>
      <w:r w:rsidR="005314C0">
        <w:t>1</w:t>
      </w:r>
      <w:r w:rsidRPr="00235A7B">
        <w:t xml:space="preserve"> </w:t>
      </w:r>
      <w:r w:rsidR="00752B5D">
        <w:t>advice letter</w:t>
      </w:r>
      <w:r w:rsidRPr="00235A7B">
        <w:t>, if the SRM is triggered, to ensure transparency, enable staff review, and maintain oversight of district</w:t>
      </w:r>
      <w:r w:rsidR="00270999">
        <w:noBreakHyphen/>
      </w:r>
      <w:r w:rsidRPr="00235A7B">
        <w:t>level sales variances and rate impacts.</w:t>
      </w:r>
    </w:p>
    <w:p w:rsidRPr="00960D57" w:rsidR="000D2526" w:rsidP="004463BC" w:rsidRDefault="000D2526" w14:paraId="5EB29F4A" w14:textId="1C658FB5">
      <w:pPr>
        <w:pStyle w:val="Section"/>
      </w:pPr>
      <w:r w:rsidRPr="00960D57">
        <w:lastRenderedPageBreak/>
        <w:t xml:space="preserve">Scoped </w:t>
      </w:r>
      <w:r w:rsidR="00084475">
        <w:t>Issue #</w:t>
      </w:r>
      <w:r w:rsidRPr="00960D57">
        <w:t>6</w:t>
      </w:r>
      <w:r w:rsidR="00FD1F89">
        <w:t xml:space="preserve"> — </w:t>
      </w:r>
      <w:r w:rsidRPr="00960D57">
        <w:t>Compliance and Reporting</w:t>
      </w:r>
    </w:p>
    <w:p w:rsidRPr="00960D57" w:rsidR="000D2526" w:rsidRDefault="00EB50F8" w14:paraId="2CECC81C" w14:textId="369DDE78">
      <w:pPr>
        <w:pStyle w:val="CoL"/>
      </w:pPr>
      <w:r>
        <w:t>Cal Water</w:t>
      </w:r>
      <w:r w:rsidRPr="00960D57" w:rsidR="000D2526">
        <w:t xml:space="preserve"> has achieved substantial compliance with prior Commission orders.</w:t>
      </w:r>
    </w:p>
    <w:p w:rsidRPr="00960D57" w:rsidR="00085094" w:rsidP="00085094" w:rsidRDefault="00085094" w14:paraId="2227B6D3" w14:textId="41B1A880">
      <w:pPr>
        <w:pStyle w:val="CoL"/>
      </w:pPr>
      <w:r>
        <w:t xml:space="preserve">It is reasonable to require that Cal Water, in its </w:t>
      </w:r>
      <w:r w:rsidR="00F27172">
        <w:t>next</w:t>
      </w:r>
      <w:r>
        <w:t xml:space="preserve"> GRC, provide a compliance report as part of its witness-sponsored testimony, which </w:t>
      </w:r>
      <w:r w:rsidRPr="00960D57">
        <w:t>include</w:t>
      </w:r>
      <w:r>
        <w:t>s</w:t>
      </w:r>
      <w:r w:rsidRPr="00960D57">
        <w:t>:</w:t>
      </w:r>
      <w:r>
        <w:t xml:space="preserve"> (a)</w:t>
      </w:r>
      <w:r w:rsidR="00172808">
        <w:t> </w:t>
      </w:r>
      <w:r>
        <w:t>c</w:t>
      </w:r>
      <w:r w:rsidRPr="00960D57">
        <w:t>omprehensive reconciliations of all balancing</w:t>
      </w:r>
      <w:r>
        <w:noBreakHyphen/>
      </w:r>
      <w:r w:rsidRPr="00960D57">
        <w:t>account activities for the relevant reporting period;</w:t>
      </w:r>
      <w:r>
        <w:t xml:space="preserve"> (b)</w:t>
      </w:r>
      <w:r w:rsidR="00172808">
        <w:t> </w:t>
      </w:r>
      <w:r>
        <w:t>u</w:t>
      </w:r>
      <w:r w:rsidRPr="00960D57">
        <w:t>pdated documentation of infrastructure</w:t>
      </w:r>
      <w:r>
        <w:noBreakHyphen/>
      </w:r>
      <w:r w:rsidRPr="00960D57">
        <w:t>project timelines, milestones, and any delays; and</w:t>
      </w:r>
      <w:r>
        <w:t xml:space="preserve"> (c)</w:t>
      </w:r>
      <w:r w:rsidR="00172808">
        <w:t> </w:t>
      </w:r>
      <w:r>
        <w:t>a</w:t>
      </w:r>
      <w:r w:rsidRPr="00960D57">
        <w:t xml:space="preserve"> description of improvements made to internal compliance</w:t>
      </w:r>
      <w:r>
        <w:noBreakHyphen/>
      </w:r>
      <w:r w:rsidRPr="00960D57">
        <w:t>tracking and data</w:t>
      </w:r>
      <w:r>
        <w:noBreakHyphen/>
      </w:r>
      <w:r w:rsidRPr="00960D57">
        <w:t>access processes.</w:t>
      </w:r>
    </w:p>
    <w:p w:rsidRPr="00960D57" w:rsidR="000D2526" w:rsidP="004463BC" w:rsidRDefault="000D2526" w14:paraId="5671722F" w14:textId="7F46DB5B">
      <w:pPr>
        <w:pStyle w:val="Section"/>
      </w:pPr>
      <w:r w:rsidRPr="00960D57">
        <w:t xml:space="preserve">Scoped </w:t>
      </w:r>
      <w:r w:rsidR="00084475">
        <w:t>Issue #</w:t>
      </w:r>
      <w:r w:rsidRPr="00960D57">
        <w:t>8</w:t>
      </w:r>
      <w:r w:rsidR="00B01C93">
        <w:t xml:space="preserve"> — </w:t>
      </w:r>
      <w:r w:rsidRPr="00960D57">
        <w:t>Water Rights Leases</w:t>
      </w:r>
    </w:p>
    <w:p w:rsidRPr="00960D57" w:rsidR="009A7746" w:rsidP="009A7746" w:rsidRDefault="00EB50F8" w14:paraId="73336A0A" w14:textId="38E2EF0F">
      <w:pPr>
        <w:pStyle w:val="CoL"/>
      </w:pPr>
      <w:r>
        <w:t>Cal Water</w:t>
      </w:r>
      <w:r w:rsidR="000C0896">
        <w:t>’</w:t>
      </w:r>
      <w:r w:rsidRPr="00960D57" w:rsidR="000D2526">
        <w:t>s water rights leases comply with applicable Commission orders.</w:t>
      </w:r>
    </w:p>
    <w:p w:rsidRPr="00960D57" w:rsidR="009A7746" w:rsidP="004463BC" w:rsidRDefault="009A7746" w14:paraId="49AF82DD" w14:textId="5C5A32A2">
      <w:pPr>
        <w:pStyle w:val="Section"/>
      </w:pPr>
      <w:r w:rsidRPr="00960D57">
        <w:t xml:space="preserve">Scoped </w:t>
      </w:r>
      <w:r w:rsidR="00084475">
        <w:t>Issue #</w:t>
      </w:r>
      <w:r w:rsidRPr="00960D57">
        <w:t>9</w:t>
      </w:r>
      <w:r w:rsidR="00B01C93">
        <w:t xml:space="preserve"> — </w:t>
      </w:r>
      <w:r w:rsidRPr="00960D57">
        <w:t>RSF/Compliance Matters</w:t>
      </w:r>
    </w:p>
    <w:p w:rsidRPr="00960D57" w:rsidR="009A7746" w:rsidP="009A7746" w:rsidRDefault="009A7746" w14:paraId="5D667BFC" w14:textId="3E24362E">
      <w:pPr>
        <w:pStyle w:val="CoL"/>
      </w:pPr>
      <w:r w:rsidRPr="00960D57">
        <w:t>Agreed modifications to the RSF methodology, district offsets, and surcharge updates are consistent with applicable law and Commission policy.</w:t>
      </w:r>
    </w:p>
    <w:p w:rsidRPr="00960D57" w:rsidR="009A7746" w:rsidP="009A7746" w:rsidRDefault="00EB50F8" w14:paraId="1B952941" w14:textId="33B6BB60">
      <w:pPr>
        <w:pStyle w:val="CoL"/>
      </w:pPr>
      <w:r>
        <w:t>Cal Water</w:t>
      </w:r>
      <w:r w:rsidR="000C0896">
        <w:t>’</w:t>
      </w:r>
      <w:r w:rsidRPr="00960D57" w:rsidR="009A7746">
        <w:t xml:space="preserve">s compliance with </w:t>
      </w:r>
      <w:r w:rsidR="00F54B5D">
        <w:t>AB </w:t>
      </w:r>
      <w:r w:rsidRPr="00960D57" w:rsidR="009A7746">
        <w:t>1650 and the American Water Infrastructure Act of 2018 meets applicable requirements.</w:t>
      </w:r>
    </w:p>
    <w:p w:rsidRPr="00960D57" w:rsidR="009A7746" w:rsidP="004463BC" w:rsidRDefault="009A7746" w14:paraId="41F482D2" w14:textId="0E1AE779">
      <w:pPr>
        <w:pStyle w:val="Section"/>
      </w:pPr>
      <w:r w:rsidRPr="00960D57">
        <w:t xml:space="preserve">Scoped </w:t>
      </w:r>
      <w:r w:rsidR="00084475">
        <w:t>Issue #</w:t>
      </w:r>
      <w:r w:rsidRPr="00960D57">
        <w:t>10</w:t>
      </w:r>
      <w:r w:rsidR="00B01C93">
        <w:t xml:space="preserve"> — </w:t>
      </w:r>
      <w:r w:rsidRPr="00960D57">
        <w:t>Drinking</w:t>
      </w:r>
      <w:r w:rsidR="00270999">
        <w:noBreakHyphen/>
      </w:r>
      <w:r w:rsidRPr="00960D57">
        <w:t>Water Standards; PFAS/Emerging Contaminants Plan</w:t>
      </w:r>
    </w:p>
    <w:p w:rsidRPr="00960D57" w:rsidR="009A7746" w:rsidP="0000056E" w:rsidRDefault="00EB50F8" w14:paraId="57132E75" w14:textId="265C5D0E">
      <w:pPr>
        <w:pStyle w:val="CoL"/>
      </w:pPr>
      <w:r>
        <w:t>Cal Water</w:t>
      </w:r>
      <w:r w:rsidR="000C0896">
        <w:t>’</w:t>
      </w:r>
      <w:r w:rsidRPr="00960D57" w:rsidR="009A7746">
        <w:t>s current compliance with applicable drinking</w:t>
      </w:r>
      <w:r w:rsidR="00270999">
        <w:noBreakHyphen/>
      </w:r>
      <w:r w:rsidRPr="00960D57" w:rsidR="009A7746">
        <w:t xml:space="preserve">water standards and </w:t>
      </w:r>
      <w:r w:rsidR="00AC0B25">
        <w:t>GO </w:t>
      </w:r>
      <w:r w:rsidRPr="00960D57" w:rsidR="009A7746">
        <w:t>103</w:t>
      </w:r>
      <w:r w:rsidR="00270999">
        <w:noBreakHyphen/>
      </w:r>
      <w:r w:rsidRPr="00960D57" w:rsidR="009A7746">
        <w:t xml:space="preserve">A constitutes adequate and </w:t>
      </w:r>
      <w:r w:rsidR="00C4159B">
        <w:t>safe</w:t>
      </w:r>
      <w:r w:rsidRPr="00960D57" w:rsidR="00C4159B">
        <w:t xml:space="preserve"> </w:t>
      </w:r>
      <w:r w:rsidRPr="00960D57" w:rsidR="009A7746">
        <w:t>service.</w:t>
      </w:r>
    </w:p>
    <w:p w:rsidRPr="00960D57" w:rsidR="009A7746" w:rsidP="004463BC" w:rsidRDefault="009A7746" w14:paraId="138A94B3" w14:textId="661E8BEE">
      <w:pPr>
        <w:pStyle w:val="Section"/>
      </w:pPr>
      <w:r w:rsidRPr="00960D57">
        <w:t xml:space="preserve">Scoped </w:t>
      </w:r>
      <w:r w:rsidR="00084475">
        <w:t>Issue #</w:t>
      </w:r>
      <w:r w:rsidRPr="00960D57">
        <w:t>11</w:t>
      </w:r>
      <w:r w:rsidR="00B01C93">
        <w:t xml:space="preserve"> — </w:t>
      </w:r>
      <w:r w:rsidRPr="00960D57">
        <w:t>ESJ</w:t>
      </w:r>
    </w:p>
    <w:p w:rsidRPr="00960D57" w:rsidR="009A7746" w:rsidP="009A7746" w:rsidRDefault="00C4159B" w14:paraId="63E20B19" w14:textId="4E739A95">
      <w:pPr>
        <w:pStyle w:val="CoL"/>
      </w:pPr>
      <w:r>
        <w:t>Cal</w:t>
      </w:r>
      <w:r w:rsidR="006E5550">
        <w:t> </w:t>
      </w:r>
      <w:r>
        <w:t>Water is in compliance with the Commission’s current ESJ policy</w:t>
      </w:r>
      <w:r w:rsidRPr="00960D57" w:rsidR="009A7746">
        <w:t xml:space="preserve"> </w:t>
      </w:r>
      <w:r>
        <w:t>and has</w:t>
      </w:r>
      <w:r w:rsidRPr="00960D57">
        <w:t xml:space="preserve"> </w:t>
      </w:r>
      <w:r w:rsidRPr="00960D57" w:rsidR="009A7746">
        <w:t>measurable and verifiable outcomes that reflect tangible benefits for disadvantaged and low</w:t>
      </w:r>
      <w:r w:rsidR="00270999">
        <w:noBreakHyphen/>
      </w:r>
      <w:r w:rsidRPr="00960D57" w:rsidR="009A7746">
        <w:t>income communities.</w:t>
      </w:r>
    </w:p>
    <w:p w:rsidRPr="00960D57" w:rsidR="009A7746" w:rsidP="004115ED" w:rsidRDefault="00EB50F8" w14:paraId="0BEF502A" w14:textId="196C7702">
      <w:pPr>
        <w:pStyle w:val="CoL"/>
      </w:pPr>
      <w:r>
        <w:t>Cal Water</w:t>
      </w:r>
      <w:r w:rsidR="000C0896">
        <w:t>’</w:t>
      </w:r>
      <w:r w:rsidRPr="00960D57" w:rsidR="009A7746">
        <w:t>s current programs (CAP, targeted DAC infrastructure) are consistent with ESJ principles</w:t>
      </w:r>
      <w:r w:rsidRPr="00960D57" w:rsidR="004115ED">
        <w:t>,</w:t>
      </w:r>
      <w:r w:rsidRPr="00960D57" w:rsidR="004115ED">
        <w:rPr>
          <w:rFonts w:ascii="Times New Roman" w:hAnsi="Times New Roman" w:eastAsia="Times New Roman" w:cs="Times New Roman"/>
          <w:sz w:val="24"/>
          <w:szCs w:val="24"/>
        </w:rPr>
        <w:t xml:space="preserve"> </w:t>
      </w:r>
      <w:r w:rsidRPr="00960D57" w:rsidR="004115ED">
        <w:t>independent of the prospective affordability framework adopted in D.25</w:t>
      </w:r>
      <w:r w:rsidR="00270999">
        <w:noBreakHyphen/>
      </w:r>
      <w:r w:rsidRPr="00960D57" w:rsidR="004115ED">
        <w:t>12</w:t>
      </w:r>
      <w:r w:rsidR="00270999">
        <w:noBreakHyphen/>
      </w:r>
      <w:r w:rsidRPr="00960D57" w:rsidR="004115ED">
        <w:t>044.</w:t>
      </w:r>
    </w:p>
    <w:p w:rsidRPr="00960D57" w:rsidR="004115ED" w:rsidP="009A7746" w:rsidRDefault="004115ED" w14:paraId="179D2B34" w14:textId="57203672">
      <w:pPr>
        <w:pStyle w:val="CoL"/>
      </w:pPr>
      <w:r w:rsidRPr="00960D57">
        <w:lastRenderedPageBreak/>
        <w:t xml:space="preserve">It is reasonable to require </w:t>
      </w:r>
      <w:r w:rsidR="00EB50F8">
        <w:t>Cal Water</w:t>
      </w:r>
      <w:r w:rsidRPr="00960D57">
        <w:t xml:space="preserve"> to include, in its next GRC, an ESJ Implementation Summary that </w:t>
      </w:r>
      <w:r w:rsidR="001F114A">
        <w:t xml:space="preserve">that meets ESJ requirements to show measurable and verifiable benefits; and, similarly, it is reasonable to require that such an ESJ Implementation Summary include </w:t>
      </w:r>
      <w:r w:rsidRPr="00960D57">
        <w:t xml:space="preserve">reports </w:t>
      </w:r>
      <w:r w:rsidR="001F114A">
        <w:t xml:space="preserve">of </w:t>
      </w:r>
      <w:r w:rsidRPr="00960D57">
        <w:t>district</w:t>
      </w:r>
      <w:r w:rsidR="00270999">
        <w:noBreakHyphen/>
      </w:r>
      <w:r w:rsidRPr="00960D57">
        <w:t>level DAC infrastructure investments, participation rates in customer</w:t>
      </w:r>
      <w:r w:rsidR="00270999">
        <w:noBreakHyphen/>
      </w:r>
      <w:r w:rsidRPr="00960D57">
        <w:t>assistance and arrearage</w:t>
      </w:r>
      <w:r w:rsidR="00270999">
        <w:noBreakHyphen/>
      </w:r>
      <w:r w:rsidRPr="00960D57">
        <w:t>management programs, and community</w:t>
      </w:r>
      <w:r w:rsidR="00270999">
        <w:noBreakHyphen/>
      </w:r>
      <w:r w:rsidRPr="00960D57">
        <w:t>engagement activities, with any affordability metrics and reporting governed prospectively by D.25</w:t>
      </w:r>
      <w:r w:rsidR="00270999">
        <w:noBreakHyphen/>
      </w:r>
      <w:r w:rsidRPr="00960D57">
        <w:t>12</w:t>
      </w:r>
      <w:r w:rsidR="00270999">
        <w:noBreakHyphen/>
      </w:r>
      <w:r w:rsidRPr="00960D57">
        <w:t>044.</w:t>
      </w:r>
    </w:p>
    <w:p w:rsidRPr="00960D57" w:rsidR="009A7746" w:rsidP="004463BC" w:rsidRDefault="009A7746" w14:paraId="6B500B6B" w14:textId="3CEB1FEC">
      <w:pPr>
        <w:pStyle w:val="Section"/>
      </w:pPr>
      <w:r w:rsidRPr="00960D57">
        <w:t xml:space="preserve">Scoped </w:t>
      </w:r>
      <w:r w:rsidR="00084475">
        <w:t>Issue #</w:t>
      </w:r>
      <w:r w:rsidRPr="00960D57">
        <w:t>12</w:t>
      </w:r>
      <w:r w:rsidR="00B01C93">
        <w:t xml:space="preserve"> — </w:t>
      </w:r>
      <w:r w:rsidRPr="00960D57">
        <w:t>Balancing and Memorandum Accounts</w:t>
      </w:r>
    </w:p>
    <w:p w:rsidRPr="00960D57" w:rsidR="009A7746" w:rsidP="009A7746" w:rsidRDefault="00C4159B" w14:paraId="18BA1AC3" w14:textId="247340ED">
      <w:pPr>
        <w:pStyle w:val="CoL"/>
      </w:pPr>
      <w:r>
        <w:t xml:space="preserve">It is reasonable to reauthorize </w:t>
      </w:r>
      <w:r w:rsidRPr="00960D57" w:rsidR="009A7746">
        <w:t xml:space="preserve">established </w:t>
      </w:r>
      <w:r>
        <w:t xml:space="preserve">balancing and memorandum </w:t>
      </w:r>
      <w:r w:rsidRPr="00960D57" w:rsidR="009A7746">
        <w:t xml:space="preserve">accounts </w:t>
      </w:r>
      <w:r>
        <w:t xml:space="preserve">including </w:t>
      </w:r>
      <w:r w:rsidRPr="00960D57" w:rsidR="009A7746">
        <w:t xml:space="preserve">CEMA, CEBA, PCBA, </w:t>
      </w:r>
      <w:r>
        <w:t xml:space="preserve">and </w:t>
      </w:r>
      <w:r w:rsidRPr="00960D57" w:rsidR="009A7746">
        <w:t>HCBA.</w:t>
      </w:r>
    </w:p>
    <w:p w:rsidRPr="00960D57" w:rsidR="00F3390D" w:rsidP="004463BC" w:rsidRDefault="00F3390D" w14:paraId="4509589A" w14:textId="16A75A85">
      <w:pPr>
        <w:pStyle w:val="Section"/>
      </w:pPr>
      <w:r w:rsidRPr="00960D57">
        <w:t xml:space="preserve">Scoped </w:t>
      </w:r>
      <w:r w:rsidR="00084475">
        <w:t>Issue #</w:t>
      </w:r>
      <w:r w:rsidRPr="00960D57">
        <w:t>17</w:t>
      </w:r>
      <w:r w:rsidR="00B01C93">
        <w:t xml:space="preserve"> — </w:t>
      </w:r>
      <w:r w:rsidRPr="00960D57">
        <w:t>Consistency with Other Proceedings</w:t>
      </w:r>
    </w:p>
    <w:p w:rsidRPr="00960D57" w:rsidR="00F3390D" w:rsidP="00F3390D" w:rsidRDefault="00F3390D" w14:paraId="33C58E61" w14:textId="620B979A">
      <w:pPr>
        <w:pStyle w:val="CoL"/>
      </w:pPr>
      <w:r w:rsidRPr="00960D57">
        <w:t>Incorporating Commission</w:t>
      </w:r>
      <w:r w:rsidR="00270999">
        <w:noBreakHyphen/>
      </w:r>
      <w:r w:rsidRPr="00960D57">
        <w:t>approved rate changes from other proceedings or advice letters into final rates adopted here is reasonable and within Commission authority.</w:t>
      </w:r>
    </w:p>
    <w:p w:rsidRPr="00960D57" w:rsidR="00F3390D" w:rsidP="004463BC" w:rsidRDefault="00F3390D" w14:paraId="0803699F" w14:textId="2D48658D">
      <w:pPr>
        <w:pStyle w:val="Section"/>
      </w:pPr>
      <w:r w:rsidRPr="00960D57">
        <w:t xml:space="preserve">Scoped </w:t>
      </w:r>
      <w:r w:rsidR="00084475">
        <w:t>Issue #</w:t>
      </w:r>
      <w:r w:rsidRPr="00960D57">
        <w:t>18</w:t>
      </w:r>
      <w:r w:rsidR="00B01C93">
        <w:t xml:space="preserve"> — </w:t>
      </w:r>
      <w:r w:rsidRPr="00960D57">
        <w:t>Updated Escalation Factors</w:t>
      </w:r>
    </w:p>
    <w:p w:rsidRPr="00960D57" w:rsidR="00F3390D" w:rsidP="00F3390D" w:rsidRDefault="00F91A66" w14:paraId="345D9E6E" w14:textId="0AE97374">
      <w:pPr>
        <w:pStyle w:val="CoL"/>
      </w:pPr>
      <w:bookmarkStart w:name="_Hlk215569429" w:id="203"/>
      <w:r w:rsidRPr="00960D57">
        <w:t xml:space="preserve">Using the escalation factors adopted in this proceeding, as supported by the evidentiary record and consistent with </w:t>
      </w:r>
      <w:r w:rsidR="003A5B7D">
        <w:t>Pub. Util.</w:t>
      </w:r>
      <w:r w:rsidRPr="00960D57">
        <w:t xml:space="preserve"> Code requirements for just and reasonable rates, is reasonable for calculating the final revenue requirement and rates.</w:t>
      </w:r>
    </w:p>
    <w:p w:rsidRPr="00960D57" w:rsidR="00F3390D" w:rsidP="004463BC" w:rsidRDefault="00F3390D" w14:paraId="057AC64F" w14:textId="4D6CA5C4">
      <w:pPr>
        <w:pStyle w:val="Section"/>
      </w:pPr>
      <w:bookmarkStart w:name="_Hlk215570305" w:id="204"/>
      <w:bookmarkEnd w:id="203"/>
      <w:r w:rsidRPr="00960D57">
        <w:t xml:space="preserve">Scoped </w:t>
      </w:r>
      <w:r w:rsidR="00084475">
        <w:t>Issue #</w:t>
      </w:r>
      <w:r w:rsidRPr="00960D57">
        <w:t>19</w:t>
      </w:r>
      <w:r w:rsidR="00B01C93">
        <w:t xml:space="preserve"> — </w:t>
      </w:r>
      <w:r w:rsidRPr="00960D57">
        <w:t>Labor Escalators</w:t>
      </w:r>
    </w:p>
    <w:p w:rsidRPr="004463BC" w:rsidR="0060116A" w:rsidP="0060116A" w:rsidRDefault="0060116A" w14:paraId="61E2FF86" w14:textId="21E2746E">
      <w:pPr>
        <w:pStyle w:val="CoL"/>
        <w:rPr>
          <w:bCs/>
        </w:rPr>
      </w:pPr>
      <w:r w:rsidRPr="009E106F">
        <w:rPr>
          <w:rStyle w:val="Strong"/>
          <w:b w:val="0"/>
        </w:rPr>
        <w:t>It is reasonable to calculate</w:t>
      </w:r>
      <w:r w:rsidR="00F669E8">
        <w:rPr>
          <w:rStyle w:val="Strong"/>
          <w:b w:val="0"/>
        </w:rPr>
        <w:t xml:space="preserve"> Test Y</w:t>
      </w:r>
      <w:r w:rsidRPr="009E106F" w:rsidR="00F669E8">
        <w:rPr>
          <w:rStyle w:val="Strong"/>
          <w:b w:val="0"/>
        </w:rPr>
        <w:t xml:space="preserve">ear </w:t>
      </w:r>
      <w:r w:rsidRPr="009E106F">
        <w:rPr>
          <w:rStyle w:val="Strong"/>
          <w:b w:val="0"/>
        </w:rPr>
        <w:t xml:space="preserve">payroll expenses using the binding </w:t>
      </w:r>
      <w:r w:rsidR="00C4159B">
        <w:rPr>
          <w:rStyle w:val="Strong"/>
          <w:b w:val="0"/>
        </w:rPr>
        <w:t xml:space="preserve">contractual </w:t>
      </w:r>
      <w:r w:rsidRPr="009E106F">
        <w:rPr>
          <w:rStyle w:val="Strong"/>
          <w:b w:val="0"/>
        </w:rPr>
        <w:t xml:space="preserve">wage increases specified in </w:t>
      </w:r>
      <w:r w:rsidR="00EB50F8">
        <w:rPr>
          <w:rStyle w:val="Strong"/>
          <w:b w:val="0"/>
        </w:rPr>
        <w:t>Cal Water</w:t>
      </w:r>
      <w:r w:rsidR="000C0896">
        <w:rPr>
          <w:rStyle w:val="Strong"/>
          <w:b w:val="0"/>
        </w:rPr>
        <w:t>’</w:t>
      </w:r>
      <w:r w:rsidRPr="009E106F">
        <w:rPr>
          <w:rStyle w:val="Strong"/>
          <w:b w:val="0"/>
        </w:rPr>
        <w:t xml:space="preserve">s </w:t>
      </w:r>
      <w:r w:rsidR="00D16A62">
        <w:rPr>
          <w:rStyle w:val="Strong"/>
          <w:b w:val="0"/>
        </w:rPr>
        <w:t>CBA</w:t>
      </w:r>
      <w:r w:rsidRPr="009E106F">
        <w:rPr>
          <w:rStyle w:val="Strong"/>
          <w:b w:val="0"/>
        </w:rPr>
        <w:t>s because those increases represent known, measurable, and non</w:t>
      </w:r>
      <w:r w:rsidR="00270999">
        <w:rPr>
          <w:rStyle w:val="Strong"/>
          <w:b w:val="0"/>
        </w:rPr>
        <w:noBreakHyphen/>
      </w:r>
      <w:r w:rsidRPr="009E106F">
        <w:rPr>
          <w:rStyle w:val="Strong"/>
          <w:b w:val="0"/>
        </w:rPr>
        <w:t>discretionary labor costs.</w:t>
      </w:r>
      <w:r w:rsidR="00F669E8">
        <w:rPr>
          <w:rStyle w:val="Strong"/>
          <w:b w:val="0"/>
        </w:rPr>
        <w:t xml:space="preserve"> </w:t>
      </w:r>
      <w:r w:rsidRPr="00F669E8" w:rsidR="00F669E8">
        <w:rPr>
          <w:bCs/>
        </w:rPr>
        <w:t>It is further reasonable to calculate escalation and attrition year labor expenses using the adopted inflation indices, consistent with the Rate Case Plan.</w:t>
      </w:r>
    </w:p>
    <w:bookmarkEnd w:id="204"/>
    <w:p w:rsidRPr="00960D57" w:rsidR="00F3390D" w:rsidP="00BA2898" w:rsidRDefault="00F3390D" w14:paraId="0D8CE5F2" w14:textId="5C203E59">
      <w:pPr>
        <w:pStyle w:val="Section"/>
      </w:pPr>
      <w:r w:rsidRPr="00960D57">
        <w:lastRenderedPageBreak/>
        <w:t xml:space="preserve">Scoped </w:t>
      </w:r>
      <w:r w:rsidR="00084475">
        <w:t>Issue #</w:t>
      </w:r>
      <w:r w:rsidRPr="00960D57">
        <w:t>20</w:t>
      </w:r>
      <w:r w:rsidR="00B01C93">
        <w:t xml:space="preserve"> — </w:t>
      </w:r>
      <w:r w:rsidRPr="00960D57">
        <w:t>Amortization of Existing Accounts</w:t>
      </w:r>
    </w:p>
    <w:p w:rsidRPr="00960D57" w:rsidR="00F3390D" w:rsidP="00F3390D" w:rsidRDefault="00F3390D" w14:paraId="71E8E4F9" w14:textId="77777777">
      <w:pPr>
        <w:pStyle w:val="CoL"/>
      </w:pPr>
      <w:r w:rsidRPr="00960D57">
        <w:t>Recovery of CEMA costs is authorized only for incremental expenditures associated with declared disasters and remains subject to reasonableness review.</w:t>
      </w:r>
    </w:p>
    <w:p w:rsidRPr="00960D57" w:rsidR="00F3390D" w:rsidP="00F3390D" w:rsidRDefault="0084116A" w14:paraId="7811344D" w14:textId="50D5E623">
      <w:pPr>
        <w:pStyle w:val="CoL"/>
      </w:pPr>
      <w:r w:rsidRPr="0084116A">
        <w:t>G</w:t>
      </w:r>
      <w:r>
        <w:t xml:space="preserve">eneral Order </w:t>
      </w:r>
      <w:r w:rsidRPr="0084116A">
        <w:t>96-B</w:t>
      </w:r>
      <w:r>
        <w:t xml:space="preserve"> requires Tier 1 advice letters for amortization of memorandum accounts and Tier 3 advice letters for amortization of balancing accounts. </w:t>
      </w:r>
      <w:r w:rsidR="00EB50F8">
        <w:t>Cal Water</w:t>
      </w:r>
      <w:r w:rsidR="000C0896">
        <w:t>’</w:t>
      </w:r>
      <w:r w:rsidRPr="00960D57" w:rsidR="00F3390D">
        <w:t xml:space="preserve">s proposed amortization of verified balances in CEMA, PSPS MA, ALMA, and </w:t>
      </w:r>
      <w:r w:rsidR="00583411">
        <w:t>DWFBA</w:t>
      </w:r>
      <w:r w:rsidRPr="00960D57" w:rsidR="00F3390D">
        <w:t xml:space="preserve"> through </w:t>
      </w:r>
      <w:r w:rsidR="00EB50F8">
        <w:t>Tier 3</w:t>
      </w:r>
      <w:r w:rsidRPr="00960D57" w:rsidR="00D26DBF">
        <w:t xml:space="preserve"> </w:t>
      </w:r>
      <w:r w:rsidR="00752B5D">
        <w:t>advice letter</w:t>
      </w:r>
      <w:r w:rsidRPr="00960D57" w:rsidR="00F3390D">
        <w:t>s</w:t>
      </w:r>
      <w:r w:rsidR="00583411">
        <w:t>, an</w:t>
      </w:r>
      <w:r w:rsidR="00DD7775">
        <w:t>d</w:t>
      </w:r>
      <w:r w:rsidR="00583411">
        <w:t xml:space="preserve"> the PCBA, HCBA, and General District Balancing Account through Tier 1 advice letters,</w:t>
      </w:r>
      <w:r w:rsidRPr="00960D57" w:rsidR="00F3390D">
        <w:t xml:space="preserve"> within 90 days of a final decision is reasonable and in the public interest.</w:t>
      </w:r>
    </w:p>
    <w:p w:rsidRPr="00960D57" w:rsidR="00F3390D" w:rsidP="00BA2898" w:rsidRDefault="00F3390D" w14:paraId="6E19BB11" w14:textId="5C04B69F">
      <w:pPr>
        <w:pStyle w:val="Section"/>
      </w:pPr>
      <w:r w:rsidRPr="00960D57">
        <w:t xml:space="preserve">Scoped </w:t>
      </w:r>
      <w:r w:rsidR="00084475">
        <w:t>Issue #</w:t>
      </w:r>
      <w:r w:rsidRPr="00960D57">
        <w:t>21</w:t>
      </w:r>
      <w:r w:rsidR="00B01C93">
        <w:t xml:space="preserve"> — </w:t>
      </w:r>
      <w:r w:rsidRPr="00960D57">
        <w:t>CEBA Reauthorization</w:t>
      </w:r>
    </w:p>
    <w:p w:rsidRPr="00960D57" w:rsidR="00F3390D" w:rsidP="00F3390D" w:rsidRDefault="00F3390D" w14:paraId="0468584A" w14:textId="06874A83">
      <w:pPr>
        <w:pStyle w:val="CoL"/>
      </w:pPr>
      <w:r w:rsidRPr="00960D57">
        <w:t>Limiting the CEBA to incremental, externally mandated conservation program expenditures is reasonable.</w:t>
      </w:r>
    </w:p>
    <w:p w:rsidRPr="00960D57" w:rsidR="00F3390D" w:rsidP="00F3390D" w:rsidRDefault="00F3390D" w14:paraId="109B0F33" w14:textId="4EED88E5">
      <w:pPr>
        <w:pStyle w:val="CoL"/>
      </w:pPr>
      <w:r w:rsidRPr="00960D57">
        <w:t>Reauthorizing CEBA for 2026</w:t>
      </w:r>
      <w:r w:rsidR="00270999">
        <w:noBreakHyphen/>
      </w:r>
      <w:r w:rsidRPr="00960D57">
        <w:t>2028 with clarified scope and reporting requirements is just, reasonable, and in the public interest.</w:t>
      </w:r>
    </w:p>
    <w:p w:rsidRPr="00960D57" w:rsidR="002D27D3" w:rsidP="002D27D3" w:rsidRDefault="000C1D36" w14:paraId="5B759C64" w14:textId="25A92307">
      <w:pPr>
        <w:pStyle w:val="CoL"/>
      </w:pPr>
      <w:r w:rsidRPr="00960D57">
        <w:t>It is reasonable to exclude routine, predictable conservation outreach, education, and marketing expenses from the CEBA because such costs are forecastable and should be recovered through base rates rather than through balancing</w:t>
      </w:r>
      <w:r w:rsidR="00270999">
        <w:noBreakHyphen/>
      </w:r>
      <w:r w:rsidRPr="00960D57">
        <w:t>account treatment</w:t>
      </w:r>
      <w:r w:rsidR="002D27D3">
        <w:t xml:space="preserve">; and it is also reasonable to require Cal Water to </w:t>
      </w:r>
      <w:r w:rsidRPr="00C3003B" w:rsidR="002D27D3">
        <w:t>provide a</w:t>
      </w:r>
      <w:r w:rsidR="002D27D3">
        <w:t xml:space="preserve"> CEBA</w:t>
      </w:r>
      <w:r w:rsidRPr="00C3003B" w:rsidR="002D27D3">
        <w:t xml:space="preserve"> status report as part of its witness-sponsored testimony in its </w:t>
      </w:r>
      <w:r w:rsidR="00F27172">
        <w:t xml:space="preserve">next </w:t>
      </w:r>
      <w:r w:rsidRPr="00C3003B" w:rsidR="002D27D3">
        <w:t>GRC</w:t>
      </w:r>
      <w:r w:rsidR="002D27D3">
        <w:t>.</w:t>
      </w:r>
    </w:p>
    <w:p w:rsidRPr="00960D57" w:rsidR="00F3390D" w:rsidP="00BA2898" w:rsidRDefault="00F3390D" w14:paraId="44FE206E" w14:textId="3BDEC6E1">
      <w:pPr>
        <w:pStyle w:val="Section"/>
      </w:pPr>
      <w:r w:rsidRPr="00960D57">
        <w:t xml:space="preserve">Scoped </w:t>
      </w:r>
      <w:r w:rsidR="00084475">
        <w:t>Issue #</w:t>
      </w:r>
      <w:r w:rsidRPr="00960D57">
        <w:t>22</w:t>
      </w:r>
      <w:r w:rsidR="00B01C93">
        <w:t xml:space="preserve"> — </w:t>
      </w:r>
      <w:r w:rsidRPr="00960D57">
        <w:t>LIBA</w:t>
      </w:r>
    </w:p>
    <w:p w:rsidRPr="00960D57" w:rsidR="00F3390D" w:rsidP="00F3390D" w:rsidRDefault="00F3390D" w14:paraId="6CE12E5C" w14:textId="77777777">
      <w:pPr>
        <w:pStyle w:val="CoL"/>
      </w:pPr>
      <w:r w:rsidRPr="00960D57">
        <w:t>Establishing the LIBA is reasonable where costs are largely outside utility control and materially uncertain.</w:t>
      </w:r>
    </w:p>
    <w:p w:rsidRPr="00960D57" w:rsidR="00F3390D" w:rsidP="00F3390D" w:rsidRDefault="00F3390D" w14:paraId="70273F2F" w14:textId="689B6FBF">
      <w:pPr>
        <w:pStyle w:val="CoL"/>
      </w:pPr>
      <w:r w:rsidRPr="00960D57">
        <w:t>It is reasonable to require that the LIBA will record only third</w:t>
      </w:r>
      <w:r w:rsidR="00270999">
        <w:noBreakHyphen/>
      </w:r>
      <w:r w:rsidRPr="00960D57">
        <w:t>party liability insurance premium expenses and exclude internal administrative or self</w:t>
      </w:r>
      <w:r w:rsidR="00270999">
        <w:noBreakHyphen/>
      </w:r>
      <w:r w:rsidRPr="00960D57">
        <w:t>insured reserve costs.</w:t>
      </w:r>
    </w:p>
    <w:p w:rsidRPr="00960D57" w:rsidR="00A11F97" w:rsidP="002D27D3" w:rsidRDefault="00F3390D" w14:paraId="54F02840" w14:textId="005143A9">
      <w:pPr>
        <w:pStyle w:val="CoL"/>
      </w:pPr>
      <w:r w:rsidRPr="00960D57">
        <w:lastRenderedPageBreak/>
        <w:t>It is reasonable to require that the LIBA operate symmetrically, with both under</w:t>
      </w:r>
      <w:r w:rsidR="00270999">
        <w:noBreakHyphen/>
      </w:r>
      <w:r w:rsidRPr="00960D57">
        <w:t xml:space="preserve"> and over</w:t>
      </w:r>
      <w:r w:rsidR="00270999">
        <w:noBreakHyphen/>
      </w:r>
      <w:r w:rsidRPr="00960D57">
        <w:t>collections amortized at 85</w:t>
      </w:r>
      <w:r w:rsidR="0032703D">
        <w:t> percent</w:t>
      </w:r>
      <w:r w:rsidRPr="00960D57">
        <w:t xml:space="preserve"> of the recorded balance</w:t>
      </w:r>
      <w:r w:rsidR="002D27D3">
        <w:t xml:space="preserve">; and it is also reasonable to require Cal Water to </w:t>
      </w:r>
      <w:r w:rsidRPr="00C3003B" w:rsidR="002D27D3">
        <w:t>provide a</w:t>
      </w:r>
      <w:r w:rsidR="002D27D3">
        <w:t xml:space="preserve"> LIBA</w:t>
      </w:r>
      <w:r w:rsidRPr="00C3003B" w:rsidR="002D27D3">
        <w:t xml:space="preserve"> status report as part of its witness-sponsored testimony in its </w:t>
      </w:r>
      <w:r w:rsidR="00F27172">
        <w:t>next</w:t>
      </w:r>
      <w:r w:rsidRPr="00C3003B" w:rsidR="002D27D3">
        <w:t xml:space="preserve"> GRC</w:t>
      </w:r>
      <w:r w:rsidR="002D27D3">
        <w:t>.</w:t>
      </w:r>
      <w:r w:rsidR="00BA678A">
        <w:t xml:space="preserve"> </w:t>
      </w:r>
      <w:r w:rsidRPr="00960D57">
        <w:t>Authorizing the LIBA under these conditions is in the public interest.</w:t>
      </w:r>
    </w:p>
    <w:p w:rsidRPr="00960D57" w:rsidR="00A11F97" w:rsidP="00BA2898" w:rsidRDefault="00A11F97" w14:paraId="6FC8A1A6" w14:textId="6C808CC3">
      <w:pPr>
        <w:pStyle w:val="Section"/>
      </w:pPr>
      <w:r w:rsidRPr="00960D57">
        <w:t xml:space="preserve">Scoped </w:t>
      </w:r>
      <w:r w:rsidR="00084475">
        <w:t>Issue #</w:t>
      </w:r>
      <w:r w:rsidRPr="00960D57">
        <w:t>23</w:t>
      </w:r>
      <w:r w:rsidR="00B01C93">
        <w:t xml:space="preserve"> — </w:t>
      </w:r>
      <w:r w:rsidRPr="00960D57">
        <w:t>WCRMA</w:t>
      </w:r>
    </w:p>
    <w:p w:rsidR="002D27D3" w:rsidP="002D27D3" w:rsidRDefault="00A11F97" w14:paraId="03838297" w14:textId="1ED271B8">
      <w:pPr>
        <w:pStyle w:val="CoL"/>
      </w:pPr>
      <w:r w:rsidRPr="00960D57">
        <w:t>Establishing the WCRMA is reasonable for unforeseen, externally driven contamination</w:t>
      </w:r>
      <w:r w:rsidR="00270999">
        <w:noBreakHyphen/>
      </w:r>
      <w:r w:rsidRPr="00960D57">
        <w:t>remediation costs</w:t>
      </w:r>
      <w:r w:rsidR="002D27D3">
        <w:t xml:space="preserve">; and it is also reasonable to require Cal Water to </w:t>
      </w:r>
      <w:r w:rsidRPr="00C3003B" w:rsidR="002D27D3">
        <w:t>provide a</w:t>
      </w:r>
      <w:r w:rsidR="002D27D3">
        <w:t xml:space="preserve"> WCRMA</w:t>
      </w:r>
      <w:r w:rsidRPr="00C3003B" w:rsidR="002D27D3">
        <w:t xml:space="preserve"> status report as part of its witness-sponsored testimony in its </w:t>
      </w:r>
      <w:r w:rsidR="00F27172">
        <w:t xml:space="preserve">next </w:t>
      </w:r>
      <w:r w:rsidRPr="00C3003B" w:rsidR="002D27D3">
        <w:t>GRC</w:t>
      </w:r>
      <w:r w:rsidR="00F27172">
        <w:t>.</w:t>
      </w:r>
    </w:p>
    <w:p w:rsidR="00651A66" w:rsidP="00A246D1" w:rsidRDefault="00A11F97" w14:paraId="4D1012C4" w14:textId="1E8A8972">
      <w:pPr>
        <w:pStyle w:val="CoL"/>
      </w:pPr>
      <w:r w:rsidRPr="00960D57">
        <w:t>The WCRMA is limited to incremental costs for investigation, cleanup, treatment, and third</w:t>
      </w:r>
      <w:r w:rsidR="00270999">
        <w:noBreakHyphen/>
      </w:r>
      <w:r w:rsidRPr="00960D57">
        <w:t>party recovery efforts and does not itself authorize recovery absent a subsequent filing and review.</w:t>
      </w:r>
    </w:p>
    <w:p w:rsidR="00651A66" w:rsidP="00A246D1" w:rsidRDefault="00A11F97" w14:paraId="7A2BFB88" w14:textId="5E9D3BD2">
      <w:pPr>
        <w:pStyle w:val="CoL"/>
      </w:pPr>
      <w:r w:rsidRPr="00960D57">
        <w:t>Requiring sub</w:t>
      </w:r>
      <w:r w:rsidR="00270999">
        <w:noBreakHyphen/>
      </w:r>
      <w:r w:rsidRPr="00960D57">
        <w:t xml:space="preserve">accounts by contaminant and district preserves transparency and proper cost </w:t>
      </w:r>
      <w:r w:rsidRPr="00960D57" w:rsidR="006049A4">
        <w:t>allocation</w:t>
      </w:r>
      <w:r w:rsidRPr="00960D57">
        <w:t xml:space="preserve"> and protects ratepayers.</w:t>
      </w:r>
    </w:p>
    <w:p w:rsidRPr="00960D57" w:rsidR="00A11F97" w:rsidP="00A246D1" w:rsidRDefault="00A246D1" w14:paraId="73396A6F" w14:textId="71CCDB7C">
      <w:pPr>
        <w:pStyle w:val="CoL"/>
      </w:pPr>
      <w:r>
        <w:t xml:space="preserve">The Commission should approve the WCRMA when it is determined, upon review, that such incremental costs were </w:t>
      </w:r>
      <w:r w:rsidRPr="00960D57">
        <w:t>unforeseen, externally driven contamination</w:t>
      </w:r>
      <w:r w:rsidR="00270999">
        <w:noBreakHyphen/>
      </w:r>
      <w:r w:rsidRPr="00960D57">
        <w:t>remediation costs</w:t>
      </w:r>
      <w:r w:rsidR="0054084A">
        <w:t>.</w:t>
      </w:r>
    </w:p>
    <w:p w:rsidRPr="00960D57" w:rsidR="00AC5DD2" w:rsidP="00BA2898" w:rsidRDefault="00AC5DD2" w14:paraId="1F093ABF" w14:textId="6F0437EA">
      <w:pPr>
        <w:pStyle w:val="Section"/>
      </w:pPr>
      <w:r w:rsidRPr="00960D57">
        <w:t>Additional Conclusions of Law</w:t>
      </w:r>
    </w:p>
    <w:p w:rsidRPr="00960D57" w:rsidR="00AC5DD2" w:rsidP="00A11F97" w:rsidRDefault="00AC5DD2" w14:paraId="5FA362A7" w14:textId="27ADDAB5">
      <w:pPr>
        <w:pStyle w:val="CoL"/>
      </w:pPr>
      <w:r w:rsidRPr="00960D57">
        <w:t>A.24</w:t>
      </w:r>
      <w:r w:rsidR="00270999">
        <w:noBreakHyphen/>
      </w:r>
      <w:r w:rsidRPr="00960D57">
        <w:t>07</w:t>
      </w:r>
      <w:r w:rsidR="00270999">
        <w:noBreakHyphen/>
      </w:r>
      <w:r w:rsidRPr="00960D57">
        <w:t>003 should be closed.</w:t>
      </w:r>
    </w:p>
    <w:p w:rsidR="00BB0243" w:rsidP="000A6E05" w:rsidRDefault="005939A5" w14:paraId="1B6DDD61" w14:textId="77777777">
      <w:pPr>
        <w:pStyle w:val="Mainex"/>
      </w:pPr>
      <w:bookmarkStart w:name="_Toc222305310" w:id="205"/>
      <w:bookmarkStart w:name="_Toc228294737" w:id="206"/>
      <w:r>
        <w:t>O</w:t>
      </w:r>
      <w:r w:rsidR="00722850">
        <w:t>RDER</w:t>
      </w:r>
      <w:bookmarkEnd w:id="205"/>
      <w:bookmarkEnd w:id="206"/>
    </w:p>
    <w:p w:rsidR="00BB0243" w:rsidP="005C0D4D" w:rsidRDefault="00BB0243" w14:paraId="60D2A555" w14:textId="77777777">
      <w:pPr>
        <w:pStyle w:val="Standard"/>
        <w:keepNext/>
      </w:pPr>
      <w:r w:rsidRPr="005C0D4D">
        <w:rPr>
          <w:b/>
          <w:bCs/>
        </w:rPr>
        <w:t>IT IS ORDERED</w:t>
      </w:r>
      <w:r>
        <w:t xml:space="preserve"> that:</w:t>
      </w:r>
    </w:p>
    <w:p w:rsidRPr="00AC5DD2" w:rsidR="00AC5DD2" w:rsidP="00BA2898" w:rsidRDefault="00AC5DD2" w14:paraId="1C991630" w14:textId="4D0259D3">
      <w:pPr>
        <w:pStyle w:val="Section"/>
      </w:pPr>
      <w:r>
        <w:t>General Orders</w:t>
      </w:r>
    </w:p>
    <w:p w:rsidR="6D30FB10" w:rsidP="005C58EC" w:rsidRDefault="0069458F" w14:paraId="3C5A6421" w14:textId="6F317AB6">
      <w:pPr>
        <w:pStyle w:val="OP"/>
        <w:rPr>
          <w:rFonts w:eastAsia="Book Antiqua" w:cs="Book Antiqua"/>
          <w:szCs w:val="26"/>
        </w:rPr>
      </w:pPr>
      <w:r w:rsidRPr="00C0278C">
        <w:t>Cal</w:t>
      </w:r>
      <w:r w:rsidR="00914F82">
        <w:t>ifornia</w:t>
      </w:r>
      <w:r w:rsidRPr="00C0278C">
        <w:t xml:space="preserve"> Water </w:t>
      </w:r>
      <w:r w:rsidRPr="00093796">
        <w:t>Service</w:t>
      </w:r>
      <w:r w:rsidRPr="00C0278C">
        <w:t xml:space="preserve"> Company is granted </w:t>
      </w:r>
      <w:r w:rsidR="00AE28C6">
        <w:t>$923,651,400</w:t>
      </w:r>
      <w:r w:rsidRPr="00A63D35">
        <w:t xml:space="preserve"> </w:t>
      </w:r>
      <w:r w:rsidR="00791A71">
        <w:t>(</w:t>
      </w:r>
      <w:r w:rsidR="005F7016">
        <w:rPr>
          <w:rFonts w:eastAsia="Times New Roman"/>
          <w:szCs w:val="20"/>
        </w:rPr>
        <w:t>a</w:t>
      </w:r>
      <w:r w:rsidR="00204566">
        <w:rPr>
          <w:rFonts w:eastAsia="Times New Roman"/>
          <w:szCs w:val="20"/>
        </w:rPr>
        <w:t> </w:t>
      </w:r>
      <w:r w:rsidRPr="00DA1D2C" w:rsidR="005F7016">
        <w:rPr>
          <w:rFonts w:eastAsia="Times New Roman"/>
          <w:szCs w:val="20"/>
        </w:rPr>
        <w:t>rate increase of</w:t>
      </w:r>
      <w:r w:rsidR="00791A71">
        <w:t xml:space="preserve"> </w:t>
      </w:r>
      <w:r w:rsidR="00AE28C6">
        <w:t>$90,503,500 or 10.9</w:t>
      </w:r>
      <w:r w:rsidR="002D1315">
        <w:t> </w:t>
      </w:r>
      <w:r w:rsidR="005F7016">
        <w:t>percent</w:t>
      </w:r>
      <w:r w:rsidR="00791A71">
        <w:t xml:space="preserve">) </w:t>
      </w:r>
      <w:r w:rsidRPr="00C0278C">
        <w:t xml:space="preserve">in </w:t>
      </w:r>
      <w:r w:rsidRPr="00C0278C" w:rsidR="005257F6">
        <w:t xml:space="preserve">total </w:t>
      </w:r>
      <w:r w:rsidRPr="00C0278C">
        <w:t>revenue requirement for Test Year 202</w:t>
      </w:r>
      <w:r w:rsidRPr="00C0278C" w:rsidR="005257F6">
        <w:t>6</w:t>
      </w:r>
      <w:r w:rsidRPr="00C0278C">
        <w:t xml:space="preserve"> in this </w:t>
      </w:r>
      <w:r w:rsidR="009C62DA">
        <w:t>G</w:t>
      </w:r>
      <w:r w:rsidRPr="00F57918" w:rsidR="009C62DA">
        <w:t xml:space="preserve">eneral </w:t>
      </w:r>
      <w:r w:rsidR="009C62DA">
        <w:t>R</w:t>
      </w:r>
      <w:r w:rsidRPr="00F57918" w:rsidR="009C62DA">
        <w:t xml:space="preserve">ate </w:t>
      </w:r>
      <w:r w:rsidR="009C62DA">
        <w:t>C</w:t>
      </w:r>
      <w:r w:rsidRPr="00F57918" w:rsidR="009C62DA">
        <w:t>ase</w:t>
      </w:r>
      <w:r w:rsidRPr="00C0278C" w:rsidR="009C62DA">
        <w:t xml:space="preserve"> </w:t>
      </w:r>
      <w:r w:rsidRPr="00C0278C">
        <w:t xml:space="preserve">and </w:t>
      </w:r>
      <w:r w:rsidR="00AE28C6">
        <w:t>$966,839,000</w:t>
      </w:r>
      <w:r w:rsidR="00791A71">
        <w:t xml:space="preserve"> (</w:t>
      </w:r>
      <w:r w:rsidR="005F7016">
        <w:rPr>
          <w:rFonts w:eastAsia="Times New Roman"/>
          <w:szCs w:val="20"/>
        </w:rPr>
        <w:t xml:space="preserve">a </w:t>
      </w:r>
      <w:r w:rsidRPr="00DA1D2C" w:rsidR="005F7016">
        <w:rPr>
          <w:rFonts w:eastAsia="Times New Roman"/>
          <w:szCs w:val="20"/>
        </w:rPr>
        <w:t>rate increase of</w:t>
      </w:r>
      <w:r w:rsidR="00791A71">
        <w:t xml:space="preserve"> </w:t>
      </w:r>
      <w:r w:rsidR="00AE28C6">
        <w:t xml:space="preserve">$43,187,600 or </w:t>
      </w:r>
      <w:r w:rsidR="00AE28C6">
        <w:lastRenderedPageBreak/>
        <w:t>4.7</w:t>
      </w:r>
      <w:r w:rsidR="002D1315">
        <w:t> </w:t>
      </w:r>
      <w:r w:rsidR="005F7016">
        <w:t>percent</w:t>
      </w:r>
      <w:r w:rsidR="00791A71">
        <w:t>)</w:t>
      </w:r>
      <w:r w:rsidRPr="00C0278C">
        <w:t xml:space="preserve"> and </w:t>
      </w:r>
      <w:r w:rsidR="00AE28C6">
        <w:t>$1,015,749,250</w:t>
      </w:r>
      <w:r w:rsidR="00791A71">
        <w:t xml:space="preserve"> (</w:t>
      </w:r>
      <w:r w:rsidR="005F7016">
        <w:rPr>
          <w:rFonts w:eastAsia="Times New Roman"/>
          <w:szCs w:val="20"/>
        </w:rPr>
        <w:t>a</w:t>
      </w:r>
      <w:r w:rsidR="00204566">
        <w:rPr>
          <w:rFonts w:eastAsia="Times New Roman"/>
          <w:szCs w:val="20"/>
        </w:rPr>
        <w:t> </w:t>
      </w:r>
      <w:r w:rsidRPr="00DA1D2C" w:rsidR="005F7016">
        <w:rPr>
          <w:rFonts w:eastAsia="Times New Roman"/>
          <w:szCs w:val="20"/>
        </w:rPr>
        <w:t>rate increase of</w:t>
      </w:r>
      <w:r w:rsidR="005F7016">
        <w:t xml:space="preserve"> </w:t>
      </w:r>
      <w:r w:rsidR="00AE28C6">
        <w:t>$48,910,300 or 5.1</w:t>
      </w:r>
      <w:r w:rsidR="002D1315">
        <w:t> </w:t>
      </w:r>
      <w:r w:rsidR="005F7016">
        <w:t>percent</w:t>
      </w:r>
      <w:r w:rsidR="00791A71">
        <w:t>)</w:t>
      </w:r>
      <w:r w:rsidRPr="00C0278C" w:rsidR="005257F6">
        <w:t xml:space="preserve"> </w:t>
      </w:r>
      <w:r w:rsidRPr="00C0278C">
        <w:t>for attrition years 202</w:t>
      </w:r>
      <w:r w:rsidRPr="00C0278C" w:rsidR="005257F6">
        <w:t>7</w:t>
      </w:r>
      <w:r w:rsidRPr="00C0278C">
        <w:t xml:space="preserve"> and 202</w:t>
      </w:r>
      <w:r w:rsidRPr="00C0278C" w:rsidR="005257F6">
        <w:t>8</w:t>
      </w:r>
      <w:r w:rsidRPr="00C0278C">
        <w:t>, respectively.</w:t>
      </w:r>
      <w:r w:rsidR="00AE28C6">
        <w:t xml:space="preserve"> </w:t>
      </w:r>
      <w:r w:rsidR="70898252">
        <w:t>The Adopted Revenue Changes b</w:t>
      </w:r>
      <w:r w:rsidR="00402F28">
        <w:t>y district</w:t>
      </w:r>
      <w:r w:rsidR="70898252">
        <w:t xml:space="preserve"> are </w:t>
      </w:r>
      <w:r w:rsidR="00AE28C6">
        <w:t xml:space="preserve">attached hereto as Appendix A and incorporated herein by reference. </w:t>
      </w:r>
      <w:r w:rsidR="00CE758C">
        <w:rPr>
          <w:rFonts w:eastAsia="Book Antiqua" w:cs="Book Antiqua"/>
          <w:szCs w:val="26"/>
        </w:rPr>
        <w:t xml:space="preserve">As to how these </w:t>
      </w:r>
      <w:r w:rsidR="00CE758C">
        <w:t xml:space="preserve">Adopted Revenue </w:t>
      </w:r>
      <w:r w:rsidRPr="0055528B" w:rsidR="00CE758C">
        <w:t>Changes</w:t>
      </w:r>
      <w:r w:rsidR="00CE758C">
        <w:t xml:space="preserve"> will impact customer bills, the attached </w:t>
      </w:r>
      <w:r w:rsidR="00CE758C">
        <w:rPr>
          <w:rFonts w:eastAsia="Book Antiqua" w:cs="Book Antiqua"/>
          <w:szCs w:val="26"/>
        </w:rPr>
        <w:t xml:space="preserve">Appendix </w:t>
      </w:r>
      <w:r w:rsidR="00AE28C6">
        <w:rPr>
          <w:rFonts w:eastAsia="Book Antiqua" w:cs="Book Antiqua"/>
          <w:szCs w:val="26"/>
        </w:rPr>
        <w:t xml:space="preserve">X </w:t>
      </w:r>
      <w:r w:rsidR="00CE758C">
        <w:rPr>
          <w:rFonts w:eastAsia="Book Antiqua" w:cs="Book Antiqua"/>
          <w:szCs w:val="26"/>
        </w:rPr>
        <w:t xml:space="preserve">contains details of the </w:t>
      </w:r>
      <w:r w:rsidR="00AE28C6">
        <w:rPr>
          <w:rFonts w:eastAsia="Book Antiqua" w:cs="Book Antiqua"/>
          <w:szCs w:val="26"/>
        </w:rPr>
        <w:t xml:space="preserve">average </w:t>
      </w:r>
      <w:r w:rsidRPr="2750161B" w:rsidR="6D30FB10">
        <w:rPr>
          <w:rFonts w:eastAsia="Book Antiqua" w:cs="Book Antiqua"/>
          <w:szCs w:val="26"/>
        </w:rPr>
        <w:t>bill impacts per district</w:t>
      </w:r>
      <w:r w:rsidR="00CE758C">
        <w:rPr>
          <w:rFonts w:eastAsia="Book Antiqua" w:cs="Book Antiqua"/>
          <w:szCs w:val="26"/>
        </w:rPr>
        <w:t>.</w:t>
      </w:r>
    </w:p>
    <w:p w:rsidR="00AC5DD2" w:rsidP="00093796" w:rsidRDefault="00AC5DD2" w14:paraId="44B17C73" w14:textId="583D9B77">
      <w:pPr>
        <w:pStyle w:val="OP"/>
      </w:pPr>
      <w:r w:rsidRPr="00AC5DD2">
        <w:t xml:space="preserve">The joint motion filed by California Water Service Company, Public Advocates Office, </w:t>
      </w:r>
      <w:r w:rsidRPr="00093796">
        <w:t>California</w:t>
      </w:r>
      <w:r w:rsidRPr="00AC5DD2">
        <w:t xml:space="preserve"> Water Association, and National Association of Water Companies on </w:t>
      </w:r>
      <w:r w:rsidR="0068306C">
        <w:t>August </w:t>
      </w:r>
      <w:r w:rsidRPr="00AC5DD2">
        <w:t xml:space="preserve">4, 2025, for adoption of their Partial Settlement Agreement (attached as </w:t>
      </w:r>
      <w:r w:rsidR="00546180">
        <w:t>Appendix </w:t>
      </w:r>
      <w:r w:rsidR="001947C4">
        <w:t>Y</w:t>
      </w:r>
      <w:r w:rsidRPr="00AC5DD2">
        <w:t>) is granted.</w:t>
      </w:r>
    </w:p>
    <w:p w:rsidR="003F1DEF" w:rsidP="003F1DEF" w:rsidRDefault="007F2BBB" w14:paraId="0BB3119F" w14:textId="0A291069">
      <w:pPr>
        <w:pStyle w:val="OP"/>
      </w:pPr>
      <w:r w:rsidRPr="007F2BBB">
        <w:t>California Water Service Company shall implement the adopted methodologies, accounting treatments, assumptions, and ratemaking determinations contained in this decision</w:t>
      </w:r>
      <w:r w:rsidR="00AE44B3">
        <w:t xml:space="preserve"> — </w:t>
      </w:r>
      <w:r>
        <w:t xml:space="preserve">and </w:t>
      </w:r>
      <w:r w:rsidR="005F7416">
        <w:t xml:space="preserve">which are </w:t>
      </w:r>
      <w:r>
        <w:t xml:space="preserve">listed in the attached </w:t>
      </w:r>
      <w:r w:rsidR="007A7AA8">
        <w:rPr>
          <w:rFonts w:cs="Arial"/>
          <w:szCs w:val="26"/>
        </w:rPr>
        <w:t>Result</w:t>
      </w:r>
      <w:r w:rsidR="009B1E9B">
        <w:rPr>
          <w:rFonts w:cs="Arial"/>
          <w:szCs w:val="26"/>
        </w:rPr>
        <w:t>s</w:t>
      </w:r>
      <w:r w:rsidR="007A7AA8">
        <w:rPr>
          <w:rFonts w:cs="Arial"/>
          <w:szCs w:val="26"/>
        </w:rPr>
        <w:t xml:space="preserve"> of Operations</w:t>
      </w:r>
      <w:r w:rsidR="00695434">
        <w:rPr>
          <w:rFonts w:cs="Arial"/>
          <w:szCs w:val="26"/>
        </w:rPr>
        <w:t xml:space="preserve"> Model </w:t>
      </w:r>
      <w:r w:rsidR="003F1DEF">
        <w:rPr>
          <w:rFonts w:cs="Arial"/>
          <w:szCs w:val="26"/>
        </w:rPr>
        <w:t xml:space="preserve">(RO Model) </w:t>
      </w:r>
      <w:r w:rsidR="00846546">
        <w:rPr>
          <w:rFonts w:cs="Arial"/>
          <w:szCs w:val="26"/>
        </w:rPr>
        <w:t>for each district</w:t>
      </w:r>
      <w:r w:rsidR="00AE44B3">
        <w:t xml:space="preserve"> — </w:t>
      </w:r>
      <w:r>
        <w:t xml:space="preserve">for </w:t>
      </w:r>
      <w:r w:rsidRPr="007F2BBB">
        <w:t>the duration of the 2026</w:t>
      </w:r>
      <w:r w:rsidR="00270999">
        <w:noBreakHyphen/>
      </w:r>
      <w:r w:rsidRPr="007F2BBB">
        <w:t xml:space="preserve">2028 </w:t>
      </w:r>
      <w:r w:rsidR="007A7AA8">
        <w:t>General Rate Case</w:t>
      </w:r>
      <w:r w:rsidRPr="007F2BBB">
        <w:t xml:space="preserve"> cycle, unless modified by subsequent order of the California Public Utilities Commission.</w:t>
      </w:r>
      <w:r w:rsidR="003F1DEF">
        <w:t xml:space="preserve"> </w:t>
      </w:r>
      <w:r w:rsidRPr="00707FB0" w:rsidR="003F1DEF">
        <w:t>The</w:t>
      </w:r>
      <w:r w:rsidR="003F1DEF">
        <w:t xml:space="preserve"> RO Models</w:t>
      </w:r>
      <w:r w:rsidRPr="00707FB0" w:rsidR="003F1DEF">
        <w:t xml:space="preserve"> </w:t>
      </w:r>
      <w:r w:rsidRPr="003F1DEF" w:rsidR="003F1DEF">
        <w:rPr>
          <w:rFonts w:cs="Arial"/>
          <w:szCs w:val="26"/>
        </w:rPr>
        <w:t xml:space="preserve">for each district </w:t>
      </w:r>
      <w:r w:rsidRPr="00707FB0" w:rsidR="003F1DEF">
        <w:t>are attached hereto and incorporated herein by reference</w:t>
      </w:r>
      <w:r w:rsidR="003F1DEF">
        <w:t>:</w:t>
      </w:r>
    </w:p>
    <w:p w:rsidR="008D72EE" w:rsidP="003F1DEF" w:rsidRDefault="008D72EE" w14:paraId="78888F0C" w14:textId="039AA178">
      <w:pPr>
        <w:pStyle w:val="OP1appendix"/>
        <w:keepNext/>
      </w:pPr>
      <w:r>
        <w:t>Appendix A</w:t>
      </w:r>
      <w:r>
        <w:tab/>
        <w:t>—</w:t>
      </w:r>
      <w:r>
        <w:tab/>
      </w:r>
      <w:r w:rsidRPr="001B66CE">
        <w:t>Adopted Revenue Changes, Escalation Rates, Adopted Pensions and Healthcare Benefits, and Subsequent Offsets</w:t>
      </w:r>
    </w:p>
    <w:p w:rsidRPr="0006566C" w:rsidR="003F1DEF" w:rsidP="003F1DEF" w:rsidRDefault="003F1DEF" w14:paraId="6FB7AAA5" w14:textId="0ABC6558">
      <w:pPr>
        <w:pStyle w:val="OP1appendix"/>
        <w:keepNext/>
      </w:pPr>
      <w:r>
        <w:t>Appendix </w:t>
      </w:r>
      <w:r w:rsidRPr="0006566C">
        <w:t>B</w:t>
      </w:r>
      <w:r>
        <w:tab/>
        <w:t>—</w:t>
      </w:r>
      <w:r>
        <w:tab/>
      </w:r>
      <w:r w:rsidRPr="0006566C">
        <w:t>Bakersfield District</w:t>
      </w:r>
    </w:p>
    <w:p w:rsidRPr="0006566C" w:rsidR="003F1DEF" w:rsidP="003F1DEF" w:rsidRDefault="003F1DEF" w14:paraId="741A6A62" w14:textId="77777777">
      <w:pPr>
        <w:pStyle w:val="OP1appendix"/>
        <w:rPr>
          <w:bCs w:val="0"/>
        </w:rPr>
      </w:pPr>
      <w:r>
        <w:t>Appendix </w:t>
      </w:r>
      <w:r w:rsidRPr="0006566C">
        <w:t>C</w:t>
      </w:r>
      <w:r>
        <w:rPr>
          <w:bCs w:val="0"/>
        </w:rPr>
        <w:tab/>
        <w:t>—</w:t>
      </w:r>
      <w:r>
        <w:rPr>
          <w:bCs w:val="0"/>
        </w:rPr>
        <w:tab/>
      </w:r>
      <w:r w:rsidRPr="0006566C">
        <w:t>Bay Area Region</w:t>
      </w:r>
    </w:p>
    <w:p w:rsidRPr="0006566C" w:rsidR="003F1DEF" w:rsidP="003F1DEF" w:rsidRDefault="003F1DEF" w14:paraId="347027EA" w14:textId="77777777">
      <w:pPr>
        <w:pStyle w:val="OP1appendix"/>
        <w:rPr>
          <w:bCs w:val="0"/>
        </w:rPr>
      </w:pPr>
      <w:r>
        <w:t>Appendix </w:t>
      </w:r>
      <w:r w:rsidRPr="0006566C">
        <w:t>D</w:t>
      </w:r>
      <w:r>
        <w:rPr>
          <w:bCs w:val="0"/>
        </w:rPr>
        <w:tab/>
        <w:t>—</w:t>
      </w:r>
      <w:r>
        <w:rPr>
          <w:bCs w:val="0"/>
        </w:rPr>
        <w:tab/>
      </w:r>
      <w:r w:rsidRPr="0006566C">
        <w:t>Bear Gulch District</w:t>
      </w:r>
    </w:p>
    <w:p w:rsidRPr="0006566C" w:rsidR="003F1DEF" w:rsidP="003F1DEF" w:rsidRDefault="003F1DEF" w14:paraId="4DB80EA7" w14:textId="77777777">
      <w:pPr>
        <w:pStyle w:val="OP1appendix"/>
        <w:rPr>
          <w:bCs w:val="0"/>
        </w:rPr>
      </w:pPr>
      <w:r>
        <w:t>Appendix </w:t>
      </w:r>
      <w:r w:rsidRPr="0006566C">
        <w:t>E</w:t>
      </w:r>
      <w:r>
        <w:rPr>
          <w:bCs w:val="0"/>
        </w:rPr>
        <w:tab/>
        <w:t>—</w:t>
      </w:r>
      <w:r>
        <w:rPr>
          <w:bCs w:val="0"/>
        </w:rPr>
        <w:tab/>
      </w:r>
      <w:r w:rsidRPr="0006566C">
        <w:t>Diablo Ranch Region</w:t>
      </w:r>
    </w:p>
    <w:p w:rsidRPr="0006566C" w:rsidR="003F1DEF" w:rsidP="003F1DEF" w:rsidRDefault="003F1DEF" w14:paraId="291703EC" w14:textId="77777777">
      <w:pPr>
        <w:pStyle w:val="OP1appendix"/>
      </w:pPr>
      <w:r>
        <w:t>Appendix </w:t>
      </w:r>
      <w:r w:rsidRPr="0006566C">
        <w:t>F</w:t>
      </w:r>
      <w:r>
        <w:tab/>
        <w:t>—</w:t>
      </w:r>
      <w:r>
        <w:tab/>
      </w:r>
      <w:r w:rsidRPr="0006566C">
        <w:t xml:space="preserve">East </w:t>
      </w:r>
      <w:r>
        <w:t>Los </w:t>
      </w:r>
      <w:r w:rsidRPr="0006566C">
        <w:t>Angeles District</w:t>
      </w:r>
    </w:p>
    <w:p w:rsidRPr="0006566C" w:rsidR="003F1DEF" w:rsidP="003F1DEF" w:rsidRDefault="003F1DEF" w14:paraId="72FE33BF" w14:textId="77777777">
      <w:pPr>
        <w:pStyle w:val="OP1appendix"/>
      </w:pPr>
      <w:r>
        <w:t>Appendix </w:t>
      </w:r>
      <w:r w:rsidRPr="0006566C">
        <w:t>G</w:t>
      </w:r>
      <w:r>
        <w:tab/>
        <w:t>—</w:t>
      </w:r>
      <w:r>
        <w:tab/>
      </w:r>
      <w:r w:rsidRPr="0006566C">
        <w:t>Kern River Valley District</w:t>
      </w:r>
    </w:p>
    <w:p w:rsidRPr="0006566C" w:rsidR="003F1DEF" w:rsidP="003F1DEF" w:rsidRDefault="003F1DEF" w14:paraId="1D141D60" w14:textId="77777777">
      <w:pPr>
        <w:pStyle w:val="OP1appendix"/>
      </w:pPr>
      <w:r>
        <w:t>Appendix </w:t>
      </w:r>
      <w:r w:rsidRPr="0006566C">
        <w:t>H</w:t>
      </w:r>
      <w:r>
        <w:tab/>
        <w:t>—</w:t>
      </w:r>
      <w:r>
        <w:tab/>
        <w:t>Los </w:t>
      </w:r>
      <w:r w:rsidRPr="0006566C">
        <w:t>Altos District</w:t>
      </w:r>
    </w:p>
    <w:p w:rsidRPr="0006566C" w:rsidR="003F1DEF" w:rsidP="003F1DEF" w:rsidRDefault="003F1DEF" w14:paraId="27B7B070" w14:textId="77777777">
      <w:pPr>
        <w:pStyle w:val="OP1appendix"/>
      </w:pPr>
      <w:r>
        <w:t>Appendix </w:t>
      </w:r>
      <w:r w:rsidRPr="0006566C">
        <w:t>I</w:t>
      </w:r>
      <w:r>
        <w:tab/>
        <w:t>—</w:t>
      </w:r>
      <w:r>
        <w:tab/>
        <w:t>Los </w:t>
      </w:r>
      <w:r w:rsidRPr="0006566C">
        <w:t>Angeles County Region</w:t>
      </w:r>
    </w:p>
    <w:p w:rsidRPr="0006566C" w:rsidR="003F1DEF" w:rsidP="003F1DEF" w:rsidRDefault="003F1DEF" w14:paraId="4CF873E1" w14:textId="77777777">
      <w:pPr>
        <w:pStyle w:val="OP1appendix"/>
      </w:pPr>
      <w:r>
        <w:t>Appendix </w:t>
      </w:r>
      <w:r w:rsidRPr="0006566C">
        <w:t>J</w:t>
      </w:r>
      <w:r>
        <w:tab/>
        <w:t>—</w:t>
      </w:r>
      <w:r>
        <w:tab/>
      </w:r>
      <w:r w:rsidRPr="0006566C">
        <w:t>Marysville District</w:t>
      </w:r>
    </w:p>
    <w:p w:rsidRPr="0006566C" w:rsidR="003F1DEF" w:rsidP="003F1DEF" w:rsidRDefault="003F1DEF" w14:paraId="72826B9B" w14:textId="77777777">
      <w:pPr>
        <w:pStyle w:val="OP1appendix"/>
      </w:pPr>
      <w:r>
        <w:t>Appendix </w:t>
      </w:r>
      <w:r w:rsidRPr="0006566C">
        <w:t>K</w:t>
      </w:r>
      <w:r>
        <w:tab/>
        <w:t>—</w:t>
      </w:r>
      <w:r>
        <w:tab/>
      </w:r>
      <w:r w:rsidRPr="0006566C">
        <w:t>North Valley Region</w:t>
      </w:r>
    </w:p>
    <w:p w:rsidRPr="0006566C" w:rsidR="003F1DEF" w:rsidP="003F1DEF" w:rsidRDefault="003F1DEF" w14:paraId="10671698" w14:textId="77777777">
      <w:pPr>
        <w:pStyle w:val="OP1appendix"/>
      </w:pPr>
      <w:r>
        <w:t>Appendix </w:t>
      </w:r>
      <w:r w:rsidRPr="0006566C">
        <w:t>L</w:t>
      </w:r>
      <w:r>
        <w:tab/>
        <w:t>—</w:t>
      </w:r>
      <w:r>
        <w:tab/>
      </w:r>
      <w:r w:rsidRPr="0006566C">
        <w:t>Palos Verdes Pipeline</w:t>
      </w:r>
    </w:p>
    <w:p w:rsidRPr="0006566C" w:rsidR="003F1DEF" w:rsidP="003F1DEF" w:rsidRDefault="003F1DEF" w14:paraId="5DDA6D4E" w14:textId="77777777">
      <w:pPr>
        <w:pStyle w:val="OP1appendix"/>
      </w:pPr>
      <w:r>
        <w:lastRenderedPageBreak/>
        <w:t>Appendix </w:t>
      </w:r>
      <w:r w:rsidRPr="0006566C">
        <w:t>M</w:t>
      </w:r>
      <w:r>
        <w:tab/>
        <w:t>—</w:t>
      </w:r>
      <w:r>
        <w:tab/>
      </w:r>
      <w:r w:rsidRPr="0006566C">
        <w:t>Salinas Valley Region</w:t>
      </w:r>
    </w:p>
    <w:p w:rsidRPr="0006566C" w:rsidR="003F1DEF" w:rsidP="003F1DEF" w:rsidRDefault="003F1DEF" w14:paraId="1FA029FF" w14:textId="77777777">
      <w:pPr>
        <w:pStyle w:val="OP1appendix"/>
      </w:pPr>
      <w:r>
        <w:t>Appendix </w:t>
      </w:r>
      <w:r w:rsidRPr="0006566C">
        <w:t>N</w:t>
      </w:r>
      <w:r>
        <w:tab/>
        <w:t>—</w:t>
      </w:r>
      <w:r>
        <w:tab/>
      </w:r>
      <w:r w:rsidRPr="0006566C">
        <w:t>Selma District</w:t>
      </w:r>
    </w:p>
    <w:p w:rsidRPr="0006566C" w:rsidR="003F1DEF" w:rsidP="003F1DEF" w:rsidRDefault="003F1DEF" w14:paraId="5E77DB40" w14:textId="77777777">
      <w:pPr>
        <w:pStyle w:val="OP1appendix"/>
      </w:pPr>
      <w:r>
        <w:t>Appendix </w:t>
      </w:r>
      <w:r w:rsidRPr="0006566C">
        <w:t>O</w:t>
      </w:r>
      <w:r>
        <w:tab/>
        <w:t>—</w:t>
      </w:r>
      <w:r>
        <w:tab/>
      </w:r>
      <w:r w:rsidRPr="0006566C">
        <w:t>South Bay Region</w:t>
      </w:r>
    </w:p>
    <w:p w:rsidRPr="0006566C" w:rsidR="003F1DEF" w:rsidP="003F1DEF" w:rsidRDefault="003F1DEF" w14:paraId="37230842" w14:textId="77777777">
      <w:pPr>
        <w:pStyle w:val="OP1appendix"/>
      </w:pPr>
      <w:r>
        <w:t>Appendix </w:t>
      </w:r>
      <w:r w:rsidRPr="0006566C">
        <w:t>P</w:t>
      </w:r>
      <w:r>
        <w:tab/>
        <w:t>—</w:t>
      </w:r>
      <w:r>
        <w:tab/>
      </w:r>
      <w:r w:rsidRPr="0006566C">
        <w:t>Stockton Region</w:t>
      </w:r>
    </w:p>
    <w:p w:rsidRPr="0006566C" w:rsidR="003F1DEF" w:rsidP="003F1DEF" w:rsidRDefault="003F1DEF" w14:paraId="560095EE" w14:textId="77777777">
      <w:pPr>
        <w:pStyle w:val="OP1appendix"/>
      </w:pPr>
      <w:r>
        <w:t>Appendix </w:t>
      </w:r>
      <w:r w:rsidRPr="0006566C">
        <w:t>Q</w:t>
      </w:r>
      <w:r>
        <w:tab/>
        <w:t>—</w:t>
      </w:r>
      <w:r>
        <w:tab/>
      </w:r>
      <w:r w:rsidRPr="0006566C">
        <w:t>Travis District</w:t>
      </w:r>
    </w:p>
    <w:p w:rsidRPr="0006566C" w:rsidR="003F1DEF" w:rsidP="003F1DEF" w:rsidRDefault="003F1DEF" w14:paraId="6F84B003" w14:textId="77777777">
      <w:pPr>
        <w:pStyle w:val="OP1appendix"/>
      </w:pPr>
      <w:r>
        <w:t>Appendix </w:t>
      </w:r>
      <w:r w:rsidRPr="0006566C">
        <w:t>R</w:t>
      </w:r>
      <w:r>
        <w:tab/>
        <w:t>—</w:t>
      </w:r>
      <w:r>
        <w:tab/>
      </w:r>
      <w:r w:rsidRPr="0006566C">
        <w:t>Visalia District</w:t>
      </w:r>
    </w:p>
    <w:p w:rsidRPr="0006566C" w:rsidR="003F1DEF" w:rsidP="003F1DEF" w:rsidRDefault="003F1DEF" w14:paraId="50615A26" w14:textId="77777777">
      <w:pPr>
        <w:pStyle w:val="OP1appendix"/>
      </w:pPr>
      <w:r>
        <w:t>Appendix </w:t>
      </w:r>
      <w:r w:rsidRPr="0006566C">
        <w:t>S</w:t>
      </w:r>
      <w:r>
        <w:tab/>
        <w:t>—</w:t>
      </w:r>
      <w:r>
        <w:tab/>
      </w:r>
      <w:r w:rsidRPr="0006566C">
        <w:t>Westlake District</w:t>
      </w:r>
    </w:p>
    <w:p w:rsidR="003F1DEF" w:rsidP="005C58EC" w:rsidRDefault="003F1DEF" w14:paraId="2BEDA62F" w14:textId="1442780B">
      <w:pPr>
        <w:pStyle w:val="OP1appendix"/>
      </w:pPr>
      <w:r>
        <w:t>Appendix </w:t>
      </w:r>
      <w:r w:rsidRPr="0006566C">
        <w:t>T</w:t>
      </w:r>
      <w:r>
        <w:tab/>
        <w:t>—</w:t>
      </w:r>
      <w:r>
        <w:tab/>
      </w:r>
      <w:r w:rsidRPr="0006566C">
        <w:t>Willows District</w:t>
      </w:r>
    </w:p>
    <w:p w:rsidR="00AE28C6" w:rsidP="001A0D50" w:rsidRDefault="00AE28C6" w14:paraId="55D414BF" w14:textId="39D308B5">
      <w:pPr>
        <w:pStyle w:val="OP1appendix"/>
      </w:pPr>
      <w:r>
        <w:t>Appendix U</w:t>
      </w:r>
      <w:r>
        <w:tab/>
        <w:t>—</w:t>
      </w:r>
      <w:r>
        <w:tab/>
        <w:t>Customer Support Services</w:t>
      </w:r>
    </w:p>
    <w:p w:rsidR="002942B4" w:rsidP="002942B4" w:rsidRDefault="002942B4" w14:paraId="7A75315D" w14:textId="2BDD4BE7">
      <w:pPr>
        <w:pStyle w:val="OP1appendix"/>
      </w:pPr>
      <w:r>
        <w:t>Appendix V</w:t>
      </w:r>
      <w:r w:rsidRPr="00321ECB">
        <w:tab/>
        <w:t>—</w:t>
      </w:r>
      <w:r w:rsidRPr="00A24983">
        <w:tab/>
      </w:r>
      <w:r>
        <w:t xml:space="preserve">Depreciation </w:t>
      </w:r>
      <w:r w:rsidR="00AE28C6">
        <w:t>Tables</w:t>
      </w:r>
    </w:p>
    <w:p w:rsidR="002942B4" w:rsidP="005C58EC" w:rsidRDefault="002942B4" w14:paraId="5DE8E13A" w14:textId="3F1DA75B">
      <w:pPr>
        <w:pStyle w:val="OP1appendix"/>
        <w:spacing w:after="240"/>
      </w:pPr>
      <w:r>
        <w:t>Appendix W</w:t>
      </w:r>
      <w:r w:rsidRPr="00321ECB">
        <w:tab/>
        <w:t>—</w:t>
      </w:r>
      <w:r w:rsidRPr="00A24983">
        <w:tab/>
      </w:r>
      <w:r>
        <w:t>Plant Tables</w:t>
      </w:r>
    </w:p>
    <w:p w:rsidRPr="007F2BBB" w:rsidR="007F2BBB" w:rsidP="00963065" w:rsidRDefault="007F2BBB" w14:paraId="58D991D8" w14:textId="334F1914">
      <w:pPr>
        <w:pStyle w:val="OP"/>
      </w:pPr>
      <w:r w:rsidRPr="007F2BBB">
        <w:t xml:space="preserve">Within 60 days of the issuance of this decision, California Water Service Company </w:t>
      </w:r>
      <w:r w:rsidR="00963065">
        <w:t>(Cal</w:t>
      </w:r>
      <w:r w:rsidR="00B66B0E">
        <w:t> </w:t>
      </w:r>
      <w:r w:rsidR="00963065">
        <w:t xml:space="preserve">Water) </w:t>
      </w:r>
      <w:r w:rsidRPr="007F2BBB">
        <w:t xml:space="preserve">shall </w:t>
      </w:r>
      <w:r w:rsidR="005820F9">
        <w:t>submit</w:t>
      </w:r>
      <w:r w:rsidRPr="007F2BBB">
        <w:t xml:space="preserve"> a </w:t>
      </w:r>
      <w:r w:rsidR="00042C94">
        <w:t>Tier 1</w:t>
      </w:r>
      <w:r w:rsidRPr="007F2BBB">
        <w:t xml:space="preserve"> </w:t>
      </w:r>
      <w:r w:rsidR="00752B5D">
        <w:t>advice letter</w:t>
      </w:r>
      <w:r w:rsidRPr="007F2BBB">
        <w:t xml:space="preserve"> implementing all adopted revenue</w:t>
      </w:r>
      <w:r w:rsidR="001C5949">
        <w:t xml:space="preserve"> </w:t>
      </w:r>
      <w:r w:rsidRPr="007F2BBB">
        <w:t>requirement, capital</w:t>
      </w:r>
      <w:r w:rsidR="001C5949">
        <w:t xml:space="preserve"> </w:t>
      </w:r>
      <w:r w:rsidRPr="007F2BBB">
        <w:t>budget, and rate</w:t>
      </w:r>
      <w:r w:rsidR="001C5949">
        <w:t xml:space="preserve"> </w:t>
      </w:r>
      <w:r w:rsidRPr="007F2BBB">
        <w:t>design determinations.</w:t>
      </w:r>
    </w:p>
    <w:p w:rsidRPr="00DF72E5" w:rsidR="00DF72E5" w:rsidP="001905AD" w:rsidRDefault="00DF72E5" w14:paraId="11C2046F" w14:textId="25B5AF61">
      <w:pPr>
        <w:pStyle w:val="Section"/>
      </w:pPr>
      <w:r w:rsidRPr="00DF72E5">
        <w:t xml:space="preserve">Scoped </w:t>
      </w:r>
      <w:r w:rsidR="00084475">
        <w:t>Issue #</w:t>
      </w:r>
      <w:r w:rsidRPr="00DF72E5">
        <w:t>1</w:t>
      </w:r>
      <w:r w:rsidR="00AE44B3">
        <w:t> </w:t>
      </w:r>
      <w:r w:rsidRPr="00DF72E5">
        <w:t>— General Office Expenses, Depreciation, Property Taxes, and Overhead Allocations</w:t>
      </w:r>
    </w:p>
    <w:p w:rsidRPr="00960D57" w:rsidR="001D3D2B" w:rsidP="009D2C55" w:rsidRDefault="00DF72E5" w14:paraId="7E43F100" w14:textId="5686EDE9">
      <w:pPr>
        <w:pStyle w:val="OP"/>
      </w:pPr>
      <w:r w:rsidRPr="00960D57">
        <w:t>California Water Service Company shall apply escalation factors and inflation assumptions that reflect verified indices and historical averages</w:t>
      </w:r>
      <w:r w:rsidRPr="00960D57" w:rsidR="001D3D2B">
        <w:t xml:space="preserve"> and </w:t>
      </w:r>
      <w:r w:rsidRPr="00960D57" w:rsidR="00DF5632">
        <w:t>adopted</w:t>
      </w:r>
      <w:r w:rsidRPr="00960D57" w:rsidR="001D3D2B">
        <w:t xml:space="preserve"> in </w:t>
      </w:r>
      <w:r w:rsidR="00DD056F">
        <w:t>Section </w:t>
      </w:r>
      <w:r w:rsidRPr="00960D57" w:rsidR="001D3D2B">
        <w:t>4.1. of the decision above and</w:t>
      </w:r>
      <w:r w:rsidRPr="00960D57">
        <w:t xml:space="preserve"> consistent with the methodology proposed by the Public Advocates Offic</w:t>
      </w:r>
      <w:r w:rsidRPr="00960D57" w:rsidR="006A5423">
        <w:t>e</w:t>
      </w:r>
      <w:r w:rsidR="007A7AA8">
        <w:t xml:space="preserve"> of the California Public Utilities Commission (Commission)</w:t>
      </w:r>
      <w:r w:rsidRPr="00960D57" w:rsidR="006A5423">
        <w:t>.</w:t>
      </w:r>
      <w:r w:rsidRPr="00960D57" w:rsidR="00D82963">
        <w:t xml:space="preserve"> The Commission will use the most recent Commission labor and non</w:t>
      </w:r>
      <w:r w:rsidR="00270999">
        <w:noBreakHyphen/>
      </w:r>
      <w:r w:rsidRPr="00960D57" w:rsidR="00D82963">
        <w:t>labor escalation memo</w:t>
      </w:r>
      <w:r w:rsidR="00C31ACD">
        <w:t>randum</w:t>
      </w:r>
      <w:r w:rsidRPr="00960D57" w:rsidR="00D82963">
        <w:t xml:space="preserve"> factors </w:t>
      </w:r>
      <w:r w:rsidR="00C31ACD">
        <w:t>(</w:t>
      </w:r>
      <w:r w:rsidRPr="002F0EF0" w:rsidR="004A166C">
        <w:rPr>
          <w:i/>
          <w:iCs/>
        </w:rPr>
        <w:t>i.e.</w:t>
      </w:r>
      <w:r w:rsidR="004A166C">
        <w:t xml:space="preserve">, the memo factors prepared </w:t>
      </w:r>
      <w:r w:rsidR="00C31ACD">
        <w:t xml:space="preserve">pursuant to </w:t>
      </w:r>
      <w:r w:rsidRPr="00B46883" w:rsidR="00B46883">
        <w:t>the Commission’s Water Rate Case Plan, D</w:t>
      </w:r>
      <w:r w:rsidR="00C31ACD">
        <w:t>ecision</w:t>
      </w:r>
      <w:r w:rsidR="005F665C">
        <w:t> </w:t>
      </w:r>
      <w:r w:rsidRPr="00B46883" w:rsidR="00B46883">
        <w:t>07</w:t>
      </w:r>
      <w:r w:rsidR="00270999">
        <w:noBreakHyphen/>
      </w:r>
      <w:r w:rsidRPr="00B46883" w:rsidR="00B46883">
        <w:t>05</w:t>
      </w:r>
      <w:r w:rsidR="00270999">
        <w:noBreakHyphen/>
      </w:r>
      <w:r w:rsidRPr="00B46883" w:rsidR="00B46883">
        <w:t>062</w:t>
      </w:r>
      <w:r w:rsidR="00C31ACD">
        <w:t xml:space="preserve">) </w:t>
      </w:r>
      <w:r w:rsidRPr="00960D57" w:rsidR="00D82963">
        <w:t>available at the time the R</w:t>
      </w:r>
      <w:r w:rsidR="007A7AA8">
        <w:t xml:space="preserve">esults of </w:t>
      </w:r>
      <w:r w:rsidRPr="00960D57" w:rsidR="00D82963">
        <w:t>O</w:t>
      </w:r>
      <w:r w:rsidR="007A7AA8">
        <w:t>perations</w:t>
      </w:r>
      <w:r w:rsidRPr="00960D57" w:rsidR="00D82963">
        <w:t xml:space="preserve"> Model is finalized to calculate escalation</w:t>
      </w:r>
      <w:r w:rsidR="00270999">
        <w:noBreakHyphen/>
      </w:r>
      <w:r w:rsidRPr="00960D57" w:rsidR="00D82963">
        <w:t xml:space="preserve">year </w:t>
      </w:r>
      <w:r w:rsidRPr="00E523C4" w:rsidR="007A7AA8">
        <w:t xml:space="preserve">operation and maintenance (O&amp;M) and administrative and general </w:t>
      </w:r>
      <w:r w:rsidRPr="00960D57" w:rsidR="00D82963">
        <w:t>expenses and capital</w:t>
      </w:r>
      <w:r w:rsidR="00270999">
        <w:noBreakHyphen/>
      </w:r>
      <w:r w:rsidRPr="00960D57" w:rsidR="00D82963">
        <w:t>related costs, except that production</w:t>
      </w:r>
      <w:r w:rsidR="00270999">
        <w:noBreakHyphen/>
      </w:r>
      <w:r w:rsidRPr="00960D57" w:rsidR="00D82963">
        <w:t>related costs subject to balancing</w:t>
      </w:r>
      <w:r w:rsidR="00270999">
        <w:noBreakHyphen/>
      </w:r>
      <w:r w:rsidRPr="00960D57" w:rsidR="00D82963">
        <w:t>account treatment or purveyor tariffs shall be modeled using the adopted balancing</w:t>
      </w:r>
      <w:r w:rsidR="00270999">
        <w:noBreakHyphen/>
      </w:r>
      <w:r w:rsidRPr="00960D57" w:rsidR="00D82963">
        <w:t xml:space="preserve">account structures and </w:t>
      </w:r>
      <w:r w:rsidRPr="00960D57" w:rsidR="00D82963">
        <w:lastRenderedPageBreak/>
        <w:t>tariff</w:t>
      </w:r>
      <w:r w:rsidR="00270999">
        <w:noBreakHyphen/>
      </w:r>
      <w:r w:rsidRPr="00960D57" w:rsidR="00D82963">
        <w:t xml:space="preserve">based unit prices rather than generic O&amp;M escalation factors, as shown </w:t>
      </w:r>
      <w:r w:rsidR="004262CD">
        <w:t>in the relevant a</w:t>
      </w:r>
      <w:r w:rsidR="00546180">
        <w:t>ppendi</w:t>
      </w:r>
      <w:r w:rsidR="004262CD">
        <w:t>ces</w:t>
      </w:r>
      <w:r w:rsidRPr="00960D57" w:rsidR="00D82963">
        <w:t>, attached hereto and incorporated herein by reference.</w:t>
      </w:r>
    </w:p>
    <w:p w:rsidRPr="00960D57" w:rsidR="001D3D2B" w:rsidP="001905AD" w:rsidRDefault="001D3D2B" w14:paraId="2012D3A8" w14:textId="53856153">
      <w:pPr>
        <w:pStyle w:val="Section"/>
      </w:pPr>
      <w:r w:rsidRPr="00960D57">
        <w:t xml:space="preserve">Scoped </w:t>
      </w:r>
      <w:r w:rsidR="00084475">
        <w:t>Issue #</w:t>
      </w:r>
      <w:r w:rsidRPr="00960D57">
        <w:t>2</w:t>
      </w:r>
      <w:r w:rsidR="00AE44B3">
        <w:t> </w:t>
      </w:r>
      <w:r w:rsidRPr="00960D57">
        <w:t>— Operation and Maintenance and Administrative and General Expenses</w:t>
      </w:r>
    </w:p>
    <w:p w:rsidRPr="00960D57" w:rsidR="00E262D3" w:rsidP="00E262D3" w:rsidRDefault="00091521" w14:paraId="6413BCD0" w14:textId="77B5C6C2">
      <w:pPr>
        <w:pStyle w:val="OP"/>
      </w:pPr>
      <w:r w:rsidRPr="00960D57">
        <w:t>For all remaining disputed operation and maintenance and administrative and general expense categories not covered by the Partial Settlement Agreement (</w:t>
      </w:r>
      <w:r w:rsidR="00546180">
        <w:t>Appendix </w:t>
      </w:r>
      <w:r w:rsidR="001947C4">
        <w:t>Y</w:t>
      </w:r>
      <w:r w:rsidRPr="00960D57">
        <w:t>), California Water Service Company (</w:t>
      </w:r>
      <w:r w:rsidR="00EB50F8">
        <w:t>Cal Water</w:t>
      </w:r>
      <w:r w:rsidRPr="00960D57">
        <w:t xml:space="preserve">) shall apply the forecasted expense levels adopted in this decision, </w:t>
      </w:r>
      <w:r w:rsidRPr="00960D57" w:rsidR="00A15CDE">
        <w:t xml:space="preserve">as summarized in </w:t>
      </w:r>
      <w:r w:rsidR="00EB50F8">
        <w:t>Table 2</w:t>
      </w:r>
      <w:r w:rsidRPr="00960D57" w:rsidR="00A15CDE">
        <w:t xml:space="preserve"> </w:t>
      </w:r>
      <w:r w:rsidRPr="00960D57" w:rsidR="004E54C8">
        <w:t xml:space="preserve">of this decision </w:t>
      </w:r>
      <w:r w:rsidRPr="00960D57" w:rsidR="00A15CDE">
        <w:t>(Adopted Scoped Issues #2 Contested Sub</w:t>
      </w:r>
      <w:r w:rsidR="00270999">
        <w:noBreakHyphen/>
      </w:r>
      <w:r w:rsidRPr="00960D57" w:rsidR="00A15CDE">
        <w:t xml:space="preserve">Issues), </w:t>
      </w:r>
      <w:r w:rsidRPr="00960D57">
        <w:t>which reflect a category</w:t>
      </w:r>
      <w:r w:rsidR="00270999">
        <w:noBreakHyphen/>
      </w:r>
      <w:r w:rsidRPr="00960D57">
        <w:t xml:space="preserve">specific evaluation using historical averages as a benchmark but not a default methodology. </w:t>
      </w:r>
      <w:r w:rsidR="00EB50F8">
        <w:t>Cal Water</w:t>
      </w:r>
      <w:r w:rsidRPr="00960D57">
        <w:t xml:space="preserve"> shall use the </w:t>
      </w:r>
      <w:r w:rsidRPr="00960D57" w:rsidR="005010C5">
        <w:t>California Public Utilities Commission</w:t>
      </w:r>
      <w:r w:rsidR="00270999">
        <w:noBreakHyphen/>
      </w:r>
      <w:r w:rsidRPr="00960D57">
        <w:t>adopted adjustments only for those categories where the record did not sufficiently substantiate increases above inflation or historical trends. Pension and healthcare expenses shall be escalated using the forward</w:t>
      </w:r>
      <w:r w:rsidR="00270999">
        <w:noBreakHyphen/>
      </w:r>
      <w:r w:rsidRPr="00960D57">
        <w:t>looking actuarial factors supported by external analyses.</w:t>
      </w:r>
      <w:r w:rsidRPr="00960D57" w:rsidR="00E262D3">
        <w:t xml:space="preserve"> For production</w:t>
      </w:r>
      <w:r w:rsidR="00270999">
        <w:noBreakHyphen/>
      </w:r>
      <w:r w:rsidRPr="00960D57" w:rsidR="00E262D3">
        <w:t xml:space="preserve">related </w:t>
      </w:r>
      <w:r w:rsidRPr="00E523C4" w:rsidR="009B0846">
        <w:t>operation and maintenance</w:t>
      </w:r>
      <w:r w:rsidR="0037794E">
        <w:t xml:space="preserve"> (O&amp;M)</w:t>
      </w:r>
      <w:r w:rsidRPr="00960D57" w:rsidR="00E262D3">
        <w:t xml:space="preserve">, </w:t>
      </w:r>
      <w:r w:rsidR="00EB50F8">
        <w:t>Cal Water</w:t>
      </w:r>
      <w:r w:rsidRPr="00960D57" w:rsidR="00E262D3">
        <w:t xml:space="preserve"> shall</w:t>
      </w:r>
      <w:r w:rsidR="000C0896">
        <w:t xml:space="preserve">:  </w:t>
      </w:r>
      <w:r w:rsidR="000C051D">
        <w:t>(a) </w:t>
      </w:r>
      <w:r w:rsidRPr="00960D57" w:rsidR="00E262D3">
        <w:t>compute purchased</w:t>
      </w:r>
      <w:r w:rsidR="00270999">
        <w:noBreakHyphen/>
      </w:r>
      <w:r w:rsidRPr="00960D57" w:rsidR="00E262D3">
        <w:t>water expenses using tariff</w:t>
      </w:r>
      <w:r w:rsidR="00270999">
        <w:noBreakHyphen/>
      </w:r>
      <w:r w:rsidRPr="00960D57" w:rsidR="00E262D3">
        <w:t xml:space="preserve">based wholesale unit rates applied to the adopted </w:t>
      </w:r>
      <w:proofErr w:type="spellStart"/>
      <w:r w:rsidRPr="00E523C4" w:rsidR="004262CD">
        <w:t>M.Cubed</w:t>
      </w:r>
      <w:proofErr w:type="spellEnd"/>
      <w:r w:rsidRPr="00E523C4" w:rsidR="004262CD">
        <w:t xml:space="preserve"> </w:t>
      </w:r>
      <w:r w:rsidR="005820F9">
        <w:t>U</w:t>
      </w:r>
      <w:r w:rsidRPr="00E523C4" w:rsidR="005820F9">
        <w:t>nrestricted</w:t>
      </w:r>
      <w:r w:rsidRPr="00E523C4" w:rsidR="004262CD">
        <w:t xml:space="preserve"> sales forecasts</w:t>
      </w:r>
      <w:r w:rsidRPr="00960D57" w:rsidR="00E262D3">
        <w:t xml:space="preserve">; </w:t>
      </w:r>
      <w:r w:rsidR="000C051D">
        <w:t>(b) </w:t>
      </w:r>
      <w:r w:rsidRPr="00960D57" w:rsidR="00E262D3">
        <w:t>compute purchased</w:t>
      </w:r>
      <w:r w:rsidR="00270999">
        <w:noBreakHyphen/>
      </w:r>
      <w:r w:rsidRPr="00960D57" w:rsidR="00E262D3">
        <w:t xml:space="preserve">power and chemical expenses using </w:t>
      </w:r>
      <w:r w:rsidR="00865D33">
        <w:t xml:space="preserve">the </w:t>
      </w:r>
      <w:r w:rsidR="0037794E">
        <w:t>Public Advocates Office at the California Public Utilities Commission (</w:t>
      </w:r>
      <w:r w:rsidR="00EB50F8">
        <w:t>Cal Advocates</w:t>
      </w:r>
      <w:r w:rsidR="0037794E">
        <w:t>)</w:t>
      </w:r>
      <w:r w:rsidRPr="00960D57" w:rsidR="00E262D3">
        <w:t xml:space="preserve"> adopted unit</w:t>
      </w:r>
      <w:r w:rsidR="00270999">
        <w:noBreakHyphen/>
      </w:r>
      <w:r w:rsidRPr="00960D57" w:rsidR="00E262D3">
        <w:t xml:space="preserve">rate proposals applied to the same sales forecast; and </w:t>
      </w:r>
      <w:r w:rsidR="000E62D1">
        <w:t>(c) </w:t>
      </w:r>
      <w:r w:rsidRPr="00960D57" w:rsidR="00E262D3">
        <w:t>for any other non</w:t>
      </w:r>
      <w:r w:rsidR="00270999">
        <w:noBreakHyphen/>
      </w:r>
      <w:r w:rsidRPr="00960D57" w:rsidR="00E262D3">
        <w:t xml:space="preserve">settled O&amp;M or </w:t>
      </w:r>
      <w:r w:rsidRPr="00E523C4" w:rsidR="00640A72">
        <w:t xml:space="preserve">administrative and general </w:t>
      </w:r>
      <w:r w:rsidRPr="00960D57" w:rsidR="00E262D3">
        <w:t xml:space="preserve">account for which </w:t>
      </w:r>
      <w:r w:rsidR="00EB50F8">
        <w:t>Cal Advocates</w:t>
      </w:r>
      <w:r w:rsidRPr="00960D57" w:rsidR="00E262D3">
        <w:t xml:space="preserve"> provides a competing forecast and </w:t>
      </w:r>
      <w:r w:rsidR="00EB50F8">
        <w:t>Cal Water</w:t>
      </w:r>
      <w:r w:rsidR="000C0896">
        <w:t>’</w:t>
      </w:r>
      <w:r w:rsidRPr="00960D57" w:rsidR="00E262D3">
        <w:t>s forecast exceeds 110</w:t>
      </w:r>
      <w:r w:rsidR="0032703D">
        <w:t> percent</w:t>
      </w:r>
      <w:r w:rsidRPr="00960D57" w:rsidR="00E262D3">
        <w:t xml:space="preserve"> of the five</w:t>
      </w:r>
      <w:r w:rsidR="00270999">
        <w:noBreakHyphen/>
      </w:r>
      <w:r w:rsidRPr="00960D57" w:rsidR="00E262D3">
        <w:t>year inflation</w:t>
      </w:r>
      <w:r w:rsidR="00270999">
        <w:noBreakHyphen/>
      </w:r>
      <w:r w:rsidRPr="00960D57" w:rsidR="00E262D3">
        <w:t>adjusted historical average without additional documented cost drivers, adopt the lower competing forecast.</w:t>
      </w:r>
    </w:p>
    <w:p w:rsidRPr="00960D57" w:rsidR="00FC7932" w:rsidP="001905AD" w:rsidRDefault="00FC7932" w14:paraId="3090CC1F" w14:textId="7180B87A">
      <w:pPr>
        <w:pStyle w:val="Section"/>
      </w:pPr>
      <w:r w:rsidRPr="00960D57">
        <w:lastRenderedPageBreak/>
        <w:t xml:space="preserve">Scoped </w:t>
      </w:r>
      <w:r w:rsidR="00084475">
        <w:t>Issue #</w:t>
      </w:r>
      <w:r w:rsidRPr="00960D57">
        <w:t>3</w:t>
      </w:r>
      <w:r w:rsidR="00AE44B3">
        <w:t> </w:t>
      </w:r>
      <w:r w:rsidRPr="00960D57">
        <w:t>— Capital Additions and Plant Improvements</w:t>
      </w:r>
    </w:p>
    <w:p w:rsidRPr="00960D57" w:rsidR="00FC7932" w:rsidP="00FC7932" w:rsidRDefault="00FC7932" w14:paraId="2D1BFD95" w14:textId="7E226E04">
      <w:pPr>
        <w:pStyle w:val="OP"/>
      </w:pPr>
      <w:r w:rsidRPr="00960D57">
        <w:t>California Water Service Company (</w:t>
      </w:r>
      <w:r w:rsidR="00EB50F8">
        <w:t>Cal Water</w:t>
      </w:r>
      <w:r w:rsidRPr="00960D57">
        <w:t>) shall include in rate base only those plant additions that are supported by documented engineering need, regulatory compliance requirements, and reasonable cost estimates. Treatment</w:t>
      </w:r>
      <w:r w:rsidR="00270999">
        <w:noBreakHyphen/>
      </w:r>
      <w:r w:rsidRPr="00960D57">
        <w:t>plant expansions necessary to comply with state or federal water</w:t>
      </w:r>
      <w:r w:rsidR="00270999">
        <w:noBreakHyphen/>
      </w:r>
      <w:r w:rsidRPr="00960D57">
        <w:t>quality and fire</w:t>
      </w:r>
      <w:r w:rsidR="00270999">
        <w:noBreakHyphen/>
      </w:r>
      <w:r w:rsidRPr="00960D57">
        <w:t>flow standards are approved,</w:t>
      </w:r>
      <w:r w:rsidRPr="00192140" w:rsidR="00192140">
        <w:t xml:space="preserve"> and shall be subject to the </w:t>
      </w:r>
      <w:r w:rsidR="00192140">
        <w:t xml:space="preserve">Tier 2 </w:t>
      </w:r>
      <w:r w:rsidRPr="00192140" w:rsidR="00192140">
        <w:t>advice letter process for purposes of rate recovery</w:t>
      </w:r>
      <w:r w:rsidRPr="00960D57">
        <w:t>. Discretionary office expansions and other non</w:t>
      </w:r>
      <w:r w:rsidR="00270999">
        <w:noBreakHyphen/>
      </w:r>
      <w:r w:rsidRPr="00960D57">
        <w:t xml:space="preserve">essential projects lacking </w:t>
      </w:r>
      <w:r w:rsidR="00FA3949">
        <w:t>the</w:t>
      </w:r>
      <w:r w:rsidRPr="00960D57" w:rsidR="00FA3949">
        <w:t xml:space="preserve"> </w:t>
      </w:r>
      <w:r w:rsidRPr="00960D57">
        <w:t xml:space="preserve">documentation </w:t>
      </w:r>
      <w:r w:rsidR="00FA3949">
        <w:t xml:space="preserve">described in this ordering paragraph </w:t>
      </w:r>
      <w:r w:rsidRPr="00960D57">
        <w:t xml:space="preserve">are </w:t>
      </w:r>
      <w:r w:rsidR="00192140">
        <w:t xml:space="preserve">not adopted and shall not be included </w:t>
      </w:r>
      <w:r w:rsidRPr="00960D57">
        <w:t>in rate base</w:t>
      </w:r>
      <w:r w:rsidR="00192140">
        <w:t xml:space="preserve"> in this proceeding</w:t>
      </w:r>
      <w:r w:rsidRPr="00960D57">
        <w:t>.</w:t>
      </w:r>
    </w:p>
    <w:p w:rsidR="008F7750" w:rsidP="008F7750" w:rsidRDefault="00813847" w14:paraId="5903F5F9" w14:textId="622B4A27">
      <w:pPr>
        <w:pStyle w:val="OP"/>
      </w:pPr>
      <w:r w:rsidRPr="00813847">
        <w:t xml:space="preserve">California Water Service Company (Cal Water) is authorized </w:t>
      </w:r>
      <w:r w:rsidRPr="004A0C53" w:rsidR="008F7750">
        <w:t>a $17,451,567 budget</w:t>
      </w:r>
      <w:r w:rsidRPr="00813847" w:rsidR="008F7750">
        <w:t xml:space="preserve"> </w:t>
      </w:r>
      <w:r w:rsidRPr="00813847">
        <w:t xml:space="preserve">to deploy Advanced Metering Infrastructure (AMI) in the five ratemaking areas, </w:t>
      </w:r>
      <w:r w:rsidR="00582386">
        <w:t>namely</w:t>
      </w:r>
      <w:r w:rsidRPr="00943C29" w:rsidR="00582386">
        <w:t xml:space="preserve"> </w:t>
      </w:r>
      <w:r w:rsidRPr="00EC2567" w:rsidR="00582386">
        <w:t>Bay Area Region, Bear Gulch, Los Altos, Los Angeles County Region, and Westlake</w:t>
      </w:r>
      <w:r w:rsidR="00582386">
        <w:t>.</w:t>
      </w:r>
      <w:r w:rsidRPr="00813847" w:rsidR="00582386">
        <w:t xml:space="preserve"> </w:t>
      </w:r>
      <w:r w:rsidRPr="004A0C53" w:rsidR="008F7750">
        <w:t>Cal Water is authorized to recover $2,037,650 of capital costs in 2026 (50% of $4,482,831) and $15,413,917 in capital costs in 2027 (50% of $32,721,122) in rates. For the recovery of the remaining 50 percent budget ($17,451,567),</w:t>
      </w:r>
      <w:r w:rsidR="008F7750">
        <w:t xml:space="preserve"> </w:t>
      </w:r>
      <w:r w:rsidRPr="00582386" w:rsidR="00582386">
        <w:t>Cal Water shall file a Tier 1</w:t>
      </w:r>
      <w:r w:rsidR="000837EC">
        <w:t xml:space="preserve"> </w:t>
      </w:r>
      <w:r w:rsidRPr="00582386" w:rsidR="00582386">
        <w:t>Advice</w:t>
      </w:r>
      <w:r w:rsidR="000837EC">
        <w:t xml:space="preserve"> </w:t>
      </w:r>
      <w:r w:rsidRPr="00582386" w:rsidR="00582386">
        <w:t>Letter to implement a 2026-2027 AMI Implementation Memorandum Account. This account will record</w:t>
      </w:r>
      <w:r w:rsidR="000837EC">
        <w:t xml:space="preserve"> </w:t>
      </w:r>
      <w:r w:rsidRPr="00582386" w:rsidR="00582386">
        <w:t>the deferred</w:t>
      </w:r>
      <w:r w:rsidR="000837EC">
        <w:t xml:space="preserve"> </w:t>
      </w:r>
      <w:r w:rsidRPr="00582386" w:rsidR="00582386">
        <w:t>50</w:t>
      </w:r>
      <w:r w:rsidR="00547116">
        <w:t xml:space="preserve"> percent</w:t>
      </w:r>
      <w:r w:rsidRPr="00582386" w:rsidR="00582386">
        <w:t xml:space="preserve"> of costs forecast for 2026 and 2027,</w:t>
      </w:r>
      <w:r w:rsidR="000837EC">
        <w:t xml:space="preserve"> </w:t>
      </w:r>
      <w:r w:rsidRPr="00582386" w:rsidR="00582386">
        <w:t>with</w:t>
      </w:r>
      <w:r w:rsidR="000837EC">
        <w:t xml:space="preserve"> </w:t>
      </w:r>
      <w:r w:rsidRPr="00582386" w:rsidR="00582386">
        <w:t>recovery pending a reasonableness review</w:t>
      </w:r>
      <w:r w:rsidR="000837EC">
        <w:t xml:space="preserve"> </w:t>
      </w:r>
      <w:r w:rsidRPr="00582386" w:rsidR="00582386">
        <w:t>in the</w:t>
      </w:r>
      <w:r w:rsidR="000837EC">
        <w:t xml:space="preserve"> </w:t>
      </w:r>
      <w:r w:rsidRPr="00582386" w:rsidR="00582386">
        <w:t>subsequent</w:t>
      </w:r>
      <w:r w:rsidR="000837EC">
        <w:t xml:space="preserve"> </w:t>
      </w:r>
      <w:r w:rsidRPr="00582386" w:rsidR="00582386">
        <w:t>General Rate Case.</w:t>
      </w:r>
      <w:r w:rsidR="000837EC">
        <w:t xml:space="preserve"> </w:t>
      </w:r>
      <w:r w:rsidRPr="00582386" w:rsidR="00582386">
        <w:t>To recover</w:t>
      </w:r>
      <w:r w:rsidR="000837EC">
        <w:t xml:space="preserve"> </w:t>
      </w:r>
      <w:r w:rsidRPr="00582386" w:rsidR="00582386">
        <w:t>these</w:t>
      </w:r>
      <w:r w:rsidR="000837EC">
        <w:t xml:space="preserve"> </w:t>
      </w:r>
      <w:r w:rsidRPr="00582386" w:rsidR="00582386">
        <w:t>funds,</w:t>
      </w:r>
      <w:r w:rsidR="000837EC">
        <w:t xml:space="preserve"> </w:t>
      </w:r>
      <w:r w:rsidRPr="00582386" w:rsidR="00582386">
        <w:t>Cal</w:t>
      </w:r>
      <w:r w:rsidR="000837EC">
        <w:t xml:space="preserve"> </w:t>
      </w:r>
      <w:r w:rsidRPr="00582386" w:rsidR="00582386">
        <w:t>Water must</w:t>
      </w:r>
      <w:r w:rsidR="000837EC">
        <w:t xml:space="preserve"> </w:t>
      </w:r>
      <w:r w:rsidRPr="00582386" w:rsidR="00582386">
        <w:t>demonstrate</w:t>
      </w:r>
      <w:r w:rsidR="000837EC">
        <w:t xml:space="preserve"> </w:t>
      </w:r>
      <w:r w:rsidRPr="00582386" w:rsidR="00582386">
        <w:t>that the</w:t>
      </w:r>
      <w:r w:rsidR="000837EC">
        <w:t xml:space="preserve"> </w:t>
      </w:r>
      <w:r w:rsidRPr="00582386" w:rsidR="00582386">
        <w:t>costs were</w:t>
      </w:r>
      <w:r w:rsidR="000837EC">
        <w:t xml:space="preserve"> </w:t>
      </w:r>
      <w:r w:rsidRPr="00582386" w:rsidR="00582386">
        <w:t xml:space="preserve">prudently incurred, the </w:t>
      </w:r>
      <w:r w:rsidR="00582386">
        <w:t xml:space="preserve">completed </w:t>
      </w:r>
      <w:r w:rsidRPr="00582386" w:rsidR="00582386">
        <w:t>project</w:t>
      </w:r>
      <w:r w:rsidR="000837EC">
        <w:t xml:space="preserve"> </w:t>
      </w:r>
      <w:r w:rsidR="00582386">
        <w:t xml:space="preserve">is </w:t>
      </w:r>
      <w:r w:rsidRPr="00582386" w:rsidR="00582386">
        <w:t>used</w:t>
      </w:r>
      <w:r w:rsidR="000837EC">
        <w:t xml:space="preserve"> </w:t>
      </w:r>
      <w:r w:rsidRPr="00582386" w:rsidR="00582386">
        <w:t>and useful, and</w:t>
      </w:r>
      <w:r w:rsidR="000837EC">
        <w:t xml:space="preserve"> </w:t>
      </w:r>
      <w:r w:rsidRPr="00582386" w:rsidR="00582386">
        <w:t>the system</w:t>
      </w:r>
      <w:r w:rsidR="000837EC">
        <w:t xml:space="preserve"> </w:t>
      </w:r>
      <w:r w:rsidRPr="00582386" w:rsidR="00582386">
        <w:t>is</w:t>
      </w:r>
      <w:r w:rsidR="000837EC">
        <w:t xml:space="preserve"> </w:t>
      </w:r>
      <w:r w:rsidRPr="00582386" w:rsidR="00582386">
        <w:t>correctly reading</w:t>
      </w:r>
      <w:r w:rsidR="000837EC">
        <w:t xml:space="preserve"> </w:t>
      </w:r>
      <w:r w:rsidRPr="00582386" w:rsidR="00582386">
        <w:t>meters and generating</w:t>
      </w:r>
      <w:r w:rsidR="000837EC">
        <w:t xml:space="preserve"> </w:t>
      </w:r>
      <w:r w:rsidRPr="00582386" w:rsidR="00582386">
        <w:t>accurate</w:t>
      </w:r>
      <w:r w:rsidR="000837EC">
        <w:t xml:space="preserve"> </w:t>
      </w:r>
      <w:r w:rsidRPr="00582386" w:rsidR="00582386">
        <w:t>customer billings.</w:t>
      </w:r>
      <w:r w:rsidR="00516895">
        <w:t xml:space="preserve"> </w:t>
      </w:r>
      <w:r w:rsidR="00292282">
        <w:t xml:space="preserve">Furthermore, </w:t>
      </w:r>
      <w:r w:rsidRPr="00516895" w:rsidR="00292282">
        <w:t>Cal Water is also authorized to recover $1,893,288 for necessary meter replacements for</w:t>
      </w:r>
      <w:r w:rsidR="000837EC">
        <w:t xml:space="preserve"> </w:t>
      </w:r>
      <w:r w:rsidRPr="00516895" w:rsidR="00292282">
        <w:t>the</w:t>
      </w:r>
      <w:r w:rsidR="000837EC">
        <w:t xml:space="preserve"> </w:t>
      </w:r>
      <w:r w:rsidRPr="00516895" w:rsidR="00292282">
        <w:t>remaining</w:t>
      </w:r>
      <w:r w:rsidR="000837EC">
        <w:t xml:space="preserve"> </w:t>
      </w:r>
      <w:r w:rsidRPr="00516895" w:rsidR="00292282">
        <w:t>districts, which are not in the AMI</w:t>
      </w:r>
      <w:r w:rsidR="000837EC">
        <w:t xml:space="preserve"> </w:t>
      </w:r>
      <w:r w:rsidRPr="00516895" w:rsidR="00292282">
        <w:t>program.</w:t>
      </w:r>
    </w:p>
    <w:p w:rsidRPr="00960D57" w:rsidR="00A9560D" w:rsidP="008F7750" w:rsidRDefault="00A9560D" w14:paraId="5072F932" w14:textId="2D79FB8C">
      <w:pPr>
        <w:pStyle w:val="OP"/>
      </w:pPr>
      <w:r w:rsidRPr="00960D57">
        <w:lastRenderedPageBreak/>
        <w:t xml:space="preserve">For purposes of implementing this decision, the determinations summarized in </w:t>
      </w:r>
      <w:r w:rsidR="00EB50F8">
        <w:t>Table 3</w:t>
      </w:r>
      <w:r w:rsidRPr="00960D57">
        <w:t xml:space="preserve"> (Common Plant Program Determinations) and </w:t>
      </w:r>
      <w:r w:rsidR="00EB50F8">
        <w:t>Table 4</w:t>
      </w:r>
      <w:r w:rsidRPr="00960D57">
        <w:t xml:space="preserve"> (Summary of District</w:t>
      </w:r>
      <w:r w:rsidR="00270999">
        <w:noBreakHyphen/>
      </w:r>
      <w:r w:rsidRPr="00960D57">
        <w:t>Level Determinations) shall govern the ratemaking treatment of capital projects for the R</w:t>
      </w:r>
      <w:r w:rsidR="000E675B">
        <w:t xml:space="preserve">esults of </w:t>
      </w:r>
      <w:r w:rsidRPr="00960D57">
        <w:t>O</w:t>
      </w:r>
      <w:r w:rsidR="000E675B">
        <w:t>peration</w:t>
      </w:r>
      <w:r w:rsidR="0029439F">
        <w:t>s</w:t>
      </w:r>
      <w:r w:rsidRPr="00960D57">
        <w:t xml:space="preserve"> Model and </w:t>
      </w:r>
      <w:r w:rsidR="00846546">
        <w:t>Appendices </w:t>
      </w:r>
      <w:r w:rsidR="00341211">
        <w:t>A</w:t>
      </w:r>
      <w:r w:rsidR="00092737">
        <w:t xml:space="preserve"> through </w:t>
      </w:r>
      <w:r w:rsidR="00341211">
        <w:t>X</w:t>
      </w:r>
      <w:r w:rsidRPr="00960D57">
        <w:t>.</w:t>
      </w:r>
    </w:p>
    <w:p w:rsidR="009A6BE6" w:rsidP="000562E1" w:rsidRDefault="009A6BE6" w14:paraId="0F9D15F0" w14:textId="34583449">
      <w:pPr>
        <w:pStyle w:val="OP"/>
      </w:pPr>
      <w:r w:rsidRPr="00960D57">
        <w:t xml:space="preserve">For the approved </w:t>
      </w:r>
      <w:r w:rsidRPr="000562E1">
        <w:t>compliance</w:t>
      </w:r>
      <w:r w:rsidR="00270999">
        <w:noBreakHyphen/>
      </w:r>
      <w:r w:rsidRPr="00960D57">
        <w:t xml:space="preserve">driven treatment projects, </w:t>
      </w:r>
      <w:r w:rsidR="005D2CB6">
        <w:t xml:space="preserve">the projects </w:t>
      </w:r>
      <w:r w:rsidRPr="005D2CB6" w:rsidR="005D2CB6">
        <w:t>are approved for inclusion in rates at the forecast amounts.</w:t>
      </w:r>
      <w:r w:rsidR="00A106E9">
        <w:t xml:space="preserve"> </w:t>
      </w:r>
      <w:r w:rsidRPr="005D2CB6" w:rsidR="005D2CB6">
        <w:t>Cal</w:t>
      </w:r>
      <w:r w:rsidR="005D2CB6">
        <w:t>ifornia</w:t>
      </w:r>
      <w:r w:rsidRPr="005D2CB6" w:rsidR="005D2CB6">
        <w:t xml:space="preserve"> Water</w:t>
      </w:r>
      <w:r w:rsidR="005D2CB6">
        <w:t xml:space="preserve"> Service Company (Cal Water)</w:t>
      </w:r>
      <w:r w:rsidRPr="005D2CB6" w:rsidR="005D2CB6">
        <w:t xml:space="preserve"> </w:t>
      </w:r>
      <w:r w:rsidR="005D2CB6">
        <w:t>may</w:t>
      </w:r>
      <w:r w:rsidRPr="005D2CB6" w:rsidR="005D2CB6">
        <w:t xml:space="preserve"> seek to recover any overruns in the </w:t>
      </w:r>
      <w:r w:rsidR="005D2CB6">
        <w:t>next General Rate Case</w:t>
      </w:r>
      <w:r w:rsidRPr="005D2CB6" w:rsidR="005D2CB6">
        <w:t xml:space="preserve"> by providing adequate justifications</w:t>
      </w:r>
      <w:r w:rsidRPr="00F231C0" w:rsidR="00F231C0">
        <w:t>. For purposes of rate recovery, Cal Water shall seek inclusion of completed projects through the advice letter process described in this decision, including Tier 2 advice letters for projects within adopted cost estimates and Tier 3 advice letters where project costs</w:t>
      </w:r>
      <w:r w:rsidR="005D2CB6">
        <w:t xml:space="preserve"> </w:t>
      </w:r>
      <w:r w:rsidRPr="00F231C0" w:rsidR="00F231C0">
        <w:t>exceed those estimates</w:t>
      </w:r>
      <w:r w:rsidRPr="00960D57">
        <w:t>.</w:t>
      </w:r>
    </w:p>
    <w:p w:rsidRPr="00FF27B9" w:rsidR="00487EC0" w:rsidP="000562E1" w:rsidRDefault="00487EC0" w14:paraId="2D9FFCA6" w14:textId="646C1FAE">
      <w:pPr>
        <w:pStyle w:val="OP"/>
      </w:pPr>
      <w:r w:rsidRPr="008579F7">
        <w:t xml:space="preserve">California </w:t>
      </w:r>
      <w:r w:rsidRPr="000562E1">
        <w:t>Water</w:t>
      </w:r>
      <w:r w:rsidRPr="008579F7">
        <w:t xml:space="preserve"> Service Company</w:t>
      </w:r>
      <w:r w:rsidR="002F2145">
        <w:t xml:space="preserve"> (Cal Water) </w:t>
      </w:r>
      <w:r w:rsidRPr="002F2145" w:rsidR="002F2145">
        <w:t>shall not include contingency amounts in rate base or recover such amounts in rates in this proceeding. Any contingency amounts embedded within adopted district or Common Plant capital programs are disallowed. Cal Water may seek recovery of reasonable, documented cost increases through the applicable advice letter process or in a future proceeding, where such costs are supported by the evidentiary record and shown to be prudent and used and useful</w:t>
      </w:r>
      <w:r w:rsidRPr="008579F7">
        <w:t>.</w:t>
      </w:r>
    </w:p>
    <w:p w:rsidRPr="00960D57" w:rsidR="00FF27B9" w:rsidP="00FF27B9" w:rsidRDefault="00FF27B9" w14:paraId="4A0A00C1" w14:textId="51948F8A">
      <w:pPr>
        <w:pStyle w:val="OP"/>
      </w:pPr>
      <w:r>
        <w:t>Cal</w:t>
      </w:r>
      <w:r w:rsidR="0054084A">
        <w:t>ifornia</w:t>
      </w:r>
      <w:r>
        <w:t xml:space="preserve"> Water Service Company’s (Cal</w:t>
      </w:r>
      <w:r w:rsidR="000A2E14">
        <w:t> </w:t>
      </w:r>
      <w:r>
        <w:t xml:space="preserve">Water) request to include previously deferred capital projects </w:t>
      </w:r>
      <w:r w:rsidR="001E54CC">
        <w:t xml:space="preserve">that were not completed by the end of 2024 </w:t>
      </w:r>
      <w:r>
        <w:t>is denied without prejudice</w:t>
      </w:r>
      <w:r w:rsidR="0054084A">
        <w:t>.</w:t>
      </w:r>
      <w:r w:rsidR="000A2E14">
        <w:t xml:space="preserve"> </w:t>
      </w:r>
      <w:r w:rsidR="001E54CC">
        <w:t xml:space="preserve">Instead, </w:t>
      </w:r>
      <w:r>
        <w:t>Cal</w:t>
      </w:r>
      <w:r w:rsidR="000A2E14">
        <w:t> </w:t>
      </w:r>
      <w:r>
        <w:t>Water may seek approval</w:t>
      </w:r>
      <w:r w:rsidR="001E54CC">
        <w:t xml:space="preserve"> by submitting a </w:t>
      </w:r>
      <w:r w:rsidRPr="0058752C" w:rsidR="0058752C">
        <w:t xml:space="preserve">Tier 2 advice letter to add those projects into rates, up to the budgeted </w:t>
      </w:r>
      <w:r w:rsidR="00BF3EF2">
        <w:t>amounts</w:t>
      </w:r>
      <w:r w:rsidRPr="0058752C" w:rsidR="0058752C">
        <w:t>, if the projects are consistent with the proposed scope</w:t>
      </w:r>
      <w:r>
        <w:t>.</w:t>
      </w:r>
      <w:r w:rsidR="008F0F7E">
        <w:t xml:space="preserve"> </w:t>
      </w:r>
      <w:r w:rsidR="0094002F">
        <w:t>Cal Water may seek recovery for p</w:t>
      </w:r>
      <w:r w:rsidR="008F0F7E">
        <w:t xml:space="preserve">reviously </w:t>
      </w:r>
      <w:r w:rsidR="0094002F">
        <w:t xml:space="preserve">approved but </w:t>
      </w:r>
      <w:r w:rsidR="008F0F7E">
        <w:t xml:space="preserve">deferred projects </w:t>
      </w:r>
      <w:r w:rsidR="000E3091">
        <w:t xml:space="preserve">whose </w:t>
      </w:r>
      <w:r w:rsidR="00B52AD8">
        <w:t>final costs</w:t>
      </w:r>
      <w:r w:rsidR="000E3091">
        <w:t xml:space="preserve"> exceed </w:t>
      </w:r>
      <w:r w:rsidR="0094002F">
        <w:lastRenderedPageBreak/>
        <w:t xml:space="preserve">budgeted </w:t>
      </w:r>
      <w:r w:rsidR="008D6457">
        <w:t>amounts</w:t>
      </w:r>
      <w:r w:rsidR="0094002F">
        <w:t xml:space="preserve"> or diverge from approved scope by submitting a Tier 3 advice letter. </w:t>
      </w:r>
    </w:p>
    <w:p w:rsidRPr="00960D57" w:rsidR="00573C27" w:rsidP="001905AD" w:rsidRDefault="00573C27" w14:paraId="1C6C5F82" w14:textId="056A6536">
      <w:pPr>
        <w:pStyle w:val="Section"/>
      </w:pPr>
      <w:r w:rsidRPr="00960D57">
        <w:t xml:space="preserve">Scoped </w:t>
      </w:r>
      <w:r w:rsidR="00084475">
        <w:t>Issue #</w:t>
      </w:r>
      <w:r w:rsidRPr="00960D57">
        <w:t>4</w:t>
      </w:r>
      <w:r w:rsidR="00AE44B3">
        <w:t> </w:t>
      </w:r>
      <w:r w:rsidRPr="00960D57">
        <w:t>— Depreciation, Property Taxes, Overhead Allocations, and Cost of Capital</w:t>
      </w:r>
    </w:p>
    <w:p w:rsidRPr="00960D57" w:rsidR="008D0880" w:rsidP="008D0880" w:rsidRDefault="008D0880" w14:paraId="2CADEC35" w14:textId="4CAF1A50">
      <w:pPr>
        <w:pStyle w:val="OP"/>
      </w:pPr>
      <w:r w:rsidRPr="00960D57">
        <w:t>Escalation</w:t>
      </w:r>
      <w:r w:rsidR="00270999">
        <w:noBreakHyphen/>
      </w:r>
      <w:r w:rsidRPr="00960D57">
        <w:t xml:space="preserve">year increases for California Water Service Company shall be limited to demonstrated cost drivers supported by documented inflation indices or regulatory compliance requirements and shall be applied only after incorporating the </w:t>
      </w:r>
      <w:r w:rsidRPr="00960D57" w:rsidR="00913D5C">
        <w:t>California Public Utilities Commission</w:t>
      </w:r>
      <w:r w:rsidR="00270999">
        <w:noBreakHyphen/>
      </w:r>
      <w:r w:rsidRPr="00960D57">
        <w:t>adopted adjustments from Scoped Issue</w:t>
      </w:r>
      <w:r w:rsidR="00F61DD6">
        <w:t>s</w:t>
      </w:r>
      <w:r w:rsidR="00913D5C">
        <w:t> </w:t>
      </w:r>
      <w:r w:rsidRPr="00960D57">
        <w:t>#2 and #3.</w:t>
      </w:r>
    </w:p>
    <w:p w:rsidRPr="00960D57" w:rsidR="008D0880" w:rsidP="008D0880" w:rsidRDefault="008D0880" w14:paraId="274B6899" w14:textId="4C25E668">
      <w:pPr>
        <w:pStyle w:val="OP"/>
      </w:pPr>
      <w:r w:rsidRPr="00960D57">
        <w:t>For purposes of establishing the adopted revenue requirement, California Water Service Company</w:t>
      </w:r>
      <w:r w:rsidR="000C0896">
        <w:t>’</w:t>
      </w:r>
      <w:r w:rsidRPr="00960D57">
        <w:t xml:space="preserve">s conservation expenses </w:t>
      </w:r>
      <w:r w:rsidR="005820F9">
        <w:t xml:space="preserve">of </w:t>
      </w:r>
      <w:r w:rsidRPr="00190176" w:rsidR="005820F9">
        <w:t xml:space="preserve">$13,807,856 </w:t>
      </w:r>
      <w:r w:rsidRPr="00960D57">
        <w:t>are approved.</w:t>
      </w:r>
    </w:p>
    <w:p w:rsidRPr="009D2C55" w:rsidR="000951C3" w:rsidP="003E5054" w:rsidRDefault="000951C3" w14:paraId="733FCF4F" w14:textId="5A048975">
      <w:pPr>
        <w:pStyle w:val="OP"/>
      </w:pPr>
      <w:r w:rsidRPr="009D2C55">
        <w:t>California Water Service Company (Cal Water) shall apply Allowance for Funds Used During Construction (AFUDC), rather than Interest During Construction (IDC), to construction work in progress, using a rate equal to its authorized rate of return. Cal Water shall reflect this treatment in its revenue requirement, rate base calculations, and supporting workpapers submitted in its advice letter filing require</w:t>
      </w:r>
      <w:r w:rsidRPr="009D2C55" w:rsidR="00404CB9">
        <w:t>ments</w:t>
      </w:r>
      <w:r w:rsidRPr="009D2C55">
        <w:t>.</w:t>
      </w:r>
    </w:p>
    <w:p w:rsidRPr="00960D57" w:rsidR="00971405" w:rsidP="001905AD" w:rsidRDefault="00971405" w14:paraId="04C3D9D7" w14:textId="2A57540A">
      <w:pPr>
        <w:pStyle w:val="Section"/>
      </w:pPr>
      <w:r w:rsidRPr="00960D57">
        <w:t xml:space="preserve">Scoped </w:t>
      </w:r>
      <w:r w:rsidR="00084475">
        <w:t>Issue</w:t>
      </w:r>
      <w:r w:rsidR="00350832">
        <w:t>s</w:t>
      </w:r>
      <w:r w:rsidR="00084475">
        <w:t> #</w:t>
      </w:r>
      <w:r w:rsidRPr="00960D57">
        <w:t>5</w:t>
      </w:r>
      <w:r w:rsidR="00914F82">
        <w:t xml:space="preserve">, </w:t>
      </w:r>
      <w:r w:rsidR="00084475">
        <w:t>#</w:t>
      </w:r>
      <w:r w:rsidR="00914F82">
        <w:t>7</w:t>
      </w:r>
      <w:r w:rsidR="00AE2539">
        <w:t xml:space="preserve"> &amp; </w:t>
      </w:r>
      <w:r w:rsidR="00084475">
        <w:t>#</w:t>
      </w:r>
      <w:r w:rsidR="00914F82">
        <w:t>15</w:t>
      </w:r>
      <w:r w:rsidR="00AE44B3">
        <w:t> </w:t>
      </w:r>
      <w:r w:rsidRPr="00960D57">
        <w:t>— Rate Design</w:t>
      </w:r>
      <w:r w:rsidR="00914F82">
        <w:t>, LUWEP</w:t>
      </w:r>
      <w:r w:rsidR="00AE2539">
        <w:t xml:space="preserve"> &amp; </w:t>
      </w:r>
      <w:r w:rsidR="00914F82">
        <w:t>Decoupling</w:t>
      </w:r>
    </w:p>
    <w:p w:rsidR="00914F82" w:rsidP="00914F82" w:rsidRDefault="00914F82" w14:paraId="66A8D268" w14:textId="0641A51A">
      <w:pPr>
        <w:pStyle w:val="OP"/>
      </w:pPr>
      <w:r w:rsidRPr="00235A7B">
        <w:t>Cal</w:t>
      </w:r>
      <w:r>
        <w:t>ifornia</w:t>
      </w:r>
      <w:r w:rsidRPr="00235A7B">
        <w:t xml:space="preserve"> Water Service Company</w:t>
      </w:r>
      <w:r w:rsidR="000C0896">
        <w:t>’</w:t>
      </w:r>
      <w:r w:rsidRPr="00235A7B">
        <w:t>s proposed decoupling program with Low</w:t>
      </w:r>
      <w:r w:rsidR="00270999">
        <w:noBreakHyphen/>
      </w:r>
      <w:r w:rsidRPr="00235A7B">
        <w:t xml:space="preserve">Use Water Equity Program that would decouple revenue from water sales, including the Safe Infrastructure Balancing Account, Supply Cost Balancing Account, annual netting of balances, and amortization of decoupling balances in base rates via </w:t>
      </w:r>
      <w:r w:rsidR="00EB50F8">
        <w:t>Tier 1</w:t>
      </w:r>
      <w:r w:rsidRPr="00235A7B">
        <w:t xml:space="preserve"> </w:t>
      </w:r>
      <w:r w:rsidR="00752B5D">
        <w:t>advice letter</w:t>
      </w:r>
      <w:r w:rsidRPr="00235A7B">
        <w:t>s is denied.</w:t>
      </w:r>
    </w:p>
    <w:p w:rsidR="00914F82" w:rsidP="00914F82" w:rsidRDefault="00914F82" w14:paraId="62320320" w14:textId="21D3C6B0">
      <w:pPr>
        <w:pStyle w:val="OP"/>
      </w:pPr>
      <w:r w:rsidRPr="00235A7B">
        <w:t>Cal</w:t>
      </w:r>
      <w:r>
        <w:t>ifornia</w:t>
      </w:r>
      <w:r w:rsidRPr="00235A7B">
        <w:t xml:space="preserve"> Water Service Company is authorized to continue implementing a modified Monterey Water Revenue Adjustment Mechanism and Incremental Cost Balancing Account consistent with D.24</w:t>
      </w:r>
      <w:r w:rsidR="00270999">
        <w:noBreakHyphen/>
      </w:r>
      <w:r w:rsidRPr="00235A7B">
        <w:t>03</w:t>
      </w:r>
      <w:r w:rsidR="00270999">
        <w:noBreakHyphen/>
      </w:r>
      <w:r w:rsidRPr="00235A7B">
        <w:t xml:space="preserve">042, with the following modifications for the </w:t>
      </w:r>
      <w:r w:rsidR="00191DA5">
        <w:t>G</w:t>
      </w:r>
      <w:r w:rsidRPr="00235A7B" w:rsidR="00191DA5">
        <w:t xml:space="preserve">eneral </w:t>
      </w:r>
      <w:r w:rsidR="00191DA5">
        <w:t>R</w:t>
      </w:r>
      <w:r w:rsidRPr="00235A7B" w:rsidR="00191DA5">
        <w:t xml:space="preserve">ate </w:t>
      </w:r>
      <w:r w:rsidR="00191DA5">
        <w:t>C</w:t>
      </w:r>
      <w:r w:rsidRPr="00235A7B" w:rsidR="00191DA5">
        <w:t>ase</w:t>
      </w:r>
      <w:r w:rsidR="00191DA5">
        <w:t xml:space="preserve"> (GRC)</w:t>
      </w:r>
      <w:r w:rsidRPr="00235A7B" w:rsidR="00191DA5">
        <w:t xml:space="preserve"> </w:t>
      </w:r>
      <w:r w:rsidRPr="00235A7B">
        <w:t>cycle:</w:t>
      </w:r>
    </w:p>
    <w:p w:rsidR="00914F82" w:rsidP="008D5E78" w:rsidRDefault="00914F82" w14:paraId="6AA8C11A" w14:textId="350550E9">
      <w:pPr>
        <w:pStyle w:val="OPSub"/>
        <w:numPr>
          <w:ilvl w:val="1"/>
          <w:numId w:val="19"/>
        </w:numPr>
      </w:pPr>
      <w:r w:rsidRPr="00235A7B">
        <w:lastRenderedPageBreak/>
        <w:t>Maintain a four</w:t>
      </w:r>
      <w:r w:rsidR="00270999">
        <w:noBreakHyphen/>
      </w:r>
      <w:r w:rsidRPr="00235A7B">
        <w:t xml:space="preserve">tier volumetric structure, including a reduction of the tier multiplier for </w:t>
      </w:r>
      <w:r w:rsidR="00EB50F8">
        <w:t>Tier 4</w:t>
      </w:r>
      <w:r w:rsidRPr="00235A7B">
        <w:t xml:space="preserve"> from 187</w:t>
      </w:r>
      <w:r w:rsidR="0032703D">
        <w:t> percent</w:t>
      </w:r>
      <w:r w:rsidRPr="00235A7B">
        <w:t xml:space="preserve"> to 150</w:t>
      </w:r>
      <w:r w:rsidR="0032703D">
        <w:t> percent</w:t>
      </w:r>
      <w:r w:rsidRPr="00235A7B">
        <w:t xml:space="preserve"> and </w:t>
      </w:r>
      <w:r w:rsidR="0058752C">
        <w:t xml:space="preserve">an increase in fixed charges to recover an additional five percent of </w:t>
      </w:r>
      <w:r w:rsidR="006C795D">
        <w:t xml:space="preserve">fixed costs in </w:t>
      </w:r>
      <w:r w:rsidRPr="00235A7B">
        <w:t>higher fixed charge.</w:t>
      </w:r>
    </w:p>
    <w:p w:rsidR="00CE0158" w:rsidP="008D5E78" w:rsidRDefault="00914F82" w14:paraId="29406E68" w14:textId="6D5BFA60">
      <w:pPr>
        <w:pStyle w:val="OPSub"/>
        <w:numPr>
          <w:ilvl w:val="1"/>
          <w:numId w:val="19"/>
        </w:numPr>
      </w:pPr>
      <w:r w:rsidRPr="00235A7B">
        <w:t>Reinstate a two</w:t>
      </w:r>
      <w:r w:rsidR="00270999">
        <w:noBreakHyphen/>
      </w:r>
      <w:r w:rsidRPr="00235A7B">
        <w:t xml:space="preserve">way Sales Reconciliation Mechanism (SRM) for the </w:t>
      </w:r>
      <w:r w:rsidR="00D16A62">
        <w:t>E</w:t>
      </w:r>
      <w:r w:rsidRPr="00235A7B" w:rsidR="00D16A62">
        <w:t xml:space="preserve">scalation </w:t>
      </w:r>
      <w:r w:rsidR="00D16A62">
        <w:t>Y</w:t>
      </w:r>
      <w:r w:rsidRPr="00235A7B" w:rsidR="00D16A62">
        <w:t>ears</w:t>
      </w:r>
      <w:r w:rsidR="00D16A62">
        <w:t xml:space="preserve"> (EYs)</w:t>
      </w:r>
      <w:r w:rsidRPr="00235A7B" w:rsidR="00D16A62">
        <w:t xml:space="preserve"> </w:t>
      </w:r>
      <w:r w:rsidRPr="00235A7B">
        <w:t xml:space="preserve">in this </w:t>
      </w:r>
      <w:r w:rsidR="00191DA5">
        <w:t>GRC</w:t>
      </w:r>
      <w:r w:rsidRPr="00235A7B">
        <w:t xml:space="preserve"> cycle. The SRM will trigger if, for any individual district, the recorded aggregate sales for the most recent year deviate by more than </w:t>
      </w:r>
      <w:r w:rsidR="0032703D">
        <w:t>five</w:t>
      </w:r>
      <w:r w:rsidRPr="00235A7B">
        <w:t xml:space="preserve"> percent (either higher or lower) from the adopted sales forecast. The SRM will apply an adjustment equal to 50</w:t>
      </w:r>
      <w:r w:rsidR="0032703D">
        <w:t> percent</w:t>
      </w:r>
      <w:r w:rsidRPr="00235A7B">
        <w:t xml:space="preserve"> of the recorded variance to the adopted sales forecast for the upcoming </w:t>
      </w:r>
      <w:r w:rsidR="00D16A62">
        <w:t>EY</w:t>
      </w:r>
      <w:r w:rsidRPr="00235A7B">
        <w:t>.</w:t>
      </w:r>
    </w:p>
    <w:p w:rsidR="00914F82" w:rsidP="00914F82" w:rsidRDefault="00914F82" w14:paraId="46B944D0" w14:textId="1054663D">
      <w:pPr>
        <w:pStyle w:val="OP"/>
      </w:pPr>
      <w:r w:rsidRPr="00235A7B">
        <w:t>Cal</w:t>
      </w:r>
      <w:r>
        <w:t>ifornia</w:t>
      </w:r>
      <w:r w:rsidRPr="00235A7B">
        <w:t xml:space="preserve"> Water Service Company shall </w:t>
      </w:r>
      <w:r w:rsidR="006C795D">
        <w:t>submit</w:t>
      </w:r>
      <w:r w:rsidRPr="00235A7B" w:rsidR="006C795D">
        <w:t xml:space="preserve"> </w:t>
      </w:r>
      <w:r w:rsidRPr="00235A7B">
        <w:t xml:space="preserve">a </w:t>
      </w:r>
      <w:r w:rsidR="00EB50F8">
        <w:t>Tier 1</w:t>
      </w:r>
      <w:r w:rsidRPr="00235A7B">
        <w:t xml:space="preserve"> </w:t>
      </w:r>
      <w:r w:rsidR="00752B5D">
        <w:t>advice letter</w:t>
      </w:r>
      <w:r w:rsidRPr="00235A7B">
        <w:t xml:space="preserve"> no later than </w:t>
      </w:r>
      <w:r w:rsidR="006C795D">
        <w:t xml:space="preserve">60 </w:t>
      </w:r>
      <w:r w:rsidRPr="00235A7B">
        <w:t xml:space="preserve">days </w:t>
      </w:r>
      <w:r w:rsidR="006C795D">
        <w:t>after</w:t>
      </w:r>
      <w:r w:rsidRPr="00235A7B" w:rsidR="006C795D">
        <w:t xml:space="preserve"> </w:t>
      </w:r>
      <w:r w:rsidRPr="00235A7B">
        <w:t xml:space="preserve">the effective date of this decision to </w:t>
      </w:r>
      <w:r w:rsidR="006C795D">
        <w:t>update</w:t>
      </w:r>
      <w:r w:rsidRPr="00235A7B" w:rsidR="006C795D">
        <w:t xml:space="preserve"> </w:t>
      </w:r>
      <w:r w:rsidRPr="00235A7B">
        <w:t>its preliminary statement</w:t>
      </w:r>
      <w:r w:rsidR="006C795D">
        <w:t xml:space="preserve"> for the</w:t>
      </w:r>
      <w:r w:rsidRPr="00235A7B">
        <w:t xml:space="preserve"> Monterey Water Revenue Adjustment Mechanism and Incremental Cost Balancing Account </w:t>
      </w:r>
      <w:r w:rsidR="006C795D">
        <w:t xml:space="preserve">to reflect final rates that include </w:t>
      </w:r>
      <w:r w:rsidRPr="00235A7B">
        <w:t>modifications to the existing four</w:t>
      </w:r>
      <w:r w:rsidR="00270999">
        <w:noBreakHyphen/>
      </w:r>
      <w:r w:rsidRPr="00235A7B">
        <w:t xml:space="preserve">tier volumetric structure, including a reduction of the tier multiplier for </w:t>
      </w:r>
      <w:r w:rsidR="00EB50F8">
        <w:t>Tier 4</w:t>
      </w:r>
      <w:r w:rsidRPr="00235A7B">
        <w:t xml:space="preserve"> from 187</w:t>
      </w:r>
      <w:r w:rsidR="0032703D">
        <w:t> percent</w:t>
      </w:r>
      <w:r w:rsidRPr="00235A7B">
        <w:t xml:space="preserve"> to 150</w:t>
      </w:r>
      <w:r w:rsidR="0032703D">
        <w:t> percent</w:t>
      </w:r>
      <w:r w:rsidRPr="00235A7B">
        <w:t xml:space="preserve"> and a</w:t>
      </w:r>
      <w:r w:rsidR="006C795D">
        <w:t xml:space="preserve"> five percent </w:t>
      </w:r>
      <w:r w:rsidR="00B22732">
        <w:t>increase</w:t>
      </w:r>
      <w:r w:rsidR="006C795D">
        <w:t xml:space="preserve"> </w:t>
      </w:r>
      <w:r w:rsidRPr="006C795D" w:rsidR="006C795D">
        <w:t>in fixed cost recovery through the fixed service charge</w:t>
      </w:r>
      <w:r w:rsidRPr="00235A7B">
        <w:t xml:space="preserve">, and </w:t>
      </w:r>
      <w:r w:rsidR="006C795D">
        <w:t>r</w:t>
      </w:r>
      <w:r w:rsidRPr="00235A7B" w:rsidR="006C795D">
        <w:t>einstate</w:t>
      </w:r>
      <w:r w:rsidR="00BE0E44">
        <w:t>ment of</w:t>
      </w:r>
      <w:r w:rsidRPr="00235A7B" w:rsidR="006C795D">
        <w:t xml:space="preserve"> </w:t>
      </w:r>
      <w:r w:rsidRPr="00235A7B">
        <w:t>a two</w:t>
      </w:r>
      <w:r w:rsidR="00270999">
        <w:noBreakHyphen/>
      </w:r>
      <w:r w:rsidRPr="00235A7B">
        <w:t>way Sales Reconciliation Mechanism for the escalation years.</w:t>
      </w:r>
    </w:p>
    <w:p w:rsidR="00914F82" w:rsidP="00914F82" w:rsidRDefault="00914F82" w14:paraId="33762887" w14:textId="6B48931E">
      <w:pPr>
        <w:pStyle w:val="OP"/>
      </w:pPr>
      <w:r w:rsidRPr="00235A7B">
        <w:t>Cal</w:t>
      </w:r>
      <w:r>
        <w:t>ifornia</w:t>
      </w:r>
      <w:r w:rsidRPr="00235A7B">
        <w:t xml:space="preserve"> Water Service Company shall </w:t>
      </w:r>
      <w:r w:rsidR="006C795D">
        <w:t>submit</w:t>
      </w:r>
      <w:r w:rsidRPr="00235A7B" w:rsidR="006C795D">
        <w:t xml:space="preserve"> </w:t>
      </w:r>
      <w:r w:rsidRPr="00235A7B">
        <w:t xml:space="preserve">a </w:t>
      </w:r>
      <w:r w:rsidR="00EB50F8">
        <w:t>Tier </w:t>
      </w:r>
      <w:r w:rsidR="005314C0">
        <w:t>1</w:t>
      </w:r>
      <w:r w:rsidRPr="00235A7B">
        <w:t xml:space="preserve"> </w:t>
      </w:r>
      <w:r w:rsidR="00752B5D">
        <w:t>advice letter</w:t>
      </w:r>
      <w:r w:rsidRPr="00235A7B">
        <w:t xml:space="preserve"> no later than 30 days from the escalation year</w:t>
      </w:r>
      <w:r w:rsidR="000C0896">
        <w:t>’</w:t>
      </w:r>
      <w:r w:rsidRPr="00235A7B">
        <w:t xml:space="preserve">s effective date, if the </w:t>
      </w:r>
      <w:r w:rsidRPr="00235A7B" w:rsidR="00D4163D">
        <w:t xml:space="preserve">Sales Reconciliation Mechanism </w:t>
      </w:r>
      <w:r w:rsidR="00D4163D">
        <w:t>(</w:t>
      </w:r>
      <w:r w:rsidRPr="00235A7B">
        <w:t>SRM</w:t>
      </w:r>
      <w:r w:rsidR="00D4163D">
        <w:t>)</w:t>
      </w:r>
      <w:r w:rsidRPr="00235A7B">
        <w:t xml:space="preserve"> is triggered. The </w:t>
      </w:r>
      <w:r w:rsidR="00752B5D">
        <w:t>advice letter</w:t>
      </w:r>
      <w:r w:rsidRPr="00235A7B">
        <w:t xml:space="preserve"> shall include:</w:t>
      </w:r>
    </w:p>
    <w:p w:rsidR="00CE0158" w:rsidP="008D5E78" w:rsidRDefault="00914F82" w14:paraId="33047ED7" w14:textId="43E5B12E">
      <w:pPr>
        <w:pStyle w:val="OPSub"/>
        <w:numPr>
          <w:ilvl w:val="1"/>
          <w:numId w:val="19"/>
        </w:numPr>
      </w:pPr>
      <w:r w:rsidRPr="00235A7B">
        <w:t>The calculated variance and the 50</w:t>
      </w:r>
      <w:r w:rsidR="0032703D">
        <w:t> percent</w:t>
      </w:r>
      <w:r w:rsidRPr="00235A7B">
        <w:t xml:space="preserve"> adjustment, and provide supporting calculations and explanations for each district in which the SRM is triggered</w:t>
      </w:r>
      <w:r w:rsidR="00326C9A">
        <w:t>;</w:t>
      </w:r>
    </w:p>
    <w:p w:rsidR="00914F82" w:rsidP="008D5E78" w:rsidRDefault="00914F82" w14:paraId="21F2F6D4" w14:textId="4ED9FB69">
      <w:pPr>
        <w:pStyle w:val="OPSub"/>
        <w:numPr>
          <w:ilvl w:val="1"/>
          <w:numId w:val="19"/>
        </w:numPr>
      </w:pPr>
      <w:r w:rsidRPr="00235A7B">
        <w:t>The resulting rate impact reflecting the adjusted consumption forecast, with supporting calculations</w:t>
      </w:r>
      <w:r w:rsidR="00326C9A">
        <w:t>; and</w:t>
      </w:r>
    </w:p>
    <w:p w:rsidR="00914F82" w:rsidP="008D5E78" w:rsidRDefault="00914F82" w14:paraId="74EDF780" w14:textId="446B491D">
      <w:pPr>
        <w:pStyle w:val="OPSub"/>
        <w:numPr>
          <w:ilvl w:val="1"/>
          <w:numId w:val="19"/>
        </w:numPr>
      </w:pPr>
      <w:r w:rsidRPr="00235A7B">
        <w:lastRenderedPageBreak/>
        <w:t>Identification</w:t>
      </w:r>
      <w:r w:rsidR="006C795D">
        <w:t>, and no implementation of,</w:t>
      </w:r>
      <w:r w:rsidRPr="00235A7B">
        <w:t xml:space="preserve"> of any overlapping relief mechanisms.</w:t>
      </w:r>
    </w:p>
    <w:p w:rsidRPr="00960D57" w:rsidR="00971405" w:rsidP="001905AD" w:rsidRDefault="00971405" w14:paraId="07FF549B" w14:textId="564B4668">
      <w:pPr>
        <w:pStyle w:val="Section"/>
      </w:pPr>
      <w:r w:rsidRPr="00960D57">
        <w:t xml:space="preserve">Scoped </w:t>
      </w:r>
      <w:r w:rsidR="00084475">
        <w:t>Issue #</w:t>
      </w:r>
      <w:r w:rsidRPr="00960D57">
        <w:t>6</w:t>
      </w:r>
      <w:r w:rsidR="00AE44B3">
        <w:t> </w:t>
      </w:r>
      <w:r w:rsidRPr="00960D57">
        <w:t>— Compliance and Reporting Requirements</w:t>
      </w:r>
    </w:p>
    <w:p w:rsidRPr="00960D57" w:rsidR="00A7576B" w:rsidP="00971405" w:rsidRDefault="00657317" w14:paraId="4273AFA6" w14:textId="742F6479">
      <w:pPr>
        <w:pStyle w:val="OP"/>
      </w:pPr>
      <w:r>
        <w:t xml:space="preserve">In its </w:t>
      </w:r>
      <w:r w:rsidR="00F27172">
        <w:t>next</w:t>
      </w:r>
      <w:r>
        <w:t xml:space="preserve"> General Rate Case, </w:t>
      </w:r>
      <w:r w:rsidRPr="00960D57">
        <w:t xml:space="preserve">California Water Service Company shall </w:t>
      </w:r>
      <w:r>
        <w:t>provide a compliance report as part of its witness-sponsored testimony</w:t>
      </w:r>
      <w:r w:rsidR="009D2C55">
        <w:t>.</w:t>
      </w:r>
      <w:r>
        <w:t xml:space="preserve"> </w:t>
      </w:r>
      <w:r w:rsidR="009D2C55">
        <w:t>T</w:t>
      </w:r>
      <w:r>
        <w:t>he compliance</w:t>
      </w:r>
      <w:r w:rsidRPr="00960D57">
        <w:t xml:space="preserve"> report </w:t>
      </w:r>
      <w:r>
        <w:t>shall</w:t>
      </w:r>
      <w:r w:rsidR="009D2C55">
        <w:t xml:space="preserve"> </w:t>
      </w:r>
      <w:r w:rsidRPr="00960D57" w:rsidR="00971405">
        <w:t>include:</w:t>
      </w:r>
    </w:p>
    <w:p w:rsidRPr="00960D57" w:rsidR="00A7576B" w:rsidP="008D5E78" w:rsidRDefault="00971405" w14:paraId="3249D20C" w14:textId="6733DADC">
      <w:pPr>
        <w:pStyle w:val="OPSub"/>
        <w:numPr>
          <w:ilvl w:val="1"/>
          <w:numId w:val="19"/>
        </w:numPr>
      </w:pPr>
      <w:r w:rsidRPr="00960D57">
        <w:t>Comprehensive reconciliations of all balancing</w:t>
      </w:r>
      <w:r w:rsidR="00270999">
        <w:noBreakHyphen/>
      </w:r>
      <w:r w:rsidRPr="00960D57">
        <w:t>account activities for the relevant reporting period;</w:t>
      </w:r>
    </w:p>
    <w:p w:rsidRPr="00960D57" w:rsidR="00A7576B" w:rsidP="008D5E78" w:rsidRDefault="00971405" w14:paraId="29AED09A" w14:textId="42D843D3">
      <w:pPr>
        <w:pStyle w:val="OPSub"/>
        <w:numPr>
          <w:ilvl w:val="1"/>
          <w:numId w:val="19"/>
        </w:numPr>
      </w:pPr>
      <w:r w:rsidRPr="00960D57">
        <w:t>Updated documentation of infrastructure</w:t>
      </w:r>
      <w:r w:rsidR="00270999">
        <w:noBreakHyphen/>
      </w:r>
      <w:r w:rsidRPr="00960D57">
        <w:t>project timelines, milestones, and any delays; and</w:t>
      </w:r>
    </w:p>
    <w:p w:rsidRPr="00960D57" w:rsidR="00E606CA" w:rsidP="008D5E78" w:rsidRDefault="00971405" w14:paraId="7551CB89" w14:textId="201A2EC7">
      <w:pPr>
        <w:pStyle w:val="OPSub"/>
        <w:numPr>
          <w:ilvl w:val="1"/>
          <w:numId w:val="19"/>
        </w:numPr>
      </w:pPr>
      <w:r w:rsidRPr="00960D57">
        <w:t>A description of improvements made to internal compliance</w:t>
      </w:r>
      <w:r w:rsidR="00270999">
        <w:noBreakHyphen/>
      </w:r>
      <w:r w:rsidRPr="00960D57">
        <w:t>tracking and data</w:t>
      </w:r>
      <w:r w:rsidR="00270999">
        <w:noBreakHyphen/>
      </w:r>
      <w:r w:rsidRPr="00960D57">
        <w:t>access processes.</w:t>
      </w:r>
    </w:p>
    <w:p w:rsidRPr="00960D57" w:rsidR="00267C5A" w:rsidP="001905AD" w:rsidRDefault="00267C5A" w14:paraId="28174CF7" w14:textId="068A0BD4">
      <w:pPr>
        <w:pStyle w:val="Section"/>
      </w:pPr>
      <w:r w:rsidRPr="00960D57">
        <w:t xml:space="preserve">Scoped </w:t>
      </w:r>
      <w:r w:rsidR="00084475">
        <w:t>Issue #</w:t>
      </w:r>
      <w:r w:rsidRPr="00960D57">
        <w:t xml:space="preserve">9 and Scoped </w:t>
      </w:r>
      <w:r w:rsidR="00084475">
        <w:t>Issue #</w:t>
      </w:r>
      <w:r w:rsidRPr="00960D57">
        <w:t>14</w:t>
      </w:r>
      <w:r w:rsidR="00AE44B3">
        <w:t> </w:t>
      </w:r>
      <w:r w:rsidRPr="00960D57">
        <w:t>— RSF</w:t>
      </w:r>
    </w:p>
    <w:p w:rsidRPr="00960D57" w:rsidR="00267C5A" w:rsidP="00267C5A" w:rsidRDefault="00CE0A8D" w14:paraId="66666F0F" w14:textId="0428B657">
      <w:pPr>
        <w:pStyle w:val="OP"/>
      </w:pPr>
      <w:r w:rsidRPr="00960D57">
        <w:t xml:space="preserve">This decision </w:t>
      </w:r>
      <w:r w:rsidRPr="00960D57" w:rsidR="00267C5A">
        <w:t>adopts a three</w:t>
      </w:r>
      <w:r w:rsidR="00270999">
        <w:noBreakHyphen/>
      </w:r>
      <w:r w:rsidRPr="00960D57" w:rsidR="00267C5A">
        <w:t xml:space="preserve">tier discount structure for the Rate Support Fund </w:t>
      </w:r>
      <w:r w:rsidRPr="007765E7" w:rsidR="007765E7">
        <w:t>for the Kern River Valley District</w:t>
      </w:r>
      <w:r w:rsidR="007765E7">
        <w:t xml:space="preserve"> </w:t>
      </w:r>
      <w:r w:rsidRPr="00960D57" w:rsidR="00267C5A">
        <w:t>as follows:</w:t>
      </w:r>
    </w:p>
    <w:p w:rsidRPr="00960D57" w:rsidR="00267C5A" w:rsidP="008D5E78" w:rsidRDefault="00267C5A" w14:paraId="25B0F997" w14:textId="51FA5C8F">
      <w:pPr>
        <w:pStyle w:val="OPSub"/>
        <w:numPr>
          <w:ilvl w:val="1"/>
          <w:numId w:val="19"/>
        </w:numPr>
      </w:pPr>
      <w:r w:rsidRPr="00960D57">
        <w:t>For the first six (6) hundred cubic feet of usage per month, the discount shall equal the difference between the test</w:t>
      </w:r>
      <w:r w:rsidR="00270999">
        <w:noBreakHyphen/>
      </w:r>
      <w:r w:rsidRPr="00960D57">
        <w:t>year single</w:t>
      </w:r>
      <w:r w:rsidR="00270999">
        <w:noBreakHyphen/>
      </w:r>
      <w:r w:rsidRPr="00960D57">
        <w:t>quantity rate and 100</w:t>
      </w:r>
      <w:r w:rsidR="0032703D">
        <w:t> percent</w:t>
      </w:r>
      <w:r w:rsidRPr="00960D57">
        <w:t xml:space="preserve"> of the systemwide average test</w:t>
      </w:r>
      <w:r w:rsidR="00270999">
        <w:noBreakHyphen/>
      </w:r>
      <w:r w:rsidRPr="00960D57">
        <w:t>year residential quantity rate.</w:t>
      </w:r>
    </w:p>
    <w:p w:rsidRPr="00960D57" w:rsidR="00267C5A" w:rsidP="008D5E78" w:rsidRDefault="00267C5A" w14:paraId="75F7AF5B" w14:textId="51E28D6D">
      <w:pPr>
        <w:pStyle w:val="OPSub"/>
        <w:numPr>
          <w:ilvl w:val="1"/>
          <w:numId w:val="19"/>
        </w:numPr>
      </w:pPr>
      <w:r w:rsidRPr="00960D57">
        <w:t>For usage from seven (7) to ten (10) hundred cubic feet per month, the discount shall equal the difference between the test</w:t>
      </w:r>
      <w:r w:rsidR="00270999">
        <w:noBreakHyphen/>
      </w:r>
      <w:r w:rsidRPr="00960D57">
        <w:t>year single</w:t>
      </w:r>
      <w:r w:rsidR="00270999">
        <w:noBreakHyphen/>
      </w:r>
      <w:r w:rsidRPr="00960D57">
        <w:t>quantity rate and 150</w:t>
      </w:r>
      <w:r w:rsidR="008C1B3F">
        <w:t> percent</w:t>
      </w:r>
      <w:r w:rsidRPr="00960D57">
        <w:t xml:space="preserve"> of the systemwide average test</w:t>
      </w:r>
      <w:r w:rsidR="00270999">
        <w:noBreakHyphen/>
      </w:r>
      <w:r w:rsidRPr="00960D57">
        <w:t>year residential quantity rate.</w:t>
      </w:r>
    </w:p>
    <w:p w:rsidRPr="00960D57" w:rsidR="00267C5A" w:rsidP="008D5E78" w:rsidRDefault="00267C5A" w14:paraId="240BFE11" w14:textId="4681A084">
      <w:pPr>
        <w:pStyle w:val="OPSub"/>
        <w:numPr>
          <w:ilvl w:val="1"/>
          <w:numId w:val="19"/>
        </w:numPr>
      </w:pPr>
      <w:r w:rsidRPr="00960D57">
        <w:t>For all usage above ten (10) hundred cubic feet per month, the discount shall equal $175,000 divided by the adopted sales for the test year above ten (10) hundred cubic feet.</w:t>
      </w:r>
    </w:p>
    <w:p w:rsidRPr="00960D57" w:rsidR="00267C5A" w:rsidP="00267C5A" w:rsidRDefault="00267C5A" w14:paraId="7BD90860" w14:textId="28E7EAF8">
      <w:pPr>
        <w:pStyle w:val="OP"/>
      </w:pPr>
      <w:r w:rsidRPr="00960D57">
        <w:t>Rate Support Fund offsets shall apply as follows:</w:t>
      </w:r>
    </w:p>
    <w:p w:rsidRPr="00960D57" w:rsidR="00267C5A" w:rsidP="008D5E78" w:rsidRDefault="00267C5A" w14:paraId="022E4E54" w14:textId="77777777">
      <w:pPr>
        <w:pStyle w:val="OPSub"/>
        <w:numPr>
          <w:ilvl w:val="1"/>
          <w:numId w:val="19"/>
        </w:numPr>
      </w:pPr>
      <w:r w:rsidRPr="00960D57">
        <w:t>The Willows District shall receive an offset of $700,000.</w:t>
      </w:r>
    </w:p>
    <w:p w:rsidRPr="00960D57" w:rsidR="00267C5A" w:rsidP="008D5E78" w:rsidRDefault="00267C5A" w14:paraId="45F700AF" w14:textId="77777777">
      <w:pPr>
        <w:pStyle w:val="OPSub"/>
        <w:numPr>
          <w:ilvl w:val="1"/>
          <w:numId w:val="19"/>
        </w:numPr>
      </w:pPr>
      <w:r w:rsidRPr="00960D57">
        <w:t>The Selma District shall receive an offset of $500,000.</w:t>
      </w:r>
    </w:p>
    <w:p w:rsidRPr="00960D57" w:rsidR="00267C5A" w:rsidP="008D5E78" w:rsidRDefault="00267C5A" w14:paraId="5C7F5F8B" w14:textId="0F5E5600">
      <w:pPr>
        <w:pStyle w:val="OPSub"/>
        <w:numPr>
          <w:ilvl w:val="1"/>
          <w:numId w:val="19"/>
        </w:numPr>
      </w:pPr>
      <w:r w:rsidRPr="00960D57">
        <w:t>The Dixon District shall have its offset removed upon consolidation with the Livermore District.</w:t>
      </w:r>
    </w:p>
    <w:p w:rsidRPr="00960D57" w:rsidR="00267C5A" w:rsidP="00267C5A" w:rsidRDefault="00267C5A" w14:paraId="440CCE1E" w14:textId="3115F812">
      <w:pPr>
        <w:pStyle w:val="OP"/>
      </w:pPr>
      <w:r w:rsidRPr="00960D57">
        <w:lastRenderedPageBreak/>
        <w:t>The Rate Support Fund index rates and the company</w:t>
      </w:r>
      <w:r w:rsidR="00270999">
        <w:noBreakHyphen/>
      </w:r>
      <w:r w:rsidRPr="00960D57">
        <w:t>wide surcharge shall be updated by California Water Service Company to reflect the final adopted revenues and rates approved in this decision.</w:t>
      </w:r>
    </w:p>
    <w:p w:rsidRPr="00341211" w:rsidR="00F27172" w:rsidP="00341211" w:rsidRDefault="00267C5A" w14:paraId="490F1354" w14:textId="32DA9B9D">
      <w:pPr>
        <w:pStyle w:val="OP"/>
      </w:pPr>
      <w:r w:rsidRPr="00960D57">
        <w:t>California Water Service Company shall implement the settlement terms related to the Rate Support Fund as part of its next compliance advice</w:t>
      </w:r>
      <w:r w:rsidR="00270999">
        <w:noBreakHyphen/>
      </w:r>
      <w:r w:rsidRPr="00960D57">
        <w:t>letter filing effectuating the final revenue</w:t>
      </w:r>
      <w:r w:rsidR="00270999">
        <w:noBreakHyphen/>
      </w:r>
      <w:r w:rsidRPr="00960D57">
        <w:t>requirement and rate</w:t>
      </w:r>
      <w:r w:rsidR="00270999">
        <w:noBreakHyphen/>
      </w:r>
      <w:r w:rsidRPr="00960D57">
        <w:t>design determinations adopted by</w:t>
      </w:r>
      <w:r w:rsidRPr="00960D57" w:rsidR="009C62DA">
        <w:t xml:space="preserve"> </w:t>
      </w:r>
      <w:r w:rsidRPr="00960D57" w:rsidR="00721CDD">
        <w:t>this decision.</w:t>
      </w:r>
    </w:p>
    <w:p w:rsidRPr="00960D57" w:rsidR="002C0FE8" w:rsidP="001905AD" w:rsidRDefault="002C0FE8" w14:paraId="058F49FC" w14:textId="74DE5FD3">
      <w:pPr>
        <w:pStyle w:val="Section"/>
      </w:pPr>
      <w:r w:rsidRPr="00960D57">
        <w:t xml:space="preserve">Scoped </w:t>
      </w:r>
      <w:r w:rsidR="00084475">
        <w:t>Issue #</w:t>
      </w:r>
      <w:r w:rsidRPr="00960D57">
        <w:t>11</w:t>
      </w:r>
      <w:r w:rsidR="00AE44B3">
        <w:t> </w:t>
      </w:r>
      <w:r w:rsidRPr="00960D57">
        <w:t>— Environmental and Social Justice Considerations</w:t>
      </w:r>
    </w:p>
    <w:p w:rsidRPr="00960D57" w:rsidR="002C0FE8" w:rsidP="002C0FE8" w:rsidRDefault="002C0FE8" w14:paraId="1F60C0D5" w14:textId="338A4D02">
      <w:pPr>
        <w:pStyle w:val="OP"/>
      </w:pPr>
      <w:r w:rsidRPr="00960D57">
        <w:t xml:space="preserve">In its next </w:t>
      </w:r>
      <w:r w:rsidRPr="00960D57" w:rsidR="009C62DA">
        <w:t>G</w:t>
      </w:r>
      <w:r w:rsidRPr="00960D57">
        <w:t xml:space="preserve">eneral </w:t>
      </w:r>
      <w:r w:rsidRPr="00960D57" w:rsidR="009C62DA">
        <w:t>R</w:t>
      </w:r>
      <w:r w:rsidRPr="00960D57">
        <w:t xml:space="preserve">ate </w:t>
      </w:r>
      <w:r w:rsidRPr="00960D57" w:rsidR="009C62DA">
        <w:t>C</w:t>
      </w:r>
      <w:r w:rsidRPr="00960D57">
        <w:t xml:space="preserve">ase, </w:t>
      </w:r>
      <w:r w:rsidRPr="00960D57" w:rsidR="0054084A">
        <w:t>California Water Service Company</w:t>
      </w:r>
      <w:r w:rsidRPr="00960D57">
        <w:t xml:space="preserve"> shall include a dedicated </w:t>
      </w:r>
      <w:r w:rsidRPr="00960D57" w:rsidR="0054084A">
        <w:t xml:space="preserve">Environmental and Social Justice </w:t>
      </w:r>
      <w:r w:rsidR="0054084A">
        <w:t>(</w:t>
      </w:r>
      <w:r w:rsidRPr="00960D57">
        <w:t>ESJ</w:t>
      </w:r>
      <w:r w:rsidR="0054084A">
        <w:t>)</w:t>
      </w:r>
      <w:r w:rsidRPr="00960D57">
        <w:t xml:space="preserve"> Implementation Summary providing:</w:t>
      </w:r>
    </w:p>
    <w:p w:rsidRPr="00960D57" w:rsidR="002C0FE8" w:rsidP="008D5E78" w:rsidRDefault="002C0FE8" w14:paraId="312BF006" w14:textId="3A03512C">
      <w:pPr>
        <w:pStyle w:val="OPSub"/>
        <w:numPr>
          <w:ilvl w:val="1"/>
          <w:numId w:val="19"/>
        </w:numPr>
      </w:pPr>
      <w:r w:rsidRPr="00960D57">
        <w:t>District</w:t>
      </w:r>
      <w:r w:rsidR="00270999">
        <w:noBreakHyphen/>
      </w:r>
      <w:r w:rsidRPr="00960D57">
        <w:t>level data identifying infrastructure investments made in disadvantaged communities;</w:t>
      </w:r>
    </w:p>
    <w:p w:rsidRPr="00960D57" w:rsidR="002C0FE8" w:rsidP="008D5E78" w:rsidRDefault="004115ED" w14:paraId="644CFB9F" w14:textId="6B827844">
      <w:pPr>
        <w:pStyle w:val="OPSub"/>
        <w:numPr>
          <w:ilvl w:val="1"/>
          <w:numId w:val="19"/>
        </w:numPr>
      </w:pPr>
      <w:r w:rsidRPr="00960D57">
        <w:t>Information on participation in customer</w:t>
      </w:r>
      <w:r w:rsidR="00270999">
        <w:noBreakHyphen/>
      </w:r>
      <w:r w:rsidRPr="00960D57">
        <w:t>assistance and arrearage</w:t>
      </w:r>
      <w:r w:rsidR="00270999">
        <w:noBreakHyphen/>
      </w:r>
      <w:r w:rsidRPr="00960D57">
        <w:t>management programs, with any affordability metrics and reporting governed prospectively by Decision (D.)</w:t>
      </w:r>
      <w:r w:rsidR="005D1097">
        <w:t> </w:t>
      </w:r>
      <w:r w:rsidRPr="00960D57">
        <w:t>25</w:t>
      </w:r>
      <w:r w:rsidR="00270999">
        <w:noBreakHyphen/>
      </w:r>
      <w:r w:rsidRPr="00960D57">
        <w:t>12</w:t>
      </w:r>
      <w:r w:rsidR="00270999">
        <w:noBreakHyphen/>
      </w:r>
      <w:r w:rsidRPr="00960D57">
        <w:t>044</w:t>
      </w:r>
      <w:r w:rsidRPr="00960D57" w:rsidR="002C0FE8">
        <w:t>; and</w:t>
      </w:r>
    </w:p>
    <w:p w:rsidRPr="00960D57" w:rsidR="002C0FE8" w:rsidP="008D5E78" w:rsidRDefault="002C0FE8" w14:paraId="6B803C38" w14:textId="27E6BC7A">
      <w:pPr>
        <w:pStyle w:val="OPSub"/>
        <w:numPr>
          <w:ilvl w:val="1"/>
          <w:numId w:val="19"/>
        </w:numPr>
      </w:pPr>
      <w:r w:rsidRPr="00960D57">
        <w:t>Customer</w:t>
      </w:r>
      <w:r w:rsidR="00270999">
        <w:noBreakHyphen/>
      </w:r>
      <w:r w:rsidRPr="00960D57">
        <w:t xml:space="preserve">participation statistics for the Customer Assistance Program and the </w:t>
      </w:r>
      <w:r w:rsidRPr="000E26A5" w:rsidR="000E26A5">
        <w:t>Arrearage Management Program</w:t>
      </w:r>
      <w:r w:rsidRPr="00960D57">
        <w:t>, including outreach and enrollment efforts targeting disadvantaged communities.</w:t>
      </w:r>
    </w:p>
    <w:p w:rsidRPr="00960D57" w:rsidR="004115ED" w:rsidP="00A7213C" w:rsidRDefault="002C0FE8" w14:paraId="4EA9A44C" w14:textId="64184E08">
      <w:pPr>
        <w:pStyle w:val="Standard"/>
      </w:pPr>
      <w:r w:rsidRPr="00960D57">
        <w:t xml:space="preserve">The ESJ Implementation Summary shall </w:t>
      </w:r>
      <w:r w:rsidRPr="00960D57" w:rsidR="004115ED">
        <w:t xml:space="preserve">describe how the reported information aligns with the ESJ Action Plan and shall demonstrate progress toward equitable access to safe and reliable service. Any affordability metrics, thresholds, or reporting requirements shall be implemented consistent with, and subject to, the </w:t>
      </w:r>
      <w:r w:rsidRPr="00960D57" w:rsidR="000377E5">
        <w:t>Commission</w:t>
      </w:r>
      <w:r w:rsidR="000C0896">
        <w:t>’</w:t>
      </w:r>
      <w:r w:rsidRPr="00960D57" w:rsidR="004115ED">
        <w:t>s affordability framework adopted in D.25</w:t>
      </w:r>
      <w:r w:rsidR="00270999">
        <w:noBreakHyphen/>
      </w:r>
      <w:r w:rsidRPr="00960D57" w:rsidR="004115ED">
        <w:t>12</w:t>
      </w:r>
      <w:r w:rsidR="00270999">
        <w:noBreakHyphen/>
      </w:r>
      <w:r w:rsidRPr="00960D57" w:rsidR="004115ED">
        <w:t>044.</w:t>
      </w:r>
    </w:p>
    <w:p w:rsidRPr="00960D57" w:rsidR="002C0FE8" w:rsidP="001905AD" w:rsidRDefault="002C0FE8" w14:paraId="5099D5F4" w14:textId="2F7A5F89">
      <w:pPr>
        <w:pStyle w:val="Section"/>
      </w:pPr>
      <w:r w:rsidRPr="00960D57">
        <w:t xml:space="preserve">Scoped </w:t>
      </w:r>
      <w:r w:rsidR="00084475">
        <w:t>Issue #</w:t>
      </w:r>
      <w:r w:rsidRPr="00960D57">
        <w:t>12</w:t>
      </w:r>
      <w:r w:rsidR="00AE44B3">
        <w:t> </w:t>
      </w:r>
      <w:r w:rsidRPr="00960D57">
        <w:t>— Balancing and Memorandum Accounts</w:t>
      </w:r>
    </w:p>
    <w:p w:rsidR="00CE0158" w:rsidP="002C0FE8" w:rsidRDefault="002C0FE8" w14:paraId="3A6DD049" w14:textId="52F0603B">
      <w:pPr>
        <w:pStyle w:val="OP"/>
      </w:pPr>
      <w:r w:rsidRPr="00960D57">
        <w:t xml:space="preserve">The </w:t>
      </w:r>
      <w:r w:rsidR="0032302E">
        <w:t>B</w:t>
      </w:r>
      <w:r w:rsidRPr="00960D57" w:rsidR="0032302E">
        <w:t xml:space="preserve">alancing </w:t>
      </w:r>
      <w:r w:rsidRPr="00960D57" w:rsidR="00EF07DF">
        <w:t xml:space="preserve">and </w:t>
      </w:r>
      <w:r w:rsidR="0032302E">
        <w:t>M</w:t>
      </w:r>
      <w:r w:rsidRPr="00960D57" w:rsidR="0032302E">
        <w:t xml:space="preserve">emorandum </w:t>
      </w:r>
      <w:r w:rsidR="0032302E">
        <w:t>A</w:t>
      </w:r>
      <w:r w:rsidRPr="00960D57" w:rsidR="0032302E">
        <w:t xml:space="preserve">ccounts </w:t>
      </w:r>
      <w:r w:rsidR="003B28BA">
        <w:t xml:space="preserve">(BAMAs) </w:t>
      </w:r>
      <w:r w:rsidRPr="00960D57">
        <w:t>proposed by California Water Service Company</w:t>
      </w:r>
      <w:r w:rsidR="004D6720">
        <w:t xml:space="preserve"> (Cal Water)</w:t>
      </w:r>
      <w:r w:rsidRPr="00960D57">
        <w:t xml:space="preserve"> are approved, modified, or </w:t>
      </w:r>
      <w:r w:rsidRPr="00960D57">
        <w:lastRenderedPageBreak/>
        <w:t>denied consistent with the determinations made in Sections</w:t>
      </w:r>
      <w:r w:rsidR="00EF3DDB">
        <w:t> </w:t>
      </w:r>
      <w:r w:rsidRPr="00960D57">
        <w:t>4.20</w:t>
      </w:r>
      <w:r w:rsidR="00270999">
        <w:noBreakHyphen/>
      </w:r>
      <w:r w:rsidRPr="00960D57">
        <w:t>4.23 of this decision.</w:t>
      </w:r>
      <w:r w:rsidR="004D6720">
        <w:t xml:space="preserve"> </w:t>
      </w:r>
      <w:r w:rsidR="00AF57DD">
        <w:t xml:space="preserve">Within 60 days of the effective date of this decision, </w:t>
      </w:r>
      <w:r w:rsidR="004D6720">
        <w:t xml:space="preserve">Cal Water shall </w:t>
      </w:r>
      <w:r w:rsidR="00AF57DD">
        <w:t>submit</w:t>
      </w:r>
      <w:r w:rsidR="004D6720">
        <w:t xml:space="preserve"> a Tier 1 advice letter to update their Preliminary Statement for these BAMAs.</w:t>
      </w:r>
      <w:r w:rsidRPr="00960D57">
        <w:t xml:space="preserve"> Specifically</w:t>
      </w:r>
      <w:r w:rsidRPr="00960D57" w:rsidR="00CF2059">
        <w:t>:</w:t>
      </w:r>
    </w:p>
    <w:p w:rsidRPr="00960D57" w:rsidR="00CF2059" w:rsidP="008D5E78" w:rsidRDefault="002C0FE8" w14:paraId="3C2E280A" w14:textId="16D4BDB3">
      <w:pPr>
        <w:pStyle w:val="OPSub"/>
        <w:numPr>
          <w:ilvl w:val="1"/>
          <w:numId w:val="19"/>
        </w:numPr>
      </w:pPr>
      <w:r w:rsidRPr="00960D57">
        <w:t>The Catastrophic Event Memorandum Account, the Conservation Expense Balancing Account, the Pension Cost Balancing Account, and the Health Cost Balancing Account are authorized to continue for the 2026</w:t>
      </w:r>
      <w:r w:rsidR="00270999">
        <w:noBreakHyphen/>
      </w:r>
      <w:r w:rsidRPr="00960D57">
        <w:t>2028 general rate</w:t>
      </w:r>
      <w:r w:rsidR="00270999">
        <w:noBreakHyphen/>
      </w:r>
      <w:r w:rsidRPr="00960D57">
        <w:t>case cycle under existing terms and conditions.</w:t>
      </w:r>
    </w:p>
    <w:p w:rsidRPr="00960D57" w:rsidR="002C0FE8" w:rsidP="008D5E78" w:rsidRDefault="002C0FE8" w14:paraId="3365CDDB" w14:textId="0AC64DC9">
      <w:pPr>
        <w:pStyle w:val="OPSub"/>
        <w:numPr>
          <w:ilvl w:val="1"/>
          <w:numId w:val="19"/>
        </w:numPr>
      </w:pPr>
      <w:r w:rsidRPr="00960D57">
        <w:t xml:space="preserve">Newly authorized or modified </w:t>
      </w:r>
      <w:r w:rsidR="003B28BA">
        <w:t>BAMA</w:t>
      </w:r>
      <w:r w:rsidRPr="00960D57">
        <w:t>s, including the Liability Insurance Balancing Account and the Water Contamination Remediation Memorandum Account, shall operate only as expressly authorized and subject to the conditions, limitations, and review processes described in this decision.</w:t>
      </w:r>
    </w:p>
    <w:p w:rsidRPr="00960D57" w:rsidR="00CF2059" w:rsidP="00CF2059" w:rsidRDefault="00AF57DD" w14:paraId="67D7FF73" w14:textId="23836504">
      <w:pPr>
        <w:pStyle w:val="OP"/>
      </w:pPr>
      <w:r>
        <w:t xml:space="preserve">Unless otherwise specified, </w:t>
      </w:r>
      <w:r w:rsidRPr="00960D57">
        <w:t xml:space="preserve">California Water Service Company </w:t>
      </w:r>
      <w:r>
        <w:t>shall submit a Tier 1 advice letter for a</w:t>
      </w:r>
      <w:r w:rsidRPr="00960D57">
        <w:t xml:space="preserve">ny </w:t>
      </w:r>
      <w:r w:rsidRPr="00960D57" w:rsidR="002C0FE8">
        <w:t>proposed amortization of a balancing account</w:t>
      </w:r>
      <w:r>
        <w:t>, and</w:t>
      </w:r>
      <w:r w:rsidRPr="00960D57" w:rsidR="002C0FE8">
        <w:t xml:space="preserve"> shall </w:t>
      </w:r>
      <w:r>
        <w:t>submit</w:t>
      </w:r>
      <w:r w:rsidRPr="00960D57" w:rsidR="002C0FE8">
        <w:t xml:space="preserve"> a </w:t>
      </w:r>
      <w:r w:rsidR="00EB50F8">
        <w:t>Tier 3</w:t>
      </w:r>
      <w:r w:rsidRPr="00960D57" w:rsidR="002C0FE8">
        <w:t xml:space="preserve"> </w:t>
      </w:r>
      <w:r w:rsidR="00752B5D">
        <w:t>advice letter</w:t>
      </w:r>
      <w:r w:rsidRPr="00960D57" w:rsidR="002C0FE8">
        <w:t xml:space="preserve"> </w:t>
      </w:r>
      <w:r w:rsidR="00706986">
        <w:t>for any proposed amortization of a memorandum account</w:t>
      </w:r>
      <w:r w:rsidRPr="00960D57" w:rsidR="002C0FE8">
        <w:t>.</w:t>
      </w:r>
    </w:p>
    <w:p w:rsidRPr="00960D57" w:rsidR="00CF2059" w:rsidP="001905AD" w:rsidRDefault="00CF2059" w14:paraId="295146F7" w14:textId="6710B250">
      <w:pPr>
        <w:pStyle w:val="Section"/>
      </w:pPr>
      <w:r w:rsidRPr="00960D57">
        <w:t xml:space="preserve">Scoped </w:t>
      </w:r>
      <w:r w:rsidR="00084475">
        <w:t>Issue #</w:t>
      </w:r>
      <w:r w:rsidRPr="00960D57">
        <w:t>13</w:t>
      </w:r>
      <w:r w:rsidR="00AE44B3">
        <w:t> </w:t>
      </w:r>
      <w:r w:rsidRPr="00960D57">
        <w:t>— District Consolidation</w:t>
      </w:r>
    </w:p>
    <w:p w:rsidR="00CE0158" w:rsidP="00CF2059" w:rsidRDefault="00CF2059" w14:paraId="1D948C52" w14:textId="02C7014E">
      <w:pPr>
        <w:pStyle w:val="OP"/>
      </w:pPr>
      <w:r w:rsidRPr="00960D57">
        <w:t>California Water Service Company (</w:t>
      </w:r>
      <w:r w:rsidR="00EB50F8">
        <w:t>Cal Water</w:t>
      </w:r>
      <w:r w:rsidRPr="00960D57">
        <w:t xml:space="preserve">) is authorized to consolidate the Dixon District and the Livermore District into the Diablo Ranch Region for ratemaking purposes, consistent with the Partial Settlement Agreement and Undisputed Issues List filed on </w:t>
      </w:r>
      <w:r w:rsidR="0068306C">
        <w:t>August </w:t>
      </w:r>
      <w:r w:rsidRPr="00960D57">
        <w:t>4, 2025 (</w:t>
      </w:r>
      <w:r w:rsidR="00546180">
        <w:t>Appendix </w:t>
      </w:r>
      <w:r w:rsidR="001947C4">
        <w:t>Y</w:t>
      </w:r>
      <w:r w:rsidRPr="00960D57">
        <w:t>).</w:t>
      </w:r>
    </w:p>
    <w:p w:rsidRPr="00960D57" w:rsidR="000C0470" w:rsidP="000C0470" w:rsidRDefault="000C0470" w14:paraId="2E6766A7" w14:textId="6A7D3FD2">
      <w:pPr>
        <w:pStyle w:val="OP"/>
        <w:numPr>
          <w:ilvl w:val="0"/>
          <w:numId w:val="0"/>
        </w:numPr>
        <w:rPr>
          <w:i/>
          <w:iCs/>
        </w:rPr>
      </w:pPr>
      <w:r w:rsidRPr="00960D57">
        <w:t xml:space="preserve">Within 60 days of the issuance of this decision, </w:t>
      </w:r>
      <w:r w:rsidR="00EB50F8">
        <w:t>Cal Water</w:t>
      </w:r>
      <w:r w:rsidRPr="00960D57">
        <w:t xml:space="preserve"> shall </w:t>
      </w:r>
      <w:r w:rsidR="00706986">
        <w:t>submit</w:t>
      </w:r>
      <w:r w:rsidRPr="00960D57">
        <w:t xml:space="preserve"> a </w:t>
      </w:r>
      <w:r w:rsidR="00487465">
        <w:t>Tier 1</w:t>
      </w:r>
      <w:r w:rsidRPr="00960D57">
        <w:t xml:space="preserve"> </w:t>
      </w:r>
      <w:r w:rsidR="00752B5D">
        <w:t>advice letter</w:t>
      </w:r>
      <w:r w:rsidRPr="00960D57">
        <w:t xml:space="preserve"> implementing these adjustments consistent with the adopted revenue requirements and tariff schedules approved by the California Public Utilities Commission:</w:t>
      </w:r>
    </w:p>
    <w:p w:rsidRPr="00960D57" w:rsidR="00CF2059" w:rsidP="008D5E78" w:rsidRDefault="000C0470" w14:paraId="4A7E8FAC" w14:textId="006C5572">
      <w:pPr>
        <w:pStyle w:val="OPSub"/>
        <w:numPr>
          <w:ilvl w:val="1"/>
          <w:numId w:val="19"/>
        </w:numPr>
      </w:pPr>
      <w:r w:rsidRPr="00960D57">
        <w:rPr>
          <w:i/>
          <w:iCs/>
        </w:rPr>
        <w:lastRenderedPageBreak/>
        <w:t>Diablo Ranch Region.</w:t>
      </w:r>
      <w:r w:rsidRPr="00960D57">
        <w:t xml:space="preserve"> </w:t>
      </w:r>
      <w:r w:rsidRPr="00960D57" w:rsidR="00CF2059">
        <w:t xml:space="preserve">Within the Diablo Ranch Region, </w:t>
      </w:r>
      <w:r w:rsidR="00EB50F8">
        <w:t>Cal Water</w:t>
      </w:r>
      <w:r w:rsidRPr="00960D57" w:rsidR="00CF2059">
        <w:t xml:space="preserve"> shall maintain separate tariffs for the Dixon District and the Livermore District such that the Dixon District partially subsidizes the consolidated Diablo Ranch Region rates, consistent with the existing structure in the North Valley Region between the Chico District and the Oroville District.</w:t>
      </w:r>
      <w:r w:rsidRPr="00960D57">
        <w:t xml:space="preserve"> </w:t>
      </w:r>
      <w:r w:rsidRPr="00960D57" w:rsidR="00CF2059">
        <w:t>The revenue assessment to the Diablo Ranch Region</w:t>
      </w:r>
      <w:r w:rsidR="00FC4E12">
        <w:t xml:space="preserve"> — </w:t>
      </w:r>
      <w:r w:rsidRPr="00960D57" w:rsidR="00CF2059">
        <w:t>Dixon District shall equal 4.0</w:t>
      </w:r>
      <w:r w:rsidR="008C1B3F">
        <w:t> percent</w:t>
      </w:r>
      <w:r w:rsidRPr="00960D57" w:rsidR="00CF2059">
        <w:t xml:space="preserve"> of consolidated revenues in 2026, 3.5</w:t>
      </w:r>
      <w:r w:rsidR="008C1B3F">
        <w:t> percent</w:t>
      </w:r>
      <w:r w:rsidRPr="00960D57" w:rsidR="00CF2059">
        <w:t xml:space="preserve"> of consolidated revenues in 2027, and 3.0</w:t>
      </w:r>
      <w:r w:rsidR="008C1B3F">
        <w:t> percent</w:t>
      </w:r>
      <w:r w:rsidRPr="00960D57" w:rsidR="00CF2059">
        <w:t xml:space="preserve"> of consolidated revenues in 2028.</w:t>
      </w:r>
    </w:p>
    <w:p w:rsidRPr="000472E2" w:rsidR="000C0470" w:rsidP="008D5E78" w:rsidRDefault="000C0470" w14:paraId="57D28F50" w14:textId="2CB775E4">
      <w:pPr>
        <w:pStyle w:val="OPSub"/>
        <w:numPr>
          <w:ilvl w:val="1"/>
          <w:numId w:val="19"/>
        </w:numPr>
      </w:pPr>
      <w:r w:rsidRPr="00960D57">
        <w:rPr>
          <w:i/>
          <w:iCs/>
        </w:rPr>
        <w:t>North Valley Region</w:t>
      </w:r>
      <w:r w:rsidR="00FC4E12">
        <w:rPr>
          <w:i/>
          <w:iCs/>
        </w:rPr>
        <w:t xml:space="preserve"> — </w:t>
      </w:r>
      <w:r w:rsidRPr="00960D57">
        <w:rPr>
          <w:i/>
          <w:iCs/>
        </w:rPr>
        <w:t xml:space="preserve">Oroville District. </w:t>
      </w:r>
      <w:r w:rsidRPr="00960D57" w:rsidR="00CF2059">
        <w:t>The revenue assessment to the North Valley Region</w:t>
      </w:r>
      <w:r w:rsidR="00FC4E12">
        <w:t xml:space="preserve"> — </w:t>
      </w:r>
      <w:r w:rsidRPr="00960D57" w:rsidR="00CF2059">
        <w:t>Oroville District shall equal 5.7</w:t>
      </w:r>
      <w:r w:rsidR="008C1B3F">
        <w:t> percent</w:t>
      </w:r>
      <w:r w:rsidRPr="00960D57" w:rsidR="00CF2059">
        <w:t xml:space="preserve"> of consolidated revenues in 2026, 5.2</w:t>
      </w:r>
      <w:r w:rsidR="008C1B3F">
        <w:t> percent</w:t>
      </w:r>
      <w:r w:rsidRPr="00960D57" w:rsidR="00CF2059">
        <w:t xml:space="preserve"> in 2027, and 4.7</w:t>
      </w:r>
      <w:r w:rsidR="008C1B3F">
        <w:t> percent</w:t>
      </w:r>
      <w:r w:rsidRPr="00960D57" w:rsidR="00CF2059">
        <w:t xml:space="preserve"> in 2028.</w:t>
      </w:r>
    </w:p>
    <w:p w:rsidRPr="00960D57" w:rsidR="00F93463" w:rsidP="001905AD" w:rsidRDefault="00F93463" w14:paraId="1C56321D" w14:textId="33700DB5">
      <w:pPr>
        <w:pStyle w:val="Section"/>
      </w:pPr>
      <w:r w:rsidRPr="00960D57">
        <w:t xml:space="preserve">Scoped </w:t>
      </w:r>
      <w:r w:rsidR="00084475">
        <w:t>Issue #</w:t>
      </w:r>
      <w:r w:rsidRPr="00960D57">
        <w:t>17</w:t>
      </w:r>
      <w:r w:rsidR="00AE44B3">
        <w:t> </w:t>
      </w:r>
      <w:r w:rsidRPr="00960D57">
        <w:t>— Incorporation of Subsequent Rate Changes (</w:t>
      </w:r>
      <w:r w:rsidR="00F55524">
        <w:t xml:space="preserve">Special </w:t>
      </w:r>
      <w:r w:rsidR="00D92D0A">
        <w:t>Request #</w:t>
      </w:r>
      <w:r w:rsidRPr="00960D57">
        <w:t>5)</w:t>
      </w:r>
    </w:p>
    <w:p w:rsidRPr="00960D57" w:rsidR="00BD485A" w:rsidP="00BD485A" w:rsidRDefault="00F55524" w14:paraId="07E025C4" w14:textId="24C37EE8">
      <w:pPr>
        <w:pStyle w:val="OP"/>
      </w:pPr>
      <w:r>
        <w:t xml:space="preserve">Special </w:t>
      </w:r>
      <w:r w:rsidR="00D92D0A">
        <w:t>Request #</w:t>
      </w:r>
      <w:r w:rsidRPr="00960D57" w:rsidR="00F93463">
        <w:t>5, seeking authorization to incorporate subsequent rate changes into final rates adopted in this General Rate Case, is approved.</w:t>
      </w:r>
    </w:p>
    <w:p w:rsidRPr="00960D57" w:rsidR="00BD485A" w:rsidP="001905AD" w:rsidRDefault="00BD485A" w14:paraId="74163722" w14:textId="364C4D3D">
      <w:pPr>
        <w:pStyle w:val="Section"/>
      </w:pPr>
      <w:r w:rsidRPr="00960D57">
        <w:t xml:space="preserve">Scoped </w:t>
      </w:r>
      <w:r w:rsidR="00084475">
        <w:t>Issue #</w:t>
      </w:r>
      <w:r w:rsidRPr="00960D57">
        <w:t>18</w:t>
      </w:r>
      <w:r w:rsidR="00AE44B3">
        <w:t> </w:t>
      </w:r>
      <w:r w:rsidRPr="00960D57">
        <w:t>— Updating Escalation Factors for Final Rates (</w:t>
      </w:r>
      <w:r w:rsidR="00F55524">
        <w:t xml:space="preserve">Special </w:t>
      </w:r>
      <w:r w:rsidR="00D92D0A">
        <w:t>Request #</w:t>
      </w:r>
      <w:r w:rsidRPr="00960D57">
        <w:t>6)</w:t>
      </w:r>
    </w:p>
    <w:p w:rsidRPr="00960D57" w:rsidR="00550BB5" w:rsidRDefault="00F55524" w14:paraId="033C8C60" w14:textId="2472E3FA">
      <w:pPr>
        <w:pStyle w:val="OP"/>
      </w:pPr>
      <w:r>
        <w:t xml:space="preserve">Special </w:t>
      </w:r>
      <w:r w:rsidR="00D92D0A">
        <w:t>Request #</w:t>
      </w:r>
      <w:r w:rsidRPr="00960D57" w:rsidR="00BD485A">
        <w:t>6, seeking authorization to update escalation factors for final rates, is approved.</w:t>
      </w:r>
    </w:p>
    <w:p w:rsidRPr="00960D57" w:rsidR="00550BB5" w:rsidP="001905AD" w:rsidRDefault="00550BB5" w14:paraId="4A80966A" w14:textId="1D1E2817">
      <w:pPr>
        <w:pStyle w:val="Section"/>
      </w:pPr>
      <w:r w:rsidRPr="00960D57">
        <w:t xml:space="preserve">Scoped </w:t>
      </w:r>
      <w:r w:rsidR="00084475">
        <w:t>Issue #</w:t>
      </w:r>
      <w:r w:rsidRPr="00960D57">
        <w:t>19</w:t>
      </w:r>
      <w:r w:rsidR="00AE44B3">
        <w:t> </w:t>
      </w:r>
      <w:r w:rsidRPr="00960D57">
        <w:t>— Payroll Escalation Based on Union Contract (</w:t>
      </w:r>
      <w:r w:rsidR="00F55524">
        <w:t xml:space="preserve">Special </w:t>
      </w:r>
      <w:r w:rsidR="00D92D0A">
        <w:t>Request #</w:t>
      </w:r>
      <w:r w:rsidRPr="00960D57">
        <w:t>7)</w:t>
      </w:r>
    </w:p>
    <w:p w:rsidR="00CE0158" w:rsidRDefault="00F55524" w14:paraId="03B0C09E" w14:textId="7AE85103">
      <w:pPr>
        <w:pStyle w:val="OP"/>
      </w:pPr>
      <w:r>
        <w:t xml:space="preserve">Special </w:t>
      </w:r>
      <w:r w:rsidR="00D92D0A">
        <w:t>Request #</w:t>
      </w:r>
      <w:r w:rsidRPr="00960D57" w:rsidR="00DD312F">
        <w:t>7 is granted</w:t>
      </w:r>
      <w:r w:rsidR="00F669E8">
        <w:t xml:space="preserve"> in part</w:t>
      </w:r>
      <w:r w:rsidRPr="00960D57" w:rsidR="00DD312F">
        <w:t xml:space="preserve">. California Water Service Company </w:t>
      </w:r>
      <w:r w:rsidR="00F669E8">
        <w:t xml:space="preserve">(Cal Water) </w:t>
      </w:r>
      <w:r w:rsidRPr="00F669E8" w:rsidR="00F669E8">
        <w:t>shall use the binding wage increases specified in its collective bargaining agreements to calculate Test Year payroll expenses.</w:t>
      </w:r>
      <w:r w:rsidR="00F669E8">
        <w:t xml:space="preserve"> Cal Water </w:t>
      </w:r>
      <w:r w:rsidRPr="00960D57" w:rsidR="00DD312F">
        <w:t xml:space="preserve">shall </w:t>
      </w:r>
      <w:r w:rsidRPr="009E106F" w:rsidR="0060116A">
        <w:t>calculate escalation</w:t>
      </w:r>
      <w:r w:rsidR="00270999">
        <w:noBreakHyphen/>
      </w:r>
      <w:r w:rsidRPr="009E106F" w:rsidR="0060116A">
        <w:t xml:space="preserve"> and attrition</w:t>
      </w:r>
      <w:r w:rsidR="00270999">
        <w:noBreakHyphen/>
      </w:r>
      <w:r w:rsidRPr="009E106F" w:rsidR="0060116A">
        <w:t>year payroll expenses using the</w:t>
      </w:r>
      <w:r w:rsidR="00F669E8">
        <w:t xml:space="preserve"> </w:t>
      </w:r>
      <w:r w:rsidRPr="00F669E8" w:rsidR="00F669E8">
        <w:t>adopted inflation indices, consistent with the Rate Case Plan</w:t>
      </w:r>
      <w:r w:rsidRPr="009E106F" w:rsidR="0060116A">
        <w:t>.</w:t>
      </w:r>
    </w:p>
    <w:p w:rsidRPr="00272029" w:rsidR="006F4C15" w:rsidP="00D57AE7" w:rsidRDefault="006F4C15" w14:paraId="4E8CF86B" w14:textId="324C6439">
      <w:pPr>
        <w:pStyle w:val="Section"/>
      </w:pPr>
      <w:r w:rsidRPr="00341D98">
        <w:t xml:space="preserve">Scoped </w:t>
      </w:r>
      <w:r w:rsidRPr="00341D98" w:rsidR="00084475">
        <w:t>Issue #</w:t>
      </w:r>
      <w:r w:rsidRPr="00341D98">
        <w:t>20</w:t>
      </w:r>
      <w:r w:rsidRPr="00341D98" w:rsidR="00AE44B3">
        <w:t> </w:t>
      </w:r>
      <w:r w:rsidRPr="00341D98">
        <w:t>— Amortization of Balancing Accounts and Memorandum Accounts</w:t>
      </w:r>
    </w:p>
    <w:p w:rsidRPr="00960D57" w:rsidR="006F4C15" w:rsidP="006F4C15" w:rsidRDefault="0D69ECEA" w14:paraId="4391CE3B" w14:textId="18652D5F">
      <w:pPr>
        <w:pStyle w:val="OP"/>
      </w:pPr>
      <w:r w:rsidRPr="00960D57">
        <w:t>California Water Service Company (</w:t>
      </w:r>
      <w:r w:rsidR="085984A7">
        <w:t>Cal Water</w:t>
      </w:r>
      <w:r w:rsidRPr="00960D57">
        <w:t>) is authorized to amortize verified balances in its Catastrophic Event Memorandum Account, Public Safety Power Shut</w:t>
      </w:r>
      <w:r w:rsidR="00270999">
        <w:noBreakHyphen/>
      </w:r>
      <w:r w:rsidRPr="00960D57">
        <w:t xml:space="preserve">Off Memorandum Account, Asbestos Litigation Memorandum </w:t>
      </w:r>
      <w:r w:rsidRPr="00960D57">
        <w:lastRenderedPageBreak/>
        <w:t>Account</w:t>
      </w:r>
      <w:r w:rsidR="7DDB200C">
        <w:t xml:space="preserve"> (ALMA)</w:t>
      </w:r>
      <w:r w:rsidR="00487465">
        <w:t xml:space="preserve"> </w:t>
      </w:r>
      <w:r w:rsidRPr="00960D57" w:rsidR="00487465">
        <w:t xml:space="preserve">through </w:t>
      </w:r>
      <w:r w:rsidR="00487465">
        <w:t>Tier 3</w:t>
      </w:r>
      <w:r w:rsidRPr="00960D57" w:rsidR="00487465">
        <w:t xml:space="preserve"> </w:t>
      </w:r>
      <w:r w:rsidR="00487465">
        <w:t>advice letter</w:t>
      </w:r>
      <w:r w:rsidRPr="00960D57" w:rsidR="00487465">
        <w:t xml:space="preserve"> filings</w:t>
      </w:r>
      <w:r w:rsidR="00487465">
        <w:t>.</w:t>
      </w:r>
      <w:r w:rsidRPr="00960D57">
        <w:t xml:space="preserve"> </w:t>
      </w:r>
      <w:r w:rsidR="00487465">
        <w:t>Cal Water</w:t>
      </w:r>
      <w:r w:rsidRPr="00960D57" w:rsidR="00487465">
        <w:t xml:space="preserve"> is authorized to amortize verified balances in its </w:t>
      </w:r>
      <w:r w:rsidRPr="00960D57">
        <w:t>General District Balancing Accounts</w:t>
      </w:r>
      <w:r w:rsidR="0084116A">
        <w:t xml:space="preserve">, </w:t>
      </w:r>
      <w:r w:rsidRPr="00B81189" w:rsidR="0084116A">
        <w:t>Drinking Water Fees Balancing Account</w:t>
      </w:r>
      <w:r w:rsidR="0084116A">
        <w:t xml:space="preserve">, </w:t>
      </w:r>
      <w:r w:rsidR="00541001">
        <w:t>and Conservation Expense Balancing Account through Tier 1 advice letter filings. Cal Water</w:t>
      </w:r>
      <w:r w:rsidRPr="00960D57" w:rsidR="00541001">
        <w:t xml:space="preserve"> is authorized to amortize verified balances in its</w:t>
      </w:r>
      <w:r w:rsidR="00541001">
        <w:t xml:space="preserve"> </w:t>
      </w:r>
      <w:r w:rsidR="0084116A">
        <w:t>Pension Cost Balancing Account,</w:t>
      </w:r>
      <w:r w:rsidRPr="00960D57">
        <w:t xml:space="preserve"> </w:t>
      </w:r>
      <w:r w:rsidR="0084116A">
        <w:t xml:space="preserve">Health Cost Balancing Account, and </w:t>
      </w:r>
      <w:r w:rsidRPr="003C3377" w:rsidR="0084116A">
        <w:t>General District Balancing Account</w:t>
      </w:r>
      <w:r w:rsidRPr="00960D57" w:rsidR="0084116A">
        <w:t xml:space="preserve"> </w:t>
      </w:r>
      <w:r w:rsidRPr="00960D57">
        <w:t xml:space="preserve">through </w:t>
      </w:r>
      <w:r w:rsidR="00487465">
        <w:t xml:space="preserve">Tier </w:t>
      </w:r>
      <w:r w:rsidR="00541001">
        <w:t>2</w:t>
      </w:r>
      <w:r w:rsidRPr="00960D57">
        <w:t xml:space="preserve"> </w:t>
      </w:r>
      <w:r w:rsidR="1262FF3A">
        <w:t>advice letter</w:t>
      </w:r>
      <w:r w:rsidRPr="00960D57">
        <w:t xml:space="preserve"> filings</w:t>
      </w:r>
      <w:r w:rsidR="00487465">
        <w:t>.</w:t>
      </w:r>
      <w:r w:rsidR="0084116A">
        <w:t xml:space="preserve"> </w:t>
      </w:r>
      <w:r w:rsidR="00487465">
        <w:t>These advice letters shall be</w:t>
      </w:r>
      <w:r w:rsidRPr="00960D57">
        <w:t xml:space="preserve"> submitted to the California Public Utilities Commission (Commission) within 90 days of the effective date of this decision. These amortization filings shall reflect balances recorded in each account as of the date of filing. The </w:t>
      </w:r>
      <w:r w:rsidR="7DDB200C">
        <w:t>ALMA</w:t>
      </w:r>
      <w:r w:rsidRPr="00960D57">
        <w:t xml:space="preserve"> shall remain open through </w:t>
      </w:r>
      <w:r w:rsidR="0075475C">
        <w:t>December </w:t>
      </w:r>
      <w:r w:rsidRPr="00960D57">
        <w:t>31, 2028, consistent with the Undisputed Issues List attached to the Partial Settlement Agreement (</w:t>
      </w:r>
      <w:r w:rsidR="40153AAE">
        <w:t>Appendix </w:t>
      </w:r>
      <w:r w:rsidR="001947C4">
        <w:t>Y</w:t>
      </w:r>
      <w:r w:rsidRPr="00960D57">
        <w:t>).</w:t>
      </w:r>
    </w:p>
    <w:p w:rsidR="51A7200C" w:rsidP="2750161B" w:rsidRDefault="51A7200C" w14:paraId="3139DA01" w14:textId="19EDB37C">
      <w:pPr>
        <w:pStyle w:val="OP"/>
        <w:rPr>
          <w:rFonts w:eastAsia="Book Antiqua" w:cs="Book Antiqua"/>
          <w:szCs w:val="26"/>
        </w:rPr>
      </w:pPr>
      <w:r w:rsidRPr="2750161B">
        <w:rPr>
          <w:rFonts w:eastAsia="Book Antiqua" w:cs="Book Antiqua"/>
          <w:szCs w:val="26"/>
        </w:rPr>
        <w:t>California Water Service Company (Cal</w:t>
      </w:r>
      <w:r w:rsidR="004E66F9">
        <w:rPr>
          <w:rFonts w:eastAsia="Book Antiqua" w:cs="Book Antiqua"/>
          <w:szCs w:val="26"/>
        </w:rPr>
        <w:t> </w:t>
      </w:r>
      <w:r w:rsidRPr="2750161B">
        <w:rPr>
          <w:rFonts w:eastAsia="Book Antiqua" w:cs="Book Antiqua"/>
          <w:szCs w:val="26"/>
        </w:rPr>
        <w:t>Water) shall establish a memorandum account to track the difference between the interim rates</w:t>
      </w:r>
      <w:r w:rsidR="0011195D">
        <w:rPr>
          <w:rFonts w:eastAsia="Book Antiqua" w:cs="Book Antiqua"/>
          <w:szCs w:val="26"/>
        </w:rPr>
        <w:t xml:space="preserve"> authorized by ruling on October</w:t>
      </w:r>
      <w:r w:rsidR="004E66F9">
        <w:rPr>
          <w:rFonts w:eastAsia="Book Antiqua" w:cs="Book Antiqua"/>
          <w:szCs w:val="26"/>
        </w:rPr>
        <w:t> </w:t>
      </w:r>
      <w:r w:rsidR="0011195D">
        <w:rPr>
          <w:rFonts w:eastAsia="Book Antiqua" w:cs="Book Antiqua"/>
          <w:szCs w:val="26"/>
        </w:rPr>
        <w:t>3, 2025</w:t>
      </w:r>
      <w:r w:rsidRPr="2750161B">
        <w:rPr>
          <w:rFonts w:eastAsia="Book Antiqua" w:cs="Book Antiqua"/>
          <w:szCs w:val="26"/>
        </w:rPr>
        <w:t xml:space="preserve"> and final rates. Cal</w:t>
      </w:r>
      <w:r w:rsidR="004E66F9">
        <w:rPr>
          <w:rFonts w:eastAsia="Book Antiqua" w:cs="Book Antiqua"/>
          <w:szCs w:val="26"/>
        </w:rPr>
        <w:t> </w:t>
      </w:r>
      <w:r w:rsidRPr="2750161B">
        <w:rPr>
          <w:rFonts w:eastAsia="Book Antiqua" w:cs="Book Antiqua"/>
          <w:szCs w:val="26"/>
        </w:rPr>
        <w:t xml:space="preserve">Water shall amortize this memorandum account via </w:t>
      </w:r>
      <w:r w:rsidR="00085DDB">
        <w:rPr>
          <w:rFonts w:eastAsia="Book Antiqua" w:cs="Book Antiqua"/>
          <w:szCs w:val="26"/>
        </w:rPr>
        <w:t>a Tier</w:t>
      </w:r>
      <w:r w:rsidR="004E66F9">
        <w:rPr>
          <w:rFonts w:eastAsia="Book Antiqua" w:cs="Book Antiqua"/>
          <w:szCs w:val="26"/>
        </w:rPr>
        <w:t> </w:t>
      </w:r>
      <w:r w:rsidR="00085DDB">
        <w:rPr>
          <w:rFonts w:eastAsia="Book Antiqua" w:cs="Book Antiqua"/>
          <w:szCs w:val="26"/>
        </w:rPr>
        <w:t>1</w:t>
      </w:r>
      <w:r w:rsidR="008947D4">
        <w:rPr>
          <w:rFonts w:eastAsia="Book Antiqua" w:cs="Book Antiqua"/>
          <w:szCs w:val="26"/>
        </w:rPr>
        <w:t xml:space="preserve"> </w:t>
      </w:r>
      <w:r w:rsidRPr="2750161B">
        <w:rPr>
          <w:rFonts w:eastAsia="Book Antiqua" w:cs="Book Antiqua"/>
          <w:szCs w:val="26"/>
        </w:rPr>
        <w:t>advice letter, as required in this decision and the October</w:t>
      </w:r>
      <w:r w:rsidR="004E66F9">
        <w:rPr>
          <w:rFonts w:eastAsia="Book Antiqua" w:cs="Book Antiqua"/>
          <w:szCs w:val="26"/>
        </w:rPr>
        <w:t> </w:t>
      </w:r>
      <w:r w:rsidRPr="2750161B">
        <w:rPr>
          <w:rFonts w:eastAsia="Book Antiqua" w:cs="Book Antiqua"/>
          <w:szCs w:val="26"/>
        </w:rPr>
        <w:t>3</w:t>
      </w:r>
      <w:r w:rsidR="0011195D">
        <w:rPr>
          <w:rFonts w:eastAsia="Book Antiqua" w:cs="Book Antiqua"/>
          <w:szCs w:val="26"/>
        </w:rPr>
        <w:t>, 2025</w:t>
      </w:r>
      <w:r w:rsidRPr="2750161B">
        <w:rPr>
          <w:rFonts w:eastAsia="Book Antiqua" w:cs="Book Antiqua"/>
          <w:szCs w:val="26"/>
        </w:rPr>
        <w:t xml:space="preserve"> ruling. The first day of the Test Year for this proceeding was January</w:t>
      </w:r>
      <w:r w:rsidR="004E66F9">
        <w:rPr>
          <w:rFonts w:eastAsia="Book Antiqua" w:cs="Book Antiqua"/>
          <w:szCs w:val="26"/>
        </w:rPr>
        <w:t> </w:t>
      </w:r>
      <w:r w:rsidRPr="2750161B">
        <w:rPr>
          <w:rFonts w:eastAsia="Book Antiqua" w:cs="Book Antiqua"/>
          <w:szCs w:val="26"/>
        </w:rPr>
        <w:t>1, 2026.</w:t>
      </w:r>
    </w:p>
    <w:p w:rsidRPr="00960D57" w:rsidR="007164E3" w:rsidP="001905AD" w:rsidRDefault="007164E3" w14:paraId="74A9A25C" w14:textId="139437D8">
      <w:pPr>
        <w:pStyle w:val="Section"/>
      </w:pPr>
      <w:r w:rsidRPr="00960D57">
        <w:t xml:space="preserve">Scoped </w:t>
      </w:r>
      <w:r w:rsidR="00084475">
        <w:t>Issue #</w:t>
      </w:r>
      <w:r w:rsidRPr="00960D57">
        <w:t>21</w:t>
      </w:r>
      <w:r w:rsidR="00AE44B3">
        <w:t> </w:t>
      </w:r>
      <w:r w:rsidRPr="00960D57">
        <w:t>— Conservation Expense Balancing Account</w:t>
      </w:r>
    </w:p>
    <w:p w:rsidRPr="00960D57" w:rsidR="000C1D36" w:rsidP="007164E3" w:rsidRDefault="000C1D36" w14:paraId="16E70584" w14:textId="13AFDAFF">
      <w:pPr>
        <w:pStyle w:val="OP"/>
      </w:pPr>
      <w:r w:rsidRPr="00960D57">
        <w:t>California Water Service Company (</w:t>
      </w:r>
      <w:r w:rsidR="00EB50F8">
        <w:t>Cal Water</w:t>
      </w:r>
      <w:r w:rsidRPr="00960D57">
        <w:t>) is authorized to continue the Conservation Expense Balancing Account (CEBA) for the 2026</w:t>
      </w:r>
      <w:r w:rsidR="00270999">
        <w:noBreakHyphen/>
      </w:r>
      <w:r w:rsidRPr="00960D57">
        <w:t xml:space="preserve">2028 General Rate Case period </w:t>
      </w:r>
      <w:r w:rsidRPr="00960D57" w:rsidR="006B3BC8">
        <w:t>to</w:t>
      </w:r>
      <w:r w:rsidRPr="00960D57">
        <w:t xml:space="preserve"> track</w:t>
      </w:r>
      <w:r w:rsidR="00795BFB">
        <w:t xml:space="preserve"> unused conservation funds</w:t>
      </w:r>
      <w:r w:rsidRPr="00960D57">
        <w:t xml:space="preserve">. </w:t>
      </w:r>
      <w:r w:rsidRPr="00190176" w:rsidR="00190176">
        <w:t>The CEBA is authorized as a one-way balancing account for this GRC cycle.</w:t>
      </w:r>
      <w:r w:rsidR="00190176">
        <w:t xml:space="preserve"> </w:t>
      </w:r>
      <w:r w:rsidR="00EB50F8">
        <w:t>Cal Water</w:t>
      </w:r>
      <w:r w:rsidRPr="00960D57">
        <w:t xml:space="preserve"> shall amortize balances recorded in the CEBA at the end of the three</w:t>
      </w:r>
      <w:r w:rsidR="00270999">
        <w:noBreakHyphen/>
      </w:r>
      <w:r w:rsidRPr="00960D57">
        <w:t xml:space="preserve">year tracking period through a </w:t>
      </w:r>
      <w:r w:rsidR="00487465">
        <w:t>Tier 1</w:t>
      </w:r>
      <w:r w:rsidRPr="00960D57">
        <w:t xml:space="preserve"> </w:t>
      </w:r>
      <w:r w:rsidR="00752B5D">
        <w:t>advice letter</w:t>
      </w:r>
      <w:r w:rsidRPr="00960D57">
        <w:t xml:space="preserve"> filing, subject to reasonableness review and approval before any refund to ratepayers.</w:t>
      </w:r>
    </w:p>
    <w:p w:rsidRPr="00960D57" w:rsidR="007164E3" w:rsidP="00963065" w:rsidRDefault="00657317" w14:paraId="283D00DF" w14:textId="69169DF8">
      <w:pPr>
        <w:pStyle w:val="OP"/>
      </w:pPr>
      <w:r>
        <w:lastRenderedPageBreak/>
        <w:t xml:space="preserve">In its </w:t>
      </w:r>
      <w:r w:rsidR="00F27172">
        <w:t xml:space="preserve">next </w:t>
      </w:r>
      <w:r>
        <w:t xml:space="preserve">General Rate Case, </w:t>
      </w:r>
      <w:r w:rsidRPr="00960D57">
        <w:t xml:space="preserve">California Water Service Company </w:t>
      </w:r>
      <w:r>
        <w:t xml:space="preserve">(Cal Water) </w:t>
      </w:r>
      <w:r w:rsidRPr="00960D57">
        <w:t xml:space="preserve">shall </w:t>
      </w:r>
      <w:r>
        <w:t>provide a status report on the</w:t>
      </w:r>
      <w:r w:rsidRPr="00960D57">
        <w:t xml:space="preserve"> </w:t>
      </w:r>
      <w:r>
        <w:t xml:space="preserve">Conservation Expense Balancing Account. Cal Water shall provide this status report as part of its witness-sponsored testimony, and the </w:t>
      </w:r>
      <w:r w:rsidRPr="00960D57">
        <w:t xml:space="preserve">status report </w:t>
      </w:r>
      <w:r>
        <w:t xml:space="preserve">shall include a summary of </w:t>
      </w:r>
      <w:r w:rsidRPr="00960D57" w:rsidR="007164E3">
        <w:t xml:space="preserve">authorized versus recorded expenditures, </w:t>
      </w:r>
      <w:r w:rsidR="00B04CC9">
        <w:t xml:space="preserve">requests to amortize over- and under-collections, </w:t>
      </w:r>
      <w:r w:rsidRPr="00960D57" w:rsidR="007164E3">
        <w:t>program</w:t>
      </w:r>
      <w:r w:rsidR="00270999">
        <w:noBreakHyphen/>
      </w:r>
      <w:r w:rsidRPr="00960D57" w:rsidR="007164E3">
        <w:t>participation metrics, and supporting documentation of costs and conservation outcomes.</w:t>
      </w:r>
    </w:p>
    <w:p w:rsidRPr="00960D57" w:rsidR="007164E3" w:rsidP="001905AD" w:rsidRDefault="007164E3" w14:paraId="6D036774" w14:textId="7F1EFC72">
      <w:pPr>
        <w:pStyle w:val="Section"/>
      </w:pPr>
      <w:r w:rsidRPr="00960D57">
        <w:t xml:space="preserve">Scoped </w:t>
      </w:r>
      <w:r w:rsidR="00084475">
        <w:t>Issue #</w:t>
      </w:r>
      <w:r w:rsidRPr="00960D57">
        <w:t>22</w:t>
      </w:r>
      <w:r w:rsidR="00AE44B3">
        <w:t> </w:t>
      </w:r>
      <w:r w:rsidRPr="00960D57">
        <w:t>— Liability Insurance Balancing Account</w:t>
      </w:r>
    </w:p>
    <w:p w:rsidRPr="00960D57" w:rsidR="007164E3" w:rsidP="00632A35" w:rsidRDefault="007164E3" w14:paraId="03EDC05B" w14:textId="42B41326">
      <w:pPr>
        <w:pStyle w:val="OP"/>
      </w:pPr>
      <w:r w:rsidRPr="00960D57">
        <w:t>California Water Service Company (</w:t>
      </w:r>
      <w:r w:rsidR="00EB50F8">
        <w:t>Cal Water</w:t>
      </w:r>
      <w:r w:rsidRPr="00960D57">
        <w:t>) is authorized to establish a Liability Insurance Balancing Account (LIBA) to track the difference between forecast and actual third</w:t>
      </w:r>
      <w:r w:rsidR="00270999">
        <w:noBreakHyphen/>
      </w:r>
      <w:r w:rsidRPr="00960D57">
        <w:t>party premium expenses for general liability, excess liability, and umbrella insurance policies. The LIBA shall function as a two</w:t>
      </w:r>
      <w:r w:rsidR="00270999">
        <w:noBreakHyphen/>
      </w:r>
      <w:r w:rsidRPr="00960D57">
        <w:t>way balancing account that records both over</w:t>
      </w:r>
      <w:r w:rsidR="00270999">
        <w:noBreakHyphen/>
      </w:r>
      <w:r w:rsidRPr="00960D57">
        <w:t>collections and under</w:t>
      </w:r>
      <w:r w:rsidR="00270999">
        <w:noBreakHyphen/>
      </w:r>
      <w:r w:rsidRPr="00960D57">
        <w:t>collections of liability</w:t>
      </w:r>
      <w:r w:rsidR="00270999">
        <w:noBreakHyphen/>
      </w:r>
      <w:r w:rsidRPr="00960D57">
        <w:t>insurance expenses relative to the amounts authorized in rates.</w:t>
      </w:r>
      <w:r w:rsidRPr="00960D57" w:rsidR="00874F0C">
        <w:t xml:space="preserve"> </w:t>
      </w:r>
      <w:r w:rsidR="00D97DDB">
        <w:t>Cal</w:t>
      </w:r>
      <w:r w:rsidR="00094687">
        <w:t> </w:t>
      </w:r>
      <w:r w:rsidR="00D97DDB">
        <w:t xml:space="preserve">Water </w:t>
      </w:r>
      <w:r w:rsidR="000658B1">
        <w:t>shall</w:t>
      </w:r>
      <w:r w:rsidR="00D97DDB">
        <w:t xml:space="preserve"> </w:t>
      </w:r>
      <w:r w:rsidR="00F8087A">
        <w:t xml:space="preserve">submit </w:t>
      </w:r>
      <w:r w:rsidR="00D97DDB">
        <w:t>a Tier</w:t>
      </w:r>
      <w:r w:rsidR="00094687">
        <w:t> </w:t>
      </w:r>
      <w:r w:rsidR="000658B1">
        <w:t>1</w:t>
      </w:r>
      <w:r w:rsidR="00D97DDB">
        <w:t xml:space="preserve"> advice letter </w:t>
      </w:r>
      <w:r w:rsidR="000658B1">
        <w:t>within</w:t>
      </w:r>
      <w:r w:rsidR="00D97DDB">
        <w:t xml:space="preserve"> 30 </w:t>
      </w:r>
      <w:r w:rsidR="000658B1">
        <w:t>days</w:t>
      </w:r>
      <w:r w:rsidR="00D97DDB">
        <w:t xml:space="preserve"> of the effective date of this decision to establish the</w:t>
      </w:r>
      <w:r w:rsidR="000658B1">
        <w:t xml:space="preserve"> LIBA in its Preliminary Statement. </w:t>
      </w:r>
      <w:r w:rsidR="00EB50F8">
        <w:t>Cal Water</w:t>
      </w:r>
      <w:r w:rsidRPr="00960D57">
        <w:t xml:space="preserve"> shall </w:t>
      </w:r>
      <w:r w:rsidR="009E7A7F">
        <w:t xml:space="preserve">subsequently </w:t>
      </w:r>
      <w:r w:rsidRPr="00960D57">
        <w:t>amortize only 85</w:t>
      </w:r>
      <w:r w:rsidR="008C1B3F">
        <w:t> </w:t>
      </w:r>
      <w:r w:rsidRPr="00960D57">
        <w:t>percent of the recorded balance in the LIBA</w:t>
      </w:r>
      <w:r w:rsidR="00AE44B3">
        <w:t xml:space="preserve"> — </w:t>
      </w:r>
      <w:r w:rsidRPr="00632A35">
        <w:t>whether</w:t>
      </w:r>
      <w:r w:rsidRPr="00960D57">
        <w:t xml:space="preserve"> the balance results in a surcharge or a sur</w:t>
      </w:r>
      <w:r w:rsidR="00270999">
        <w:noBreakHyphen/>
      </w:r>
      <w:r w:rsidRPr="00960D57">
        <w:t>credit</w:t>
      </w:r>
      <w:r w:rsidR="00AE44B3">
        <w:t xml:space="preserve"> — </w:t>
      </w:r>
      <w:r w:rsidRPr="00960D57">
        <w:t xml:space="preserve">through a </w:t>
      </w:r>
      <w:r w:rsidR="00487465">
        <w:t>Tier 1</w:t>
      </w:r>
      <w:r w:rsidRPr="00960D57">
        <w:t xml:space="preserve"> </w:t>
      </w:r>
      <w:r w:rsidR="00752B5D">
        <w:t>advice letter</w:t>
      </w:r>
      <w:r w:rsidRPr="00960D57">
        <w:t xml:space="preserve"> filing following the end of the three</w:t>
      </w:r>
      <w:r w:rsidR="00270999">
        <w:noBreakHyphen/>
      </w:r>
      <w:r w:rsidRPr="00960D57">
        <w:t>year tracking period, subject to reasonableness review and approval by the California Public Utilities Commission.</w:t>
      </w:r>
      <w:r w:rsidRPr="00960D57" w:rsidR="00874F0C">
        <w:t xml:space="preserve"> </w:t>
      </w:r>
      <w:r w:rsidR="00EB50F8">
        <w:t>Cal Water</w:t>
      </w:r>
      <w:r w:rsidRPr="00960D57">
        <w:t xml:space="preserve"> shall exclude from the </w:t>
      </w:r>
      <w:r w:rsidRPr="00960D57" w:rsidR="00874F0C">
        <w:t>LIBA</w:t>
      </w:r>
      <w:r w:rsidRPr="00960D57">
        <w:t xml:space="preserve"> all internal administrative expenses, self</w:t>
      </w:r>
      <w:r w:rsidR="00270999">
        <w:noBreakHyphen/>
      </w:r>
      <w:r w:rsidRPr="00960D57">
        <w:t>insurance reserves, or other cost categories that do not represent payments of third</w:t>
      </w:r>
      <w:r w:rsidR="00270999">
        <w:noBreakHyphen/>
      </w:r>
      <w:r w:rsidRPr="00960D57">
        <w:t>party insurance premiums.</w:t>
      </w:r>
    </w:p>
    <w:p w:rsidRPr="00960D57" w:rsidR="007164E3" w:rsidP="007164E3" w:rsidRDefault="00657317" w14:paraId="02C38A3A" w14:textId="281F7015">
      <w:pPr>
        <w:pStyle w:val="OP"/>
      </w:pPr>
      <w:r>
        <w:t xml:space="preserve">In its </w:t>
      </w:r>
      <w:r w:rsidR="00F27172">
        <w:t>next</w:t>
      </w:r>
      <w:r>
        <w:t xml:space="preserve"> General Rate Case, </w:t>
      </w:r>
      <w:r w:rsidRPr="00960D57">
        <w:t xml:space="preserve">California Water Service Company </w:t>
      </w:r>
      <w:r>
        <w:t xml:space="preserve">(Cal Water) </w:t>
      </w:r>
      <w:r w:rsidRPr="00960D57">
        <w:t xml:space="preserve">shall </w:t>
      </w:r>
      <w:r>
        <w:t>provide a status report on the</w:t>
      </w:r>
      <w:r w:rsidRPr="00960D57">
        <w:t xml:space="preserve"> </w:t>
      </w:r>
      <w:r>
        <w:t>Liability Insurance Balancing Account. Cal Water shall provide this status report as part of its witness-</w:t>
      </w:r>
      <w:r>
        <w:lastRenderedPageBreak/>
        <w:t xml:space="preserve">sponsored testimony, and the </w:t>
      </w:r>
      <w:r w:rsidRPr="00960D57">
        <w:t xml:space="preserve">status report </w:t>
      </w:r>
      <w:r>
        <w:t xml:space="preserve">shall include a summary of </w:t>
      </w:r>
      <w:r w:rsidRPr="00960D57" w:rsidR="007164E3">
        <w:t>recorded entries, year</w:t>
      </w:r>
      <w:r w:rsidR="00270999">
        <w:noBreakHyphen/>
      </w:r>
      <w:r w:rsidRPr="00960D57" w:rsidR="007164E3">
        <w:t xml:space="preserve">end balances, </w:t>
      </w:r>
      <w:r w:rsidR="00B04CC9">
        <w:t xml:space="preserve">requests to amortize over- and under-collections, </w:t>
      </w:r>
      <w:r w:rsidRPr="00960D57" w:rsidR="007164E3">
        <w:t>and explanations for any material deviations between forecast and actual values.</w:t>
      </w:r>
    </w:p>
    <w:p w:rsidRPr="00960D57" w:rsidR="00874F0C" w:rsidP="001905AD" w:rsidRDefault="00874F0C" w14:paraId="58496CE2" w14:textId="1FA13B5F">
      <w:pPr>
        <w:pStyle w:val="Section"/>
      </w:pPr>
      <w:r w:rsidRPr="00960D57">
        <w:t xml:space="preserve">Scoped </w:t>
      </w:r>
      <w:r w:rsidR="00084475">
        <w:t>Issue #</w:t>
      </w:r>
      <w:r w:rsidRPr="00960D57">
        <w:t>23</w:t>
      </w:r>
      <w:r w:rsidR="00AE44B3">
        <w:t> </w:t>
      </w:r>
      <w:r w:rsidRPr="00960D57">
        <w:t>— Water Contamination Remediation Memorandum Account</w:t>
      </w:r>
    </w:p>
    <w:p w:rsidRPr="00960D57" w:rsidR="00874F0C" w:rsidRDefault="00874F0C" w14:paraId="060BA216" w14:textId="32E05B20">
      <w:pPr>
        <w:pStyle w:val="OP"/>
      </w:pPr>
      <w:r w:rsidRPr="00960D57">
        <w:t>California Water Service Company (</w:t>
      </w:r>
      <w:r w:rsidR="00EB50F8">
        <w:t>Cal Water</w:t>
      </w:r>
      <w:r w:rsidRPr="00960D57">
        <w:t>) is authorized to establish a Water Contamination Remediation Memorandum Account (WCRMA) to replace multiple contaminant</w:t>
      </w:r>
      <w:r w:rsidR="00270999">
        <w:noBreakHyphen/>
      </w:r>
      <w:r w:rsidRPr="00960D57">
        <w:t>specific memorandum accounts previously maintained for per</w:t>
      </w:r>
      <w:r w:rsidR="00270999">
        <w:noBreakHyphen/>
      </w:r>
      <w:r w:rsidRPr="00960D57">
        <w:t xml:space="preserve"> and polyfluoroalkyl substances and other water</w:t>
      </w:r>
      <w:r w:rsidR="00270999">
        <w:noBreakHyphen/>
      </w:r>
      <w:r w:rsidRPr="00960D57">
        <w:t xml:space="preserve">quality contaminants. The WCRMA shall record incremental, unforeseen, and externally driven costs associated with the investigation, remediation, and treatment of water contamination caused by third parties or new regulatory mandates imposed by local, state, or federal agencies. </w:t>
      </w:r>
      <w:r w:rsidR="00EB50F8">
        <w:t>Cal Water</w:t>
      </w:r>
      <w:r w:rsidRPr="00960D57">
        <w:t xml:space="preserve"> shall maintain separate sub</w:t>
      </w:r>
      <w:r w:rsidR="00270999">
        <w:noBreakHyphen/>
      </w:r>
      <w:r w:rsidRPr="00960D57">
        <w:t>accounts within the WCRMA for each contaminant and for each affected district. Each sub</w:t>
      </w:r>
      <w:r w:rsidR="00270999">
        <w:noBreakHyphen/>
      </w:r>
      <w:r w:rsidRPr="00960D57">
        <w:t xml:space="preserve">account shall identify the nature of the contamination, the regulatory basis for remediation, and any recovery efforts or cost contributions received from third parties. </w:t>
      </w:r>
      <w:r w:rsidR="00341081">
        <w:t>Cal</w:t>
      </w:r>
      <w:r w:rsidR="00311CC0">
        <w:t> </w:t>
      </w:r>
      <w:r w:rsidR="00341081">
        <w:t>Water shall file a Tier</w:t>
      </w:r>
      <w:r w:rsidR="00311CC0">
        <w:t> </w:t>
      </w:r>
      <w:r w:rsidR="00341081">
        <w:t>1 advice letter within 30 days of the effective date of this decision to establish the W</w:t>
      </w:r>
      <w:r w:rsidR="009A763B">
        <w:t>CRMA</w:t>
      </w:r>
      <w:r w:rsidR="00341081">
        <w:t xml:space="preserve"> in its Preliminary Statement. </w:t>
      </w:r>
      <w:r w:rsidR="00EB50F8">
        <w:t>Cal Water</w:t>
      </w:r>
      <w:r w:rsidRPr="00960D57">
        <w:t xml:space="preserve"> may not recover any costs recorded in the WCRMA without prior authorization from the California Public Utilities Commission. Any such request for recovery shall be submitted through a </w:t>
      </w:r>
      <w:r w:rsidR="00EB50F8">
        <w:t>Tier 3</w:t>
      </w:r>
      <w:r w:rsidRPr="00960D57">
        <w:t xml:space="preserve"> </w:t>
      </w:r>
      <w:r w:rsidR="00752B5D">
        <w:t>advice letter</w:t>
      </w:r>
      <w:r w:rsidRPr="00960D57">
        <w:t xml:space="preserve"> filing or as part of a subsequent General Rate Case and must include a detailed showing demonstrating the reasonableness and necessity of the recorded costs.</w:t>
      </w:r>
    </w:p>
    <w:p w:rsidRPr="00960D57" w:rsidR="00874F0C" w:rsidP="00874F0C" w:rsidRDefault="009A7BE2" w14:paraId="33396097" w14:textId="025A1299">
      <w:pPr>
        <w:pStyle w:val="OP"/>
      </w:pPr>
      <w:r>
        <w:t xml:space="preserve">In its </w:t>
      </w:r>
      <w:r w:rsidR="00F27172">
        <w:t>next</w:t>
      </w:r>
      <w:r>
        <w:t xml:space="preserve"> General Rate Case, </w:t>
      </w:r>
      <w:r w:rsidRPr="00960D57" w:rsidR="00963065">
        <w:t xml:space="preserve">California Water Service Company </w:t>
      </w:r>
      <w:r>
        <w:t xml:space="preserve">(Cal Water) </w:t>
      </w:r>
      <w:r w:rsidRPr="00960D57" w:rsidR="00963065">
        <w:t xml:space="preserve">shall </w:t>
      </w:r>
      <w:r>
        <w:t>provide a status report on the</w:t>
      </w:r>
      <w:r w:rsidRPr="00960D57" w:rsidR="00874F0C">
        <w:t xml:space="preserve"> Water Contamination Remediation Memorandum Account</w:t>
      </w:r>
      <w:r>
        <w:t>. Cal Water shall provide this status report as part of its witness</w:t>
      </w:r>
      <w:r w:rsidR="00B04CC9">
        <w:t>-</w:t>
      </w:r>
      <w:r>
        <w:t>sponsored testimony, and the</w:t>
      </w:r>
      <w:r w:rsidRPr="00960D57" w:rsidR="00874F0C">
        <w:t xml:space="preserve"> status report </w:t>
      </w:r>
      <w:r>
        <w:t>shall include a summary of</w:t>
      </w:r>
      <w:r w:rsidRPr="00960D57" w:rsidR="00874F0C">
        <w:t xml:space="preserve"> </w:t>
      </w:r>
      <w:r w:rsidRPr="00960D57" w:rsidR="00874F0C">
        <w:lastRenderedPageBreak/>
        <w:t xml:space="preserve">recorded entries, contaminant categories, district locations, </w:t>
      </w:r>
      <w:r w:rsidR="00B04CC9">
        <w:t xml:space="preserve">requests to amortize under-collections, </w:t>
      </w:r>
      <w:r w:rsidRPr="00960D57" w:rsidR="00874F0C">
        <w:t>and the status of any ongoing third</w:t>
      </w:r>
      <w:r w:rsidR="00270999">
        <w:noBreakHyphen/>
      </w:r>
      <w:r w:rsidRPr="00960D57" w:rsidR="00874F0C">
        <w:t>party recovery actions.</w:t>
      </w:r>
    </w:p>
    <w:p w:rsidRPr="00960D57" w:rsidR="00BE63DC" w:rsidP="001905AD" w:rsidRDefault="00BE63DC" w14:paraId="0822F599" w14:textId="59A11ECB">
      <w:pPr>
        <w:pStyle w:val="Section"/>
      </w:pPr>
      <w:r w:rsidRPr="00960D57">
        <w:t xml:space="preserve">Scoped </w:t>
      </w:r>
      <w:r w:rsidR="00084475">
        <w:t>Issue #</w:t>
      </w:r>
      <w:r w:rsidRPr="00960D57">
        <w:t>24</w:t>
      </w:r>
      <w:r w:rsidR="00AE44B3">
        <w:t> </w:t>
      </w:r>
      <w:r w:rsidRPr="00960D57">
        <w:t>— Attrition Year Normalization (</w:t>
      </w:r>
      <w:r w:rsidR="00F55524">
        <w:t xml:space="preserve">Special </w:t>
      </w:r>
      <w:r w:rsidR="00D92D0A">
        <w:t>Request #</w:t>
      </w:r>
      <w:r w:rsidRPr="00960D57">
        <w:t>14)</w:t>
      </w:r>
    </w:p>
    <w:p w:rsidRPr="00960D57" w:rsidR="00BE63DC" w:rsidP="00BE63DC" w:rsidRDefault="00F55524" w14:paraId="3E9044D6" w14:textId="7C0F37A4">
      <w:pPr>
        <w:pStyle w:val="OP"/>
      </w:pPr>
      <w:r>
        <w:t xml:space="preserve">Special </w:t>
      </w:r>
      <w:r w:rsidR="00D92D0A">
        <w:t>Request #</w:t>
      </w:r>
      <w:r w:rsidRPr="00960D57" w:rsidR="00BE63DC">
        <w:t xml:space="preserve">14, seeking authorization to apply the attrition year normalization methodology reflected in its </w:t>
      </w:r>
      <w:r w:rsidR="00D14F9F">
        <w:t>R</w:t>
      </w:r>
      <w:r w:rsidR="00E9366B">
        <w:t xml:space="preserve">esults of </w:t>
      </w:r>
      <w:r w:rsidR="00D14F9F">
        <w:t>O</w:t>
      </w:r>
      <w:r w:rsidR="00E9366B">
        <w:t>perations</w:t>
      </w:r>
      <w:r w:rsidRPr="00960D57" w:rsidR="00BE63DC">
        <w:t xml:space="preserve"> Model</w:t>
      </w:r>
      <w:r w:rsidRPr="00960D57" w:rsidR="00B00C87">
        <w:t xml:space="preserve"> </w:t>
      </w:r>
      <w:r w:rsidR="003B28BA">
        <w:t xml:space="preserve">for each district </w:t>
      </w:r>
      <w:r w:rsidRPr="00960D57" w:rsidR="00B00C87">
        <w:t>(</w:t>
      </w:r>
      <w:r w:rsidR="00546180">
        <w:t>Appendi</w:t>
      </w:r>
      <w:r w:rsidR="003B28BA">
        <w:t>ces</w:t>
      </w:r>
      <w:r w:rsidR="00546180">
        <w:t> </w:t>
      </w:r>
      <w:r w:rsidR="00341211">
        <w:t>A</w:t>
      </w:r>
      <w:r w:rsidR="00092737">
        <w:t xml:space="preserve"> through </w:t>
      </w:r>
      <w:r w:rsidR="00341211">
        <w:t>X</w:t>
      </w:r>
      <w:r w:rsidRPr="00960D57" w:rsidR="00B00C87">
        <w:t>)</w:t>
      </w:r>
      <w:r w:rsidRPr="00960D57" w:rsidR="00BE63DC">
        <w:t xml:space="preserve">, is approved. The adopted methodology for applying deferred taxes during the attrition year shall be implemented by </w:t>
      </w:r>
      <w:r w:rsidRPr="00960D57" w:rsidR="00495484">
        <w:t xml:space="preserve">California Water Service Company </w:t>
      </w:r>
      <w:r w:rsidR="00495484">
        <w:t>(</w:t>
      </w:r>
      <w:r w:rsidR="00EB50F8">
        <w:t>Cal Water</w:t>
      </w:r>
      <w:r w:rsidR="00495484">
        <w:t>)</w:t>
      </w:r>
      <w:r w:rsidRPr="00960D57" w:rsidR="00BE63DC">
        <w:t xml:space="preserve"> in accordance with the Partial Settlement Agreement and the Undisputed Issues List (</w:t>
      </w:r>
      <w:r w:rsidR="00546180">
        <w:t>Appendix </w:t>
      </w:r>
      <w:r w:rsidR="001947C4">
        <w:t>Y</w:t>
      </w:r>
      <w:r w:rsidRPr="00960D57" w:rsidR="00BE63DC">
        <w:t xml:space="preserve">). </w:t>
      </w:r>
      <w:r w:rsidR="00EB50F8">
        <w:t>Cal Water</w:t>
      </w:r>
      <w:r w:rsidRPr="00960D57" w:rsidR="00BE63DC">
        <w:t xml:space="preserve"> shall apply the attrition year normalization methodology consistently across all of its operating districts in future attrition year filings unless otherwise directed by the California Public Utilities Commission.</w:t>
      </w:r>
    </w:p>
    <w:p w:rsidRPr="00960D57" w:rsidR="00BE63DC" w:rsidP="001905AD" w:rsidRDefault="00BE63DC" w14:paraId="5EFC7202" w14:textId="6CE423FB">
      <w:pPr>
        <w:pStyle w:val="Section"/>
      </w:pPr>
      <w:r w:rsidRPr="00960D57">
        <w:t xml:space="preserve">Scoped </w:t>
      </w:r>
      <w:r w:rsidR="00084475">
        <w:t>Issue #</w:t>
      </w:r>
      <w:r w:rsidRPr="00960D57">
        <w:t>25</w:t>
      </w:r>
      <w:r w:rsidR="00AE44B3">
        <w:t> </w:t>
      </w:r>
      <w:r w:rsidRPr="00960D57">
        <w:t>— Deferred Tax Liability with Current</w:t>
      </w:r>
      <w:r w:rsidR="00270999">
        <w:noBreakHyphen/>
      </w:r>
      <w:r w:rsidRPr="00960D57">
        <w:t>Year Capital Additions (</w:t>
      </w:r>
      <w:r w:rsidR="00F55524">
        <w:t xml:space="preserve">Special </w:t>
      </w:r>
      <w:r w:rsidR="00D92D0A">
        <w:t>Request #</w:t>
      </w:r>
      <w:r w:rsidRPr="00960D57">
        <w:t>15)</w:t>
      </w:r>
    </w:p>
    <w:p w:rsidR="00CE0158" w:rsidP="00BE63DC" w:rsidRDefault="00A61D4A" w14:paraId="01A4BD9F" w14:textId="0A7F6EDB">
      <w:pPr>
        <w:pStyle w:val="OP"/>
      </w:pPr>
      <w:r>
        <w:t xml:space="preserve">California Water </w:t>
      </w:r>
      <w:r w:rsidR="00DB6D04">
        <w:t xml:space="preserve">Service </w:t>
      </w:r>
      <w:r>
        <w:t xml:space="preserve">Company’s </w:t>
      </w:r>
      <w:r w:rsidR="00F55524">
        <w:t xml:space="preserve">Special </w:t>
      </w:r>
      <w:r w:rsidR="00D92D0A">
        <w:t>Request #</w:t>
      </w:r>
      <w:r w:rsidRPr="00960D57" w:rsidR="00BE63DC">
        <w:t xml:space="preserve">15, </w:t>
      </w:r>
      <w:r>
        <w:t>for</w:t>
      </w:r>
      <w:r w:rsidRPr="00960D57" w:rsidR="00BE63DC">
        <w:t xml:space="preserve"> its deferred</w:t>
      </w:r>
      <w:r w:rsidR="00270999">
        <w:noBreakHyphen/>
      </w:r>
      <w:r w:rsidRPr="00960D57" w:rsidR="00BE63DC">
        <w:t>tax</w:t>
      </w:r>
      <w:r w:rsidR="00270999">
        <w:noBreakHyphen/>
      </w:r>
      <w:r w:rsidRPr="00960D57" w:rsidR="00BE63DC">
        <w:t>liability methodology for current</w:t>
      </w:r>
      <w:r w:rsidR="00270999">
        <w:noBreakHyphen/>
      </w:r>
      <w:r w:rsidRPr="00960D57" w:rsidR="00BE63DC">
        <w:t>year capital additions is approved.</w:t>
      </w:r>
    </w:p>
    <w:p w:rsidRPr="00960D57" w:rsidR="00AC5DD2" w:rsidP="001905AD" w:rsidRDefault="00AC5DD2" w14:paraId="41976FFB" w14:textId="2EDA2406">
      <w:pPr>
        <w:pStyle w:val="Section"/>
      </w:pPr>
      <w:r w:rsidRPr="00960D57">
        <w:t>Additional Orders</w:t>
      </w:r>
    </w:p>
    <w:p w:rsidRPr="00960D57" w:rsidR="00E33FAB" w:rsidP="00E33FAB" w:rsidRDefault="00E33FAB" w14:paraId="65AAEB5D" w14:textId="1F1A8B25">
      <w:pPr>
        <w:pStyle w:val="OP"/>
      </w:pPr>
      <w:r w:rsidRPr="00960D57">
        <w:t>The motion of California Water Service Company (</w:t>
      </w:r>
      <w:r w:rsidR="00EB50F8">
        <w:t>Cal Water</w:t>
      </w:r>
      <w:r w:rsidRPr="00960D57">
        <w:t xml:space="preserve">) filed </w:t>
      </w:r>
      <w:r w:rsidR="000C0896">
        <w:t>June </w:t>
      </w:r>
      <w:r w:rsidRPr="00960D57">
        <w:t xml:space="preserve">13, 2025, for leave to file its Confidential Version of </w:t>
      </w:r>
      <w:r w:rsidR="00DC5B03">
        <w:t>Attachment </w:t>
      </w:r>
      <w:r w:rsidRPr="00960D57">
        <w:t xml:space="preserve">A to </w:t>
      </w:r>
      <w:r w:rsidR="00EB50F8">
        <w:t>Cal Water</w:t>
      </w:r>
      <w:r w:rsidR="000C0896">
        <w:t>’</w:t>
      </w:r>
      <w:r w:rsidRPr="00960D57">
        <w:t xml:space="preserve">s Response to ALJ Ruling Requesting Additional Information its under seal, per </w:t>
      </w:r>
      <w:r w:rsidR="003A5B7D">
        <w:t>Rule </w:t>
      </w:r>
      <w:r w:rsidRPr="00960D57">
        <w:t>11.4 of the California Public Utilities Commission</w:t>
      </w:r>
      <w:r w:rsidR="000C0896">
        <w:t>’</w:t>
      </w:r>
      <w:r w:rsidRPr="00960D57">
        <w:t>s (Commission) Rules of Practice and Procedure, is granted for a period of three years after the date of this decision. During this three</w:t>
      </w:r>
      <w:r w:rsidR="00270999">
        <w:noBreakHyphen/>
      </w:r>
      <w:r w:rsidRPr="00960D57">
        <w:t xml:space="preserve">year period, this information shall not be publicly disclosed except on further Commission order or </w:t>
      </w:r>
      <w:r w:rsidR="002E6BBD">
        <w:t>Administrative Law Judge</w:t>
      </w:r>
      <w:r w:rsidR="0032369C">
        <w:t xml:space="preserve"> </w:t>
      </w:r>
      <w:r w:rsidRPr="00960D57">
        <w:t xml:space="preserve">ruling. If </w:t>
      </w:r>
      <w:r w:rsidR="00EB50F8">
        <w:t>Cal Water</w:t>
      </w:r>
      <w:r w:rsidRPr="00960D57">
        <w:t xml:space="preserve"> </w:t>
      </w:r>
      <w:r w:rsidRPr="00960D57" w:rsidR="0052688E">
        <w:t>believes</w:t>
      </w:r>
      <w:r w:rsidRPr="00960D57">
        <w:t xml:space="preserve"> that it is necessary for the information to remain under seal for longer than three years, </w:t>
      </w:r>
      <w:r w:rsidR="00EB50F8">
        <w:t>Cal Water</w:t>
      </w:r>
      <w:r w:rsidRPr="00960D57">
        <w:t xml:space="preserve"> may </w:t>
      </w:r>
      <w:r w:rsidRPr="00960D57">
        <w:lastRenderedPageBreak/>
        <w:t>file a new motion showing good cause for withholding the information from public inspection. The motion shall be filed no later than 30 days before the expiration of this order.</w:t>
      </w:r>
    </w:p>
    <w:p w:rsidR="00CE0158" w:rsidP="00B3087D" w:rsidRDefault="0078182C" w14:paraId="4D44087E" w14:textId="0356F857">
      <w:pPr>
        <w:pStyle w:val="OP"/>
      </w:pPr>
      <w:r>
        <w:t>A</w:t>
      </w:r>
      <w:r w:rsidRPr="00960D57" w:rsidR="00BF3684">
        <w:t>ll ruling</w:t>
      </w:r>
      <w:r w:rsidR="004262CD">
        <w:t>s</w:t>
      </w:r>
      <w:r w:rsidRPr="00960D57" w:rsidR="00BF3684">
        <w:t xml:space="preserve"> made by the </w:t>
      </w:r>
      <w:r w:rsidRPr="00960D57" w:rsidR="005E661B">
        <w:t>Presiding Officer</w:t>
      </w:r>
      <w:r>
        <w:t xml:space="preserve"> are affirmed</w:t>
      </w:r>
      <w:r w:rsidRPr="00960D57" w:rsidR="005E661B">
        <w:t xml:space="preserve"> and </w:t>
      </w:r>
      <w:r w:rsidRPr="00960D57" w:rsidR="00CA0197">
        <w:t>all</w:t>
      </w:r>
      <w:r w:rsidRPr="00960D57" w:rsidR="005E661B">
        <w:t xml:space="preserve"> other outstanding motions</w:t>
      </w:r>
      <w:r w:rsidRPr="00960D57" w:rsidR="00CA0197">
        <w:t xml:space="preserve"> not otherwise ruled upon in this decision</w:t>
      </w:r>
      <w:r>
        <w:t xml:space="preserve"> are denied</w:t>
      </w:r>
      <w:r w:rsidRPr="00960D57" w:rsidR="005E661B">
        <w:t>.</w:t>
      </w:r>
    </w:p>
    <w:p w:rsidR="00F6397D" w:rsidP="0069552D" w:rsidRDefault="00E23CBB" w14:paraId="6673326A" w14:textId="4201B5C8">
      <w:pPr>
        <w:pStyle w:val="OP"/>
        <w:keepNext/>
      </w:pPr>
      <w:r w:rsidRPr="001E2A62">
        <w:t>Application</w:t>
      </w:r>
      <w:r w:rsidR="00AC5DD2">
        <w:t xml:space="preserve"> 24</w:t>
      </w:r>
      <w:r w:rsidR="00270999">
        <w:noBreakHyphen/>
      </w:r>
      <w:r w:rsidR="00AC5DD2">
        <w:t>07</w:t>
      </w:r>
      <w:r w:rsidR="00270999">
        <w:noBreakHyphen/>
      </w:r>
      <w:r w:rsidR="00AC5DD2">
        <w:t xml:space="preserve">003 </w:t>
      </w:r>
      <w:r w:rsidRPr="001E2A62">
        <w:t>is closed.</w:t>
      </w:r>
    </w:p>
    <w:p w:rsidR="008F0116" w:rsidP="0069552D" w:rsidRDefault="008F0116" w14:paraId="6C6205BD" w14:textId="77777777">
      <w:pPr>
        <w:pStyle w:val="Standard"/>
        <w:keepNext/>
      </w:pPr>
      <w:r>
        <w:t>This order is effective today.</w:t>
      </w:r>
    </w:p>
    <w:p w:rsidR="00714CF2" w:rsidP="0069552D" w:rsidRDefault="008F0116" w14:paraId="07831FD2" w14:textId="4FA810AB">
      <w:pPr>
        <w:pStyle w:val="Standard"/>
        <w:keepNext/>
      </w:pPr>
      <w:r>
        <w:t xml:space="preserve">Dated </w:t>
      </w:r>
      <w:r w:rsidR="00374E78">
        <w:t>____________________</w:t>
      </w:r>
      <w:r>
        <w:t xml:space="preserve">, at </w:t>
      </w:r>
      <w:r w:rsidR="004941FE">
        <w:t>San </w:t>
      </w:r>
      <w:r>
        <w:t>Francisco, California</w:t>
      </w:r>
      <w:r w:rsidR="00374E78">
        <w:t>.</w:t>
      </w:r>
    </w:p>
    <w:p w:rsidR="00374E78" w:rsidP="0069552D" w:rsidRDefault="00374E78" w14:paraId="488036E2" w14:textId="77777777">
      <w:pPr>
        <w:pStyle w:val="Standard"/>
        <w:keepNext/>
      </w:pPr>
    </w:p>
    <w:p w:rsidR="00374E78" w:rsidP="0069552D" w:rsidRDefault="00374E78" w14:paraId="13403C86" w14:textId="77777777">
      <w:pPr>
        <w:pStyle w:val="Standard"/>
        <w:keepNext/>
      </w:pPr>
    </w:p>
    <w:p w:rsidR="00AE7CC5" w:rsidP="0069552D" w:rsidRDefault="00AE7CC5" w14:paraId="2D660EE2" w14:textId="77777777">
      <w:pPr>
        <w:pStyle w:val="Standard"/>
        <w:keepNext/>
      </w:pPr>
    </w:p>
    <w:p w:rsidR="00EF5E30" w:rsidP="0069552D" w:rsidRDefault="00EF5E30" w14:paraId="153A7553" w14:textId="77777777">
      <w:pPr>
        <w:pStyle w:val="Standard"/>
        <w:keepNext/>
        <w:sectPr w:rsidR="00EF5E30" w:rsidSect="003922FD">
          <w:footerReference w:type="default" r:id="rId18"/>
          <w:pgSz w:w="12240" w:h="15840"/>
          <w:pgMar w:top="1728" w:right="1440" w:bottom="1440" w:left="1440" w:header="720" w:footer="720" w:gutter="0"/>
          <w:pgNumType w:start="2"/>
          <w:cols w:space="720"/>
          <w:docGrid w:linePitch="360"/>
        </w:sectPr>
      </w:pPr>
    </w:p>
    <w:p w:rsidR="009A3062" w:rsidP="009A3062" w:rsidRDefault="009A3062" w14:paraId="47D62553" w14:textId="77777777">
      <w:pPr>
        <w:ind w:firstLine="0"/>
      </w:pPr>
    </w:p>
    <w:p w:rsidR="009A3062" w:rsidP="009A3062" w:rsidRDefault="009A3062" w14:paraId="7D62BD63" w14:textId="77777777">
      <w:pPr>
        <w:ind w:firstLine="0"/>
      </w:pPr>
    </w:p>
    <w:p w:rsidR="009A3062" w:rsidP="009A3062" w:rsidRDefault="009A3062" w14:paraId="50086FCE" w14:textId="77777777">
      <w:pPr>
        <w:ind w:firstLine="0"/>
      </w:pPr>
    </w:p>
    <w:p w:rsidR="009A3062" w:rsidP="009A3062" w:rsidRDefault="009A3062" w14:paraId="6EB620F4" w14:textId="77777777">
      <w:pPr>
        <w:ind w:firstLine="0"/>
      </w:pPr>
    </w:p>
    <w:p w:rsidR="009A3062" w:rsidP="009A3062" w:rsidRDefault="009A3062" w14:paraId="5C1B18CA" w14:textId="77777777">
      <w:pPr>
        <w:ind w:firstLine="0"/>
      </w:pPr>
    </w:p>
    <w:p w:rsidR="009A3062" w:rsidP="009A3062" w:rsidRDefault="009A3062" w14:paraId="1692E9CF" w14:textId="77777777">
      <w:pPr>
        <w:ind w:firstLine="0"/>
      </w:pPr>
    </w:p>
    <w:p w:rsidR="009A3062" w:rsidP="009A3062" w:rsidRDefault="009A3062" w14:paraId="1D20574F" w14:textId="77777777">
      <w:pPr>
        <w:ind w:firstLine="0"/>
      </w:pPr>
    </w:p>
    <w:p w:rsidR="009A3062" w:rsidP="009A3062" w:rsidRDefault="009A3062" w14:paraId="7CC23282" w14:textId="3EE49C4E">
      <w:pPr>
        <w:ind w:firstLine="0"/>
        <w:jc w:val="center"/>
        <w:rPr>
          <w:b/>
          <w:bCs/>
          <w:sz w:val="50"/>
        </w:rPr>
      </w:pPr>
      <w:r>
        <w:rPr>
          <w:b/>
          <w:bCs/>
          <w:sz w:val="50"/>
        </w:rPr>
        <w:t>APPENDIX A</w:t>
      </w:r>
      <w:r w:rsidR="0071435C">
        <w:rPr>
          <w:b/>
          <w:bCs/>
          <w:sz w:val="50"/>
        </w:rPr>
        <w:t xml:space="preserve"> - X</w:t>
      </w:r>
    </w:p>
    <w:p w:rsidR="009A3062" w:rsidP="0069552D" w:rsidRDefault="009A3062" w14:paraId="122FE88F" w14:textId="77777777">
      <w:pPr>
        <w:pStyle w:val="Standard"/>
        <w:keepNext/>
      </w:pPr>
    </w:p>
    <w:p w:rsidR="009A3062" w:rsidP="0069552D" w:rsidRDefault="009A3062" w14:paraId="401363AF" w14:textId="77777777">
      <w:pPr>
        <w:pStyle w:val="Standard"/>
        <w:keepNext/>
        <w:sectPr w:rsidR="009A3062" w:rsidSect="003922FD">
          <w:footerReference w:type="default" r:id="rId19"/>
          <w:pgSz w:w="12240" w:h="15840"/>
          <w:pgMar w:top="1728" w:right="1440" w:bottom="1440" w:left="1440" w:header="720" w:footer="720" w:gutter="0"/>
          <w:pgNumType w:start="2"/>
          <w:cols w:space="720"/>
          <w:docGrid w:linePitch="360"/>
        </w:sectPr>
      </w:pPr>
    </w:p>
    <w:p w:rsidR="009A3062" w:rsidP="009A3062" w:rsidRDefault="009A3062" w14:paraId="03901965" w14:textId="77777777">
      <w:pPr>
        <w:ind w:firstLine="0"/>
      </w:pPr>
    </w:p>
    <w:p w:rsidR="009A3062" w:rsidP="009A3062" w:rsidRDefault="009A3062" w14:paraId="4A2AF97A" w14:textId="77777777">
      <w:pPr>
        <w:ind w:firstLine="0"/>
      </w:pPr>
    </w:p>
    <w:p w:rsidR="009A3062" w:rsidP="009A3062" w:rsidRDefault="009A3062" w14:paraId="6DB1A997" w14:textId="77777777">
      <w:pPr>
        <w:ind w:firstLine="0"/>
      </w:pPr>
    </w:p>
    <w:p w:rsidR="009A3062" w:rsidP="009A3062" w:rsidRDefault="009A3062" w14:paraId="53C3F1C0" w14:textId="77777777">
      <w:pPr>
        <w:ind w:firstLine="0"/>
      </w:pPr>
    </w:p>
    <w:p w:rsidR="009A3062" w:rsidP="009A3062" w:rsidRDefault="009A3062" w14:paraId="1F1E422C" w14:textId="77777777">
      <w:pPr>
        <w:ind w:firstLine="0"/>
      </w:pPr>
    </w:p>
    <w:p w:rsidR="009A3062" w:rsidP="009A3062" w:rsidRDefault="009A3062" w14:paraId="66DD4948" w14:textId="77777777">
      <w:pPr>
        <w:ind w:firstLine="0"/>
      </w:pPr>
    </w:p>
    <w:p w:rsidR="009A3062" w:rsidP="009A3062" w:rsidRDefault="009A3062" w14:paraId="52512AF1" w14:textId="77777777">
      <w:pPr>
        <w:ind w:firstLine="0"/>
      </w:pPr>
    </w:p>
    <w:p w:rsidRPr="003E6E0F" w:rsidR="00222B3A" w:rsidP="003E5054" w:rsidRDefault="009A3062" w14:paraId="0138978F" w14:textId="67E097D5">
      <w:pPr>
        <w:ind w:firstLine="0"/>
        <w:jc w:val="center"/>
      </w:pPr>
      <w:r>
        <w:rPr>
          <w:b/>
          <w:bCs/>
          <w:sz w:val="50"/>
        </w:rPr>
        <w:t xml:space="preserve">APPENDIX </w:t>
      </w:r>
      <w:r w:rsidR="0071435C">
        <w:rPr>
          <w:b/>
          <w:bCs/>
          <w:sz w:val="50"/>
        </w:rPr>
        <w:t>Y</w:t>
      </w:r>
    </w:p>
    <w:p w:rsidRPr="00714CF2" w:rsidR="009A3062" w:rsidP="00222B3A" w:rsidRDefault="009A3062" w14:paraId="477073B3" w14:textId="77777777">
      <w:pPr>
        <w:pStyle w:val="Standard"/>
        <w:keepNext/>
        <w:ind w:firstLine="0"/>
      </w:pPr>
    </w:p>
    <w:sectPr w:rsidRPr="00714CF2" w:rsidR="009A3062" w:rsidSect="003922FD">
      <w:footerReference w:type="default" r:id="rId20"/>
      <w:pgSz w:w="12240" w:h="15840"/>
      <w:pgMar w:top="1728" w:right="1440" w:bottom="1440" w:left="1440" w:header="720" w:footer="720" w:gutter="0"/>
      <w:pgNumType w:start="2"/>
      <w:cols w:space="720"/>
      <w:docGrid w:linePitch="360"/>
    </w:sectPr>
    <w:p>
      <w:r>
        <w:t xml:space="preserve"/>
      </w:r>
    </w:p>
    <w:p>
      <w:r>
        <w:t xml:space="preserve">Attachment 1: </w:t>
      </w:r>
    </w:p>
    <w:p>
      <w:hyperlink w:history="true" r:id="R1a179b25a5114104">
        <w:r w:rsidRPr="00CB1292">
          <w:rPr>
            <w:rStyle w:val="Hyperlink"/>
            <w:color w:val="2E74B5" w:themeColor="accent1" w:themeShade="BF"/>
            <w:u w:val="single"/>
          </w:rPr>
          <w:t>A2407003 Rosas GRC PD (Redline Version).pdf</w:t>
        </w:r>
      </w:hyperlink>
    </w:p>
    <w:p>
      <w:r>
        <w:t xml:space="preserve"/>
      </w:r>
    </w:p>
    <w:p>
      <w:r>
        <w:t xml:space="preserve">Attachment 2: </w:t>
      </w:r>
    </w:p>
    <w:p>
      <w:hyperlink w:history="true" r:id="Re67ecb095b334f58">
        <w:r w:rsidRPr="00CB1292">
          <w:rPr>
            <w:rStyle w:val="Hyperlink"/>
            <w:color w:val="2E74B5" w:themeColor="accent1" w:themeShade="BF"/>
            <w:u w:val="single"/>
          </w:rPr>
          <w:t>A2407003 Appendix A-X (Rev.1).pdf</w:t>
        </w:r>
      </w:hyperlink>
    </w:p>
    <w:p>
      <w:r>
        <w:t xml:space="preserve"/>
      </w:r>
    </w:p>
    <w:p>
      <w:r>
        <w:t xml:space="preserve">Attachment 3: </w:t>
      </w:r>
    </w:p>
    <w:p>
      <w:hyperlink w:history="true" r:id="R7b3cff7290704b2a">
        <w:r w:rsidRPr="00CB1292">
          <w:rPr>
            <w:rStyle w:val="Hyperlink"/>
            <w:color w:val="2E74B5" w:themeColor="accent1" w:themeShade="BF"/>
            <w:u w:val="single"/>
          </w:rPr>
          <w:t>A2407003 Appendix Y (Rev.1).pdf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6951" w14:textId="77777777" w:rsidR="004870A7" w:rsidRDefault="004870A7" w:rsidP="0098138E">
      <w:pPr>
        <w:spacing w:line="240" w:lineRule="auto"/>
      </w:pPr>
      <w:r>
        <w:separator/>
      </w:r>
    </w:p>
  </w:endnote>
  <w:endnote w:type="continuationSeparator" w:id="0">
    <w:p w14:paraId="49D2AF5F" w14:textId="77777777" w:rsidR="004870A7" w:rsidRDefault="004870A7"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547F" w14:textId="19C91C9B" w:rsidR="00F92385" w:rsidRDefault="00270999" w:rsidP="00221A32">
    <w:pPr>
      <w:spacing w:line="240" w:lineRule="auto"/>
      <w:ind w:firstLine="0"/>
      <w:jc w:val="center"/>
    </w:pPr>
    <w:r>
      <w:noBreakHyphen/>
    </w:r>
    <w:r w:rsidR="00221A32">
      <w:t xml:space="preserve"> </w:t>
    </w:r>
    <w:sdt>
      <w:sdtPr>
        <w:id w:val="-1472208903"/>
        <w:docPartObj>
          <w:docPartGallery w:val="Page Numbers (Bottom of Page)"/>
          <w:docPartUnique/>
        </w:docPartObj>
      </w:sdtPr>
      <w:sdtEndPr>
        <w:rPr>
          <w:noProof/>
        </w:rPr>
      </w:sdtEndPr>
      <w:sdtContent>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r w:rsidR="00221A32">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65E0" w14:textId="3AD6A04C" w:rsidR="00632207" w:rsidRDefault="004870A7" w:rsidP="00A63D35">
    <w:pPr>
      <w:tabs>
        <w:tab w:val="center" w:pos="4680"/>
      </w:tabs>
      <w:spacing w:line="240" w:lineRule="auto"/>
      <w:ind w:firstLine="0"/>
      <w:rPr>
        <w:noProof/>
      </w:rPr>
    </w:pPr>
    <w:sdt>
      <w:sdtPr>
        <w:id w:val="-1352874971"/>
        <w:docPartObj>
          <w:docPartGallery w:val="Page Numbers (Bottom of Page)"/>
          <w:docPartUnique/>
        </w:docPartObj>
      </w:sdtPr>
      <w:sdtEndPr>
        <w:rPr>
          <w:noProof/>
        </w:rPr>
      </w:sdtEndPr>
      <w:sdtContent>
        <w:r w:rsidR="000F74D7" w:rsidRPr="000F74D7">
          <w:rPr>
            <w:rFonts w:cs="Arial"/>
            <w:sz w:val="16"/>
            <w:szCs w:val="16"/>
          </w:rPr>
          <w:t>605783746</w:t>
        </w:r>
        <w:r w:rsidR="00632207">
          <w:rPr>
            <w:rFonts w:ascii="Arial" w:hAnsi="Arial" w:cs="Arial"/>
            <w:sz w:val="16"/>
            <w:szCs w:val="16"/>
          </w:rPr>
          <w:tab/>
        </w:r>
        <w:r w:rsidR="00270999">
          <w:noBreakHyphen/>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270999">
      <w:rPr>
        <w:noProof/>
      </w:rPr>
      <w:noBreakHyphen/>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988E" w14:textId="730DA8D3" w:rsidR="00E23CBB" w:rsidRDefault="00270999" w:rsidP="00A63D35">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12C7" w14:textId="39423921" w:rsidR="009A3062" w:rsidRPr="009A3062" w:rsidRDefault="009A3062" w:rsidP="009A30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D154" w14:textId="77777777" w:rsidR="00222B3A" w:rsidRPr="009A3062" w:rsidRDefault="00222B3A" w:rsidP="009A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611AA" w14:textId="77777777" w:rsidR="004870A7" w:rsidRDefault="004870A7" w:rsidP="00DF58E7">
      <w:pPr>
        <w:spacing w:line="240" w:lineRule="auto"/>
        <w:ind w:firstLine="0"/>
      </w:pPr>
      <w:r>
        <w:separator/>
      </w:r>
    </w:p>
  </w:footnote>
  <w:footnote w:type="continuationSeparator" w:id="0">
    <w:p w14:paraId="182F0A44" w14:textId="77777777" w:rsidR="004870A7" w:rsidRDefault="004870A7" w:rsidP="00DF58E7">
      <w:pPr>
        <w:spacing w:line="240" w:lineRule="auto"/>
        <w:ind w:firstLine="0"/>
      </w:pPr>
      <w:r>
        <w:continuationSeparator/>
      </w:r>
    </w:p>
  </w:footnote>
  <w:footnote w:type="continuationNotice" w:id="1">
    <w:p w14:paraId="074250BB" w14:textId="77777777" w:rsidR="004870A7" w:rsidRPr="00DF58E7" w:rsidRDefault="004870A7" w:rsidP="00DF58E7">
      <w:pPr>
        <w:spacing w:line="240" w:lineRule="auto"/>
        <w:ind w:firstLine="0"/>
        <w:jc w:val="right"/>
        <w:rPr>
          <w:i/>
          <w:sz w:val="22"/>
        </w:rPr>
      </w:pPr>
      <w:r w:rsidRPr="00DF58E7">
        <w:rPr>
          <w:i/>
          <w:sz w:val="22"/>
        </w:rPr>
        <w:t>Footnote continued on next page.</w:t>
      </w:r>
    </w:p>
  </w:footnote>
  <w:footnote w:id="2">
    <w:p w14:paraId="7B259190" w14:textId="6F364979" w:rsidR="006449CC" w:rsidRDefault="006449CC" w:rsidP="006449CC">
      <w:pPr>
        <w:pStyle w:val="FootnoteText"/>
      </w:pPr>
      <w:r>
        <w:rPr>
          <w:rStyle w:val="FootnoteReference"/>
        </w:rPr>
        <w:footnoteRef/>
      </w:r>
      <w:r>
        <w:t xml:space="preserve"> </w:t>
      </w:r>
      <w:r w:rsidRPr="00644AC1">
        <w:t xml:space="preserve">In California, water companies that serve more than 10,000 customers are considered </w:t>
      </w:r>
      <w:r w:rsidR="00EB50F8">
        <w:t>Class A</w:t>
      </w:r>
      <w:r w:rsidRPr="00644AC1">
        <w:t xml:space="preserve"> water utilities.</w:t>
      </w:r>
      <w:r w:rsidR="00583E5E">
        <w:t xml:space="preserve"> </w:t>
      </w:r>
      <w:r w:rsidR="00EB50F8">
        <w:t>Cal Water</w:t>
      </w:r>
      <w:r w:rsidRPr="00644AC1">
        <w:t xml:space="preserve"> is one of nine </w:t>
      </w:r>
      <w:r w:rsidR="00EB50F8">
        <w:t>Class A</w:t>
      </w:r>
      <w:r w:rsidRPr="00644AC1">
        <w:t xml:space="preserve"> water utilities regulated by the Commission.</w:t>
      </w:r>
    </w:p>
  </w:footnote>
  <w:footnote w:id="3">
    <w:p w14:paraId="32E55D12" w14:textId="6BF584FD" w:rsidR="007917F0" w:rsidRDefault="007917F0">
      <w:pPr>
        <w:pStyle w:val="FootnoteText"/>
      </w:pPr>
      <w:r>
        <w:rPr>
          <w:rStyle w:val="FootnoteReference"/>
        </w:rPr>
        <w:footnoteRef/>
      </w:r>
      <w:r>
        <w:t xml:space="preserve"> </w:t>
      </w:r>
      <w:hyperlink r:id="rId1" w:history="1">
        <w:r w:rsidRPr="004E458B">
          <w:rPr>
            <w:rStyle w:val="Hyperlink"/>
          </w:rPr>
          <w:t>https://www.calwater.com/about/company</w:t>
        </w:r>
        <w:r w:rsidR="00270999">
          <w:rPr>
            <w:rStyle w:val="Hyperlink"/>
          </w:rPr>
          <w:noBreakHyphen/>
        </w:r>
        <w:r w:rsidRPr="004E458B">
          <w:rPr>
            <w:rStyle w:val="Hyperlink"/>
          </w:rPr>
          <w:t>information/</w:t>
        </w:r>
      </w:hyperlink>
      <w:r w:rsidRPr="004E458B">
        <w:t xml:space="preserve"> as of</w:t>
      </w:r>
      <w:r>
        <w:t xml:space="preserve"> </w:t>
      </w:r>
      <w:r w:rsidR="0068306C">
        <w:t>November </w:t>
      </w:r>
      <w:r>
        <w:t>11, 2025.</w:t>
      </w:r>
    </w:p>
  </w:footnote>
  <w:footnote w:id="4">
    <w:p w14:paraId="4F23D2B9" w14:textId="778F36D4" w:rsidR="00BF5181" w:rsidRDefault="00BF5181">
      <w:pPr>
        <w:pStyle w:val="FootnoteText"/>
      </w:pPr>
      <w:r>
        <w:rPr>
          <w:rStyle w:val="FootnoteReference"/>
        </w:rPr>
        <w:footnoteRef/>
      </w:r>
      <w:r w:rsidR="00EB50F8">
        <w:t>Cal Water</w:t>
      </w:r>
      <w:r w:rsidR="006A73DA">
        <w:t xml:space="preserve"> is a</w:t>
      </w:r>
      <w:r>
        <w:t xml:space="preserve"> </w:t>
      </w:r>
      <w:r w:rsidR="006A73DA" w:rsidRPr="006A73DA">
        <w:t>public utility subject to the jurisdiction of this Commission pursuant to Public Utilities (</w:t>
      </w:r>
      <w:r w:rsidR="003A5B7D">
        <w:t>Pub. Util.</w:t>
      </w:r>
      <w:r w:rsidR="006A73DA" w:rsidRPr="006A73DA">
        <w:t>) Code Section</w:t>
      </w:r>
      <w:r w:rsidR="00B826EA">
        <w:t> </w:t>
      </w:r>
      <w:r w:rsidR="006A73DA" w:rsidRPr="006A73DA">
        <w:t>216(a)(1).</w:t>
      </w:r>
    </w:p>
  </w:footnote>
  <w:footnote w:id="5">
    <w:p w14:paraId="0D73779E" w14:textId="7178EDFF" w:rsidR="007875AD" w:rsidRDefault="007875AD">
      <w:pPr>
        <w:pStyle w:val="FootnoteText"/>
      </w:pPr>
      <w:r>
        <w:rPr>
          <w:rStyle w:val="FootnoteReference"/>
        </w:rPr>
        <w:footnoteRef/>
      </w:r>
      <w:r>
        <w:t xml:space="preserve"> </w:t>
      </w:r>
      <w:r w:rsidRPr="009D0D2F">
        <w:rPr>
          <w:i/>
          <w:iCs/>
        </w:rPr>
        <w:t>See</w:t>
      </w:r>
      <w:r w:rsidRPr="00AA2770">
        <w:t xml:space="preserve"> </w:t>
      </w:r>
      <w:r w:rsidR="003A5B7D">
        <w:t>Pub. Util.</w:t>
      </w:r>
      <w:r w:rsidRPr="00AA2770">
        <w:t xml:space="preserve"> Code </w:t>
      </w:r>
      <w:r w:rsidR="0032703D">
        <w:t>§§ </w:t>
      </w:r>
      <w:r w:rsidRPr="00AA2770">
        <w:t>451, 454.</w:t>
      </w:r>
    </w:p>
  </w:footnote>
  <w:footnote w:id="6">
    <w:p w14:paraId="50EB635B" w14:textId="4F460061" w:rsidR="007875AD" w:rsidRDefault="007875AD">
      <w:pPr>
        <w:pStyle w:val="FootnoteText"/>
      </w:pPr>
      <w:r>
        <w:rPr>
          <w:rStyle w:val="FootnoteReference"/>
        </w:rPr>
        <w:footnoteRef/>
      </w:r>
      <w:r>
        <w:t xml:space="preserve"> </w:t>
      </w:r>
      <w:r w:rsidR="003A5B7D">
        <w:t>Pub. Util.</w:t>
      </w:r>
      <w:r w:rsidRPr="00AA2770">
        <w:t xml:space="preserve"> Code </w:t>
      </w:r>
      <w:r w:rsidR="0032703D">
        <w:t>§ </w:t>
      </w:r>
      <w:r w:rsidRPr="00CC5C5D">
        <w:t>451.</w:t>
      </w:r>
    </w:p>
  </w:footnote>
  <w:footnote w:id="7">
    <w:p w14:paraId="49CA9E6C" w14:textId="0DC59393" w:rsidR="007875AD" w:rsidRDefault="007875AD">
      <w:pPr>
        <w:pStyle w:val="FootnoteText"/>
      </w:pPr>
      <w:r>
        <w:rPr>
          <w:rStyle w:val="FootnoteReference"/>
        </w:rPr>
        <w:footnoteRef/>
      </w:r>
      <w:r>
        <w:t xml:space="preserve"> </w:t>
      </w:r>
      <w:r w:rsidR="0080343B" w:rsidRPr="0080343B">
        <w:rPr>
          <w:i/>
          <w:iCs/>
        </w:rPr>
        <w:t xml:space="preserve">See </w:t>
      </w:r>
      <w:bookmarkStart w:id="20" w:name="_Hlk212641072"/>
      <w:r>
        <w:t>Decision (</w:t>
      </w:r>
      <w:r w:rsidRPr="00AA2770">
        <w:t>D.</w:t>
      </w:r>
      <w:r>
        <w:t>)</w:t>
      </w:r>
      <w:bookmarkEnd w:id="20"/>
      <w:r w:rsidR="00785B98">
        <w:t> </w:t>
      </w:r>
      <w:r w:rsidRPr="00AA2770">
        <w:t>18</w:t>
      </w:r>
      <w:r w:rsidR="00270999">
        <w:noBreakHyphen/>
      </w:r>
      <w:r w:rsidRPr="00AA2770">
        <w:t>10</w:t>
      </w:r>
      <w:r w:rsidR="00270999">
        <w:noBreakHyphen/>
      </w:r>
      <w:r w:rsidRPr="00AA2770">
        <w:t>019</w:t>
      </w:r>
      <w:r w:rsidR="00D14F9F">
        <w:t xml:space="preserve"> at </w:t>
      </w:r>
      <w:r w:rsidRPr="00AA2770">
        <w:t>31.</w:t>
      </w:r>
    </w:p>
  </w:footnote>
  <w:footnote w:id="8">
    <w:p w14:paraId="1A950A2C" w14:textId="36306D86" w:rsidR="007875AD" w:rsidRDefault="007875AD">
      <w:pPr>
        <w:pStyle w:val="FootnoteText"/>
      </w:pPr>
      <w:r>
        <w:rPr>
          <w:rStyle w:val="FootnoteReference"/>
        </w:rPr>
        <w:footnoteRef/>
      </w:r>
      <w:r>
        <w:t xml:space="preserve"> </w:t>
      </w:r>
      <w:r w:rsidRPr="00AA2770">
        <w:t>D.18</w:t>
      </w:r>
      <w:r w:rsidR="00270999">
        <w:noBreakHyphen/>
      </w:r>
      <w:r w:rsidRPr="00AA2770">
        <w:t>10</w:t>
      </w:r>
      <w:r w:rsidR="00270999">
        <w:noBreakHyphen/>
      </w:r>
      <w:r w:rsidRPr="00AA2770">
        <w:t>019</w:t>
      </w:r>
      <w:r w:rsidR="00D14F9F">
        <w:t xml:space="preserve"> at </w:t>
      </w:r>
      <w:r w:rsidRPr="00AA2770">
        <w:t>31, quoting D.87</w:t>
      </w:r>
      <w:r w:rsidR="00270999">
        <w:noBreakHyphen/>
      </w:r>
      <w:r w:rsidRPr="00AA2770">
        <w:t>12</w:t>
      </w:r>
      <w:r w:rsidR="00270999">
        <w:noBreakHyphen/>
      </w:r>
      <w:r w:rsidRPr="00AA2770">
        <w:t>067, 27</w:t>
      </w:r>
      <w:r w:rsidR="001A36AE">
        <w:t> </w:t>
      </w:r>
      <w:r w:rsidRPr="00AA2770">
        <w:t>CPUC</w:t>
      </w:r>
      <w:r w:rsidR="001A36AE">
        <w:t xml:space="preserve"> </w:t>
      </w:r>
      <w:r w:rsidRPr="00AA2770">
        <w:t>2d</w:t>
      </w:r>
      <w:r w:rsidR="001A36AE">
        <w:t>.</w:t>
      </w:r>
      <w:r w:rsidRPr="00AA2770">
        <w:t xml:space="preserve"> 1, 22.</w:t>
      </w:r>
    </w:p>
  </w:footnote>
  <w:footnote w:id="9">
    <w:p w14:paraId="249E5A89" w14:textId="459D608C" w:rsidR="007875AD" w:rsidRDefault="007875AD">
      <w:pPr>
        <w:pStyle w:val="FootnoteText"/>
      </w:pPr>
      <w:r>
        <w:rPr>
          <w:rStyle w:val="FootnoteReference"/>
        </w:rPr>
        <w:footnoteRef/>
      </w:r>
      <w:r>
        <w:t xml:space="preserve"> </w:t>
      </w:r>
      <w:r w:rsidRPr="00837935">
        <w:t>Evid. Code</w:t>
      </w:r>
      <w:r w:rsidRPr="00CC5C5D">
        <w:t xml:space="preserve"> </w:t>
      </w:r>
      <w:r w:rsidR="0032703D">
        <w:t>§§ </w:t>
      </w:r>
      <w:r w:rsidRPr="00CC5C5D">
        <w:t xml:space="preserve">115, 500; </w:t>
      </w:r>
      <w:r w:rsidRPr="0080343B">
        <w:rPr>
          <w:i/>
          <w:iCs/>
        </w:rPr>
        <w:t>see also</w:t>
      </w:r>
      <w:r w:rsidRPr="00CC5C5D">
        <w:t xml:space="preserve"> </w:t>
      </w:r>
      <w:r w:rsidRPr="00CC5C5D">
        <w:rPr>
          <w:i/>
          <w:iCs/>
        </w:rPr>
        <w:t>Sargent Fletcher Inc.</w:t>
      </w:r>
      <w:r w:rsidR="008605EE">
        <w:rPr>
          <w:i/>
          <w:iCs/>
        </w:rPr>
        <w:t xml:space="preserve"> v. </w:t>
      </w:r>
      <w:r w:rsidRPr="00CC5C5D">
        <w:rPr>
          <w:i/>
          <w:iCs/>
        </w:rPr>
        <w:t>Able Corp.</w:t>
      </w:r>
      <w:r w:rsidRPr="00CC5C5D">
        <w:t xml:space="preserve"> (2003) 110</w:t>
      </w:r>
      <w:r w:rsidR="005F668F">
        <w:t> Cal.</w:t>
      </w:r>
      <w:r w:rsidRPr="00CC5C5D">
        <w:t>App.4th 1658, 1667 [citations omitted].</w:t>
      </w:r>
    </w:p>
  </w:footnote>
  <w:footnote w:id="10">
    <w:p w14:paraId="2F5C91CA" w14:textId="3A7239B2" w:rsidR="007875AD" w:rsidRDefault="007875AD">
      <w:pPr>
        <w:pStyle w:val="FootnoteText"/>
      </w:pPr>
      <w:r>
        <w:rPr>
          <w:rStyle w:val="FootnoteReference"/>
        </w:rPr>
        <w:footnoteRef/>
      </w:r>
      <w:r>
        <w:t xml:space="preserve"> </w:t>
      </w:r>
      <w:r w:rsidR="00546180">
        <w:t>Appendix </w:t>
      </w:r>
      <w:r w:rsidR="00111CBC">
        <w:t>Y</w:t>
      </w:r>
      <w:r w:rsidR="000C0896">
        <w:t xml:space="preserve">:  </w:t>
      </w:r>
      <w:r w:rsidRPr="00CB19AD">
        <w:t>Partial Settlement</w:t>
      </w:r>
      <w:r>
        <w:t xml:space="preserve"> Agreement</w:t>
      </w:r>
      <w:r w:rsidR="00D14F9F">
        <w:t xml:space="preserve"> at </w:t>
      </w:r>
      <w:r w:rsidRPr="00CB19AD">
        <w:t>2.</w:t>
      </w:r>
    </w:p>
  </w:footnote>
  <w:footnote w:id="11">
    <w:p w14:paraId="59DFA357" w14:textId="7B335138" w:rsidR="007875AD" w:rsidRDefault="007875AD">
      <w:pPr>
        <w:pStyle w:val="FootnoteText"/>
      </w:pPr>
      <w:r>
        <w:rPr>
          <w:rStyle w:val="FootnoteReference"/>
        </w:rPr>
        <w:footnoteRef/>
      </w:r>
      <w:r>
        <w:t xml:space="preserve"> Motion for Partial Settlement</w:t>
      </w:r>
      <w:r w:rsidR="00D14F9F">
        <w:t xml:space="preserve"> at </w:t>
      </w:r>
      <w:r>
        <w:t>3.</w:t>
      </w:r>
    </w:p>
  </w:footnote>
  <w:footnote w:id="12">
    <w:p w14:paraId="20B2D713" w14:textId="2D692781" w:rsidR="007875AD" w:rsidRDefault="007875AD">
      <w:pPr>
        <w:pStyle w:val="FootnoteText"/>
      </w:pPr>
      <w:r>
        <w:rPr>
          <w:rStyle w:val="FootnoteReference"/>
        </w:rPr>
        <w:footnoteRef/>
      </w:r>
      <w:r>
        <w:t xml:space="preserve"> Motion for Partial Settlement</w:t>
      </w:r>
      <w:r w:rsidR="00D14F9F">
        <w:t xml:space="preserve"> at </w:t>
      </w:r>
      <w:r>
        <w:t>4.</w:t>
      </w:r>
    </w:p>
  </w:footnote>
  <w:footnote w:id="13">
    <w:p w14:paraId="0F174203" w14:textId="1A0AD97C" w:rsidR="007875AD" w:rsidRDefault="007875AD">
      <w:pPr>
        <w:pStyle w:val="FootnoteText"/>
      </w:pPr>
      <w:r>
        <w:rPr>
          <w:rStyle w:val="FootnoteReference"/>
        </w:rPr>
        <w:footnoteRef/>
      </w:r>
      <w:r>
        <w:t xml:space="preserve"> Motion for Partial Settlement</w:t>
      </w:r>
      <w:r w:rsidR="00D14F9F">
        <w:t xml:space="preserve"> at </w:t>
      </w:r>
      <w:r>
        <w:t>4.</w:t>
      </w:r>
    </w:p>
  </w:footnote>
  <w:footnote w:id="14">
    <w:p w14:paraId="1B03842D" w14:textId="79D58216" w:rsidR="007875AD" w:rsidRDefault="007875AD">
      <w:pPr>
        <w:pStyle w:val="FootnoteText"/>
      </w:pPr>
      <w:r>
        <w:rPr>
          <w:rStyle w:val="FootnoteReference"/>
        </w:rPr>
        <w:footnoteRef/>
      </w:r>
      <w:r>
        <w:t xml:space="preserve"> Motion for Partial Settlement</w:t>
      </w:r>
      <w:r w:rsidR="00D14F9F">
        <w:t xml:space="preserve"> at </w:t>
      </w:r>
      <w:r>
        <w:t>4.</w:t>
      </w:r>
    </w:p>
  </w:footnote>
  <w:footnote w:id="15">
    <w:p w14:paraId="47F86732" w14:textId="73B2AC18" w:rsidR="007875AD" w:rsidRDefault="007875AD">
      <w:pPr>
        <w:pStyle w:val="FootnoteText"/>
      </w:pPr>
      <w:r>
        <w:rPr>
          <w:rStyle w:val="FootnoteReference"/>
        </w:rPr>
        <w:footnoteRef/>
      </w:r>
      <w:r>
        <w:t xml:space="preserve"> </w:t>
      </w:r>
      <w:r w:rsidRPr="00530172">
        <w:rPr>
          <w:i/>
          <w:iCs/>
        </w:rPr>
        <w:t>City of Detroit</w:t>
      </w:r>
      <w:r w:rsidR="008605EE">
        <w:rPr>
          <w:i/>
          <w:iCs/>
        </w:rPr>
        <w:t xml:space="preserve"> v. </w:t>
      </w:r>
      <w:r w:rsidRPr="00530172">
        <w:rPr>
          <w:i/>
          <w:iCs/>
        </w:rPr>
        <w:t>Grinnell Corp.</w:t>
      </w:r>
      <w:r w:rsidRPr="00530172">
        <w:t xml:space="preserve"> (2d Cir. 1974) 495</w:t>
      </w:r>
      <w:r w:rsidR="00A13909">
        <w:t> F.</w:t>
      </w:r>
      <w:r w:rsidRPr="00530172">
        <w:t>2d 448, 456.</w:t>
      </w:r>
    </w:p>
  </w:footnote>
  <w:footnote w:id="16">
    <w:p w14:paraId="2D24A470" w14:textId="33167810" w:rsidR="007875AD" w:rsidRDefault="007875AD">
      <w:pPr>
        <w:pStyle w:val="FootnoteText"/>
      </w:pPr>
      <w:r>
        <w:rPr>
          <w:rStyle w:val="FootnoteReference"/>
        </w:rPr>
        <w:footnoteRef/>
      </w:r>
      <w:r>
        <w:t xml:space="preserve"> </w:t>
      </w:r>
      <w:r w:rsidRPr="007875AD">
        <w:rPr>
          <w:i/>
          <w:iCs/>
        </w:rPr>
        <w:t>Ibid</w:t>
      </w:r>
      <w:r>
        <w:t>.</w:t>
      </w:r>
    </w:p>
  </w:footnote>
  <w:footnote w:id="17">
    <w:p w14:paraId="5F10CFD4" w14:textId="782AA6CE" w:rsidR="007875AD" w:rsidRDefault="007875AD">
      <w:pPr>
        <w:pStyle w:val="FootnoteText"/>
      </w:pPr>
      <w:r>
        <w:rPr>
          <w:rStyle w:val="FootnoteReference"/>
        </w:rPr>
        <w:footnoteRef/>
      </w:r>
      <w:r>
        <w:t xml:space="preserve"> </w:t>
      </w:r>
      <w:r w:rsidR="0080343B" w:rsidRPr="0080343B">
        <w:rPr>
          <w:i/>
          <w:iCs/>
        </w:rPr>
        <w:t xml:space="preserve">See </w:t>
      </w:r>
      <w:r w:rsidRPr="00530172">
        <w:rPr>
          <w:i/>
          <w:iCs/>
        </w:rPr>
        <w:t>Title Ins. Co.</w:t>
      </w:r>
      <w:r w:rsidR="008605EE">
        <w:rPr>
          <w:i/>
          <w:iCs/>
        </w:rPr>
        <w:t xml:space="preserve"> v. </w:t>
      </w:r>
      <w:r w:rsidRPr="00530172">
        <w:rPr>
          <w:i/>
          <w:iCs/>
        </w:rPr>
        <w:t>State Bd. of Equalization</w:t>
      </w:r>
      <w:r w:rsidRPr="00530172">
        <w:t xml:space="preserve"> (1992) 4</w:t>
      </w:r>
      <w:r w:rsidR="005F668F">
        <w:t> Cal.</w:t>
      </w:r>
      <w:r w:rsidRPr="00530172">
        <w:t>4th 715, 733 [</w:t>
      </w:r>
      <w:r w:rsidR="00A23D11">
        <w:t>“</w:t>
      </w:r>
      <w:r w:rsidRPr="00530172">
        <w:t>A court will respect a stipulation limiting the issues in a case.</w:t>
      </w:r>
      <w:r w:rsidR="00A23D11">
        <w:t>”</w:t>
      </w:r>
      <w:r w:rsidRPr="00530172">
        <w:t>].</w:t>
      </w:r>
    </w:p>
  </w:footnote>
  <w:footnote w:id="18">
    <w:p w14:paraId="30564A21" w14:textId="4CAD637F" w:rsidR="007875AD" w:rsidRDefault="007875AD">
      <w:pPr>
        <w:pStyle w:val="FootnoteText"/>
      </w:pPr>
      <w:r>
        <w:rPr>
          <w:rStyle w:val="FootnoteReference"/>
        </w:rPr>
        <w:footnoteRef/>
      </w:r>
      <w:r>
        <w:t xml:space="preserve"> </w:t>
      </w:r>
      <w:r w:rsidR="00EB50F8">
        <w:t>Cal Water</w:t>
      </w:r>
      <w:r w:rsidRPr="00AD712C">
        <w:t xml:space="preserve"> Opening Brief</w:t>
      </w:r>
      <w:r>
        <w:t xml:space="preserve"> (OB)</w:t>
      </w:r>
      <w:r w:rsidR="00D14F9F">
        <w:t xml:space="preserve"> at </w:t>
      </w:r>
      <w:r w:rsidRPr="00AD712C">
        <w:t>8</w:t>
      </w:r>
      <w:r w:rsidR="00270999">
        <w:noBreakHyphen/>
      </w:r>
      <w:r w:rsidRPr="00AD712C">
        <w:t xml:space="preserve">15; </w:t>
      </w:r>
      <w:r w:rsidR="000A6C2E">
        <w:t>Exhibit (</w:t>
      </w:r>
      <w:r w:rsidRPr="00AD712C">
        <w:t>Ex.</w:t>
      </w:r>
      <w:r w:rsidR="000A6C2E">
        <w:t>) </w:t>
      </w:r>
      <w:r w:rsidRPr="00AD712C">
        <w:t>CWS</w:t>
      </w:r>
      <w:r w:rsidR="00270999">
        <w:noBreakHyphen/>
      </w:r>
      <w:r w:rsidRPr="00AD712C">
        <w:t>2</w:t>
      </w:r>
      <w:r w:rsidR="00D14F9F">
        <w:t xml:space="preserve"> at </w:t>
      </w:r>
      <w:r w:rsidRPr="00AD712C">
        <w:t>13</w:t>
      </w:r>
      <w:r w:rsidR="00270999">
        <w:noBreakHyphen/>
      </w:r>
      <w:r w:rsidRPr="00AD712C">
        <w:t>18</w:t>
      </w:r>
      <w:r>
        <w:t>.</w:t>
      </w:r>
    </w:p>
  </w:footnote>
  <w:footnote w:id="19">
    <w:p w14:paraId="4DE8FBBC" w14:textId="3529B182" w:rsidR="007875AD" w:rsidRDefault="007875AD">
      <w:pPr>
        <w:pStyle w:val="FootnoteText"/>
      </w:pPr>
      <w:r>
        <w:rPr>
          <w:rStyle w:val="FootnoteReference"/>
        </w:rPr>
        <w:footnoteRef/>
      </w:r>
      <w:r>
        <w:t xml:space="preserve"> </w:t>
      </w:r>
      <w:r w:rsidR="00EB50F8">
        <w:t>Cal Advocates</w:t>
      </w:r>
      <w:r w:rsidRPr="00AD712C">
        <w:t xml:space="preserve"> </w:t>
      </w:r>
      <w:r>
        <w:t>OB</w:t>
      </w:r>
      <w:r w:rsidR="00D14F9F">
        <w:t xml:space="preserve"> at </w:t>
      </w:r>
      <w:r w:rsidRPr="00AD712C">
        <w:t>9</w:t>
      </w:r>
      <w:r w:rsidR="00270999">
        <w:noBreakHyphen/>
      </w:r>
      <w:r w:rsidRPr="00AD712C">
        <w:t xml:space="preserve">20; </w:t>
      </w:r>
      <w:r w:rsidR="009D0D2F">
        <w:t>Ex. CalPA</w:t>
      </w:r>
      <w:r w:rsidR="00270999">
        <w:noBreakHyphen/>
      </w:r>
      <w:r w:rsidRPr="00AD712C">
        <w:t xml:space="preserve">1, </w:t>
      </w:r>
      <w:r w:rsidR="00DC5B03">
        <w:t>Tables </w:t>
      </w:r>
      <w:r w:rsidRPr="00AD712C">
        <w:t>2</w:t>
      </w:r>
      <w:r w:rsidR="00270999">
        <w:noBreakHyphen/>
      </w:r>
      <w:r w:rsidRPr="00AD712C">
        <w:t>4</w:t>
      </w:r>
      <w:r>
        <w:t>.</w:t>
      </w:r>
    </w:p>
  </w:footnote>
  <w:footnote w:id="20">
    <w:p w14:paraId="621382E1" w14:textId="5D76BFAA" w:rsidR="007875AD" w:rsidRPr="006271A0" w:rsidRDefault="007875AD">
      <w:pPr>
        <w:pStyle w:val="FootnoteText"/>
        <w:rPr>
          <w:lang w:val="da-DK"/>
        </w:rPr>
      </w:pPr>
      <w:r>
        <w:rPr>
          <w:rStyle w:val="FootnoteReference"/>
        </w:rPr>
        <w:footnoteRef/>
      </w:r>
      <w:r>
        <w:t xml:space="preserve"> </w:t>
      </w:r>
      <w:r w:rsidR="00EB50F8">
        <w:t>Cal Advocates</w:t>
      </w:r>
      <w:r w:rsidRPr="00AD712C">
        <w:t xml:space="preserve"> Reply Brief </w:t>
      </w:r>
      <w:r>
        <w:t>(RB)</w:t>
      </w:r>
      <w:r w:rsidR="00D14F9F">
        <w:t xml:space="preserve"> at </w:t>
      </w:r>
      <w:r w:rsidRPr="00AD712C">
        <w:t>4</w:t>
      </w:r>
      <w:r w:rsidR="00270999">
        <w:noBreakHyphen/>
      </w:r>
      <w:r w:rsidRPr="00AD712C">
        <w:t xml:space="preserve">9; </w:t>
      </w:r>
      <w:r w:rsidR="009D0D2F">
        <w:t>Ex. </w:t>
      </w:r>
      <w:r w:rsidR="009D0D2F" w:rsidRPr="00B230AE">
        <w:rPr>
          <w:lang w:val="da-DK"/>
        </w:rPr>
        <w:t>CalPA</w:t>
      </w:r>
      <w:r w:rsidR="00270999" w:rsidRPr="00B230AE">
        <w:rPr>
          <w:lang w:val="da-DK"/>
        </w:rPr>
        <w:noBreakHyphen/>
      </w:r>
      <w:r w:rsidRPr="006271A0">
        <w:rPr>
          <w:lang w:val="da-DK"/>
        </w:rPr>
        <w:t>2</w:t>
      </w:r>
      <w:r w:rsidR="00D14F9F">
        <w:rPr>
          <w:lang w:val="da-DK"/>
        </w:rPr>
        <w:t xml:space="preserve"> at </w:t>
      </w:r>
      <w:r w:rsidRPr="006271A0">
        <w:rPr>
          <w:lang w:val="da-DK"/>
        </w:rPr>
        <w:t>22.</w:t>
      </w:r>
    </w:p>
  </w:footnote>
  <w:footnote w:id="21">
    <w:p w14:paraId="2FD335E1" w14:textId="370298DC" w:rsidR="007875AD" w:rsidRPr="006271A0" w:rsidRDefault="007875AD">
      <w:pPr>
        <w:pStyle w:val="FootnoteText"/>
        <w:rPr>
          <w:lang w:val="da-DK"/>
        </w:rPr>
      </w:pPr>
      <w:r>
        <w:rPr>
          <w:rStyle w:val="FootnoteReference"/>
        </w:rPr>
        <w:footnoteRef/>
      </w:r>
      <w:r w:rsidRPr="006271A0">
        <w:rPr>
          <w:lang w:val="da-DK"/>
        </w:rPr>
        <w:t xml:space="preserve"> NAWC OB</w:t>
      </w:r>
      <w:r w:rsidR="0005778F">
        <w:rPr>
          <w:lang w:val="da-DK"/>
        </w:rPr>
        <w:t xml:space="preserve"> at </w:t>
      </w:r>
      <w:r w:rsidRPr="006271A0">
        <w:rPr>
          <w:lang w:val="da-DK"/>
        </w:rPr>
        <w:t>3</w:t>
      </w:r>
      <w:r w:rsidR="00270999">
        <w:rPr>
          <w:lang w:val="da-DK"/>
        </w:rPr>
        <w:noBreakHyphen/>
      </w:r>
      <w:r w:rsidRPr="006271A0">
        <w:rPr>
          <w:lang w:val="da-DK"/>
        </w:rPr>
        <w:t>9.</w:t>
      </w:r>
    </w:p>
  </w:footnote>
  <w:footnote w:id="22">
    <w:p w14:paraId="79DB8706" w14:textId="4744FB7B" w:rsidR="007875AD" w:rsidRDefault="007875AD">
      <w:pPr>
        <w:pStyle w:val="FootnoteText"/>
      </w:pPr>
      <w:r>
        <w:rPr>
          <w:rStyle w:val="FootnoteReference"/>
        </w:rPr>
        <w:footnoteRef/>
      </w:r>
      <w:r>
        <w:t xml:space="preserve"> </w:t>
      </w:r>
      <w:r w:rsidR="002171A6">
        <w:t xml:space="preserve">CWA </w:t>
      </w:r>
      <w:r w:rsidR="009D0D2F">
        <w:t>RB</w:t>
      </w:r>
      <w:r w:rsidR="0005778F">
        <w:t xml:space="preserve"> at </w:t>
      </w:r>
      <w:r w:rsidRPr="00AD712C">
        <w:t>3</w:t>
      </w:r>
      <w:r w:rsidR="00270999">
        <w:noBreakHyphen/>
      </w:r>
      <w:r w:rsidRPr="00AD712C">
        <w:t>5</w:t>
      </w:r>
      <w:r>
        <w:t>.</w:t>
      </w:r>
    </w:p>
  </w:footnote>
  <w:footnote w:id="23">
    <w:p w14:paraId="4851D055" w14:textId="449CFF36" w:rsidR="006640BC" w:rsidRDefault="006640BC">
      <w:pPr>
        <w:pStyle w:val="FootnoteText"/>
      </w:pPr>
      <w:r>
        <w:rPr>
          <w:rStyle w:val="FootnoteReference"/>
        </w:rPr>
        <w:footnoteRef/>
      </w:r>
      <w:r>
        <w:t xml:space="preserve"> Motion for Partial Settlement</w:t>
      </w:r>
      <w:r w:rsidR="0005778F">
        <w:t xml:space="preserve"> at </w:t>
      </w:r>
      <w:r w:rsidRPr="00AD712C">
        <w:t>4</w:t>
      </w:r>
      <w:r w:rsidR="00270999">
        <w:noBreakHyphen/>
      </w:r>
      <w:r w:rsidRPr="00AD712C">
        <w:t>7</w:t>
      </w:r>
      <w:r>
        <w:t>.</w:t>
      </w:r>
    </w:p>
  </w:footnote>
  <w:footnote w:id="24">
    <w:p w14:paraId="48D02B48" w14:textId="2536A919" w:rsidR="006640BC" w:rsidRDefault="006640BC">
      <w:pPr>
        <w:pStyle w:val="FootnoteText"/>
      </w:pPr>
      <w:r>
        <w:rPr>
          <w:rStyle w:val="FootnoteReference"/>
        </w:rPr>
        <w:footnoteRef/>
      </w:r>
      <w:r>
        <w:t xml:space="preserve"> </w:t>
      </w:r>
      <w:r w:rsidR="00EB50F8">
        <w:t>Cal Water</w:t>
      </w:r>
      <w:r w:rsidRPr="00AD712C">
        <w:t xml:space="preserve"> </w:t>
      </w:r>
      <w:r>
        <w:t>OB</w:t>
      </w:r>
      <w:r w:rsidR="0005778F">
        <w:t xml:space="preserve"> at </w:t>
      </w:r>
      <w:r w:rsidRPr="00AD712C">
        <w:t>10</w:t>
      </w:r>
      <w:r w:rsidR="00270999">
        <w:noBreakHyphen/>
      </w:r>
      <w:r w:rsidRPr="00AD712C">
        <w:t>1</w:t>
      </w:r>
      <w:r>
        <w:t>3</w:t>
      </w:r>
      <w:r w:rsidRPr="00AD712C">
        <w:t xml:space="preserve">; </w:t>
      </w:r>
      <w:r w:rsidR="000A6C2E">
        <w:t>Ex. CWS</w:t>
      </w:r>
      <w:r w:rsidR="00270999">
        <w:noBreakHyphen/>
      </w:r>
      <w:r w:rsidRPr="00AD712C">
        <w:t>3</w:t>
      </w:r>
      <w:r w:rsidR="0005778F">
        <w:t xml:space="preserve"> at </w:t>
      </w:r>
      <w:r w:rsidRPr="00AD712C">
        <w:t>6</w:t>
      </w:r>
      <w:r w:rsidR="00270999">
        <w:noBreakHyphen/>
      </w:r>
      <w:r w:rsidRPr="00AD712C">
        <w:t>8</w:t>
      </w:r>
      <w:r>
        <w:t>.</w:t>
      </w:r>
    </w:p>
  </w:footnote>
  <w:footnote w:id="25">
    <w:p w14:paraId="569BFCBC" w14:textId="3DE8CCFB" w:rsidR="006640BC" w:rsidRDefault="006640BC">
      <w:pPr>
        <w:pStyle w:val="FootnoteText"/>
      </w:pPr>
      <w:r>
        <w:rPr>
          <w:rStyle w:val="FootnoteReference"/>
        </w:rPr>
        <w:footnoteRef/>
      </w:r>
      <w:r>
        <w:t xml:space="preserve"> </w:t>
      </w:r>
      <w:r w:rsidR="00EB50F8">
        <w:t>Cal Water</w:t>
      </w:r>
      <w:r w:rsidRPr="00AD712C">
        <w:t xml:space="preserve"> </w:t>
      </w:r>
      <w:r>
        <w:t>RB</w:t>
      </w:r>
      <w:r w:rsidR="0005778F">
        <w:t xml:space="preserve"> at </w:t>
      </w:r>
      <w:r w:rsidRPr="00AD712C">
        <w:t>8</w:t>
      </w:r>
      <w:r w:rsidR="00270999">
        <w:noBreakHyphen/>
      </w:r>
      <w:r w:rsidRPr="00AD712C">
        <w:t xml:space="preserve">10; </w:t>
      </w:r>
      <w:r w:rsidR="000A6C2E">
        <w:t>Ex. CWS</w:t>
      </w:r>
      <w:r w:rsidR="00270999">
        <w:noBreakHyphen/>
      </w:r>
      <w:r w:rsidRPr="00AD712C">
        <w:t>4</w:t>
      </w:r>
      <w:r w:rsidR="0005778F">
        <w:t xml:space="preserve"> at </w:t>
      </w:r>
      <w:r w:rsidRPr="00AD712C">
        <w:t>10</w:t>
      </w:r>
      <w:r w:rsidR="00270999">
        <w:noBreakHyphen/>
      </w:r>
      <w:r w:rsidRPr="00AD712C">
        <w:t>11.</w:t>
      </w:r>
    </w:p>
  </w:footnote>
  <w:footnote w:id="26">
    <w:p w14:paraId="7BA4B6BD" w14:textId="034B0B3C" w:rsidR="006640BC" w:rsidRDefault="006640BC">
      <w:pPr>
        <w:pStyle w:val="FootnoteText"/>
      </w:pPr>
      <w:r>
        <w:rPr>
          <w:rStyle w:val="FootnoteReference"/>
        </w:rPr>
        <w:footnoteRef/>
      </w:r>
      <w:r>
        <w:t xml:space="preserve"> </w:t>
      </w:r>
      <w:r w:rsidR="00EB50F8">
        <w:t>Cal Water</w:t>
      </w:r>
      <w:r w:rsidRPr="007614A1">
        <w:t xml:space="preserve"> </w:t>
      </w:r>
      <w:r>
        <w:t>OB</w:t>
      </w:r>
      <w:r w:rsidR="0005778F">
        <w:t xml:space="preserve"> at </w:t>
      </w:r>
      <w:r w:rsidRPr="007614A1">
        <w:t>12</w:t>
      </w:r>
      <w:r w:rsidR="00270999">
        <w:noBreakHyphen/>
      </w:r>
      <w:r w:rsidRPr="007614A1">
        <w:t xml:space="preserve">14; </w:t>
      </w:r>
      <w:r w:rsidR="000A6C2E">
        <w:t>Ex. CWS</w:t>
      </w:r>
      <w:r w:rsidR="00270999">
        <w:noBreakHyphen/>
      </w:r>
      <w:r w:rsidRPr="007614A1">
        <w:t>5</w:t>
      </w:r>
      <w:r w:rsidR="0005778F">
        <w:t xml:space="preserve"> at </w:t>
      </w:r>
      <w:r w:rsidRPr="007614A1">
        <w:t>4</w:t>
      </w:r>
      <w:r w:rsidR="00270999">
        <w:noBreakHyphen/>
      </w:r>
      <w:r w:rsidRPr="007614A1">
        <w:t>6.</w:t>
      </w:r>
    </w:p>
  </w:footnote>
  <w:footnote w:id="27">
    <w:p w14:paraId="68FF6435" w14:textId="295D87CB" w:rsidR="006640BC" w:rsidRDefault="006640BC">
      <w:pPr>
        <w:pStyle w:val="FootnoteText"/>
      </w:pPr>
      <w:r>
        <w:rPr>
          <w:rStyle w:val="FootnoteReference"/>
        </w:rPr>
        <w:footnoteRef/>
      </w:r>
      <w:r>
        <w:t xml:space="preserve"> </w:t>
      </w:r>
      <w:r w:rsidR="00EB50F8">
        <w:t>Cal Advocates</w:t>
      </w:r>
      <w:r w:rsidRPr="00AD712C">
        <w:t xml:space="preserve"> </w:t>
      </w:r>
      <w:r>
        <w:t>OB</w:t>
      </w:r>
      <w:r w:rsidR="0005778F">
        <w:t xml:space="preserve"> at </w:t>
      </w:r>
      <w:r w:rsidRPr="00AD712C">
        <w:t>13</w:t>
      </w:r>
      <w:r w:rsidR="00270999">
        <w:noBreakHyphen/>
      </w:r>
      <w:r w:rsidRPr="00AD712C">
        <w:t>1</w:t>
      </w:r>
      <w:r>
        <w:t>6</w:t>
      </w:r>
      <w:r w:rsidRPr="00AD712C">
        <w:t xml:space="preserve">; </w:t>
      </w:r>
      <w:r w:rsidR="009D0D2F">
        <w:t>Ex. CalPA</w:t>
      </w:r>
      <w:r w:rsidR="00270999">
        <w:noBreakHyphen/>
      </w:r>
      <w:r w:rsidRPr="00AD712C">
        <w:t>1</w:t>
      </w:r>
      <w:r w:rsidR="0005778F">
        <w:t xml:space="preserve"> at </w:t>
      </w:r>
      <w:r w:rsidRPr="00AD712C">
        <w:t>26</w:t>
      </w:r>
      <w:r>
        <w:t>.</w:t>
      </w:r>
    </w:p>
  </w:footnote>
  <w:footnote w:id="28">
    <w:p w14:paraId="2D684CE8" w14:textId="6890E141" w:rsidR="006640BC" w:rsidRDefault="006640BC">
      <w:pPr>
        <w:pStyle w:val="FootnoteText"/>
      </w:pPr>
      <w:r>
        <w:rPr>
          <w:rStyle w:val="FootnoteReference"/>
        </w:rPr>
        <w:footnoteRef/>
      </w:r>
      <w:r>
        <w:t xml:space="preserve"> </w:t>
      </w:r>
      <w:r w:rsidR="00EB50F8">
        <w:t>Cal Advocates</w:t>
      </w:r>
      <w:r w:rsidRPr="00AD712C">
        <w:t xml:space="preserve"> </w:t>
      </w:r>
      <w:r>
        <w:t>RB</w:t>
      </w:r>
      <w:r w:rsidR="0005778F">
        <w:t xml:space="preserve"> at </w:t>
      </w:r>
      <w:r w:rsidRPr="00AD712C">
        <w:t>5</w:t>
      </w:r>
      <w:r w:rsidR="00270999">
        <w:noBreakHyphen/>
      </w:r>
      <w:r w:rsidRPr="00AD712C">
        <w:t xml:space="preserve">7; </w:t>
      </w:r>
      <w:r w:rsidR="009D0D2F">
        <w:t>Ex. CalPA</w:t>
      </w:r>
      <w:r w:rsidR="00270999">
        <w:noBreakHyphen/>
      </w:r>
      <w:r w:rsidRPr="00AD712C">
        <w:t>2</w:t>
      </w:r>
      <w:r w:rsidR="0005778F">
        <w:t xml:space="preserve"> at </w:t>
      </w:r>
      <w:r w:rsidRPr="00AD712C">
        <w:t>23.</w:t>
      </w:r>
    </w:p>
  </w:footnote>
  <w:footnote w:id="29">
    <w:p w14:paraId="1BD9AEB9" w14:textId="408B7EE9" w:rsidR="006640BC" w:rsidRDefault="006640BC">
      <w:pPr>
        <w:pStyle w:val="FootnoteText"/>
      </w:pPr>
      <w:r>
        <w:rPr>
          <w:rStyle w:val="FootnoteReference"/>
        </w:rPr>
        <w:footnoteRef/>
      </w:r>
      <w:r>
        <w:t xml:space="preserve"> </w:t>
      </w:r>
      <w:r w:rsidR="00EB50F8">
        <w:t>Cal Advocates</w:t>
      </w:r>
      <w:r w:rsidRPr="007614A1">
        <w:t xml:space="preserve"> </w:t>
      </w:r>
      <w:r>
        <w:t>OB</w:t>
      </w:r>
      <w:r w:rsidR="0005778F">
        <w:t xml:space="preserve"> at </w:t>
      </w:r>
      <w:r w:rsidRPr="007614A1">
        <w:t>16</w:t>
      </w:r>
      <w:r w:rsidR="00270999">
        <w:noBreakHyphen/>
      </w:r>
      <w:r w:rsidRPr="007614A1">
        <w:t>18.</w:t>
      </w:r>
    </w:p>
  </w:footnote>
  <w:footnote w:id="30">
    <w:p w14:paraId="664C1B8C" w14:textId="61D5E27F" w:rsidR="005803CD" w:rsidRDefault="005803CD">
      <w:pPr>
        <w:pStyle w:val="FootnoteText"/>
      </w:pPr>
      <w:r>
        <w:rPr>
          <w:rStyle w:val="FootnoteReference"/>
        </w:rPr>
        <w:footnoteRef/>
      </w:r>
      <w:r>
        <w:t xml:space="preserve"> </w:t>
      </w:r>
      <w:r w:rsidR="00B46883" w:rsidRPr="00B46883">
        <w:t>Cal</w:t>
      </w:r>
      <w:r w:rsidR="00BF0FDE">
        <w:t> </w:t>
      </w:r>
      <w:r w:rsidR="00B46883" w:rsidRPr="00B46883">
        <w:t xml:space="preserve">Advocates prepares two </w:t>
      </w:r>
      <w:r w:rsidR="00C31ACD">
        <w:t>monthly</w:t>
      </w:r>
      <w:r w:rsidR="00B46883" w:rsidRPr="00B46883">
        <w:t xml:space="preserve"> memorandums which provide (1)</w:t>
      </w:r>
      <w:r w:rsidR="00BF0FDE">
        <w:t> </w:t>
      </w:r>
      <w:r w:rsidR="00B46883" w:rsidRPr="00B46883">
        <w:t>a</w:t>
      </w:r>
      <w:r w:rsidR="00BF0FDE">
        <w:t> </w:t>
      </w:r>
      <w:r w:rsidR="00B46883" w:rsidRPr="00B46883">
        <w:t>Summary of Compensation Per Hour prepared using the annual IHS Global Insight U.S. Economic Outlook, and (2)</w:t>
      </w:r>
      <w:r w:rsidR="00BF0FDE">
        <w:t> </w:t>
      </w:r>
      <w:r w:rsidR="00B46883" w:rsidRPr="00B46883">
        <w:t xml:space="preserve">a </w:t>
      </w:r>
      <w:r w:rsidR="00BF0FDE">
        <w:t>five</w:t>
      </w:r>
      <w:r w:rsidR="00270999">
        <w:noBreakHyphen/>
      </w:r>
      <w:r w:rsidR="00B46883" w:rsidRPr="00B46883">
        <w:t>year forecast Estimates of Non</w:t>
      </w:r>
      <w:r w:rsidR="00270999">
        <w:noBreakHyphen/>
      </w:r>
      <w:r w:rsidR="00B46883" w:rsidRPr="00B46883">
        <w:t>labor and Wage Escalation also using IHS Global Insight U.S. Economic Outlook.</w:t>
      </w:r>
      <w:r w:rsidR="00BF0FDE">
        <w:t xml:space="preserve"> </w:t>
      </w:r>
      <w:r w:rsidR="00B46883">
        <w:t xml:space="preserve">These are referred to as “memo factors.” </w:t>
      </w:r>
      <w:r w:rsidR="00B46883" w:rsidRPr="00B46883">
        <w:t>The Commission generally relies on these</w:t>
      </w:r>
      <w:r w:rsidR="00B46883">
        <w:t xml:space="preserve"> </w:t>
      </w:r>
      <w:r w:rsidR="00B46883" w:rsidRPr="00B46883">
        <w:t>as an independently prepared source of information and it is consistent with the Commission’s Water Rate Case Plan, D.07</w:t>
      </w:r>
      <w:r w:rsidR="00270999">
        <w:noBreakHyphen/>
      </w:r>
      <w:r w:rsidR="00B46883" w:rsidRPr="00B46883">
        <w:t>05</w:t>
      </w:r>
      <w:r w:rsidR="00270999">
        <w:noBreakHyphen/>
      </w:r>
      <w:r w:rsidR="00B46883" w:rsidRPr="00B46883">
        <w:t>062. These two memos are reliable data but are not binding on applicants, intervenors, or the Commission.</w:t>
      </w:r>
    </w:p>
  </w:footnote>
  <w:footnote w:id="31">
    <w:p w14:paraId="1EBC4ABA" w14:textId="095427B8" w:rsidR="006640BC" w:rsidRDefault="006640BC">
      <w:pPr>
        <w:pStyle w:val="FootnoteText"/>
      </w:pPr>
      <w:r>
        <w:rPr>
          <w:rStyle w:val="FootnoteReference"/>
        </w:rPr>
        <w:footnoteRef/>
      </w:r>
      <w:r>
        <w:t xml:space="preserve"> </w:t>
      </w:r>
      <w:r w:rsidR="00EB50F8">
        <w:t>Cal Advocates</w:t>
      </w:r>
      <w:r w:rsidRPr="007614A1">
        <w:t xml:space="preserve"> </w:t>
      </w:r>
      <w:r>
        <w:t>RB</w:t>
      </w:r>
      <w:r w:rsidR="0005778F">
        <w:t xml:space="preserve"> at </w:t>
      </w:r>
      <w:r w:rsidRPr="007614A1">
        <w:t>6</w:t>
      </w:r>
      <w:r w:rsidR="00270999">
        <w:noBreakHyphen/>
      </w:r>
      <w:r w:rsidRPr="007614A1">
        <w:t>7</w:t>
      </w:r>
      <w:r>
        <w:t>.</w:t>
      </w:r>
    </w:p>
  </w:footnote>
  <w:footnote w:id="32">
    <w:p w14:paraId="1FB5695A" w14:textId="360475DA" w:rsidR="006640BC" w:rsidRDefault="006640BC">
      <w:pPr>
        <w:pStyle w:val="FootnoteText"/>
      </w:pPr>
      <w:r>
        <w:rPr>
          <w:rStyle w:val="FootnoteReference"/>
        </w:rPr>
        <w:footnoteRef/>
      </w:r>
      <w:r>
        <w:t xml:space="preserve"> </w:t>
      </w:r>
      <w:r w:rsidR="00EB50F8">
        <w:t>Cal Water</w:t>
      </w:r>
      <w:r w:rsidRPr="007721B8">
        <w:t xml:space="preserve"> </w:t>
      </w:r>
      <w:r>
        <w:t>OB</w:t>
      </w:r>
      <w:r w:rsidR="0005778F">
        <w:t xml:space="preserve"> at </w:t>
      </w:r>
      <w:r w:rsidRPr="007721B8">
        <w:t>14</w:t>
      </w:r>
      <w:r w:rsidR="00270999">
        <w:noBreakHyphen/>
      </w:r>
      <w:r w:rsidRPr="007721B8">
        <w:t xml:space="preserve">15; </w:t>
      </w:r>
      <w:r w:rsidR="000A6C2E">
        <w:t>Ex. CWS</w:t>
      </w:r>
      <w:r w:rsidR="00270999">
        <w:noBreakHyphen/>
      </w:r>
      <w:r w:rsidRPr="007721B8">
        <w:t>6</w:t>
      </w:r>
      <w:r w:rsidR="0005778F">
        <w:t xml:space="preserve"> at </w:t>
      </w:r>
      <w:r w:rsidRPr="007721B8">
        <w:t>42</w:t>
      </w:r>
      <w:r>
        <w:t>.</w:t>
      </w:r>
    </w:p>
  </w:footnote>
  <w:footnote w:id="33">
    <w:p w14:paraId="0F6C8ABB" w14:textId="65C88730" w:rsidR="006640BC" w:rsidRDefault="006640BC">
      <w:pPr>
        <w:pStyle w:val="FootnoteText"/>
      </w:pPr>
      <w:r>
        <w:rPr>
          <w:rStyle w:val="FootnoteReference"/>
        </w:rPr>
        <w:footnoteRef/>
      </w:r>
      <w:r>
        <w:t xml:space="preserve"> </w:t>
      </w:r>
      <w:r w:rsidR="00EB50F8">
        <w:t>Cal Advocates</w:t>
      </w:r>
      <w:r w:rsidRPr="007721B8">
        <w:t xml:space="preserve"> </w:t>
      </w:r>
      <w:r>
        <w:t>OB</w:t>
      </w:r>
      <w:r w:rsidR="0005778F">
        <w:t xml:space="preserve"> at </w:t>
      </w:r>
      <w:r w:rsidRPr="007721B8">
        <w:t>27</w:t>
      </w:r>
      <w:r w:rsidR="00270999">
        <w:noBreakHyphen/>
      </w:r>
      <w:r w:rsidRPr="007721B8">
        <w:t xml:space="preserve">30; </w:t>
      </w:r>
      <w:r w:rsidR="009D0D2F">
        <w:t>Ex. CalPA</w:t>
      </w:r>
      <w:r w:rsidR="00270999">
        <w:noBreakHyphen/>
      </w:r>
      <w:r w:rsidRPr="007721B8">
        <w:t xml:space="preserve">2, </w:t>
      </w:r>
      <w:r w:rsidR="00DC5B03">
        <w:t>Tables </w:t>
      </w:r>
      <w:r w:rsidRPr="007721B8">
        <w:t>8</w:t>
      </w:r>
      <w:r w:rsidR="00270999">
        <w:noBreakHyphen/>
      </w:r>
      <w:r w:rsidRPr="007721B8">
        <w:t>9.</w:t>
      </w:r>
    </w:p>
  </w:footnote>
  <w:footnote w:id="34">
    <w:p w14:paraId="2122026F" w14:textId="3B84A192" w:rsidR="006640BC" w:rsidRDefault="006640BC">
      <w:pPr>
        <w:pStyle w:val="FootnoteText"/>
      </w:pPr>
      <w:r>
        <w:rPr>
          <w:rStyle w:val="FootnoteReference"/>
        </w:rPr>
        <w:footnoteRef/>
      </w:r>
      <w:r>
        <w:t xml:space="preserve"> </w:t>
      </w:r>
      <w:r w:rsidR="00EB50F8">
        <w:t>Cal Water</w:t>
      </w:r>
      <w:r w:rsidRPr="007721B8">
        <w:t xml:space="preserve"> </w:t>
      </w:r>
      <w:r>
        <w:t>RB</w:t>
      </w:r>
      <w:r w:rsidR="0005778F">
        <w:t xml:space="preserve"> at </w:t>
      </w:r>
      <w:r w:rsidRPr="007721B8">
        <w:t>21</w:t>
      </w:r>
      <w:r>
        <w:t>.</w:t>
      </w:r>
    </w:p>
  </w:footnote>
  <w:footnote w:id="35">
    <w:p w14:paraId="0021A9DD" w14:textId="1F1D99EB" w:rsidR="006640BC" w:rsidRDefault="006640BC">
      <w:pPr>
        <w:pStyle w:val="FootnoteText"/>
      </w:pPr>
      <w:r>
        <w:rPr>
          <w:rStyle w:val="FootnoteReference"/>
        </w:rPr>
        <w:footnoteRef/>
      </w:r>
      <w:r>
        <w:t xml:space="preserve"> Motion for Partial Settlement</w:t>
      </w:r>
      <w:r w:rsidR="0005778F">
        <w:t xml:space="preserve"> at </w:t>
      </w:r>
      <w:r w:rsidRPr="007721B8">
        <w:t>5</w:t>
      </w:r>
      <w:r w:rsidR="00270999">
        <w:noBreakHyphen/>
      </w:r>
      <w:r w:rsidRPr="007721B8">
        <w:t>6.</w:t>
      </w:r>
    </w:p>
  </w:footnote>
  <w:footnote w:id="36">
    <w:p w14:paraId="7AD41C1A" w14:textId="62D48102" w:rsidR="006640BC" w:rsidRDefault="006640BC">
      <w:pPr>
        <w:pStyle w:val="FootnoteText"/>
      </w:pPr>
      <w:r>
        <w:rPr>
          <w:rStyle w:val="FootnoteReference"/>
        </w:rPr>
        <w:footnoteRef/>
      </w:r>
      <w:r>
        <w:t xml:space="preserve"> </w:t>
      </w:r>
      <w:r w:rsidR="00EB50F8">
        <w:t>Cal Water</w:t>
      </w:r>
      <w:r w:rsidRPr="007721B8">
        <w:t xml:space="preserve"> </w:t>
      </w:r>
      <w:r>
        <w:t>OB</w:t>
      </w:r>
      <w:r w:rsidR="0005778F">
        <w:t xml:space="preserve"> at </w:t>
      </w:r>
      <w:r w:rsidRPr="007721B8">
        <w:t>15</w:t>
      </w:r>
      <w:r w:rsidR="00270999">
        <w:noBreakHyphen/>
      </w:r>
      <w:r w:rsidRPr="007721B8">
        <w:t xml:space="preserve">17; </w:t>
      </w:r>
      <w:r w:rsidR="000A6C2E">
        <w:t>Ex. CWS</w:t>
      </w:r>
      <w:r w:rsidR="00270999">
        <w:noBreakHyphen/>
      </w:r>
      <w:r w:rsidRPr="007721B8">
        <w:t>7</w:t>
      </w:r>
      <w:r w:rsidR="0005778F">
        <w:t xml:space="preserve"> at </w:t>
      </w:r>
      <w:r w:rsidRPr="007721B8">
        <w:t>9</w:t>
      </w:r>
      <w:r w:rsidR="00270999">
        <w:noBreakHyphen/>
      </w:r>
      <w:r w:rsidRPr="007721B8">
        <w:t>10</w:t>
      </w:r>
      <w:r>
        <w:t>.</w:t>
      </w:r>
    </w:p>
  </w:footnote>
  <w:footnote w:id="37">
    <w:p w14:paraId="22A48DBA" w14:textId="7D25C5DA" w:rsidR="006640BC" w:rsidRDefault="006640BC">
      <w:pPr>
        <w:pStyle w:val="FootnoteText"/>
      </w:pPr>
      <w:r>
        <w:rPr>
          <w:rStyle w:val="FootnoteReference"/>
        </w:rPr>
        <w:footnoteRef/>
      </w:r>
      <w:r>
        <w:t xml:space="preserve"> </w:t>
      </w:r>
      <w:r w:rsidR="00EB50F8">
        <w:t>Cal Water</w:t>
      </w:r>
      <w:r w:rsidRPr="007721B8">
        <w:t xml:space="preserve"> </w:t>
      </w:r>
      <w:r>
        <w:t>RB</w:t>
      </w:r>
      <w:r w:rsidR="0005778F">
        <w:t xml:space="preserve"> at </w:t>
      </w:r>
      <w:r w:rsidRPr="007721B8">
        <w:t>23</w:t>
      </w:r>
      <w:r w:rsidR="00270999">
        <w:noBreakHyphen/>
      </w:r>
      <w:r w:rsidRPr="007721B8">
        <w:t xml:space="preserve">25; </w:t>
      </w:r>
      <w:r w:rsidR="000A6C2E">
        <w:t>Ex. CWS</w:t>
      </w:r>
      <w:r w:rsidR="00270999">
        <w:noBreakHyphen/>
      </w:r>
      <w:r w:rsidRPr="007721B8">
        <w:t>10</w:t>
      </w:r>
      <w:r w:rsidR="0005778F">
        <w:t xml:space="preserve"> at </w:t>
      </w:r>
      <w:r w:rsidRPr="007721B8">
        <w:t>15</w:t>
      </w:r>
      <w:r w:rsidR="00270999">
        <w:noBreakHyphen/>
      </w:r>
      <w:r w:rsidRPr="007721B8">
        <w:t>16</w:t>
      </w:r>
      <w:r>
        <w:t>.</w:t>
      </w:r>
    </w:p>
  </w:footnote>
  <w:footnote w:id="38">
    <w:p w14:paraId="3D449446" w14:textId="3D0B4268" w:rsidR="006640BC" w:rsidRDefault="006640BC">
      <w:pPr>
        <w:pStyle w:val="FootnoteText"/>
      </w:pPr>
      <w:r>
        <w:rPr>
          <w:rStyle w:val="FootnoteReference"/>
        </w:rPr>
        <w:footnoteRef/>
      </w:r>
      <w:r>
        <w:t xml:space="preserve"> </w:t>
      </w:r>
      <w:r w:rsidR="00EB50F8">
        <w:t>Cal Water</w:t>
      </w:r>
      <w:r w:rsidRPr="007721B8">
        <w:t xml:space="preserve"> </w:t>
      </w:r>
      <w:r>
        <w:t>OB</w:t>
      </w:r>
      <w:r w:rsidR="0005778F">
        <w:t xml:space="preserve"> at </w:t>
      </w:r>
      <w:r w:rsidRPr="007721B8">
        <w:t xml:space="preserve">18; </w:t>
      </w:r>
      <w:r w:rsidR="000A6C2E">
        <w:t>Ex. CWS</w:t>
      </w:r>
      <w:r w:rsidR="00270999">
        <w:noBreakHyphen/>
      </w:r>
      <w:r w:rsidRPr="007721B8">
        <w:t>11</w:t>
      </w:r>
      <w:r w:rsidR="0005778F">
        <w:t xml:space="preserve"> at </w:t>
      </w:r>
      <w:r w:rsidRPr="007721B8">
        <w:t>22</w:t>
      </w:r>
      <w:r w:rsidR="00270999">
        <w:noBreakHyphen/>
      </w:r>
      <w:r w:rsidRPr="007721B8">
        <w:t>23</w:t>
      </w:r>
      <w:r>
        <w:t>.</w:t>
      </w:r>
    </w:p>
  </w:footnote>
  <w:footnote w:id="39">
    <w:p w14:paraId="29F2A2FB" w14:textId="27B7B39E" w:rsidR="006640BC" w:rsidRDefault="006640BC">
      <w:pPr>
        <w:pStyle w:val="FootnoteText"/>
      </w:pPr>
      <w:r>
        <w:rPr>
          <w:rStyle w:val="FootnoteReference"/>
        </w:rPr>
        <w:footnoteRef/>
      </w:r>
      <w:r>
        <w:t xml:space="preserve"> </w:t>
      </w:r>
      <w:r w:rsidR="00EB50F8">
        <w:t>Cal Water</w:t>
      </w:r>
      <w:r w:rsidRPr="007721B8">
        <w:t xml:space="preserve"> </w:t>
      </w:r>
      <w:r>
        <w:t>RB</w:t>
      </w:r>
      <w:r w:rsidR="0005778F">
        <w:t xml:space="preserve"> at </w:t>
      </w:r>
      <w:r w:rsidRPr="007721B8">
        <w:t>21</w:t>
      </w:r>
      <w:r w:rsidR="00270999">
        <w:noBreakHyphen/>
      </w:r>
      <w:r w:rsidRPr="007721B8">
        <w:t>22</w:t>
      </w:r>
      <w:r>
        <w:t>.</w:t>
      </w:r>
    </w:p>
  </w:footnote>
  <w:footnote w:id="40">
    <w:p w14:paraId="0C77751A" w14:textId="3C94252E" w:rsidR="006640BC" w:rsidRDefault="006640BC">
      <w:pPr>
        <w:pStyle w:val="FootnoteText"/>
      </w:pPr>
      <w:r>
        <w:rPr>
          <w:rStyle w:val="FootnoteReference"/>
        </w:rPr>
        <w:footnoteRef/>
      </w:r>
      <w:r>
        <w:t xml:space="preserve"> </w:t>
      </w:r>
      <w:r w:rsidR="00EB50F8">
        <w:t>Cal Water</w:t>
      </w:r>
      <w:r w:rsidRPr="00F669AA">
        <w:t xml:space="preserve"> </w:t>
      </w:r>
      <w:r>
        <w:t>OB</w:t>
      </w:r>
      <w:r w:rsidR="0005778F">
        <w:t xml:space="preserve"> at </w:t>
      </w:r>
      <w:r w:rsidRPr="00F669AA">
        <w:t>19</w:t>
      </w:r>
      <w:r w:rsidR="00270999">
        <w:noBreakHyphen/>
      </w:r>
      <w:r w:rsidRPr="00F669AA">
        <w:t>21</w:t>
      </w:r>
      <w:r>
        <w:t>.</w:t>
      </w:r>
    </w:p>
  </w:footnote>
  <w:footnote w:id="41">
    <w:p w14:paraId="3C2A4C42" w14:textId="6D0935D0" w:rsidR="006640BC" w:rsidRDefault="006640BC">
      <w:pPr>
        <w:pStyle w:val="FootnoteText"/>
      </w:pPr>
      <w:r>
        <w:rPr>
          <w:rStyle w:val="FootnoteReference"/>
        </w:rPr>
        <w:footnoteRef/>
      </w:r>
      <w:r>
        <w:t xml:space="preserve"> </w:t>
      </w:r>
      <w:r w:rsidR="00EB50F8">
        <w:t>Cal Water</w:t>
      </w:r>
      <w:r w:rsidRPr="007721B8">
        <w:t xml:space="preserve"> </w:t>
      </w:r>
      <w:r>
        <w:t>OB</w:t>
      </w:r>
      <w:r w:rsidR="0005778F">
        <w:t xml:space="preserve"> at </w:t>
      </w:r>
      <w:r w:rsidRPr="007721B8">
        <w:t xml:space="preserve">20; </w:t>
      </w:r>
      <w:r w:rsidR="000A6C2E">
        <w:t>Ex. CWS</w:t>
      </w:r>
      <w:r w:rsidR="00270999">
        <w:noBreakHyphen/>
      </w:r>
      <w:r w:rsidRPr="007721B8">
        <w:t>12</w:t>
      </w:r>
      <w:r w:rsidR="0005778F">
        <w:t xml:space="preserve"> at </w:t>
      </w:r>
      <w:r w:rsidRPr="007721B8">
        <w:t>4</w:t>
      </w:r>
      <w:r w:rsidR="00270999">
        <w:noBreakHyphen/>
      </w:r>
      <w:r w:rsidRPr="007721B8">
        <w:t>5.</w:t>
      </w:r>
    </w:p>
  </w:footnote>
  <w:footnote w:id="42">
    <w:p w14:paraId="5D71AF7C" w14:textId="63777DBA" w:rsidR="006640BC" w:rsidRDefault="006640BC">
      <w:pPr>
        <w:pStyle w:val="FootnoteText"/>
      </w:pPr>
      <w:r>
        <w:rPr>
          <w:rStyle w:val="FootnoteReference"/>
        </w:rPr>
        <w:footnoteRef/>
      </w:r>
      <w:r>
        <w:t xml:space="preserve"> </w:t>
      </w:r>
      <w:r w:rsidR="00EB50F8">
        <w:t>Cal Advocates</w:t>
      </w:r>
      <w:r w:rsidRPr="007721B8">
        <w:t xml:space="preserve"> </w:t>
      </w:r>
      <w:r>
        <w:t>OB</w:t>
      </w:r>
      <w:r w:rsidR="0005778F">
        <w:t xml:space="preserve"> at </w:t>
      </w:r>
      <w:r w:rsidRPr="007721B8">
        <w:t>29</w:t>
      </w:r>
      <w:r w:rsidR="00270999">
        <w:noBreakHyphen/>
      </w:r>
      <w:r w:rsidRPr="007721B8">
        <w:t xml:space="preserve">31; </w:t>
      </w:r>
      <w:r w:rsidR="009D0D2F">
        <w:t>Ex. CalPA</w:t>
      </w:r>
      <w:r w:rsidR="00270999">
        <w:noBreakHyphen/>
      </w:r>
      <w:r w:rsidRPr="007721B8">
        <w:t xml:space="preserve">2, </w:t>
      </w:r>
      <w:r w:rsidR="00666BA2">
        <w:t>Table </w:t>
      </w:r>
      <w:r w:rsidRPr="007721B8">
        <w:t>9.</w:t>
      </w:r>
    </w:p>
  </w:footnote>
  <w:footnote w:id="43">
    <w:p w14:paraId="69A38D4D" w14:textId="10B7F983" w:rsidR="006640BC" w:rsidRDefault="006640BC">
      <w:pPr>
        <w:pStyle w:val="FootnoteText"/>
      </w:pPr>
      <w:r>
        <w:rPr>
          <w:rStyle w:val="FootnoteReference"/>
        </w:rPr>
        <w:footnoteRef/>
      </w:r>
      <w:r>
        <w:t xml:space="preserve"> </w:t>
      </w:r>
      <w:r w:rsidR="00EB50F8">
        <w:t>Cal Advocates</w:t>
      </w:r>
      <w:r w:rsidRPr="007721B8">
        <w:t xml:space="preserve"> </w:t>
      </w:r>
      <w:r>
        <w:t>RB</w:t>
      </w:r>
      <w:r w:rsidR="0005778F">
        <w:t xml:space="preserve"> at </w:t>
      </w:r>
      <w:r w:rsidRPr="007721B8">
        <w:t>26</w:t>
      </w:r>
      <w:r w:rsidR="00270999">
        <w:noBreakHyphen/>
      </w:r>
      <w:r w:rsidRPr="007721B8">
        <w:t>27, citing D.16</w:t>
      </w:r>
      <w:r w:rsidR="00270999">
        <w:noBreakHyphen/>
      </w:r>
      <w:r w:rsidRPr="007721B8">
        <w:t>12</w:t>
      </w:r>
      <w:r w:rsidR="00270999">
        <w:noBreakHyphen/>
      </w:r>
      <w:r w:rsidRPr="007721B8">
        <w:t>042</w:t>
      </w:r>
      <w:r w:rsidR="0005778F">
        <w:t xml:space="preserve"> at </w:t>
      </w:r>
      <w:r w:rsidRPr="007721B8">
        <w:t>43.</w:t>
      </w:r>
    </w:p>
  </w:footnote>
  <w:footnote w:id="44">
    <w:p w14:paraId="2F388B5E" w14:textId="7CF2FD00" w:rsidR="006640BC" w:rsidRDefault="006640BC">
      <w:pPr>
        <w:pStyle w:val="FootnoteText"/>
      </w:pPr>
      <w:r>
        <w:rPr>
          <w:rStyle w:val="FootnoteReference"/>
        </w:rPr>
        <w:footnoteRef/>
      </w:r>
      <w:r>
        <w:t xml:space="preserve"> </w:t>
      </w:r>
      <w:r w:rsidR="00EB50F8">
        <w:t>Cal Advocates</w:t>
      </w:r>
      <w:r w:rsidRPr="007721B8">
        <w:t xml:space="preserve"> </w:t>
      </w:r>
      <w:r>
        <w:t>OB</w:t>
      </w:r>
      <w:r w:rsidR="0005778F">
        <w:t xml:space="preserve"> at </w:t>
      </w:r>
      <w:r w:rsidRPr="007721B8">
        <w:t xml:space="preserve">32; </w:t>
      </w:r>
      <w:r w:rsidR="009D0D2F">
        <w:t>Ex. CalPA</w:t>
      </w:r>
      <w:r w:rsidR="00270999">
        <w:noBreakHyphen/>
      </w:r>
      <w:r w:rsidRPr="007721B8">
        <w:t>2</w:t>
      </w:r>
      <w:r w:rsidR="0005778F">
        <w:t xml:space="preserve"> at </w:t>
      </w:r>
      <w:r w:rsidRPr="007721B8">
        <w:t>41</w:t>
      </w:r>
      <w:r>
        <w:t>.</w:t>
      </w:r>
    </w:p>
  </w:footnote>
  <w:footnote w:id="45">
    <w:p w14:paraId="53A5440B" w14:textId="1D375A78" w:rsidR="003D383E" w:rsidRDefault="003D383E">
      <w:pPr>
        <w:pStyle w:val="FootnoteText"/>
      </w:pPr>
      <w:r>
        <w:rPr>
          <w:rStyle w:val="FootnoteReference"/>
        </w:rPr>
        <w:footnoteRef/>
      </w:r>
      <w:r>
        <w:t xml:space="preserve"> </w:t>
      </w:r>
      <w:r w:rsidR="00EB50F8">
        <w:t>Cal Advocates</w:t>
      </w:r>
      <w:r w:rsidRPr="00F669AA">
        <w:t xml:space="preserve"> </w:t>
      </w:r>
      <w:r>
        <w:t>RB</w:t>
      </w:r>
      <w:r w:rsidR="0005778F">
        <w:t xml:space="preserve"> at </w:t>
      </w:r>
      <w:r w:rsidRPr="00F669AA">
        <w:t>28</w:t>
      </w:r>
      <w:r w:rsidR="00270999">
        <w:noBreakHyphen/>
      </w:r>
      <w:r w:rsidRPr="00F669AA">
        <w:t>30</w:t>
      </w:r>
      <w:r>
        <w:t>.</w:t>
      </w:r>
    </w:p>
  </w:footnote>
  <w:footnote w:id="46">
    <w:p w14:paraId="302908DE" w14:textId="181F936D" w:rsidR="003D383E" w:rsidRDefault="003D383E">
      <w:pPr>
        <w:pStyle w:val="FootnoteText"/>
      </w:pPr>
      <w:r>
        <w:rPr>
          <w:rStyle w:val="FootnoteReference"/>
        </w:rPr>
        <w:footnoteRef/>
      </w:r>
      <w:r>
        <w:t xml:space="preserve"> </w:t>
      </w:r>
      <w:r w:rsidR="00EB50F8">
        <w:t>Cal Advocates</w:t>
      </w:r>
      <w:r w:rsidRPr="007721B8">
        <w:t xml:space="preserve"> </w:t>
      </w:r>
      <w:r>
        <w:t>RB</w:t>
      </w:r>
      <w:r w:rsidR="0005778F">
        <w:t xml:space="preserve"> at </w:t>
      </w:r>
      <w:r w:rsidRPr="007721B8">
        <w:t>27</w:t>
      </w:r>
      <w:r w:rsidR="00270999">
        <w:noBreakHyphen/>
      </w:r>
      <w:r w:rsidRPr="007721B8">
        <w:t xml:space="preserve">28; </w:t>
      </w:r>
      <w:r w:rsidR="009D0D2F">
        <w:t>Ex. CalPA</w:t>
      </w:r>
      <w:r w:rsidR="00270999">
        <w:noBreakHyphen/>
      </w:r>
      <w:r w:rsidRPr="007721B8">
        <w:t>3</w:t>
      </w:r>
      <w:r w:rsidR="0005778F">
        <w:t xml:space="preserve"> at </w:t>
      </w:r>
      <w:r w:rsidRPr="007721B8">
        <w:t>18</w:t>
      </w:r>
      <w:r>
        <w:t>.</w:t>
      </w:r>
    </w:p>
  </w:footnote>
  <w:footnote w:id="47">
    <w:p w14:paraId="30AF9ED4" w14:textId="380AED09" w:rsidR="003D383E" w:rsidRDefault="003D383E">
      <w:pPr>
        <w:pStyle w:val="FootnoteText"/>
      </w:pPr>
      <w:r>
        <w:rPr>
          <w:rStyle w:val="FootnoteReference"/>
        </w:rPr>
        <w:footnoteRef/>
      </w:r>
      <w:r>
        <w:t xml:space="preserve"> </w:t>
      </w:r>
      <w:r w:rsidR="00EB50F8">
        <w:t>Cal Water</w:t>
      </w:r>
      <w:r w:rsidRPr="004B7ADA">
        <w:t xml:space="preserve"> </w:t>
      </w:r>
      <w:r>
        <w:t>OB</w:t>
      </w:r>
      <w:r w:rsidR="0005778F">
        <w:t xml:space="preserve"> at </w:t>
      </w:r>
      <w:r w:rsidRPr="004B7ADA">
        <w:t>84</w:t>
      </w:r>
      <w:r w:rsidR="00270999">
        <w:noBreakHyphen/>
      </w:r>
      <w:r w:rsidRPr="004B7ADA">
        <w:t xml:space="preserve">93; </w:t>
      </w:r>
      <w:r w:rsidR="000A6C2E">
        <w:t>Ex. CWS</w:t>
      </w:r>
      <w:r w:rsidR="00270999">
        <w:noBreakHyphen/>
      </w:r>
      <w:r w:rsidRPr="004B7ADA">
        <w:t>14</w:t>
      </w:r>
      <w:r w:rsidR="0005778F">
        <w:t xml:space="preserve"> at </w:t>
      </w:r>
      <w:r w:rsidRPr="004B7ADA">
        <w:t>10</w:t>
      </w:r>
      <w:r w:rsidR="00270999">
        <w:noBreakHyphen/>
      </w:r>
      <w:r w:rsidRPr="004B7ADA">
        <w:t>17</w:t>
      </w:r>
      <w:r>
        <w:t>.</w:t>
      </w:r>
    </w:p>
  </w:footnote>
  <w:footnote w:id="48">
    <w:p w14:paraId="00E21CB4" w14:textId="0634B61B" w:rsidR="003D383E" w:rsidRDefault="003D383E">
      <w:pPr>
        <w:pStyle w:val="FootnoteText"/>
      </w:pPr>
      <w:r>
        <w:rPr>
          <w:rStyle w:val="FootnoteReference"/>
        </w:rPr>
        <w:footnoteRef/>
      </w:r>
      <w:r>
        <w:t xml:space="preserve"> </w:t>
      </w:r>
      <w:r w:rsidR="00EB50F8">
        <w:t>Cal Water</w:t>
      </w:r>
      <w:r w:rsidRPr="004B7ADA">
        <w:t xml:space="preserve"> </w:t>
      </w:r>
      <w:r>
        <w:t>RB</w:t>
      </w:r>
      <w:r w:rsidR="0005778F">
        <w:t xml:space="preserve"> at </w:t>
      </w:r>
      <w:r w:rsidRPr="004B7ADA">
        <w:t>70</w:t>
      </w:r>
      <w:r w:rsidR="00270999">
        <w:noBreakHyphen/>
      </w:r>
      <w:r w:rsidRPr="004B7ADA">
        <w:t xml:space="preserve">73; </w:t>
      </w:r>
      <w:r w:rsidR="000A6C2E">
        <w:t>Ex. CWS</w:t>
      </w:r>
      <w:r w:rsidR="00270999">
        <w:noBreakHyphen/>
      </w:r>
      <w:r w:rsidRPr="004B7ADA">
        <w:t>15</w:t>
      </w:r>
      <w:r w:rsidR="0005778F">
        <w:t xml:space="preserve"> at </w:t>
      </w:r>
      <w:r w:rsidRPr="004B7ADA">
        <w:t>8.</w:t>
      </w:r>
    </w:p>
  </w:footnote>
  <w:footnote w:id="49">
    <w:p w14:paraId="2365BCFE" w14:textId="31A2080A" w:rsidR="003D383E" w:rsidRDefault="003D383E">
      <w:pPr>
        <w:pStyle w:val="FootnoteText"/>
      </w:pPr>
      <w:r>
        <w:rPr>
          <w:rStyle w:val="FootnoteReference"/>
        </w:rPr>
        <w:footnoteRef/>
      </w:r>
      <w:r>
        <w:t xml:space="preserve"> </w:t>
      </w:r>
      <w:r w:rsidR="00EB50F8">
        <w:t>Cal Advocates</w:t>
      </w:r>
      <w:r w:rsidRPr="004B7ADA">
        <w:t xml:space="preserve"> </w:t>
      </w:r>
      <w:r>
        <w:t>OB</w:t>
      </w:r>
      <w:r w:rsidR="0005778F">
        <w:t xml:space="preserve"> at </w:t>
      </w:r>
      <w:r w:rsidRPr="004B7ADA">
        <w:t>112</w:t>
      </w:r>
      <w:r w:rsidR="00270999">
        <w:noBreakHyphen/>
      </w:r>
      <w:r w:rsidRPr="004B7ADA">
        <w:t xml:space="preserve">130; </w:t>
      </w:r>
      <w:r w:rsidR="009D0D2F">
        <w:t>Ex. CalPA</w:t>
      </w:r>
      <w:r w:rsidR="00270999">
        <w:noBreakHyphen/>
      </w:r>
      <w:r w:rsidRPr="004B7ADA">
        <w:t>5</w:t>
      </w:r>
      <w:r w:rsidR="0005778F">
        <w:t xml:space="preserve"> at </w:t>
      </w:r>
      <w:r w:rsidRPr="004B7ADA">
        <w:t>33</w:t>
      </w:r>
      <w:r w:rsidR="00270999">
        <w:noBreakHyphen/>
      </w:r>
      <w:r w:rsidRPr="004B7ADA">
        <w:t>40</w:t>
      </w:r>
      <w:r>
        <w:t>.</w:t>
      </w:r>
    </w:p>
  </w:footnote>
  <w:footnote w:id="50">
    <w:p w14:paraId="0EA65F47" w14:textId="456B0D4E" w:rsidR="003D383E" w:rsidRPr="006271A0" w:rsidRDefault="003D383E">
      <w:pPr>
        <w:pStyle w:val="FootnoteText"/>
        <w:rPr>
          <w:lang w:val="da-DK"/>
        </w:rPr>
      </w:pPr>
      <w:r>
        <w:rPr>
          <w:rStyle w:val="FootnoteReference"/>
        </w:rPr>
        <w:footnoteRef/>
      </w:r>
      <w:r>
        <w:t xml:space="preserve"> </w:t>
      </w:r>
      <w:r w:rsidR="00EB50F8">
        <w:t>Cal Advocates</w:t>
      </w:r>
      <w:r w:rsidRPr="004B7ADA">
        <w:t xml:space="preserve"> </w:t>
      </w:r>
      <w:r>
        <w:t>OB</w:t>
      </w:r>
      <w:r w:rsidR="0005778F">
        <w:t xml:space="preserve"> at </w:t>
      </w:r>
      <w:r w:rsidRPr="004B7ADA">
        <w:t>126</w:t>
      </w:r>
      <w:r w:rsidR="00270999">
        <w:noBreakHyphen/>
      </w:r>
      <w:r w:rsidRPr="004B7ADA">
        <w:t xml:space="preserve">127; </w:t>
      </w:r>
      <w:r w:rsidR="009D0D2F">
        <w:t>Ex. </w:t>
      </w:r>
      <w:r w:rsidR="009D0D2F" w:rsidRPr="00B230AE">
        <w:rPr>
          <w:lang w:val="da-DK"/>
        </w:rPr>
        <w:t>CalPA</w:t>
      </w:r>
      <w:r w:rsidR="00270999" w:rsidRPr="00B230AE">
        <w:rPr>
          <w:lang w:val="da-DK"/>
        </w:rPr>
        <w:noBreakHyphen/>
      </w:r>
      <w:r w:rsidRPr="006271A0">
        <w:rPr>
          <w:lang w:val="da-DK"/>
        </w:rPr>
        <w:t>6</w:t>
      </w:r>
      <w:r w:rsidR="0005778F">
        <w:rPr>
          <w:lang w:val="da-DK"/>
        </w:rPr>
        <w:t xml:space="preserve"> at </w:t>
      </w:r>
      <w:r w:rsidRPr="006271A0">
        <w:rPr>
          <w:lang w:val="da-DK"/>
        </w:rPr>
        <w:t>44.</w:t>
      </w:r>
    </w:p>
  </w:footnote>
  <w:footnote w:id="51">
    <w:p w14:paraId="568ED702" w14:textId="52EF34BA" w:rsidR="003D383E" w:rsidRPr="006271A0" w:rsidRDefault="003D383E">
      <w:pPr>
        <w:pStyle w:val="FootnoteText"/>
        <w:rPr>
          <w:lang w:val="da-DK"/>
        </w:rPr>
      </w:pPr>
      <w:r>
        <w:rPr>
          <w:rStyle w:val="FootnoteReference"/>
        </w:rPr>
        <w:footnoteRef/>
      </w:r>
      <w:r w:rsidRPr="006271A0">
        <w:rPr>
          <w:lang w:val="da-DK"/>
        </w:rPr>
        <w:t xml:space="preserve"> NAWC OB</w:t>
      </w:r>
      <w:r w:rsidR="0005778F">
        <w:rPr>
          <w:lang w:val="da-DK"/>
        </w:rPr>
        <w:t xml:space="preserve"> at </w:t>
      </w:r>
      <w:r w:rsidRPr="006271A0">
        <w:rPr>
          <w:lang w:val="da-DK"/>
        </w:rPr>
        <w:t>45</w:t>
      </w:r>
      <w:r w:rsidR="00270999">
        <w:rPr>
          <w:lang w:val="da-DK"/>
        </w:rPr>
        <w:noBreakHyphen/>
      </w:r>
      <w:r w:rsidRPr="006271A0">
        <w:rPr>
          <w:lang w:val="da-DK"/>
        </w:rPr>
        <w:t>50.</w:t>
      </w:r>
    </w:p>
  </w:footnote>
  <w:footnote w:id="52">
    <w:p w14:paraId="5CC3E851" w14:textId="09B97DFD" w:rsidR="003D383E" w:rsidRDefault="003D383E">
      <w:pPr>
        <w:pStyle w:val="FootnoteText"/>
      </w:pPr>
      <w:r>
        <w:rPr>
          <w:rStyle w:val="FootnoteReference"/>
        </w:rPr>
        <w:footnoteRef/>
      </w:r>
      <w:r>
        <w:t xml:space="preserve"> </w:t>
      </w:r>
      <w:r w:rsidR="002171A6">
        <w:t>CWA</w:t>
      </w:r>
      <w:r w:rsidR="009D0D2F">
        <w:t xml:space="preserve"> RB</w:t>
      </w:r>
      <w:r w:rsidR="0005778F">
        <w:t xml:space="preserve"> at </w:t>
      </w:r>
      <w:r w:rsidRPr="004B7ADA">
        <w:t>19</w:t>
      </w:r>
      <w:r w:rsidR="00270999">
        <w:noBreakHyphen/>
      </w:r>
      <w:r w:rsidRPr="004B7ADA">
        <w:t>23.</w:t>
      </w:r>
    </w:p>
  </w:footnote>
  <w:footnote w:id="53">
    <w:p w14:paraId="34A9E9F8" w14:textId="58CF7D95" w:rsidR="003D383E" w:rsidRDefault="003D383E">
      <w:pPr>
        <w:pStyle w:val="FootnoteText"/>
      </w:pPr>
      <w:r>
        <w:rPr>
          <w:rStyle w:val="FootnoteReference"/>
        </w:rPr>
        <w:footnoteRef/>
      </w:r>
      <w:r>
        <w:t xml:space="preserve"> Motion for Partial Settlement</w:t>
      </w:r>
      <w:r w:rsidR="0005778F">
        <w:t xml:space="preserve"> at </w:t>
      </w:r>
      <w:r w:rsidRPr="004B7ADA">
        <w:t>7</w:t>
      </w:r>
      <w:r w:rsidR="00270999">
        <w:noBreakHyphen/>
      </w:r>
      <w:r w:rsidRPr="004B7ADA">
        <w:t>9</w:t>
      </w:r>
      <w:r>
        <w:t>.</w:t>
      </w:r>
    </w:p>
  </w:footnote>
  <w:footnote w:id="54">
    <w:p w14:paraId="619645D1" w14:textId="5DABE439" w:rsidR="006D25F0" w:rsidRDefault="006D25F0">
      <w:pPr>
        <w:pStyle w:val="FootnoteText"/>
      </w:pPr>
      <w:r>
        <w:rPr>
          <w:rStyle w:val="FootnoteReference"/>
        </w:rPr>
        <w:footnoteRef/>
      </w:r>
      <w:r>
        <w:t xml:space="preserve"> </w:t>
      </w:r>
      <w:r w:rsidR="00EB50F8">
        <w:t>Cal Water</w:t>
      </w:r>
      <w:r w:rsidRPr="008E5517">
        <w:t xml:space="preserve"> </w:t>
      </w:r>
      <w:r>
        <w:t>OB</w:t>
      </w:r>
      <w:r w:rsidR="0005778F">
        <w:t xml:space="preserve"> at </w:t>
      </w:r>
      <w:r w:rsidRPr="008E5517">
        <w:t>85</w:t>
      </w:r>
      <w:r w:rsidR="00270999">
        <w:noBreakHyphen/>
      </w:r>
      <w:r w:rsidRPr="008E5517">
        <w:t xml:space="preserve">87; </w:t>
      </w:r>
      <w:r w:rsidR="000A6C2E">
        <w:t>Ex. CWS</w:t>
      </w:r>
      <w:r w:rsidR="00270999">
        <w:noBreakHyphen/>
      </w:r>
      <w:r w:rsidRPr="008E5517">
        <w:t>14</w:t>
      </w:r>
      <w:r w:rsidR="0005778F">
        <w:t xml:space="preserve"> at </w:t>
      </w:r>
      <w:r w:rsidRPr="008E5517">
        <w:t>12</w:t>
      </w:r>
      <w:r w:rsidR="00270999">
        <w:noBreakHyphen/>
      </w:r>
      <w:r w:rsidRPr="008E5517">
        <w:t>13.</w:t>
      </w:r>
    </w:p>
  </w:footnote>
  <w:footnote w:id="55">
    <w:p w14:paraId="72A5E220" w14:textId="256F7DAC" w:rsidR="004345B0" w:rsidRDefault="004345B0">
      <w:pPr>
        <w:pStyle w:val="FootnoteText"/>
      </w:pPr>
      <w:r>
        <w:rPr>
          <w:rStyle w:val="FootnoteReference"/>
        </w:rPr>
        <w:footnoteRef/>
      </w:r>
      <w:r>
        <w:t xml:space="preserve"> </w:t>
      </w:r>
      <w:r w:rsidR="00EB50F8">
        <w:t>Cal Water</w:t>
      </w:r>
      <w:r w:rsidRPr="008E5517">
        <w:t xml:space="preserve"> </w:t>
      </w:r>
      <w:r>
        <w:t>RB</w:t>
      </w:r>
      <w:r w:rsidR="0005778F">
        <w:t xml:space="preserve"> at </w:t>
      </w:r>
      <w:r w:rsidRPr="008E5517">
        <w:t>71</w:t>
      </w:r>
      <w:r w:rsidR="00270999">
        <w:noBreakHyphen/>
      </w:r>
      <w:r w:rsidRPr="008E5517">
        <w:t xml:space="preserve">73; </w:t>
      </w:r>
      <w:r w:rsidR="000A6C2E">
        <w:t>Ex. CWS</w:t>
      </w:r>
      <w:r w:rsidR="00270999">
        <w:noBreakHyphen/>
      </w:r>
      <w:r w:rsidRPr="008E5517">
        <w:t>15</w:t>
      </w:r>
      <w:r w:rsidR="0005778F">
        <w:t xml:space="preserve"> at </w:t>
      </w:r>
      <w:r w:rsidRPr="008E5517">
        <w:t>9.</w:t>
      </w:r>
    </w:p>
  </w:footnote>
  <w:footnote w:id="56">
    <w:p w14:paraId="5CA858E4" w14:textId="29B0D277" w:rsidR="006D25F0" w:rsidRDefault="006D25F0">
      <w:pPr>
        <w:pStyle w:val="FootnoteText"/>
      </w:pPr>
      <w:r>
        <w:rPr>
          <w:rStyle w:val="FootnoteReference"/>
        </w:rPr>
        <w:footnoteRef/>
      </w:r>
      <w:r>
        <w:t xml:space="preserve"> </w:t>
      </w:r>
      <w:r w:rsidR="00EB50F8">
        <w:t>Cal Water</w:t>
      </w:r>
      <w:r w:rsidRPr="008E5517">
        <w:t xml:space="preserve"> </w:t>
      </w:r>
      <w:r>
        <w:t>RB</w:t>
      </w:r>
      <w:r w:rsidR="0005778F">
        <w:t xml:space="preserve"> at </w:t>
      </w:r>
      <w:r w:rsidRPr="008E5517">
        <w:t xml:space="preserve">72; </w:t>
      </w:r>
      <w:r w:rsidR="000A6C2E">
        <w:t>Ex. CWS</w:t>
      </w:r>
      <w:r w:rsidR="00270999">
        <w:noBreakHyphen/>
      </w:r>
      <w:r w:rsidRPr="008E5517">
        <w:t>15</w:t>
      </w:r>
      <w:r w:rsidR="0005778F">
        <w:t xml:space="preserve"> at </w:t>
      </w:r>
      <w:r w:rsidRPr="008E5517">
        <w:t>10</w:t>
      </w:r>
      <w:r>
        <w:t>.</w:t>
      </w:r>
    </w:p>
  </w:footnote>
  <w:footnote w:id="57">
    <w:p w14:paraId="3AD0D249" w14:textId="23CAC515" w:rsidR="006D25F0" w:rsidRDefault="006D25F0">
      <w:pPr>
        <w:pStyle w:val="FootnoteText"/>
      </w:pPr>
      <w:r>
        <w:rPr>
          <w:rStyle w:val="FootnoteReference"/>
        </w:rPr>
        <w:footnoteRef/>
      </w:r>
      <w:r>
        <w:t xml:space="preserve"> </w:t>
      </w:r>
      <w:r w:rsidR="00EB50F8">
        <w:t>Cal Water</w:t>
      </w:r>
      <w:r w:rsidRPr="008E5517">
        <w:t xml:space="preserve"> </w:t>
      </w:r>
      <w:r>
        <w:t>OB</w:t>
      </w:r>
      <w:r w:rsidR="0005778F">
        <w:t xml:space="preserve"> at </w:t>
      </w:r>
      <w:r w:rsidRPr="008E5517">
        <w:t>88</w:t>
      </w:r>
      <w:r w:rsidR="00270999">
        <w:noBreakHyphen/>
      </w:r>
      <w:r w:rsidRPr="008E5517">
        <w:t xml:space="preserve">89; </w:t>
      </w:r>
      <w:r w:rsidR="000A6C2E">
        <w:t>Ex. CWS</w:t>
      </w:r>
      <w:r w:rsidR="00270999">
        <w:noBreakHyphen/>
      </w:r>
      <w:r w:rsidRPr="008E5517">
        <w:t>16</w:t>
      </w:r>
      <w:r w:rsidR="0005778F">
        <w:t xml:space="preserve"> at </w:t>
      </w:r>
      <w:r w:rsidRPr="008E5517">
        <w:t>27.</w:t>
      </w:r>
    </w:p>
  </w:footnote>
  <w:footnote w:id="58">
    <w:p w14:paraId="36EAD8BE" w14:textId="4CAC6BB3" w:rsidR="006D25F0" w:rsidRDefault="006D25F0">
      <w:pPr>
        <w:pStyle w:val="FootnoteText"/>
      </w:pPr>
      <w:r>
        <w:rPr>
          <w:rStyle w:val="FootnoteReference"/>
        </w:rPr>
        <w:footnoteRef/>
      </w:r>
      <w:r>
        <w:t xml:space="preserve"> </w:t>
      </w:r>
      <w:r w:rsidR="00EB50F8">
        <w:t>Cal Advocates</w:t>
      </w:r>
      <w:r w:rsidRPr="008E5517">
        <w:t xml:space="preserve"> </w:t>
      </w:r>
      <w:r>
        <w:t>OB</w:t>
      </w:r>
      <w:r w:rsidR="0005778F">
        <w:t xml:space="preserve"> at </w:t>
      </w:r>
      <w:r w:rsidRPr="008E5517">
        <w:t>118</w:t>
      </w:r>
      <w:r w:rsidR="00270999">
        <w:noBreakHyphen/>
      </w:r>
      <w:r w:rsidRPr="008E5517">
        <w:t xml:space="preserve">123; </w:t>
      </w:r>
      <w:r w:rsidR="009D0D2F">
        <w:t>Ex. CalPA</w:t>
      </w:r>
      <w:r w:rsidR="00270999">
        <w:noBreakHyphen/>
      </w:r>
      <w:r w:rsidRPr="008E5517">
        <w:t>5</w:t>
      </w:r>
      <w:r w:rsidR="0005778F">
        <w:t xml:space="preserve"> at </w:t>
      </w:r>
      <w:r w:rsidRPr="008E5517">
        <w:t>34</w:t>
      </w:r>
      <w:r w:rsidR="00270999">
        <w:noBreakHyphen/>
      </w:r>
      <w:r w:rsidRPr="008E5517">
        <w:t>36.</w:t>
      </w:r>
    </w:p>
  </w:footnote>
  <w:footnote w:id="59">
    <w:p w14:paraId="5ED6A9A7" w14:textId="303C4CC9" w:rsidR="006D25F0" w:rsidRDefault="006D25F0">
      <w:pPr>
        <w:pStyle w:val="FootnoteText"/>
      </w:pPr>
      <w:r>
        <w:rPr>
          <w:rStyle w:val="FootnoteReference"/>
        </w:rPr>
        <w:footnoteRef/>
      </w:r>
      <w:r>
        <w:t xml:space="preserve"> </w:t>
      </w:r>
      <w:r w:rsidR="00EB50F8">
        <w:t>Cal Advocates</w:t>
      </w:r>
      <w:r w:rsidRPr="008E5517">
        <w:t xml:space="preserve"> </w:t>
      </w:r>
      <w:r>
        <w:t>RB</w:t>
      </w:r>
      <w:r w:rsidR="0005778F">
        <w:t xml:space="preserve"> at </w:t>
      </w:r>
      <w:r w:rsidRPr="008E5517">
        <w:t xml:space="preserve">128; </w:t>
      </w:r>
      <w:r w:rsidR="009D0D2F">
        <w:t>Ex. CalPA</w:t>
      </w:r>
      <w:r w:rsidR="00270999">
        <w:noBreakHyphen/>
      </w:r>
      <w:r w:rsidRPr="008E5517">
        <w:t>7</w:t>
      </w:r>
      <w:r w:rsidR="0005778F">
        <w:t xml:space="preserve"> at </w:t>
      </w:r>
      <w:r w:rsidRPr="008E5517">
        <w:t>19.</w:t>
      </w:r>
    </w:p>
  </w:footnote>
  <w:footnote w:id="60">
    <w:p w14:paraId="3C2B4A28" w14:textId="71781451" w:rsidR="006D25F0" w:rsidRDefault="006D25F0">
      <w:pPr>
        <w:pStyle w:val="FootnoteText"/>
      </w:pPr>
      <w:r>
        <w:rPr>
          <w:rStyle w:val="FootnoteReference"/>
        </w:rPr>
        <w:footnoteRef/>
      </w:r>
      <w:r>
        <w:t xml:space="preserve"> </w:t>
      </w:r>
      <w:r w:rsidR="00EB50F8">
        <w:t>Cal Advocates</w:t>
      </w:r>
      <w:r w:rsidRPr="008E5517">
        <w:t xml:space="preserve"> </w:t>
      </w:r>
      <w:r>
        <w:t>OB</w:t>
      </w:r>
      <w:r w:rsidR="0005778F">
        <w:t xml:space="preserve"> at </w:t>
      </w:r>
      <w:r w:rsidRPr="008E5517">
        <w:t xml:space="preserve">125; </w:t>
      </w:r>
      <w:r w:rsidR="009D0D2F">
        <w:t>Ex. CalPA</w:t>
      </w:r>
      <w:r w:rsidR="00270999">
        <w:noBreakHyphen/>
      </w:r>
      <w:r w:rsidRPr="008E5517">
        <w:t>6</w:t>
      </w:r>
      <w:r w:rsidR="0005778F">
        <w:t xml:space="preserve"> at </w:t>
      </w:r>
      <w:r w:rsidRPr="008E5517">
        <w:t>45</w:t>
      </w:r>
      <w:r>
        <w:t>.</w:t>
      </w:r>
    </w:p>
  </w:footnote>
  <w:footnote w:id="61">
    <w:p w14:paraId="704EFB04" w14:textId="5611B96D" w:rsidR="006D25F0" w:rsidRDefault="006D25F0">
      <w:pPr>
        <w:pStyle w:val="FootnoteText"/>
      </w:pPr>
      <w:r>
        <w:rPr>
          <w:rStyle w:val="FootnoteReference"/>
        </w:rPr>
        <w:footnoteRef/>
      </w:r>
      <w:r>
        <w:t xml:space="preserve"> </w:t>
      </w:r>
      <w:r w:rsidR="00EB50F8">
        <w:t>Cal Water</w:t>
      </w:r>
      <w:r w:rsidRPr="008E5517">
        <w:t xml:space="preserve"> </w:t>
      </w:r>
      <w:r>
        <w:t>OB</w:t>
      </w:r>
      <w:r w:rsidR="0005778F">
        <w:t xml:space="preserve"> at </w:t>
      </w:r>
      <w:r w:rsidRPr="008E5517">
        <w:t xml:space="preserve">88; </w:t>
      </w:r>
      <w:r w:rsidR="000A6C2E">
        <w:t>Ex. CWS</w:t>
      </w:r>
      <w:r w:rsidR="00270999">
        <w:noBreakHyphen/>
      </w:r>
      <w:r w:rsidRPr="008E5517">
        <w:t>16</w:t>
      </w:r>
      <w:r w:rsidR="0005778F">
        <w:t xml:space="preserve"> at </w:t>
      </w:r>
      <w:r w:rsidRPr="008E5517">
        <w:t>27</w:t>
      </w:r>
      <w:r>
        <w:t>.</w:t>
      </w:r>
    </w:p>
  </w:footnote>
  <w:footnote w:id="62">
    <w:p w14:paraId="6BED7ED4" w14:textId="6AC00A5B" w:rsidR="006D25F0" w:rsidRDefault="006D25F0">
      <w:pPr>
        <w:pStyle w:val="FootnoteText"/>
      </w:pPr>
      <w:r>
        <w:rPr>
          <w:rStyle w:val="FootnoteReference"/>
        </w:rPr>
        <w:footnoteRef/>
      </w:r>
      <w:r>
        <w:t xml:space="preserve"> </w:t>
      </w:r>
      <w:r w:rsidR="0080343B" w:rsidRPr="0080343B">
        <w:rPr>
          <w:i/>
          <w:iCs/>
        </w:rPr>
        <w:t xml:space="preserve">See </w:t>
      </w:r>
      <w:r w:rsidRPr="008E5517">
        <w:t>D.16</w:t>
      </w:r>
      <w:r w:rsidR="00270999">
        <w:noBreakHyphen/>
      </w:r>
      <w:r w:rsidRPr="008E5517">
        <w:t>12</w:t>
      </w:r>
      <w:r w:rsidR="00270999">
        <w:noBreakHyphen/>
      </w:r>
      <w:r w:rsidRPr="008E5517">
        <w:t>026</w:t>
      </w:r>
      <w:r w:rsidR="0005778F">
        <w:t xml:space="preserve"> at </w:t>
      </w:r>
      <w:r w:rsidRPr="008E5517">
        <w:t>45.</w:t>
      </w:r>
    </w:p>
  </w:footnote>
  <w:footnote w:id="63">
    <w:p w14:paraId="49C3318A" w14:textId="4B1C30B7" w:rsidR="003464B9" w:rsidRDefault="003464B9" w:rsidP="003464B9">
      <w:pPr>
        <w:pStyle w:val="FootnoteText"/>
      </w:pPr>
      <w:r>
        <w:rPr>
          <w:rStyle w:val="FootnoteReference"/>
        </w:rPr>
        <w:footnoteRef/>
      </w:r>
      <w:r>
        <w:t xml:space="preserve"> </w:t>
      </w:r>
      <w:r w:rsidRPr="0095732C">
        <w:t xml:space="preserve">Tier 2 advice letters are subject to Industry Division disposition where such disposition would be a ministerial act. Industry Division disposition is appropriate where the Commission has previously authorized projects with a specified scope and budget. </w:t>
      </w:r>
      <w:r>
        <w:t>Liberty</w:t>
      </w:r>
      <w:r w:rsidRPr="0095732C">
        <w:t xml:space="preserve"> should present workpaper/documentation supporting its advice letter requests for rate base offsets consistent with the Commission’s approval of these projects. Whenever such determination requires more than ministerial action, the disposition of the advice letter on the merits will be by Commission resolution. </w:t>
      </w:r>
      <w:r w:rsidRPr="00EB097D">
        <w:rPr>
          <w:i/>
          <w:iCs/>
        </w:rPr>
        <w:t>See</w:t>
      </w:r>
      <w:r w:rsidRPr="0095732C">
        <w:t xml:space="preserve"> General Order 96-B, Rule 7.6.1.</w:t>
      </w:r>
    </w:p>
  </w:footnote>
  <w:footnote w:id="64">
    <w:p w14:paraId="1CA72470" w14:textId="64B22B8C" w:rsidR="006D25F0" w:rsidRDefault="006D25F0">
      <w:pPr>
        <w:pStyle w:val="FootnoteText"/>
      </w:pPr>
      <w:r>
        <w:rPr>
          <w:rStyle w:val="FootnoteReference"/>
        </w:rPr>
        <w:footnoteRef/>
      </w:r>
      <w:r>
        <w:t xml:space="preserve"> </w:t>
      </w:r>
      <w:r w:rsidR="00EB50F8">
        <w:t>Cal Water</w:t>
      </w:r>
      <w:r w:rsidRPr="00C7335F">
        <w:t xml:space="preserve"> </w:t>
      </w:r>
      <w:r>
        <w:t>RB</w:t>
      </w:r>
      <w:r w:rsidR="0005778F">
        <w:t xml:space="preserve"> at </w:t>
      </w:r>
      <w:r w:rsidRPr="00C7335F">
        <w:t>70</w:t>
      </w:r>
      <w:r w:rsidR="00270999">
        <w:noBreakHyphen/>
      </w:r>
      <w:r w:rsidRPr="00C7335F">
        <w:t xml:space="preserve">73; </w:t>
      </w:r>
      <w:r w:rsidR="00EB50F8">
        <w:t>Cal Water</w:t>
      </w:r>
      <w:r w:rsidR="00081D02" w:rsidRPr="00C7335F">
        <w:t xml:space="preserve"> </w:t>
      </w:r>
      <w:r>
        <w:t>OB</w:t>
      </w:r>
      <w:r w:rsidR="0005778F">
        <w:t xml:space="preserve"> at </w:t>
      </w:r>
      <w:r w:rsidRPr="00C7335F">
        <w:t>88</w:t>
      </w:r>
      <w:r w:rsidR="00270999">
        <w:noBreakHyphen/>
      </w:r>
      <w:r w:rsidRPr="00C7335F">
        <w:t>89.</w:t>
      </w:r>
    </w:p>
  </w:footnote>
  <w:footnote w:id="65">
    <w:p w14:paraId="71714494" w14:textId="0D145DAB" w:rsidR="0018415E" w:rsidRDefault="0018415E">
      <w:pPr>
        <w:pStyle w:val="FootnoteText"/>
      </w:pPr>
      <w:r>
        <w:rPr>
          <w:rStyle w:val="FootnoteReference"/>
        </w:rPr>
        <w:footnoteRef/>
      </w:r>
      <w:r>
        <w:t xml:space="preserve"> We n</w:t>
      </w:r>
      <w:r w:rsidRPr="0018415E">
        <w:t>ote that</w:t>
      </w:r>
      <w:r w:rsidR="003E6E0F">
        <w:t xml:space="preserve"> </w:t>
      </w:r>
      <w:r w:rsidRPr="0018415E">
        <w:t>Cal Water has</w:t>
      </w:r>
      <w:r w:rsidR="003E6E0F">
        <w:t xml:space="preserve"> </w:t>
      </w:r>
      <w:r w:rsidRPr="0018415E">
        <w:t>other necessary meter replacements for</w:t>
      </w:r>
      <w:r w:rsidR="003E6E0F">
        <w:t xml:space="preserve"> </w:t>
      </w:r>
      <w:r w:rsidRPr="0018415E">
        <w:t>the</w:t>
      </w:r>
      <w:r w:rsidR="003E6E0F">
        <w:t xml:space="preserve"> </w:t>
      </w:r>
      <w:r w:rsidRPr="0018415E">
        <w:t>remaining</w:t>
      </w:r>
      <w:r w:rsidR="003E6E0F">
        <w:t xml:space="preserve"> </w:t>
      </w:r>
      <w:r w:rsidRPr="0018415E">
        <w:t>districts</w:t>
      </w:r>
      <w:r>
        <w:t>,</w:t>
      </w:r>
      <w:r w:rsidRPr="0018415E">
        <w:t xml:space="preserve"> which are not in the AMI</w:t>
      </w:r>
      <w:r w:rsidR="003E6E0F">
        <w:t xml:space="preserve"> </w:t>
      </w:r>
      <w:r w:rsidRPr="0018415E">
        <w:t>program.</w:t>
      </w:r>
      <w:r w:rsidR="003E6E0F">
        <w:t xml:space="preserve"> </w:t>
      </w:r>
      <w:r w:rsidRPr="0018415E">
        <w:t>Those meters are funded separately in this proceeding.</w:t>
      </w:r>
    </w:p>
  </w:footnote>
  <w:footnote w:id="66">
    <w:p w14:paraId="0F5E89EE" w14:textId="23371896" w:rsidR="005F3A22" w:rsidRPr="005F3A22" w:rsidRDefault="005F3A22">
      <w:pPr>
        <w:pStyle w:val="FootnoteText"/>
      </w:pPr>
      <w:r>
        <w:rPr>
          <w:rStyle w:val="FootnoteReference"/>
        </w:rPr>
        <w:footnoteRef/>
      </w:r>
      <w:r>
        <w:t xml:space="preserve"> </w:t>
      </w:r>
      <w:r w:rsidR="006E7C5A">
        <w:rPr>
          <w:lang w:val="en-ZW"/>
        </w:rPr>
        <w:t>Cal Water Opening Comments on the Proposed Decision at 15.</w:t>
      </w:r>
    </w:p>
  </w:footnote>
  <w:footnote w:id="67">
    <w:p w14:paraId="3B331857" w14:textId="24EFB196" w:rsidR="00B87DF0" w:rsidRPr="00B87DF0" w:rsidRDefault="00B87DF0">
      <w:pPr>
        <w:pStyle w:val="FootnoteText"/>
      </w:pPr>
      <w:r>
        <w:rPr>
          <w:rStyle w:val="FootnoteReference"/>
        </w:rPr>
        <w:footnoteRef/>
      </w:r>
      <w:r>
        <w:t xml:space="preserve"> Cal Advocates Ex.</w:t>
      </w:r>
      <w:r w:rsidR="0075041A">
        <w:t> </w:t>
      </w:r>
      <w:r>
        <w:t>07 at 7-1.</w:t>
      </w:r>
    </w:p>
  </w:footnote>
  <w:footnote w:id="68">
    <w:p w14:paraId="2B2A1FDA" w14:textId="22976271" w:rsidR="00FA456D" w:rsidRPr="003E5054" w:rsidRDefault="00FA456D">
      <w:pPr>
        <w:pStyle w:val="FootnoteText"/>
        <w:rPr>
          <w:lang w:val="en-ZW"/>
        </w:rPr>
      </w:pPr>
      <w:r>
        <w:rPr>
          <w:rStyle w:val="FootnoteReference"/>
        </w:rPr>
        <w:footnoteRef/>
      </w:r>
      <w:r>
        <w:t xml:space="preserve"> </w:t>
      </w:r>
      <w:r w:rsidR="00010DB3">
        <w:rPr>
          <w:lang w:val="en-ZW"/>
        </w:rPr>
        <w:t xml:space="preserve">Cal Water Opening Comments on the Proposed Decision at </w:t>
      </w:r>
      <w:r w:rsidR="00652336">
        <w:rPr>
          <w:lang w:val="en-ZW"/>
        </w:rPr>
        <w:t>14-15.</w:t>
      </w:r>
    </w:p>
  </w:footnote>
  <w:footnote w:id="69">
    <w:p w14:paraId="5F83FAC4" w14:textId="4F1C4531" w:rsidR="00A001D1" w:rsidRPr="00945E84" w:rsidRDefault="00A001D1" w:rsidP="00A001D1">
      <w:pPr>
        <w:pStyle w:val="FootnoteText"/>
      </w:pPr>
      <w:r>
        <w:rPr>
          <w:rStyle w:val="FootnoteReference"/>
        </w:rPr>
        <w:footnoteRef/>
      </w:r>
      <w:r>
        <w:t xml:space="preserve"> CWS OB at 44</w:t>
      </w:r>
      <w:r w:rsidR="00270999">
        <w:noBreakHyphen/>
      </w:r>
      <w:r>
        <w:t>48.</w:t>
      </w:r>
    </w:p>
  </w:footnote>
  <w:footnote w:id="70">
    <w:p w14:paraId="65380D5D" w14:textId="6B3CF8B5" w:rsidR="00A001D1" w:rsidRPr="007A0D12" w:rsidRDefault="00A001D1" w:rsidP="00A001D1">
      <w:pPr>
        <w:pStyle w:val="FootnoteText"/>
        <w:rPr>
          <w:lang w:val="en-ZW"/>
        </w:rPr>
      </w:pPr>
      <w:r>
        <w:rPr>
          <w:rStyle w:val="FootnoteReference"/>
        </w:rPr>
        <w:footnoteRef/>
      </w:r>
      <w:r>
        <w:t xml:space="preserve"> </w:t>
      </w:r>
      <w:r w:rsidR="00EB50F8">
        <w:t>Cal Advocates</w:t>
      </w:r>
      <w:r>
        <w:t xml:space="preserve"> OB at 37</w:t>
      </w:r>
      <w:r w:rsidR="00270999">
        <w:noBreakHyphen/>
      </w:r>
      <w:r>
        <w:t>38.</w:t>
      </w:r>
    </w:p>
  </w:footnote>
  <w:footnote w:id="71">
    <w:p w14:paraId="326592A9" w14:textId="651D62D7" w:rsidR="00A001D1" w:rsidRPr="00955972" w:rsidRDefault="00A001D1" w:rsidP="00A001D1">
      <w:pPr>
        <w:pStyle w:val="FootnoteText"/>
      </w:pPr>
      <w:r>
        <w:rPr>
          <w:rStyle w:val="FootnoteReference"/>
        </w:rPr>
        <w:footnoteRef/>
      </w:r>
      <w:r>
        <w:t xml:space="preserve"> </w:t>
      </w:r>
      <w:r w:rsidRPr="00955972">
        <w:t>D24</w:t>
      </w:r>
      <w:r w:rsidR="00270999">
        <w:noBreakHyphen/>
      </w:r>
      <w:r w:rsidRPr="00955972">
        <w:t>03</w:t>
      </w:r>
      <w:r w:rsidR="00270999">
        <w:noBreakHyphen/>
      </w:r>
      <w:r w:rsidRPr="00955972">
        <w:t>042</w:t>
      </w:r>
      <w:r w:rsidR="0003057E">
        <w:t>.</w:t>
      </w:r>
    </w:p>
  </w:footnote>
  <w:footnote w:id="72">
    <w:p w14:paraId="7DB82A1E" w14:textId="759B893F" w:rsidR="00A001D1" w:rsidRDefault="00A001D1" w:rsidP="00A001D1">
      <w:pPr>
        <w:pStyle w:val="FootnoteText"/>
      </w:pPr>
      <w:r>
        <w:rPr>
          <w:rStyle w:val="FootnoteReference"/>
        </w:rPr>
        <w:footnoteRef/>
      </w:r>
      <w:r>
        <w:t xml:space="preserve"> $200,000,000 request, minus $20,000,000 (10</w:t>
      </w:r>
      <w:r w:rsidR="002174C7">
        <w:t> percent</w:t>
      </w:r>
      <w:r>
        <w:t>), equals an adopted allowance of $180,000,000.</w:t>
      </w:r>
    </w:p>
  </w:footnote>
  <w:footnote w:id="73">
    <w:p w14:paraId="6A7A5935" w14:textId="23BCBCE2" w:rsidR="006D25F0" w:rsidRDefault="006D25F0">
      <w:pPr>
        <w:pStyle w:val="FootnoteText"/>
      </w:pPr>
      <w:r>
        <w:rPr>
          <w:rStyle w:val="FootnoteReference"/>
        </w:rPr>
        <w:footnoteRef/>
      </w:r>
      <w:r>
        <w:t xml:space="preserve"> </w:t>
      </w:r>
      <w:r w:rsidR="00EB50F8">
        <w:t>Cal Water</w:t>
      </w:r>
      <w:r w:rsidRPr="00D22CBC">
        <w:t xml:space="preserve"> </w:t>
      </w:r>
      <w:r>
        <w:t>OB</w:t>
      </w:r>
      <w:r w:rsidR="0005778F">
        <w:t xml:space="preserve"> at </w:t>
      </w:r>
      <w:r w:rsidRPr="00D22CBC">
        <w:t>72</w:t>
      </w:r>
      <w:r w:rsidR="00270999">
        <w:noBreakHyphen/>
      </w:r>
      <w:r w:rsidRPr="00D22CBC">
        <w:t xml:space="preserve">78; </w:t>
      </w:r>
      <w:r w:rsidR="000A6C2E">
        <w:t>Ex. CWS</w:t>
      </w:r>
      <w:r w:rsidR="00270999">
        <w:noBreakHyphen/>
      </w:r>
      <w:r w:rsidRPr="00D22CBC">
        <w:t>18</w:t>
      </w:r>
      <w:r w:rsidR="0005778F">
        <w:t xml:space="preserve"> at </w:t>
      </w:r>
      <w:r w:rsidRPr="00D22CBC">
        <w:t>3</w:t>
      </w:r>
      <w:r w:rsidR="00270999">
        <w:noBreakHyphen/>
      </w:r>
      <w:r w:rsidRPr="00D22CBC">
        <w:t>5</w:t>
      </w:r>
      <w:r>
        <w:t>.</w:t>
      </w:r>
    </w:p>
  </w:footnote>
  <w:footnote w:id="74">
    <w:p w14:paraId="16C3E2AB" w14:textId="0DC1B1B0" w:rsidR="006D25F0" w:rsidRDefault="006D25F0">
      <w:pPr>
        <w:pStyle w:val="FootnoteText"/>
      </w:pPr>
      <w:r>
        <w:rPr>
          <w:rStyle w:val="FootnoteReference"/>
        </w:rPr>
        <w:footnoteRef/>
      </w:r>
      <w:r>
        <w:t xml:space="preserve"> </w:t>
      </w:r>
      <w:r w:rsidR="00EB50F8">
        <w:t>Cal Advocates</w:t>
      </w:r>
      <w:r w:rsidRPr="00D22CBC">
        <w:t xml:space="preserve"> </w:t>
      </w:r>
      <w:r>
        <w:t>OB</w:t>
      </w:r>
      <w:r w:rsidR="0005778F">
        <w:t xml:space="preserve"> at </w:t>
      </w:r>
      <w:r w:rsidRPr="00D22CBC">
        <w:t>65</w:t>
      </w:r>
      <w:r w:rsidR="00270999">
        <w:noBreakHyphen/>
      </w:r>
      <w:r w:rsidRPr="00D22CBC">
        <w:t xml:space="preserve">71; </w:t>
      </w:r>
      <w:r w:rsidR="009D0D2F">
        <w:t>Ex. CalPA</w:t>
      </w:r>
      <w:r w:rsidR="00270999">
        <w:noBreakHyphen/>
      </w:r>
      <w:r w:rsidRPr="00D22CBC">
        <w:t xml:space="preserve">8, </w:t>
      </w:r>
      <w:r w:rsidR="00DC5B03">
        <w:t>Tables </w:t>
      </w:r>
      <w:r w:rsidRPr="00D22CBC">
        <w:t>4</w:t>
      </w:r>
      <w:r w:rsidR="00270999">
        <w:noBreakHyphen/>
      </w:r>
      <w:r w:rsidRPr="00D22CBC">
        <w:t>6</w:t>
      </w:r>
      <w:r>
        <w:t>.</w:t>
      </w:r>
    </w:p>
  </w:footnote>
  <w:footnote w:id="75">
    <w:p w14:paraId="0DB26BBD" w14:textId="559E886B" w:rsidR="006D25F0" w:rsidRPr="006271A0" w:rsidRDefault="006D25F0">
      <w:pPr>
        <w:pStyle w:val="FootnoteText"/>
        <w:rPr>
          <w:lang w:val="da-DK"/>
        </w:rPr>
      </w:pPr>
      <w:r>
        <w:rPr>
          <w:rStyle w:val="FootnoteReference"/>
        </w:rPr>
        <w:footnoteRef/>
      </w:r>
      <w:r>
        <w:t xml:space="preserve"> </w:t>
      </w:r>
      <w:r w:rsidR="00EB50F8">
        <w:t>Cal Advocates</w:t>
      </w:r>
      <w:r w:rsidRPr="00D22CBC">
        <w:t xml:space="preserve"> </w:t>
      </w:r>
      <w:r>
        <w:t>RB</w:t>
      </w:r>
      <w:r w:rsidR="0005778F">
        <w:t xml:space="preserve"> at </w:t>
      </w:r>
      <w:r w:rsidRPr="00D22CBC">
        <w:t>46</w:t>
      </w:r>
      <w:r w:rsidR="00270999">
        <w:noBreakHyphen/>
      </w:r>
      <w:r w:rsidRPr="00D22CBC">
        <w:t xml:space="preserve">50; </w:t>
      </w:r>
      <w:r w:rsidR="009D0D2F">
        <w:t>Ex. </w:t>
      </w:r>
      <w:r w:rsidR="009D0D2F" w:rsidRPr="00B230AE">
        <w:rPr>
          <w:lang w:val="da-DK"/>
        </w:rPr>
        <w:t>CalPA</w:t>
      </w:r>
      <w:r w:rsidR="00270999" w:rsidRPr="00B230AE">
        <w:rPr>
          <w:lang w:val="da-DK"/>
        </w:rPr>
        <w:noBreakHyphen/>
      </w:r>
      <w:r w:rsidRPr="006271A0">
        <w:rPr>
          <w:lang w:val="da-DK"/>
        </w:rPr>
        <w:t>9</w:t>
      </w:r>
      <w:r w:rsidR="0005778F">
        <w:rPr>
          <w:lang w:val="da-DK"/>
        </w:rPr>
        <w:t xml:space="preserve"> at </w:t>
      </w:r>
      <w:r w:rsidRPr="006271A0">
        <w:rPr>
          <w:lang w:val="da-DK"/>
        </w:rPr>
        <w:t>22.</w:t>
      </w:r>
    </w:p>
  </w:footnote>
  <w:footnote w:id="76">
    <w:p w14:paraId="298B7C65" w14:textId="78BCE92D" w:rsidR="006D25F0" w:rsidRPr="006271A0" w:rsidRDefault="006D25F0">
      <w:pPr>
        <w:pStyle w:val="FootnoteText"/>
        <w:rPr>
          <w:lang w:val="da-DK"/>
        </w:rPr>
      </w:pPr>
      <w:r>
        <w:rPr>
          <w:rStyle w:val="FootnoteReference"/>
        </w:rPr>
        <w:footnoteRef/>
      </w:r>
      <w:r w:rsidRPr="006271A0">
        <w:rPr>
          <w:lang w:val="da-DK"/>
        </w:rPr>
        <w:t xml:space="preserve"> NAWC OB</w:t>
      </w:r>
      <w:r w:rsidR="0005778F">
        <w:rPr>
          <w:lang w:val="da-DK"/>
        </w:rPr>
        <w:t xml:space="preserve"> at </w:t>
      </w:r>
      <w:r w:rsidRPr="006271A0">
        <w:rPr>
          <w:lang w:val="da-DK"/>
        </w:rPr>
        <w:t>40</w:t>
      </w:r>
      <w:r w:rsidR="00270999">
        <w:rPr>
          <w:lang w:val="da-DK"/>
        </w:rPr>
        <w:noBreakHyphen/>
      </w:r>
      <w:r w:rsidRPr="006271A0">
        <w:rPr>
          <w:lang w:val="da-DK"/>
        </w:rPr>
        <w:t>44.</w:t>
      </w:r>
    </w:p>
  </w:footnote>
  <w:footnote w:id="77">
    <w:p w14:paraId="48DB7662" w14:textId="7989992C" w:rsidR="006D25F0" w:rsidRDefault="006D25F0">
      <w:pPr>
        <w:pStyle w:val="FootnoteText"/>
      </w:pPr>
      <w:r>
        <w:rPr>
          <w:rStyle w:val="FootnoteReference"/>
        </w:rPr>
        <w:footnoteRef/>
      </w:r>
      <w:r>
        <w:t xml:space="preserve"> </w:t>
      </w:r>
      <w:r w:rsidR="00B17D64">
        <w:t xml:space="preserve">CWA </w:t>
      </w:r>
      <w:r w:rsidR="009D0D2F">
        <w:t>RB</w:t>
      </w:r>
      <w:r w:rsidR="0005778F">
        <w:t xml:space="preserve"> at </w:t>
      </w:r>
      <w:r w:rsidRPr="00D22CBC">
        <w:t>18</w:t>
      </w:r>
      <w:r w:rsidR="00270999">
        <w:noBreakHyphen/>
      </w:r>
      <w:r w:rsidRPr="00D22CBC">
        <w:t>20</w:t>
      </w:r>
      <w:r>
        <w:t>.</w:t>
      </w:r>
    </w:p>
  </w:footnote>
  <w:footnote w:id="78">
    <w:p w14:paraId="671DBC98" w14:textId="034A987E" w:rsidR="006D25F0" w:rsidRDefault="006D25F0">
      <w:pPr>
        <w:pStyle w:val="FootnoteText"/>
      </w:pPr>
      <w:r>
        <w:rPr>
          <w:rStyle w:val="FootnoteReference"/>
        </w:rPr>
        <w:footnoteRef/>
      </w:r>
      <w:r>
        <w:t xml:space="preserve"> Motion for Partial Settlement</w:t>
      </w:r>
      <w:r w:rsidR="0005778F">
        <w:t xml:space="preserve"> at </w:t>
      </w:r>
      <w:r w:rsidRPr="00D22CBC">
        <w:t>9</w:t>
      </w:r>
      <w:r w:rsidR="00270999">
        <w:noBreakHyphen/>
      </w:r>
      <w:r w:rsidRPr="00D22CBC">
        <w:t>10.</w:t>
      </w:r>
    </w:p>
  </w:footnote>
  <w:footnote w:id="79">
    <w:p w14:paraId="03DC6A80" w14:textId="65CE4AE2" w:rsidR="00A25269" w:rsidRDefault="00A25269">
      <w:pPr>
        <w:pStyle w:val="FootnoteText"/>
      </w:pPr>
      <w:r>
        <w:rPr>
          <w:rStyle w:val="FootnoteReference"/>
        </w:rPr>
        <w:footnoteRef/>
      </w:r>
      <w:r>
        <w:t xml:space="preserve"> </w:t>
      </w:r>
      <w:r w:rsidR="00C31DCE" w:rsidRPr="00C31DCE">
        <w:rPr>
          <w:i/>
          <w:iCs/>
        </w:rPr>
        <w:t>Hope Natural</w:t>
      </w:r>
      <w:r w:rsidR="00C31DCE">
        <w:t xml:space="preserve">, </w:t>
      </w:r>
      <w:r w:rsidRPr="00D22CBC">
        <w:t>320</w:t>
      </w:r>
      <w:r w:rsidR="00C31DCE">
        <w:t> U.S.</w:t>
      </w:r>
      <w:r w:rsidR="0005778F">
        <w:t xml:space="preserve"> at </w:t>
      </w:r>
      <w:r w:rsidRPr="00D22CBC">
        <w:t>602.</w:t>
      </w:r>
    </w:p>
  </w:footnote>
  <w:footnote w:id="80">
    <w:p w14:paraId="0C631BD8" w14:textId="7F37E939" w:rsidR="00A25269" w:rsidRDefault="00A25269">
      <w:pPr>
        <w:pStyle w:val="FootnoteText"/>
      </w:pPr>
      <w:r>
        <w:rPr>
          <w:rStyle w:val="FootnoteReference"/>
        </w:rPr>
        <w:footnoteRef/>
      </w:r>
      <w:r>
        <w:t xml:space="preserve"> </w:t>
      </w:r>
      <w:r w:rsidR="00EB50F8">
        <w:t>Cal Water</w:t>
      </w:r>
      <w:r w:rsidRPr="00D22CBC">
        <w:t xml:space="preserve"> </w:t>
      </w:r>
      <w:r>
        <w:t>OB</w:t>
      </w:r>
      <w:r w:rsidR="0005778F">
        <w:t xml:space="preserve"> at </w:t>
      </w:r>
      <w:r w:rsidRPr="00D22CBC">
        <w:t>74</w:t>
      </w:r>
      <w:r w:rsidR="00270999">
        <w:noBreakHyphen/>
      </w:r>
      <w:r w:rsidRPr="00D22CBC">
        <w:t xml:space="preserve">77; </w:t>
      </w:r>
      <w:r w:rsidR="000A6C2E">
        <w:t>Ex. CWS</w:t>
      </w:r>
      <w:r w:rsidR="00270999">
        <w:noBreakHyphen/>
      </w:r>
      <w:r w:rsidRPr="00D22CBC">
        <w:t>19</w:t>
      </w:r>
      <w:r w:rsidR="0005778F">
        <w:t xml:space="preserve"> at </w:t>
      </w:r>
      <w:r w:rsidRPr="00D22CBC">
        <w:t>14</w:t>
      </w:r>
      <w:r>
        <w:t>.</w:t>
      </w:r>
    </w:p>
  </w:footnote>
  <w:footnote w:id="81">
    <w:p w14:paraId="4AFAFCFA" w14:textId="07404586" w:rsidR="00A25269" w:rsidRDefault="00A25269">
      <w:pPr>
        <w:pStyle w:val="FootnoteText"/>
      </w:pPr>
      <w:r>
        <w:rPr>
          <w:rStyle w:val="FootnoteReference"/>
        </w:rPr>
        <w:footnoteRef/>
      </w:r>
      <w:r>
        <w:t xml:space="preserve"> </w:t>
      </w:r>
      <w:r w:rsidR="00EB50F8">
        <w:t>Cal Water</w:t>
      </w:r>
      <w:r w:rsidRPr="00D22CBC">
        <w:t xml:space="preserve"> </w:t>
      </w:r>
      <w:r>
        <w:t>RB</w:t>
      </w:r>
      <w:r w:rsidR="0005778F">
        <w:t xml:space="preserve"> at </w:t>
      </w:r>
      <w:r w:rsidRPr="00D22CBC">
        <w:t>51</w:t>
      </w:r>
      <w:r w:rsidR="00270999">
        <w:noBreakHyphen/>
      </w:r>
      <w:r w:rsidRPr="00D22CBC">
        <w:t xml:space="preserve">52; </w:t>
      </w:r>
      <w:r w:rsidR="000A6C2E">
        <w:t>Ex. CWS</w:t>
      </w:r>
      <w:r w:rsidR="00270999">
        <w:noBreakHyphen/>
      </w:r>
      <w:r w:rsidRPr="00D22CBC">
        <w:t>19</w:t>
      </w:r>
      <w:r w:rsidR="0005778F">
        <w:t xml:space="preserve"> at </w:t>
      </w:r>
      <w:r w:rsidRPr="00D22CBC">
        <w:t>15</w:t>
      </w:r>
      <w:r>
        <w:t>.</w:t>
      </w:r>
    </w:p>
  </w:footnote>
  <w:footnote w:id="82">
    <w:p w14:paraId="77982175" w14:textId="74C1D1CD" w:rsidR="00A25269" w:rsidRDefault="00A25269">
      <w:pPr>
        <w:pStyle w:val="FootnoteText"/>
      </w:pPr>
      <w:r>
        <w:rPr>
          <w:rStyle w:val="FootnoteReference"/>
        </w:rPr>
        <w:footnoteRef/>
      </w:r>
      <w:r>
        <w:t xml:space="preserve"> </w:t>
      </w:r>
      <w:r w:rsidR="00EB50F8">
        <w:t>Cal Water</w:t>
      </w:r>
      <w:r w:rsidRPr="00D22CBC">
        <w:t xml:space="preserve"> </w:t>
      </w:r>
      <w:r>
        <w:t>RB</w:t>
      </w:r>
      <w:r w:rsidR="0005778F">
        <w:t xml:space="preserve"> at </w:t>
      </w:r>
      <w:r w:rsidRPr="00D22CBC">
        <w:t xml:space="preserve">53; </w:t>
      </w:r>
      <w:r w:rsidR="000A6C2E">
        <w:t>Ex. CWS</w:t>
      </w:r>
      <w:r w:rsidR="00270999">
        <w:noBreakHyphen/>
      </w:r>
      <w:r w:rsidRPr="00D22CBC">
        <w:t>19</w:t>
      </w:r>
      <w:r w:rsidR="0005778F">
        <w:t xml:space="preserve"> at </w:t>
      </w:r>
      <w:r w:rsidRPr="00D22CBC">
        <w:t>16</w:t>
      </w:r>
      <w:r>
        <w:t>.</w:t>
      </w:r>
    </w:p>
  </w:footnote>
  <w:footnote w:id="83">
    <w:p w14:paraId="223AA595" w14:textId="616AFCE4" w:rsidR="00A25269" w:rsidRDefault="00A25269">
      <w:pPr>
        <w:pStyle w:val="FootnoteText"/>
      </w:pPr>
      <w:r>
        <w:rPr>
          <w:rStyle w:val="FootnoteReference"/>
        </w:rPr>
        <w:footnoteRef/>
      </w:r>
      <w:r w:rsidR="00583E5E">
        <w:t xml:space="preserve"> </w:t>
      </w:r>
      <w:r w:rsidR="00EB50F8">
        <w:t>Cal Water</w:t>
      </w:r>
      <w:r w:rsidRPr="00C7335F">
        <w:t xml:space="preserve"> </w:t>
      </w:r>
      <w:r>
        <w:t>OB</w:t>
      </w:r>
      <w:r w:rsidR="0005778F">
        <w:t xml:space="preserve"> at </w:t>
      </w:r>
      <w:r w:rsidRPr="00C7335F">
        <w:t>72</w:t>
      </w:r>
      <w:r w:rsidR="00270999">
        <w:noBreakHyphen/>
      </w:r>
      <w:r w:rsidRPr="00C7335F">
        <w:t>78</w:t>
      </w:r>
      <w:r w:rsidR="00F7288A">
        <w:t xml:space="preserve">; </w:t>
      </w:r>
      <w:r w:rsidR="00EB50F8">
        <w:t>Cal Water</w:t>
      </w:r>
      <w:r w:rsidR="00F7288A">
        <w:t xml:space="preserve"> RB</w:t>
      </w:r>
      <w:r w:rsidR="0005778F">
        <w:t xml:space="preserve"> at </w:t>
      </w:r>
      <w:r w:rsidRPr="00C7335F">
        <w:t>51</w:t>
      </w:r>
      <w:r w:rsidR="00270999">
        <w:noBreakHyphen/>
      </w:r>
      <w:r w:rsidRPr="00C7335F">
        <w:t>53</w:t>
      </w:r>
      <w:r>
        <w:t>.</w:t>
      </w:r>
    </w:p>
  </w:footnote>
  <w:footnote w:id="84">
    <w:p w14:paraId="58B2A8D0" w14:textId="75D88AFC" w:rsidR="00A25269" w:rsidRDefault="00A25269">
      <w:pPr>
        <w:pStyle w:val="FootnoteText"/>
      </w:pPr>
      <w:r>
        <w:rPr>
          <w:rStyle w:val="FootnoteReference"/>
        </w:rPr>
        <w:footnoteRef/>
      </w:r>
      <w:r>
        <w:t xml:space="preserve"> </w:t>
      </w:r>
      <w:r w:rsidR="00EB50F8">
        <w:t>Cal Advocates</w:t>
      </w:r>
      <w:r w:rsidRPr="00D22CBC">
        <w:t xml:space="preserve"> </w:t>
      </w:r>
      <w:r>
        <w:t>OB</w:t>
      </w:r>
      <w:r w:rsidR="0005778F">
        <w:t xml:space="preserve"> at </w:t>
      </w:r>
      <w:r w:rsidRPr="00D22CBC">
        <w:t xml:space="preserve">69; </w:t>
      </w:r>
      <w:r w:rsidR="009D0D2F">
        <w:t>Ex. CalPA</w:t>
      </w:r>
      <w:r w:rsidR="00270999">
        <w:noBreakHyphen/>
      </w:r>
      <w:r w:rsidRPr="00D22CBC">
        <w:t>8</w:t>
      </w:r>
      <w:r w:rsidR="0005778F">
        <w:t xml:space="preserve"> at </w:t>
      </w:r>
      <w:r w:rsidRPr="00D22CBC">
        <w:t>54</w:t>
      </w:r>
      <w:r>
        <w:t>.</w:t>
      </w:r>
    </w:p>
  </w:footnote>
  <w:footnote w:id="85">
    <w:p w14:paraId="65C20CD9" w14:textId="5C7EF605" w:rsidR="00A25269" w:rsidRDefault="00A25269">
      <w:pPr>
        <w:pStyle w:val="FootnoteText"/>
      </w:pPr>
      <w:r>
        <w:rPr>
          <w:rStyle w:val="FootnoteReference"/>
        </w:rPr>
        <w:footnoteRef/>
      </w:r>
      <w:r>
        <w:t xml:space="preserve"> </w:t>
      </w:r>
      <w:r w:rsidR="00EB50F8">
        <w:t>Cal Advocates</w:t>
      </w:r>
      <w:r w:rsidRPr="00D22CBC">
        <w:t xml:space="preserve"> </w:t>
      </w:r>
      <w:r>
        <w:t>OB</w:t>
      </w:r>
      <w:r w:rsidR="0005778F">
        <w:t xml:space="preserve"> at </w:t>
      </w:r>
      <w:r w:rsidRPr="00D22CBC">
        <w:t xml:space="preserve">68; </w:t>
      </w:r>
      <w:r w:rsidR="009D0D2F">
        <w:t>Ex. CalPA</w:t>
      </w:r>
      <w:r w:rsidR="00270999">
        <w:noBreakHyphen/>
      </w:r>
      <w:r w:rsidRPr="00D22CBC">
        <w:t>8</w:t>
      </w:r>
      <w:r w:rsidR="0005778F">
        <w:t xml:space="preserve"> at </w:t>
      </w:r>
      <w:r w:rsidRPr="00D22CBC">
        <w:t>51.</w:t>
      </w:r>
    </w:p>
  </w:footnote>
  <w:footnote w:id="86">
    <w:p w14:paraId="54B7EC21" w14:textId="3DE6800F" w:rsidR="00A25269" w:rsidRDefault="00A25269">
      <w:pPr>
        <w:pStyle w:val="FootnoteText"/>
      </w:pPr>
      <w:r>
        <w:rPr>
          <w:rStyle w:val="FootnoteReference"/>
        </w:rPr>
        <w:footnoteRef/>
      </w:r>
      <w:r>
        <w:t xml:space="preserve"> </w:t>
      </w:r>
      <w:r w:rsidR="00EB50F8">
        <w:t>Cal Advocates</w:t>
      </w:r>
      <w:r w:rsidRPr="003C1B75">
        <w:t xml:space="preserve"> </w:t>
      </w:r>
      <w:r>
        <w:t>RB</w:t>
      </w:r>
      <w:r w:rsidR="0005778F">
        <w:t xml:space="preserve"> at </w:t>
      </w:r>
      <w:r w:rsidRPr="003C1B75">
        <w:t>46</w:t>
      </w:r>
      <w:r w:rsidR="00270999">
        <w:noBreakHyphen/>
      </w:r>
      <w:r w:rsidRPr="003C1B75">
        <w:t xml:space="preserve">50; </w:t>
      </w:r>
      <w:r w:rsidR="00EB50F8">
        <w:t>Cal Water</w:t>
      </w:r>
      <w:r w:rsidRPr="003C1B75">
        <w:t xml:space="preserve"> </w:t>
      </w:r>
      <w:r>
        <w:t>RB</w:t>
      </w:r>
      <w:r w:rsidR="0005778F">
        <w:t xml:space="preserve"> at </w:t>
      </w:r>
      <w:r w:rsidRPr="003C1B75">
        <w:t>70</w:t>
      </w:r>
      <w:r w:rsidR="00270999">
        <w:noBreakHyphen/>
      </w:r>
      <w:r w:rsidRPr="003C1B75">
        <w:t>73</w:t>
      </w:r>
      <w:r>
        <w:t>.</w:t>
      </w:r>
    </w:p>
  </w:footnote>
  <w:footnote w:id="87">
    <w:p w14:paraId="08133784" w14:textId="2E5441E1" w:rsidR="00F260B8" w:rsidRDefault="00F260B8">
      <w:pPr>
        <w:pStyle w:val="FootnoteText"/>
      </w:pPr>
      <w:r>
        <w:rPr>
          <w:rStyle w:val="FootnoteReference"/>
        </w:rPr>
        <w:footnoteRef/>
      </w:r>
      <w:r>
        <w:t xml:space="preserve"> </w:t>
      </w:r>
      <w:r w:rsidR="0080343B" w:rsidRPr="0080343B">
        <w:rPr>
          <w:i/>
          <w:iCs/>
        </w:rPr>
        <w:t xml:space="preserve">See </w:t>
      </w:r>
      <w:r w:rsidR="000A6C2E">
        <w:t>Ex. CWS</w:t>
      </w:r>
      <w:r w:rsidR="00270999">
        <w:noBreakHyphen/>
      </w:r>
      <w:r w:rsidRPr="00F260B8">
        <w:t>04, Multi</w:t>
      </w:r>
      <w:r w:rsidR="00270999">
        <w:noBreakHyphen/>
      </w:r>
      <w:r w:rsidRPr="00F260B8">
        <w:t>District Revenue Requirement workpapers, as modified by the Partial Settlement.</w:t>
      </w:r>
    </w:p>
  </w:footnote>
  <w:footnote w:id="88">
    <w:p w14:paraId="71CEC413" w14:textId="7810E86E" w:rsidR="00A25269" w:rsidRDefault="00A25269">
      <w:pPr>
        <w:pStyle w:val="FootnoteText"/>
      </w:pPr>
      <w:r>
        <w:rPr>
          <w:rStyle w:val="FootnoteReference"/>
        </w:rPr>
        <w:footnoteRef/>
      </w:r>
      <w:r>
        <w:t xml:space="preserve"> </w:t>
      </w:r>
      <w:r w:rsidR="00EB50F8">
        <w:t>Cal Advocates</w:t>
      </w:r>
      <w:r w:rsidRPr="003C1B75">
        <w:t xml:space="preserve"> </w:t>
      </w:r>
      <w:r>
        <w:t>OB</w:t>
      </w:r>
      <w:r w:rsidR="0005778F">
        <w:t xml:space="preserve"> at </w:t>
      </w:r>
      <w:r w:rsidRPr="003C1B75">
        <w:t>68</w:t>
      </w:r>
      <w:r w:rsidR="00F7288A">
        <w:t xml:space="preserve">; </w:t>
      </w:r>
      <w:r w:rsidR="00EB50F8">
        <w:t>Cal Advocates</w:t>
      </w:r>
      <w:r w:rsidR="00F7288A">
        <w:t xml:space="preserve"> RB</w:t>
      </w:r>
      <w:r w:rsidR="0005778F">
        <w:t xml:space="preserve"> at </w:t>
      </w:r>
      <w:r w:rsidRPr="003C1B75">
        <w:t>48</w:t>
      </w:r>
      <w:r w:rsidR="00270999">
        <w:noBreakHyphen/>
      </w:r>
      <w:r w:rsidRPr="003C1B75">
        <w:t>49.</w:t>
      </w:r>
    </w:p>
  </w:footnote>
  <w:footnote w:id="89">
    <w:p w14:paraId="3EBA738E" w14:textId="2A6C7749" w:rsidR="00F260B8" w:rsidRPr="00F260B8" w:rsidRDefault="00F260B8">
      <w:pPr>
        <w:pStyle w:val="FootnoteText"/>
      </w:pPr>
      <w:r w:rsidRPr="00F260B8">
        <w:rPr>
          <w:rStyle w:val="FootnoteReference"/>
        </w:rPr>
        <w:footnoteRef/>
      </w:r>
      <w:r w:rsidRPr="00F260B8">
        <w:t xml:space="preserve"> </w:t>
      </w:r>
      <w:r w:rsidR="0080343B" w:rsidRPr="0080343B">
        <w:rPr>
          <w:i/>
          <w:iCs/>
        </w:rPr>
        <w:t xml:space="preserve">See </w:t>
      </w:r>
      <w:r w:rsidR="006B3B72">
        <w:t>Ex. CalAdv</w:t>
      </w:r>
      <w:r w:rsidR="00270999">
        <w:noBreakHyphen/>
      </w:r>
      <w:r w:rsidRPr="00F260B8">
        <w:t xml:space="preserve">09; and </w:t>
      </w:r>
      <w:r w:rsidR="00EB50F8">
        <w:t>Cal Water</w:t>
      </w:r>
      <w:r w:rsidRPr="00F260B8">
        <w:t xml:space="preserve"> escalation testimony and workpapers.</w:t>
      </w:r>
    </w:p>
  </w:footnote>
  <w:footnote w:id="90">
    <w:p w14:paraId="5C133C6F" w14:textId="03E66770" w:rsidR="00A25269" w:rsidRDefault="00A25269">
      <w:pPr>
        <w:pStyle w:val="FootnoteText"/>
      </w:pPr>
      <w:r>
        <w:rPr>
          <w:rStyle w:val="FootnoteReference"/>
        </w:rPr>
        <w:footnoteRef/>
      </w:r>
      <w:r>
        <w:t xml:space="preserve"> </w:t>
      </w:r>
      <w:r w:rsidR="00EB50F8">
        <w:t>Cal Water</w:t>
      </w:r>
      <w:r w:rsidRPr="003C1B75">
        <w:t xml:space="preserve"> </w:t>
      </w:r>
      <w:r>
        <w:t>OB</w:t>
      </w:r>
      <w:r w:rsidR="0005778F">
        <w:t xml:space="preserve"> at </w:t>
      </w:r>
      <w:r w:rsidRPr="003C1B75">
        <w:t>74</w:t>
      </w:r>
      <w:r w:rsidR="00270999">
        <w:noBreakHyphen/>
      </w:r>
      <w:r w:rsidRPr="003C1B75">
        <w:t xml:space="preserve">78; </w:t>
      </w:r>
      <w:r w:rsidR="00EB50F8">
        <w:t>Cal Advocates</w:t>
      </w:r>
      <w:r w:rsidRPr="003C1B75">
        <w:t xml:space="preserve"> </w:t>
      </w:r>
      <w:r>
        <w:t>RB</w:t>
      </w:r>
      <w:r w:rsidR="0005778F">
        <w:t xml:space="preserve"> at </w:t>
      </w:r>
      <w:r w:rsidRPr="003C1B75">
        <w:t>46</w:t>
      </w:r>
      <w:r w:rsidR="00270999">
        <w:noBreakHyphen/>
      </w:r>
      <w:r w:rsidRPr="003C1B75">
        <w:t>50.</w:t>
      </w:r>
    </w:p>
  </w:footnote>
  <w:footnote w:id="91">
    <w:p w14:paraId="1DB170FD" w14:textId="581D4830" w:rsidR="00D14ED3" w:rsidRPr="00CE7B7A" w:rsidRDefault="00D14ED3" w:rsidP="00D14ED3">
      <w:pPr>
        <w:pStyle w:val="FootnoteText"/>
        <w:rPr>
          <w:szCs w:val="22"/>
          <w:lang w:val="en-ZW"/>
        </w:rPr>
      </w:pPr>
      <w:r w:rsidRPr="00CE7B7A">
        <w:rPr>
          <w:rStyle w:val="FootnoteReference"/>
          <w:szCs w:val="22"/>
        </w:rPr>
        <w:footnoteRef/>
      </w:r>
      <w:r w:rsidRPr="00CE7B7A">
        <w:rPr>
          <w:szCs w:val="22"/>
        </w:rPr>
        <w:t xml:space="preserve"> </w:t>
      </w:r>
      <w:r w:rsidRPr="00C23A9D">
        <w:rPr>
          <w:szCs w:val="22"/>
        </w:rPr>
        <w:t>Both M</w:t>
      </w:r>
      <w:r w:rsidR="00270999">
        <w:rPr>
          <w:szCs w:val="22"/>
        </w:rPr>
        <w:noBreakHyphen/>
      </w:r>
      <w:r w:rsidRPr="00C23A9D">
        <w:rPr>
          <w:szCs w:val="22"/>
        </w:rPr>
        <w:t xml:space="preserve">WRAM and ICBA are existing </w:t>
      </w:r>
      <w:r>
        <w:rPr>
          <w:szCs w:val="22"/>
        </w:rPr>
        <w:t xml:space="preserve">ratemaking mechanisms used by the Commission and currently in effect for </w:t>
      </w:r>
      <w:r w:rsidR="00EB50F8">
        <w:rPr>
          <w:szCs w:val="22"/>
        </w:rPr>
        <w:t>Cal Water</w:t>
      </w:r>
      <w:r w:rsidRPr="00C23A9D">
        <w:rPr>
          <w:szCs w:val="22"/>
        </w:rPr>
        <w:t>.</w:t>
      </w:r>
    </w:p>
  </w:footnote>
  <w:footnote w:id="92">
    <w:p w14:paraId="3B4865D0" w14:textId="77777777" w:rsidR="00D14ED3" w:rsidRDefault="00D14ED3" w:rsidP="00D14ED3">
      <w:pPr>
        <w:pStyle w:val="FootnoteText"/>
      </w:pPr>
      <w:r>
        <w:rPr>
          <w:rStyle w:val="FootnoteReference"/>
        </w:rPr>
        <w:footnoteRef/>
      </w:r>
      <w:r>
        <w:t xml:space="preserve"> The Commission has previously authorized an SRM for water utilities.</w:t>
      </w:r>
    </w:p>
  </w:footnote>
  <w:footnote w:id="93">
    <w:p w14:paraId="6376B67A" w14:textId="04D2389F" w:rsidR="00D14ED3" w:rsidRDefault="00D14ED3" w:rsidP="00D14ED3">
      <w:pPr>
        <w:pStyle w:val="FootnoteText"/>
      </w:pPr>
      <w:r>
        <w:rPr>
          <w:rStyle w:val="FootnoteReference"/>
        </w:rPr>
        <w:footnoteRef/>
      </w:r>
      <w:r>
        <w:t xml:space="preserve"> </w:t>
      </w:r>
      <w:r w:rsidR="00EB50F8">
        <w:t>Cal Water</w:t>
      </w:r>
      <w:r>
        <w:t xml:space="preserve"> already has an unrelated Infrastructure Balancing Account. </w:t>
      </w:r>
      <w:r w:rsidR="00A23D11">
        <w:t>“</w:t>
      </w:r>
      <w:r w:rsidRPr="00E732DC">
        <w:t>The purpose of the Infrastructure Memorandum Account (</w:t>
      </w:r>
      <w:r w:rsidR="000C0896">
        <w:t>‘</w:t>
      </w:r>
      <w:r w:rsidRPr="00E732DC">
        <w:t>IMA</w:t>
      </w:r>
      <w:r w:rsidR="000C0896">
        <w:t>’</w:t>
      </w:r>
      <w:r w:rsidRPr="00E732DC">
        <w:t xml:space="preserve">) is to comply with Public Utilities Code </w:t>
      </w:r>
      <w:r w:rsidR="00DD056F">
        <w:t>Section </w:t>
      </w:r>
      <w:r w:rsidRPr="00E732DC">
        <w:t>790 regarding net proceeds from the sale of utility property as interpreted by D.06</w:t>
      </w:r>
      <w:r w:rsidR="00270999">
        <w:noBreakHyphen/>
      </w:r>
      <w:r w:rsidRPr="00E732DC">
        <w:t>05</w:t>
      </w:r>
      <w:r w:rsidR="00270999">
        <w:noBreakHyphen/>
      </w:r>
      <w:r w:rsidRPr="00E732DC">
        <w:t>041 and D.07</w:t>
      </w:r>
      <w:r w:rsidR="00270999">
        <w:noBreakHyphen/>
      </w:r>
      <w:r w:rsidRPr="00E732DC">
        <w:t>09</w:t>
      </w:r>
      <w:r w:rsidR="00270999">
        <w:noBreakHyphen/>
      </w:r>
      <w:r w:rsidRPr="00E732DC">
        <w:t>021.</w:t>
      </w:r>
      <w:r w:rsidR="00A23D11">
        <w:t>”</w:t>
      </w:r>
      <w:r w:rsidR="00583E5E">
        <w:t xml:space="preserve"> </w:t>
      </w:r>
      <w:r w:rsidR="0080343B" w:rsidRPr="0080343B">
        <w:rPr>
          <w:i/>
          <w:iCs/>
        </w:rPr>
        <w:t xml:space="preserve">See </w:t>
      </w:r>
      <w:r w:rsidR="00EB50F8">
        <w:t>Cal Water</w:t>
      </w:r>
      <w:r w:rsidR="000C0896">
        <w:t>’</w:t>
      </w:r>
      <w:r>
        <w:t>s Preliminary Statement AN.</w:t>
      </w:r>
      <w:r w:rsidR="00583E5E">
        <w:t xml:space="preserve"> </w:t>
      </w:r>
      <w:r>
        <w:t xml:space="preserve">We note the similarity of the names with both using the word </w:t>
      </w:r>
      <w:r w:rsidR="00A23D11">
        <w:t>“</w:t>
      </w:r>
      <w:r>
        <w:t xml:space="preserve">Infrastructure </w:t>
      </w:r>
      <w:r w:rsidR="00A23D11">
        <w:t>“</w:t>
      </w:r>
      <w:r>
        <w:t>although the mechanisms are distinctly different.</w:t>
      </w:r>
    </w:p>
  </w:footnote>
  <w:footnote w:id="94">
    <w:p w14:paraId="5C433EF6" w14:textId="77777777" w:rsidR="00D14ED3" w:rsidRDefault="00D14ED3" w:rsidP="00D14ED3">
      <w:pPr>
        <w:pStyle w:val="FootnoteText"/>
      </w:pPr>
      <w:r>
        <w:rPr>
          <w:rStyle w:val="FootnoteReference"/>
        </w:rPr>
        <w:footnoteRef/>
      </w:r>
      <w:r>
        <w:t xml:space="preserve"> A surcharge is charge paid by the customers, and a surcredit is a repayment from the utility to the customers.</w:t>
      </w:r>
    </w:p>
  </w:footnote>
  <w:footnote w:id="95">
    <w:p w14:paraId="1AD338A3" w14:textId="25A286B7" w:rsidR="00D14ED3" w:rsidRPr="00AA6AE7" w:rsidRDefault="00D14ED3" w:rsidP="00D14ED3">
      <w:pPr>
        <w:pStyle w:val="FootnoteText"/>
        <w:rPr>
          <w:szCs w:val="22"/>
          <w:lang w:val="en-ZW"/>
        </w:rPr>
      </w:pPr>
      <w:r w:rsidRPr="00AA6AE7">
        <w:rPr>
          <w:rStyle w:val="FootnoteReference"/>
          <w:szCs w:val="22"/>
        </w:rPr>
        <w:footnoteRef/>
      </w:r>
      <w:r w:rsidRPr="00AA6AE7">
        <w:rPr>
          <w:szCs w:val="22"/>
        </w:rPr>
        <w:t xml:space="preserve"> </w:t>
      </w:r>
      <w:r w:rsidR="00EB50F8">
        <w:rPr>
          <w:szCs w:val="22"/>
        </w:rPr>
        <w:t>Cal Water</w:t>
      </w:r>
      <w:r w:rsidR="00466744">
        <w:rPr>
          <w:szCs w:val="22"/>
        </w:rPr>
        <w:t xml:space="preserve"> OB</w:t>
      </w:r>
      <w:r w:rsidR="0005778F">
        <w:rPr>
          <w:szCs w:val="22"/>
        </w:rPr>
        <w:t xml:space="preserve"> at </w:t>
      </w:r>
      <w:r w:rsidRPr="00AA6AE7">
        <w:rPr>
          <w:szCs w:val="22"/>
        </w:rPr>
        <w:t>113.</w:t>
      </w:r>
    </w:p>
  </w:footnote>
  <w:footnote w:id="96">
    <w:p w14:paraId="343093D1" w14:textId="729FCDE3" w:rsidR="00D14ED3" w:rsidRPr="00AA6AE7" w:rsidRDefault="00D14ED3" w:rsidP="00D14ED3">
      <w:pPr>
        <w:pStyle w:val="FootnoteText"/>
        <w:rPr>
          <w:szCs w:val="22"/>
          <w:lang w:val="en-ZW"/>
        </w:rPr>
      </w:pPr>
      <w:r w:rsidRPr="00AA6AE7">
        <w:rPr>
          <w:rStyle w:val="FootnoteReference"/>
          <w:szCs w:val="22"/>
        </w:rPr>
        <w:footnoteRef/>
      </w:r>
      <w:r w:rsidRPr="00AA6AE7">
        <w:rPr>
          <w:szCs w:val="22"/>
        </w:rPr>
        <w:t xml:space="preserve"> </w:t>
      </w:r>
      <w:r w:rsidR="00EB50F8">
        <w:rPr>
          <w:szCs w:val="22"/>
        </w:rPr>
        <w:t>Cal Water</w:t>
      </w:r>
      <w:r w:rsidR="00466744">
        <w:rPr>
          <w:szCs w:val="22"/>
        </w:rPr>
        <w:t xml:space="preserve"> OB</w:t>
      </w:r>
      <w:r w:rsidR="0005778F">
        <w:rPr>
          <w:szCs w:val="22"/>
        </w:rPr>
        <w:t xml:space="preserve"> at </w:t>
      </w:r>
      <w:r w:rsidRPr="00AA6AE7">
        <w:rPr>
          <w:szCs w:val="22"/>
        </w:rPr>
        <w:t>114.</w:t>
      </w:r>
    </w:p>
  </w:footnote>
  <w:footnote w:id="97">
    <w:p w14:paraId="46A38128" w14:textId="2826F4B2"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02</w:t>
      </w:r>
      <w:r w:rsidR="0005778F">
        <w:rPr>
          <w:szCs w:val="22"/>
        </w:rPr>
        <w:t xml:space="preserve"> at </w:t>
      </w:r>
      <w:r w:rsidRPr="00AA6AE7">
        <w:rPr>
          <w:szCs w:val="22"/>
        </w:rPr>
        <w:t>51.</w:t>
      </w:r>
    </w:p>
  </w:footnote>
  <w:footnote w:id="98">
    <w:p w14:paraId="099EB945" w14:textId="6011988F" w:rsidR="00D14ED3" w:rsidRPr="00AA6AE7" w:rsidRDefault="00D14ED3" w:rsidP="00D14ED3">
      <w:pPr>
        <w:pStyle w:val="FootnoteText"/>
        <w:rPr>
          <w:rFonts w:cs="Times New Roman"/>
          <w:szCs w:val="22"/>
        </w:rPr>
      </w:pPr>
      <w:r w:rsidRPr="00AA6AE7">
        <w:rPr>
          <w:rStyle w:val="FootnoteReference"/>
          <w:rFonts w:cs="Times New Roman"/>
          <w:szCs w:val="22"/>
        </w:rPr>
        <w:footnoteRef/>
      </w:r>
      <w:r w:rsidRPr="00AA6AE7">
        <w:rPr>
          <w:rFonts w:cs="Times New Roman"/>
          <w:szCs w:val="22"/>
        </w:rPr>
        <w:t xml:space="preserve"> </w:t>
      </w:r>
      <w:r w:rsidR="00EB50F8">
        <w:rPr>
          <w:rFonts w:cs="Times New Roman"/>
          <w:szCs w:val="22"/>
        </w:rPr>
        <w:t>Cal Water</w:t>
      </w:r>
      <w:r w:rsidR="00466744">
        <w:rPr>
          <w:rFonts w:cs="Times New Roman"/>
          <w:szCs w:val="22"/>
        </w:rPr>
        <w:t xml:space="preserve"> OB</w:t>
      </w:r>
      <w:r w:rsidR="0005778F">
        <w:rPr>
          <w:rFonts w:cs="Times New Roman"/>
          <w:szCs w:val="22"/>
        </w:rPr>
        <w:t xml:space="preserve"> at </w:t>
      </w:r>
      <w:r w:rsidRPr="00AA6AE7">
        <w:rPr>
          <w:rFonts w:cs="Times New Roman"/>
          <w:szCs w:val="22"/>
        </w:rPr>
        <w:t>126.</w:t>
      </w:r>
    </w:p>
  </w:footnote>
  <w:footnote w:id="99">
    <w:p w14:paraId="29364876" w14:textId="7E9BADB0" w:rsidR="00D14ED3" w:rsidRPr="00AA6AE7" w:rsidRDefault="00D14ED3" w:rsidP="00D14ED3">
      <w:pPr>
        <w:pStyle w:val="FootnoteText"/>
        <w:rPr>
          <w:rFonts w:cs="Times New Roman"/>
          <w:szCs w:val="22"/>
        </w:rPr>
      </w:pPr>
      <w:r w:rsidRPr="00AA6AE7">
        <w:rPr>
          <w:rStyle w:val="FootnoteReference"/>
          <w:rFonts w:cs="Times New Roman"/>
          <w:szCs w:val="22"/>
        </w:rPr>
        <w:footnoteRef/>
      </w:r>
      <w:r w:rsidRPr="00AA6AE7">
        <w:rPr>
          <w:rFonts w:cs="Times New Roman"/>
          <w:szCs w:val="22"/>
        </w:rPr>
        <w:t xml:space="preserve"> </w:t>
      </w:r>
      <w:r w:rsidR="000A6C2E">
        <w:rPr>
          <w:rFonts w:cs="Times New Roman"/>
          <w:szCs w:val="22"/>
        </w:rPr>
        <w:t>Ex. CWS</w:t>
      </w:r>
      <w:r w:rsidR="00270999">
        <w:rPr>
          <w:rFonts w:cs="Times New Roman"/>
          <w:szCs w:val="22"/>
        </w:rPr>
        <w:noBreakHyphen/>
      </w:r>
      <w:r w:rsidRPr="00AA6AE7">
        <w:rPr>
          <w:rFonts w:cs="Times New Roman"/>
          <w:szCs w:val="22"/>
        </w:rPr>
        <w:t xml:space="preserve">02, </w:t>
      </w:r>
      <w:r w:rsidR="00DC5B03">
        <w:rPr>
          <w:rFonts w:cs="Times New Roman"/>
          <w:szCs w:val="22"/>
        </w:rPr>
        <w:t>Attachment </w:t>
      </w:r>
      <w:r w:rsidRPr="00AA6AE7">
        <w:rPr>
          <w:rFonts w:cs="Times New Roman"/>
          <w:szCs w:val="22"/>
        </w:rPr>
        <w:t>F</w:t>
      </w:r>
      <w:r w:rsidR="0005778F">
        <w:rPr>
          <w:rFonts w:cs="Times New Roman"/>
          <w:szCs w:val="22"/>
        </w:rPr>
        <w:t xml:space="preserve"> at </w:t>
      </w:r>
      <w:r w:rsidRPr="00AA6AE7">
        <w:rPr>
          <w:rFonts w:cs="Times New Roman"/>
          <w:szCs w:val="22"/>
        </w:rPr>
        <w:t xml:space="preserve">5. </w:t>
      </w:r>
      <w:r w:rsidR="000A6C2E">
        <w:rPr>
          <w:rFonts w:cs="Times New Roman"/>
          <w:szCs w:val="22"/>
        </w:rPr>
        <w:t>Ex. CWS</w:t>
      </w:r>
      <w:r w:rsidR="00270999">
        <w:rPr>
          <w:rFonts w:cs="Times New Roman"/>
          <w:szCs w:val="22"/>
        </w:rPr>
        <w:noBreakHyphen/>
      </w:r>
      <w:r w:rsidRPr="00AA6AE7">
        <w:rPr>
          <w:rFonts w:cs="Times New Roman"/>
          <w:szCs w:val="22"/>
        </w:rPr>
        <w:t xml:space="preserve">02, </w:t>
      </w:r>
      <w:r w:rsidR="00DC5B03">
        <w:rPr>
          <w:rFonts w:cs="Times New Roman"/>
          <w:szCs w:val="22"/>
        </w:rPr>
        <w:t>Attachment </w:t>
      </w:r>
      <w:r w:rsidRPr="00AA6AE7">
        <w:rPr>
          <w:rFonts w:cs="Times New Roman"/>
          <w:szCs w:val="22"/>
        </w:rPr>
        <w:t>D</w:t>
      </w:r>
      <w:r w:rsidR="0005778F">
        <w:rPr>
          <w:rFonts w:cs="Times New Roman"/>
          <w:szCs w:val="22"/>
        </w:rPr>
        <w:t xml:space="preserve"> at </w:t>
      </w:r>
      <w:r w:rsidRPr="00AA6AE7">
        <w:rPr>
          <w:rFonts w:cs="Times New Roman"/>
          <w:szCs w:val="22"/>
        </w:rPr>
        <w:t xml:space="preserve">3. </w:t>
      </w:r>
      <w:r w:rsidR="000A6C2E">
        <w:rPr>
          <w:rFonts w:cs="Times New Roman"/>
          <w:szCs w:val="22"/>
        </w:rPr>
        <w:t>Ex. CWS</w:t>
      </w:r>
      <w:r w:rsidR="00270999">
        <w:rPr>
          <w:rFonts w:cs="Times New Roman"/>
          <w:szCs w:val="22"/>
        </w:rPr>
        <w:noBreakHyphen/>
      </w:r>
      <w:r w:rsidRPr="00AA6AE7">
        <w:rPr>
          <w:rFonts w:cs="Times New Roman"/>
          <w:szCs w:val="22"/>
        </w:rPr>
        <w:t>50</w:t>
      </w:r>
      <w:r w:rsidR="0005778F">
        <w:rPr>
          <w:rFonts w:cs="Times New Roman"/>
          <w:szCs w:val="22"/>
        </w:rPr>
        <w:t xml:space="preserve"> at </w:t>
      </w:r>
      <w:r w:rsidRPr="00AA6AE7">
        <w:rPr>
          <w:rFonts w:cs="Times New Roman"/>
          <w:szCs w:val="22"/>
        </w:rPr>
        <w:t>210.</w:t>
      </w:r>
    </w:p>
  </w:footnote>
  <w:footnote w:id="100">
    <w:p w14:paraId="228699C8" w14:textId="62C1E805"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Pr>
          <w:szCs w:val="22"/>
        </w:rPr>
        <w:t>50</w:t>
      </w:r>
      <w:r w:rsidR="0005778F">
        <w:rPr>
          <w:szCs w:val="22"/>
        </w:rPr>
        <w:t xml:space="preserve"> at </w:t>
      </w:r>
      <w:r w:rsidRPr="006116AC">
        <w:rPr>
          <w:szCs w:val="22"/>
        </w:rPr>
        <w:t>209</w:t>
      </w:r>
      <w:r w:rsidR="00270999">
        <w:rPr>
          <w:szCs w:val="22"/>
        </w:rPr>
        <w:noBreakHyphen/>
      </w:r>
      <w:r w:rsidRPr="006116AC">
        <w:rPr>
          <w:szCs w:val="22"/>
        </w:rPr>
        <w:t>210.</w:t>
      </w:r>
    </w:p>
  </w:footnote>
  <w:footnote w:id="101">
    <w:p w14:paraId="20C64900" w14:textId="40E45C38"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 xml:space="preserve">02, </w:t>
      </w:r>
      <w:r w:rsidR="00DC5B03">
        <w:rPr>
          <w:szCs w:val="22"/>
        </w:rPr>
        <w:t>Attachment </w:t>
      </w:r>
      <w:r w:rsidRPr="00AA6AE7">
        <w:rPr>
          <w:szCs w:val="22"/>
        </w:rPr>
        <w:t>F</w:t>
      </w:r>
      <w:r w:rsidR="0005778F">
        <w:rPr>
          <w:szCs w:val="22"/>
        </w:rPr>
        <w:t xml:space="preserve"> at </w:t>
      </w:r>
      <w:r w:rsidRPr="00AA6AE7">
        <w:rPr>
          <w:szCs w:val="22"/>
        </w:rPr>
        <w:t>10.</w:t>
      </w:r>
      <w:r w:rsidR="00036775">
        <w:rPr>
          <w:szCs w:val="22"/>
        </w:rPr>
        <w:t xml:space="preserve"> Ex</w:t>
      </w:r>
      <w:r w:rsidR="009B67E6">
        <w:rPr>
          <w:szCs w:val="22"/>
        </w:rPr>
        <w:t>.</w:t>
      </w:r>
      <w:r w:rsidR="00036775">
        <w:rPr>
          <w:szCs w:val="22"/>
        </w:rPr>
        <w:t xml:space="preserve"> </w:t>
      </w:r>
      <w:r w:rsidR="00036775" w:rsidRPr="00036775">
        <w:rPr>
          <w:szCs w:val="22"/>
        </w:rPr>
        <w:t>CWS-51, Appendix A</w:t>
      </w:r>
      <w:r w:rsidR="00036775">
        <w:rPr>
          <w:szCs w:val="22"/>
        </w:rPr>
        <w:t xml:space="preserve"> at</w:t>
      </w:r>
      <w:r w:rsidR="00036775" w:rsidRPr="00036775">
        <w:rPr>
          <w:szCs w:val="22"/>
        </w:rPr>
        <w:t xml:space="preserve"> 23-24.</w:t>
      </w:r>
    </w:p>
  </w:footnote>
  <w:footnote w:id="102">
    <w:p w14:paraId="71EB5971" w14:textId="609635D1" w:rsidR="00D14ED3" w:rsidRDefault="00D14ED3" w:rsidP="00D14ED3">
      <w:pPr>
        <w:pStyle w:val="FootnoteText"/>
      </w:pPr>
      <w:r>
        <w:rPr>
          <w:rStyle w:val="FootnoteReference"/>
        </w:rPr>
        <w:footnoteRef/>
      </w:r>
      <w:r>
        <w:t xml:space="preserve"> This means that </w:t>
      </w:r>
      <w:r w:rsidR="00EB50F8">
        <w:t>Cal Water</w:t>
      </w:r>
      <w:r>
        <w:t xml:space="preserve"> would recover more of its fixed costs through the monthly meter service charge (</w:t>
      </w:r>
      <w:r w:rsidRPr="00310AC2">
        <w:t xml:space="preserve">which also covers fixed </w:t>
      </w:r>
      <w:r>
        <w:t>costs other than meter</w:t>
      </w:r>
      <w:r w:rsidR="00270999">
        <w:noBreakHyphen/>
      </w:r>
      <w:r>
        <w:t>related costs), thereby reducing the fixed costs collected through the volumetric charges.</w:t>
      </w:r>
    </w:p>
  </w:footnote>
  <w:footnote w:id="103">
    <w:p w14:paraId="6CD33916" w14:textId="505A7959"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EB50F8">
        <w:rPr>
          <w:szCs w:val="22"/>
        </w:rPr>
        <w:t>Cal Water</w:t>
      </w:r>
      <w:r w:rsidR="00466744">
        <w:rPr>
          <w:szCs w:val="22"/>
        </w:rPr>
        <w:t xml:space="preserve"> OB</w:t>
      </w:r>
      <w:r w:rsidR="0005778F">
        <w:rPr>
          <w:szCs w:val="22"/>
        </w:rPr>
        <w:t xml:space="preserve"> at </w:t>
      </w:r>
      <w:r w:rsidRPr="00AA6AE7">
        <w:rPr>
          <w:szCs w:val="22"/>
        </w:rPr>
        <w:t>122</w:t>
      </w:r>
      <w:r w:rsidR="00270999">
        <w:rPr>
          <w:szCs w:val="22"/>
        </w:rPr>
        <w:noBreakHyphen/>
      </w:r>
      <w:r w:rsidRPr="00AA6AE7">
        <w:rPr>
          <w:szCs w:val="22"/>
        </w:rPr>
        <w:t>124.</w:t>
      </w:r>
    </w:p>
  </w:footnote>
  <w:footnote w:id="104">
    <w:p w14:paraId="7E41F6B3" w14:textId="32F55D9C" w:rsidR="00D14ED3" w:rsidRPr="00AA6AE7" w:rsidRDefault="00D14ED3" w:rsidP="00D14ED3">
      <w:pPr>
        <w:pStyle w:val="FootnoteText"/>
        <w:rPr>
          <w:rFonts w:cs="Times New Roman"/>
          <w:szCs w:val="22"/>
        </w:rPr>
      </w:pPr>
      <w:r w:rsidRPr="00AA6AE7">
        <w:rPr>
          <w:rStyle w:val="FootnoteReference"/>
          <w:rFonts w:cs="Times New Roman"/>
          <w:szCs w:val="22"/>
        </w:rPr>
        <w:footnoteRef/>
      </w:r>
      <w:r w:rsidRPr="00AA6AE7">
        <w:rPr>
          <w:rFonts w:cs="Times New Roman"/>
          <w:szCs w:val="22"/>
        </w:rPr>
        <w:t xml:space="preserve"> </w:t>
      </w:r>
      <w:r w:rsidR="000A6C2E">
        <w:rPr>
          <w:rFonts w:cs="Times New Roman"/>
          <w:szCs w:val="22"/>
        </w:rPr>
        <w:t>Ex. CWS</w:t>
      </w:r>
      <w:r w:rsidR="00270999">
        <w:rPr>
          <w:rFonts w:cs="Times New Roman"/>
          <w:szCs w:val="22"/>
        </w:rPr>
        <w:noBreakHyphen/>
      </w:r>
      <w:r w:rsidRPr="00AA6AE7">
        <w:rPr>
          <w:rFonts w:cs="Times New Roman"/>
          <w:szCs w:val="22"/>
        </w:rPr>
        <w:t>02</w:t>
      </w:r>
      <w:r w:rsidR="0005778F">
        <w:rPr>
          <w:rFonts w:cs="Times New Roman"/>
          <w:szCs w:val="22"/>
        </w:rPr>
        <w:t xml:space="preserve"> at </w:t>
      </w:r>
      <w:r w:rsidRPr="00AA6AE7">
        <w:rPr>
          <w:rFonts w:cs="Times New Roman"/>
          <w:szCs w:val="22"/>
        </w:rPr>
        <w:t>47</w:t>
      </w:r>
      <w:r w:rsidR="00270999">
        <w:rPr>
          <w:rFonts w:cs="Times New Roman"/>
          <w:szCs w:val="22"/>
        </w:rPr>
        <w:noBreakHyphen/>
      </w:r>
      <w:r w:rsidRPr="00AA6AE7">
        <w:rPr>
          <w:rFonts w:cs="Times New Roman"/>
          <w:szCs w:val="22"/>
        </w:rPr>
        <w:t>48.</w:t>
      </w:r>
    </w:p>
  </w:footnote>
  <w:footnote w:id="105">
    <w:p w14:paraId="43A23F04" w14:textId="612C41AB" w:rsidR="00D14ED3" w:rsidRDefault="00D14ED3" w:rsidP="00D14ED3">
      <w:pPr>
        <w:pStyle w:val="FootnoteText"/>
      </w:pPr>
      <w:r>
        <w:rPr>
          <w:rStyle w:val="FootnoteReference"/>
        </w:rPr>
        <w:footnoteRef/>
      </w:r>
      <w:r>
        <w:t xml:space="preserve"> The WRAM is sometimes referred to as a </w:t>
      </w:r>
      <w:r w:rsidR="00A23D11">
        <w:t>“</w:t>
      </w:r>
      <w:r>
        <w:t>full</w:t>
      </w:r>
      <w:r w:rsidR="00A23D11">
        <w:t>”</w:t>
      </w:r>
      <w:r>
        <w:t xml:space="preserve"> WRAM whereas, the M</w:t>
      </w:r>
      <w:r w:rsidR="00270999">
        <w:noBreakHyphen/>
      </w:r>
      <w:r>
        <w:t>WRAM is a more limited version first adopted for the Monterey district, which gave it the name Monterey WRAM.</w:t>
      </w:r>
    </w:p>
  </w:footnote>
  <w:footnote w:id="106">
    <w:p w14:paraId="42585E62" w14:textId="2758F076" w:rsidR="00D14ED3" w:rsidRPr="00AA6AE7" w:rsidRDefault="00D14ED3" w:rsidP="00D14ED3">
      <w:pPr>
        <w:pStyle w:val="FootnoteText"/>
        <w:rPr>
          <w:rFonts w:cs="Times New Roman"/>
          <w:szCs w:val="22"/>
        </w:rPr>
      </w:pPr>
      <w:r w:rsidRPr="00AA6AE7">
        <w:rPr>
          <w:rStyle w:val="FootnoteReference"/>
          <w:rFonts w:cs="Times New Roman"/>
          <w:szCs w:val="22"/>
        </w:rPr>
        <w:footnoteRef/>
      </w:r>
      <w:r w:rsidRPr="00AA6AE7">
        <w:rPr>
          <w:rFonts w:cs="Times New Roman"/>
          <w:szCs w:val="22"/>
        </w:rPr>
        <w:t xml:space="preserve"> </w:t>
      </w:r>
      <w:r w:rsidR="00EB50F8">
        <w:rPr>
          <w:rFonts w:cs="Times New Roman"/>
          <w:szCs w:val="22"/>
        </w:rPr>
        <w:t>Cal Water</w:t>
      </w:r>
      <w:r w:rsidR="00466744">
        <w:rPr>
          <w:rFonts w:cs="Times New Roman"/>
          <w:szCs w:val="22"/>
        </w:rPr>
        <w:t xml:space="preserve"> OB</w:t>
      </w:r>
      <w:r w:rsidR="0005778F">
        <w:rPr>
          <w:rFonts w:cs="Times New Roman"/>
          <w:szCs w:val="22"/>
        </w:rPr>
        <w:t xml:space="preserve"> at </w:t>
      </w:r>
      <w:r w:rsidRPr="00AA6AE7">
        <w:rPr>
          <w:rFonts w:cs="Times New Roman"/>
          <w:szCs w:val="22"/>
        </w:rPr>
        <w:t>120</w:t>
      </w:r>
      <w:r w:rsidR="00270999">
        <w:rPr>
          <w:rFonts w:cs="Times New Roman"/>
          <w:szCs w:val="22"/>
        </w:rPr>
        <w:noBreakHyphen/>
      </w:r>
      <w:r w:rsidRPr="00AA6AE7">
        <w:rPr>
          <w:rFonts w:cs="Times New Roman"/>
          <w:szCs w:val="22"/>
        </w:rPr>
        <w:t>121.</w:t>
      </w:r>
    </w:p>
  </w:footnote>
  <w:footnote w:id="107">
    <w:p w14:paraId="5329BEF3" w14:textId="5775F146"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rFonts w:cs="Times New Roman"/>
          <w:szCs w:val="22"/>
        </w:rPr>
        <w:t>Ex. CWS</w:t>
      </w:r>
      <w:r w:rsidR="00270999">
        <w:rPr>
          <w:rFonts w:cs="Times New Roman"/>
          <w:szCs w:val="22"/>
        </w:rPr>
        <w:noBreakHyphen/>
      </w:r>
      <w:r w:rsidRPr="00AA6AE7">
        <w:rPr>
          <w:rFonts w:cs="Times New Roman"/>
          <w:szCs w:val="22"/>
        </w:rPr>
        <w:t>02</w:t>
      </w:r>
      <w:r w:rsidR="0005778F">
        <w:rPr>
          <w:rFonts w:cs="Times New Roman"/>
          <w:szCs w:val="22"/>
        </w:rPr>
        <w:t xml:space="preserve"> at </w:t>
      </w:r>
      <w:r w:rsidRPr="00AA6AE7">
        <w:rPr>
          <w:rFonts w:cs="Times New Roman"/>
          <w:szCs w:val="22"/>
        </w:rPr>
        <w:t>36</w:t>
      </w:r>
      <w:r w:rsidR="00270999">
        <w:rPr>
          <w:rFonts w:cs="Times New Roman"/>
          <w:szCs w:val="22"/>
        </w:rPr>
        <w:noBreakHyphen/>
      </w:r>
      <w:r w:rsidRPr="00AA6AE7">
        <w:rPr>
          <w:rFonts w:cs="Times New Roman"/>
          <w:szCs w:val="22"/>
        </w:rPr>
        <w:t>37</w:t>
      </w:r>
      <w:r w:rsidR="00727A3C">
        <w:rPr>
          <w:rFonts w:cs="Times New Roman"/>
          <w:szCs w:val="22"/>
        </w:rPr>
        <w:t>,</w:t>
      </w:r>
      <w:r w:rsidRPr="00AA6AE7">
        <w:rPr>
          <w:rFonts w:cs="Times New Roman"/>
          <w:szCs w:val="22"/>
        </w:rPr>
        <w:t xml:space="preserve"> 42.</w:t>
      </w:r>
    </w:p>
  </w:footnote>
  <w:footnote w:id="108">
    <w:p w14:paraId="038F58F5" w14:textId="790CCCDB" w:rsidR="00D14ED3" w:rsidRPr="00AA6AE7" w:rsidRDefault="00D14ED3" w:rsidP="00D14ED3">
      <w:pPr>
        <w:pStyle w:val="FootnoteText"/>
        <w:rPr>
          <w:rFonts w:cs="Times New Roman"/>
          <w:szCs w:val="22"/>
        </w:rPr>
      </w:pPr>
      <w:r w:rsidRPr="00AA6AE7">
        <w:rPr>
          <w:rStyle w:val="FootnoteReference"/>
          <w:rFonts w:cs="Times New Roman"/>
          <w:szCs w:val="22"/>
        </w:rPr>
        <w:footnoteRef/>
      </w:r>
      <w:r w:rsidRPr="00AA6AE7">
        <w:rPr>
          <w:rFonts w:cs="Times New Roman"/>
          <w:szCs w:val="22"/>
        </w:rPr>
        <w:t xml:space="preserve"> </w:t>
      </w:r>
      <w:r w:rsidR="000A6C2E">
        <w:rPr>
          <w:rFonts w:cs="Times New Roman"/>
          <w:szCs w:val="22"/>
        </w:rPr>
        <w:t>Ex. CWS</w:t>
      </w:r>
      <w:r w:rsidR="00270999">
        <w:rPr>
          <w:rFonts w:cs="Times New Roman"/>
          <w:szCs w:val="22"/>
        </w:rPr>
        <w:noBreakHyphen/>
      </w:r>
      <w:r w:rsidRPr="00AA6AE7">
        <w:rPr>
          <w:rFonts w:cs="Times New Roman"/>
          <w:szCs w:val="22"/>
        </w:rPr>
        <w:t>02</w:t>
      </w:r>
      <w:r w:rsidR="0005778F">
        <w:rPr>
          <w:rFonts w:cs="Times New Roman"/>
          <w:szCs w:val="22"/>
        </w:rPr>
        <w:t xml:space="preserve"> at </w:t>
      </w:r>
      <w:r w:rsidRPr="00AA6AE7">
        <w:rPr>
          <w:rFonts w:cs="Times New Roman"/>
          <w:szCs w:val="22"/>
        </w:rPr>
        <w:t>47</w:t>
      </w:r>
      <w:r w:rsidR="00270999">
        <w:rPr>
          <w:rFonts w:cs="Times New Roman"/>
          <w:szCs w:val="22"/>
        </w:rPr>
        <w:noBreakHyphen/>
      </w:r>
      <w:r w:rsidRPr="00AA6AE7">
        <w:rPr>
          <w:rFonts w:cs="Times New Roman"/>
          <w:szCs w:val="22"/>
        </w:rPr>
        <w:t>48.</w:t>
      </w:r>
    </w:p>
  </w:footnote>
  <w:footnote w:id="109">
    <w:p w14:paraId="2D5458F7" w14:textId="67091295"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EB50F8">
        <w:rPr>
          <w:szCs w:val="22"/>
        </w:rPr>
        <w:t>Cal Water</w:t>
      </w:r>
      <w:r w:rsidR="00466744">
        <w:rPr>
          <w:szCs w:val="22"/>
        </w:rPr>
        <w:t xml:space="preserve"> OB</w:t>
      </w:r>
      <w:r w:rsidR="0005778F">
        <w:rPr>
          <w:szCs w:val="22"/>
        </w:rPr>
        <w:t xml:space="preserve"> at </w:t>
      </w:r>
      <w:r w:rsidRPr="00AA6AE7">
        <w:rPr>
          <w:szCs w:val="22"/>
        </w:rPr>
        <w:t>124.</w:t>
      </w:r>
    </w:p>
  </w:footnote>
  <w:footnote w:id="110">
    <w:p w14:paraId="17E5CAC8" w14:textId="24571C17"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02</w:t>
      </w:r>
      <w:r w:rsidR="0005778F">
        <w:rPr>
          <w:szCs w:val="22"/>
        </w:rPr>
        <w:t xml:space="preserve"> at </w:t>
      </w:r>
      <w:r w:rsidRPr="00AA6AE7">
        <w:rPr>
          <w:szCs w:val="22"/>
        </w:rPr>
        <w:t>56</w:t>
      </w:r>
      <w:r w:rsidR="00270999">
        <w:rPr>
          <w:szCs w:val="22"/>
        </w:rPr>
        <w:noBreakHyphen/>
      </w:r>
      <w:r w:rsidRPr="00AA6AE7">
        <w:rPr>
          <w:szCs w:val="22"/>
        </w:rPr>
        <w:t>57.</w:t>
      </w:r>
    </w:p>
  </w:footnote>
  <w:footnote w:id="111">
    <w:p w14:paraId="65A12655" w14:textId="377AA679"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EB50F8">
        <w:rPr>
          <w:szCs w:val="22"/>
        </w:rPr>
        <w:t>Cal Water</w:t>
      </w:r>
      <w:r w:rsidR="00466744">
        <w:rPr>
          <w:szCs w:val="22"/>
        </w:rPr>
        <w:t xml:space="preserve"> OB</w:t>
      </w:r>
      <w:r w:rsidR="0005778F">
        <w:rPr>
          <w:szCs w:val="22"/>
        </w:rPr>
        <w:t xml:space="preserve"> at </w:t>
      </w:r>
      <w:r w:rsidRPr="00AA6AE7">
        <w:rPr>
          <w:szCs w:val="22"/>
        </w:rPr>
        <w:t>128.</w:t>
      </w:r>
    </w:p>
  </w:footnote>
  <w:footnote w:id="112">
    <w:p w14:paraId="72487640" w14:textId="0505FE71"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02</w:t>
      </w:r>
      <w:r w:rsidR="0005778F">
        <w:rPr>
          <w:szCs w:val="22"/>
        </w:rPr>
        <w:t xml:space="preserve"> at </w:t>
      </w:r>
      <w:r w:rsidRPr="00AA6AE7">
        <w:rPr>
          <w:szCs w:val="22"/>
        </w:rPr>
        <w:t>54</w:t>
      </w:r>
      <w:r w:rsidR="00270999">
        <w:rPr>
          <w:szCs w:val="22"/>
        </w:rPr>
        <w:noBreakHyphen/>
      </w:r>
      <w:r w:rsidRPr="00AA6AE7">
        <w:rPr>
          <w:szCs w:val="22"/>
        </w:rPr>
        <w:t>55.</w:t>
      </w:r>
    </w:p>
  </w:footnote>
  <w:footnote w:id="113">
    <w:p w14:paraId="60ED5A40" w14:textId="01D91D0B"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02</w:t>
      </w:r>
      <w:r w:rsidR="0005778F">
        <w:rPr>
          <w:szCs w:val="22"/>
        </w:rPr>
        <w:t xml:space="preserve"> at </w:t>
      </w:r>
      <w:r w:rsidRPr="00AA6AE7">
        <w:rPr>
          <w:szCs w:val="22"/>
        </w:rPr>
        <w:t>55</w:t>
      </w:r>
      <w:r w:rsidR="00270999">
        <w:rPr>
          <w:szCs w:val="22"/>
        </w:rPr>
        <w:noBreakHyphen/>
      </w:r>
      <w:r w:rsidRPr="00AA6AE7">
        <w:rPr>
          <w:szCs w:val="22"/>
        </w:rPr>
        <w:t>56.</w:t>
      </w:r>
    </w:p>
  </w:footnote>
  <w:footnote w:id="114">
    <w:p w14:paraId="0CAC43C3" w14:textId="710A5207"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02</w:t>
      </w:r>
      <w:r w:rsidR="0005778F">
        <w:rPr>
          <w:szCs w:val="22"/>
        </w:rPr>
        <w:t xml:space="preserve"> at </w:t>
      </w:r>
      <w:r w:rsidRPr="00AA6AE7">
        <w:rPr>
          <w:szCs w:val="22"/>
        </w:rPr>
        <w:t>56.</w:t>
      </w:r>
    </w:p>
  </w:footnote>
  <w:footnote w:id="115">
    <w:p w14:paraId="47B042A4" w14:textId="0E51C7FA"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Pr>
          <w:szCs w:val="22"/>
        </w:rPr>
        <w:t>50</w:t>
      </w:r>
      <w:r w:rsidR="0005778F">
        <w:rPr>
          <w:szCs w:val="22"/>
        </w:rPr>
        <w:t xml:space="preserve"> at </w:t>
      </w:r>
      <w:r>
        <w:rPr>
          <w:szCs w:val="22"/>
        </w:rPr>
        <w:t>243.</w:t>
      </w:r>
    </w:p>
  </w:footnote>
  <w:footnote w:id="116">
    <w:p w14:paraId="4FF96D43" w14:textId="1188D072" w:rsidR="00D14ED3" w:rsidRPr="00CE7B7A" w:rsidRDefault="00D14ED3" w:rsidP="00D14ED3">
      <w:pPr>
        <w:pStyle w:val="FootnoteText"/>
        <w:rPr>
          <w:szCs w:val="22"/>
        </w:rPr>
      </w:pPr>
      <w:r w:rsidRPr="00CE7B7A">
        <w:rPr>
          <w:rStyle w:val="FootnoteReference"/>
          <w:szCs w:val="22"/>
        </w:rPr>
        <w:footnoteRef/>
      </w:r>
      <w:r w:rsidRPr="00CE7B7A">
        <w:rPr>
          <w:szCs w:val="22"/>
        </w:rPr>
        <w:t xml:space="preserve"> </w:t>
      </w:r>
      <w:r w:rsidR="00EB50F8">
        <w:rPr>
          <w:szCs w:val="22"/>
        </w:rPr>
        <w:t>Cal Water</w:t>
      </w:r>
      <w:r w:rsidR="00466744">
        <w:rPr>
          <w:szCs w:val="22"/>
        </w:rPr>
        <w:t xml:space="preserve"> OB</w:t>
      </w:r>
      <w:r w:rsidR="0005778F">
        <w:rPr>
          <w:szCs w:val="22"/>
        </w:rPr>
        <w:t xml:space="preserve"> at </w:t>
      </w:r>
      <w:r w:rsidRPr="00F801D8">
        <w:rPr>
          <w:szCs w:val="22"/>
        </w:rPr>
        <w:t>129</w:t>
      </w:r>
      <w:r w:rsidR="00270999">
        <w:rPr>
          <w:szCs w:val="22"/>
        </w:rPr>
        <w:noBreakHyphen/>
      </w:r>
      <w:r w:rsidRPr="00F801D8">
        <w:rPr>
          <w:szCs w:val="22"/>
        </w:rPr>
        <w:t>130</w:t>
      </w:r>
      <w:r>
        <w:rPr>
          <w:szCs w:val="22"/>
        </w:rPr>
        <w:t xml:space="preserve">; </w:t>
      </w:r>
      <w:r w:rsidR="000A6C2E">
        <w:rPr>
          <w:szCs w:val="22"/>
        </w:rPr>
        <w:t>Ex. CWS</w:t>
      </w:r>
      <w:r w:rsidR="00270999">
        <w:rPr>
          <w:szCs w:val="22"/>
        </w:rPr>
        <w:noBreakHyphen/>
      </w:r>
      <w:r>
        <w:rPr>
          <w:szCs w:val="22"/>
        </w:rPr>
        <w:t>50</w:t>
      </w:r>
      <w:r w:rsidR="0005778F">
        <w:rPr>
          <w:szCs w:val="22"/>
        </w:rPr>
        <w:t xml:space="preserve"> at </w:t>
      </w:r>
      <w:r>
        <w:rPr>
          <w:szCs w:val="22"/>
        </w:rPr>
        <w:t>242.</w:t>
      </w:r>
    </w:p>
  </w:footnote>
  <w:footnote w:id="117">
    <w:p w14:paraId="2EE17B75" w14:textId="1C838CC6"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02</w:t>
      </w:r>
      <w:r w:rsidR="0005778F">
        <w:rPr>
          <w:szCs w:val="22"/>
        </w:rPr>
        <w:t xml:space="preserve"> at </w:t>
      </w:r>
      <w:r w:rsidRPr="00AA6AE7">
        <w:rPr>
          <w:szCs w:val="22"/>
        </w:rPr>
        <w:t>216</w:t>
      </w:r>
      <w:r w:rsidR="00270999">
        <w:rPr>
          <w:szCs w:val="22"/>
        </w:rPr>
        <w:noBreakHyphen/>
      </w:r>
      <w:r w:rsidRPr="00AA6AE7">
        <w:rPr>
          <w:szCs w:val="22"/>
        </w:rPr>
        <w:t>217.</w:t>
      </w:r>
    </w:p>
  </w:footnote>
  <w:footnote w:id="118">
    <w:p w14:paraId="1B4A025C" w14:textId="3CDC33DC" w:rsidR="00D14ED3" w:rsidRDefault="00D14ED3" w:rsidP="00D14ED3">
      <w:pPr>
        <w:pStyle w:val="FootnoteText"/>
      </w:pPr>
      <w:r>
        <w:rPr>
          <w:rStyle w:val="FootnoteReference"/>
        </w:rPr>
        <w:footnoteRef/>
      </w:r>
      <w:r>
        <w:t xml:space="preserve"> </w:t>
      </w:r>
      <w:r w:rsidR="000A6C2E">
        <w:t>Ex. CWS</w:t>
      </w:r>
      <w:r w:rsidR="00270999">
        <w:noBreakHyphen/>
      </w:r>
      <w:r>
        <w:t>50</w:t>
      </w:r>
      <w:r w:rsidR="0005778F">
        <w:t xml:space="preserve"> at </w:t>
      </w:r>
      <w:r>
        <w:t>238</w:t>
      </w:r>
      <w:r w:rsidR="00270999">
        <w:noBreakHyphen/>
      </w:r>
      <w:r>
        <w:t>239.</w:t>
      </w:r>
    </w:p>
  </w:footnote>
  <w:footnote w:id="119">
    <w:p w14:paraId="01494883" w14:textId="1D83749C"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50</w:t>
      </w:r>
      <w:r w:rsidR="0005778F">
        <w:rPr>
          <w:szCs w:val="22"/>
        </w:rPr>
        <w:t xml:space="preserve"> at </w:t>
      </w:r>
      <w:r>
        <w:rPr>
          <w:szCs w:val="22"/>
        </w:rPr>
        <w:t>238</w:t>
      </w:r>
      <w:r w:rsidR="00270999">
        <w:rPr>
          <w:szCs w:val="22"/>
        </w:rPr>
        <w:noBreakHyphen/>
      </w:r>
      <w:r w:rsidRPr="00AA6AE7">
        <w:rPr>
          <w:szCs w:val="22"/>
        </w:rPr>
        <w:t>239.</w:t>
      </w:r>
    </w:p>
  </w:footnote>
  <w:footnote w:id="120">
    <w:p w14:paraId="736F68D5" w14:textId="18758AAB"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50</w:t>
      </w:r>
      <w:r w:rsidR="0005778F">
        <w:rPr>
          <w:szCs w:val="22"/>
        </w:rPr>
        <w:t xml:space="preserve"> at </w:t>
      </w:r>
      <w:r w:rsidRPr="00AA6AE7">
        <w:rPr>
          <w:szCs w:val="22"/>
        </w:rPr>
        <w:t>239.</w:t>
      </w:r>
    </w:p>
  </w:footnote>
  <w:footnote w:id="121">
    <w:p w14:paraId="1415A9C5" w14:textId="0C6C91C4" w:rsidR="00D14ED3" w:rsidRPr="00CE7B7A" w:rsidRDefault="00D14ED3" w:rsidP="00D14ED3">
      <w:pPr>
        <w:pStyle w:val="FootnoteText"/>
        <w:rPr>
          <w:szCs w:val="22"/>
          <w:lang w:val="en-ZW"/>
        </w:rPr>
      </w:pPr>
      <w:r w:rsidRPr="00CE7B7A">
        <w:rPr>
          <w:rStyle w:val="FootnoteReference"/>
          <w:szCs w:val="22"/>
        </w:rPr>
        <w:footnoteRef/>
      </w:r>
      <w:r w:rsidRPr="00CE7B7A">
        <w:rPr>
          <w:szCs w:val="22"/>
        </w:rPr>
        <w:t xml:space="preserve"> </w:t>
      </w:r>
      <w:r w:rsidR="006B3B72">
        <w:rPr>
          <w:szCs w:val="22"/>
        </w:rPr>
        <w:t>Ex. CalAdv</w:t>
      </w:r>
      <w:r w:rsidR="00270999">
        <w:rPr>
          <w:szCs w:val="22"/>
        </w:rPr>
        <w:noBreakHyphen/>
      </w:r>
      <w:r w:rsidRPr="00CE7B7A">
        <w:rPr>
          <w:szCs w:val="22"/>
        </w:rPr>
        <w:t>10</w:t>
      </w:r>
      <w:r w:rsidR="0005778F">
        <w:rPr>
          <w:szCs w:val="22"/>
        </w:rPr>
        <w:t xml:space="preserve"> at </w:t>
      </w:r>
      <w:r w:rsidRPr="00CE7B7A">
        <w:rPr>
          <w:szCs w:val="22"/>
        </w:rPr>
        <w:t>3</w:t>
      </w:r>
      <w:r w:rsidR="00270999">
        <w:rPr>
          <w:szCs w:val="22"/>
        </w:rPr>
        <w:noBreakHyphen/>
      </w:r>
      <w:r w:rsidRPr="00CE7B7A">
        <w:rPr>
          <w:szCs w:val="22"/>
        </w:rPr>
        <w:t>2.</w:t>
      </w:r>
    </w:p>
  </w:footnote>
  <w:footnote w:id="122">
    <w:p w14:paraId="4F885AEA" w14:textId="2FB8A685" w:rsidR="005350B3" w:rsidRDefault="005350B3">
      <w:pPr>
        <w:pStyle w:val="FootnoteText"/>
      </w:pPr>
      <w:r>
        <w:rPr>
          <w:rStyle w:val="FootnoteReference"/>
        </w:rPr>
        <w:footnoteRef/>
      </w:r>
      <w:r>
        <w:t xml:space="preserve"> Centum cubic feet.</w:t>
      </w:r>
    </w:p>
  </w:footnote>
  <w:footnote w:id="123">
    <w:p w14:paraId="1E1EA949" w14:textId="5345AAD9" w:rsidR="00D14ED3" w:rsidRPr="00CE7B7A" w:rsidRDefault="00D14ED3" w:rsidP="00D14ED3">
      <w:pPr>
        <w:pStyle w:val="FootnoteText"/>
        <w:rPr>
          <w:szCs w:val="22"/>
          <w:lang w:val="en-ZW"/>
        </w:rPr>
      </w:pPr>
      <w:r w:rsidRPr="00CE7B7A">
        <w:rPr>
          <w:rStyle w:val="FootnoteReference"/>
          <w:szCs w:val="22"/>
        </w:rPr>
        <w:footnoteRef/>
      </w:r>
      <w:r w:rsidRPr="00CE7B7A">
        <w:rPr>
          <w:szCs w:val="22"/>
        </w:rPr>
        <w:t xml:space="preserve"> </w:t>
      </w:r>
      <w:r w:rsidR="00EB50F8">
        <w:rPr>
          <w:szCs w:val="22"/>
        </w:rPr>
        <w:t>Cal Advocates</w:t>
      </w:r>
      <w:r w:rsidR="00285FC2">
        <w:rPr>
          <w:szCs w:val="22"/>
        </w:rPr>
        <w:t xml:space="preserve"> </w:t>
      </w:r>
      <w:r w:rsidRPr="00CE7B7A">
        <w:rPr>
          <w:szCs w:val="22"/>
        </w:rPr>
        <w:t>OB</w:t>
      </w:r>
      <w:r w:rsidR="0005778F">
        <w:rPr>
          <w:szCs w:val="22"/>
        </w:rPr>
        <w:t xml:space="preserve"> at </w:t>
      </w:r>
      <w:r w:rsidRPr="00CE7B7A">
        <w:rPr>
          <w:szCs w:val="22"/>
        </w:rPr>
        <w:t xml:space="preserve">113; </w:t>
      </w:r>
      <w:r w:rsidR="006B3B72">
        <w:rPr>
          <w:szCs w:val="22"/>
        </w:rPr>
        <w:t>Ex. CalAdv</w:t>
      </w:r>
      <w:r w:rsidR="00270999">
        <w:rPr>
          <w:szCs w:val="22"/>
        </w:rPr>
        <w:noBreakHyphen/>
      </w:r>
      <w:r w:rsidRPr="00CE7B7A">
        <w:rPr>
          <w:szCs w:val="22"/>
        </w:rPr>
        <w:t>10</w:t>
      </w:r>
      <w:r w:rsidR="0005778F">
        <w:rPr>
          <w:szCs w:val="22"/>
        </w:rPr>
        <w:t xml:space="preserve"> at </w:t>
      </w:r>
      <w:r w:rsidRPr="00CE7B7A">
        <w:rPr>
          <w:szCs w:val="22"/>
        </w:rPr>
        <w:t>3</w:t>
      </w:r>
      <w:r w:rsidR="00270999">
        <w:rPr>
          <w:szCs w:val="22"/>
        </w:rPr>
        <w:noBreakHyphen/>
      </w:r>
      <w:r w:rsidRPr="00CE7B7A">
        <w:rPr>
          <w:szCs w:val="22"/>
        </w:rPr>
        <w:t>5.</w:t>
      </w:r>
    </w:p>
  </w:footnote>
  <w:footnote w:id="124">
    <w:p w14:paraId="19510A46" w14:textId="69FCA1A7" w:rsidR="00D14ED3" w:rsidRPr="00CE7B7A" w:rsidRDefault="00D14ED3" w:rsidP="00D14ED3">
      <w:pPr>
        <w:pStyle w:val="FootnoteText"/>
        <w:rPr>
          <w:szCs w:val="22"/>
        </w:rPr>
      </w:pPr>
      <w:r w:rsidRPr="00CE7B7A">
        <w:rPr>
          <w:rStyle w:val="FootnoteReference"/>
          <w:szCs w:val="22"/>
        </w:rPr>
        <w:footnoteRef/>
      </w:r>
      <w:r w:rsidRPr="00CE7B7A">
        <w:rPr>
          <w:szCs w:val="22"/>
        </w:rPr>
        <w:t xml:space="preserve"> </w:t>
      </w:r>
      <w:r w:rsidR="00EB50F8">
        <w:rPr>
          <w:szCs w:val="22"/>
        </w:rPr>
        <w:t>Cal Advocates</w:t>
      </w:r>
      <w:r w:rsidR="00285FC2">
        <w:rPr>
          <w:szCs w:val="22"/>
        </w:rPr>
        <w:t xml:space="preserve"> </w:t>
      </w:r>
      <w:r w:rsidRPr="00CE7B7A">
        <w:rPr>
          <w:szCs w:val="22"/>
        </w:rPr>
        <w:t>OB</w:t>
      </w:r>
      <w:r w:rsidR="0005778F">
        <w:rPr>
          <w:szCs w:val="22"/>
        </w:rPr>
        <w:t xml:space="preserve"> at </w:t>
      </w:r>
      <w:r w:rsidRPr="00CE7B7A">
        <w:rPr>
          <w:szCs w:val="22"/>
        </w:rPr>
        <w:t xml:space="preserve">113; </w:t>
      </w:r>
      <w:r w:rsidR="006B3B72">
        <w:rPr>
          <w:szCs w:val="22"/>
        </w:rPr>
        <w:t>Ex. CalAdv</w:t>
      </w:r>
      <w:r w:rsidR="00270999">
        <w:rPr>
          <w:szCs w:val="22"/>
        </w:rPr>
        <w:noBreakHyphen/>
      </w:r>
      <w:r w:rsidRPr="00CE7B7A">
        <w:rPr>
          <w:szCs w:val="22"/>
        </w:rPr>
        <w:t>10</w:t>
      </w:r>
      <w:r w:rsidR="0005778F">
        <w:rPr>
          <w:szCs w:val="22"/>
        </w:rPr>
        <w:t xml:space="preserve"> at </w:t>
      </w:r>
      <w:r w:rsidRPr="00CE7B7A">
        <w:rPr>
          <w:szCs w:val="22"/>
        </w:rPr>
        <w:t>3</w:t>
      </w:r>
      <w:r w:rsidR="00270999">
        <w:rPr>
          <w:szCs w:val="22"/>
        </w:rPr>
        <w:noBreakHyphen/>
      </w:r>
      <w:r w:rsidRPr="00CE7B7A">
        <w:rPr>
          <w:szCs w:val="22"/>
        </w:rPr>
        <w:t>7 to 3</w:t>
      </w:r>
      <w:r w:rsidR="00270999">
        <w:rPr>
          <w:szCs w:val="22"/>
        </w:rPr>
        <w:noBreakHyphen/>
      </w:r>
      <w:r w:rsidRPr="00CE7B7A">
        <w:rPr>
          <w:szCs w:val="22"/>
        </w:rPr>
        <w:t>9.</w:t>
      </w:r>
    </w:p>
  </w:footnote>
  <w:footnote w:id="125">
    <w:p w14:paraId="5503CE1C" w14:textId="4D27DABE" w:rsidR="00D14ED3" w:rsidRPr="00CE7B7A" w:rsidRDefault="00D14ED3" w:rsidP="00D14ED3">
      <w:pPr>
        <w:pStyle w:val="FootnoteText"/>
        <w:rPr>
          <w:szCs w:val="22"/>
          <w:lang w:val="en-ZW"/>
        </w:rPr>
      </w:pPr>
      <w:r w:rsidRPr="00CE7B7A">
        <w:rPr>
          <w:rStyle w:val="FootnoteReference"/>
          <w:szCs w:val="22"/>
        </w:rPr>
        <w:footnoteRef/>
      </w:r>
      <w:r w:rsidRPr="00CE7B7A">
        <w:rPr>
          <w:szCs w:val="22"/>
        </w:rPr>
        <w:t xml:space="preserve"> </w:t>
      </w:r>
      <w:r w:rsidR="00EB50F8">
        <w:rPr>
          <w:szCs w:val="22"/>
        </w:rPr>
        <w:t>Cal Advocates</w:t>
      </w:r>
      <w:r w:rsidR="00285FC2">
        <w:rPr>
          <w:szCs w:val="22"/>
        </w:rPr>
        <w:t xml:space="preserve"> </w:t>
      </w:r>
      <w:r w:rsidRPr="00CE7B7A">
        <w:rPr>
          <w:szCs w:val="22"/>
        </w:rPr>
        <w:t>OB</w:t>
      </w:r>
      <w:r w:rsidR="0005778F">
        <w:rPr>
          <w:szCs w:val="22"/>
        </w:rPr>
        <w:t xml:space="preserve"> at </w:t>
      </w:r>
      <w:r w:rsidRPr="00CE7B7A">
        <w:rPr>
          <w:szCs w:val="22"/>
        </w:rPr>
        <w:t xml:space="preserve">113; </w:t>
      </w:r>
      <w:r w:rsidR="006B3B72">
        <w:rPr>
          <w:szCs w:val="22"/>
        </w:rPr>
        <w:t>Ex. CalAdv</w:t>
      </w:r>
      <w:r w:rsidR="00270999">
        <w:rPr>
          <w:szCs w:val="22"/>
        </w:rPr>
        <w:noBreakHyphen/>
      </w:r>
      <w:r w:rsidRPr="00CE7B7A">
        <w:rPr>
          <w:szCs w:val="22"/>
        </w:rPr>
        <w:t>10</w:t>
      </w:r>
      <w:r w:rsidR="0005778F">
        <w:rPr>
          <w:szCs w:val="22"/>
        </w:rPr>
        <w:t xml:space="preserve"> at </w:t>
      </w:r>
      <w:r w:rsidRPr="00CE7B7A">
        <w:rPr>
          <w:szCs w:val="22"/>
        </w:rPr>
        <w:t>3</w:t>
      </w:r>
      <w:r w:rsidR="00270999">
        <w:rPr>
          <w:szCs w:val="22"/>
        </w:rPr>
        <w:noBreakHyphen/>
      </w:r>
      <w:r w:rsidRPr="00CE7B7A">
        <w:rPr>
          <w:szCs w:val="22"/>
        </w:rPr>
        <w:t>9 to 3</w:t>
      </w:r>
      <w:r w:rsidR="00270999">
        <w:rPr>
          <w:szCs w:val="22"/>
        </w:rPr>
        <w:noBreakHyphen/>
      </w:r>
      <w:r w:rsidRPr="00CE7B7A">
        <w:rPr>
          <w:szCs w:val="22"/>
        </w:rPr>
        <w:t xml:space="preserve">11; </w:t>
      </w:r>
      <w:r w:rsidR="00BE1425">
        <w:rPr>
          <w:szCs w:val="22"/>
        </w:rPr>
        <w:t>s</w:t>
      </w:r>
      <w:r w:rsidRPr="00CE7B7A">
        <w:rPr>
          <w:szCs w:val="22"/>
        </w:rPr>
        <w:t>ix Districts are the Bay Area region, Dixon</w:t>
      </w:r>
      <w:r w:rsidR="00BE1425">
        <w:rPr>
          <w:szCs w:val="22"/>
        </w:rPr>
        <w:t>,</w:t>
      </w:r>
      <w:r w:rsidRPr="00CE7B7A">
        <w:rPr>
          <w:szCs w:val="22"/>
        </w:rPr>
        <w:t xml:space="preserve"> East </w:t>
      </w:r>
      <w:r w:rsidR="004941FE">
        <w:rPr>
          <w:szCs w:val="22"/>
        </w:rPr>
        <w:t>Los </w:t>
      </w:r>
      <w:r w:rsidRPr="00CE7B7A">
        <w:rPr>
          <w:szCs w:val="22"/>
        </w:rPr>
        <w:t>Angeles, South Bay Region, Stockton, and the Salinas Valley Region.</w:t>
      </w:r>
    </w:p>
  </w:footnote>
  <w:footnote w:id="126">
    <w:p w14:paraId="0E06E83C" w14:textId="79A9DFE8"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EB50F8">
        <w:rPr>
          <w:szCs w:val="22"/>
        </w:rPr>
        <w:t>Cal Advocates</w:t>
      </w:r>
      <w:r w:rsidR="00285FC2">
        <w:rPr>
          <w:szCs w:val="22"/>
        </w:rPr>
        <w:t xml:space="preserve"> </w:t>
      </w:r>
      <w:r w:rsidRPr="00AA6AE7">
        <w:rPr>
          <w:szCs w:val="22"/>
        </w:rPr>
        <w:t>OB</w:t>
      </w:r>
      <w:r w:rsidR="0005778F">
        <w:rPr>
          <w:szCs w:val="22"/>
        </w:rPr>
        <w:t xml:space="preserve"> at </w:t>
      </w:r>
      <w:r w:rsidRPr="00AA6AE7">
        <w:rPr>
          <w:szCs w:val="22"/>
        </w:rPr>
        <w:t>112</w:t>
      </w:r>
      <w:r w:rsidR="00270999">
        <w:rPr>
          <w:szCs w:val="22"/>
        </w:rPr>
        <w:noBreakHyphen/>
      </w:r>
      <w:r w:rsidRPr="00AA6AE7">
        <w:rPr>
          <w:szCs w:val="22"/>
        </w:rPr>
        <w:t xml:space="preserve">113; </w:t>
      </w:r>
      <w:r w:rsidR="006B3B72">
        <w:rPr>
          <w:szCs w:val="22"/>
        </w:rPr>
        <w:t>Ex. CalAdv</w:t>
      </w:r>
      <w:r w:rsidR="00270999">
        <w:rPr>
          <w:szCs w:val="22"/>
        </w:rPr>
        <w:noBreakHyphen/>
      </w:r>
      <w:r w:rsidRPr="00AA6AE7">
        <w:rPr>
          <w:szCs w:val="22"/>
        </w:rPr>
        <w:t>10</w:t>
      </w:r>
      <w:r w:rsidR="0005778F">
        <w:rPr>
          <w:szCs w:val="22"/>
        </w:rPr>
        <w:t xml:space="preserve"> at </w:t>
      </w:r>
      <w:r w:rsidRPr="00AA6AE7">
        <w:rPr>
          <w:szCs w:val="22"/>
        </w:rPr>
        <w:t>3</w:t>
      </w:r>
      <w:r w:rsidR="00270999">
        <w:rPr>
          <w:szCs w:val="22"/>
        </w:rPr>
        <w:noBreakHyphen/>
      </w:r>
      <w:r w:rsidRPr="00AA6AE7">
        <w:rPr>
          <w:szCs w:val="22"/>
        </w:rPr>
        <w:t xml:space="preserve">5 </w:t>
      </w:r>
      <w:r w:rsidR="006B3B72">
        <w:rPr>
          <w:szCs w:val="22"/>
        </w:rPr>
        <w:t>to</w:t>
      </w:r>
      <w:r w:rsidRPr="00AA6AE7">
        <w:rPr>
          <w:szCs w:val="22"/>
        </w:rPr>
        <w:t xml:space="preserve"> 3</w:t>
      </w:r>
      <w:r w:rsidR="00270999">
        <w:rPr>
          <w:szCs w:val="22"/>
        </w:rPr>
        <w:noBreakHyphen/>
      </w:r>
      <w:r w:rsidRPr="00AA6AE7">
        <w:rPr>
          <w:szCs w:val="22"/>
        </w:rPr>
        <w:t>15.</w:t>
      </w:r>
    </w:p>
  </w:footnote>
  <w:footnote w:id="127">
    <w:p w14:paraId="3A07F407" w14:textId="0AD2DF5F"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6B3B72">
        <w:rPr>
          <w:szCs w:val="22"/>
        </w:rPr>
        <w:t>Ex. CalAdv</w:t>
      </w:r>
      <w:r w:rsidR="00270999">
        <w:rPr>
          <w:szCs w:val="22"/>
        </w:rPr>
        <w:noBreakHyphen/>
      </w:r>
      <w:r w:rsidRPr="00AA6AE7">
        <w:rPr>
          <w:szCs w:val="22"/>
        </w:rPr>
        <w:t>10</w:t>
      </w:r>
      <w:r w:rsidR="0005778F">
        <w:rPr>
          <w:szCs w:val="22"/>
        </w:rPr>
        <w:t xml:space="preserve"> at </w:t>
      </w:r>
      <w:r w:rsidRPr="00AA6AE7">
        <w:rPr>
          <w:szCs w:val="22"/>
        </w:rPr>
        <w:t>3</w:t>
      </w:r>
      <w:r w:rsidR="00270999">
        <w:rPr>
          <w:szCs w:val="22"/>
        </w:rPr>
        <w:noBreakHyphen/>
      </w:r>
      <w:r w:rsidRPr="00AA6AE7">
        <w:rPr>
          <w:szCs w:val="22"/>
        </w:rPr>
        <w:t>15.</w:t>
      </w:r>
    </w:p>
  </w:footnote>
  <w:footnote w:id="128">
    <w:p w14:paraId="5E298D27" w14:textId="2AA9CBD1"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6B3B72">
        <w:rPr>
          <w:szCs w:val="22"/>
        </w:rPr>
        <w:t>Ex. CalAdv</w:t>
      </w:r>
      <w:r w:rsidR="00270999">
        <w:rPr>
          <w:szCs w:val="22"/>
        </w:rPr>
        <w:noBreakHyphen/>
      </w:r>
      <w:r w:rsidRPr="00AA6AE7">
        <w:rPr>
          <w:szCs w:val="22"/>
        </w:rPr>
        <w:t>10</w:t>
      </w:r>
      <w:r w:rsidR="0005778F">
        <w:rPr>
          <w:szCs w:val="22"/>
        </w:rPr>
        <w:t xml:space="preserve"> at </w:t>
      </w:r>
      <w:r w:rsidRPr="00AA6AE7">
        <w:rPr>
          <w:szCs w:val="22"/>
        </w:rPr>
        <w:t>3</w:t>
      </w:r>
      <w:r w:rsidR="00270999">
        <w:rPr>
          <w:szCs w:val="22"/>
        </w:rPr>
        <w:noBreakHyphen/>
      </w:r>
      <w:r w:rsidRPr="00AA6AE7">
        <w:rPr>
          <w:szCs w:val="22"/>
        </w:rPr>
        <w:t>15.</w:t>
      </w:r>
    </w:p>
  </w:footnote>
  <w:footnote w:id="129">
    <w:p w14:paraId="7B18FE7C" w14:textId="227A25E8" w:rsidR="00D14ED3" w:rsidRPr="00CE7B7A" w:rsidRDefault="00D14ED3" w:rsidP="00D14ED3">
      <w:pPr>
        <w:pStyle w:val="FootnoteText"/>
        <w:rPr>
          <w:szCs w:val="22"/>
          <w:lang w:val="en-ZW"/>
        </w:rPr>
      </w:pPr>
      <w:r w:rsidRPr="00CE7B7A">
        <w:rPr>
          <w:rStyle w:val="FootnoteReference"/>
          <w:szCs w:val="22"/>
        </w:rPr>
        <w:footnoteRef/>
      </w:r>
      <w:r w:rsidRPr="00CE7B7A">
        <w:rPr>
          <w:szCs w:val="22"/>
        </w:rPr>
        <w:t xml:space="preserve"> </w:t>
      </w:r>
      <w:r w:rsidR="006B3B72">
        <w:rPr>
          <w:szCs w:val="22"/>
        </w:rPr>
        <w:t>Ex. CalAdv</w:t>
      </w:r>
      <w:r w:rsidR="00270999">
        <w:rPr>
          <w:szCs w:val="22"/>
        </w:rPr>
        <w:noBreakHyphen/>
      </w:r>
      <w:r>
        <w:rPr>
          <w:szCs w:val="22"/>
        </w:rPr>
        <w:t>10</w:t>
      </w:r>
      <w:r w:rsidR="0005778F">
        <w:rPr>
          <w:szCs w:val="22"/>
        </w:rPr>
        <w:t xml:space="preserve"> at </w:t>
      </w:r>
      <w:r w:rsidRPr="00CE7B7A">
        <w:rPr>
          <w:szCs w:val="22"/>
        </w:rPr>
        <w:t>3</w:t>
      </w:r>
      <w:r w:rsidR="00270999">
        <w:rPr>
          <w:szCs w:val="22"/>
        </w:rPr>
        <w:noBreakHyphen/>
      </w:r>
      <w:r w:rsidRPr="00CE7B7A">
        <w:rPr>
          <w:szCs w:val="22"/>
        </w:rPr>
        <w:t>13 to 3</w:t>
      </w:r>
      <w:r w:rsidR="00270999">
        <w:rPr>
          <w:szCs w:val="22"/>
        </w:rPr>
        <w:noBreakHyphen/>
      </w:r>
      <w:r w:rsidRPr="00CE7B7A">
        <w:rPr>
          <w:szCs w:val="22"/>
        </w:rPr>
        <w:t>14.</w:t>
      </w:r>
    </w:p>
  </w:footnote>
  <w:footnote w:id="130">
    <w:p w14:paraId="08E7DBC7" w14:textId="1A732D33"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6B3B72">
        <w:rPr>
          <w:szCs w:val="22"/>
        </w:rPr>
        <w:t>Ex. CalAdv</w:t>
      </w:r>
      <w:r w:rsidR="00270999">
        <w:rPr>
          <w:szCs w:val="22"/>
        </w:rPr>
        <w:noBreakHyphen/>
      </w:r>
      <w:r w:rsidRPr="00AA6AE7">
        <w:rPr>
          <w:szCs w:val="22"/>
        </w:rPr>
        <w:t>10</w:t>
      </w:r>
      <w:r w:rsidR="0005778F">
        <w:rPr>
          <w:szCs w:val="22"/>
        </w:rPr>
        <w:t xml:space="preserve"> at </w:t>
      </w:r>
      <w:r w:rsidRPr="00AA6AE7">
        <w:rPr>
          <w:szCs w:val="22"/>
        </w:rPr>
        <w:t>3</w:t>
      </w:r>
      <w:r w:rsidR="00270999">
        <w:rPr>
          <w:szCs w:val="22"/>
        </w:rPr>
        <w:noBreakHyphen/>
      </w:r>
      <w:r w:rsidRPr="00AA6AE7">
        <w:rPr>
          <w:szCs w:val="22"/>
        </w:rPr>
        <w:t xml:space="preserve">12 </w:t>
      </w:r>
      <w:r w:rsidR="006B3B72">
        <w:rPr>
          <w:szCs w:val="22"/>
        </w:rPr>
        <w:t>to</w:t>
      </w:r>
      <w:r w:rsidRPr="00AA6AE7">
        <w:rPr>
          <w:szCs w:val="22"/>
        </w:rPr>
        <w:t xml:space="preserve"> 3</w:t>
      </w:r>
      <w:r w:rsidR="00270999">
        <w:rPr>
          <w:szCs w:val="22"/>
        </w:rPr>
        <w:noBreakHyphen/>
      </w:r>
      <w:r w:rsidRPr="00AA6AE7">
        <w:rPr>
          <w:szCs w:val="22"/>
        </w:rPr>
        <w:t>13</w:t>
      </w:r>
      <w:r>
        <w:rPr>
          <w:szCs w:val="22"/>
        </w:rPr>
        <w:t>.</w:t>
      </w:r>
    </w:p>
  </w:footnote>
  <w:footnote w:id="131">
    <w:p w14:paraId="41E7172B" w14:textId="75C4495E"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EB50F8">
        <w:rPr>
          <w:szCs w:val="22"/>
        </w:rPr>
        <w:t>Cal Advocates</w:t>
      </w:r>
      <w:r w:rsidR="00285FC2">
        <w:rPr>
          <w:szCs w:val="22"/>
        </w:rPr>
        <w:t xml:space="preserve"> </w:t>
      </w:r>
      <w:r w:rsidRPr="00AA6AE7">
        <w:rPr>
          <w:szCs w:val="22"/>
        </w:rPr>
        <w:t>OB</w:t>
      </w:r>
      <w:r w:rsidR="0005778F">
        <w:rPr>
          <w:szCs w:val="22"/>
        </w:rPr>
        <w:t xml:space="preserve"> at </w:t>
      </w:r>
      <w:r w:rsidRPr="00AA6AE7">
        <w:rPr>
          <w:szCs w:val="22"/>
        </w:rPr>
        <w:t xml:space="preserve">119; </w:t>
      </w:r>
      <w:r w:rsidR="0051452A">
        <w:rPr>
          <w:i/>
          <w:iCs/>
          <w:szCs w:val="22"/>
        </w:rPr>
        <w:t>s</w:t>
      </w:r>
      <w:r w:rsidRPr="00AA6AE7">
        <w:rPr>
          <w:i/>
          <w:iCs/>
          <w:szCs w:val="22"/>
        </w:rPr>
        <w:t xml:space="preserve">ee </w:t>
      </w:r>
      <w:r w:rsidR="003A5B7D">
        <w:rPr>
          <w:szCs w:val="22"/>
        </w:rPr>
        <w:t>Pub. Util.</w:t>
      </w:r>
      <w:r w:rsidRPr="00AA6AE7">
        <w:rPr>
          <w:szCs w:val="22"/>
        </w:rPr>
        <w:t xml:space="preserve"> C</w:t>
      </w:r>
      <w:r w:rsidR="00D10051">
        <w:rPr>
          <w:szCs w:val="22"/>
        </w:rPr>
        <w:t>ode</w:t>
      </w:r>
      <w:r w:rsidRPr="00AA6AE7">
        <w:rPr>
          <w:szCs w:val="22"/>
        </w:rPr>
        <w:t xml:space="preserve"> </w:t>
      </w:r>
      <w:r w:rsidR="0032703D">
        <w:rPr>
          <w:szCs w:val="22"/>
        </w:rPr>
        <w:t>§ </w:t>
      </w:r>
      <w:r w:rsidRPr="00AA6AE7">
        <w:rPr>
          <w:szCs w:val="22"/>
        </w:rPr>
        <w:t>727.5(d); D.24</w:t>
      </w:r>
      <w:r w:rsidR="00270999">
        <w:rPr>
          <w:szCs w:val="22"/>
        </w:rPr>
        <w:noBreakHyphen/>
      </w:r>
      <w:r w:rsidRPr="00AA6AE7">
        <w:rPr>
          <w:szCs w:val="22"/>
        </w:rPr>
        <w:t>12</w:t>
      </w:r>
      <w:r w:rsidR="00270999">
        <w:rPr>
          <w:szCs w:val="22"/>
        </w:rPr>
        <w:noBreakHyphen/>
      </w:r>
      <w:r w:rsidRPr="00AA6AE7">
        <w:rPr>
          <w:szCs w:val="22"/>
        </w:rPr>
        <w:t>025</w:t>
      </w:r>
      <w:r w:rsidR="0005778F">
        <w:rPr>
          <w:szCs w:val="22"/>
        </w:rPr>
        <w:t xml:space="preserve"> at </w:t>
      </w:r>
      <w:r w:rsidRPr="00AA6AE7">
        <w:rPr>
          <w:szCs w:val="22"/>
        </w:rPr>
        <w:t xml:space="preserve">42 (stating that </w:t>
      </w:r>
      <w:r w:rsidR="00A23D11">
        <w:rPr>
          <w:szCs w:val="22"/>
        </w:rPr>
        <w:t>“</w:t>
      </w:r>
      <w:r w:rsidRPr="00AA6AE7">
        <w:rPr>
          <w:szCs w:val="22"/>
        </w:rPr>
        <w:t>WRAM is at best a minor factor in conservation efforts.</w:t>
      </w:r>
      <w:r w:rsidR="00A23D11">
        <w:rPr>
          <w:szCs w:val="22"/>
        </w:rPr>
        <w:t>”</w:t>
      </w:r>
      <w:r w:rsidRPr="00AA6AE7">
        <w:rPr>
          <w:szCs w:val="22"/>
        </w:rPr>
        <w:t>); D.25</w:t>
      </w:r>
      <w:r w:rsidR="00270999">
        <w:rPr>
          <w:szCs w:val="22"/>
        </w:rPr>
        <w:noBreakHyphen/>
      </w:r>
      <w:r w:rsidRPr="00AA6AE7">
        <w:rPr>
          <w:szCs w:val="22"/>
        </w:rPr>
        <w:t>01</w:t>
      </w:r>
      <w:r w:rsidR="00270999">
        <w:rPr>
          <w:szCs w:val="22"/>
        </w:rPr>
        <w:noBreakHyphen/>
      </w:r>
      <w:r w:rsidRPr="00AA6AE7">
        <w:rPr>
          <w:szCs w:val="22"/>
        </w:rPr>
        <w:t xml:space="preserve">036, </w:t>
      </w:r>
      <w:r w:rsidRPr="00AA6AE7">
        <w:rPr>
          <w:i/>
          <w:iCs/>
          <w:szCs w:val="22"/>
        </w:rPr>
        <w:t>Decision Adopting Settlement Agreement, Resolving Remaining</w:t>
      </w:r>
      <w:r w:rsidRPr="00AA6AE7">
        <w:rPr>
          <w:szCs w:val="22"/>
        </w:rPr>
        <w:t xml:space="preserve"> </w:t>
      </w:r>
      <w:r w:rsidRPr="00AA6AE7">
        <w:rPr>
          <w:i/>
          <w:iCs/>
          <w:szCs w:val="22"/>
        </w:rPr>
        <w:t>Issues, and Authorizing a General Rate Increase for Golden State Water Company for 2025, 2026, and</w:t>
      </w:r>
      <w:r w:rsidRPr="00AA6AE7">
        <w:rPr>
          <w:szCs w:val="22"/>
        </w:rPr>
        <w:t xml:space="preserve"> </w:t>
      </w:r>
      <w:r w:rsidRPr="00AA6AE7">
        <w:rPr>
          <w:i/>
          <w:iCs/>
          <w:szCs w:val="22"/>
        </w:rPr>
        <w:t xml:space="preserve">2027 </w:t>
      </w:r>
      <w:r w:rsidRPr="00AA6AE7">
        <w:rPr>
          <w:szCs w:val="22"/>
        </w:rPr>
        <w:t>(motion for rehearing denied in D.25</w:t>
      </w:r>
      <w:r w:rsidR="00270999">
        <w:rPr>
          <w:szCs w:val="22"/>
        </w:rPr>
        <w:noBreakHyphen/>
      </w:r>
      <w:r w:rsidRPr="00AA6AE7">
        <w:rPr>
          <w:szCs w:val="22"/>
        </w:rPr>
        <w:t>05</w:t>
      </w:r>
      <w:r w:rsidR="00270999">
        <w:rPr>
          <w:szCs w:val="22"/>
        </w:rPr>
        <w:noBreakHyphen/>
      </w:r>
      <w:r w:rsidRPr="00AA6AE7">
        <w:rPr>
          <w:szCs w:val="22"/>
        </w:rPr>
        <w:t>028)</w:t>
      </w:r>
      <w:r w:rsidR="0005778F">
        <w:rPr>
          <w:szCs w:val="22"/>
        </w:rPr>
        <w:t xml:space="preserve"> at </w:t>
      </w:r>
      <w:r w:rsidRPr="00AA6AE7">
        <w:rPr>
          <w:szCs w:val="22"/>
        </w:rPr>
        <w:t xml:space="preserve">74 (stating that </w:t>
      </w:r>
      <w:r w:rsidR="00A23D11">
        <w:rPr>
          <w:szCs w:val="22"/>
        </w:rPr>
        <w:t>“</w:t>
      </w:r>
      <w:r w:rsidRPr="00AA6AE7">
        <w:rPr>
          <w:szCs w:val="22"/>
        </w:rPr>
        <w:t>the full WRAM does not incentivize conservation; at most, it does not create a financial disincentive for promoting conservation</w:t>
      </w:r>
      <w:r w:rsidR="00A23D11">
        <w:rPr>
          <w:szCs w:val="22"/>
        </w:rPr>
        <w:t>”</w:t>
      </w:r>
      <w:r w:rsidRPr="00AA6AE7">
        <w:rPr>
          <w:szCs w:val="22"/>
        </w:rPr>
        <w:t>).</w:t>
      </w:r>
    </w:p>
  </w:footnote>
  <w:footnote w:id="132">
    <w:p w14:paraId="59709719" w14:textId="52727A20" w:rsidR="00D14ED3" w:rsidRDefault="00D14ED3" w:rsidP="00D14ED3">
      <w:pPr>
        <w:pStyle w:val="FootnoteText"/>
      </w:pPr>
      <w:r>
        <w:rPr>
          <w:rStyle w:val="FootnoteReference"/>
        </w:rPr>
        <w:footnoteRef/>
      </w:r>
      <w:r>
        <w:t xml:space="preserve"> </w:t>
      </w:r>
      <w:r w:rsidR="00EB50F8">
        <w:t>Cal Advocates</w:t>
      </w:r>
      <w:r w:rsidR="00285FC2">
        <w:t xml:space="preserve"> </w:t>
      </w:r>
      <w:r>
        <w:t>OB</w:t>
      </w:r>
      <w:r w:rsidR="0005778F">
        <w:t xml:space="preserve"> at </w:t>
      </w:r>
      <w:r>
        <w:t>120</w:t>
      </w:r>
      <w:r w:rsidR="00270999">
        <w:noBreakHyphen/>
      </w:r>
      <w:r>
        <w:t xml:space="preserve">121; </w:t>
      </w:r>
      <w:r w:rsidR="0080343B" w:rsidRPr="0080343B">
        <w:rPr>
          <w:i/>
          <w:iCs/>
        </w:rPr>
        <w:t xml:space="preserve">see </w:t>
      </w:r>
      <w:r w:rsidRPr="00C776C4">
        <w:t>D.24</w:t>
      </w:r>
      <w:r w:rsidR="00270999">
        <w:noBreakHyphen/>
      </w:r>
      <w:r w:rsidRPr="00C776C4">
        <w:t>12</w:t>
      </w:r>
      <w:r w:rsidR="00270999">
        <w:noBreakHyphen/>
      </w:r>
      <w:r w:rsidRPr="00C776C4">
        <w:t>025</w:t>
      </w:r>
      <w:r w:rsidR="0005778F">
        <w:t xml:space="preserve"> at </w:t>
      </w:r>
      <w:r w:rsidRPr="00C776C4">
        <w:t>56, F</w:t>
      </w:r>
      <w:r w:rsidR="00E60028">
        <w:t>inding of Fact </w:t>
      </w:r>
      <w:r w:rsidRPr="00C776C4">
        <w:t>35.</w:t>
      </w:r>
    </w:p>
  </w:footnote>
  <w:footnote w:id="133">
    <w:p w14:paraId="4F61890D" w14:textId="5666717A" w:rsidR="00D14ED3" w:rsidRDefault="00D14ED3" w:rsidP="00D14ED3">
      <w:pPr>
        <w:pStyle w:val="FootnoteText"/>
      </w:pPr>
      <w:r>
        <w:rPr>
          <w:rStyle w:val="FootnoteReference"/>
        </w:rPr>
        <w:footnoteRef/>
      </w:r>
      <w:r>
        <w:t xml:space="preserve"> </w:t>
      </w:r>
      <w:r w:rsidR="00EB50F8">
        <w:t>Cal Advocates</w:t>
      </w:r>
      <w:r w:rsidR="00285FC2">
        <w:t xml:space="preserve"> </w:t>
      </w:r>
      <w:r>
        <w:t>OB</w:t>
      </w:r>
      <w:r w:rsidR="0005778F">
        <w:t xml:space="preserve"> at </w:t>
      </w:r>
      <w:r>
        <w:t>120</w:t>
      </w:r>
      <w:r w:rsidR="00270999">
        <w:noBreakHyphen/>
      </w:r>
      <w:r>
        <w:t>121.</w:t>
      </w:r>
    </w:p>
  </w:footnote>
  <w:footnote w:id="134">
    <w:p w14:paraId="6BD391EF" w14:textId="66A807F0" w:rsidR="00D14ED3" w:rsidRDefault="00D14ED3" w:rsidP="00D14ED3">
      <w:pPr>
        <w:pStyle w:val="FootnoteText"/>
      </w:pPr>
      <w:r>
        <w:rPr>
          <w:rStyle w:val="FootnoteReference"/>
        </w:rPr>
        <w:footnoteRef/>
      </w:r>
      <w:r>
        <w:t xml:space="preserve"> </w:t>
      </w:r>
      <w:r w:rsidR="006B3B72">
        <w:t>Ex. CalAdv</w:t>
      </w:r>
      <w:r w:rsidR="00270999">
        <w:noBreakHyphen/>
      </w:r>
      <w:r>
        <w:t>09</w:t>
      </w:r>
      <w:r w:rsidR="0005778F">
        <w:t xml:space="preserve"> at </w:t>
      </w:r>
      <w:r>
        <w:t>3</w:t>
      </w:r>
      <w:r w:rsidR="00270999">
        <w:noBreakHyphen/>
      </w:r>
      <w:r>
        <w:t>9</w:t>
      </w:r>
      <w:r w:rsidR="007D4896">
        <w:t xml:space="preserve"> to </w:t>
      </w:r>
      <w:r>
        <w:t>3</w:t>
      </w:r>
      <w:r w:rsidR="00270999">
        <w:noBreakHyphen/>
      </w:r>
      <w:r>
        <w:t>10.</w:t>
      </w:r>
    </w:p>
  </w:footnote>
  <w:footnote w:id="135">
    <w:p w14:paraId="2E927257" w14:textId="174A3039" w:rsidR="00D14ED3" w:rsidRPr="00385FED" w:rsidRDefault="00D14ED3" w:rsidP="00D14ED3">
      <w:pPr>
        <w:pStyle w:val="FootnoteText"/>
        <w:rPr>
          <w:szCs w:val="22"/>
        </w:rPr>
      </w:pPr>
      <w:r w:rsidRPr="00AA6AE7">
        <w:rPr>
          <w:rStyle w:val="FootnoteReference"/>
          <w:szCs w:val="22"/>
        </w:rPr>
        <w:footnoteRef/>
      </w:r>
      <w:r w:rsidRPr="00385FED">
        <w:rPr>
          <w:szCs w:val="22"/>
        </w:rPr>
        <w:t xml:space="preserve"> </w:t>
      </w:r>
      <w:r w:rsidR="006B3B72">
        <w:rPr>
          <w:szCs w:val="22"/>
        </w:rPr>
        <w:t>Ex. CalAdv</w:t>
      </w:r>
      <w:r w:rsidR="00270999">
        <w:rPr>
          <w:szCs w:val="22"/>
        </w:rPr>
        <w:noBreakHyphen/>
      </w:r>
      <w:r w:rsidRPr="00385FED">
        <w:rPr>
          <w:szCs w:val="22"/>
        </w:rPr>
        <w:t>09</w:t>
      </w:r>
      <w:r w:rsidR="0005778F">
        <w:rPr>
          <w:szCs w:val="22"/>
        </w:rPr>
        <w:t xml:space="preserve"> at </w:t>
      </w:r>
      <w:r w:rsidRPr="00385FED">
        <w:rPr>
          <w:szCs w:val="22"/>
        </w:rPr>
        <w:t>3</w:t>
      </w:r>
      <w:r w:rsidR="00270999">
        <w:rPr>
          <w:szCs w:val="22"/>
        </w:rPr>
        <w:noBreakHyphen/>
      </w:r>
      <w:r w:rsidRPr="00385FED">
        <w:rPr>
          <w:szCs w:val="22"/>
        </w:rPr>
        <w:t>3</w:t>
      </w:r>
      <w:r w:rsidR="007D4896">
        <w:rPr>
          <w:szCs w:val="22"/>
        </w:rPr>
        <w:t xml:space="preserve"> to </w:t>
      </w:r>
      <w:r w:rsidRPr="00385FED">
        <w:rPr>
          <w:szCs w:val="22"/>
        </w:rPr>
        <w:t>3</w:t>
      </w:r>
      <w:r w:rsidR="00270999">
        <w:rPr>
          <w:szCs w:val="22"/>
        </w:rPr>
        <w:noBreakHyphen/>
      </w:r>
      <w:r w:rsidRPr="00385FED">
        <w:rPr>
          <w:szCs w:val="22"/>
        </w:rPr>
        <w:t>6.</w:t>
      </w:r>
    </w:p>
  </w:footnote>
  <w:footnote w:id="136">
    <w:p w14:paraId="43393877" w14:textId="365CD11F" w:rsidR="00D14ED3" w:rsidRPr="00385FED" w:rsidRDefault="00D14ED3" w:rsidP="00D14ED3">
      <w:pPr>
        <w:pStyle w:val="FootnoteText"/>
        <w:rPr>
          <w:szCs w:val="22"/>
        </w:rPr>
      </w:pPr>
      <w:r w:rsidRPr="00AA6AE7">
        <w:rPr>
          <w:rStyle w:val="FootnoteReference"/>
          <w:szCs w:val="22"/>
        </w:rPr>
        <w:footnoteRef/>
      </w:r>
      <w:r w:rsidRPr="00385FED">
        <w:rPr>
          <w:szCs w:val="22"/>
        </w:rPr>
        <w:t xml:space="preserve"> </w:t>
      </w:r>
      <w:r w:rsidR="00EB50F8">
        <w:rPr>
          <w:szCs w:val="22"/>
        </w:rPr>
        <w:t>Cal Advocates</w:t>
      </w:r>
      <w:r w:rsidR="00285FC2">
        <w:rPr>
          <w:szCs w:val="22"/>
        </w:rPr>
        <w:t xml:space="preserve"> </w:t>
      </w:r>
      <w:r w:rsidRPr="00385FED">
        <w:rPr>
          <w:szCs w:val="22"/>
        </w:rPr>
        <w:t>RB</w:t>
      </w:r>
      <w:r w:rsidR="0005778F">
        <w:rPr>
          <w:szCs w:val="22"/>
        </w:rPr>
        <w:t xml:space="preserve"> at </w:t>
      </w:r>
      <w:r w:rsidRPr="00385FED">
        <w:rPr>
          <w:szCs w:val="22"/>
        </w:rPr>
        <w:t>53.</w:t>
      </w:r>
    </w:p>
  </w:footnote>
  <w:footnote w:id="137">
    <w:p w14:paraId="0538044D" w14:textId="78922887" w:rsidR="00D14ED3" w:rsidRPr="00D65974" w:rsidRDefault="00D14ED3" w:rsidP="00D14ED3">
      <w:pPr>
        <w:pStyle w:val="FootnoteText"/>
        <w:rPr>
          <w:szCs w:val="22"/>
        </w:rPr>
      </w:pPr>
      <w:r w:rsidRPr="00AA6AE7">
        <w:rPr>
          <w:rStyle w:val="FootnoteReference"/>
          <w:szCs w:val="22"/>
        </w:rPr>
        <w:footnoteRef/>
      </w:r>
      <w:r w:rsidRPr="00D65974">
        <w:rPr>
          <w:szCs w:val="22"/>
        </w:rPr>
        <w:t xml:space="preserve"> </w:t>
      </w:r>
      <w:r w:rsidR="00EB50F8">
        <w:rPr>
          <w:szCs w:val="22"/>
        </w:rPr>
        <w:t>Cal Advocates</w:t>
      </w:r>
      <w:r w:rsidR="00285FC2">
        <w:rPr>
          <w:szCs w:val="22"/>
        </w:rPr>
        <w:t xml:space="preserve"> </w:t>
      </w:r>
      <w:r w:rsidRPr="00D65974">
        <w:rPr>
          <w:szCs w:val="22"/>
        </w:rPr>
        <w:t>OB</w:t>
      </w:r>
      <w:r w:rsidR="0005778F">
        <w:rPr>
          <w:szCs w:val="22"/>
        </w:rPr>
        <w:t xml:space="preserve"> at </w:t>
      </w:r>
      <w:r w:rsidRPr="00D65974">
        <w:rPr>
          <w:szCs w:val="22"/>
        </w:rPr>
        <w:t>121</w:t>
      </w:r>
      <w:r w:rsidR="00270999">
        <w:rPr>
          <w:szCs w:val="22"/>
        </w:rPr>
        <w:noBreakHyphen/>
      </w:r>
      <w:r w:rsidRPr="00D65974">
        <w:rPr>
          <w:szCs w:val="22"/>
        </w:rPr>
        <w:t>122.</w:t>
      </w:r>
    </w:p>
  </w:footnote>
  <w:footnote w:id="138">
    <w:p w14:paraId="5109B3FF" w14:textId="11706021" w:rsidR="00D14ED3" w:rsidRDefault="00D14ED3" w:rsidP="00D14ED3">
      <w:pPr>
        <w:pStyle w:val="FootnoteText"/>
      </w:pPr>
      <w:r>
        <w:rPr>
          <w:rStyle w:val="FootnoteReference"/>
        </w:rPr>
        <w:footnoteRef/>
      </w:r>
      <w:r>
        <w:t xml:space="preserve"> </w:t>
      </w:r>
      <w:r w:rsidR="000A6C2E">
        <w:rPr>
          <w:szCs w:val="22"/>
        </w:rPr>
        <w:t>Ex. CWS</w:t>
      </w:r>
      <w:r w:rsidR="00270999">
        <w:rPr>
          <w:szCs w:val="22"/>
        </w:rPr>
        <w:noBreakHyphen/>
      </w:r>
      <w:r w:rsidRPr="00646D22">
        <w:rPr>
          <w:szCs w:val="22"/>
        </w:rPr>
        <w:t>02</w:t>
      </w:r>
      <w:r w:rsidR="0005778F">
        <w:rPr>
          <w:szCs w:val="22"/>
        </w:rPr>
        <w:t xml:space="preserve"> at </w:t>
      </w:r>
      <w:r>
        <w:rPr>
          <w:szCs w:val="22"/>
        </w:rPr>
        <w:t>3</w:t>
      </w:r>
      <w:r w:rsidRPr="00646D22">
        <w:rPr>
          <w:szCs w:val="22"/>
        </w:rPr>
        <w:t>8</w:t>
      </w:r>
      <w:r>
        <w:rPr>
          <w:szCs w:val="22"/>
        </w:rPr>
        <w:t>:22</w:t>
      </w:r>
      <w:r w:rsidR="00270999">
        <w:rPr>
          <w:szCs w:val="22"/>
        </w:rPr>
        <w:noBreakHyphen/>
      </w:r>
      <w:r>
        <w:rPr>
          <w:szCs w:val="22"/>
        </w:rPr>
        <w:t>23.</w:t>
      </w:r>
    </w:p>
  </w:footnote>
  <w:footnote w:id="139">
    <w:p w14:paraId="7C4B160C" w14:textId="575D552F" w:rsidR="00D14ED3" w:rsidRPr="00D65974" w:rsidRDefault="00D14ED3" w:rsidP="00D14ED3">
      <w:pPr>
        <w:pStyle w:val="FootnoteText"/>
        <w:rPr>
          <w:szCs w:val="22"/>
        </w:rPr>
      </w:pPr>
      <w:r w:rsidRPr="00AA6AE7">
        <w:rPr>
          <w:rStyle w:val="FootnoteReference"/>
          <w:szCs w:val="22"/>
        </w:rPr>
        <w:footnoteRef/>
      </w:r>
      <w:r w:rsidRPr="00D65974">
        <w:rPr>
          <w:szCs w:val="22"/>
        </w:rPr>
        <w:t xml:space="preserve"> </w:t>
      </w:r>
      <w:r w:rsidR="00EB50F8">
        <w:rPr>
          <w:szCs w:val="22"/>
        </w:rPr>
        <w:t>Cal Advocates</w:t>
      </w:r>
      <w:r w:rsidR="00285FC2">
        <w:rPr>
          <w:szCs w:val="22"/>
        </w:rPr>
        <w:t xml:space="preserve"> </w:t>
      </w:r>
      <w:r w:rsidRPr="00D65974">
        <w:rPr>
          <w:szCs w:val="22"/>
        </w:rPr>
        <w:t>OB</w:t>
      </w:r>
      <w:r w:rsidR="0005778F">
        <w:rPr>
          <w:szCs w:val="22"/>
        </w:rPr>
        <w:t xml:space="preserve"> at </w:t>
      </w:r>
      <w:r w:rsidRPr="00D65974">
        <w:rPr>
          <w:szCs w:val="22"/>
        </w:rPr>
        <w:t>121</w:t>
      </w:r>
      <w:r w:rsidR="00270999">
        <w:rPr>
          <w:szCs w:val="22"/>
        </w:rPr>
        <w:noBreakHyphen/>
      </w:r>
      <w:r w:rsidRPr="00D65974">
        <w:rPr>
          <w:szCs w:val="22"/>
        </w:rPr>
        <w:t>122</w:t>
      </w:r>
      <w:r>
        <w:rPr>
          <w:szCs w:val="22"/>
        </w:rPr>
        <w:t>.</w:t>
      </w:r>
    </w:p>
  </w:footnote>
  <w:footnote w:id="140">
    <w:p w14:paraId="6799D772" w14:textId="4DF84780" w:rsidR="00D14ED3" w:rsidRPr="00D65974" w:rsidRDefault="00D14ED3" w:rsidP="00D14ED3">
      <w:pPr>
        <w:pStyle w:val="FootnoteText"/>
        <w:rPr>
          <w:szCs w:val="22"/>
        </w:rPr>
      </w:pPr>
      <w:r w:rsidRPr="00AA6AE7">
        <w:rPr>
          <w:rStyle w:val="FootnoteReference"/>
          <w:szCs w:val="22"/>
        </w:rPr>
        <w:footnoteRef/>
      </w:r>
      <w:r w:rsidRPr="00D65974">
        <w:rPr>
          <w:szCs w:val="22"/>
        </w:rPr>
        <w:t xml:space="preserve"> </w:t>
      </w:r>
      <w:r w:rsidR="00EB50F8">
        <w:rPr>
          <w:szCs w:val="22"/>
        </w:rPr>
        <w:t>Cal Advocates</w:t>
      </w:r>
      <w:r w:rsidR="00285FC2">
        <w:rPr>
          <w:szCs w:val="22"/>
        </w:rPr>
        <w:t xml:space="preserve"> </w:t>
      </w:r>
      <w:r w:rsidRPr="00D65974">
        <w:rPr>
          <w:szCs w:val="22"/>
        </w:rPr>
        <w:t>OB</w:t>
      </w:r>
      <w:r w:rsidR="0005778F">
        <w:rPr>
          <w:szCs w:val="22"/>
        </w:rPr>
        <w:t xml:space="preserve"> at </w:t>
      </w:r>
      <w:r w:rsidRPr="00D65974">
        <w:rPr>
          <w:szCs w:val="22"/>
        </w:rPr>
        <w:t>119.</w:t>
      </w:r>
    </w:p>
  </w:footnote>
  <w:footnote w:id="141">
    <w:p w14:paraId="13EB31D1" w14:textId="5480632E" w:rsidR="00D14ED3" w:rsidRPr="00385FED" w:rsidRDefault="00D14ED3" w:rsidP="00D14ED3">
      <w:pPr>
        <w:pStyle w:val="FootnoteText"/>
      </w:pPr>
      <w:r>
        <w:rPr>
          <w:rStyle w:val="FootnoteReference"/>
        </w:rPr>
        <w:footnoteRef/>
      </w:r>
      <w:r w:rsidRPr="00385FED">
        <w:t xml:space="preserve"> </w:t>
      </w:r>
      <w:r w:rsidR="00EB50F8">
        <w:t>Cal Advocates</w:t>
      </w:r>
      <w:r w:rsidR="00285FC2">
        <w:t xml:space="preserve"> </w:t>
      </w:r>
      <w:r w:rsidRPr="00385FED">
        <w:t>RB</w:t>
      </w:r>
      <w:r w:rsidR="0005778F">
        <w:t xml:space="preserve"> at </w:t>
      </w:r>
      <w:r w:rsidRPr="00385FED">
        <w:t>50</w:t>
      </w:r>
      <w:r w:rsidR="00270999">
        <w:noBreakHyphen/>
      </w:r>
      <w:r w:rsidRPr="00385FED">
        <w:t>51.</w:t>
      </w:r>
    </w:p>
  </w:footnote>
  <w:footnote w:id="142">
    <w:p w14:paraId="5CAAFD2D" w14:textId="315D8191" w:rsidR="00D14ED3" w:rsidRPr="00AC6D7D" w:rsidRDefault="00D14ED3" w:rsidP="00D14ED3">
      <w:pPr>
        <w:pStyle w:val="FootnoteText"/>
      </w:pPr>
      <w:r>
        <w:rPr>
          <w:rStyle w:val="FootnoteReference"/>
        </w:rPr>
        <w:footnoteRef/>
      </w:r>
      <w:r>
        <w:t xml:space="preserve"> </w:t>
      </w:r>
      <w:r w:rsidRPr="00AC6D7D">
        <w:t>AB</w:t>
      </w:r>
      <w:r w:rsidR="004C18B1">
        <w:t> </w:t>
      </w:r>
      <w:r w:rsidRPr="00AC6D7D">
        <w:t>1668, as amended by SB</w:t>
      </w:r>
      <w:r w:rsidR="00F54B5D">
        <w:t> </w:t>
      </w:r>
      <w:r w:rsidRPr="00AC6D7D">
        <w:t>1157 (Hertzberg 2022), sets the following residential indoor water use targets</w:t>
      </w:r>
      <w:r w:rsidR="000C0896">
        <w:t xml:space="preserve">:  </w:t>
      </w:r>
      <w:r w:rsidRPr="00AC6D7D">
        <w:t>(1)</w:t>
      </w:r>
      <w:r w:rsidR="005640AC">
        <w:t> </w:t>
      </w:r>
      <w:r w:rsidRPr="00AC6D7D">
        <w:t>The standard for indoor residential water use shall be 55 gallons per</w:t>
      </w:r>
      <w:r w:rsidR="00583E5E">
        <w:t xml:space="preserve"> </w:t>
      </w:r>
      <w:r w:rsidRPr="00AC6D7D">
        <w:t xml:space="preserve">capita daily until </w:t>
      </w:r>
      <w:r w:rsidR="000C0896">
        <w:t>January </w:t>
      </w:r>
      <w:r w:rsidRPr="00AC6D7D">
        <w:t>1, 2025; (2)</w:t>
      </w:r>
      <w:r w:rsidR="006237E8">
        <w:t> </w:t>
      </w:r>
      <w:r w:rsidRPr="00AC6D7D">
        <w:t xml:space="preserve">Beginning </w:t>
      </w:r>
      <w:r w:rsidR="000C0896">
        <w:t>January </w:t>
      </w:r>
      <w:r w:rsidRPr="00AC6D7D">
        <w:t xml:space="preserve">1, 2025, and until </w:t>
      </w:r>
      <w:r w:rsidR="000C0896">
        <w:t>January </w:t>
      </w:r>
      <w:r w:rsidRPr="00AC6D7D">
        <w:t>1, 2030, the standard for</w:t>
      </w:r>
      <w:r w:rsidR="00583E5E">
        <w:t xml:space="preserve"> </w:t>
      </w:r>
      <w:r w:rsidRPr="00AC6D7D">
        <w:t xml:space="preserve">indoor residential water use shall be 47 gallons per capita daily; and </w:t>
      </w:r>
      <w:r w:rsidR="006237E8">
        <w:t>(3) </w:t>
      </w:r>
      <w:r w:rsidRPr="00AC6D7D">
        <w:t xml:space="preserve">Beginning </w:t>
      </w:r>
      <w:r w:rsidR="000C0896">
        <w:t>January </w:t>
      </w:r>
      <w:r w:rsidRPr="00AC6D7D">
        <w:t>1, 2030, the standard for indoor residential water use shall be 42 gallons per capita daily.</w:t>
      </w:r>
    </w:p>
  </w:footnote>
  <w:footnote w:id="143">
    <w:p w14:paraId="26BFA1EF" w14:textId="1FE8088E" w:rsidR="00D14ED3" w:rsidRPr="00385FED" w:rsidRDefault="00D14ED3" w:rsidP="00D14ED3">
      <w:pPr>
        <w:pStyle w:val="FootnoteText"/>
        <w:rPr>
          <w:szCs w:val="22"/>
        </w:rPr>
      </w:pPr>
      <w:r w:rsidRPr="00AA6AE7">
        <w:rPr>
          <w:rStyle w:val="FootnoteReference"/>
          <w:szCs w:val="22"/>
        </w:rPr>
        <w:footnoteRef/>
      </w:r>
      <w:r w:rsidRPr="00385FED">
        <w:rPr>
          <w:szCs w:val="22"/>
        </w:rPr>
        <w:t xml:space="preserve"> NAWC OB</w:t>
      </w:r>
      <w:r w:rsidR="0005778F">
        <w:rPr>
          <w:szCs w:val="22"/>
        </w:rPr>
        <w:t xml:space="preserve"> at </w:t>
      </w:r>
      <w:r w:rsidRPr="00385FED">
        <w:rPr>
          <w:szCs w:val="22"/>
        </w:rPr>
        <w:t>54</w:t>
      </w:r>
      <w:r w:rsidR="00270999">
        <w:rPr>
          <w:szCs w:val="22"/>
        </w:rPr>
        <w:noBreakHyphen/>
      </w:r>
      <w:r w:rsidRPr="00385FED">
        <w:rPr>
          <w:szCs w:val="22"/>
        </w:rPr>
        <w:t xml:space="preserve">57; </w:t>
      </w:r>
      <w:r w:rsidR="009F0975">
        <w:rPr>
          <w:szCs w:val="22"/>
        </w:rPr>
        <w:t>CWA</w:t>
      </w:r>
      <w:r w:rsidR="009D0D2F">
        <w:rPr>
          <w:szCs w:val="22"/>
        </w:rPr>
        <w:t xml:space="preserve"> RB</w:t>
      </w:r>
      <w:r w:rsidR="0005778F">
        <w:rPr>
          <w:szCs w:val="22"/>
        </w:rPr>
        <w:t xml:space="preserve"> at </w:t>
      </w:r>
      <w:r w:rsidRPr="00385FED">
        <w:rPr>
          <w:szCs w:val="22"/>
        </w:rPr>
        <w:t>21</w:t>
      </w:r>
      <w:r w:rsidR="00270999">
        <w:rPr>
          <w:szCs w:val="22"/>
        </w:rPr>
        <w:noBreakHyphen/>
      </w:r>
      <w:r w:rsidRPr="00385FED">
        <w:rPr>
          <w:szCs w:val="22"/>
        </w:rPr>
        <w:t>24.</w:t>
      </w:r>
    </w:p>
  </w:footnote>
  <w:footnote w:id="144">
    <w:p w14:paraId="20B40799" w14:textId="423D6E36" w:rsidR="00D14ED3" w:rsidRPr="00385FED" w:rsidRDefault="00D14ED3" w:rsidP="00D14ED3">
      <w:pPr>
        <w:pStyle w:val="FootnoteText"/>
        <w:rPr>
          <w:szCs w:val="22"/>
        </w:rPr>
      </w:pPr>
      <w:r w:rsidRPr="00AA6AE7">
        <w:rPr>
          <w:rStyle w:val="FootnoteReference"/>
          <w:szCs w:val="22"/>
        </w:rPr>
        <w:footnoteRef/>
      </w:r>
      <w:r w:rsidRPr="00385FED">
        <w:rPr>
          <w:szCs w:val="22"/>
        </w:rPr>
        <w:t xml:space="preserve"> NAWC OB</w:t>
      </w:r>
      <w:r w:rsidR="0005778F">
        <w:rPr>
          <w:szCs w:val="22"/>
        </w:rPr>
        <w:t xml:space="preserve"> at </w:t>
      </w:r>
      <w:r w:rsidRPr="00385FED">
        <w:rPr>
          <w:szCs w:val="22"/>
        </w:rPr>
        <w:t>123</w:t>
      </w:r>
      <w:r w:rsidR="00270999">
        <w:rPr>
          <w:szCs w:val="22"/>
        </w:rPr>
        <w:noBreakHyphen/>
      </w:r>
      <w:r w:rsidRPr="00385FED">
        <w:rPr>
          <w:szCs w:val="22"/>
        </w:rPr>
        <w:t>125; NAWC RB</w:t>
      </w:r>
      <w:r w:rsidR="0005778F">
        <w:rPr>
          <w:szCs w:val="22"/>
        </w:rPr>
        <w:t xml:space="preserve"> at </w:t>
      </w:r>
      <w:r w:rsidRPr="00385FED">
        <w:rPr>
          <w:szCs w:val="22"/>
        </w:rPr>
        <w:t>65</w:t>
      </w:r>
      <w:r w:rsidR="00270999">
        <w:rPr>
          <w:szCs w:val="22"/>
        </w:rPr>
        <w:noBreakHyphen/>
      </w:r>
      <w:r w:rsidRPr="00385FED">
        <w:rPr>
          <w:szCs w:val="22"/>
        </w:rPr>
        <w:t>67.</w:t>
      </w:r>
    </w:p>
  </w:footnote>
  <w:footnote w:id="145">
    <w:p w14:paraId="35942DC8" w14:textId="7E4A0A25" w:rsidR="00D14ED3" w:rsidRPr="00385FED" w:rsidRDefault="00D14ED3" w:rsidP="00D14ED3">
      <w:pPr>
        <w:pStyle w:val="FootnoteText"/>
        <w:rPr>
          <w:szCs w:val="22"/>
        </w:rPr>
      </w:pPr>
      <w:r w:rsidRPr="00AA6AE7">
        <w:rPr>
          <w:rStyle w:val="FootnoteReference"/>
          <w:szCs w:val="22"/>
        </w:rPr>
        <w:footnoteRef/>
      </w:r>
      <w:r w:rsidRPr="00385FED">
        <w:rPr>
          <w:szCs w:val="22"/>
        </w:rPr>
        <w:t xml:space="preserve"> </w:t>
      </w:r>
      <w:r w:rsidR="009F0975">
        <w:rPr>
          <w:szCs w:val="22"/>
        </w:rPr>
        <w:t xml:space="preserve">CWA </w:t>
      </w:r>
      <w:r w:rsidR="009D0D2F">
        <w:rPr>
          <w:szCs w:val="22"/>
        </w:rPr>
        <w:t>RB</w:t>
      </w:r>
      <w:r w:rsidR="0005778F">
        <w:rPr>
          <w:szCs w:val="22"/>
        </w:rPr>
        <w:t xml:space="preserve"> at </w:t>
      </w:r>
      <w:r w:rsidRPr="00385FED">
        <w:rPr>
          <w:szCs w:val="22"/>
        </w:rPr>
        <w:t>37</w:t>
      </w:r>
      <w:r w:rsidR="00270999">
        <w:rPr>
          <w:szCs w:val="22"/>
        </w:rPr>
        <w:noBreakHyphen/>
      </w:r>
      <w:r w:rsidRPr="00385FED">
        <w:rPr>
          <w:szCs w:val="22"/>
        </w:rPr>
        <w:t>41.</w:t>
      </w:r>
    </w:p>
  </w:footnote>
  <w:footnote w:id="146">
    <w:p w14:paraId="10AD2A26" w14:textId="741D138D" w:rsidR="00D14ED3" w:rsidRPr="00CE7B7A" w:rsidRDefault="00D14ED3" w:rsidP="00D14ED3">
      <w:pPr>
        <w:pStyle w:val="FootnoteText"/>
        <w:rPr>
          <w:szCs w:val="22"/>
        </w:rPr>
      </w:pPr>
      <w:r w:rsidRPr="00CE7B7A">
        <w:rPr>
          <w:rStyle w:val="FootnoteReference"/>
          <w:szCs w:val="22"/>
        </w:rPr>
        <w:footnoteRef/>
      </w:r>
      <w:r w:rsidRPr="00CE7B7A">
        <w:rPr>
          <w:szCs w:val="22"/>
        </w:rPr>
        <w:t xml:space="preserve"> </w:t>
      </w:r>
      <w:r w:rsidR="00EB50F8">
        <w:rPr>
          <w:szCs w:val="22"/>
        </w:rPr>
        <w:t>Cal Water</w:t>
      </w:r>
      <w:r w:rsidR="00466744">
        <w:rPr>
          <w:szCs w:val="22"/>
        </w:rPr>
        <w:t xml:space="preserve"> OB</w:t>
      </w:r>
      <w:r w:rsidR="0005778F">
        <w:rPr>
          <w:szCs w:val="22"/>
        </w:rPr>
        <w:t xml:space="preserve"> at </w:t>
      </w:r>
      <w:r w:rsidRPr="00CE7B7A">
        <w:rPr>
          <w:szCs w:val="22"/>
        </w:rPr>
        <w:t>115.</w:t>
      </w:r>
    </w:p>
  </w:footnote>
  <w:footnote w:id="147">
    <w:p w14:paraId="5E36BB23" w14:textId="765EA369" w:rsidR="00D14ED3" w:rsidRPr="00CE7B7A" w:rsidRDefault="00D14ED3" w:rsidP="00D14ED3">
      <w:pPr>
        <w:pStyle w:val="FootnoteText"/>
        <w:rPr>
          <w:szCs w:val="22"/>
        </w:rPr>
      </w:pPr>
      <w:r w:rsidRPr="00CE7B7A">
        <w:rPr>
          <w:rStyle w:val="FootnoteReference"/>
          <w:szCs w:val="22"/>
        </w:rPr>
        <w:footnoteRef/>
      </w:r>
      <w:r w:rsidRPr="00CE7B7A">
        <w:rPr>
          <w:szCs w:val="22"/>
        </w:rPr>
        <w:t xml:space="preserve"> </w:t>
      </w:r>
      <w:r w:rsidR="00EB50F8">
        <w:rPr>
          <w:szCs w:val="22"/>
        </w:rPr>
        <w:t>Cal Water</w:t>
      </w:r>
      <w:r w:rsidR="00466744">
        <w:rPr>
          <w:szCs w:val="22"/>
        </w:rPr>
        <w:t xml:space="preserve"> OB</w:t>
      </w:r>
      <w:r w:rsidR="0005778F">
        <w:rPr>
          <w:szCs w:val="22"/>
        </w:rPr>
        <w:t xml:space="preserve"> at </w:t>
      </w:r>
      <w:r w:rsidRPr="00CE7B7A">
        <w:rPr>
          <w:szCs w:val="22"/>
        </w:rPr>
        <w:t>115</w:t>
      </w:r>
      <w:r w:rsidR="00270999">
        <w:rPr>
          <w:szCs w:val="22"/>
        </w:rPr>
        <w:noBreakHyphen/>
      </w:r>
      <w:r w:rsidRPr="00CE7B7A">
        <w:rPr>
          <w:szCs w:val="22"/>
        </w:rPr>
        <w:t>116.</w:t>
      </w:r>
    </w:p>
  </w:footnote>
  <w:footnote w:id="148">
    <w:p w14:paraId="74B6048E" w14:textId="23037B7F" w:rsidR="00D14ED3" w:rsidRPr="00CE7B7A" w:rsidRDefault="00D14ED3" w:rsidP="00D14ED3">
      <w:pPr>
        <w:pStyle w:val="FootnoteText"/>
        <w:rPr>
          <w:szCs w:val="22"/>
        </w:rPr>
      </w:pPr>
      <w:r w:rsidRPr="00CE7B7A">
        <w:rPr>
          <w:rStyle w:val="FootnoteReference"/>
          <w:szCs w:val="22"/>
        </w:rPr>
        <w:footnoteRef/>
      </w:r>
      <w:r w:rsidRPr="00CE7B7A">
        <w:rPr>
          <w:szCs w:val="22"/>
        </w:rPr>
        <w:t xml:space="preserve"> </w:t>
      </w:r>
      <w:r w:rsidR="00EB50F8">
        <w:rPr>
          <w:szCs w:val="22"/>
        </w:rPr>
        <w:t>Cal Water</w:t>
      </w:r>
      <w:r w:rsidR="00466744">
        <w:rPr>
          <w:szCs w:val="22"/>
        </w:rPr>
        <w:t xml:space="preserve"> OB</w:t>
      </w:r>
      <w:r w:rsidR="0005778F">
        <w:rPr>
          <w:szCs w:val="22"/>
        </w:rPr>
        <w:t xml:space="preserve"> at </w:t>
      </w:r>
      <w:r w:rsidRPr="00CE7B7A">
        <w:rPr>
          <w:szCs w:val="22"/>
        </w:rPr>
        <w:t>115</w:t>
      </w:r>
      <w:r w:rsidR="00270999">
        <w:rPr>
          <w:szCs w:val="22"/>
        </w:rPr>
        <w:noBreakHyphen/>
      </w:r>
      <w:r w:rsidRPr="00CE7B7A">
        <w:rPr>
          <w:szCs w:val="22"/>
        </w:rPr>
        <w:t>116.</w:t>
      </w:r>
    </w:p>
  </w:footnote>
  <w:footnote w:id="149">
    <w:p w14:paraId="05D9A96F" w14:textId="1C64210B" w:rsidR="00D14ED3" w:rsidRDefault="00D14ED3" w:rsidP="00D14ED3">
      <w:pPr>
        <w:pStyle w:val="FootnoteText"/>
      </w:pPr>
      <w:r>
        <w:rPr>
          <w:rStyle w:val="FootnoteReference"/>
        </w:rPr>
        <w:footnoteRef/>
      </w:r>
      <w:r>
        <w:t xml:space="preserve"> </w:t>
      </w:r>
      <w:r w:rsidRPr="00B45245">
        <w:t xml:space="preserve">It is worth noting that </w:t>
      </w:r>
      <w:r w:rsidR="00EB50F8">
        <w:t>Cal Water</w:t>
      </w:r>
      <w:r w:rsidR="000C0896">
        <w:t>’</w:t>
      </w:r>
      <w:r w:rsidRPr="00B45245">
        <w:t xml:space="preserve">s use of rate design terminology can cause confusion; therefore, the decision clarifies that </w:t>
      </w:r>
      <w:r w:rsidR="00EB50F8">
        <w:t>Cal Water</w:t>
      </w:r>
      <w:r w:rsidR="000C0896">
        <w:t>’</w:t>
      </w:r>
      <w:r w:rsidRPr="00B45245">
        <w:t>s current rate design is an M</w:t>
      </w:r>
      <w:r w:rsidR="00270999">
        <w:noBreakHyphen/>
      </w:r>
      <w:r w:rsidRPr="00B45245">
        <w:t>WRAM adopted in D.24</w:t>
      </w:r>
      <w:r w:rsidR="00270999">
        <w:noBreakHyphen/>
      </w:r>
      <w:r w:rsidRPr="00B45245">
        <w:t>03</w:t>
      </w:r>
      <w:r w:rsidR="00270999">
        <w:noBreakHyphen/>
      </w:r>
      <w:r w:rsidRPr="00B45245">
        <w:t>042, and the proposed alternative/non</w:t>
      </w:r>
      <w:r w:rsidR="00270999">
        <w:noBreakHyphen/>
      </w:r>
      <w:r w:rsidRPr="00B45245">
        <w:t>decoupled rate design is also referred to as an M</w:t>
      </w:r>
      <w:r w:rsidR="00270999">
        <w:noBreakHyphen/>
      </w:r>
      <w:r w:rsidRPr="00B45245">
        <w:t>WRAM.</w:t>
      </w:r>
    </w:p>
  </w:footnote>
  <w:footnote w:id="150">
    <w:p w14:paraId="0A45C5E5" w14:textId="0FC44360" w:rsidR="00D14ED3" w:rsidRDefault="00D14ED3" w:rsidP="00D14ED3">
      <w:pPr>
        <w:pStyle w:val="FootnoteText"/>
      </w:pPr>
      <w:r>
        <w:rPr>
          <w:rStyle w:val="FootnoteReference"/>
        </w:rPr>
        <w:footnoteRef/>
      </w:r>
      <w:r>
        <w:t xml:space="preserve"> </w:t>
      </w:r>
      <w:r w:rsidR="000A6C2E">
        <w:rPr>
          <w:szCs w:val="22"/>
        </w:rPr>
        <w:t>Ex. CWS</w:t>
      </w:r>
      <w:r w:rsidR="00270999">
        <w:rPr>
          <w:szCs w:val="22"/>
        </w:rPr>
        <w:noBreakHyphen/>
      </w:r>
      <w:r w:rsidRPr="00646D22">
        <w:rPr>
          <w:szCs w:val="22"/>
        </w:rPr>
        <w:t>02</w:t>
      </w:r>
      <w:r w:rsidR="0005778F">
        <w:rPr>
          <w:szCs w:val="22"/>
        </w:rPr>
        <w:t xml:space="preserve"> at </w:t>
      </w:r>
      <w:r>
        <w:rPr>
          <w:szCs w:val="22"/>
        </w:rPr>
        <w:t>3</w:t>
      </w:r>
      <w:r w:rsidRPr="00646D22">
        <w:rPr>
          <w:szCs w:val="22"/>
        </w:rPr>
        <w:t>8</w:t>
      </w:r>
      <w:r>
        <w:rPr>
          <w:szCs w:val="22"/>
        </w:rPr>
        <w:t>:22</w:t>
      </w:r>
      <w:r w:rsidR="00270999">
        <w:rPr>
          <w:szCs w:val="22"/>
        </w:rPr>
        <w:noBreakHyphen/>
      </w:r>
      <w:r>
        <w:rPr>
          <w:szCs w:val="22"/>
        </w:rPr>
        <w:t>23.</w:t>
      </w:r>
    </w:p>
  </w:footnote>
  <w:footnote w:id="151">
    <w:p w14:paraId="31C58901" w14:textId="2926FE2B"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0A6C2E">
        <w:rPr>
          <w:szCs w:val="22"/>
        </w:rPr>
        <w:t>Ex. CWS</w:t>
      </w:r>
      <w:r w:rsidR="00270999">
        <w:rPr>
          <w:szCs w:val="22"/>
        </w:rPr>
        <w:noBreakHyphen/>
      </w:r>
      <w:r w:rsidRPr="00AA6AE7">
        <w:rPr>
          <w:szCs w:val="22"/>
        </w:rPr>
        <w:t>50</w:t>
      </w:r>
      <w:r w:rsidR="0005778F">
        <w:rPr>
          <w:szCs w:val="22"/>
        </w:rPr>
        <w:t xml:space="preserve"> at </w:t>
      </w:r>
      <w:r w:rsidRPr="00AA6AE7">
        <w:rPr>
          <w:szCs w:val="22"/>
        </w:rPr>
        <w:t>237</w:t>
      </w:r>
      <w:r w:rsidR="00270999">
        <w:rPr>
          <w:szCs w:val="22"/>
        </w:rPr>
        <w:noBreakHyphen/>
      </w:r>
      <w:r>
        <w:rPr>
          <w:szCs w:val="22"/>
        </w:rPr>
        <w:t>238</w:t>
      </w:r>
      <w:r w:rsidRPr="00AA6AE7">
        <w:rPr>
          <w:szCs w:val="22"/>
        </w:rPr>
        <w:t xml:space="preserve">; </w:t>
      </w:r>
      <w:r w:rsidRPr="00C718FC">
        <w:rPr>
          <w:i/>
          <w:iCs/>
          <w:szCs w:val="22"/>
        </w:rPr>
        <w:t>see</w:t>
      </w:r>
      <w:r w:rsidRPr="00AA6AE7">
        <w:rPr>
          <w:szCs w:val="22"/>
        </w:rPr>
        <w:t xml:space="preserve"> footnotes</w:t>
      </w:r>
      <w:r w:rsidR="00DD264A">
        <w:rPr>
          <w:szCs w:val="22"/>
        </w:rPr>
        <w:t> </w:t>
      </w:r>
      <w:r w:rsidRPr="00AA6AE7">
        <w:rPr>
          <w:szCs w:val="22"/>
        </w:rPr>
        <w:t>497</w:t>
      </w:r>
      <w:r w:rsidR="00270999">
        <w:rPr>
          <w:szCs w:val="22"/>
        </w:rPr>
        <w:noBreakHyphen/>
      </w:r>
      <w:r w:rsidRPr="00AA6AE7">
        <w:rPr>
          <w:szCs w:val="22"/>
        </w:rPr>
        <w:t>498</w:t>
      </w:r>
      <w:r w:rsidR="000C0896">
        <w:rPr>
          <w:szCs w:val="22"/>
        </w:rPr>
        <w:t xml:space="preserve">:  </w:t>
      </w:r>
      <w:r w:rsidRPr="00AA6AE7">
        <w:rPr>
          <w:szCs w:val="22"/>
        </w:rPr>
        <w:t>49</w:t>
      </w:r>
      <w:r w:rsidR="00DD264A">
        <w:rPr>
          <w:szCs w:val="22"/>
        </w:rPr>
        <w:t>,</w:t>
      </w:r>
      <w:r w:rsidRPr="00AA6AE7">
        <w:rPr>
          <w:szCs w:val="22"/>
        </w:rPr>
        <w:t xml:space="preserve"> </w:t>
      </w:r>
      <w:r w:rsidR="00DD264A">
        <w:rPr>
          <w:szCs w:val="22"/>
        </w:rPr>
        <w:t>a</w:t>
      </w:r>
      <w:r w:rsidRPr="00AA6AE7">
        <w:rPr>
          <w:szCs w:val="22"/>
        </w:rPr>
        <w:t xml:space="preserve">vailable </w:t>
      </w:r>
      <w:r w:rsidR="00096F77">
        <w:rPr>
          <w:szCs w:val="22"/>
        </w:rPr>
        <w:t xml:space="preserve">as of this writing </w:t>
      </w:r>
      <w:r w:rsidRPr="00AA6AE7">
        <w:rPr>
          <w:szCs w:val="22"/>
        </w:rPr>
        <w:t>at</w:t>
      </w:r>
      <w:r w:rsidR="000C0896">
        <w:rPr>
          <w:szCs w:val="22"/>
        </w:rPr>
        <w:t xml:space="preserve">:  </w:t>
      </w:r>
      <w:hyperlink r:id="rId2" w:history="1">
        <w:r w:rsidR="0052766E" w:rsidRPr="0052766E">
          <w:rPr>
            <w:rStyle w:val="Hyperlink"/>
            <w:szCs w:val="22"/>
          </w:rPr>
          <w:t>https://www.brattle.com/wp</w:t>
        </w:r>
        <w:r w:rsidR="00270999">
          <w:rPr>
            <w:rStyle w:val="Hyperlink"/>
            <w:szCs w:val="22"/>
          </w:rPr>
          <w:noBreakHyphen/>
        </w:r>
        <w:r w:rsidR="0052766E" w:rsidRPr="0052766E">
          <w:rPr>
            <w:rStyle w:val="Hyperlink"/>
            <w:szCs w:val="22"/>
          </w:rPr>
          <w:t>content/uploads/2017/10/6081_effect_of_electric_decoupling_on_the_cost_of_capital.pdf</w:t>
        </w:r>
      </w:hyperlink>
      <w:r w:rsidRPr="00AA6AE7">
        <w:rPr>
          <w:szCs w:val="22"/>
        </w:rPr>
        <w:t>. 498</w:t>
      </w:r>
      <w:r w:rsidR="00B71DCD">
        <w:rPr>
          <w:szCs w:val="22"/>
        </w:rPr>
        <w:t> </w:t>
      </w:r>
      <w:r w:rsidRPr="00AA6AE7">
        <w:rPr>
          <w:szCs w:val="22"/>
        </w:rPr>
        <w:t>M. Vilbert et al., The Impact of Revenue Decoupling on the Cost of Capital for Electric Utilities</w:t>
      </w:r>
      <w:r w:rsidR="000C0896">
        <w:rPr>
          <w:szCs w:val="22"/>
        </w:rPr>
        <w:t xml:space="preserve">:  </w:t>
      </w:r>
      <w:r w:rsidRPr="00AA6AE7">
        <w:rPr>
          <w:szCs w:val="22"/>
        </w:rPr>
        <w:t>An Empirical Investigation (March 2014)</w:t>
      </w:r>
      <w:r w:rsidR="00446250">
        <w:rPr>
          <w:szCs w:val="22"/>
        </w:rPr>
        <w:t xml:space="preserve"> at</w:t>
      </w:r>
      <w:r w:rsidR="00D10051">
        <w:rPr>
          <w:szCs w:val="22"/>
        </w:rPr>
        <w:t> </w:t>
      </w:r>
      <w:r w:rsidRPr="00AA6AE7">
        <w:rPr>
          <w:szCs w:val="22"/>
        </w:rPr>
        <w:t>3.</w:t>
      </w:r>
    </w:p>
  </w:footnote>
  <w:footnote w:id="152">
    <w:p w14:paraId="0225C8A7" w14:textId="67A8A195" w:rsidR="00D14ED3" w:rsidRPr="00B230AE" w:rsidRDefault="00D14ED3" w:rsidP="00D14ED3">
      <w:pPr>
        <w:pStyle w:val="FootnoteText"/>
      </w:pPr>
      <w:r>
        <w:rPr>
          <w:rStyle w:val="FootnoteReference"/>
        </w:rPr>
        <w:footnoteRef/>
      </w:r>
      <w:r w:rsidRPr="00B230AE">
        <w:t xml:space="preserve"> </w:t>
      </w:r>
      <w:r w:rsidR="00EB50F8" w:rsidRPr="00B230AE">
        <w:t>Cal Water</w:t>
      </w:r>
      <w:r w:rsidR="00466744" w:rsidRPr="00B230AE">
        <w:t xml:space="preserve"> OB</w:t>
      </w:r>
      <w:r w:rsidR="0005778F" w:rsidRPr="00B230AE">
        <w:t xml:space="preserve"> at </w:t>
      </w:r>
      <w:r w:rsidRPr="00B230AE">
        <w:t>122</w:t>
      </w:r>
      <w:r w:rsidR="00270999" w:rsidRPr="00B230AE">
        <w:noBreakHyphen/>
      </w:r>
      <w:r w:rsidRPr="00B230AE">
        <w:t>124.</w:t>
      </w:r>
    </w:p>
  </w:footnote>
  <w:footnote w:id="153">
    <w:p w14:paraId="7E8F679C" w14:textId="3496B37A" w:rsidR="00D14ED3" w:rsidRPr="00B230AE" w:rsidRDefault="00D14ED3" w:rsidP="00D14ED3">
      <w:pPr>
        <w:pStyle w:val="FootnoteText"/>
      </w:pPr>
      <w:r>
        <w:rPr>
          <w:rStyle w:val="FootnoteReference"/>
        </w:rPr>
        <w:footnoteRef/>
      </w:r>
      <w:r w:rsidRPr="00B230AE">
        <w:t xml:space="preserve"> </w:t>
      </w:r>
      <w:r w:rsidR="000A6C2E" w:rsidRPr="00B230AE">
        <w:t>Ex. CWS</w:t>
      </w:r>
      <w:r w:rsidR="00270999" w:rsidRPr="00B230AE">
        <w:noBreakHyphen/>
      </w:r>
      <w:r w:rsidRPr="00B230AE">
        <w:t>20</w:t>
      </w:r>
      <w:r w:rsidR="0005778F" w:rsidRPr="00B230AE">
        <w:t xml:space="preserve"> at </w:t>
      </w:r>
      <w:r w:rsidRPr="00B230AE">
        <w:t>221.</w:t>
      </w:r>
    </w:p>
  </w:footnote>
  <w:footnote w:id="154">
    <w:p w14:paraId="5E86CDAC" w14:textId="4B26D301" w:rsidR="00D14ED3" w:rsidRPr="00B230AE" w:rsidRDefault="00D14ED3" w:rsidP="00D14ED3">
      <w:pPr>
        <w:pStyle w:val="FootnoteText"/>
        <w:rPr>
          <w:szCs w:val="22"/>
        </w:rPr>
      </w:pPr>
      <w:r w:rsidRPr="00CE7B7A">
        <w:rPr>
          <w:rStyle w:val="FootnoteReference"/>
          <w:szCs w:val="22"/>
        </w:rPr>
        <w:footnoteRef/>
      </w:r>
      <w:r w:rsidRPr="00B230AE">
        <w:rPr>
          <w:szCs w:val="22"/>
        </w:rPr>
        <w:t xml:space="preserve"> D.16</w:t>
      </w:r>
      <w:r w:rsidR="00270999" w:rsidRPr="00B230AE">
        <w:rPr>
          <w:szCs w:val="22"/>
        </w:rPr>
        <w:noBreakHyphen/>
      </w:r>
      <w:r w:rsidRPr="00B230AE">
        <w:rPr>
          <w:szCs w:val="22"/>
        </w:rPr>
        <w:t>12</w:t>
      </w:r>
      <w:r w:rsidR="00270999" w:rsidRPr="00B230AE">
        <w:rPr>
          <w:szCs w:val="22"/>
        </w:rPr>
        <w:noBreakHyphen/>
      </w:r>
      <w:r w:rsidRPr="00B230AE">
        <w:rPr>
          <w:szCs w:val="22"/>
        </w:rPr>
        <w:t>026 at O</w:t>
      </w:r>
      <w:r w:rsidR="00501DAF" w:rsidRPr="00B230AE">
        <w:rPr>
          <w:szCs w:val="22"/>
        </w:rPr>
        <w:t xml:space="preserve">pening </w:t>
      </w:r>
      <w:r w:rsidR="005A427F" w:rsidRPr="00B230AE">
        <w:rPr>
          <w:szCs w:val="22"/>
        </w:rPr>
        <w:t>Paragraph </w:t>
      </w:r>
      <w:r w:rsidRPr="00B230AE">
        <w:rPr>
          <w:szCs w:val="22"/>
        </w:rPr>
        <w:t>13.</w:t>
      </w:r>
    </w:p>
  </w:footnote>
  <w:footnote w:id="155">
    <w:p w14:paraId="748D35F1" w14:textId="77FE3F60" w:rsidR="00D14ED3" w:rsidRPr="00B230AE" w:rsidRDefault="00D14ED3" w:rsidP="00D14ED3">
      <w:pPr>
        <w:pStyle w:val="FootnoteText"/>
      </w:pPr>
      <w:r>
        <w:rPr>
          <w:rStyle w:val="FootnoteReference"/>
        </w:rPr>
        <w:footnoteRef/>
      </w:r>
      <w:r w:rsidRPr="00B230AE">
        <w:t xml:space="preserve"> </w:t>
      </w:r>
      <w:r w:rsidR="000A6C2E" w:rsidRPr="00B230AE">
        <w:t>Ex. CWS</w:t>
      </w:r>
      <w:r w:rsidR="00270999" w:rsidRPr="00B230AE">
        <w:noBreakHyphen/>
      </w:r>
      <w:r w:rsidRPr="00B230AE">
        <w:t>50</w:t>
      </w:r>
      <w:r w:rsidR="0005778F" w:rsidRPr="00B230AE">
        <w:t xml:space="preserve"> at </w:t>
      </w:r>
      <w:r w:rsidRPr="00B230AE">
        <w:t>238</w:t>
      </w:r>
      <w:r w:rsidR="00270999" w:rsidRPr="00B230AE">
        <w:noBreakHyphen/>
      </w:r>
      <w:r w:rsidRPr="00B230AE">
        <w:t>239.</w:t>
      </w:r>
    </w:p>
  </w:footnote>
  <w:footnote w:id="156">
    <w:p w14:paraId="685B656B" w14:textId="7176A532" w:rsidR="00D14ED3" w:rsidRPr="00555062" w:rsidRDefault="00D14ED3" w:rsidP="00D14ED3">
      <w:pPr>
        <w:pStyle w:val="FootnoteText"/>
        <w:rPr>
          <w:szCs w:val="22"/>
        </w:rPr>
      </w:pPr>
      <w:r w:rsidRPr="00AA6AE7">
        <w:rPr>
          <w:rStyle w:val="FootnoteReference"/>
          <w:szCs w:val="22"/>
        </w:rPr>
        <w:footnoteRef/>
      </w:r>
      <w:r w:rsidRPr="00555062">
        <w:rPr>
          <w:szCs w:val="22"/>
        </w:rPr>
        <w:t xml:space="preserve"> </w:t>
      </w:r>
      <w:r w:rsidR="00EB50F8">
        <w:rPr>
          <w:szCs w:val="22"/>
        </w:rPr>
        <w:t>Cal Water</w:t>
      </w:r>
      <w:r w:rsidR="00466744">
        <w:rPr>
          <w:szCs w:val="22"/>
        </w:rPr>
        <w:t xml:space="preserve"> OB</w:t>
      </w:r>
      <w:r w:rsidR="0005778F">
        <w:rPr>
          <w:szCs w:val="22"/>
        </w:rPr>
        <w:t xml:space="preserve"> at </w:t>
      </w:r>
      <w:r w:rsidRPr="00555062">
        <w:rPr>
          <w:szCs w:val="22"/>
        </w:rPr>
        <w:t>128.</w:t>
      </w:r>
    </w:p>
  </w:footnote>
  <w:footnote w:id="157">
    <w:p w14:paraId="154EB847" w14:textId="0C2242D1" w:rsidR="00D14ED3" w:rsidRPr="00AA6AE7" w:rsidRDefault="00D14ED3" w:rsidP="00D14ED3">
      <w:pPr>
        <w:pStyle w:val="FootnoteText"/>
        <w:rPr>
          <w:szCs w:val="22"/>
        </w:rPr>
      </w:pPr>
      <w:r w:rsidRPr="00AA6AE7">
        <w:rPr>
          <w:rStyle w:val="FootnoteReference"/>
          <w:szCs w:val="22"/>
        </w:rPr>
        <w:footnoteRef/>
      </w:r>
      <w:r w:rsidRPr="00AA6AE7">
        <w:rPr>
          <w:szCs w:val="22"/>
        </w:rPr>
        <w:t xml:space="preserve"> </w:t>
      </w:r>
      <w:r w:rsidR="00927ABB">
        <w:rPr>
          <w:szCs w:val="22"/>
        </w:rPr>
        <w:t>Ex. CalAdv</w:t>
      </w:r>
      <w:r w:rsidR="00270999">
        <w:rPr>
          <w:szCs w:val="22"/>
        </w:rPr>
        <w:noBreakHyphen/>
      </w:r>
      <w:r w:rsidRPr="00AA6AE7">
        <w:rPr>
          <w:szCs w:val="22"/>
        </w:rPr>
        <w:t>09</w:t>
      </w:r>
      <w:r w:rsidR="0005778F">
        <w:rPr>
          <w:szCs w:val="22"/>
        </w:rPr>
        <w:t xml:space="preserve"> at </w:t>
      </w:r>
      <w:r w:rsidRPr="00AA6AE7">
        <w:rPr>
          <w:szCs w:val="22"/>
        </w:rPr>
        <w:t>3</w:t>
      </w:r>
      <w:r w:rsidR="00270999">
        <w:rPr>
          <w:szCs w:val="22"/>
        </w:rPr>
        <w:noBreakHyphen/>
      </w:r>
      <w:r w:rsidRPr="00AA6AE7">
        <w:rPr>
          <w:szCs w:val="22"/>
        </w:rPr>
        <w:t>8</w:t>
      </w:r>
      <w:r w:rsidR="007D4896">
        <w:rPr>
          <w:szCs w:val="22"/>
        </w:rPr>
        <w:t xml:space="preserve"> to </w:t>
      </w:r>
      <w:r w:rsidRPr="00AA6AE7">
        <w:rPr>
          <w:szCs w:val="22"/>
        </w:rPr>
        <w:t>3</w:t>
      </w:r>
      <w:r w:rsidR="00270999">
        <w:rPr>
          <w:szCs w:val="22"/>
        </w:rPr>
        <w:noBreakHyphen/>
      </w:r>
      <w:r w:rsidRPr="00AA6AE7">
        <w:rPr>
          <w:szCs w:val="22"/>
        </w:rPr>
        <w:t>9.</w:t>
      </w:r>
    </w:p>
  </w:footnote>
  <w:footnote w:id="158">
    <w:p w14:paraId="08003FAF" w14:textId="13BCB57B" w:rsidR="00D14ED3" w:rsidRPr="00AC36E4" w:rsidRDefault="00D14ED3" w:rsidP="00D14ED3">
      <w:pPr>
        <w:pStyle w:val="FootnoteText"/>
        <w:rPr>
          <w:lang w:val="en-ZW"/>
        </w:rPr>
      </w:pPr>
      <w:r>
        <w:rPr>
          <w:rStyle w:val="FootnoteReference"/>
        </w:rPr>
        <w:footnoteRef/>
      </w:r>
      <w:r>
        <w:t xml:space="preserve"> </w:t>
      </w:r>
      <w:r w:rsidR="000A6C2E">
        <w:t>Ex. CWS</w:t>
      </w:r>
      <w:r w:rsidR="00270999">
        <w:noBreakHyphen/>
      </w:r>
      <w:r w:rsidRPr="00AC36E4">
        <w:t xml:space="preserve">51, </w:t>
      </w:r>
      <w:r w:rsidR="00546180">
        <w:t>Appendix </w:t>
      </w:r>
      <w:r w:rsidRPr="00AC36E4">
        <w:t xml:space="preserve">A </w:t>
      </w:r>
      <w:r w:rsidR="00A43D0A">
        <w:t>at </w:t>
      </w:r>
      <w:r w:rsidRPr="00AC36E4">
        <w:t>15.</w:t>
      </w:r>
    </w:p>
  </w:footnote>
  <w:footnote w:id="159">
    <w:p w14:paraId="0C97BF6B" w14:textId="455319A8" w:rsidR="00D14ED3" w:rsidRPr="00AC36E4" w:rsidRDefault="00D14ED3" w:rsidP="00D14ED3">
      <w:pPr>
        <w:pStyle w:val="FootnoteText"/>
        <w:rPr>
          <w:szCs w:val="22"/>
        </w:rPr>
      </w:pPr>
      <w:r w:rsidRPr="00AA6AE7">
        <w:rPr>
          <w:rStyle w:val="FootnoteReference"/>
          <w:szCs w:val="22"/>
        </w:rPr>
        <w:footnoteRef/>
      </w:r>
      <w:r w:rsidRPr="00AC36E4">
        <w:rPr>
          <w:szCs w:val="22"/>
        </w:rPr>
        <w:t xml:space="preserve"> </w:t>
      </w:r>
      <w:r w:rsidR="00EB50F8">
        <w:rPr>
          <w:szCs w:val="22"/>
        </w:rPr>
        <w:t>Cal Water</w:t>
      </w:r>
      <w:r w:rsidR="00466744">
        <w:rPr>
          <w:szCs w:val="22"/>
        </w:rPr>
        <w:t xml:space="preserve"> OB</w:t>
      </w:r>
      <w:r w:rsidR="0005778F">
        <w:rPr>
          <w:szCs w:val="22"/>
        </w:rPr>
        <w:t xml:space="preserve"> at </w:t>
      </w:r>
      <w:r w:rsidRPr="00AC36E4">
        <w:rPr>
          <w:szCs w:val="22"/>
        </w:rPr>
        <w:t>126.</w:t>
      </w:r>
    </w:p>
  </w:footnote>
  <w:footnote w:id="160">
    <w:p w14:paraId="3497311B" w14:textId="03F4158E" w:rsidR="00D14ED3" w:rsidRDefault="00D14ED3" w:rsidP="00D14ED3">
      <w:pPr>
        <w:pStyle w:val="FootnoteText"/>
      </w:pPr>
      <w:r>
        <w:rPr>
          <w:rStyle w:val="FootnoteReference"/>
        </w:rPr>
        <w:footnoteRef/>
      </w:r>
      <w:r>
        <w:t xml:space="preserve"> Even the most careful forecasts of sales cannot be expected to perfectly predict actual water consumption because of the numerous uncontrollable influences that unfold during the </w:t>
      </w:r>
      <w:r w:rsidR="00EF1E5C">
        <w:t>TY</w:t>
      </w:r>
      <w:r>
        <w:t>.</w:t>
      </w:r>
    </w:p>
  </w:footnote>
  <w:footnote w:id="161">
    <w:p w14:paraId="2743AC5B" w14:textId="0BB88A23" w:rsidR="00D14ED3" w:rsidRPr="00385FED" w:rsidRDefault="00D14ED3" w:rsidP="00D14ED3">
      <w:pPr>
        <w:pStyle w:val="FootnoteText"/>
      </w:pPr>
      <w:r>
        <w:rPr>
          <w:rStyle w:val="FootnoteReference"/>
        </w:rPr>
        <w:footnoteRef/>
      </w:r>
      <w:r w:rsidRPr="00385FED">
        <w:t xml:space="preserve"> </w:t>
      </w:r>
      <w:r w:rsidR="00EB50F8">
        <w:t>Cal Water</w:t>
      </w:r>
      <w:r w:rsidR="00466744">
        <w:t xml:space="preserve"> OB</w:t>
      </w:r>
      <w:r w:rsidR="0005778F">
        <w:t xml:space="preserve"> at </w:t>
      </w:r>
      <w:r w:rsidRPr="00385FED">
        <w:t>129.</w:t>
      </w:r>
    </w:p>
  </w:footnote>
  <w:footnote w:id="162">
    <w:p w14:paraId="6A37E6D6" w14:textId="1E7FA86F" w:rsidR="00D14ED3" w:rsidRPr="00385FED" w:rsidRDefault="00D14ED3" w:rsidP="00D14ED3">
      <w:pPr>
        <w:pStyle w:val="FootnoteText"/>
      </w:pPr>
      <w:r>
        <w:rPr>
          <w:rStyle w:val="FootnoteReference"/>
        </w:rPr>
        <w:footnoteRef/>
      </w:r>
      <w:r w:rsidRPr="00385FED">
        <w:t xml:space="preserve"> D.24</w:t>
      </w:r>
      <w:r w:rsidR="00270999">
        <w:noBreakHyphen/>
      </w:r>
      <w:r w:rsidRPr="00385FED">
        <w:t>12</w:t>
      </w:r>
      <w:r w:rsidR="00270999">
        <w:noBreakHyphen/>
      </w:r>
      <w:r w:rsidRPr="00385FED">
        <w:t>025</w:t>
      </w:r>
      <w:r w:rsidR="003A63CF">
        <w:t xml:space="preserve"> at </w:t>
      </w:r>
      <w:r w:rsidRPr="00385FED">
        <w:t>46</w:t>
      </w:r>
      <w:r w:rsidR="00270999">
        <w:noBreakHyphen/>
      </w:r>
      <w:r w:rsidRPr="00385FED">
        <w:t>48; D.25</w:t>
      </w:r>
      <w:r w:rsidR="00270999">
        <w:noBreakHyphen/>
      </w:r>
      <w:r w:rsidRPr="00385FED">
        <w:t>01</w:t>
      </w:r>
      <w:r w:rsidR="00270999">
        <w:noBreakHyphen/>
      </w:r>
      <w:r w:rsidRPr="00385FED">
        <w:t>036</w:t>
      </w:r>
      <w:r w:rsidR="003A63CF">
        <w:t xml:space="preserve"> at </w:t>
      </w:r>
      <w:r w:rsidRPr="00385FED">
        <w:t>74</w:t>
      </w:r>
      <w:r w:rsidR="00270999">
        <w:noBreakHyphen/>
      </w:r>
      <w:r w:rsidRPr="00385FED">
        <w:t>76.</w:t>
      </w:r>
    </w:p>
  </w:footnote>
  <w:footnote w:id="163">
    <w:p w14:paraId="7D9FA064" w14:textId="0090C165" w:rsidR="00D14ED3" w:rsidRPr="00CE7B7A" w:rsidRDefault="00D14ED3" w:rsidP="00D14ED3">
      <w:pPr>
        <w:pStyle w:val="FootnoteText"/>
        <w:rPr>
          <w:szCs w:val="22"/>
          <w:lang w:val="en-ZW"/>
        </w:rPr>
      </w:pPr>
      <w:r w:rsidRPr="00CE7B7A">
        <w:rPr>
          <w:rStyle w:val="FootnoteReference"/>
          <w:szCs w:val="22"/>
        </w:rPr>
        <w:footnoteRef/>
      </w:r>
      <w:r w:rsidRPr="00CE7B7A">
        <w:rPr>
          <w:szCs w:val="22"/>
        </w:rPr>
        <w:t xml:space="preserve"> </w:t>
      </w:r>
      <w:r w:rsidR="00EB50F8">
        <w:rPr>
          <w:szCs w:val="22"/>
          <w:lang w:val="en-ZW"/>
        </w:rPr>
        <w:t>Cal Water</w:t>
      </w:r>
      <w:r w:rsidR="00466744">
        <w:rPr>
          <w:szCs w:val="22"/>
          <w:lang w:val="en-ZW"/>
        </w:rPr>
        <w:t xml:space="preserve"> OB</w:t>
      </w:r>
      <w:r w:rsidR="0005778F">
        <w:rPr>
          <w:szCs w:val="22"/>
          <w:lang w:val="en-ZW"/>
        </w:rPr>
        <w:t xml:space="preserve"> at </w:t>
      </w:r>
      <w:r w:rsidRPr="00CE7B7A">
        <w:rPr>
          <w:szCs w:val="22"/>
          <w:lang w:val="en-ZW"/>
        </w:rPr>
        <w:t>129.</w:t>
      </w:r>
    </w:p>
  </w:footnote>
  <w:footnote w:id="164">
    <w:p w14:paraId="7A16671D" w14:textId="5F380265" w:rsidR="00BF7CD2" w:rsidRDefault="00BF7CD2">
      <w:pPr>
        <w:pStyle w:val="FootnoteText"/>
      </w:pPr>
      <w:r>
        <w:rPr>
          <w:rStyle w:val="FootnoteReference"/>
        </w:rPr>
        <w:footnoteRef/>
      </w:r>
      <w:r>
        <w:t xml:space="preserve"> </w:t>
      </w:r>
      <w:r w:rsidR="00EB50F8">
        <w:t>Cal Water</w:t>
      </w:r>
      <w:r w:rsidRPr="00E32C35">
        <w:t xml:space="preserve"> </w:t>
      </w:r>
      <w:r>
        <w:t>OB</w:t>
      </w:r>
      <w:r w:rsidR="0005778F">
        <w:t xml:space="preserve"> at </w:t>
      </w:r>
      <w:r>
        <w:t>109</w:t>
      </w:r>
      <w:r w:rsidR="00270999">
        <w:noBreakHyphen/>
      </w:r>
      <w:r>
        <w:t>112</w:t>
      </w:r>
      <w:r w:rsidRPr="00E32C35">
        <w:t xml:space="preserve">; </w:t>
      </w:r>
      <w:r w:rsidR="000A6C2E">
        <w:t>Ex. CWS</w:t>
      </w:r>
      <w:r w:rsidR="00270999">
        <w:noBreakHyphen/>
      </w:r>
      <w:r w:rsidRPr="00E32C35">
        <w:t>45</w:t>
      </w:r>
      <w:r w:rsidR="0005778F">
        <w:t xml:space="preserve"> at </w:t>
      </w:r>
      <w:r w:rsidRPr="00E32C35">
        <w:t>4</w:t>
      </w:r>
      <w:r w:rsidR="00270999">
        <w:noBreakHyphen/>
      </w:r>
      <w:r w:rsidRPr="00E32C35">
        <w:t>9.</w:t>
      </w:r>
    </w:p>
  </w:footnote>
  <w:footnote w:id="165">
    <w:p w14:paraId="69D3C6F6" w14:textId="030B95E9" w:rsidR="00BF7CD2" w:rsidRDefault="00BF7CD2">
      <w:pPr>
        <w:pStyle w:val="FootnoteText"/>
      </w:pPr>
      <w:r>
        <w:rPr>
          <w:rStyle w:val="FootnoteReference"/>
        </w:rPr>
        <w:footnoteRef/>
      </w:r>
      <w:r>
        <w:t xml:space="preserve"> </w:t>
      </w:r>
      <w:r w:rsidR="00EB50F8">
        <w:t>Cal Water</w:t>
      </w:r>
      <w:r w:rsidRPr="00E32C35">
        <w:t xml:space="preserve"> </w:t>
      </w:r>
      <w:r>
        <w:t>RB</w:t>
      </w:r>
      <w:r w:rsidR="0005778F">
        <w:t xml:space="preserve"> at </w:t>
      </w:r>
      <w:r>
        <w:t>85</w:t>
      </w:r>
      <w:r w:rsidR="00270999">
        <w:noBreakHyphen/>
      </w:r>
      <w:r>
        <w:t>87</w:t>
      </w:r>
      <w:r w:rsidRPr="00E32C35">
        <w:t xml:space="preserve">; </w:t>
      </w:r>
      <w:r w:rsidR="000A6C2E">
        <w:t>Ex. CWS</w:t>
      </w:r>
      <w:r w:rsidR="00270999">
        <w:noBreakHyphen/>
      </w:r>
      <w:r w:rsidRPr="00E32C35">
        <w:t>46</w:t>
      </w:r>
      <w:r w:rsidR="0005778F">
        <w:t xml:space="preserve"> at </w:t>
      </w:r>
      <w:r w:rsidRPr="00E32C35">
        <w:t>3</w:t>
      </w:r>
      <w:r w:rsidR="00270999">
        <w:noBreakHyphen/>
      </w:r>
      <w:r w:rsidRPr="00E32C35">
        <w:t>4.</w:t>
      </w:r>
    </w:p>
  </w:footnote>
  <w:footnote w:id="166">
    <w:p w14:paraId="6997C092" w14:textId="6BCBF737" w:rsidR="00BF7CD2" w:rsidRDefault="00BF7CD2">
      <w:pPr>
        <w:pStyle w:val="FootnoteText"/>
      </w:pPr>
      <w:r>
        <w:rPr>
          <w:rStyle w:val="FootnoteReference"/>
        </w:rPr>
        <w:footnoteRef/>
      </w:r>
      <w:r>
        <w:t xml:space="preserve"> </w:t>
      </w:r>
      <w:r w:rsidR="00EB50F8">
        <w:t>Cal Advocates</w:t>
      </w:r>
      <w:r w:rsidRPr="00E32C35">
        <w:t xml:space="preserve"> </w:t>
      </w:r>
      <w:r>
        <w:t>OB</w:t>
      </w:r>
      <w:r w:rsidR="0005778F">
        <w:t xml:space="preserve"> at </w:t>
      </w:r>
      <w:r w:rsidRPr="00E32C35">
        <w:t>1</w:t>
      </w:r>
      <w:r>
        <w:t>2</w:t>
      </w:r>
      <w:r w:rsidRPr="00E32C35">
        <w:t>0</w:t>
      </w:r>
      <w:r w:rsidR="00270999">
        <w:noBreakHyphen/>
      </w:r>
      <w:r w:rsidRPr="00E32C35">
        <w:t>1</w:t>
      </w:r>
      <w:r>
        <w:t>2</w:t>
      </w:r>
      <w:r w:rsidRPr="00E32C35">
        <w:t xml:space="preserve">2; </w:t>
      </w:r>
      <w:r w:rsidR="009D0D2F">
        <w:t>Ex. CalPA</w:t>
      </w:r>
      <w:r w:rsidR="00270999">
        <w:noBreakHyphen/>
      </w:r>
      <w:r w:rsidRPr="00E32C35">
        <w:t>18</w:t>
      </w:r>
      <w:r w:rsidR="0005778F">
        <w:t xml:space="preserve"> at </w:t>
      </w:r>
      <w:r w:rsidRPr="00E32C35">
        <w:t>31</w:t>
      </w:r>
      <w:r w:rsidR="00270999">
        <w:noBreakHyphen/>
      </w:r>
      <w:r w:rsidRPr="00E32C35">
        <w:t>33</w:t>
      </w:r>
      <w:r>
        <w:t>.</w:t>
      </w:r>
    </w:p>
  </w:footnote>
  <w:footnote w:id="167">
    <w:p w14:paraId="31ABDC57" w14:textId="6C83106C" w:rsidR="00BF7CD2" w:rsidRPr="006271A0" w:rsidRDefault="00BF7CD2">
      <w:pPr>
        <w:pStyle w:val="FootnoteText"/>
        <w:rPr>
          <w:lang w:val="da-DK"/>
        </w:rPr>
      </w:pPr>
      <w:r>
        <w:rPr>
          <w:rStyle w:val="FootnoteReference"/>
        </w:rPr>
        <w:footnoteRef/>
      </w:r>
      <w:r>
        <w:t xml:space="preserve"> </w:t>
      </w:r>
      <w:r w:rsidR="00EB50F8">
        <w:t>Cal Advocates</w:t>
      </w:r>
      <w:r w:rsidRPr="00E32C35">
        <w:t xml:space="preserve"> </w:t>
      </w:r>
      <w:r>
        <w:t>RB</w:t>
      </w:r>
      <w:r w:rsidR="0005778F">
        <w:t xml:space="preserve"> at </w:t>
      </w:r>
      <w:r>
        <w:t>60</w:t>
      </w:r>
      <w:r w:rsidR="00270999">
        <w:noBreakHyphen/>
      </w:r>
      <w:r>
        <w:t>63</w:t>
      </w:r>
      <w:r w:rsidRPr="00E32C35">
        <w:t xml:space="preserve">; </w:t>
      </w:r>
      <w:r w:rsidR="009D0D2F">
        <w:t>Ex. </w:t>
      </w:r>
      <w:r w:rsidR="009D0D2F" w:rsidRPr="00B230AE">
        <w:rPr>
          <w:lang w:val="da-DK"/>
        </w:rPr>
        <w:t>CalPA</w:t>
      </w:r>
      <w:r w:rsidR="00270999" w:rsidRPr="00B230AE">
        <w:rPr>
          <w:lang w:val="da-DK"/>
        </w:rPr>
        <w:noBreakHyphen/>
      </w:r>
      <w:r w:rsidRPr="006271A0">
        <w:rPr>
          <w:lang w:val="da-DK"/>
        </w:rPr>
        <w:t>19</w:t>
      </w:r>
      <w:r w:rsidR="0005778F">
        <w:rPr>
          <w:lang w:val="da-DK"/>
        </w:rPr>
        <w:t xml:space="preserve"> at </w:t>
      </w:r>
      <w:r w:rsidRPr="006271A0">
        <w:rPr>
          <w:lang w:val="da-DK"/>
        </w:rPr>
        <w:t>26</w:t>
      </w:r>
      <w:r w:rsidR="00270999">
        <w:rPr>
          <w:lang w:val="da-DK"/>
        </w:rPr>
        <w:noBreakHyphen/>
      </w:r>
      <w:r w:rsidRPr="006271A0">
        <w:rPr>
          <w:lang w:val="da-DK"/>
        </w:rPr>
        <w:t>28.</w:t>
      </w:r>
    </w:p>
  </w:footnote>
  <w:footnote w:id="168">
    <w:p w14:paraId="4E94617E" w14:textId="2FCDB185" w:rsidR="00BF7CD2" w:rsidRPr="006271A0" w:rsidRDefault="00BF7CD2">
      <w:pPr>
        <w:pStyle w:val="FootnoteText"/>
        <w:rPr>
          <w:lang w:val="da-DK"/>
        </w:rPr>
      </w:pPr>
      <w:r>
        <w:rPr>
          <w:rStyle w:val="FootnoteReference"/>
        </w:rPr>
        <w:footnoteRef/>
      </w:r>
      <w:r w:rsidRPr="006271A0">
        <w:rPr>
          <w:lang w:val="da-DK"/>
        </w:rPr>
        <w:t xml:space="preserve"> NAWC OB</w:t>
      </w:r>
      <w:r w:rsidR="0005778F">
        <w:rPr>
          <w:lang w:val="da-DK"/>
        </w:rPr>
        <w:t xml:space="preserve"> at </w:t>
      </w:r>
      <w:r w:rsidRPr="006271A0">
        <w:rPr>
          <w:lang w:val="da-DK"/>
        </w:rPr>
        <w:t>87</w:t>
      </w:r>
      <w:r w:rsidR="00270999">
        <w:rPr>
          <w:lang w:val="da-DK"/>
        </w:rPr>
        <w:noBreakHyphen/>
      </w:r>
      <w:r w:rsidRPr="006271A0">
        <w:rPr>
          <w:lang w:val="da-DK"/>
        </w:rPr>
        <w:t xml:space="preserve">88; </w:t>
      </w:r>
      <w:r w:rsidR="009F0975">
        <w:rPr>
          <w:lang w:val="da-DK"/>
        </w:rPr>
        <w:t xml:space="preserve">CWA </w:t>
      </w:r>
      <w:r w:rsidR="009D0D2F">
        <w:rPr>
          <w:lang w:val="da-DK"/>
        </w:rPr>
        <w:t>RB</w:t>
      </w:r>
      <w:r w:rsidR="0005778F">
        <w:rPr>
          <w:lang w:val="da-DK"/>
        </w:rPr>
        <w:t xml:space="preserve"> at </w:t>
      </w:r>
      <w:r w:rsidRPr="006271A0">
        <w:rPr>
          <w:lang w:val="da-DK"/>
        </w:rPr>
        <w:t>44</w:t>
      </w:r>
      <w:r w:rsidR="00270999">
        <w:rPr>
          <w:lang w:val="da-DK"/>
        </w:rPr>
        <w:noBreakHyphen/>
      </w:r>
      <w:r w:rsidRPr="006271A0">
        <w:rPr>
          <w:lang w:val="da-DK"/>
        </w:rPr>
        <w:t>45.</w:t>
      </w:r>
    </w:p>
  </w:footnote>
  <w:footnote w:id="169">
    <w:p w14:paraId="7923209F" w14:textId="3EAD526C" w:rsidR="00BF7CD2" w:rsidRDefault="00BF7CD2">
      <w:pPr>
        <w:pStyle w:val="FootnoteText"/>
      </w:pPr>
      <w:r>
        <w:rPr>
          <w:rStyle w:val="FootnoteReference"/>
        </w:rPr>
        <w:footnoteRef/>
      </w:r>
      <w:r>
        <w:t xml:space="preserve"> </w:t>
      </w:r>
      <w:r w:rsidR="00EB50F8">
        <w:t>Cal Water</w:t>
      </w:r>
      <w:r w:rsidRPr="00E32C35">
        <w:t xml:space="preserve"> </w:t>
      </w:r>
      <w:r>
        <w:t>OB</w:t>
      </w:r>
      <w:r w:rsidR="0005778F">
        <w:t xml:space="preserve"> at </w:t>
      </w:r>
      <w:r>
        <w:t>109</w:t>
      </w:r>
      <w:r w:rsidR="00270999">
        <w:noBreakHyphen/>
      </w:r>
      <w:r>
        <w:t>112</w:t>
      </w:r>
      <w:r w:rsidRPr="00E32C35">
        <w:t xml:space="preserve">; </w:t>
      </w:r>
      <w:r w:rsidR="000A6C2E">
        <w:t>Ex. CWS</w:t>
      </w:r>
      <w:r w:rsidR="00270999">
        <w:noBreakHyphen/>
      </w:r>
      <w:r w:rsidRPr="00E32C35">
        <w:t>45</w:t>
      </w:r>
      <w:r w:rsidR="0005778F">
        <w:t xml:space="preserve"> at </w:t>
      </w:r>
      <w:r w:rsidRPr="00E32C35">
        <w:t>5</w:t>
      </w:r>
      <w:r w:rsidR="00270999">
        <w:noBreakHyphen/>
      </w:r>
      <w:r w:rsidRPr="00E32C35">
        <w:t>7.</w:t>
      </w:r>
    </w:p>
  </w:footnote>
  <w:footnote w:id="170">
    <w:p w14:paraId="01E6BFF8" w14:textId="77594188" w:rsidR="00732974" w:rsidRDefault="00732974">
      <w:pPr>
        <w:pStyle w:val="FootnoteText"/>
      </w:pPr>
      <w:r>
        <w:rPr>
          <w:rStyle w:val="FootnoteReference"/>
        </w:rPr>
        <w:footnoteRef/>
      </w:r>
      <w:r>
        <w:t xml:space="preserve"> </w:t>
      </w:r>
      <w:r w:rsidR="00EB50F8">
        <w:t>Cal Water</w:t>
      </w:r>
      <w:r w:rsidRPr="00E32C35">
        <w:t xml:space="preserve"> </w:t>
      </w:r>
      <w:r>
        <w:t>RB</w:t>
      </w:r>
      <w:r w:rsidR="0005778F">
        <w:t xml:space="preserve"> at </w:t>
      </w:r>
      <w:r>
        <w:t>85</w:t>
      </w:r>
      <w:r w:rsidR="00270999">
        <w:noBreakHyphen/>
      </w:r>
      <w:r>
        <w:t>87</w:t>
      </w:r>
      <w:r w:rsidRPr="00E32C35">
        <w:t xml:space="preserve">; </w:t>
      </w:r>
      <w:r w:rsidR="000A6C2E">
        <w:t>Ex. CWS</w:t>
      </w:r>
      <w:r w:rsidR="00270999">
        <w:noBreakHyphen/>
      </w:r>
      <w:r w:rsidRPr="00E32C35">
        <w:t>46</w:t>
      </w:r>
      <w:r w:rsidR="0005778F">
        <w:t xml:space="preserve"> at </w:t>
      </w:r>
      <w:r w:rsidRPr="00E32C35">
        <w:t>4.</w:t>
      </w:r>
    </w:p>
  </w:footnote>
  <w:footnote w:id="171">
    <w:p w14:paraId="1B2FBEAB" w14:textId="7ED1AD77" w:rsidR="00732974" w:rsidRDefault="00732974">
      <w:pPr>
        <w:pStyle w:val="FootnoteText"/>
      </w:pPr>
      <w:r>
        <w:rPr>
          <w:rStyle w:val="FootnoteReference"/>
        </w:rPr>
        <w:footnoteRef/>
      </w:r>
      <w:r>
        <w:t xml:space="preserve"> </w:t>
      </w:r>
      <w:r w:rsidR="00EB50F8">
        <w:t>Cal Advocates</w:t>
      </w:r>
      <w:r w:rsidRPr="00E32C35">
        <w:t xml:space="preserve"> </w:t>
      </w:r>
      <w:r>
        <w:t>OB</w:t>
      </w:r>
      <w:r w:rsidR="0005778F">
        <w:t xml:space="preserve"> at </w:t>
      </w:r>
      <w:r>
        <w:t>120</w:t>
      </w:r>
      <w:r w:rsidR="00270999">
        <w:noBreakHyphen/>
      </w:r>
      <w:r>
        <w:t>122</w:t>
      </w:r>
      <w:r w:rsidRPr="00E32C35">
        <w:t xml:space="preserve">; </w:t>
      </w:r>
      <w:r w:rsidR="009D0D2F">
        <w:t>Ex. CalPA</w:t>
      </w:r>
      <w:r w:rsidR="00270999">
        <w:noBreakHyphen/>
      </w:r>
      <w:r w:rsidRPr="00E32C35">
        <w:t>18</w:t>
      </w:r>
      <w:r w:rsidR="0005778F">
        <w:t xml:space="preserve"> at </w:t>
      </w:r>
      <w:r w:rsidRPr="00E32C35">
        <w:t>32.</w:t>
      </w:r>
    </w:p>
  </w:footnote>
  <w:footnote w:id="172">
    <w:p w14:paraId="29251E8B" w14:textId="196EC90A" w:rsidR="00732974" w:rsidRDefault="00732974">
      <w:pPr>
        <w:pStyle w:val="FootnoteText"/>
      </w:pPr>
      <w:r>
        <w:rPr>
          <w:rStyle w:val="FootnoteReference"/>
        </w:rPr>
        <w:footnoteRef/>
      </w:r>
      <w:r>
        <w:t xml:space="preserve"> </w:t>
      </w:r>
      <w:r w:rsidR="00EB50F8">
        <w:t>Cal Advocates</w:t>
      </w:r>
      <w:r w:rsidRPr="00E32C35">
        <w:t xml:space="preserve"> </w:t>
      </w:r>
      <w:r>
        <w:t>RB</w:t>
      </w:r>
      <w:r w:rsidR="0005778F">
        <w:t xml:space="preserve"> at </w:t>
      </w:r>
      <w:r>
        <w:t>60</w:t>
      </w:r>
      <w:r w:rsidR="00270999">
        <w:noBreakHyphen/>
      </w:r>
      <w:r>
        <w:t>63</w:t>
      </w:r>
      <w:r w:rsidRPr="00E32C35">
        <w:t xml:space="preserve">; </w:t>
      </w:r>
      <w:r w:rsidR="009D0D2F">
        <w:t>Ex. CalPA</w:t>
      </w:r>
      <w:r w:rsidR="00270999">
        <w:noBreakHyphen/>
      </w:r>
      <w:r w:rsidRPr="00E32C35">
        <w:t>19</w:t>
      </w:r>
      <w:r w:rsidR="0005778F">
        <w:t xml:space="preserve"> at </w:t>
      </w:r>
      <w:r w:rsidRPr="00E32C35">
        <w:t>27.</w:t>
      </w:r>
    </w:p>
  </w:footnote>
  <w:footnote w:id="173">
    <w:p w14:paraId="7786D868" w14:textId="707808B7" w:rsidR="00732974" w:rsidRDefault="00732974">
      <w:pPr>
        <w:pStyle w:val="FootnoteText"/>
      </w:pPr>
      <w:r>
        <w:rPr>
          <w:rStyle w:val="FootnoteReference"/>
        </w:rPr>
        <w:footnoteRef/>
      </w:r>
      <w:r>
        <w:t xml:space="preserve"> </w:t>
      </w:r>
      <w:r w:rsidR="00EB50F8">
        <w:t>Cal Advocates</w:t>
      </w:r>
      <w:r w:rsidRPr="000A7330">
        <w:t xml:space="preserve"> </w:t>
      </w:r>
      <w:r>
        <w:t>OB</w:t>
      </w:r>
      <w:r w:rsidR="0005778F">
        <w:t xml:space="preserve"> at </w:t>
      </w:r>
      <w:r w:rsidRPr="000A7330">
        <w:t>120</w:t>
      </w:r>
      <w:r w:rsidR="00270999">
        <w:noBreakHyphen/>
      </w:r>
      <w:r w:rsidRPr="000A7330">
        <w:t>122</w:t>
      </w:r>
      <w:r w:rsidR="00F7288A">
        <w:t xml:space="preserve">; </w:t>
      </w:r>
      <w:r w:rsidR="00EB50F8">
        <w:t>Cal Advocates</w:t>
      </w:r>
      <w:r w:rsidR="00F7288A">
        <w:t xml:space="preserve"> RB</w:t>
      </w:r>
      <w:r w:rsidR="0005778F">
        <w:t xml:space="preserve"> at </w:t>
      </w:r>
      <w:r w:rsidRPr="000A7330">
        <w:t>60</w:t>
      </w:r>
      <w:r w:rsidR="00270999">
        <w:noBreakHyphen/>
      </w:r>
      <w:r w:rsidRPr="000A7330">
        <w:t xml:space="preserve">63; </w:t>
      </w:r>
      <w:r w:rsidR="00EB50F8">
        <w:t>Cal Water</w:t>
      </w:r>
      <w:r w:rsidRPr="000A7330">
        <w:t xml:space="preserve"> </w:t>
      </w:r>
      <w:r>
        <w:t>OB</w:t>
      </w:r>
      <w:r w:rsidR="0005778F">
        <w:t xml:space="preserve"> at </w:t>
      </w:r>
      <w:r w:rsidRPr="000A7330">
        <w:t>109</w:t>
      </w:r>
      <w:r w:rsidR="00270999">
        <w:noBreakHyphen/>
      </w:r>
      <w:r w:rsidRPr="000A7330">
        <w:t>112;</w:t>
      </w:r>
      <w:r>
        <w:t xml:space="preserve"> </w:t>
      </w:r>
      <w:r w:rsidR="00EB50F8">
        <w:t>Cal Water</w:t>
      </w:r>
      <w:r w:rsidRPr="000A7330">
        <w:t xml:space="preserve"> </w:t>
      </w:r>
      <w:r>
        <w:t>RB</w:t>
      </w:r>
      <w:r w:rsidR="0005778F">
        <w:t xml:space="preserve"> at </w:t>
      </w:r>
      <w:r w:rsidRPr="000A7330">
        <w:t>85</w:t>
      </w:r>
      <w:r w:rsidR="00270999">
        <w:noBreakHyphen/>
      </w:r>
      <w:r w:rsidRPr="000A7330">
        <w:t>87.</w:t>
      </w:r>
    </w:p>
  </w:footnote>
  <w:footnote w:id="174">
    <w:p w14:paraId="0B0DDEE7" w14:textId="5C217976" w:rsidR="00732974" w:rsidRDefault="00732974">
      <w:pPr>
        <w:pStyle w:val="FootnoteText"/>
      </w:pPr>
      <w:r>
        <w:rPr>
          <w:rStyle w:val="FootnoteReference"/>
        </w:rPr>
        <w:footnoteRef/>
      </w:r>
      <w:r>
        <w:t xml:space="preserve"> </w:t>
      </w:r>
      <w:r w:rsidR="00EB50F8">
        <w:t>Cal Advocates</w:t>
      </w:r>
      <w:r w:rsidRPr="000A7330">
        <w:t xml:space="preserve"> </w:t>
      </w:r>
      <w:r>
        <w:t>RB</w:t>
      </w:r>
      <w:r w:rsidR="0005778F">
        <w:t xml:space="preserve"> at </w:t>
      </w:r>
      <w:r w:rsidRPr="000A7330">
        <w:t>60</w:t>
      </w:r>
      <w:r w:rsidR="00270999">
        <w:noBreakHyphen/>
      </w:r>
      <w:r w:rsidRPr="000A7330">
        <w:t>63.</w:t>
      </w:r>
    </w:p>
  </w:footnote>
  <w:footnote w:id="175">
    <w:p w14:paraId="1E334188" w14:textId="53C6DB00" w:rsidR="00732974" w:rsidRDefault="00732974">
      <w:pPr>
        <w:pStyle w:val="FootnoteText"/>
      </w:pPr>
      <w:r>
        <w:rPr>
          <w:rStyle w:val="FootnoteReference"/>
        </w:rPr>
        <w:footnoteRef/>
      </w:r>
      <w:r>
        <w:t xml:space="preserve"> </w:t>
      </w:r>
      <w:r w:rsidR="00EB50F8">
        <w:t>Cal Water</w:t>
      </w:r>
      <w:r w:rsidRPr="000A7330">
        <w:t xml:space="preserve"> </w:t>
      </w:r>
      <w:r>
        <w:t>RB</w:t>
      </w:r>
      <w:r w:rsidR="0005778F">
        <w:t xml:space="preserve"> at </w:t>
      </w:r>
      <w:r w:rsidRPr="000A7330">
        <w:t>85</w:t>
      </w:r>
      <w:r w:rsidR="00270999">
        <w:noBreakHyphen/>
      </w:r>
      <w:r w:rsidRPr="000A7330">
        <w:t>87.</w:t>
      </w:r>
    </w:p>
  </w:footnote>
  <w:footnote w:id="176">
    <w:p w14:paraId="747FA3AC" w14:textId="653D49B5" w:rsidR="00CB729D" w:rsidRDefault="00CB729D">
      <w:pPr>
        <w:pStyle w:val="FootnoteText"/>
      </w:pPr>
      <w:r>
        <w:rPr>
          <w:rStyle w:val="FootnoteReference"/>
        </w:rPr>
        <w:footnoteRef/>
      </w:r>
      <w:r>
        <w:t xml:space="preserve"> </w:t>
      </w:r>
      <w:r w:rsidR="0080343B" w:rsidRPr="0080343B">
        <w:rPr>
          <w:i/>
          <w:iCs/>
        </w:rPr>
        <w:t xml:space="preserve">See </w:t>
      </w:r>
      <w:r w:rsidR="00546180">
        <w:t>Appendix </w:t>
      </w:r>
      <w:r w:rsidR="00111CBC">
        <w:t>Y</w:t>
      </w:r>
      <w:r>
        <w:t>.</w:t>
      </w:r>
    </w:p>
  </w:footnote>
  <w:footnote w:id="177">
    <w:p w14:paraId="5DCB9C5A" w14:textId="04020D9C" w:rsidR="00CB729D" w:rsidRDefault="00CB729D">
      <w:pPr>
        <w:pStyle w:val="FootnoteText"/>
      </w:pPr>
      <w:r>
        <w:rPr>
          <w:rStyle w:val="FootnoteReference"/>
        </w:rPr>
        <w:footnoteRef/>
      </w:r>
      <w:r>
        <w:t xml:space="preserve"> </w:t>
      </w:r>
      <w:r w:rsidR="00EB50F8">
        <w:t>Cal Water</w:t>
      </w:r>
      <w:r w:rsidRPr="00A0257D">
        <w:t xml:space="preserve"> </w:t>
      </w:r>
      <w:r>
        <w:t>OB</w:t>
      </w:r>
      <w:r w:rsidR="0005778F">
        <w:t xml:space="preserve"> at </w:t>
      </w:r>
      <w:r w:rsidRPr="00A0257D">
        <w:t>141</w:t>
      </w:r>
      <w:r w:rsidR="00270999">
        <w:noBreakHyphen/>
      </w:r>
      <w:r w:rsidRPr="00A0257D">
        <w:t>142.</w:t>
      </w:r>
    </w:p>
  </w:footnote>
  <w:footnote w:id="178">
    <w:p w14:paraId="76251B5D" w14:textId="2ED5E2D2" w:rsidR="00CB729D" w:rsidRDefault="00CB729D">
      <w:pPr>
        <w:pStyle w:val="FootnoteText"/>
      </w:pPr>
      <w:r>
        <w:rPr>
          <w:rStyle w:val="FootnoteReference"/>
        </w:rPr>
        <w:footnoteRef/>
      </w:r>
      <w:r>
        <w:t xml:space="preserve"> </w:t>
      </w:r>
      <w:r w:rsidR="00EB50F8">
        <w:t>Cal Water</w:t>
      </w:r>
      <w:r w:rsidRPr="00A74D24">
        <w:t xml:space="preserve"> </w:t>
      </w:r>
      <w:r>
        <w:t>OB</w:t>
      </w:r>
      <w:r w:rsidR="0005778F">
        <w:t xml:space="preserve"> at </w:t>
      </w:r>
      <w:r w:rsidRPr="00A74D24">
        <w:t>135</w:t>
      </w:r>
      <w:r w:rsidR="00270999">
        <w:noBreakHyphen/>
      </w:r>
      <w:r w:rsidRPr="00A74D24">
        <w:t xml:space="preserve">140; </w:t>
      </w:r>
      <w:r w:rsidR="000A6C2E">
        <w:t>Ex. CWS</w:t>
      </w:r>
      <w:r w:rsidR="00270999">
        <w:noBreakHyphen/>
      </w:r>
      <w:r w:rsidRPr="00A74D24">
        <w:t>45</w:t>
      </w:r>
      <w:r w:rsidR="0005778F">
        <w:t xml:space="preserve"> at </w:t>
      </w:r>
      <w:r w:rsidRPr="00A74D24">
        <w:t>7</w:t>
      </w:r>
      <w:r w:rsidR="00270999">
        <w:noBreakHyphen/>
      </w:r>
      <w:r w:rsidRPr="00A74D24">
        <w:t>9</w:t>
      </w:r>
      <w:r>
        <w:t>.</w:t>
      </w:r>
    </w:p>
  </w:footnote>
  <w:footnote w:id="179">
    <w:p w14:paraId="75C5ACBF" w14:textId="560C8E9B" w:rsidR="00CB729D" w:rsidRDefault="00CB729D">
      <w:pPr>
        <w:pStyle w:val="FootnoteText"/>
      </w:pPr>
      <w:r>
        <w:rPr>
          <w:rStyle w:val="FootnoteReference"/>
        </w:rPr>
        <w:footnoteRef/>
      </w:r>
      <w:r>
        <w:t xml:space="preserve"> </w:t>
      </w:r>
      <w:r w:rsidR="00EB50F8">
        <w:t>Cal Water</w:t>
      </w:r>
      <w:r w:rsidRPr="00A74D24">
        <w:t xml:space="preserve"> OB</w:t>
      </w:r>
      <w:r w:rsidR="0005778F">
        <w:t xml:space="preserve"> at </w:t>
      </w:r>
      <w:r w:rsidRPr="00A74D24">
        <w:t>137</w:t>
      </w:r>
      <w:r w:rsidR="00270999">
        <w:noBreakHyphen/>
      </w:r>
      <w:r w:rsidRPr="00A74D24">
        <w:t>139.</w:t>
      </w:r>
    </w:p>
  </w:footnote>
  <w:footnote w:id="180">
    <w:p w14:paraId="039478B9" w14:textId="0E0DA8D3" w:rsidR="00CB729D" w:rsidRDefault="00CB729D">
      <w:pPr>
        <w:pStyle w:val="FootnoteText"/>
      </w:pPr>
      <w:r>
        <w:rPr>
          <w:rStyle w:val="FootnoteReference"/>
        </w:rPr>
        <w:footnoteRef/>
      </w:r>
      <w:r>
        <w:t xml:space="preserve"> </w:t>
      </w:r>
      <w:r w:rsidR="00EB50F8">
        <w:t>Cal Advocates</w:t>
      </w:r>
      <w:r w:rsidRPr="003E73D4">
        <w:t xml:space="preserve"> OB</w:t>
      </w:r>
      <w:r w:rsidR="0005778F">
        <w:t xml:space="preserve"> at </w:t>
      </w:r>
      <w:r w:rsidRPr="003E73D4">
        <w:t>120</w:t>
      </w:r>
      <w:r w:rsidR="00270999">
        <w:noBreakHyphen/>
      </w:r>
      <w:r w:rsidRPr="003E73D4">
        <w:t xml:space="preserve">125; </w:t>
      </w:r>
      <w:r w:rsidR="009D0D2F">
        <w:t>Ex. CalPA</w:t>
      </w:r>
      <w:r w:rsidR="00270999">
        <w:noBreakHyphen/>
      </w:r>
      <w:r w:rsidRPr="003E73D4">
        <w:t>14</w:t>
      </w:r>
      <w:r w:rsidR="0005778F">
        <w:t xml:space="preserve"> at </w:t>
      </w:r>
      <w:r w:rsidRPr="003E73D4">
        <w:t>20</w:t>
      </w:r>
      <w:r w:rsidR="00270999">
        <w:noBreakHyphen/>
      </w:r>
      <w:r w:rsidRPr="003E73D4">
        <w:t xml:space="preserve">21; </w:t>
      </w:r>
      <w:r w:rsidR="00EB50F8">
        <w:t>Cal Advocates</w:t>
      </w:r>
      <w:r w:rsidRPr="003E73D4">
        <w:t xml:space="preserve"> RB</w:t>
      </w:r>
      <w:r w:rsidR="0005778F">
        <w:t xml:space="preserve"> at </w:t>
      </w:r>
      <w:r w:rsidRPr="003E73D4">
        <w:t>60</w:t>
      </w:r>
      <w:r w:rsidR="00270999">
        <w:noBreakHyphen/>
      </w:r>
      <w:r w:rsidRPr="003E73D4">
        <w:t xml:space="preserve">61; </w:t>
      </w:r>
      <w:r w:rsidR="009D0D2F">
        <w:t>Ex. CalPA</w:t>
      </w:r>
      <w:r w:rsidR="00270999">
        <w:noBreakHyphen/>
      </w:r>
      <w:r w:rsidRPr="003E73D4">
        <w:t>15</w:t>
      </w:r>
      <w:r w:rsidR="0005778F">
        <w:t xml:space="preserve"> at </w:t>
      </w:r>
      <w:r w:rsidRPr="003E73D4">
        <w:t>6.</w:t>
      </w:r>
    </w:p>
  </w:footnote>
  <w:footnote w:id="181">
    <w:p w14:paraId="37672C81" w14:textId="55361F6D" w:rsidR="00CB729D" w:rsidRDefault="00CB729D">
      <w:pPr>
        <w:pStyle w:val="FootnoteText"/>
      </w:pPr>
      <w:r>
        <w:rPr>
          <w:rStyle w:val="FootnoteReference"/>
        </w:rPr>
        <w:footnoteRef/>
      </w:r>
      <w:r>
        <w:t xml:space="preserve"> </w:t>
      </w:r>
      <w:r w:rsidR="00EB50F8">
        <w:t>Cal Water</w:t>
      </w:r>
      <w:r>
        <w:t xml:space="preserve"> RB</w:t>
      </w:r>
      <w:r w:rsidR="0005778F">
        <w:t xml:space="preserve"> at </w:t>
      </w:r>
      <w:r>
        <w:t>85</w:t>
      </w:r>
      <w:r w:rsidR="00270999">
        <w:noBreakHyphen/>
      </w:r>
      <w:r>
        <w:t xml:space="preserve">86; </w:t>
      </w:r>
      <w:r w:rsidR="000A6C2E">
        <w:t>Ex. CWS</w:t>
      </w:r>
      <w:r w:rsidR="00270999">
        <w:noBreakHyphen/>
      </w:r>
      <w:r w:rsidRPr="00A74D24">
        <w:t>47</w:t>
      </w:r>
      <w:r w:rsidR="0005778F">
        <w:t xml:space="preserve"> at </w:t>
      </w:r>
      <w:r w:rsidRPr="00A74D24">
        <w:t>3.</w:t>
      </w:r>
    </w:p>
  </w:footnote>
  <w:footnote w:id="182">
    <w:p w14:paraId="20AE0674" w14:textId="459D552C" w:rsidR="00D26DBF" w:rsidRDefault="00D26DBF">
      <w:pPr>
        <w:pStyle w:val="FootnoteText"/>
      </w:pPr>
      <w:r>
        <w:rPr>
          <w:rStyle w:val="FootnoteReference"/>
        </w:rPr>
        <w:footnoteRef/>
      </w:r>
      <w:r>
        <w:t xml:space="preserve"> </w:t>
      </w:r>
      <w:r w:rsidRPr="00A74D24">
        <w:t xml:space="preserve">NAWC </w:t>
      </w:r>
      <w:r>
        <w:t>OB</w:t>
      </w:r>
      <w:r w:rsidR="0005778F">
        <w:t xml:space="preserve"> at </w:t>
      </w:r>
      <w:r w:rsidRPr="00A74D24">
        <w:t>130</w:t>
      </w:r>
      <w:r w:rsidR="00270999">
        <w:noBreakHyphen/>
      </w:r>
      <w:r w:rsidRPr="00A74D24">
        <w:t>132.</w:t>
      </w:r>
    </w:p>
  </w:footnote>
  <w:footnote w:id="183">
    <w:p w14:paraId="53E110F9" w14:textId="0F063D6E" w:rsidR="00D26DBF" w:rsidRDefault="00D26DBF">
      <w:pPr>
        <w:pStyle w:val="FootnoteText"/>
      </w:pPr>
      <w:r>
        <w:rPr>
          <w:rStyle w:val="FootnoteReference"/>
        </w:rPr>
        <w:footnoteRef/>
      </w:r>
      <w:r>
        <w:t xml:space="preserve"> </w:t>
      </w:r>
      <w:r w:rsidR="00DE3CFA">
        <w:t>CWA</w:t>
      </w:r>
      <w:r w:rsidR="009D0D2F">
        <w:t xml:space="preserve"> RB</w:t>
      </w:r>
      <w:r w:rsidR="0005778F">
        <w:t xml:space="preserve"> at </w:t>
      </w:r>
      <w:r w:rsidRPr="00A74D24">
        <w:t>55</w:t>
      </w:r>
      <w:r w:rsidR="00270999">
        <w:noBreakHyphen/>
      </w:r>
      <w:r w:rsidRPr="00A74D24">
        <w:t>56</w:t>
      </w:r>
      <w:r>
        <w:t>.</w:t>
      </w:r>
    </w:p>
  </w:footnote>
  <w:footnote w:id="184">
    <w:p w14:paraId="064EE7F6" w14:textId="525ADF8F" w:rsidR="00D26DBF" w:rsidRDefault="00D26DBF">
      <w:pPr>
        <w:pStyle w:val="FootnoteText"/>
      </w:pPr>
      <w:r>
        <w:rPr>
          <w:rStyle w:val="FootnoteReference"/>
        </w:rPr>
        <w:footnoteRef/>
      </w:r>
      <w:r>
        <w:t xml:space="preserve"> </w:t>
      </w:r>
      <w:r w:rsidR="00EB50F8">
        <w:t>Cal Water</w:t>
      </w:r>
      <w:r w:rsidRPr="00A33A03">
        <w:t xml:space="preserve"> </w:t>
      </w:r>
      <w:r>
        <w:t>OB</w:t>
      </w:r>
      <w:r w:rsidR="0005778F">
        <w:t xml:space="preserve"> at </w:t>
      </w:r>
      <w:r w:rsidRPr="00A33A03">
        <w:t>13</w:t>
      </w:r>
      <w:r>
        <w:t>5</w:t>
      </w:r>
      <w:r w:rsidR="00270999">
        <w:noBreakHyphen/>
      </w:r>
      <w:r>
        <w:t>140</w:t>
      </w:r>
      <w:r w:rsidRPr="00A33A03">
        <w:t xml:space="preserve">; </w:t>
      </w:r>
      <w:r w:rsidR="000A6C2E">
        <w:t>Ex. CWS</w:t>
      </w:r>
      <w:r w:rsidR="00270999">
        <w:noBreakHyphen/>
      </w:r>
      <w:r w:rsidRPr="00A33A03">
        <w:t>45</w:t>
      </w:r>
      <w:r w:rsidR="0005778F">
        <w:t xml:space="preserve"> at </w:t>
      </w:r>
      <w:r w:rsidRPr="00A33A03">
        <w:t>7</w:t>
      </w:r>
      <w:r w:rsidR="00270999">
        <w:noBreakHyphen/>
      </w:r>
      <w:r w:rsidRPr="00A33A03">
        <w:t>9</w:t>
      </w:r>
      <w:r>
        <w:t>.</w:t>
      </w:r>
    </w:p>
  </w:footnote>
  <w:footnote w:id="185">
    <w:p w14:paraId="1DF507A4" w14:textId="39CCBC3C" w:rsidR="00D26DBF" w:rsidRDefault="00D26DBF">
      <w:pPr>
        <w:pStyle w:val="FootnoteText"/>
      </w:pPr>
      <w:r>
        <w:rPr>
          <w:rStyle w:val="FootnoteReference"/>
        </w:rPr>
        <w:footnoteRef/>
      </w:r>
      <w:r>
        <w:t xml:space="preserve"> </w:t>
      </w:r>
      <w:r w:rsidR="00EB50F8">
        <w:t>Cal Water</w:t>
      </w:r>
      <w:r w:rsidRPr="00A33A03">
        <w:t xml:space="preserve"> OB</w:t>
      </w:r>
      <w:r w:rsidR="0005778F">
        <w:t xml:space="preserve"> at </w:t>
      </w:r>
      <w:r w:rsidRPr="00A33A03">
        <w:t>13</w:t>
      </w:r>
      <w:r>
        <w:t>5</w:t>
      </w:r>
      <w:r w:rsidR="00270999">
        <w:noBreakHyphen/>
      </w:r>
      <w:r>
        <w:t>140</w:t>
      </w:r>
      <w:r w:rsidRPr="00A33A03">
        <w:t xml:space="preserve">; </w:t>
      </w:r>
      <w:r w:rsidR="000A6C2E">
        <w:t>Ex. CWS</w:t>
      </w:r>
      <w:r w:rsidR="00270999">
        <w:noBreakHyphen/>
      </w:r>
      <w:r w:rsidRPr="00A33A03">
        <w:t>45</w:t>
      </w:r>
      <w:r w:rsidR="0005778F">
        <w:t xml:space="preserve"> at </w:t>
      </w:r>
      <w:r w:rsidRPr="00A33A03">
        <w:t>8.</w:t>
      </w:r>
    </w:p>
  </w:footnote>
  <w:footnote w:id="186">
    <w:p w14:paraId="467A2161" w14:textId="72E1AEAB" w:rsidR="00D26DBF" w:rsidRDefault="00D26DBF">
      <w:pPr>
        <w:pStyle w:val="FootnoteText"/>
      </w:pPr>
      <w:r>
        <w:rPr>
          <w:rStyle w:val="FootnoteReference"/>
        </w:rPr>
        <w:footnoteRef/>
      </w:r>
      <w:r>
        <w:t xml:space="preserve"> </w:t>
      </w:r>
      <w:r w:rsidR="00EB50F8">
        <w:t>Cal Water</w:t>
      </w:r>
      <w:r w:rsidRPr="00A33A03">
        <w:t xml:space="preserve"> </w:t>
      </w:r>
      <w:r>
        <w:t>RB</w:t>
      </w:r>
      <w:r w:rsidR="0005778F">
        <w:t xml:space="preserve"> at </w:t>
      </w:r>
      <w:r>
        <w:t>85</w:t>
      </w:r>
      <w:r w:rsidR="00270999">
        <w:noBreakHyphen/>
      </w:r>
      <w:r>
        <w:t>86</w:t>
      </w:r>
      <w:r w:rsidRPr="00A33A03">
        <w:t xml:space="preserve">; </w:t>
      </w:r>
      <w:r w:rsidR="000A6C2E">
        <w:t>Ex. CWS</w:t>
      </w:r>
      <w:r w:rsidR="00270999">
        <w:noBreakHyphen/>
      </w:r>
      <w:r w:rsidRPr="00A33A03">
        <w:t>47</w:t>
      </w:r>
      <w:r w:rsidR="0005778F">
        <w:t xml:space="preserve"> at </w:t>
      </w:r>
      <w:r w:rsidRPr="00A33A03">
        <w:t>3.</w:t>
      </w:r>
    </w:p>
  </w:footnote>
  <w:footnote w:id="187">
    <w:p w14:paraId="2541286D" w14:textId="553F2ED1" w:rsidR="00D26DBF" w:rsidRDefault="00D26DBF">
      <w:pPr>
        <w:pStyle w:val="FootnoteText"/>
      </w:pPr>
      <w:r>
        <w:rPr>
          <w:rStyle w:val="FootnoteReference"/>
        </w:rPr>
        <w:footnoteRef/>
      </w:r>
      <w:r>
        <w:t xml:space="preserve"> </w:t>
      </w:r>
      <w:r w:rsidR="00EB50F8">
        <w:t>Cal Water</w:t>
      </w:r>
      <w:r w:rsidRPr="006E61F5">
        <w:t xml:space="preserve"> OB</w:t>
      </w:r>
      <w:r w:rsidR="0005778F">
        <w:t xml:space="preserve"> at </w:t>
      </w:r>
      <w:r w:rsidRPr="006E61F5">
        <w:t>135</w:t>
      </w:r>
      <w:r w:rsidR="00270999">
        <w:noBreakHyphen/>
      </w:r>
      <w:r w:rsidRPr="006E61F5">
        <w:t xml:space="preserve">140; </w:t>
      </w:r>
      <w:r w:rsidR="000A6C2E">
        <w:t>Ex. CWS</w:t>
      </w:r>
      <w:r w:rsidR="00270999">
        <w:noBreakHyphen/>
      </w:r>
      <w:r w:rsidRPr="006E61F5">
        <w:t>45</w:t>
      </w:r>
      <w:r w:rsidR="0005778F">
        <w:t xml:space="preserve"> at </w:t>
      </w:r>
      <w:r w:rsidRPr="006E61F5">
        <w:t>7</w:t>
      </w:r>
      <w:r w:rsidR="00270999">
        <w:noBreakHyphen/>
      </w:r>
      <w:r w:rsidRPr="006E61F5">
        <w:t>9.</w:t>
      </w:r>
    </w:p>
  </w:footnote>
  <w:footnote w:id="188">
    <w:p w14:paraId="6451EF47" w14:textId="7B419B36" w:rsidR="004C46AE" w:rsidRDefault="004C46AE">
      <w:pPr>
        <w:pStyle w:val="FootnoteText"/>
      </w:pPr>
      <w:r>
        <w:rPr>
          <w:rStyle w:val="FootnoteReference"/>
        </w:rPr>
        <w:footnoteRef/>
      </w:r>
      <w:r>
        <w:t xml:space="preserve"> </w:t>
      </w:r>
      <w:r w:rsidR="00D54135">
        <w:t>Cal Advocates OB at 122</w:t>
      </w:r>
      <w:r w:rsidR="000A0E7C">
        <w:t>.</w:t>
      </w:r>
    </w:p>
  </w:footnote>
  <w:footnote w:id="189">
    <w:p w14:paraId="1F3AD612" w14:textId="41A53935" w:rsidR="00980FAD" w:rsidRDefault="00980FAD" w:rsidP="00980FAD">
      <w:pPr>
        <w:pStyle w:val="FootnoteText"/>
      </w:pPr>
      <w:r>
        <w:rPr>
          <w:rStyle w:val="FootnoteReference"/>
        </w:rPr>
        <w:footnoteRef/>
      </w:r>
      <w:r>
        <w:t xml:space="preserve"> </w:t>
      </w:r>
      <w:r w:rsidR="000A6C2E">
        <w:t>Ex. CWS</w:t>
      </w:r>
      <w:r w:rsidR="00270999">
        <w:noBreakHyphen/>
      </w:r>
      <w:r w:rsidRPr="00A33A03">
        <w:t>45</w:t>
      </w:r>
      <w:r w:rsidR="0005778F">
        <w:t xml:space="preserve"> at </w:t>
      </w:r>
      <w:r w:rsidRPr="00A33A03">
        <w:t>7</w:t>
      </w:r>
      <w:r w:rsidR="00270999">
        <w:noBreakHyphen/>
      </w:r>
      <w:r w:rsidRPr="00A33A03">
        <w:t>9</w:t>
      </w:r>
      <w:r>
        <w:t>.</w:t>
      </w:r>
    </w:p>
  </w:footnote>
  <w:footnote w:id="190">
    <w:p w14:paraId="5497C1D6" w14:textId="077446A7" w:rsidR="00D26DBF" w:rsidRDefault="00D26DBF">
      <w:pPr>
        <w:pStyle w:val="FootnoteText"/>
      </w:pPr>
      <w:r>
        <w:rPr>
          <w:rStyle w:val="FootnoteReference"/>
        </w:rPr>
        <w:footnoteRef/>
      </w:r>
      <w:r>
        <w:t xml:space="preserve"> </w:t>
      </w:r>
      <w:r w:rsidR="00EB50F8">
        <w:t>Cal Water</w:t>
      </w:r>
      <w:r w:rsidRPr="006E61F5">
        <w:t xml:space="preserve"> </w:t>
      </w:r>
      <w:r>
        <w:t>RB</w:t>
      </w:r>
      <w:r w:rsidR="0005778F">
        <w:t xml:space="preserve"> at </w:t>
      </w:r>
      <w:r w:rsidRPr="006E61F5">
        <w:t>85</w:t>
      </w:r>
      <w:r w:rsidR="00270999">
        <w:noBreakHyphen/>
      </w:r>
      <w:r w:rsidRPr="006E61F5">
        <w:t xml:space="preserve">86; </w:t>
      </w:r>
      <w:r w:rsidR="000A6C2E">
        <w:t>Ex. CWS</w:t>
      </w:r>
      <w:r w:rsidR="00270999">
        <w:noBreakHyphen/>
      </w:r>
      <w:r w:rsidRPr="006E61F5">
        <w:t>47</w:t>
      </w:r>
      <w:r w:rsidR="0005778F">
        <w:t xml:space="preserve"> at </w:t>
      </w:r>
      <w:r w:rsidRPr="006E61F5">
        <w:t>3.</w:t>
      </w:r>
    </w:p>
  </w:footnote>
  <w:footnote w:id="191">
    <w:p w14:paraId="53FCA587" w14:textId="16574646" w:rsidR="00AF3406" w:rsidRDefault="00AF3406">
      <w:pPr>
        <w:pStyle w:val="FootnoteText"/>
      </w:pPr>
      <w:r>
        <w:rPr>
          <w:rStyle w:val="FootnoteReference"/>
        </w:rPr>
        <w:footnoteRef/>
      </w:r>
      <w:r>
        <w:t xml:space="preserve"> </w:t>
      </w:r>
      <w:r w:rsidR="00EB50F8">
        <w:t>Cal Water</w:t>
      </w:r>
      <w:r w:rsidRPr="00A61B6E">
        <w:t xml:space="preserve"> </w:t>
      </w:r>
      <w:r>
        <w:t>OB</w:t>
      </w:r>
      <w:r w:rsidR="0005778F">
        <w:t xml:space="preserve"> at </w:t>
      </w:r>
      <w:r w:rsidRPr="00A61B6E">
        <w:t>131</w:t>
      </w:r>
      <w:r w:rsidR="00270999">
        <w:noBreakHyphen/>
      </w:r>
      <w:r w:rsidRPr="00A61B6E">
        <w:t xml:space="preserve">132; </w:t>
      </w:r>
      <w:r w:rsidR="000A6C2E">
        <w:t>Ex. CWS</w:t>
      </w:r>
      <w:r w:rsidR="00270999">
        <w:noBreakHyphen/>
      </w:r>
      <w:r w:rsidRPr="00A61B6E">
        <w:t>57</w:t>
      </w:r>
      <w:r w:rsidR="0005778F">
        <w:t xml:space="preserve"> at </w:t>
      </w:r>
      <w:r w:rsidRPr="00A61B6E">
        <w:t>2</w:t>
      </w:r>
      <w:r w:rsidR="00270999">
        <w:noBreakHyphen/>
      </w:r>
      <w:r w:rsidRPr="00A61B6E">
        <w:t>3.</w:t>
      </w:r>
    </w:p>
  </w:footnote>
  <w:footnote w:id="192">
    <w:p w14:paraId="79C304C7" w14:textId="197C7E99" w:rsidR="00AF3406" w:rsidRDefault="00AF3406">
      <w:pPr>
        <w:pStyle w:val="FootnoteText"/>
      </w:pPr>
      <w:r>
        <w:rPr>
          <w:rStyle w:val="FootnoteReference"/>
        </w:rPr>
        <w:footnoteRef/>
      </w:r>
      <w:r>
        <w:t xml:space="preserve"> </w:t>
      </w:r>
      <w:r w:rsidR="00EB50F8">
        <w:t>Cal Water</w:t>
      </w:r>
      <w:r w:rsidRPr="00A61B6E">
        <w:t xml:space="preserve"> OB</w:t>
      </w:r>
      <w:r w:rsidR="0005778F">
        <w:t xml:space="preserve"> at </w:t>
      </w:r>
      <w:r w:rsidRPr="00A61B6E">
        <w:t xml:space="preserve">132; </w:t>
      </w:r>
      <w:r w:rsidR="000A6C2E">
        <w:t>Ex. CWS</w:t>
      </w:r>
      <w:r w:rsidR="00270999">
        <w:noBreakHyphen/>
      </w:r>
      <w:r w:rsidRPr="00A61B6E">
        <w:t>58</w:t>
      </w:r>
      <w:r w:rsidR="0005778F">
        <w:t xml:space="preserve"> at </w:t>
      </w:r>
      <w:r w:rsidRPr="00A61B6E">
        <w:t>5.</w:t>
      </w:r>
    </w:p>
  </w:footnote>
  <w:footnote w:id="193">
    <w:p w14:paraId="77CDAB61" w14:textId="6BC823FB" w:rsidR="00AF3406" w:rsidRDefault="00AF3406">
      <w:pPr>
        <w:pStyle w:val="FootnoteText"/>
      </w:pPr>
      <w:r>
        <w:rPr>
          <w:rStyle w:val="FootnoteReference"/>
        </w:rPr>
        <w:footnoteRef/>
      </w:r>
      <w:r>
        <w:t xml:space="preserve"> </w:t>
      </w:r>
      <w:r w:rsidR="00EB50F8">
        <w:t>Cal Water</w:t>
      </w:r>
      <w:r w:rsidRPr="006975E9">
        <w:t xml:space="preserve"> </w:t>
      </w:r>
      <w:r>
        <w:t>RB</w:t>
      </w:r>
      <w:r w:rsidR="0005778F">
        <w:t xml:space="preserve"> at </w:t>
      </w:r>
      <w:r w:rsidRPr="006975E9">
        <w:t>86</w:t>
      </w:r>
      <w:r w:rsidR="00270999">
        <w:noBreakHyphen/>
      </w:r>
      <w:r w:rsidRPr="006975E9">
        <w:t xml:space="preserve">87; </w:t>
      </w:r>
      <w:r w:rsidR="000A6C2E">
        <w:t>Ex. CWS</w:t>
      </w:r>
      <w:r w:rsidR="00270999">
        <w:noBreakHyphen/>
      </w:r>
      <w:r w:rsidRPr="006975E9">
        <w:t>58</w:t>
      </w:r>
      <w:r w:rsidR="0005778F">
        <w:t xml:space="preserve"> at </w:t>
      </w:r>
      <w:r w:rsidRPr="006975E9">
        <w:t>5</w:t>
      </w:r>
      <w:r w:rsidR="00270999">
        <w:noBreakHyphen/>
      </w:r>
      <w:r w:rsidRPr="006975E9">
        <w:t>6.</w:t>
      </w:r>
    </w:p>
  </w:footnote>
  <w:footnote w:id="194">
    <w:p w14:paraId="59E68721" w14:textId="1EEC6D7E" w:rsidR="00906A31" w:rsidRDefault="00906A31">
      <w:pPr>
        <w:pStyle w:val="FootnoteText"/>
      </w:pPr>
      <w:r>
        <w:rPr>
          <w:rStyle w:val="FootnoteReference"/>
        </w:rPr>
        <w:footnoteRef/>
      </w:r>
      <w:r>
        <w:t xml:space="preserve"> </w:t>
      </w:r>
      <w:r w:rsidR="00933B0D">
        <w:t>Cal Advocates OB at 124</w:t>
      </w:r>
      <w:r w:rsidR="000A0E7C">
        <w:t>.</w:t>
      </w:r>
    </w:p>
  </w:footnote>
  <w:footnote w:id="195">
    <w:p w14:paraId="17F1DFE4" w14:textId="35241E18" w:rsidR="00AF3406" w:rsidRPr="006271A0" w:rsidRDefault="00AF3406">
      <w:pPr>
        <w:pStyle w:val="FootnoteText"/>
        <w:rPr>
          <w:lang w:val="da-DK"/>
        </w:rPr>
      </w:pPr>
      <w:r>
        <w:rPr>
          <w:rStyle w:val="FootnoteReference"/>
        </w:rPr>
        <w:footnoteRef/>
      </w:r>
      <w:r w:rsidRPr="006271A0">
        <w:rPr>
          <w:lang w:val="da-DK"/>
        </w:rPr>
        <w:t xml:space="preserve"> NAWC RB</w:t>
      </w:r>
      <w:r w:rsidR="0005778F">
        <w:rPr>
          <w:lang w:val="da-DK"/>
        </w:rPr>
        <w:t xml:space="preserve"> at </w:t>
      </w:r>
      <w:r w:rsidRPr="006271A0">
        <w:rPr>
          <w:lang w:val="da-DK"/>
        </w:rPr>
        <w:t>47</w:t>
      </w:r>
      <w:r w:rsidR="00270999">
        <w:rPr>
          <w:lang w:val="da-DK"/>
        </w:rPr>
        <w:noBreakHyphen/>
      </w:r>
      <w:r w:rsidRPr="006271A0">
        <w:rPr>
          <w:lang w:val="da-DK"/>
        </w:rPr>
        <w:t xml:space="preserve">48; </w:t>
      </w:r>
      <w:r w:rsidR="00476655">
        <w:rPr>
          <w:lang w:val="da-DK"/>
        </w:rPr>
        <w:t xml:space="preserve">CWA </w:t>
      </w:r>
      <w:r w:rsidR="009D0D2F">
        <w:rPr>
          <w:lang w:val="da-DK"/>
        </w:rPr>
        <w:t>RB</w:t>
      </w:r>
      <w:r w:rsidR="0005778F">
        <w:rPr>
          <w:lang w:val="da-DK"/>
        </w:rPr>
        <w:t xml:space="preserve"> at </w:t>
      </w:r>
      <w:r w:rsidRPr="006271A0">
        <w:rPr>
          <w:lang w:val="da-DK"/>
        </w:rPr>
        <w:t>56.</w:t>
      </w:r>
    </w:p>
  </w:footnote>
  <w:footnote w:id="196">
    <w:p w14:paraId="57B4632E" w14:textId="347A4294" w:rsidR="00AF3406" w:rsidRDefault="00AF3406">
      <w:pPr>
        <w:pStyle w:val="FootnoteText"/>
      </w:pPr>
      <w:r>
        <w:rPr>
          <w:rStyle w:val="FootnoteReference"/>
        </w:rPr>
        <w:footnoteRef/>
      </w:r>
      <w:r>
        <w:t xml:space="preserve"> </w:t>
      </w:r>
      <w:r w:rsidR="00EB50F8">
        <w:t>Cal Water</w:t>
      </w:r>
      <w:r w:rsidRPr="00434027">
        <w:t xml:space="preserve"> OB</w:t>
      </w:r>
      <w:r w:rsidR="0005778F">
        <w:t xml:space="preserve"> at </w:t>
      </w:r>
      <w:r w:rsidRPr="00434027">
        <w:t xml:space="preserve">131; </w:t>
      </w:r>
      <w:r w:rsidR="000A6C2E">
        <w:t>Ex. CWS</w:t>
      </w:r>
      <w:r w:rsidR="00270999">
        <w:noBreakHyphen/>
      </w:r>
      <w:r w:rsidRPr="00434027">
        <w:t>57</w:t>
      </w:r>
      <w:r w:rsidR="0005778F">
        <w:t xml:space="preserve"> at </w:t>
      </w:r>
      <w:r w:rsidRPr="00434027">
        <w:t>2</w:t>
      </w:r>
      <w:r w:rsidR="00270999">
        <w:noBreakHyphen/>
      </w:r>
      <w:r w:rsidRPr="00434027">
        <w:t>4.</w:t>
      </w:r>
    </w:p>
  </w:footnote>
  <w:footnote w:id="197">
    <w:p w14:paraId="0162E4F1" w14:textId="5CF8DBFD" w:rsidR="00AF3406" w:rsidRDefault="00AF3406">
      <w:pPr>
        <w:pStyle w:val="FootnoteText"/>
      </w:pPr>
      <w:r>
        <w:rPr>
          <w:rStyle w:val="FootnoteReference"/>
        </w:rPr>
        <w:footnoteRef/>
      </w:r>
      <w:r>
        <w:t xml:space="preserve"> </w:t>
      </w:r>
      <w:r w:rsidR="000A6C2E">
        <w:t>Ex. CWS</w:t>
      </w:r>
      <w:r w:rsidR="00270999">
        <w:noBreakHyphen/>
      </w:r>
      <w:r w:rsidRPr="00434027">
        <w:t>58</w:t>
      </w:r>
      <w:r w:rsidR="0005778F">
        <w:t xml:space="preserve"> at </w:t>
      </w:r>
      <w:r w:rsidRPr="00434027">
        <w:t>5.</w:t>
      </w:r>
    </w:p>
  </w:footnote>
  <w:footnote w:id="198">
    <w:p w14:paraId="1D4D3D1C" w14:textId="043BD86E" w:rsidR="00AF3406" w:rsidRDefault="00AF3406">
      <w:pPr>
        <w:pStyle w:val="FootnoteText"/>
      </w:pPr>
      <w:r>
        <w:rPr>
          <w:rStyle w:val="FootnoteReference"/>
        </w:rPr>
        <w:footnoteRef/>
      </w:r>
      <w:r>
        <w:t xml:space="preserve"> </w:t>
      </w:r>
      <w:r w:rsidR="00EB50F8">
        <w:t>Cal Water</w:t>
      </w:r>
      <w:r w:rsidRPr="006975E9">
        <w:t xml:space="preserve"> </w:t>
      </w:r>
      <w:r>
        <w:t>RB</w:t>
      </w:r>
      <w:r w:rsidR="0005778F">
        <w:t xml:space="preserve"> at </w:t>
      </w:r>
      <w:r w:rsidRPr="006975E9">
        <w:t>86</w:t>
      </w:r>
      <w:r w:rsidR="00270999">
        <w:noBreakHyphen/>
      </w:r>
      <w:r w:rsidRPr="006975E9">
        <w:t xml:space="preserve">87; </w:t>
      </w:r>
      <w:r w:rsidR="000A6C2E">
        <w:t>Ex. CWS</w:t>
      </w:r>
      <w:r w:rsidR="00270999">
        <w:noBreakHyphen/>
      </w:r>
      <w:r w:rsidRPr="006975E9">
        <w:t>58</w:t>
      </w:r>
      <w:r w:rsidR="0005778F">
        <w:t xml:space="preserve"> at </w:t>
      </w:r>
      <w:r w:rsidRPr="006975E9">
        <w:t>5</w:t>
      </w:r>
      <w:r w:rsidR="00270999">
        <w:noBreakHyphen/>
      </w:r>
      <w:r w:rsidRPr="006975E9">
        <w:t>6.</w:t>
      </w:r>
    </w:p>
  </w:footnote>
  <w:footnote w:id="199">
    <w:p w14:paraId="7CD474B4" w14:textId="55F03A57" w:rsidR="00AF3406" w:rsidRDefault="00AF3406">
      <w:pPr>
        <w:pStyle w:val="FootnoteText"/>
      </w:pPr>
      <w:r>
        <w:rPr>
          <w:rStyle w:val="FootnoteReference"/>
        </w:rPr>
        <w:footnoteRef/>
      </w:r>
      <w:r>
        <w:t xml:space="preserve"> </w:t>
      </w:r>
      <w:r w:rsidR="00EB50F8">
        <w:t>Cal Advocates</w:t>
      </w:r>
      <w:r w:rsidRPr="006975E9">
        <w:t xml:space="preserve"> </w:t>
      </w:r>
      <w:r>
        <w:t>RB</w:t>
      </w:r>
      <w:r w:rsidR="0005778F">
        <w:t xml:space="preserve"> at </w:t>
      </w:r>
      <w:r w:rsidRPr="006975E9">
        <w:t>61</w:t>
      </w:r>
      <w:r w:rsidR="00270999">
        <w:noBreakHyphen/>
      </w:r>
      <w:r w:rsidRPr="006975E9">
        <w:t>62.</w:t>
      </w:r>
    </w:p>
  </w:footnote>
  <w:footnote w:id="200">
    <w:p w14:paraId="7CF0E220" w14:textId="71C9E3E9" w:rsidR="00AF3406" w:rsidRDefault="00AF3406">
      <w:pPr>
        <w:pStyle w:val="FootnoteText"/>
      </w:pPr>
      <w:r>
        <w:rPr>
          <w:rStyle w:val="FootnoteReference"/>
        </w:rPr>
        <w:footnoteRef/>
      </w:r>
      <w:r>
        <w:t xml:space="preserve"> </w:t>
      </w:r>
      <w:r w:rsidR="00EB50F8">
        <w:t>Cal Water</w:t>
      </w:r>
      <w:r w:rsidRPr="00C606EB">
        <w:t xml:space="preserve"> </w:t>
      </w:r>
      <w:r>
        <w:t>OB</w:t>
      </w:r>
      <w:r w:rsidR="0005778F">
        <w:t xml:space="preserve"> at </w:t>
      </w:r>
      <w:r w:rsidRPr="00C606EB">
        <w:t>118</w:t>
      </w:r>
      <w:r w:rsidR="00270999">
        <w:noBreakHyphen/>
      </w:r>
      <w:r w:rsidRPr="00C606EB">
        <w:t xml:space="preserve">126; </w:t>
      </w:r>
      <w:r w:rsidR="000A6C2E">
        <w:t>Ex. CWS</w:t>
      </w:r>
      <w:r w:rsidR="00270999">
        <w:noBreakHyphen/>
      </w:r>
      <w:r w:rsidRPr="00C606EB">
        <w:t>40</w:t>
      </w:r>
      <w:r w:rsidR="0005778F">
        <w:t xml:space="preserve"> at </w:t>
      </w:r>
      <w:r w:rsidRPr="00C606EB">
        <w:t>3</w:t>
      </w:r>
      <w:r w:rsidR="00270999">
        <w:noBreakHyphen/>
      </w:r>
      <w:r w:rsidRPr="00C606EB">
        <w:t xml:space="preserve">6; </w:t>
      </w:r>
      <w:r w:rsidR="00EB50F8">
        <w:t>Cal Water</w:t>
      </w:r>
      <w:r w:rsidRPr="00C606EB">
        <w:t xml:space="preserve"> </w:t>
      </w:r>
      <w:r>
        <w:t>RB</w:t>
      </w:r>
      <w:r w:rsidR="0005778F">
        <w:t xml:space="preserve"> at </w:t>
      </w:r>
      <w:r w:rsidRPr="00C606EB">
        <w:t>78</w:t>
      </w:r>
      <w:r w:rsidR="00270999">
        <w:noBreakHyphen/>
      </w:r>
      <w:r w:rsidRPr="00C606EB">
        <w:t xml:space="preserve">82; </w:t>
      </w:r>
      <w:r w:rsidR="000A6C2E">
        <w:t>Ex. CWS</w:t>
      </w:r>
      <w:r w:rsidR="00270999">
        <w:noBreakHyphen/>
      </w:r>
      <w:r w:rsidRPr="00C606EB">
        <w:t>42</w:t>
      </w:r>
      <w:r w:rsidR="0005778F">
        <w:t xml:space="preserve"> at </w:t>
      </w:r>
      <w:r w:rsidRPr="00C606EB">
        <w:t>2</w:t>
      </w:r>
      <w:r w:rsidR="00270999">
        <w:noBreakHyphen/>
      </w:r>
      <w:r w:rsidRPr="00C606EB">
        <w:t>4.</w:t>
      </w:r>
    </w:p>
  </w:footnote>
  <w:footnote w:id="201">
    <w:p w14:paraId="34CCD537" w14:textId="1FD3E333" w:rsidR="00AF3406" w:rsidRDefault="00AF3406">
      <w:pPr>
        <w:pStyle w:val="FootnoteText"/>
      </w:pPr>
      <w:r>
        <w:rPr>
          <w:rStyle w:val="FootnoteReference"/>
        </w:rPr>
        <w:footnoteRef/>
      </w:r>
      <w:r>
        <w:t xml:space="preserve"> </w:t>
      </w:r>
      <w:r w:rsidR="00EB50F8">
        <w:t>Cal Advocates</w:t>
      </w:r>
      <w:r w:rsidRPr="00C606EB">
        <w:t xml:space="preserve"> </w:t>
      </w:r>
      <w:r>
        <w:t>OB</w:t>
      </w:r>
      <w:r w:rsidR="0005778F">
        <w:t xml:space="preserve"> at </w:t>
      </w:r>
      <w:r w:rsidRPr="00C606EB">
        <w:t>112</w:t>
      </w:r>
      <w:r w:rsidR="00270999">
        <w:noBreakHyphen/>
      </w:r>
      <w:r w:rsidRPr="00C606EB">
        <w:t>119</w:t>
      </w:r>
      <w:r w:rsidR="00F7288A">
        <w:t xml:space="preserve">; </w:t>
      </w:r>
      <w:r w:rsidR="00EB50F8">
        <w:t>Cal Advocates</w:t>
      </w:r>
      <w:r w:rsidR="00F7288A">
        <w:t xml:space="preserve"> RB</w:t>
      </w:r>
      <w:r w:rsidR="0005778F">
        <w:t xml:space="preserve"> at </w:t>
      </w:r>
      <w:r w:rsidRPr="00C606EB">
        <w:t>52</w:t>
      </w:r>
      <w:r w:rsidR="00270999">
        <w:noBreakHyphen/>
      </w:r>
      <w:r w:rsidRPr="00C606EB">
        <w:t xml:space="preserve">57; </w:t>
      </w:r>
      <w:r w:rsidR="009D0D2F">
        <w:t>Ex. CalPA</w:t>
      </w:r>
      <w:r w:rsidR="00270999">
        <w:noBreakHyphen/>
      </w:r>
      <w:r w:rsidRPr="00C606EB">
        <w:t>15</w:t>
      </w:r>
      <w:r w:rsidR="0005778F">
        <w:t xml:space="preserve"> at </w:t>
      </w:r>
      <w:r w:rsidRPr="00C606EB">
        <w:t>10</w:t>
      </w:r>
      <w:r w:rsidR="00270999">
        <w:noBreakHyphen/>
      </w:r>
      <w:r w:rsidRPr="00C606EB">
        <w:t>12.</w:t>
      </w:r>
    </w:p>
  </w:footnote>
  <w:footnote w:id="202">
    <w:p w14:paraId="22DA1E2F" w14:textId="0D841EEB" w:rsidR="00AF3406" w:rsidRDefault="00AF3406">
      <w:pPr>
        <w:pStyle w:val="FootnoteText"/>
      </w:pPr>
      <w:r>
        <w:rPr>
          <w:rStyle w:val="FootnoteReference"/>
        </w:rPr>
        <w:footnoteRef/>
      </w:r>
      <w:r>
        <w:t xml:space="preserve"> </w:t>
      </w:r>
      <w:r w:rsidR="00EB50F8">
        <w:t>Cal Water</w:t>
      </w:r>
      <w:r w:rsidRPr="00C606EB">
        <w:t xml:space="preserve"> OB</w:t>
      </w:r>
      <w:r w:rsidR="0005778F">
        <w:t xml:space="preserve"> at </w:t>
      </w:r>
      <w:r w:rsidRPr="00C606EB">
        <w:t>118</w:t>
      </w:r>
      <w:r w:rsidR="00270999">
        <w:noBreakHyphen/>
      </w:r>
      <w:r w:rsidRPr="00C606EB">
        <w:t xml:space="preserve">121; </w:t>
      </w:r>
      <w:r w:rsidR="00EB50F8">
        <w:t>Cal Water</w:t>
      </w:r>
      <w:r w:rsidRPr="00C606EB">
        <w:t xml:space="preserve"> RB</w:t>
      </w:r>
      <w:r w:rsidR="0005778F">
        <w:t xml:space="preserve"> at </w:t>
      </w:r>
      <w:r w:rsidRPr="00C606EB">
        <w:t>78</w:t>
      </w:r>
      <w:r w:rsidR="00270999">
        <w:noBreakHyphen/>
      </w:r>
      <w:r w:rsidRPr="00C606EB">
        <w:t>79.</w:t>
      </w:r>
    </w:p>
  </w:footnote>
  <w:footnote w:id="203">
    <w:p w14:paraId="41E41494" w14:textId="564CF509" w:rsidR="00AF3406" w:rsidRDefault="00AF3406">
      <w:pPr>
        <w:pStyle w:val="FootnoteText"/>
      </w:pPr>
      <w:r>
        <w:rPr>
          <w:rStyle w:val="FootnoteReference"/>
        </w:rPr>
        <w:footnoteRef/>
      </w:r>
      <w:r>
        <w:t xml:space="preserve"> </w:t>
      </w:r>
      <w:r w:rsidR="00EB50F8">
        <w:t>Cal Advocates</w:t>
      </w:r>
      <w:r w:rsidRPr="00C606EB">
        <w:t xml:space="preserve"> OB</w:t>
      </w:r>
      <w:r w:rsidR="0005778F">
        <w:t xml:space="preserve"> at </w:t>
      </w:r>
      <w:r w:rsidRPr="00E5144B">
        <w:t>110</w:t>
      </w:r>
      <w:r w:rsidR="00270999">
        <w:noBreakHyphen/>
      </w:r>
      <w:r w:rsidRPr="00E5144B">
        <w:t>113</w:t>
      </w:r>
      <w:r w:rsidRPr="00C606EB">
        <w:t xml:space="preserve">; </w:t>
      </w:r>
      <w:r w:rsidR="00EB50F8">
        <w:t>Cal Advocates</w:t>
      </w:r>
      <w:r w:rsidRPr="00E5144B">
        <w:t xml:space="preserve"> </w:t>
      </w:r>
      <w:r w:rsidRPr="00C606EB">
        <w:t>RB</w:t>
      </w:r>
      <w:r w:rsidR="0005778F">
        <w:t xml:space="preserve"> at </w:t>
      </w:r>
      <w:r w:rsidRPr="00E5144B">
        <w:t>50</w:t>
      </w:r>
      <w:r w:rsidR="00270999">
        <w:noBreakHyphen/>
      </w:r>
      <w:r w:rsidRPr="00E5144B">
        <w:t>53</w:t>
      </w:r>
      <w:r w:rsidRPr="00C606EB">
        <w:t>.</w:t>
      </w:r>
    </w:p>
  </w:footnote>
  <w:footnote w:id="204">
    <w:p w14:paraId="5E07E0CD" w14:textId="6B7A4C6D" w:rsidR="00AF3406" w:rsidRDefault="00AF3406">
      <w:pPr>
        <w:pStyle w:val="FootnoteText"/>
      </w:pPr>
      <w:r>
        <w:rPr>
          <w:rStyle w:val="FootnoteReference"/>
        </w:rPr>
        <w:footnoteRef/>
      </w:r>
      <w:r>
        <w:t xml:space="preserve"> </w:t>
      </w:r>
      <w:r w:rsidR="00EB50F8">
        <w:t>Cal Advocates</w:t>
      </w:r>
      <w:r>
        <w:t xml:space="preserve"> </w:t>
      </w:r>
      <w:r w:rsidRPr="00C606EB">
        <w:t>OB</w:t>
      </w:r>
      <w:r w:rsidR="0005778F">
        <w:t xml:space="preserve"> at </w:t>
      </w:r>
      <w:r w:rsidRPr="00C606EB">
        <w:t>1</w:t>
      </w:r>
      <w:r w:rsidRPr="00E5144B">
        <w:t>15</w:t>
      </w:r>
      <w:r w:rsidR="00270999">
        <w:noBreakHyphen/>
      </w:r>
      <w:r w:rsidRPr="00E5144B">
        <w:t>118</w:t>
      </w:r>
      <w:r w:rsidRPr="00C606EB">
        <w:t>.</w:t>
      </w:r>
    </w:p>
  </w:footnote>
  <w:footnote w:id="205">
    <w:p w14:paraId="5C4DCF7C" w14:textId="30258B3C" w:rsidR="008B2B66" w:rsidRDefault="008B2B66" w:rsidP="008B2B66">
      <w:pPr>
        <w:pStyle w:val="FootnoteText"/>
      </w:pPr>
      <w:r>
        <w:rPr>
          <w:rStyle w:val="FootnoteReference"/>
        </w:rPr>
        <w:footnoteRef/>
      </w:r>
      <w:r>
        <w:t xml:space="preserve"> </w:t>
      </w:r>
      <w:r w:rsidR="00EB50F8">
        <w:t>Cal Water</w:t>
      </w:r>
      <w:r w:rsidRPr="00B81189">
        <w:t xml:space="preserve"> OB</w:t>
      </w:r>
      <w:r w:rsidR="0005778F">
        <w:t xml:space="preserve"> at </w:t>
      </w:r>
      <w:r w:rsidRPr="00B81189">
        <w:t>120</w:t>
      </w:r>
      <w:r w:rsidR="00270999">
        <w:noBreakHyphen/>
      </w:r>
      <w:r w:rsidRPr="00B81189">
        <w:t xml:space="preserve">126; </w:t>
      </w:r>
      <w:r w:rsidR="000A6C2E">
        <w:t>Ex. CWS</w:t>
      </w:r>
      <w:r w:rsidR="00270999">
        <w:noBreakHyphen/>
      </w:r>
      <w:r w:rsidRPr="00B81189">
        <w:t>61</w:t>
      </w:r>
      <w:r w:rsidR="0005778F">
        <w:t xml:space="preserve"> at </w:t>
      </w:r>
      <w:r w:rsidRPr="00B81189">
        <w:t>2</w:t>
      </w:r>
      <w:r w:rsidR="00270999">
        <w:noBreakHyphen/>
      </w:r>
      <w:r w:rsidRPr="00B81189">
        <w:t xml:space="preserve">4; </w:t>
      </w:r>
      <w:r w:rsidR="000A6C2E">
        <w:t>Ex. CWS</w:t>
      </w:r>
      <w:r w:rsidR="00270999">
        <w:noBreakHyphen/>
      </w:r>
      <w:r w:rsidRPr="00B81189">
        <w:t>62</w:t>
      </w:r>
      <w:r w:rsidR="0005778F">
        <w:t xml:space="preserve"> at </w:t>
      </w:r>
      <w:r w:rsidRPr="00B81189">
        <w:t>5.</w:t>
      </w:r>
    </w:p>
  </w:footnote>
  <w:footnote w:id="206">
    <w:p w14:paraId="301DAF13" w14:textId="1002B592" w:rsidR="008B2B66" w:rsidRDefault="008B2B66" w:rsidP="008B2B66">
      <w:pPr>
        <w:pStyle w:val="FootnoteText"/>
      </w:pPr>
      <w:r>
        <w:rPr>
          <w:rStyle w:val="FootnoteReference"/>
        </w:rPr>
        <w:footnoteRef/>
      </w:r>
      <w:r>
        <w:t xml:space="preserve"> </w:t>
      </w:r>
      <w:r w:rsidR="00EB50F8">
        <w:t>Cal Water</w:t>
      </w:r>
      <w:r w:rsidRPr="00B81189">
        <w:t xml:space="preserve"> OB</w:t>
      </w:r>
      <w:r w:rsidR="0005778F">
        <w:t xml:space="preserve"> at </w:t>
      </w:r>
      <w:r w:rsidRPr="00B81189">
        <w:t>125</w:t>
      </w:r>
      <w:r w:rsidR="00270999">
        <w:noBreakHyphen/>
      </w:r>
      <w:r w:rsidRPr="00B81189">
        <w:t xml:space="preserve">126; </w:t>
      </w:r>
      <w:r w:rsidR="00EB50F8">
        <w:t>Cal Water</w:t>
      </w:r>
      <w:r w:rsidRPr="00B81189">
        <w:t xml:space="preserve"> RB</w:t>
      </w:r>
      <w:r w:rsidR="0005778F">
        <w:t xml:space="preserve"> at </w:t>
      </w:r>
      <w:r w:rsidRPr="00B81189">
        <w:t>73</w:t>
      </w:r>
      <w:r w:rsidR="00270999">
        <w:noBreakHyphen/>
      </w:r>
      <w:r w:rsidRPr="00B81189">
        <w:t xml:space="preserve">75; </w:t>
      </w:r>
      <w:r w:rsidR="000A6C2E">
        <w:t>Ex. CWS</w:t>
      </w:r>
      <w:r w:rsidR="00270999">
        <w:noBreakHyphen/>
      </w:r>
      <w:r w:rsidRPr="00B81189">
        <w:t>63</w:t>
      </w:r>
      <w:r w:rsidR="0005778F">
        <w:t xml:space="preserve"> at </w:t>
      </w:r>
      <w:r w:rsidRPr="00B81189">
        <w:t>3.</w:t>
      </w:r>
    </w:p>
  </w:footnote>
  <w:footnote w:id="207">
    <w:p w14:paraId="7DD23C5F" w14:textId="200ECCDC" w:rsidR="008B2B66" w:rsidRDefault="008B2B66" w:rsidP="008B2B66">
      <w:pPr>
        <w:pStyle w:val="FootnoteText"/>
      </w:pPr>
      <w:r>
        <w:rPr>
          <w:rStyle w:val="FootnoteReference"/>
        </w:rPr>
        <w:footnoteRef/>
      </w:r>
      <w:r>
        <w:t xml:space="preserve"> </w:t>
      </w:r>
      <w:r w:rsidR="00EB50F8">
        <w:t>Cal Advocates</w:t>
      </w:r>
      <w:r w:rsidRPr="00B81189">
        <w:t xml:space="preserve"> OB</w:t>
      </w:r>
      <w:r w:rsidR="0005778F">
        <w:t xml:space="preserve"> at </w:t>
      </w:r>
      <w:r w:rsidRPr="00B81189">
        <w:t>142</w:t>
      </w:r>
      <w:r w:rsidR="00270999">
        <w:noBreakHyphen/>
      </w:r>
      <w:r w:rsidRPr="00B81189">
        <w:t xml:space="preserve">144; </w:t>
      </w:r>
      <w:r w:rsidR="00EB50F8">
        <w:t>Cal Advocates</w:t>
      </w:r>
      <w:r w:rsidRPr="00B81189">
        <w:t xml:space="preserve"> RB</w:t>
      </w:r>
      <w:r w:rsidR="0005778F">
        <w:t xml:space="preserve"> at </w:t>
      </w:r>
      <w:r w:rsidRPr="00B81189">
        <w:t>57</w:t>
      </w:r>
      <w:r w:rsidR="00270999">
        <w:noBreakHyphen/>
      </w:r>
      <w:r w:rsidRPr="00B81189">
        <w:t>59.</w:t>
      </w:r>
    </w:p>
  </w:footnote>
  <w:footnote w:id="208">
    <w:p w14:paraId="05630BDD" w14:textId="0EAB6197" w:rsidR="008B2B66" w:rsidRDefault="008B2B66" w:rsidP="008B2B66">
      <w:pPr>
        <w:pStyle w:val="FootnoteText"/>
      </w:pPr>
      <w:r>
        <w:rPr>
          <w:rStyle w:val="FootnoteReference"/>
        </w:rPr>
        <w:footnoteRef/>
      </w:r>
      <w:r>
        <w:t xml:space="preserve"> </w:t>
      </w:r>
      <w:r w:rsidR="00EB50F8">
        <w:t>Cal Water</w:t>
      </w:r>
      <w:r w:rsidRPr="00B81189">
        <w:t xml:space="preserve"> OB</w:t>
      </w:r>
      <w:r w:rsidR="0005778F">
        <w:t xml:space="preserve"> at </w:t>
      </w:r>
      <w:r w:rsidRPr="00B81189">
        <w:t xml:space="preserve">127; </w:t>
      </w:r>
      <w:r w:rsidR="000A6C2E">
        <w:t>Ex. CWS</w:t>
      </w:r>
      <w:r w:rsidR="00270999">
        <w:noBreakHyphen/>
      </w:r>
      <w:r w:rsidRPr="00B81189">
        <w:t>64</w:t>
      </w:r>
      <w:r w:rsidR="0005778F">
        <w:t xml:space="preserve"> at </w:t>
      </w:r>
      <w:r w:rsidRPr="00B81189">
        <w:t>6.</w:t>
      </w:r>
    </w:p>
  </w:footnote>
  <w:footnote w:id="209">
    <w:p w14:paraId="0A1CE951" w14:textId="39C42620" w:rsidR="00243BF9" w:rsidRDefault="00243BF9" w:rsidP="00243BF9">
      <w:pPr>
        <w:pStyle w:val="FootnoteText"/>
      </w:pPr>
      <w:r>
        <w:rPr>
          <w:rStyle w:val="FootnoteReference"/>
        </w:rPr>
        <w:footnoteRef/>
      </w:r>
      <w:r>
        <w:t xml:space="preserve"> </w:t>
      </w:r>
      <w:r w:rsidR="00EB50F8">
        <w:t>Cal Water</w:t>
      </w:r>
      <w:r w:rsidRPr="003A68DE">
        <w:t xml:space="preserve"> </w:t>
      </w:r>
      <w:r>
        <w:t>OB</w:t>
      </w:r>
      <w:r w:rsidR="0005778F">
        <w:t xml:space="preserve"> at </w:t>
      </w:r>
      <w:r w:rsidRPr="003A68DE">
        <w:t>126</w:t>
      </w:r>
      <w:r w:rsidR="00270999">
        <w:noBreakHyphen/>
      </w:r>
      <w:r w:rsidRPr="003A68DE">
        <w:t xml:space="preserve">129; </w:t>
      </w:r>
      <w:r w:rsidR="000A6C2E">
        <w:t>Ex. CWS</w:t>
      </w:r>
      <w:r w:rsidR="00270999">
        <w:noBreakHyphen/>
      </w:r>
      <w:r w:rsidRPr="003A68DE">
        <w:t>55</w:t>
      </w:r>
      <w:r w:rsidR="0005778F">
        <w:t xml:space="preserve"> at </w:t>
      </w:r>
      <w:r w:rsidRPr="003A68DE">
        <w:t>2</w:t>
      </w:r>
      <w:r w:rsidR="00270999">
        <w:noBreakHyphen/>
      </w:r>
      <w:r w:rsidRPr="003A68DE">
        <w:t>4.</w:t>
      </w:r>
    </w:p>
  </w:footnote>
  <w:footnote w:id="210">
    <w:p w14:paraId="122F7BFB" w14:textId="14602A8B" w:rsidR="00243BF9" w:rsidRDefault="00243BF9" w:rsidP="00243BF9">
      <w:pPr>
        <w:pStyle w:val="FootnoteText"/>
      </w:pPr>
      <w:r>
        <w:rPr>
          <w:rStyle w:val="FootnoteReference"/>
        </w:rPr>
        <w:footnoteRef/>
      </w:r>
      <w:r>
        <w:t xml:space="preserve"> </w:t>
      </w:r>
      <w:r w:rsidR="00EB50F8">
        <w:t>Cal Water</w:t>
      </w:r>
      <w:r w:rsidRPr="003A68DE">
        <w:t xml:space="preserve"> OB</w:t>
      </w:r>
      <w:r w:rsidR="0005778F">
        <w:t xml:space="preserve"> at </w:t>
      </w:r>
      <w:r w:rsidRPr="003A68DE">
        <w:t xml:space="preserve">128; </w:t>
      </w:r>
      <w:r w:rsidR="000A6C2E">
        <w:t>Ex. CWS</w:t>
      </w:r>
      <w:r w:rsidR="00270999">
        <w:noBreakHyphen/>
      </w:r>
      <w:r w:rsidRPr="003A68DE">
        <w:t>56</w:t>
      </w:r>
      <w:r w:rsidR="0005778F">
        <w:t xml:space="preserve"> at </w:t>
      </w:r>
      <w:r w:rsidRPr="003A68DE">
        <w:t>3.</w:t>
      </w:r>
    </w:p>
  </w:footnote>
  <w:footnote w:id="211">
    <w:p w14:paraId="42B3FE76" w14:textId="2A302238" w:rsidR="00243BF9" w:rsidRDefault="00243BF9" w:rsidP="00243BF9">
      <w:pPr>
        <w:pStyle w:val="FootnoteText"/>
      </w:pPr>
      <w:r>
        <w:rPr>
          <w:rStyle w:val="FootnoteReference"/>
        </w:rPr>
        <w:footnoteRef/>
      </w:r>
      <w:r>
        <w:t xml:space="preserve"> </w:t>
      </w:r>
      <w:r w:rsidR="00EB50F8">
        <w:t>Cal Water</w:t>
      </w:r>
      <w:r w:rsidRPr="003A68DE">
        <w:t xml:space="preserve"> OB</w:t>
      </w:r>
      <w:r w:rsidR="0005778F">
        <w:t xml:space="preserve"> at </w:t>
      </w:r>
      <w:r w:rsidRPr="003A68DE">
        <w:t>128</w:t>
      </w:r>
      <w:r w:rsidR="00270999">
        <w:noBreakHyphen/>
      </w:r>
      <w:r w:rsidRPr="003A68DE">
        <w:t xml:space="preserve">129; </w:t>
      </w:r>
      <w:r w:rsidR="00EB50F8">
        <w:t>Cal Water</w:t>
      </w:r>
      <w:r w:rsidRPr="003A68DE">
        <w:t xml:space="preserve"> RB</w:t>
      </w:r>
      <w:r w:rsidR="0005778F">
        <w:t xml:space="preserve"> at </w:t>
      </w:r>
      <w:r w:rsidRPr="003A68DE">
        <w:t>75</w:t>
      </w:r>
      <w:r w:rsidR="00270999">
        <w:noBreakHyphen/>
      </w:r>
      <w:r w:rsidRPr="003A68DE">
        <w:t xml:space="preserve">77; </w:t>
      </w:r>
      <w:r w:rsidR="000A6C2E">
        <w:t>Ex. CWS</w:t>
      </w:r>
      <w:r w:rsidR="00270999">
        <w:noBreakHyphen/>
      </w:r>
      <w:r w:rsidRPr="003A68DE">
        <w:t>57</w:t>
      </w:r>
      <w:r w:rsidR="0005778F">
        <w:t xml:space="preserve"> at </w:t>
      </w:r>
      <w:r w:rsidRPr="003A68DE">
        <w:t>2</w:t>
      </w:r>
      <w:r w:rsidR="00270999">
        <w:noBreakHyphen/>
      </w:r>
      <w:r w:rsidRPr="003A68DE">
        <w:t>3.</w:t>
      </w:r>
    </w:p>
  </w:footnote>
  <w:footnote w:id="212">
    <w:p w14:paraId="0E35CA24" w14:textId="4A345241" w:rsidR="00243BF9" w:rsidRDefault="00243BF9" w:rsidP="00243BF9">
      <w:pPr>
        <w:pStyle w:val="FootnoteText"/>
      </w:pPr>
      <w:r>
        <w:rPr>
          <w:rStyle w:val="FootnoteReference"/>
        </w:rPr>
        <w:footnoteRef/>
      </w:r>
      <w:r>
        <w:t xml:space="preserve"> </w:t>
      </w:r>
      <w:r w:rsidR="00EB50F8">
        <w:t>Cal Advocates</w:t>
      </w:r>
      <w:r w:rsidRPr="003A68DE">
        <w:t xml:space="preserve"> OB</w:t>
      </w:r>
      <w:r w:rsidR="0005778F">
        <w:t xml:space="preserve"> at </w:t>
      </w:r>
      <w:r w:rsidRPr="003A68DE">
        <w:t>144</w:t>
      </w:r>
      <w:r w:rsidR="00270999">
        <w:noBreakHyphen/>
      </w:r>
      <w:r w:rsidRPr="003A68DE">
        <w:t xml:space="preserve">146; </w:t>
      </w:r>
      <w:r w:rsidR="009D0D2F">
        <w:t>Ex. CalPA</w:t>
      </w:r>
      <w:r w:rsidR="00270999">
        <w:noBreakHyphen/>
      </w:r>
      <w:r w:rsidRPr="003A68DE">
        <w:t>25</w:t>
      </w:r>
      <w:r w:rsidR="0005778F">
        <w:t xml:space="preserve"> at </w:t>
      </w:r>
      <w:r w:rsidRPr="003A68DE">
        <w:t>4</w:t>
      </w:r>
      <w:r w:rsidR="00270999">
        <w:noBreakHyphen/>
      </w:r>
      <w:r w:rsidRPr="003A68DE">
        <w:t xml:space="preserve">6; </w:t>
      </w:r>
      <w:r w:rsidR="00EB50F8">
        <w:t>Cal Advocates</w:t>
      </w:r>
      <w:r w:rsidRPr="003A68DE">
        <w:t xml:space="preserve"> RB</w:t>
      </w:r>
      <w:r w:rsidR="0005778F">
        <w:t xml:space="preserve"> at </w:t>
      </w:r>
      <w:r w:rsidRPr="003A68DE">
        <w:t>59</w:t>
      </w:r>
      <w:r w:rsidR="00270999">
        <w:noBreakHyphen/>
      </w:r>
      <w:r w:rsidRPr="003A68DE">
        <w:t>61.</w:t>
      </w:r>
    </w:p>
  </w:footnote>
  <w:footnote w:id="213">
    <w:p w14:paraId="40986F51" w14:textId="3E36E5D3" w:rsidR="00243BF9" w:rsidRDefault="00243BF9" w:rsidP="00243BF9">
      <w:pPr>
        <w:pStyle w:val="FootnoteText"/>
      </w:pPr>
      <w:r>
        <w:rPr>
          <w:rStyle w:val="FootnoteReference"/>
        </w:rPr>
        <w:footnoteRef/>
      </w:r>
      <w:r>
        <w:t xml:space="preserve"> </w:t>
      </w:r>
      <w:r w:rsidR="00EB50F8">
        <w:t>Cal Water</w:t>
      </w:r>
      <w:r w:rsidRPr="003A68DE">
        <w:t xml:space="preserve"> OB</w:t>
      </w:r>
      <w:r w:rsidR="0005778F">
        <w:t xml:space="preserve"> at </w:t>
      </w:r>
      <w:r w:rsidRPr="003A68DE">
        <w:t xml:space="preserve">128; </w:t>
      </w:r>
      <w:r w:rsidR="00EB50F8">
        <w:t>Cal Water</w:t>
      </w:r>
      <w:r w:rsidRPr="003A68DE">
        <w:t xml:space="preserve"> RB</w:t>
      </w:r>
      <w:r w:rsidR="0005778F">
        <w:t xml:space="preserve"> at </w:t>
      </w:r>
      <w:r w:rsidRPr="003A68DE">
        <w:t>75</w:t>
      </w:r>
      <w:r w:rsidR="00270999">
        <w:noBreakHyphen/>
      </w:r>
      <w:r w:rsidRPr="003A68DE">
        <w:t xml:space="preserve">76; </w:t>
      </w:r>
      <w:r w:rsidR="000A6C2E">
        <w:t>Ex. CWS</w:t>
      </w:r>
      <w:r w:rsidR="00270999">
        <w:noBreakHyphen/>
      </w:r>
      <w:r w:rsidRPr="003A68DE">
        <w:t>62</w:t>
      </w:r>
      <w:r w:rsidR="0005778F">
        <w:t xml:space="preserve"> at </w:t>
      </w:r>
      <w:r w:rsidRPr="003A68DE">
        <w:t>7</w:t>
      </w:r>
      <w:r w:rsidR="00270999">
        <w:noBreakHyphen/>
      </w:r>
      <w:r w:rsidRPr="003A68DE">
        <w:t>8.</w:t>
      </w:r>
    </w:p>
  </w:footnote>
  <w:footnote w:id="214">
    <w:p w14:paraId="24CBE1F5" w14:textId="72F669F7" w:rsidR="00243BF9" w:rsidRDefault="00243BF9" w:rsidP="00243BF9">
      <w:pPr>
        <w:pStyle w:val="FootnoteText"/>
      </w:pPr>
      <w:r>
        <w:rPr>
          <w:rStyle w:val="FootnoteReference"/>
        </w:rPr>
        <w:footnoteRef/>
      </w:r>
      <w:r>
        <w:t xml:space="preserve"> </w:t>
      </w:r>
      <w:r w:rsidR="00EB50F8">
        <w:t>Cal Water</w:t>
      </w:r>
      <w:r w:rsidRPr="00574E79">
        <w:t xml:space="preserve"> OB</w:t>
      </w:r>
      <w:r w:rsidR="0005778F">
        <w:t xml:space="preserve"> at </w:t>
      </w:r>
      <w:r w:rsidRPr="00574E79">
        <w:t>120</w:t>
      </w:r>
      <w:r w:rsidR="00270999">
        <w:noBreakHyphen/>
      </w:r>
      <w:r w:rsidRPr="00574E79">
        <w:t xml:space="preserve">124; </w:t>
      </w:r>
      <w:r w:rsidR="000A6C2E">
        <w:t>Ex. CWS</w:t>
      </w:r>
      <w:r w:rsidR="00270999">
        <w:noBreakHyphen/>
      </w:r>
      <w:r w:rsidRPr="00574E79">
        <w:t>65</w:t>
      </w:r>
      <w:r w:rsidR="0005778F">
        <w:t xml:space="preserve"> at </w:t>
      </w:r>
      <w:r w:rsidRPr="00574E79">
        <w:t>2</w:t>
      </w:r>
      <w:r w:rsidR="00270999">
        <w:noBreakHyphen/>
      </w:r>
      <w:r w:rsidRPr="00574E79">
        <w:t>3.</w:t>
      </w:r>
    </w:p>
  </w:footnote>
  <w:footnote w:id="215">
    <w:p w14:paraId="3CA84946" w14:textId="0F654C81" w:rsidR="00243BF9" w:rsidRDefault="00243BF9" w:rsidP="00243BF9">
      <w:pPr>
        <w:pStyle w:val="FootnoteText"/>
      </w:pPr>
      <w:r>
        <w:rPr>
          <w:rStyle w:val="FootnoteReference"/>
        </w:rPr>
        <w:footnoteRef/>
      </w:r>
      <w:r>
        <w:t xml:space="preserve"> </w:t>
      </w:r>
      <w:r w:rsidR="00EB50F8">
        <w:t>Cal Water</w:t>
      </w:r>
      <w:r w:rsidRPr="00574E79">
        <w:t xml:space="preserve"> OB</w:t>
      </w:r>
      <w:r w:rsidR="0005778F">
        <w:t xml:space="preserve"> at </w:t>
      </w:r>
      <w:r w:rsidRPr="00574E79">
        <w:t>122</w:t>
      </w:r>
      <w:r w:rsidR="00270999">
        <w:noBreakHyphen/>
      </w:r>
      <w:r w:rsidRPr="00574E79">
        <w:t xml:space="preserve">123; </w:t>
      </w:r>
      <w:r w:rsidR="000A6C2E">
        <w:t>Ex. CWS</w:t>
      </w:r>
      <w:r w:rsidR="00270999">
        <w:noBreakHyphen/>
      </w:r>
      <w:r w:rsidRPr="00574E79">
        <w:t>66</w:t>
      </w:r>
      <w:r w:rsidR="0005778F">
        <w:t xml:space="preserve"> at </w:t>
      </w:r>
      <w:r w:rsidRPr="00574E79">
        <w:t>4.</w:t>
      </w:r>
    </w:p>
  </w:footnote>
  <w:footnote w:id="216">
    <w:p w14:paraId="1F0FD108" w14:textId="4D47EED7" w:rsidR="00243BF9" w:rsidRDefault="00243BF9" w:rsidP="00243BF9">
      <w:pPr>
        <w:pStyle w:val="FootnoteText"/>
      </w:pPr>
      <w:r>
        <w:rPr>
          <w:rStyle w:val="FootnoteReference"/>
        </w:rPr>
        <w:footnoteRef/>
      </w:r>
      <w:r>
        <w:t xml:space="preserve"> </w:t>
      </w:r>
      <w:r w:rsidR="00EB50F8">
        <w:t>Cal Water</w:t>
      </w:r>
      <w:r w:rsidRPr="00574E79">
        <w:t xml:space="preserve"> OB</w:t>
      </w:r>
      <w:r w:rsidR="0005778F">
        <w:t xml:space="preserve"> at </w:t>
      </w:r>
      <w:r w:rsidRPr="00574E79">
        <w:t>123</w:t>
      </w:r>
      <w:r w:rsidR="00270999">
        <w:noBreakHyphen/>
      </w:r>
      <w:r w:rsidRPr="00574E79">
        <w:t xml:space="preserve">125; </w:t>
      </w:r>
      <w:r w:rsidR="000A6C2E">
        <w:t>Ex. CWS</w:t>
      </w:r>
      <w:r w:rsidR="00270999">
        <w:noBreakHyphen/>
      </w:r>
      <w:r w:rsidRPr="00574E79">
        <w:t>67</w:t>
      </w:r>
      <w:r w:rsidR="0005778F">
        <w:t xml:space="preserve"> at </w:t>
      </w:r>
      <w:r w:rsidRPr="00574E79">
        <w:t>2</w:t>
      </w:r>
      <w:r w:rsidR="00270999">
        <w:noBreakHyphen/>
      </w:r>
      <w:r w:rsidRPr="00574E79">
        <w:t>3.</w:t>
      </w:r>
    </w:p>
  </w:footnote>
  <w:footnote w:id="217">
    <w:p w14:paraId="3CD2E823" w14:textId="604D3947" w:rsidR="00243BF9" w:rsidRDefault="00243BF9" w:rsidP="00243BF9">
      <w:pPr>
        <w:pStyle w:val="FootnoteText"/>
      </w:pPr>
      <w:r>
        <w:rPr>
          <w:rStyle w:val="FootnoteReference"/>
        </w:rPr>
        <w:footnoteRef/>
      </w:r>
      <w:r>
        <w:t xml:space="preserve"> </w:t>
      </w:r>
      <w:r w:rsidR="00EB50F8">
        <w:t>Cal Advocates</w:t>
      </w:r>
      <w:r w:rsidRPr="00574E79">
        <w:t xml:space="preserve"> OB</w:t>
      </w:r>
      <w:r w:rsidR="0005778F">
        <w:t xml:space="preserve"> at </w:t>
      </w:r>
      <w:r w:rsidRPr="00574E79">
        <w:t>115</w:t>
      </w:r>
      <w:r w:rsidR="00270999">
        <w:noBreakHyphen/>
      </w:r>
      <w:r w:rsidRPr="00574E79">
        <w:t xml:space="preserve">118; </w:t>
      </w:r>
      <w:r w:rsidR="009D0D2F">
        <w:t>Ex. CalPA</w:t>
      </w:r>
      <w:r w:rsidR="00270999">
        <w:noBreakHyphen/>
      </w:r>
      <w:r w:rsidRPr="00574E79">
        <w:t>26</w:t>
      </w:r>
      <w:r w:rsidR="0005778F">
        <w:t xml:space="preserve"> at </w:t>
      </w:r>
      <w:r w:rsidRPr="00574E79">
        <w:t>6</w:t>
      </w:r>
      <w:r w:rsidR="00270999">
        <w:noBreakHyphen/>
      </w:r>
      <w:r w:rsidRPr="00574E79">
        <w:t>7.</w:t>
      </w:r>
    </w:p>
  </w:footnote>
  <w:footnote w:id="218">
    <w:p w14:paraId="02206474" w14:textId="174E12E1" w:rsidR="00243BF9" w:rsidRDefault="00243BF9" w:rsidP="00243BF9">
      <w:pPr>
        <w:pStyle w:val="FootnoteText"/>
      </w:pPr>
      <w:r>
        <w:rPr>
          <w:rStyle w:val="FootnoteReference"/>
        </w:rPr>
        <w:footnoteRef/>
      </w:r>
      <w:r>
        <w:t xml:space="preserve"> </w:t>
      </w:r>
      <w:r w:rsidR="00EB50F8">
        <w:t>Cal Advocates</w:t>
      </w:r>
      <w:r w:rsidRPr="00574E79">
        <w:t xml:space="preserve"> </w:t>
      </w:r>
      <w:r>
        <w:t>RB</w:t>
      </w:r>
      <w:r w:rsidR="0005778F">
        <w:t xml:space="preserve"> at </w:t>
      </w:r>
      <w:r w:rsidRPr="00574E79">
        <w:t>50</w:t>
      </w:r>
      <w:r w:rsidR="00270999">
        <w:noBreakHyphen/>
      </w:r>
      <w:r w:rsidRPr="00574E79">
        <w:t>53.</w:t>
      </w:r>
    </w:p>
  </w:footnote>
  <w:footnote w:id="219">
    <w:p w14:paraId="2FBA7289" w14:textId="19B40E65" w:rsidR="00243BF9" w:rsidRDefault="00243BF9" w:rsidP="00243BF9">
      <w:pPr>
        <w:pStyle w:val="FootnoteText"/>
      </w:pPr>
      <w:r>
        <w:rPr>
          <w:rStyle w:val="FootnoteReference"/>
        </w:rPr>
        <w:footnoteRef/>
      </w:r>
      <w:r>
        <w:t xml:space="preserve"> </w:t>
      </w:r>
      <w:r w:rsidR="00EB50F8">
        <w:t>Cal Water</w:t>
      </w:r>
      <w:r w:rsidRPr="00574E79">
        <w:t xml:space="preserve"> OB</w:t>
      </w:r>
      <w:r w:rsidR="0005778F">
        <w:t xml:space="preserve"> at </w:t>
      </w:r>
      <w:r w:rsidRPr="00574E79">
        <w:t>121</w:t>
      </w:r>
      <w:r w:rsidR="00270999">
        <w:noBreakHyphen/>
      </w:r>
      <w:r w:rsidRPr="00574E79">
        <w:t xml:space="preserve">124; </w:t>
      </w:r>
      <w:r w:rsidR="000A6C2E">
        <w:t>Ex. CWS</w:t>
      </w:r>
      <w:r w:rsidR="00270999">
        <w:noBreakHyphen/>
      </w:r>
      <w:r w:rsidRPr="00574E79">
        <w:t>66</w:t>
      </w:r>
      <w:r w:rsidR="0005778F">
        <w:t xml:space="preserve"> at </w:t>
      </w:r>
      <w:r w:rsidRPr="00574E79">
        <w:t>3</w:t>
      </w:r>
      <w:r w:rsidR="00270999">
        <w:noBreakHyphen/>
      </w:r>
      <w:r w:rsidRPr="00574E79">
        <w:t>4.</w:t>
      </w:r>
    </w:p>
  </w:footnote>
  <w:footnote w:id="220">
    <w:p w14:paraId="2E385D38" w14:textId="333612B7" w:rsidR="00243BF9" w:rsidRDefault="00243BF9" w:rsidP="00243BF9">
      <w:pPr>
        <w:pStyle w:val="FootnoteText"/>
      </w:pPr>
      <w:r>
        <w:rPr>
          <w:rStyle w:val="FootnoteReference"/>
        </w:rPr>
        <w:footnoteRef/>
      </w:r>
      <w:r>
        <w:t xml:space="preserve"> </w:t>
      </w:r>
      <w:r w:rsidR="00EB50F8">
        <w:t>Cal Water</w:t>
      </w:r>
      <w:r w:rsidRPr="00943553">
        <w:t xml:space="preserve"> OB</w:t>
      </w:r>
      <w:r w:rsidR="0005778F">
        <w:t xml:space="preserve"> at </w:t>
      </w:r>
      <w:r w:rsidRPr="00943553">
        <w:t>126</w:t>
      </w:r>
      <w:r w:rsidR="00270999">
        <w:noBreakHyphen/>
      </w:r>
      <w:r w:rsidRPr="00943553">
        <w:t xml:space="preserve">130; </w:t>
      </w:r>
      <w:r w:rsidR="000A6C2E">
        <w:t>Ex. CWS</w:t>
      </w:r>
      <w:r w:rsidR="00270999">
        <w:noBreakHyphen/>
      </w:r>
      <w:r w:rsidRPr="00943553">
        <w:t>69</w:t>
      </w:r>
      <w:r w:rsidR="0005778F">
        <w:t xml:space="preserve"> at </w:t>
      </w:r>
      <w:r w:rsidRPr="00943553">
        <w:t>2</w:t>
      </w:r>
      <w:r w:rsidR="00270999">
        <w:noBreakHyphen/>
      </w:r>
      <w:r w:rsidRPr="00943553">
        <w:t>4.</w:t>
      </w:r>
    </w:p>
  </w:footnote>
  <w:footnote w:id="221">
    <w:p w14:paraId="435CF02E" w14:textId="457E6AEF" w:rsidR="00243BF9" w:rsidRDefault="00243BF9" w:rsidP="00243BF9">
      <w:pPr>
        <w:pStyle w:val="FootnoteText"/>
      </w:pPr>
      <w:r>
        <w:rPr>
          <w:rStyle w:val="FootnoteReference"/>
        </w:rPr>
        <w:footnoteRef/>
      </w:r>
      <w:r>
        <w:t xml:space="preserve"> </w:t>
      </w:r>
      <w:r w:rsidR="00EB50F8">
        <w:t>Cal Water</w:t>
      </w:r>
      <w:r w:rsidRPr="00943553">
        <w:t xml:space="preserve"> OB</w:t>
      </w:r>
      <w:r w:rsidR="0005778F">
        <w:t xml:space="preserve"> at </w:t>
      </w:r>
      <w:r w:rsidRPr="00943553">
        <w:t>129</w:t>
      </w:r>
      <w:r w:rsidR="00270999">
        <w:noBreakHyphen/>
      </w:r>
      <w:r w:rsidRPr="00943553">
        <w:t xml:space="preserve">130; </w:t>
      </w:r>
      <w:r w:rsidR="000A6C2E">
        <w:t>Ex. CWS</w:t>
      </w:r>
      <w:r w:rsidR="00270999">
        <w:noBreakHyphen/>
      </w:r>
      <w:r w:rsidRPr="00943553">
        <w:t>70</w:t>
      </w:r>
      <w:r w:rsidR="0005778F">
        <w:t xml:space="preserve"> at </w:t>
      </w:r>
      <w:r w:rsidRPr="00943553">
        <w:t>3.</w:t>
      </w:r>
    </w:p>
  </w:footnote>
  <w:footnote w:id="222">
    <w:p w14:paraId="5F76EF73" w14:textId="37B8C05F" w:rsidR="00243BF9" w:rsidRDefault="00243BF9" w:rsidP="00243BF9">
      <w:pPr>
        <w:pStyle w:val="FootnoteText"/>
      </w:pPr>
      <w:r>
        <w:rPr>
          <w:rStyle w:val="FootnoteReference"/>
        </w:rPr>
        <w:footnoteRef/>
      </w:r>
      <w:r>
        <w:t xml:space="preserve"> </w:t>
      </w:r>
      <w:r w:rsidR="00EB50F8">
        <w:t>Cal Advocates</w:t>
      </w:r>
      <w:r w:rsidRPr="00943553">
        <w:t xml:space="preserve"> OB</w:t>
      </w:r>
      <w:r w:rsidR="0005778F">
        <w:t xml:space="preserve"> at </w:t>
      </w:r>
      <w:r w:rsidRPr="00943553">
        <w:t>119</w:t>
      </w:r>
      <w:r w:rsidR="00270999">
        <w:noBreakHyphen/>
      </w:r>
      <w:r w:rsidRPr="00943553">
        <w:t xml:space="preserve">122; </w:t>
      </w:r>
      <w:r w:rsidR="009D0D2F">
        <w:t>Ex. CalPA</w:t>
      </w:r>
      <w:r w:rsidR="00270999">
        <w:noBreakHyphen/>
      </w:r>
      <w:r w:rsidRPr="00943553">
        <w:t>28</w:t>
      </w:r>
      <w:r w:rsidR="0005778F">
        <w:t xml:space="preserve"> at </w:t>
      </w:r>
      <w:r w:rsidRPr="00943553">
        <w:t>5</w:t>
      </w:r>
      <w:r w:rsidR="00270999">
        <w:noBreakHyphen/>
      </w:r>
      <w:r w:rsidRPr="00943553">
        <w:t>6.</w:t>
      </w:r>
    </w:p>
  </w:footnote>
  <w:footnote w:id="223">
    <w:p w14:paraId="70CCE757" w14:textId="5E20F695" w:rsidR="00243BF9" w:rsidRDefault="00243BF9" w:rsidP="00243BF9">
      <w:pPr>
        <w:pStyle w:val="FootnoteText"/>
      </w:pPr>
      <w:r>
        <w:rPr>
          <w:rStyle w:val="FootnoteReference"/>
        </w:rPr>
        <w:footnoteRef/>
      </w:r>
      <w:r>
        <w:t xml:space="preserve"> </w:t>
      </w:r>
      <w:r w:rsidR="00EB50F8">
        <w:t>Cal Advocates</w:t>
      </w:r>
      <w:r w:rsidRPr="00943553">
        <w:t xml:space="preserve"> RB</w:t>
      </w:r>
      <w:r w:rsidR="0005778F">
        <w:t xml:space="preserve"> at </w:t>
      </w:r>
      <w:r w:rsidRPr="00943553">
        <w:t>55</w:t>
      </w:r>
      <w:r w:rsidR="00270999">
        <w:noBreakHyphen/>
      </w:r>
      <w:r w:rsidRPr="00943553">
        <w:t>57.</w:t>
      </w:r>
    </w:p>
  </w:footnote>
  <w:footnote w:id="224">
    <w:p w14:paraId="7FD3E944" w14:textId="5A81D8B7" w:rsidR="00243BF9" w:rsidRDefault="00243BF9" w:rsidP="00243BF9">
      <w:pPr>
        <w:pStyle w:val="FootnoteText"/>
      </w:pPr>
      <w:r>
        <w:rPr>
          <w:rStyle w:val="FootnoteReference"/>
        </w:rPr>
        <w:footnoteRef/>
      </w:r>
      <w:r>
        <w:t xml:space="preserve"> </w:t>
      </w:r>
      <w:r w:rsidR="00EB50F8">
        <w:t>Cal Water</w:t>
      </w:r>
      <w:r w:rsidRPr="00943553">
        <w:t xml:space="preserve"> RB</w:t>
      </w:r>
      <w:r w:rsidR="0005778F">
        <w:t xml:space="preserve"> at </w:t>
      </w:r>
      <w:r w:rsidRPr="00943553">
        <w:t>86</w:t>
      </w:r>
      <w:r w:rsidR="00270999">
        <w:noBreakHyphen/>
      </w:r>
      <w:r w:rsidRPr="00943553">
        <w:t xml:space="preserve">88; </w:t>
      </w:r>
      <w:r w:rsidR="000A6C2E">
        <w:t>Ex. CWS</w:t>
      </w:r>
      <w:r w:rsidR="00270999">
        <w:noBreakHyphen/>
      </w:r>
      <w:r w:rsidRPr="00943553">
        <w:t>71</w:t>
      </w:r>
      <w:r w:rsidR="0005778F">
        <w:t xml:space="preserve"> at </w:t>
      </w:r>
      <w:r w:rsidRPr="00943553">
        <w:t>2.</w:t>
      </w:r>
    </w:p>
  </w:footnote>
  <w:footnote w:id="225">
    <w:p w14:paraId="7FA8CEDC" w14:textId="7BE90471" w:rsidR="00243BF9" w:rsidRDefault="00243BF9" w:rsidP="00243BF9">
      <w:pPr>
        <w:pStyle w:val="FootnoteText"/>
      </w:pPr>
      <w:r>
        <w:rPr>
          <w:rStyle w:val="FootnoteReference"/>
        </w:rPr>
        <w:footnoteRef/>
      </w:r>
      <w:r>
        <w:t xml:space="preserve"> </w:t>
      </w:r>
      <w:r w:rsidR="00EB50F8">
        <w:t>Cal Water</w:t>
      </w:r>
      <w:r w:rsidRPr="00943553">
        <w:t xml:space="preserve"> OB</w:t>
      </w:r>
      <w:r w:rsidR="0005778F">
        <w:t xml:space="preserve"> at </w:t>
      </w:r>
      <w:r w:rsidRPr="00943553">
        <w:t>126</w:t>
      </w:r>
      <w:r w:rsidR="00270999">
        <w:noBreakHyphen/>
      </w:r>
      <w:r w:rsidRPr="00943553">
        <w:t xml:space="preserve">130; </w:t>
      </w:r>
      <w:r w:rsidR="000A6C2E">
        <w:t>Ex. CWS</w:t>
      </w:r>
      <w:r w:rsidR="00270999">
        <w:noBreakHyphen/>
      </w:r>
      <w:r w:rsidRPr="00943553">
        <w:t>69</w:t>
      </w:r>
      <w:r w:rsidR="0005778F">
        <w:t xml:space="preserve"> at </w:t>
      </w:r>
      <w:r w:rsidRPr="00943553">
        <w:t>2</w:t>
      </w:r>
      <w:r w:rsidR="00270999">
        <w:noBreakHyphen/>
      </w:r>
      <w:r w:rsidRPr="00943553">
        <w:t>3.</w:t>
      </w:r>
    </w:p>
  </w:footnote>
  <w:footnote w:id="226">
    <w:p w14:paraId="4D3D00CB" w14:textId="620FBEF0" w:rsidR="00CC58BD" w:rsidRDefault="00CC58BD">
      <w:pPr>
        <w:pStyle w:val="FootnoteText"/>
      </w:pPr>
      <w:r>
        <w:rPr>
          <w:rStyle w:val="FootnoteReference"/>
        </w:rPr>
        <w:footnoteRef/>
      </w:r>
      <w:r>
        <w:t xml:space="preserve"> </w:t>
      </w:r>
      <w:r w:rsidR="00EB50F8">
        <w:t>Cal Water</w:t>
      </w:r>
      <w:r w:rsidRPr="001265AE">
        <w:t xml:space="preserve"> OB</w:t>
      </w:r>
      <w:r w:rsidR="0005778F">
        <w:t xml:space="preserve"> at </w:t>
      </w:r>
      <w:r w:rsidRPr="001265AE">
        <w:t>109</w:t>
      </w:r>
      <w:r w:rsidR="00270999">
        <w:noBreakHyphen/>
      </w:r>
      <w:r w:rsidRPr="001265AE">
        <w:t xml:space="preserve">112; </w:t>
      </w:r>
      <w:r w:rsidR="00EB50F8">
        <w:t>Cal Water</w:t>
      </w:r>
      <w:r w:rsidRPr="001265AE">
        <w:t xml:space="preserve"> RB</w:t>
      </w:r>
      <w:r w:rsidR="0005778F">
        <w:t xml:space="preserve"> at </w:t>
      </w:r>
      <w:r w:rsidRPr="001265AE">
        <w:t>58</w:t>
      </w:r>
      <w:r w:rsidR="00270999">
        <w:noBreakHyphen/>
      </w:r>
      <w:r w:rsidRPr="001265AE">
        <w:t>60.</w:t>
      </w:r>
    </w:p>
  </w:footnote>
  <w:footnote w:id="227">
    <w:p w14:paraId="337A714A" w14:textId="1DDEB1C6" w:rsidR="0060116A" w:rsidRDefault="0060116A" w:rsidP="0060116A">
      <w:pPr>
        <w:pStyle w:val="FootnoteText"/>
      </w:pPr>
      <w:r>
        <w:rPr>
          <w:rStyle w:val="FootnoteReference"/>
        </w:rPr>
        <w:footnoteRef/>
      </w:r>
      <w:r>
        <w:t xml:space="preserve"> </w:t>
      </w:r>
      <w:r w:rsidR="00EB50F8">
        <w:t>Cal Water</w:t>
      </w:r>
      <w:r>
        <w:t xml:space="preserve"> RB</w:t>
      </w:r>
      <w:r w:rsidR="0005778F">
        <w:t xml:space="preserve"> at </w:t>
      </w:r>
      <w:r>
        <w:t xml:space="preserve">19; </w:t>
      </w:r>
      <w:r w:rsidR="000A6C2E">
        <w:t>Ex. CWS</w:t>
      </w:r>
      <w:r w:rsidR="00270999">
        <w:noBreakHyphen/>
      </w:r>
      <w:r w:rsidRPr="00824687">
        <w:t>50</w:t>
      </w:r>
      <w:r w:rsidR="0005778F">
        <w:t xml:space="preserve"> at </w:t>
      </w:r>
      <w:r w:rsidRPr="00824687">
        <w:t>166.</w:t>
      </w:r>
    </w:p>
  </w:footnote>
  <w:footnote w:id="228">
    <w:p w14:paraId="12965C67" w14:textId="128FE0F4" w:rsidR="00CC58BD" w:rsidRDefault="00CC58BD">
      <w:pPr>
        <w:pStyle w:val="FootnoteText"/>
      </w:pPr>
      <w:r>
        <w:rPr>
          <w:rStyle w:val="FootnoteReference"/>
        </w:rPr>
        <w:footnoteRef/>
      </w:r>
      <w:r>
        <w:t xml:space="preserve"> </w:t>
      </w:r>
      <w:r w:rsidR="00EB50F8">
        <w:t>Cal Advocates</w:t>
      </w:r>
      <w:r w:rsidRPr="001265AE">
        <w:t xml:space="preserve"> OB</w:t>
      </w:r>
      <w:r w:rsidR="0005778F">
        <w:t xml:space="preserve"> at </w:t>
      </w:r>
      <w:r w:rsidRPr="001265AE">
        <w:t>94</w:t>
      </w:r>
      <w:r w:rsidR="00270999">
        <w:noBreakHyphen/>
      </w:r>
      <w:r w:rsidRPr="001265AE">
        <w:t xml:space="preserve">96; </w:t>
      </w:r>
      <w:r w:rsidR="00EB50F8">
        <w:t>Cal Advocates</w:t>
      </w:r>
      <w:r w:rsidRPr="001265AE">
        <w:t xml:space="preserve"> RB</w:t>
      </w:r>
      <w:r w:rsidR="0005778F">
        <w:t xml:space="preserve"> at </w:t>
      </w:r>
      <w:r w:rsidRPr="001265AE">
        <w:t>40</w:t>
      </w:r>
      <w:r w:rsidR="00270999">
        <w:noBreakHyphen/>
      </w:r>
      <w:r w:rsidRPr="001265AE">
        <w:t>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0FD4" w14:textId="61782AC1" w:rsidR="000770CD" w:rsidRDefault="000770CD" w:rsidP="000770CD">
    <w:pPr>
      <w:pStyle w:val="Header"/>
      <w:tabs>
        <w:tab w:val="clear" w:pos="4680"/>
      </w:tabs>
      <w:ind w:firstLine="0"/>
      <w:rPr>
        <w:b/>
      </w:rPr>
    </w:pPr>
    <w:r w:rsidRPr="000725F5">
      <w:t>A</w:t>
    </w:r>
    <w:r>
      <w:t>.</w:t>
    </w:r>
    <w:r w:rsidRPr="000725F5">
      <w:t>24</w:t>
    </w:r>
    <w:r w:rsidR="00270999">
      <w:noBreakHyphen/>
    </w:r>
    <w:r w:rsidRPr="000725F5">
      <w:t>07</w:t>
    </w:r>
    <w:r w:rsidR="00270999">
      <w:noBreakHyphen/>
    </w:r>
    <w:r w:rsidRPr="000725F5">
      <w:t xml:space="preserve">003 </w:t>
    </w:r>
    <w:r>
      <w:t xml:space="preserve"> ALJ/ABT/nd3</w:t>
    </w:r>
    <w:r>
      <w:tab/>
    </w:r>
    <w:r w:rsidRPr="000725F5">
      <w:rPr>
        <w:bCs/>
      </w:rPr>
      <w:t>PROPOSED DECISION</w:t>
    </w:r>
    <w:r w:rsidR="0087736E">
      <w:rPr>
        <w:bCs/>
      </w:rPr>
      <w:t xml:space="preserve"> </w:t>
    </w:r>
    <w:r w:rsidR="0087736E" w:rsidRPr="0087736E">
      <w:rPr>
        <w:bCs/>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126D" w14:textId="7253251A" w:rsidR="0036146E" w:rsidRPr="00D52E0E" w:rsidRDefault="0036146E" w:rsidP="00D52E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06109"/>
    <w:multiLevelType w:val="multilevel"/>
    <w:tmpl w:val="D0D6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11EA9"/>
    <w:multiLevelType w:val="multilevel"/>
    <w:tmpl w:val="D3367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1583C"/>
    <w:multiLevelType w:val="multilevel"/>
    <w:tmpl w:val="F3A229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61A59"/>
    <w:multiLevelType w:val="hybridMultilevel"/>
    <w:tmpl w:val="C53ACCEC"/>
    <w:lvl w:ilvl="0" w:tplc="1AB04378">
      <w:start w:val="5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0E34193A"/>
    <w:multiLevelType w:val="multilevel"/>
    <w:tmpl w:val="29BC9BFE"/>
    <w:lvl w:ilvl="0">
      <w:start w:val="1"/>
      <w:numFmt w:val="bullet"/>
      <w:lvlText w:val=""/>
      <w:lvlJc w:val="left"/>
      <w:pPr>
        <w:tabs>
          <w:tab w:val="num" w:pos="720"/>
        </w:tabs>
        <w:ind w:left="720" w:hanging="360"/>
      </w:pPr>
      <w:rPr>
        <w:rFonts w:ascii="Symbol" w:hAnsi="Symbol" w:hint="default"/>
        <w:sz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C1C14"/>
    <w:multiLevelType w:val="multilevel"/>
    <w:tmpl w:val="18F4A5AC"/>
    <w:styleLink w:val="FoFCoLOP"/>
    <w:lvl w:ilvl="0">
      <w:start w:val="1"/>
      <w:numFmt w:val="decimal"/>
      <w:lvlText w:val="%1."/>
      <w:lvlJc w:val="right"/>
      <w:pPr>
        <w:ind w:left="-45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A21A78"/>
    <w:multiLevelType w:val="multilevel"/>
    <w:tmpl w:val="6750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056CB"/>
    <w:multiLevelType w:val="multilevel"/>
    <w:tmpl w:val="58C4D1DE"/>
    <w:lvl w:ilvl="0">
      <w:start w:val="1"/>
      <w:numFmt w:val="decimal"/>
      <w:pStyle w:val="CoL"/>
      <w:lvlText w:val="%1."/>
      <w:lvlJc w:val="right"/>
      <w:pPr>
        <w:ind w:left="0" w:firstLine="547"/>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9" w15:restartNumberingAfterBreak="0">
    <w:nsid w:val="176656D6"/>
    <w:multiLevelType w:val="multilevel"/>
    <w:tmpl w:val="9AE4C0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F257C"/>
    <w:multiLevelType w:val="multilevel"/>
    <w:tmpl w:val="70F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00861"/>
    <w:multiLevelType w:val="hybridMultilevel"/>
    <w:tmpl w:val="2D821A3E"/>
    <w:lvl w:ilvl="0" w:tplc="8ABCF608">
      <w:start w:val="1"/>
      <w:numFmt w:val="decimal"/>
      <w:pStyle w:val="Table1Issues"/>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E74DB9"/>
    <w:multiLevelType w:val="multilevel"/>
    <w:tmpl w:val="6A50105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063EF"/>
    <w:multiLevelType w:val="multilevel"/>
    <w:tmpl w:val="C0CE49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971452"/>
    <w:multiLevelType w:val="multilevel"/>
    <w:tmpl w:val="80E0A7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04DD2"/>
    <w:multiLevelType w:val="multilevel"/>
    <w:tmpl w:val="1214DA48"/>
    <w:lvl w:ilvl="0">
      <w:start w:val="1"/>
      <w:numFmt w:val="bullet"/>
      <w:lvlText w:val=""/>
      <w:lvlJc w:val="left"/>
      <w:pPr>
        <w:tabs>
          <w:tab w:val="num" w:pos="720"/>
        </w:tabs>
        <w:ind w:left="720" w:hanging="360"/>
      </w:pPr>
      <w:rPr>
        <w:rFonts w:ascii="Symbol" w:hAnsi="Symbol"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D414A"/>
    <w:multiLevelType w:val="hybridMultilevel"/>
    <w:tmpl w:val="FD044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1D024C"/>
    <w:multiLevelType w:val="multilevel"/>
    <w:tmpl w:val="A6EA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F6D42"/>
    <w:multiLevelType w:val="multilevel"/>
    <w:tmpl w:val="1BB44ED4"/>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9" w15:restartNumberingAfterBreak="0">
    <w:nsid w:val="38AF5570"/>
    <w:multiLevelType w:val="multilevel"/>
    <w:tmpl w:val="CA8E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93769"/>
    <w:multiLevelType w:val="multilevel"/>
    <w:tmpl w:val="E88E5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931BDA"/>
    <w:multiLevelType w:val="hybridMultilevel"/>
    <w:tmpl w:val="815AF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26A2404"/>
    <w:multiLevelType w:val="multilevel"/>
    <w:tmpl w:val="B9D4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1A03C3"/>
    <w:multiLevelType w:val="multilevel"/>
    <w:tmpl w:val="E768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F4DF2"/>
    <w:multiLevelType w:val="hybridMultilevel"/>
    <w:tmpl w:val="A9409966"/>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5378A4"/>
    <w:multiLevelType w:val="hybridMultilevel"/>
    <w:tmpl w:val="1E72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F1DF3"/>
    <w:multiLevelType w:val="multilevel"/>
    <w:tmpl w:val="9200932A"/>
    <w:lvl w:ilvl="0">
      <w:start w:val="1"/>
      <w:numFmt w:val="bullet"/>
      <w:pStyle w:val="Table3Items"/>
      <w:lvlText w:val=""/>
      <w:lvlJc w:val="left"/>
      <w:pPr>
        <w:tabs>
          <w:tab w:val="num" w:pos="720"/>
        </w:tabs>
        <w:ind w:left="1080" w:hanging="360"/>
      </w:pPr>
      <w:rPr>
        <w:rFonts w:ascii="Symbol" w:hAnsi="Symbol" w:hint="default"/>
        <w:sz w:val="26"/>
        <w:szCs w:val="2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589263B"/>
    <w:multiLevelType w:val="hybridMultilevel"/>
    <w:tmpl w:val="AD4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82AC3"/>
    <w:multiLevelType w:val="hybridMultilevel"/>
    <w:tmpl w:val="7412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F23D0"/>
    <w:multiLevelType w:val="multilevel"/>
    <w:tmpl w:val="2FA2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538B5"/>
    <w:multiLevelType w:val="hybridMultilevel"/>
    <w:tmpl w:val="3B940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042D7"/>
    <w:multiLevelType w:val="multilevel"/>
    <w:tmpl w:val="0248C674"/>
    <w:lvl w:ilvl="0">
      <w:start w:val="1"/>
      <w:numFmt w:val="decimal"/>
      <w:pStyle w:val="FoF"/>
      <w:lvlText w:val="%1."/>
      <w:lvlJc w:val="right"/>
      <w:pPr>
        <w:ind w:left="0" w:firstLine="547"/>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3" w15:restartNumberingAfterBreak="0">
    <w:nsid w:val="5A9E2171"/>
    <w:multiLevelType w:val="multilevel"/>
    <w:tmpl w:val="A1FCAAD6"/>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ind w:left="3888" w:hanging="1296"/>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4" w15:restartNumberingAfterBreak="0">
    <w:nsid w:val="5D9913D7"/>
    <w:multiLevelType w:val="hybridMultilevel"/>
    <w:tmpl w:val="A08E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25780"/>
    <w:multiLevelType w:val="multilevel"/>
    <w:tmpl w:val="1BB44ED4"/>
    <w:numStyleLink w:val="Headings"/>
  </w:abstractNum>
  <w:abstractNum w:abstractNumId="36" w15:restartNumberingAfterBreak="0">
    <w:nsid w:val="62400777"/>
    <w:multiLevelType w:val="multilevel"/>
    <w:tmpl w:val="38E4EE4A"/>
    <w:lvl w:ilvl="0">
      <w:start w:val="1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F74A4F"/>
    <w:multiLevelType w:val="multilevel"/>
    <w:tmpl w:val="1B76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87545E"/>
    <w:multiLevelType w:val="multilevel"/>
    <w:tmpl w:val="DB3E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79638B"/>
    <w:multiLevelType w:val="multilevel"/>
    <w:tmpl w:val="5160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911D56"/>
    <w:multiLevelType w:val="multilevel"/>
    <w:tmpl w:val="4D1C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46A37"/>
    <w:multiLevelType w:val="hybridMultilevel"/>
    <w:tmpl w:val="E7485F00"/>
    <w:lvl w:ilvl="0" w:tplc="ECFAE1C8">
      <w:start w:val="1"/>
      <w:numFmt w:val="bullet"/>
      <w:pStyle w:val="OP1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46E34"/>
    <w:multiLevelType w:val="multilevel"/>
    <w:tmpl w:val="1FE4C7B8"/>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3" w15:restartNumberingAfterBreak="0">
    <w:nsid w:val="771B1F90"/>
    <w:multiLevelType w:val="multilevel"/>
    <w:tmpl w:val="3830D5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9A0AFE"/>
    <w:multiLevelType w:val="multilevel"/>
    <w:tmpl w:val="D1069498"/>
    <w:lvl w:ilvl="0">
      <w:start w:val="1"/>
      <w:numFmt w:val="decimal"/>
      <w:pStyle w:val="OP"/>
      <w:isLgl/>
      <w:lvlText w:val="%1."/>
      <w:lvlJc w:val="right"/>
      <w:pPr>
        <w:ind w:left="0" w:firstLine="547"/>
      </w:pPr>
      <w:rPr>
        <w:rFonts w:hint="default"/>
      </w:rPr>
    </w:lvl>
    <w:lvl w:ilvl="1">
      <w:start w:val="1"/>
      <w:numFmt w:val="lowerLetter"/>
      <w:lvlText w:val="(%2)"/>
      <w:lvlJc w:val="left"/>
      <w:pPr>
        <w:ind w:left="1195" w:hanging="475"/>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5" w15:restartNumberingAfterBreak="0">
    <w:nsid w:val="7B105E13"/>
    <w:multiLevelType w:val="multilevel"/>
    <w:tmpl w:val="9594BFA2"/>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E9218E"/>
    <w:multiLevelType w:val="multilevel"/>
    <w:tmpl w:val="68863702"/>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7F39054D"/>
    <w:multiLevelType w:val="multilevel"/>
    <w:tmpl w:val="B9963834"/>
    <w:lvl w:ilvl="0">
      <w:start w:val="1"/>
      <w:numFmt w:val="bullet"/>
      <w:lvlText w:val=""/>
      <w:lvlJc w:val="left"/>
      <w:pPr>
        <w:tabs>
          <w:tab w:val="num" w:pos="720"/>
        </w:tabs>
        <w:ind w:left="720" w:hanging="360"/>
      </w:pPr>
      <w:rPr>
        <w:rFonts w:ascii="Symbol" w:hAnsi="Symbol"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526949">
    <w:abstractNumId w:val="33"/>
  </w:num>
  <w:num w:numId="2" w16cid:durableId="140774137">
    <w:abstractNumId w:val="6"/>
  </w:num>
  <w:num w:numId="3" w16cid:durableId="1898543446">
    <w:abstractNumId w:val="32"/>
  </w:num>
  <w:num w:numId="4" w16cid:durableId="701521005">
    <w:abstractNumId w:val="8"/>
  </w:num>
  <w:num w:numId="5" w16cid:durableId="973756952">
    <w:abstractNumId w:val="18"/>
  </w:num>
  <w:num w:numId="6" w16cid:durableId="816924040">
    <w:abstractNumId w:val="0"/>
  </w:num>
  <w:num w:numId="7" w16cid:durableId="1714382259">
    <w:abstractNumId w:val="35"/>
  </w:num>
  <w:num w:numId="8" w16cid:durableId="2145808155">
    <w:abstractNumId w:val="11"/>
  </w:num>
  <w:num w:numId="9" w16cid:durableId="350305268">
    <w:abstractNumId w:val="21"/>
  </w:num>
  <w:num w:numId="10" w16cid:durableId="569075592">
    <w:abstractNumId w:val="16"/>
  </w:num>
  <w:num w:numId="11" w16cid:durableId="585456394">
    <w:abstractNumId w:val="9"/>
  </w:num>
  <w:num w:numId="12" w16cid:durableId="578373195">
    <w:abstractNumId w:val="13"/>
  </w:num>
  <w:num w:numId="13" w16cid:durableId="2053143243">
    <w:abstractNumId w:val="5"/>
  </w:num>
  <w:num w:numId="14" w16cid:durableId="2111584053">
    <w:abstractNumId w:val="46"/>
  </w:num>
  <w:num w:numId="15" w16cid:durableId="1296911196">
    <w:abstractNumId w:val="47"/>
  </w:num>
  <w:num w:numId="16" w16cid:durableId="407458020">
    <w:abstractNumId w:val="15"/>
  </w:num>
  <w:num w:numId="17" w16cid:durableId="700739044">
    <w:abstractNumId w:val="26"/>
  </w:num>
  <w:num w:numId="18" w16cid:durableId="1061753826">
    <w:abstractNumId w:val="41"/>
  </w:num>
  <w:num w:numId="19" w16cid:durableId="822234500">
    <w:abstractNumId w:val="44"/>
  </w:num>
  <w:num w:numId="20" w16cid:durableId="913051304">
    <w:abstractNumId w:val="17"/>
  </w:num>
  <w:num w:numId="21" w16cid:durableId="1598637936">
    <w:abstractNumId w:val="1"/>
  </w:num>
  <w:num w:numId="22" w16cid:durableId="1809322754">
    <w:abstractNumId w:val="35"/>
    <w:lvlOverride w:ilvl="0">
      <w:startOverride w:val="3"/>
    </w:lvlOverride>
    <w:lvlOverride w:ilvl="1">
      <w:startOverride w:val="2"/>
    </w:lvlOverride>
    <w:lvlOverride w:ilvl="2">
      <w:startOverride w:val="2"/>
    </w:lvlOverride>
  </w:num>
  <w:num w:numId="23" w16cid:durableId="1896702143">
    <w:abstractNumId w:val="29"/>
  </w:num>
  <w:num w:numId="24" w16cid:durableId="2139642493">
    <w:abstractNumId w:val="40"/>
  </w:num>
  <w:num w:numId="25" w16cid:durableId="1476920112">
    <w:abstractNumId w:val="23"/>
  </w:num>
  <w:num w:numId="26" w16cid:durableId="334646673">
    <w:abstractNumId w:val="38"/>
  </w:num>
  <w:num w:numId="27" w16cid:durableId="696547212">
    <w:abstractNumId w:val="39"/>
  </w:num>
  <w:num w:numId="28" w16cid:durableId="923992983">
    <w:abstractNumId w:val="37"/>
  </w:num>
  <w:num w:numId="29" w16cid:durableId="84813786">
    <w:abstractNumId w:val="19"/>
  </w:num>
  <w:num w:numId="30" w16cid:durableId="1318605966">
    <w:abstractNumId w:val="30"/>
  </w:num>
  <w:num w:numId="31" w16cid:durableId="34355466">
    <w:abstractNumId w:val="2"/>
  </w:num>
  <w:num w:numId="32" w16cid:durableId="1356006679">
    <w:abstractNumId w:val="3"/>
  </w:num>
  <w:num w:numId="33" w16cid:durableId="1031299018">
    <w:abstractNumId w:val="12"/>
  </w:num>
  <w:num w:numId="34" w16cid:durableId="308677367">
    <w:abstractNumId w:val="45"/>
  </w:num>
  <w:num w:numId="35" w16cid:durableId="670453583">
    <w:abstractNumId w:val="36"/>
  </w:num>
  <w:num w:numId="36" w16cid:durableId="707604546">
    <w:abstractNumId w:val="31"/>
  </w:num>
  <w:num w:numId="37" w16cid:durableId="662780576">
    <w:abstractNumId w:val="28"/>
  </w:num>
  <w:num w:numId="38" w16cid:durableId="2110538005">
    <w:abstractNumId w:val="20"/>
  </w:num>
  <w:num w:numId="39" w16cid:durableId="1217745191">
    <w:abstractNumId w:val="42"/>
  </w:num>
  <w:num w:numId="40" w16cid:durableId="222759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1330037">
    <w:abstractNumId w:val="34"/>
  </w:num>
  <w:num w:numId="42" w16cid:durableId="424886938">
    <w:abstractNumId w:val="25"/>
  </w:num>
  <w:num w:numId="43" w16cid:durableId="1590428883">
    <w:abstractNumId w:val="14"/>
  </w:num>
  <w:num w:numId="44" w16cid:durableId="17388366">
    <w:abstractNumId w:val="43"/>
  </w:num>
  <w:num w:numId="45" w16cid:durableId="1715080339">
    <w:abstractNumId w:val="10"/>
  </w:num>
  <w:num w:numId="46" w16cid:durableId="1200699924">
    <w:abstractNumId w:val="7"/>
  </w:num>
  <w:num w:numId="47" w16cid:durableId="1740395526">
    <w:abstractNumId w:val="22"/>
  </w:num>
  <w:num w:numId="48" w16cid:durableId="1183469349">
    <w:abstractNumId w:val="4"/>
  </w:num>
  <w:num w:numId="49" w16cid:durableId="1679382709">
    <w:abstractNumId w:val="24"/>
  </w:num>
  <w:num w:numId="50" w16cid:durableId="1891382665">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77"/>
    <w:rsid w:val="0000056E"/>
    <w:rsid w:val="00000D2C"/>
    <w:rsid w:val="00000D49"/>
    <w:rsid w:val="00000F6A"/>
    <w:rsid w:val="00002BF7"/>
    <w:rsid w:val="00002FCC"/>
    <w:rsid w:val="00003D53"/>
    <w:rsid w:val="00004562"/>
    <w:rsid w:val="00005C8B"/>
    <w:rsid w:val="0000645E"/>
    <w:rsid w:val="0000671F"/>
    <w:rsid w:val="00008612"/>
    <w:rsid w:val="000104ED"/>
    <w:rsid w:val="00010DB3"/>
    <w:rsid w:val="00011313"/>
    <w:rsid w:val="00011ECD"/>
    <w:rsid w:val="00011F04"/>
    <w:rsid w:val="00013B18"/>
    <w:rsid w:val="00013C03"/>
    <w:rsid w:val="00013C1F"/>
    <w:rsid w:val="00013D99"/>
    <w:rsid w:val="00014B49"/>
    <w:rsid w:val="000163A2"/>
    <w:rsid w:val="0001715C"/>
    <w:rsid w:val="000202F2"/>
    <w:rsid w:val="0002045A"/>
    <w:rsid w:val="000205DC"/>
    <w:rsid w:val="000236C8"/>
    <w:rsid w:val="00023D8B"/>
    <w:rsid w:val="0002471E"/>
    <w:rsid w:val="00024BB5"/>
    <w:rsid w:val="00024BEE"/>
    <w:rsid w:val="00026543"/>
    <w:rsid w:val="0002764A"/>
    <w:rsid w:val="000276AF"/>
    <w:rsid w:val="00030551"/>
    <w:rsid w:val="0003057E"/>
    <w:rsid w:val="0003088A"/>
    <w:rsid w:val="00030CE8"/>
    <w:rsid w:val="00030D28"/>
    <w:rsid w:val="00031053"/>
    <w:rsid w:val="000313CC"/>
    <w:rsid w:val="00032581"/>
    <w:rsid w:val="00032DB8"/>
    <w:rsid w:val="00033F16"/>
    <w:rsid w:val="000342DE"/>
    <w:rsid w:val="0003447C"/>
    <w:rsid w:val="00036775"/>
    <w:rsid w:val="00036A7A"/>
    <w:rsid w:val="00037351"/>
    <w:rsid w:val="000377E5"/>
    <w:rsid w:val="00037D58"/>
    <w:rsid w:val="00037E98"/>
    <w:rsid w:val="000408EB"/>
    <w:rsid w:val="00040921"/>
    <w:rsid w:val="00042A83"/>
    <w:rsid w:val="00042C94"/>
    <w:rsid w:val="00042E7D"/>
    <w:rsid w:val="00043232"/>
    <w:rsid w:val="0004369C"/>
    <w:rsid w:val="00044881"/>
    <w:rsid w:val="00045EB6"/>
    <w:rsid w:val="00046118"/>
    <w:rsid w:val="00046C6C"/>
    <w:rsid w:val="000472E2"/>
    <w:rsid w:val="0005083F"/>
    <w:rsid w:val="00051C64"/>
    <w:rsid w:val="00051E45"/>
    <w:rsid w:val="00051EEE"/>
    <w:rsid w:val="00053F05"/>
    <w:rsid w:val="00054FEE"/>
    <w:rsid w:val="00055304"/>
    <w:rsid w:val="000562E1"/>
    <w:rsid w:val="00056350"/>
    <w:rsid w:val="00056B61"/>
    <w:rsid w:val="0005778F"/>
    <w:rsid w:val="00057D23"/>
    <w:rsid w:val="00060EDF"/>
    <w:rsid w:val="000612F4"/>
    <w:rsid w:val="000619EB"/>
    <w:rsid w:val="000624C8"/>
    <w:rsid w:val="00062DBE"/>
    <w:rsid w:val="00063372"/>
    <w:rsid w:val="000650A5"/>
    <w:rsid w:val="0006566C"/>
    <w:rsid w:val="000658B1"/>
    <w:rsid w:val="00065B31"/>
    <w:rsid w:val="00065F0F"/>
    <w:rsid w:val="000664F7"/>
    <w:rsid w:val="00066828"/>
    <w:rsid w:val="00066A3C"/>
    <w:rsid w:val="00067678"/>
    <w:rsid w:val="000704F7"/>
    <w:rsid w:val="00070F70"/>
    <w:rsid w:val="0007115A"/>
    <w:rsid w:val="000725F5"/>
    <w:rsid w:val="0007299A"/>
    <w:rsid w:val="00072B60"/>
    <w:rsid w:val="000734AD"/>
    <w:rsid w:val="0007369B"/>
    <w:rsid w:val="00074CDA"/>
    <w:rsid w:val="00076741"/>
    <w:rsid w:val="00076A55"/>
    <w:rsid w:val="000770CD"/>
    <w:rsid w:val="00077562"/>
    <w:rsid w:val="000777DA"/>
    <w:rsid w:val="000804E9"/>
    <w:rsid w:val="000805F3"/>
    <w:rsid w:val="0008071D"/>
    <w:rsid w:val="00080FC9"/>
    <w:rsid w:val="00081557"/>
    <w:rsid w:val="00081BDF"/>
    <w:rsid w:val="00081D02"/>
    <w:rsid w:val="00082196"/>
    <w:rsid w:val="000826A3"/>
    <w:rsid w:val="0008334E"/>
    <w:rsid w:val="000834E7"/>
    <w:rsid w:val="00083671"/>
    <w:rsid w:val="000837EC"/>
    <w:rsid w:val="00083D13"/>
    <w:rsid w:val="00084475"/>
    <w:rsid w:val="00084A82"/>
    <w:rsid w:val="00084FF1"/>
    <w:rsid w:val="00085094"/>
    <w:rsid w:val="00085254"/>
    <w:rsid w:val="00085DDB"/>
    <w:rsid w:val="000862A2"/>
    <w:rsid w:val="00086673"/>
    <w:rsid w:val="00086731"/>
    <w:rsid w:val="0008692C"/>
    <w:rsid w:val="0008737A"/>
    <w:rsid w:val="000901F8"/>
    <w:rsid w:val="000906DC"/>
    <w:rsid w:val="00090BAF"/>
    <w:rsid w:val="00091521"/>
    <w:rsid w:val="00092737"/>
    <w:rsid w:val="00092C93"/>
    <w:rsid w:val="000930F7"/>
    <w:rsid w:val="00093796"/>
    <w:rsid w:val="00094687"/>
    <w:rsid w:val="00094DE4"/>
    <w:rsid w:val="000951C3"/>
    <w:rsid w:val="00095E4C"/>
    <w:rsid w:val="000964E6"/>
    <w:rsid w:val="00096F77"/>
    <w:rsid w:val="000973C8"/>
    <w:rsid w:val="0009765E"/>
    <w:rsid w:val="00097BD3"/>
    <w:rsid w:val="000A0E7C"/>
    <w:rsid w:val="000A0EF5"/>
    <w:rsid w:val="000A12BA"/>
    <w:rsid w:val="000A1965"/>
    <w:rsid w:val="000A2AA9"/>
    <w:rsid w:val="000A2E14"/>
    <w:rsid w:val="000A453E"/>
    <w:rsid w:val="000A56F2"/>
    <w:rsid w:val="000A5E47"/>
    <w:rsid w:val="000A5FE0"/>
    <w:rsid w:val="000A6C2E"/>
    <w:rsid w:val="000A6E05"/>
    <w:rsid w:val="000A7330"/>
    <w:rsid w:val="000B12FA"/>
    <w:rsid w:val="000B19E8"/>
    <w:rsid w:val="000B2A77"/>
    <w:rsid w:val="000B3AD9"/>
    <w:rsid w:val="000B3EED"/>
    <w:rsid w:val="000B4926"/>
    <w:rsid w:val="000B4B45"/>
    <w:rsid w:val="000B4C46"/>
    <w:rsid w:val="000B4E1C"/>
    <w:rsid w:val="000B54D4"/>
    <w:rsid w:val="000B5698"/>
    <w:rsid w:val="000B5869"/>
    <w:rsid w:val="000B73D7"/>
    <w:rsid w:val="000B73FF"/>
    <w:rsid w:val="000C0470"/>
    <w:rsid w:val="000C051D"/>
    <w:rsid w:val="000C0896"/>
    <w:rsid w:val="000C08BF"/>
    <w:rsid w:val="000C1D36"/>
    <w:rsid w:val="000C1F09"/>
    <w:rsid w:val="000C23E5"/>
    <w:rsid w:val="000C2B6C"/>
    <w:rsid w:val="000C3B9A"/>
    <w:rsid w:val="000C53B4"/>
    <w:rsid w:val="000C5AA6"/>
    <w:rsid w:val="000C5BEE"/>
    <w:rsid w:val="000C5EB0"/>
    <w:rsid w:val="000C6B99"/>
    <w:rsid w:val="000D042C"/>
    <w:rsid w:val="000D0BC0"/>
    <w:rsid w:val="000D2526"/>
    <w:rsid w:val="000D25A8"/>
    <w:rsid w:val="000D2F88"/>
    <w:rsid w:val="000D4351"/>
    <w:rsid w:val="000D56D8"/>
    <w:rsid w:val="000D57F3"/>
    <w:rsid w:val="000D5B31"/>
    <w:rsid w:val="000D697B"/>
    <w:rsid w:val="000D6EE9"/>
    <w:rsid w:val="000E032A"/>
    <w:rsid w:val="000E079F"/>
    <w:rsid w:val="000E2019"/>
    <w:rsid w:val="000E237D"/>
    <w:rsid w:val="000E26A5"/>
    <w:rsid w:val="000E270A"/>
    <w:rsid w:val="000E2760"/>
    <w:rsid w:val="000E3091"/>
    <w:rsid w:val="000E358E"/>
    <w:rsid w:val="000E40DB"/>
    <w:rsid w:val="000E469A"/>
    <w:rsid w:val="000E4A88"/>
    <w:rsid w:val="000E4C53"/>
    <w:rsid w:val="000E4D84"/>
    <w:rsid w:val="000E5AA9"/>
    <w:rsid w:val="000E62D1"/>
    <w:rsid w:val="000E675B"/>
    <w:rsid w:val="000E695A"/>
    <w:rsid w:val="000E73EB"/>
    <w:rsid w:val="000F0FDD"/>
    <w:rsid w:val="000F1837"/>
    <w:rsid w:val="000F1839"/>
    <w:rsid w:val="000F2918"/>
    <w:rsid w:val="000F3474"/>
    <w:rsid w:val="000F3EFA"/>
    <w:rsid w:val="000F48C6"/>
    <w:rsid w:val="000F74D7"/>
    <w:rsid w:val="000F7A5D"/>
    <w:rsid w:val="00100557"/>
    <w:rsid w:val="00100599"/>
    <w:rsid w:val="0010091A"/>
    <w:rsid w:val="00100D14"/>
    <w:rsid w:val="00101AA4"/>
    <w:rsid w:val="00102C66"/>
    <w:rsid w:val="001030D6"/>
    <w:rsid w:val="0010410C"/>
    <w:rsid w:val="0010494F"/>
    <w:rsid w:val="0011057C"/>
    <w:rsid w:val="0011195D"/>
    <w:rsid w:val="00111CBC"/>
    <w:rsid w:val="0011287F"/>
    <w:rsid w:val="00112F3D"/>
    <w:rsid w:val="00113195"/>
    <w:rsid w:val="00113CF3"/>
    <w:rsid w:val="00114FE7"/>
    <w:rsid w:val="0011504E"/>
    <w:rsid w:val="001156CA"/>
    <w:rsid w:val="00116088"/>
    <w:rsid w:val="0011615C"/>
    <w:rsid w:val="00116ABF"/>
    <w:rsid w:val="00117113"/>
    <w:rsid w:val="001175E2"/>
    <w:rsid w:val="001200D8"/>
    <w:rsid w:val="00120577"/>
    <w:rsid w:val="00121044"/>
    <w:rsid w:val="00121089"/>
    <w:rsid w:val="0012121C"/>
    <w:rsid w:val="0012188D"/>
    <w:rsid w:val="001219EA"/>
    <w:rsid w:val="0012256E"/>
    <w:rsid w:val="00123898"/>
    <w:rsid w:val="00123A9C"/>
    <w:rsid w:val="0012467C"/>
    <w:rsid w:val="0012577D"/>
    <w:rsid w:val="001265AE"/>
    <w:rsid w:val="00126D27"/>
    <w:rsid w:val="001279AC"/>
    <w:rsid w:val="00127DB8"/>
    <w:rsid w:val="00131402"/>
    <w:rsid w:val="001327A1"/>
    <w:rsid w:val="001328E0"/>
    <w:rsid w:val="00133566"/>
    <w:rsid w:val="0013398B"/>
    <w:rsid w:val="00133B21"/>
    <w:rsid w:val="0013438B"/>
    <w:rsid w:val="00136278"/>
    <w:rsid w:val="00136DDA"/>
    <w:rsid w:val="00140D20"/>
    <w:rsid w:val="0014106C"/>
    <w:rsid w:val="0014303B"/>
    <w:rsid w:val="00144034"/>
    <w:rsid w:val="00144758"/>
    <w:rsid w:val="00144AAB"/>
    <w:rsid w:val="00144FE1"/>
    <w:rsid w:val="0014686A"/>
    <w:rsid w:val="001469DB"/>
    <w:rsid w:val="00147069"/>
    <w:rsid w:val="00150708"/>
    <w:rsid w:val="001507ED"/>
    <w:rsid w:val="00150D5D"/>
    <w:rsid w:val="001524E2"/>
    <w:rsid w:val="0015314A"/>
    <w:rsid w:val="001535EA"/>
    <w:rsid w:val="00153FD0"/>
    <w:rsid w:val="0015401C"/>
    <w:rsid w:val="001553D6"/>
    <w:rsid w:val="001563EE"/>
    <w:rsid w:val="00156D3C"/>
    <w:rsid w:val="001570CF"/>
    <w:rsid w:val="00162492"/>
    <w:rsid w:val="00162D36"/>
    <w:rsid w:val="00163046"/>
    <w:rsid w:val="0016409F"/>
    <w:rsid w:val="0016415C"/>
    <w:rsid w:val="00164CC1"/>
    <w:rsid w:val="001651B2"/>
    <w:rsid w:val="00165EB9"/>
    <w:rsid w:val="001671C8"/>
    <w:rsid w:val="001675A1"/>
    <w:rsid w:val="00167EFE"/>
    <w:rsid w:val="00170681"/>
    <w:rsid w:val="0017096B"/>
    <w:rsid w:val="00170EF7"/>
    <w:rsid w:val="00171CD9"/>
    <w:rsid w:val="00171DED"/>
    <w:rsid w:val="00171F80"/>
    <w:rsid w:val="001721A3"/>
    <w:rsid w:val="00172808"/>
    <w:rsid w:val="001733A1"/>
    <w:rsid w:val="00174E02"/>
    <w:rsid w:val="00175308"/>
    <w:rsid w:val="0017577E"/>
    <w:rsid w:val="001757FD"/>
    <w:rsid w:val="00175F6C"/>
    <w:rsid w:val="00176A74"/>
    <w:rsid w:val="00177420"/>
    <w:rsid w:val="00177815"/>
    <w:rsid w:val="00177907"/>
    <w:rsid w:val="00177CFA"/>
    <w:rsid w:val="001802B7"/>
    <w:rsid w:val="00181728"/>
    <w:rsid w:val="001829A9"/>
    <w:rsid w:val="001831B4"/>
    <w:rsid w:val="00183D4C"/>
    <w:rsid w:val="0018415E"/>
    <w:rsid w:val="00184A8F"/>
    <w:rsid w:val="00184ADC"/>
    <w:rsid w:val="00184E23"/>
    <w:rsid w:val="00184EEB"/>
    <w:rsid w:val="00185110"/>
    <w:rsid w:val="00185129"/>
    <w:rsid w:val="00186623"/>
    <w:rsid w:val="00187836"/>
    <w:rsid w:val="00187D6D"/>
    <w:rsid w:val="00190176"/>
    <w:rsid w:val="001905AD"/>
    <w:rsid w:val="001908F5"/>
    <w:rsid w:val="00191490"/>
    <w:rsid w:val="0019153B"/>
    <w:rsid w:val="00191625"/>
    <w:rsid w:val="00191DA5"/>
    <w:rsid w:val="00192140"/>
    <w:rsid w:val="00192406"/>
    <w:rsid w:val="00192DCC"/>
    <w:rsid w:val="00193ABF"/>
    <w:rsid w:val="001943A5"/>
    <w:rsid w:val="001947C4"/>
    <w:rsid w:val="00196729"/>
    <w:rsid w:val="00196F59"/>
    <w:rsid w:val="001A0A7A"/>
    <w:rsid w:val="001A0D50"/>
    <w:rsid w:val="001A0EC7"/>
    <w:rsid w:val="001A110C"/>
    <w:rsid w:val="001A2F1A"/>
    <w:rsid w:val="001A36AE"/>
    <w:rsid w:val="001A372A"/>
    <w:rsid w:val="001A390C"/>
    <w:rsid w:val="001A417C"/>
    <w:rsid w:val="001A4404"/>
    <w:rsid w:val="001A526B"/>
    <w:rsid w:val="001A6D8B"/>
    <w:rsid w:val="001A74E9"/>
    <w:rsid w:val="001B0884"/>
    <w:rsid w:val="001B11AC"/>
    <w:rsid w:val="001B1313"/>
    <w:rsid w:val="001B1A81"/>
    <w:rsid w:val="001B2424"/>
    <w:rsid w:val="001B2429"/>
    <w:rsid w:val="001B2471"/>
    <w:rsid w:val="001B2749"/>
    <w:rsid w:val="001B3615"/>
    <w:rsid w:val="001B3687"/>
    <w:rsid w:val="001B3800"/>
    <w:rsid w:val="001B39A3"/>
    <w:rsid w:val="001B3B98"/>
    <w:rsid w:val="001B3F03"/>
    <w:rsid w:val="001B479C"/>
    <w:rsid w:val="001B52A3"/>
    <w:rsid w:val="001B52EF"/>
    <w:rsid w:val="001B66CE"/>
    <w:rsid w:val="001B7403"/>
    <w:rsid w:val="001B7ED7"/>
    <w:rsid w:val="001C0810"/>
    <w:rsid w:val="001C0E46"/>
    <w:rsid w:val="001C1A76"/>
    <w:rsid w:val="001C363F"/>
    <w:rsid w:val="001C494D"/>
    <w:rsid w:val="001C55B9"/>
    <w:rsid w:val="001C5949"/>
    <w:rsid w:val="001C5D9C"/>
    <w:rsid w:val="001C620F"/>
    <w:rsid w:val="001C6D65"/>
    <w:rsid w:val="001C7C22"/>
    <w:rsid w:val="001D04AA"/>
    <w:rsid w:val="001D1090"/>
    <w:rsid w:val="001D1CBB"/>
    <w:rsid w:val="001D1EDD"/>
    <w:rsid w:val="001D26CA"/>
    <w:rsid w:val="001D3A3D"/>
    <w:rsid w:val="001D3CD1"/>
    <w:rsid w:val="001D3D2B"/>
    <w:rsid w:val="001D4096"/>
    <w:rsid w:val="001D5124"/>
    <w:rsid w:val="001D5BEA"/>
    <w:rsid w:val="001D65AC"/>
    <w:rsid w:val="001D6C28"/>
    <w:rsid w:val="001D72B6"/>
    <w:rsid w:val="001D7FC9"/>
    <w:rsid w:val="001E06E6"/>
    <w:rsid w:val="001E1333"/>
    <w:rsid w:val="001E1A16"/>
    <w:rsid w:val="001E1C24"/>
    <w:rsid w:val="001E2092"/>
    <w:rsid w:val="001E2509"/>
    <w:rsid w:val="001E255A"/>
    <w:rsid w:val="001E2A62"/>
    <w:rsid w:val="001E2AAC"/>
    <w:rsid w:val="001E2C60"/>
    <w:rsid w:val="001E2D1E"/>
    <w:rsid w:val="001E54CC"/>
    <w:rsid w:val="001E6926"/>
    <w:rsid w:val="001F02AF"/>
    <w:rsid w:val="001F114A"/>
    <w:rsid w:val="001F1C20"/>
    <w:rsid w:val="001F20FD"/>
    <w:rsid w:val="001F21D6"/>
    <w:rsid w:val="001F2819"/>
    <w:rsid w:val="001F3BAE"/>
    <w:rsid w:val="001F3ED1"/>
    <w:rsid w:val="001F3F18"/>
    <w:rsid w:val="001F4BDB"/>
    <w:rsid w:val="001F5B81"/>
    <w:rsid w:val="001F6456"/>
    <w:rsid w:val="00200270"/>
    <w:rsid w:val="002002A3"/>
    <w:rsid w:val="00202500"/>
    <w:rsid w:val="00202EB7"/>
    <w:rsid w:val="002042CE"/>
    <w:rsid w:val="002043EC"/>
    <w:rsid w:val="00204566"/>
    <w:rsid w:val="00206251"/>
    <w:rsid w:val="00206AAF"/>
    <w:rsid w:val="002071AF"/>
    <w:rsid w:val="00210065"/>
    <w:rsid w:val="0021042C"/>
    <w:rsid w:val="00210DE3"/>
    <w:rsid w:val="002114F9"/>
    <w:rsid w:val="002116C1"/>
    <w:rsid w:val="00211BAA"/>
    <w:rsid w:val="00211CAA"/>
    <w:rsid w:val="00212119"/>
    <w:rsid w:val="0021266D"/>
    <w:rsid w:val="00212E50"/>
    <w:rsid w:val="00214BF2"/>
    <w:rsid w:val="002164FD"/>
    <w:rsid w:val="00216C74"/>
    <w:rsid w:val="002171A6"/>
    <w:rsid w:val="002174C7"/>
    <w:rsid w:val="00220926"/>
    <w:rsid w:val="0022119E"/>
    <w:rsid w:val="002213E3"/>
    <w:rsid w:val="0022159B"/>
    <w:rsid w:val="00221A32"/>
    <w:rsid w:val="00222B3A"/>
    <w:rsid w:val="002232F8"/>
    <w:rsid w:val="00224879"/>
    <w:rsid w:val="00224B97"/>
    <w:rsid w:val="00226328"/>
    <w:rsid w:val="00227347"/>
    <w:rsid w:val="00227F26"/>
    <w:rsid w:val="0023287C"/>
    <w:rsid w:val="00232AE4"/>
    <w:rsid w:val="00232BD9"/>
    <w:rsid w:val="00233D6B"/>
    <w:rsid w:val="002348AD"/>
    <w:rsid w:val="00234A82"/>
    <w:rsid w:val="00236163"/>
    <w:rsid w:val="002361E3"/>
    <w:rsid w:val="0023703B"/>
    <w:rsid w:val="0023714C"/>
    <w:rsid w:val="0023779A"/>
    <w:rsid w:val="00240166"/>
    <w:rsid w:val="00241A5D"/>
    <w:rsid w:val="002428C3"/>
    <w:rsid w:val="00243BF9"/>
    <w:rsid w:val="00243DC0"/>
    <w:rsid w:val="00244845"/>
    <w:rsid w:val="00245044"/>
    <w:rsid w:val="0024656E"/>
    <w:rsid w:val="00247477"/>
    <w:rsid w:val="00250D92"/>
    <w:rsid w:val="00252248"/>
    <w:rsid w:val="00252652"/>
    <w:rsid w:val="0025309E"/>
    <w:rsid w:val="00253B0F"/>
    <w:rsid w:val="00253D9F"/>
    <w:rsid w:val="0025530E"/>
    <w:rsid w:val="00255E39"/>
    <w:rsid w:val="002564D2"/>
    <w:rsid w:val="002566DF"/>
    <w:rsid w:val="00256C0A"/>
    <w:rsid w:val="00256C31"/>
    <w:rsid w:val="00257922"/>
    <w:rsid w:val="00257FEF"/>
    <w:rsid w:val="00262DA2"/>
    <w:rsid w:val="00262FF6"/>
    <w:rsid w:val="00263151"/>
    <w:rsid w:val="00263300"/>
    <w:rsid w:val="00263FC4"/>
    <w:rsid w:val="002650D3"/>
    <w:rsid w:val="00265468"/>
    <w:rsid w:val="00267A5E"/>
    <w:rsid w:val="00267C5A"/>
    <w:rsid w:val="00267CD5"/>
    <w:rsid w:val="00267D02"/>
    <w:rsid w:val="00270440"/>
    <w:rsid w:val="00270999"/>
    <w:rsid w:val="00270ED5"/>
    <w:rsid w:val="00271B70"/>
    <w:rsid w:val="00272029"/>
    <w:rsid w:val="00272CF0"/>
    <w:rsid w:val="00273539"/>
    <w:rsid w:val="00273644"/>
    <w:rsid w:val="00274468"/>
    <w:rsid w:val="00274685"/>
    <w:rsid w:val="0027490E"/>
    <w:rsid w:val="002763CF"/>
    <w:rsid w:val="00276DF8"/>
    <w:rsid w:val="0027704E"/>
    <w:rsid w:val="0027709A"/>
    <w:rsid w:val="00277BCC"/>
    <w:rsid w:val="002807EE"/>
    <w:rsid w:val="00280BF5"/>
    <w:rsid w:val="00281905"/>
    <w:rsid w:val="002825DB"/>
    <w:rsid w:val="002827CD"/>
    <w:rsid w:val="00283296"/>
    <w:rsid w:val="002834C1"/>
    <w:rsid w:val="00284C23"/>
    <w:rsid w:val="00284D8D"/>
    <w:rsid w:val="0028527F"/>
    <w:rsid w:val="0028550B"/>
    <w:rsid w:val="00285FC2"/>
    <w:rsid w:val="002869E8"/>
    <w:rsid w:val="0028718E"/>
    <w:rsid w:val="00287507"/>
    <w:rsid w:val="00287652"/>
    <w:rsid w:val="00287BC5"/>
    <w:rsid w:val="00287CCB"/>
    <w:rsid w:val="0029069E"/>
    <w:rsid w:val="00291FAF"/>
    <w:rsid w:val="00292282"/>
    <w:rsid w:val="00292527"/>
    <w:rsid w:val="002927F5"/>
    <w:rsid w:val="00293434"/>
    <w:rsid w:val="00293DEE"/>
    <w:rsid w:val="002942B4"/>
    <w:rsid w:val="0029439F"/>
    <w:rsid w:val="00294545"/>
    <w:rsid w:val="0029614D"/>
    <w:rsid w:val="00296DD9"/>
    <w:rsid w:val="002979B6"/>
    <w:rsid w:val="00297B2E"/>
    <w:rsid w:val="00297B63"/>
    <w:rsid w:val="002A0B5D"/>
    <w:rsid w:val="002A0F70"/>
    <w:rsid w:val="002A159C"/>
    <w:rsid w:val="002A2971"/>
    <w:rsid w:val="002A2ECD"/>
    <w:rsid w:val="002A3E8D"/>
    <w:rsid w:val="002A4056"/>
    <w:rsid w:val="002A4DEA"/>
    <w:rsid w:val="002A56CB"/>
    <w:rsid w:val="002A5AC5"/>
    <w:rsid w:val="002A6257"/>
    <w:rsid w:val="002A65D8"/>
    <w:rsid w:val="002A6CFC"/>
    <w:rsid w:val="002A6EF2"/>
    <w:rsid w:val="002B09C4"/>
    <w:rsid w:val="002B0F30"/>
    <w:rsid w:val="002B2757"/>
    <w:rsid w:val="002B30A6"/>
    <w:rsid w:val="002B30D4"/>
    <w:rsid w:val="002B41F3"/>
    <w:rsid w:val="002B43FC"/>
    <w:rsid w:val="002B4A17"/>
    <w:rsid w:val="002B4DDE"/>
    <w:rsid w:val="002B50C2"/>
    <w:rsid w:val="002C01FE"/>
    <w:rsid w:val="002C04EC"/>
    <w:rsid w:val="002C0FE8"/>
    <w:rsid w:val="002C23C5"/>
    <w:rsid w:val="002C2880"/>
    <w:rsid w:val="002C2DB7"/>
    <w:rsid w:val="002C42A1"/>
    <w:rsid w:val="002C4B3A"/>
    <w:rsid w:val="002C53D5"/>
    <w:rsid w:val="002C5E02"/>
    <w:rsid w:val="002C7FE9"/>
    <w:rsid w:val="002D0B9B"/>
    <w:rsid w:val="002D0DC5"/>
    <w:rsid w:val="002D1315"/>
    <w:rsid w:val="002D1FAE"/>
    <w:rsid w:val="002D27D3"/>
    <w:rsid w:val="002D4EFD"/>
    <w:rsid w:val="002D5576"/>
    <w:rsid w:val="002D5788"/>
    <w:rsid w:val="002D60C8"/>
    <w:rsid w:val="002D63EB"/>
    <w:rsid w:val="002E0BB2"/>
    <w:rsid w:val="002E1854"/>
    <w:rsid w:val="002E21AE"/>
    <w:rsid w:val="002E22EC"/>
    <w:rsid w:val="002E287C"/>
    <w:rsid w:val="002E2F74"/>
    <w:rsid w:val="002E3CE9"/>
    <w:rsid w:val="002E3F38"/>
    <w:rsid w:val="002E4E08"/>
    <w:rsid w:val="002E4FBA"/>
    <w:rsid w:val="002E6BBD"/>
    <w:rsid w:val="002F01BC"/>
    <w:rsid w:val="002F029B"/>
    <w:rsid w:val="002F0EF0"/>
    <w:rsid w:val="002F2145"/>
    <w:rsid w:val="002F26D0"/>
    <w:rsid w:val="002F2EA3"/>
    <w:rsid w:val="002F36FE"/>
    <w:rsid w:val="002F3F2D"/>
    <w:rsid w:val="002F430A"/>
    <w:rsid w:val="002F4367"/>
    <w:rsid w:val="002F4691"/>
    <w:rsid w:val="002F4FE3"/>
    <w:rsid w:val="002F51DA"/>
    <w:rsid w:val="002F5263"/>
    <w:rsid w:val="002F527C"/>
    <w:rsid w:val="002F64AD"/>
    <w:rsid w:val="002F6E7B"/>
    <w:rsid w:val="002F7572"/>
    <w:rsid w:val="0030026A"/>
    <w:rsid w:val="00300316"/>
    <w:rsid w:val="00300840"/>
    <w:rsid w:val="00300895"/>
    <w:rsid w:val="00301B40"/>
    <w:rsid w:val="00301CA3"/>
    <w:rsid w:val="003021E9"/>
    <w:rsid w:val="0030224E"/>
    <w:rsid w:val="003025E1"/>
    <w:rsid w:val="00302C18"/>
    <w:rsid w:val="00304D98"/>
    <w:rsid w:val="00304FE7"/>
    <w:rsid w:val="0030502B"/>
    <w:rsid w:val="003052E7"/>
    <w:rsid w:val="00305740"/>
    <w:rsid w:val="00305C47"/>
    <w:rsid w:val="00307F01"/>
    <w:rsid w:val="00310D7B"/>
    <w:rsid w:val="00311CC0"/>
    <w:rsid w:val="00311E4E"/>
    <w:rsid w:val="00311F20"/>
    <w:rsid w:val="003146CD"/>
    <w:rsid w:val="00315595"/>
    <w:rsid w:val="003158FC"/>
    <w:rsid w:val="00315A97"/>
    <w:rsid w:val="00316071"/>
    <w:rsid w:val="0031615E"/>
    <w:rsid w:val="0031635F"/>
    <w:rsid w:val="00317091"/>
    <w:rsid w:val="003170DC"/>
    <w:rsid w:val="003178CF"/>
    <w:rsid w:val="003203FD"/>
    <w:rsid w:val="00320532"/>
    <w:rsid w:val="0032094F"/>
    <w:rsid w:val="00321027"/>
    <w:rsid w:val="00321ECB"/>
    <w:rsid w:val="0032278B"/>
    <w:rsid w:val="00322BCA"/>
    <w:rsid w:val="0032302E"/>
    <w:rsid w:val="0032369C"/>
    <w:rsid w:val="003237CF"/>
    <w:rsid w:val="00323804"/>
    <w:rsid w:val="0032421C"/>
    <w:rsid w:val="00324947"/>
    <w:rsid w:val="00325E30"/>
    <w:rsid w:val="00326C60"/>
    <w:rsid w:val="00326C9A"/>
    <w:rsid w:val="0032703D"/>
    <w:rsid w:val="00327C71"/>
    <w:rsid w:val="00327E66"/>
    <w:rsid w:val="0033083B"/>
    <w:rsid w:val="00330CCB"/>
    <w:rsid w:val="00330E3F"/>
    <w:rsid w:val="00331141"/>
    <w:rsid w:val="00331653"/>
    <w:rsid w:val="00331A63"/>
    <w:rsid w:val="003320DC"/>
    <w:rsid w:val="00332432"/>
    <w:rsid w:val="0033330F"/>
    <w:rsid w:val="003339B9"/>
    <w:rsid w:val="00333BE2"/>
    <w:rsid w:val="0033444C"/>
    <w:rsid w:val="00336D06"/>
    <w:rsid w:val="0033715E"/>
    <w:rsid w:val="00337C19"/>
    <w:rsid w:val="00340A8F"/>
    <w:rsid w:val="00341081"/>
    <w:rsid w:val="0034117D"/>
    <w:rsid w:val="00341211"/>
    <w:rsid w:val="00341337"/>
    <w:rsid w:val="00341D98"/>
    <w:rsid w:val="0034215B"/>
    <w:rsid w:val="00342D1B"/>
    <w:rsid w:val="003431FE"/>
    <w:rsid w:val="00343E5C"/>
    <w:rsid w:val="003446E1"/>
    <w:rsid w:val="00344C36"/>
    <w:rsid w:val="00344FB8"/>
    <w:rsid w:val="00344FCA"/>
    <w:rsid w:val="00345287"/>
    <w:rsid w:val="003464B9"/>
    <w:rsid w:val="003474C1"/>
    <w:rsid w:val="00347520"/>
    <w:rsid w:val="00350193"/>
    <w:rsid w:val="00350832"/>
    <w:rsid w:val="00353404"/>
    <w:rsid w:val="003535B0"/>
    <w:rsid w:val="00353B1B"/>
    <w:rsid w:val="003540FE"/>
    <w:rsid w:val="003543C6"/>
    <w:rsid w:val="003549F3"/>
    <w:rsid w:val="00354C1D"/>
    <w:rsid w:val="00355087"/>
    <w:rsid w:val="00356BE7"/>
    <w:rsid w:val="00357A3D"/>
    <w:rsid w:val="0036017B"/>
    <w:rsid w:val="00360587"/>
    <w:rsid w:val="003608B6"/>
    <w:rsid w:val="0036146E"/>
    <w:rsid w:val="003619F1"/>
    <w:rsid w:val="00362673"/>
    <w:rsid w:val="00362755"/>
    <w:rsid w:val="00363527"/>
    <w:rsid w:val="00363680"/>
    <w:rsid w:val="00363736"/>
    <w:rsid w:val="00363F47"/>
    <w:rsid w:val="003645FB"/>
    <w:rsid w:val="0036632E"/>
    <w:rsid w:val="00367241"/>
    <w:rsid w:val="00367656"/>
    <w:rsid w:val="00367A88"/>
    <w:rsid w:val="00370B62"/>
    <w:rsid w:val="0037262A"/>
    <w:rsid w:val="00373B93"/>
    <w:rsid w:val="00374E78"/>
    <w:rsid w:val="00374EE2"/>
    <w:rsid w:val="0037794E"/>
    <w:rsid w:val="00380CD1"/>
    <w:rsid w:val="00381B82"/>
    <w:rsid w:val="003829AD"/>
    <w:rsid w:val="003840E1"/>
    <w:rsid w:val="00386515"/>
    <w:rsid w:val="00387629"/>
    <w:rsid w:val="00387A0F"/>
    <w:rsid w:val="00387CA9"/>
    <w:rsid w:val="00390ED8"/>
    <w:rsid w:val="00391166"/>
    <w:rsid w:val="00391170"/>
    <w:rsid w:val="003915A6"/>
    <w:rsid w:val="00391ABF"/>
    <w:rsid w:val="00391E81"/>
    <w:rsid w:val="00392162"/>
    <w:rsid w:val="003922FD"/>
    <w:rsid w:val="00393931"/>
    <w:rsid w:val="003940D2"/>
    <w:rsid w:val="00394D41"/>
    <w:rsid w:val="00395BE3"/>
    <w:rsid w:val="00395E82"/>
    <w:rsid w:val="003960B7"/>
    <w:rsid w:val="00396D81"/>
    <w:rsid w:val="00396FCB"/>
    <w:rsid w:val="00396FF5"/>
    <w:rsid w:val="003A02CA"/>
    <w:rsid w:val="003A05C7"/>
    <w:rsid w:val="003A14F8"/>
    <w:rsid w:val="003A258B"/>
    <w:rsid w:val="003A2D75"/>
    <w:rsid w:val="003A357A"/>
    <w:rsid w:val="003A38F0"/>
    <w:rsid w:val="003A4610"/>
    <w:rsid w:val="003A4B01"/>
    <w:rsid w:val="003A5B7D"/>
    <w:rsid w:val="003A63CF"/>
    <w:rsid w:val="003A68DE"/>
    <w:rsid w:val="003A6CF4"/>
    <w:rsid w:val="003A6EAF"/>
    <w:rsid w:val="003A6F0F"/>
    <w:rsid w:val="003A73D9"/>
    <w:rsid w:val="003B28BA"/>
    <w:rsid w:val="003B3C00"/>
    <w:rsid w:val="003B4814"/>
    <w:rsid w:val="003B4F6E"/>
    <w:rsid w:val="003B5B1C"/>
    <w:rsid w:val="003B5FF5"/>
    <w:rsid w:val="003B73D6"/>
    <w:rsid w:val="003B7566"/>
    <w:rsid w:val="003C0A04"/>
    <w:rsid w:val="003C14EA"/>
    <w:rsid w:val="003C1B75"/>
    <w:rsid w:val="003C25E6"/>
    <w:rsid w:val="003C2AED"/>
    <w:rsid w:val="003C3665"/>
    <w:rsid w:val="003C3903"/>
    <w:rsid w:val="003C4057"/>
    <w:rsid w:val="003C4477"/>
    <w:rsid w:val="003C4582"/>
    <w:rsid w:val="003C5195"/>
    <w:rsid w:val="003C67A2"/>
    <w:rsid w:val="003D0323"/>
    <w:rsid w:val="003D1233"/>
    <w:rsid w:val="003D1F20"/>
    <w:rsid w:val="003D1FD9"/>
    <w:rsid w:val="003D246E"/>
    <w:rsid w:val="003D383E"/>
    <w:rsid w:val="003D3994"/>
    <w:rsid w:val="003D4E16"/>
    <w:rsid w:val="003D6906"/>
    <w:rsid w:val="003E0326"/>
    <w:rsid w:val="003E0E60"/>
    <w:rsid w:val="003E1C52"/>
    <w:rsid w:val="003E2B08"/>
    <w:rsid w:val="003E2CC1"/>
    <w:rsid w:val="003E2DD1"/>
    <w:rsid w:val="003E37F9"/>
    <w:rsid w:val="003E3945"/>
    <w:rsid w:val="003E3ABC"/>
    <w:rsid w:val="003E3B9E"/>
    <w:rsid w:val="003E42BB"/>
    <w:rsid w:val="003E442C"/>
    <w:rsid w:val="003E4E3F"/>
    <w:rsid w:val="003E5054"/>
    <w:rsid w:val="003E6378"/>
    <w:rsid w:val="003E6E0F"/>
    <w:rsid w:val="003E73D4"/>
    <w:rsid w:val="003E73F2"/>
    <w:rsid w:val="003E7987"/>
    <w:rsid w:val="003F04EC"/>
    <w:rsid w:val="003F069A"/>
    <w:rsid w:val="003F0738"/>
    <w:rsid w:val="003F1AED"/>
    <w:rsid w:val="003F1D0A"/>
    <w:rsid w:val="003F1DEF"/>
    <w:rsid w:val="003F2DDA"/>
    <w:rsid w:val="003F4329"/>
    <w:rsid w:val="003F56A7"/>
    <w:rsid w:val="003F5E3B"/>
    <w:rsid w:val="003F743D"/>
    <w:rsid w:val="003F7C12"/>
    <w:rsid w:val="003F7CBB"/>
    <w:rsid w:val="003F7DD7"/>
    <w:rsid w:val="00400237"/>
    <w:rsid w:val="004013CB"/>
    <w:rsid w:val="00401EA7"/>
    <w:rsid w:val="00401FEF"/>
    <w:rsid w:val="00402F28"/>
    <w:rsid w:val="004032FF"/>
    <w:rsid w:val="00403723"/>
    <w:rsid w:val="00404059"/>
    <w:rsid w:val="00404298"/>
    <w:rsid w:val="00404CB9"/>
    <w:rsid w:val="00405260"/>
    <w:rsid w:val="004054C1"/>
    <w:rsid w:val="00405DA5"/>
    <w:rsid w:val="00406FFA"/>
    <w:rsid w:val="0041036E"/>
    <w:rsid w:val="004103C5"/>
    <w:rsid w:val="00410B30"/>
    <w:rsid w:val="00410FEB"/>
    <w:rsid w:val="004115ED"/>
    <w:rsid w:val="0041164D"/>
    <w:rsid w:val="00411D27"/>
    <w:rsid w:val="00411D6E"/>
    <w:rsid w:val="00412534"/>
    <w:rsid w:val="00412C83"/>
    <w:rsid w:val="00413069"/>
    <w:rsid w:val="00413307"/>
    <w:rsid w:val="004138C2"/>
    <w:rsid w:val="00414921"/>
    <w:rsid w:val="004158D2"/>
    <w:rsid w:val="00415BEF"/>
    <w:rsid w:val="004164BE"/>
    <w:rsid w:val="004169A0"/>
    <w:rsid w:val="00416EA9"/>
    <w:rsid w:val="00416F54"/>
    <w:rsid w:val="0041735B"/>
    <w:rsid w:val="00420969"/>
    <w:rsid w:val="00420B5F"/>
    <w:rsid w:val="00421F3C"/>
    <w:rsid w:val="004242BB"/>
    <w:rsid w:val="0042586E"/>
    <w:rsid w:val="00426014"/>
    <w:rsid w:val="004262CD"/>
    <w:rsid w:val="004264DE"/>
    <w:rsid w:val="0043155F"/>
    <w:rsid w:val="004329E6"/>
    <w:rsid w:val="00433155"/>
    <w:rsid w:val="004336B8"/>
    <w:rsid w:val="00434027"/>
    <w:rsid w:val="00434262"/>
    <w:rsid w:val="004345B0"/>
    <w:rsid w:val="00435E4E"/>
    <w:rsid w:val="00436492"/>
    <w:rsid w:val="004365C3"/>
    <w:rsid w:val="00437947"/>
    <w:rsid w:val="00437AA2"/>
    <w:rsid w:val="00437EC6"/>
    <w:rsid w:val="004406BA"/>
    <w:rsid w:val="004421F3"/>
    <w:rsid w:val="00442A1C"/>
    <w:rsid w:val="004437A5"/>
    <w:rsid w:val="00443A28"/>
    <w:rsid w:val="00443BD7"/>
    <w:rsid w:val="00443F27"/>
    <w:rsid w:val="00444322"/>
    <w:rsid w:val="004450BE"/>
    <w:rsid w:val="004456B4"/>
    <w:rsid w:val="00445944"/>
    <w:rsid w:val="0044617E"/>
    <w:rsid w:val="00446250"/>
    <w:rsid w:val="00446348"/>
    <w:rsid w:val="004463BC"/>
    <w:rsid w:val="004503B9"/>
    <w:rsid w:val="00450632"/>
    <w:rsid w:val="00452CC2"/>
    <w:rsid w:val="004536BE"/>
    <w:rsid w:val="0045371E"/>
    <w:rsid w:val="0045392F"/>
    <w:rsid w:val="00453B57"/>
    <w:rsid w:val="00454FCD"/>
    <w:rsid w:val="00455AC4"/>
    <w:rsid w:val="00456C94"/>
    <w:rsid w:val="00456CB8"/>
    <w:rsid w:val="004572FE"/>
    <w:rsid w:val="0046078B"/>
    <w:rsid w:val="00460B7D"/>
    <w:rsid w:val="00460F8A"/>
    <w:rsid w:val="00461AE2"/>
    <w:rsid w:val="00463A58"/>
    <w:rsid w:val="00464F93"/>
    <w:rsid w:val="00464FB4"/>
    <w:rsid w:val="004654D1"/>
    <w:rsid w:val="0046669B"/>
    <w:rsid w:val="00466744"/>
    <w:rsid w:val="004668CA"/>
    <w:rsid w:val="0047081B"/>
    <w:rsid w:val="00470A82"/>
    <w:rsid w:val="0047173C"/>
    <w:rsid w:val="00471AD4"/>
    <w:rsid w:val="00471FEF"/>
    <w:rsid w:val="004736C5"/>
    <w:rsid w:val="00473B97"/>
    <w:rsid w:val="00475729"/>
    <w:rsid w:val="00475D88"/>
    <w:rsid w:val="00476079"/>
    <w:rsid w:val="00476322"/>
    <w:rsid w:val="00476655"/>
    <w:rsid w:val="00480A70"/>
    <w:rsid w:val="00480BF9"/>
    <w:rsid w:val="00480CB0"/>
    <w:rsid w:val="00481B83"/>
    <w:rsid w:val="00482EDB"/>
    <w:rsid w:val="0048339B"/>
    <w:rsid w:val="00483603"/>
    <w:rsid w:val="00483B3C"/>
    <w:rsid w:val="00484CDA"/>
    <w:rsid w:val="00485B89"/>
    <w:rsid w:val="00485E6E"/>
    <w:rsid w:val="004870A7"/>
    <w:rsid w:val="00487465"/>
    <w:rsid w:val="004876AE"/>
    <w:rsid w:val="00487EC0"/>
    <w:rsid w:val="00490134"/>
    <w:rsid w:val="004912A3"/>
    <w:rsid w:val="00493610"/>
    <w:rsid w:val="004941FE"/>
    <w:rsid w:val="00494840"/>
    <w:rsid w:val="00495484"/>
    <w:rsid w:val="00496992"/>
    <w:rsid w:val="00497BA1"/>
    <w:rsid w:val="004A166C"/>
    <w:rsid w:val="004A1EAD"/>
    <w:rsid w:val="004A2197"/>
    <w:rsid w:val="004A2B17"/>
    <w:rsid w:val="004A32DC"/>
    <w:rsid w:val="004A47BE"/>
    <w:rsid w:val="004A51BB"/>
    <w:rsid w:val="004A5DF4"/>
    <w:rsid w:val="004A5F48"/>
    <w:rsid w:val="004A62F4"/>
    <w:rsid w:val="004A6D1C"/>
    <w:rsid w:val="004A74D7"/>
    <w:rsid w:val="004A759C"/>
    <w:rsid w:val="004B0ACC"/>
    <w:rsid w:val="004B117C"/>
    <w:rsid w:val="004B1187"/>
    <w:rsid w:val="004B1F55"/>
    <w:rsid w:val="004B34EA"/>
    <w:rsid w:val="004B423E"/>
    <w:rsid w:val="004B4320"/>
    <w:rsid w:val="004B4A01"/>
    <w:rsid w:val="004B515D"/>
    <w:rsid w:val="004B5494"/>
    <w:rsid w:val="004B59D6"/>
    <w:rsid w:val="004B5AE1"/>
    <w:rsid w:val="004B615D"/>
    <w:rsid w:val="004B6901"/>
    <w:rsid w:val="004B79AE"/>
    <w:rsid w:val="004B7ADA"/>
    <w:rsid w:val="004C0AE5"/>
    <w:rsid w:val="004C18B1"/>
    <w:rsid w:val="004C1923"/>
    <w:rsid w:val="004C19A8"/>
    <w:rsid w:val="004C1D34"/>
    <w:rsid w:val="004C220E"/>
    <w:rsid w:val="004C284B"/>
    <w:rsid w:val="004C46AE"/>
    <w:rsid w:val="004C5989"/>
    <w:rsid w:val="004C5EAE"/>
    <w:rsid w:val="004C6363"/>
    <w:rsid w:val="004C788D"/>
    <w:rsid w:val="004C7A2B"/>
    <w:rsid w:val="004C7D3A"/>
    <w:rsid w:val="004D0238"/>
    <w:rsid w:val="004D08D4"/>
    <w:rsid w:val="004D2060"/>
    <w:rsid w:val="004D295F"/>
    <w:rsid w:val="004D2BAE"/>
    <w:rsid w:val="004D322C"/>
    <w:rsid w:val="004D38AE"/>
    <w:rsid w:val="004D3B4B"/>
    <w:rsid w:val="004D6720"/>
    <w:rsid w:val="004D6960"/>
    <w:rsid w:val="004D78A9"/>
    <w:rsid w:val="004E0588"/>
    <w:rsid w:val="004E0B57"/>
    <w:rsid w:val="004E0D64"/>
    <w:rsid w:val="004E1CD5"/>
    <w:rsid w:val="004E2E2E"/>
    <w:rsid w:val="004E458B"/>
    <w:rsid w:val="004E4B6B"/>
    <w:rsid w:val="004E5107"/>
    <w:rsid w:val="004E54C8"/>
    <w:rsid w:val="004E5E80"/>
    <w:rsid w:val="004E66F9"/>
    <w:rsid w:val="004E70A0"/>
    <w:rsid w:val="004E7A69"/>
    <w:rsid w:val="004E7C6A"/>
    <w:rsid w:val="004F055B"/>
    <w:rsid w:val="004F1593"/>
    <w:rsid w:val="004F1AA5"/>
    <w:rsid w:val="004F1E47"/>
    <w:rsid w:val="004F2F58"/>
    <w:rsid w:val="004F2FAC"/>
    <w:rsid w:val="004F321F"/>
    <w:rsid w:val="004F3355"/>
    <w:rsid w:val="004F3C8D"/>
    <w:rsid w:val="004F5123"/>
    <w:rsid w:val="004F5DE3"/>
    <w:rsid w:val="004F72AA"/>
    <w:rsid w:val="004F755C"/>
    <w:rsid w:val="004F792D"/>
    <w:rsid w:val="004F7B49"/>
    <w:rsid w:val="004F7D95"/>
    <w:rsid w:val="00500635"/>
    <w:rsid w:val="00500877"/>
    <w:rsid w:val="005010C5"/>
    <w:rsid w:val="00501479"/>
    <w:rsid w:val="005018A8"/>
    <w:rsid w:val="005018B2"/>
    <w:rsid w:val="00501C31"/>
    <w:rsid w:val="00501DAF"/>
    <w:rsid w:val="00503CA1"/>
    <w:rsid w:val="005040AF"/>
    <w:rsid w:val="005041EB"/>
    <w:rsid w:val="0050550C"/>
    <w:rsid w:val="00505523"/>
    <w:rsid w:val="00505A39"/>
    <w:rsid w:val="005060BD"/>
    <w:rsid w:val="005060D6"/>
    <w:rsid w:val="00507416"/>
    <w:rsid w:val="00507631"/>
    <w:rsid w:val="005110C7"/>
    <w:rsid w:val="005115FB"/>
    <w:rsid w:val="005124AF"/>
    <w:rsid w:val="005127C8"/>
    <w:rsid w:val="0051452A"/>
    <w:rsid w:val="0051507B"/>
    <w:rsid w:val="005163D7"/>
    <w:rsid w:val="00516895"/>
    <w:rsid w:val="00517036"/>
    <w:rsid w:val="00517BA7"/>
    <w:rsid w:val="00517F8B"/>
    <w:rsid w:val="00521609"/>
    <w:rsid w:val="0052218F"/>
    <w:rsid w:val="005226BA"/>
    <w:rsid w:val="005240BF"/>
    <w:rsid w:val="005257F6"/>
    <w:rsid w:val="005264A4"/>
    <w:rsid w:val="0052688E"/>
    <w:rsid w:val="0052766E"/>
    <w:rsid w:val="00527BF1"/>
    <w:rsid w:val="00527C60"/>
    <w:rsid w:val="00527E0C"/>
    <w:rsid w:val="0053007C"/>
    <w:rsid w:val="00530172"/>
    <w:rsid w:val="005314C0"/>
    <w:rsid w:val="00531BEE"/>
    <w:rsid w:val="00531EDD"/>
    <w:rsid w:val="00532497"/>
    <w:rsid w:val="0053423E"/>
    <w:rsid w:val="005350B3"/>
    <w:rsid w:val="005354C9"/>
    <w:rsid w:val="00535AB0"/>
    <w:rsid w:val="005360B6"/>
    <w:rsid w:val="00537357"/>
    <w:rsid w:val="00537453"/>
    <w:rsid w:val="0054067F"/>
    <w:rsid w:val="0054084A"/>
    <w:rsid w:val="00540B9A"/>
    <w:rsid w:val="00540FFA"/>
    <w:rsid w:val="00541001"/>
    <w:rsid w:val="005412AD"/>
    <w:rsid w:val="00542E5E"/>
    <w:rsid w:val="00543E1F"/>
    <w:rsid w:val="00543E2B"/>
    <w:rsid w:val="005447C9"/>
    <w:rsid w:val="00545A64"/>
    <w:rsid w:val="00546180"/>
    <w:rsid w:val="00546182"/>
    <w:rsid w:val="005461D3"/>
    <w:rsid w:val="0054632C"/>
    <w:rsid w:val="00547116"/>
    <w:rsid w:val="005473AF"/>
    <w:rsid w:val="0054784B"/>
    <w:rsid w:val="00547AD1"/>
    <w:rsid w:val="00547E4A"/>
    <w:rsid w:val="005506ED"/>
    <w:rsid w:val="00550BB5"/>
    <w:rsid w:val="005510D2"/>
    <w:rsid w:val="0055196C"/>
    <w:rsid w:val="00551ACD"/>
    <w:rsid w:val="0055276F"/>
    <w:rsid w:val="00552865"/>
    <w:rsid w:val="00552DEE"/>
    <w:rsid w:val="005538E9"/>
    <w:rsid w:val="00553F3D"/>
    <w:rsid w:val="0055448F"/>
    <w:rsid w:val="00554518"/>
    <w:rsid w:val="0055528B"/>
    <w:rsid w:val="005561FD"/>
    <w:rsid w:val="00556427"/>
    <w:rsid w:val="0055665C"/>
    <w:rsid w:val="00556940"/>
    <w:rsid w:val="00556AED"/>
    <w:rsid w:val="005573DC"/>
    <w:rsid w:val="005622EE"/>
    <w:rsid w:val="00563528"/>
    <w:rsid w:val="005640AC"/>
    <w:rsid w:val="005650E1"/>
    <w:rsid w:val="00565A90"/>
    <w:rsid w:val="00565C94"/>
    <w:rsid w:val="00565CBA"/>
    <w:rsid w:val="00566987"/>
    <w:rsid w:val="00566F05"/>
    <w:rsid w:val="005670B0"/>
    <w:rsid w:val="00570964"/>
    <w:rsid w:val="00570D1D"/>
    <w:rsid w:val="00573C27"/>
    <w:rsid w:val="00573E03"/>
    <w:rsid w:val="00574E79"/>
    <w:rsid w:val="00574F80"/>
    <w:rsid w:val="00575A83"/>
    <w:rsid w:val="00576107"/>
    <w:rsid w:val="005771CD"/>
    <w:rsid w:val="005803CD"/>
    <w:rsid w:val="005804B5"/>
    <w:rsid w:val="00581883"/>
    <w:rsid w:val="005820F9"/>
    <w:rsid w:val="00582386"/>
    <w:rsid w:val="0058318F"/>
    <w:rsid w:val="005832D0"/>
    <w:rsid w:val="00583411"/>
    <w:rsid w:val="00583E5E"/>
    <w:rsid w:val="00585390"/>
    <w:rsid w:val="00586560"/>
    <w:rsid w:val="00586C6E"/>
    <w:rsid w:val="00586EE9"/>
    <w:rsid w:val="0058752C"/>
    <w:rsid w:val="00587B28"/>
    <w:rsid w:val="00587E0B"/>
    <w:rsid w:val="0059017C"/>
    <w:rsid w:val="005902ED"/>
    <w:rsid w:val="00590AFB"/>
    <w:rsid w:val="005925FC"/>
    <w:rsid w:val="005932FE"/>
    <w:rsid w:val="005939A5"/>
    <w:rsid w:val="005939F0"/>
    <w:rsid w:val="00594CAC"/>
    <w:rsid w:val="00595087"/>
    <w:rsid w:val="005958FF"/>
    <w:rsid w:val="00595AE1"/>
    <w:rsid w:val="005970FB"/>
    <w:rsid w:val="00597450"/>
    <w:rsid w:val="0059786F"/>
    <w:rsid w:val="005A1424"/>
    <w:rsid w:val="005A148C"/>
    <w:rsid w:val="005A2774"/>
    <w:rsid w:val="005A3328"/>
    <w:rsid w:val="005A427F"/>
    <w:rsid w:val="005A49CF"/>
    <w:rsid w:val="005A4ADB"/>
    <w:rsid w:val="005A68F7"/>
    <w:rsid w:val="005A7050"/>
    <w:rsid w:val="005A7988"/>
    <w:rsid w:val="005A7B84"/>
    <w:rsid w:val="005A7D60"/>
    <w:rsid w:val="005B07FE"/>
    <w:rsid w:val="005B0C1B"/>
    <w:rsid w:val="005B1460"/>
    <w:rsid w:val="005B1788"/>
    <w:rsid w:val="005B18FA"/>
    <w:rsid w:val="005B1B52"/>
    <w:rsid w:val="005B266D"/>
    <w:rsid w:val="005B35EF"/>
    <w:rsid w:val="005B3A15"/>
    <w:rsid w:val="005B3F84"/>
    <w:rsid w:val="005B4D5C"/>
    <w:rsid w:val="005B4FAD"/>
    <w:rsid w:val="005B6957"/>
    <w:rsid w:val="005B6C03"/>
    <w:rsid w:val="005B73B7"/>
    <w:rsid w:val="005B7A3D"/>
    <w:rsid w:val="005C0053"/>
    <w:rsid w:val="005C0D4D"/>
    <w:rsid w:val="005C1639"/>
    <w:rsid w:val="005C2E02"/>
    <w:rsid w:val="005C34DD"/>
    <w:rsid w:val="005C4DC5"/>
    <w:rsid w:val="005C5115"/>
    <w:rsid w:val="005C563C"/>
    <w:rsid w:val="005C58EC"/>
    <w:rsid w:val="005C58FA"/>
    <w:rsid w:val="005C63E3"/>
    <w:rsid w:val="005C6F93"/>
    <w:rsid w:val="005D00DC"/>
    <w:rsid w:val="005D0898"/>
    <w:rsid w:val="005D1097"/>
    <w:rsid w:val="005D1289"/>
    <w:rsid w:val="005D169B"/>
    <w:rsid w:val="005D2CB6"/>
    <w:rsid w:val="005D53FF"/>
    <w:rsid w:val="005D5F46"/>
    <w:rsid w:val="005D6ACF"/>
    <w:rsid w:val="005D7C95"/>
    <w:rsid w:val="005D7D11"/>
    <w:rsid w:val="005E03E9"/>
    <w:rsid w:val="005E1BA4"/>
    <w:rsid w:val="005E2480"/>
    <w:rsid w:val="005E43D6"/>
    <w:rsid w:val="005E4D13"/>
    <w:rsid w:val="005E6521"/>
    <w:rsid w:val="005E661B"/>
    <w:rsid w:val="005E7311"/>
    <w:rsid w:val="005E744E"/>
    <w:rsid w:val="005F0D5F"/>
    <w:rsid w:val="005F1D82"/>
    <w:rsid w:val="005F3A22"/>
    <w:rsid w:val="005F5974"/>
    <w:rsid w:val="005F665C"/>
    <w:rsid w:val="005F668F"/>
    <w:rsid w:val="005F7016"/>
    <w:rsid w:val="005F73F0"/>
    <w:rsid w:val="005F7416"/>
    <w:rsid w:val="005F7569"/>
    <w:rsid w:val="006002C2"/>
    <w:rsid w:val="0060116A"/>
    <w:rsid w:val="006017DD"/>
    <w:rsid w:val="00601968"/>
    <w:rsid w:val="00601ECD"/>
    <w:rsid w:val="006022A7"/>
    <w:rsid w:val="0060287B"/>
    <w:rsid w:val="00603238"/>
    <w:rsid w:val="006037B9"/>
    <w:rsid w:val="006049A4"/>
    <w:rsid w:val="00604CBE"/>
    <w:rsid w:val="00604E76"/>
    <w:rsid w:val="00605047"/>
    <w:rsid w:val="006068CF"/>
    <w:rsid w:val="00606FB2"/>
    <w:rsid w:val="0060720F"/>
    <w:rsid w:val="00607600"/>
    <w:rsid w:val="00610BF0"/>
    <w:rsid w:val="006110EE"/>
    <w:rsid w:val="006112AE"/>
    <w:rsid w:val="006114DC"/>
    <w:rsid w:val="00611E0D"/>
    <w:rsid w:val="0061275B"/>
    <w:rsid w:val="00613D12"/>
    <w:rsid w:val="00614299"/>
    <w:rsid w:val="006147FC"/>
    <w:rsid w:val="00614B0D"/>
    <w:rsid w:val="00614C95"/>
    <w:rsid w:val="0061595F"/>
    <w:rsid w:val="00617041"/>
    <w:rsid w:val="00617D5A"/>
    <w:rsid w:val="00621015"/>
    <w:rsid w:val="006224E0"/>
    <w:rsid w:val="006228EC"/>
    <w:rsid w:val="006229BA"/>
    <w:rsid w:val="00623458"/>
    <w:rsid w:val="00623678"/>
    <w:rsid w:val="0062368D"/>
    <w:rsid w:val="006237E8"/>
    <w:rsid w:val="00623DD5"/>
    <w:rsid w:val="0062450A"/>
    <w:rsid w:val="00624813"/>
    <w:rsid w:val="00626234"/>
    <w:rsid w:val="00626426"/>
    <w:rsid w:val="0062677C"/>
    <w:rsid w:val="006271A0"/>
    <w:rsid w:val="00627432"/>
    <w:rsid w:val="00627833"/>
    <w:rsid w:val="006279FD"/>
    <w:rsid w:val="00627E9C"/>
    <w:rsid w:val="0063197B"/>
    <w:rsid w:val="00631D84"/>
    <w:rsid w:val="00632207"/>
    <w:rsid w:val="00632A35"/>
    <w:rsid w:val="006345DC"/>
    <w:rsid w:val="0063491C"/>
    <w:rsid w:val="00634989"/>
    <w:rsid w:val="00634ADF"/>
    <w:rsid w:val="00637BF5"/>
    <w:rsid w:val="00640502"/>
    <w:rsid w:val="0064053D"/>
    <w:rsid w:val="0064064A"/>
    <w:rsid w:val="00640A72"/>
    <w:rsid w:val="00641279"/>
    <w:rsid w:val="006418C7"/>
    <w:rsid w:val="00641A5C"/>
    <w:rsid w:val="00642BC9"/>
    <w:rsid w:val="00643583"/>
    <w:rsid w:val="006449CC"/>
    <w:rsid w:val="00644AC1"/>
    <w:rsid w:val="00644ACC"/>
    <w:rsid w:val="00644F05"/>
    <w:rsid w:val="0064745C"/>
    <w:rsid w:val="00647ACA"/>
    <w:rsid w:val="00647C32"/>
    <w:rsid w:val="00647D48"/>
    <w:rsid w:val="00650927"/>
    <w:rsid w:val="00650B8C"/>
    <w:rsid w:val="00650C7E"/>
    <w:rsid w:val="00650D36"/>
    <w:rsid w:val="00651A66"/>
    <w:rsid w:val="00651E16"/>
    <w:rsid w:val="00652336"/>
    <w:rsid w:val="006525FC"/>
    <w:rsid w:val="00652A07"/>
    <w:rsid w:val="006544C0"/>
    <w:rsid w:val="00654612"/>
    <w:rsid w:val="006560D0"/>
    <w:rsid w:val="006563B0"/>
    <w:rsid w:val="006567FF"/>
    <w:rsid w:val="00656867"/>
    <w:rsid w:val="00656A00"/>
    <w:rsid w:val="00656DA1"/>
    <w:rsid w:val="00657317"/>
    <w:rsid w:val="00657793"/>
    <w:rsid w:val="006579C1"/>
    <w:rsid w:val="00660137"/>
    <w:rsid w:val="0066020C"/>
    <w:rsid w:val="006611E7"/>
    <w:rsid w:val="006618F8"/>
    <w:rsid w:val="00661AFE"/>
    <w:rsid w:val="0066392C"/>
    <w:rsid w:val="006640BC"/>
    <w:rsid w:val="006640D0"/>
    <w:rsid w:val="006644D8"/>
    <w:rsid w:val="00664B1B"/>
    <w:rsid w:val="00665D3C"/>
    <w:rsid w:val="006665D2"/>
    <w:rsid w:val="00666698"/>
    <w:rsid w:val="00666BA2"/>
    <w:rsid w:val="00666E02"/>
    <w:rsid w:val="00666FCC"/>
    <w:rsid w:val="00667206"/>
    <w:rsid w:val="006672A6"/>
    <w:rsid w:val="006675FA"/>
    <w:rsid w:val="00667774"/>
    <w:rsid w:val="00667782"/>
    <w:rsid w:val="00667F9F"/>
    <w:rsid w:val="00670115"/>
    <w:rsid w:val="006706BB"/>
    <w:rsid w:val="00674E54"/>
    <w:rsid w:val="00676670"/>
    <w:rsid w:val="00676BED"/>
    <w:rsid w:val="00677586"/>
    <w:rsid w:val="00677A3B"/>
    <w:rsid w:val="006808D6"/>
    <w:rsid w:val="00680BF0"/>
    <w:rsid w:val="00680CE3"/>
    <w:rsid w:val="00680F19"/>
    <w:rsid w:val="0068235A"/>
    <w:rsid w:val="00682D0D"/>
    <w:rsid w:val="0068306C"/>
    <w:rsid w:val="00683229"/>
    <w:rsid w:val="00683B2C"/>
    <w:rsid w:val="006840FE"/>
    <w:rsid w:val="00684686"/>
    <w:rsid w:val="00685226"/>
    <w:rsid w:val="0068607F"/>
    <w:rsid w:val="00686460"/>
    <w:rsid w:val="00686689"/>
    <w:rsid w:val="00686BC9"/>
    <w:rsid w:val="006904F6"/>
    <w:rsid w:val="006922AE"/>
    <w:rsid w:val="0069316B"/>
    <w:rsid w:val="0069458F"/>
    <w:rsid w:val="00695434"/>
    <w:rsid w:val="0069552D"/>
    <w:rsid w:val="0069683A"/>
    <w:rsid w:val="00696E70"/>
    <w:rsid w:val="0069746C"/>
    <w:rsid w:val="006975E9"/>
    <w:rsid w:val="006A096D"/>
    <w:rsid w:val="006A10A9"/>
    <w:rsid w:val="006A11CB"/>
    <w:rsid w:val="006A16FD"/>
    <w:rsid w:val="006A1B72"/>
    <w:rsid w:val="006A21F8"/>
    <w:rsid w:val="006A2A81"/>
    <w:rsid w:val="006A364C"/>
    <w:rsid w:val="006A41ED"/>
    <w:rsid w:val="006A4B80"/>
    <w:rsid w:val="006A5423"/>
    <w:rsid w:val="006A5A41"/>
    <w:rsid w:val="006A5B76"/>
    <w:rsid w:val="006A6F20"/>
    <w:rsid w:val="006A73DA"/>
    <w:rsid w:val="006A75E4"/>
    <w:rsid w:val="006B15C2"/>
    <w:rsid w:val="006B31D0"/>
    <w:rsid w:val="006B36E8"/>
    <w:rsid w:val="006B3B72"/>
    <w:rsid w:val="006B3BA6"/>
    <w:rsid w:val="006B3BC8"/>
    <w:rsid w:val="006B4E6B"/>
    <w:rsid w:val="006B517D"/>
    <w:rsid w:val="006B67ED"/>
    <w:rsid w:val="006B6C71"/>
    <w:rsid w:val="006B7F1A"/>
    <w:rsid w:val="006C0FFA"/>
    <w:rsid w:val="006C122A"/>
    <w:rsid w:val="006C14D8"/>
    <w:rsid w:val="006C1F10"/>
    <w:rsid w:val="006C23E5"/>
    <w:rsid w:val="006C2DAC"/>
    <w:rsid w:val="006C6B20"/>
    <w:rsid w:val="006C6B2C"/>
    <w:rsid w:val="006C795D"/>
    <w:rsid w:val="006D03E7"/>
    <w:rsid w:val="006D0873"/>
    <w:rsid w:val="006D19DE"/>
    <w:rsid w:val="006D25F0"/>
    <w:rsid w:val="006D3922"/>
    <w:rsid w:val="006D3B44"/>
    <w:rsid w:val="006D4CF5"/>
    <w:rsid w:val="006D5231"/>
    <w:rsid w:val="006D58D5"/>
    <w:rsid w:val="006D5984"/>
    <w:rsid w:val="006D604D"/>
    <w:rsid w:val="006D67F0"/>
    <w:rsid w:val="006D6810"/>
    <w:rsid w:val="006E045A"/>
    <w:rsid w:val="006E0507"/>
    <w:rsid w:val="006E280F"/>
    <w:rsid w:val="006E3E9B"/>
    <w:rsid w:val="006E484A"/>
    <w:rsid w:val="006E4D39"/>
    <w:rsid w:val="006E5550"/>
    <w:rsid w:val="006E5E28"/>
    <w:rsid w:val="006E5FDA"/>
    <w:rsid w:val="006E60BA"/>
    <w:rsid w:val="006E61F5"/>
    <w:rsid w:val="006E6574"/>
    <w:rsid w:val="006E746B"/>
    <w:rsid w:val="006E78FC"/>
    <w:rsid w:val="006E7C5A"/>
    <w:rsid w:val="006E7C8C"/>
    <w:rsid w:val="006F07C5"/>
    <w:rsid w:val="006F07F5"/>
    <w:rsid w:val="006F1545"/>
    <w:rsid w:val="006F1B48"/>
    <w:rsid w:val="006F444F"/>
    <w:rsid w:val="006F4C15"/>
    <w:rsid w:val="006F510A"/>
    <w:rsid w:val="006F5398"/>
    <w:rsid w:val="006F597F"/>
    <w:rsid w:val="006F76D4"/>
    <w:rsid w:val="006F7ADB"/>
    <w:rsid w:val="007000C7"/>
    <w:rsid w:val="00700BD0"/>
    <w:rsid w:val="00701279"/>
    <w:rsid w:val="007014A6"/>
    <w:rsid w:val="0070297E"/>
    <w:rsid w:val="00702F98"/>
    <w:rsid w:val="00703256"/>
    <w:rsid w:val="00703445"/>
    <w:rsid w:val="00703735"/>
    <w:rsid w:val="007046A0"/>
    <w:rsid w:val="007051D7"/>
    <w:rsid w:val="007061DC"/>
    <w:rsid w:val="00706986"/>
    <w:rsid w:val="00706EB7"/>
    <w:rsid w:val="00707459"/>
    <w:rsid w:val="0070758B"/>
    <w:rsid w:val="00707F43"/>
    <w:rsid w:val="00707FB0"/>
    <w:rsid w:val="007110C5"/>
    <w:rsid w:val="007118CE"/>
    <w:rsid w:val="00711C9D"/>
    <w:rsid w:val="00711EB8"/>
    <w:rsid w:val="00712239"/>
    <w:rsid w:val="00713049"/>
    <w:rsid w:val="0071435C"/>
    <w:rsid w:val="00714615"/>
    <w:rsid w:val="0071470E"/>
    <w:rsid w:val="00714CF2"/>
    <w:rsid w:val="00714DBF"/>
    <w:rsid w:val="00714FAD"/>
    <w:rsid w:val="00715019"/>
    <w:rsid w:val="007156B9"/>
    <w:rsid w:val="00715952"/>
    <w:rsid w:val="007164E3"/>
    <w:rsid w:val="0071679C"/>
    <w:rsid w:val="00716F6E"/>
    <w:rsid w:val="007206F6"/>
    <w:rsid w:val="00720817"/>
    <w:rsid w:val="00720E00"/>
    <w:rsid w:val="00721CDD"/>
    <w:rsid w:val="00721D4D"/>
    <w:rsid w:val="00722850"/>
    <w:rsid w:val="00722C6B"/>
    <w:rsid w:val="00723FE3"/>
    <w:rsid w:val="0072416B"/>
    <w:rsid w:val="0072474C"/>
    <w:rsid w:val="00725824"/>
    <w:rsid w:val="00726583"/>
    <w:rsid w:val="00726F91"/>
    <w:rsid w:val="0072771C"/>
    <w:rsid w:val="0072772A"/>
    <w:rsid w:val="00727A3C"/>
    <w:rsid w:val="00731293"/>
    <w:rsid w:val="007316F9"/>
    <w:rsid w:val="00732974"/>
    <w:rsid w:val="0073353F"/>
    <w:rsid w:val="00734B50"/>
    <w:rsid w:val="0073523B"/>
    <w:rsid w:val="0073586F"/>
    <w:rsid w:val="00735A91"/>
    <w:rsid w:val="00736486"/>
    <w:rsid w:val="00737346"/>
    <w:rsid w:val="00741875"/>
    <w:rsid w:val="00741F61"/>
    <w:rsid w:val="00742891"/>
    <w:rsid w:val="00742E45"/>
    <w:rsid w:val="0074397E"/>
    <w:rsid w:val="00743A82"/>
    <w:rsid w:val="00743E9B"/>
    <w:rsid w:val="007447AF"/>
    <w:rsid w:val="00744B79"/>
    <w:rsid w:val="007451A9"/>
    <w:rsid w:val="007455F1"/>
    <w:rsid w:val="00745E85"/>
    <w:rsid w:val="00747137"/>
    <w:rsid w:val="00747E8A"/>
    <w:rsid w:val="0075041A"/>
    <w:rsid w:val="00750816"/>
    <w:rsid w:val="0075161F"/>
    <w:rsid w:val="0075197C"/>
    <w:rsid w:val="00751B07"/>
    <w:rsid w:val="00751EF8"/>
    <w:rsid w:val="00752B5D"/>
    <w:rsid w:val="00752CAC"/>
    <w:rsid w:val="00753ABE"/>
    <w:rsid w:val="0075475C"/>
    <w:rsid w:val="00755285"/>
    <w:rsid w:val="00756567"/>
    <w:rsid w:val="00756671"/>
    <w:rsid w:val="00756F6A"/>
    <w:rsid w:val="00757483"/>
    <w:rsid w:val="00757617"/>
    <w:rsid w:val="0076032D"/>
    <w:rsid w:val="00760409"/>
    <w:rsid w:val="00760DFB"/>
    <w:rsid w:val="007614A1"/>
    <w:rsid w:val="00761EFD"/>
    <w:rsid w:val="00763151"/>
    <w:rsid w:val="00763C64"/>
    <w:rsid w:val="00764359"/>
    <w:rsid w:val="007647CB"/>
    <w:rsid w:val="007657C1"/>
    <w:rsid w:val="007676D2"/>
    <w:rsid w:val="00767E5D"/>
    <w:rsid w:val="00767EE4"/>
    <w:rsid w:val="00770BE6"/>
    <w:rsid w:val="007721B8"/>
    <w:rsid w:val="00772BF6"/>
    <w:rsid w:val="00773375"/>
    <w:rsid w:val="007734DC"/>
    <w:rsid w:val="00773E48"/>
    <w:rsid w:val="00774543"/>
    <w:rsid w:val="00774A78"/>
    <w:rsid w:val="00774F5D"/>
    <w:rsid w:val="007754F5"/>
    <w:rsid w:val="007765E7"/>
    <w:rsid w:val="0077680C"/>
    <w:rsid w:val="0077755F"/>
    <w:rsid w:val="00777755"/>
    <w:rsid w:val="007805AC"/>
    <w:rsid w:val="00781598"/>
    <w:rsid w:val="0078182C"/>
    <w:rsid w:val="00781853"/>
    <w:rsid w:val="007838CE"/>
    <w:rsid w:val="0078457A"/>
    <w:rsid w:val="00785601"/>
    <w:rsid w:val="00785B98"/>
    <w:rsid w:val="007864D4"/>
    <w:rsid w:val="007875AD"/>
    <w:rsid w:val="00790512"/>
    <w:rsid w:val="007909E3"/>
    <w:rsid w:val="00791259"/>
    <w:rsid w:val="007912C3"/>
    <w:rsid w:val="007917F0"/>
    <w:rsid w:val="00791A71"/>
    <w:rsid w:val="00792797"/>
    <w:rsid w:val="00792A99"/>
    <w:rsid w:val="00792C37"/>
    <w:rsid w:val="00793136"/>
    <w:rsid w:val="00793627"/>
    <w:rsid w:val="007942CC"/>
    <w:rsid w:val="00795BFB"/>
    <w:rsid w:val="00796C1D"/>
    <w:rsid w:val="00797CEE"/>
    <w:rsid w:val="007A04EC"/>
    <w:rsid w:val="007A107F"/>
    <w:rsid w:val="007A13A7"/>
    <w:rsid w:val="007A1BD3"/>
    <w:rsid w:val="007A2749"/>
    <w:rsid w:val="007A2D8E"/>
    <w:rsid w:val="007A406D"/>
    <w:rsid w:val="007A483B"/>
    <w:rsid w:val="007A4BDE"/>
    <w:rsid w:val="007A4DFF"/>
    <w:rsid w:val="007A56F9"/>
    <w:rsid w:val="007A62B0"/>
    <w:rsid w:val="007A75E2"/>
    <w:rsid w:val="007A7AA8"/>
    <w:rsid w:val="007B03EF"/>
    <w:rsid w:val="007B2266"/>
    <w:rsid w:val="007B488D"/>
    <w:rsid w:val="007B4BC0"/>
    <w:rsid w:val="007B507A"/>
    <w:rsid w:val="007B58D2"/>
    <w:rsid w:val="007B6993"/>
    <w:rsid w:val="007C07E8"/>
    <w:rsid w:val="007C1081"/>
    <w:rsid w:val="007C161C"/>
    <w:rsid w:val="007C176C"/>
    <w:rsid w:val="007C20A3"/>
    <w:rsid w:val="007C24E9"/>
    <w:rsid w:val="007C2EF0"/>
    <w:rsid w:val="007C3304"/>
    <w:rsid w:val="007C3369"/>
    <w:rsid w:val="007C3A7F"/>
    <w:rsid w:val="007C5A0C"/>
    <w:rsid w:val="007C5AAB"/>
    <w:rsid w:val="007C5D95"/>
    <w:rsid w:val="007C6104"/>
    <w:rsid w:val="007C721F"/>
    <w:rsid w:val="007C76E2"/>
    <w:rsid w:val="007C7830"/>
    <w:rsid w:val="007D0C4C"/>
    <w:rsid w:val="007D335C"/>
    <w:rsid w:val="007D36D1"/>
    <w:rsid w:val="007D3EB6"/>
    <w:rsid w:val="007D4376"/>
    <w:rsid w:val="007D4896"/>
    <w:rsid w:val="007D4964"/>
    <w:rsid w:val="007D4A34"/>
    <w:rsid w:val="007D4CF3"/>
    <w:rsid w:val="007D555F"/>
    <w:rsid w:val="007D6A0A"/>
    <w:rsid w:val="007D6C50"/>
    <w:rsid w:val="007D73E4"/>
    <w:rsid w:val="007E0668"/>
    <w:rsid w:val="007E0AC4"/>
    <w:rsid w:val="007E0FEE"/>
    <w:rsid w:val="007E1651"/>
    <w:rsid w:val="007E2658"/>
    <w:rsid w:val="007E38BF"/>
    <w:rsid w:val="007E4505"/>
    <w:rsid w:val="007E60C7"/>
    <w:rsid w:val="007E6A59"/>
    <w:rsid w:val="007F031F"/>
    <w:rsid w:val="007F2017"/>
    <w:rsid w:val="007F214C"/>
    <w:rsid w:val="007F2BBB"/>
    <w:rsid w:val="007F489F"/>
    <w:rsid w:val="007F4B4D"/>
    <w:rsid w:val="007F5CB9"/>
    <w:rsid w:val="007F5DD8"/>
    <w:rsid w:val="007F6438"/>
    <w:rsid w:val="00801553"/>
    <w:rsid w:val="0080177E"/>
    <w:rsid w:val="00802E50"/>
    <w:rsid w:val="0080334D"/>
    <w:rsid w:val="0080343B"/>
    <w:rsid w:val="00803467"/>
    <w:rsid w:val="0080390E"/>
    <w:rsid w:val="00803A72"/>
    <w:rsid w:val="00805985"/>
    <w:rsid w:val="00806C7E"/>
    <w:rsid w:val="00807189"/>
    <w:rsid w:val="0080767C"/>
    <w:rsid w:val="0081006E"/>
    <w:rsid w:val="00810726"/>
    <w:rsid w:val="00811490"/>
    <w:rsid w:val="008129DD"/>
    <w:rsid w:val="0081373A"/>
    <w:rsid w:val="00813847"/>
    <w:rsid w:val="00814338"/>
    <w:rsid w:val="008150D5"/>
    <w:rsid w:val="008157D1"/>
    <w:rsid w:val="008159CF"/>
    <w:rsid w:val="008159FE"/>
    <w:rsid w:val="00816868"/>
    <w:rsid w:val="00816A1B"/>
    <w:rsid w:val="00816E05"/>
    <w:rsid w:val="0082119D"/>
    <w:rsid w:val="00821A3C"/>
    <w:rsid w:val="00822F83"/>
    <w:rsid w:val="00823235"/>
    <w:rsid w:val="0082350E"/>
    <w:rsid w:val="00824429"/>
    <w:rsid w:val="00824CA3"/>
    <w:rsid w:val="008251B6"/>
    <w:rsid w:val="0082619F"/>
    <w:rsid w:val="008263C1"/>
    <w:rsid w:val="00826643"/>
    <w:rsid w:val="00826D3F"/>
    <w:rsid w:val="0083195D"/>
    <w:rsid w:val="0083240D"/>
    <w:rsid w:val="00832C7E"/>
    <w:rsid w:val="00832D52"/>
    <w:rsid w:val="00832F52"/>
    <w:rsid w:val="008339BB"/>
    <w:rsid w:val="0083499C"/>
    <w:rsid w:val="0083571E"/>
    <w:rsid w:val="00836BAF"/>
    <w:rsid w:val="008378B8"/>
    <w:rsid w:val="00837935"/>
    <w:rsid w:val="00840193"/>
    <w:rsid w:val="00840F3B"/>
    <w:rsid w:val="0084116A"/>
    <w:rsid w:val="00841879"/>
    <w:rsid w:val="0084292E"/>
    <w:rsid w:val="00842AC7"/>
    <w:rsid w:val="0084310C"/>
    <w:rsid w:val="00843464"/>
    <w:rsid w:val="00843B4E"/>
    <w:rsid w:val="0084416D"/>
    <w:rsid w:val="00845ECB"/>
    <w:rsid w:val="00846266"/>
    <w:rsid w:val="00846546"/>
    <w:rsid w:val="00847168"/>
    <w:rsid w:val="00847821"/>
    <w:rsid w:val="00847E1E"/>
    <w:rsid w:val="00850249"/>
    <w:rsid w:val="00851281"/>
    <w:rsid w:val="00851A53"/>
    <w:rsid w:val="00851F47"/>
    <w:rsid w:val="0085233C"/>
    <w:rsid w:val="00852994"/>
    <w:rsid w:val="0085521A"/>
    <w:rsid w:val="00855A91"/>
    <w:rsid w:val="00856357"/>
    <w:rsid w:val="00856BD2"/>
    <w:rsid w:val="008605EE"/>
    <w:rsid w:val="00861352"/>
    <w:rsid w:val="00861737"/>
    <w:rsid w:val="008628FA"/>
    <w:rsid w:val="00862900"/>
    <w:rsid w:val="00862EA5"/>
    <w:rsid w:val="008636AF"/>
    <w:rsid w:val="0086419A"/>
    <w:rsid w:val="0086435E"/>
    <w:rsid w:val="00864D27"/>
    <w:rsid w:val="00865D33"/>
    <w:rsid w:val="0087023B"/>
    <w:rsid w:val="00871F1C"/>
    <w:rsid w:val="008731CB"/>
    <w:rsid w:val="00873625"/>
    <w:rsid w:val="00874F0C"/>
    <w:rsid w:val="008762F3"/>
    <w:rsid w:val="0087736E"/>
    <w:rsid w:val="008805CA"/>
    <w:rsid w:val="008807F5"/>
    <w:rsid w:val="00880DF3"/>
    <w:rsid w:val="008823CA"/>
    <w:rsid w:val="00882EEF"/>
    <w:rsid w:val="00884027"/>
    <w:rsid w:val="0088442F"/>
    <w:rsid w:val="008850D0"/>
    <w:rsid w:val="00885963"/>
    <w:rsid w:val="008861C9"/>
    <w:rsid w:val="00887A51"/>
    <w:rsid w:val="00887F7F"/>
    <w:rsid w:val="00890A2F"/>
    <w:rsid w:val="00892210"/>
    <w:rsid w:val="00892B6D"/>
    <w:rsid w:val="008934A5"/>
    <w:rsid w:val="00893BD6"/>
    <w:rsid w:val="008947D4"/>
    <w:rsid w:val="00894CF7"/>
    <w:rsid w:val="00896124"/>
    <w:rsid w:val="00896128"/>
    <w:rsid w:val="00896153"/>
    <w:rsid w:val="00896983"/>
    <w:rsid w:val="00896EA7"/>
    <w:rsid w:val="00897034"/>
    <w:rsid w:val="00897347"/>
    <w:rsid w:val="008975EF"/>
    <w:rsid w:val="00897DD0"/>
    <w:rsid w:val="00897EA8"/>
    <w:rsid w:val="008A08BF"/>
    <w:rsid w:val="008A179F"/>
    <w:rsid w:val="008A1859"/>
    <w:rsid w:val="008A21AD"/>
    <w:rsid w:val="008A34E8"/>
    <w:rsid w:val="008A3E48"/>
    <w:rsid w:val="008A57F4"/>
    <w:rsid w:val="008A61D9"/>
    <w:rsid w:val="008A7D4D"/>
    <w:rsid w:val="008B0864"/>
    <w:rsid w:val="008B0D01"/>
    <w:rsid w:val="008B0F27"/>
    <w:rsid w:val="008B175A"/>
    <w:rsid w:val="008B1BB7"/>
    <w:rsid w:val="008B20DA"/>
    <w:rsid w:val="008B2760"/>
    <w:rsid w:val="008B2783"/>
    <w:rsid w:val="008B2B66"/>
    <w:rsid w:val="008B3544"/>
    <w:rsid w:val="008B3DDC"/>
    <w:rsid w:val="008B512E"/>
    <w:rsid w:val="008B6B95"/>
    <w:rsid w:val="008B73C4"/>
    <w:rsid w:val="008B75D0"/>
    <w:rsid w:val="008C06B9"/>
    <w:rsid w:val="008C1108"/>
    <w:rsid w:val="008C1151"/>
    <w:rsid w:val="008C1B3F"/>
    <w:rsid w:val="008C2549"/>
    <w:rsid w:val="008C2EE2"/>
    <w:rsid w:val="008C3662"/>
    <w:rsid w:val="008C3CB7"/>
    <w:rsid w:val="008C5408"/>
    <w:rsid w:val="008C5AAF"/>
    <w:rsid w:val="008C6577"/>
    <w:rsid w:val="008C664B"/>
    <w:rsid w:val="008C67B5"/>
    <w:rsid w:val="008C7413"/>
    <w:rsid w:val="008D0194"/>
    <w:rsid w:val="008D03E7"/>
    <w:rsid w:val="008D0880"/>
    <w:rsid w:val="008D16B7"/>
    <w:rsid w:val="008D301F"/>
    <w:rsid w:val="008D3FB0"/>
    <w:rsid w:val="008D5156"/>
    <w:rsid w:val="008D5A38"/>
    <w:rsid w:val="008D5E78"/>
    <w:rsid w:val="008D6277"/>
    <w:rsid w:val="008D6457"/>
    <w:rsid w:val="008D6462"/>
    <w:rsid w:val="008D6A17"/>
    <w:rsid w:val="008D6E33"/>
    <w:rsid w:val="008D6F23"/>
    <w:rsid w:val="008D72EE"/>
    <w:rsid w:val="008D7E54"/>
    <w:rsid w:val="008E1817"/>
    <w:rsid w:val="008E1B1F"/>
    <w:rsid w:val="008E2781"/>
    <w:rsid w:val="008E301E"/>
    <w:rsid w:val="008E31E2"/>
    <w:rsid w:val="008E481B"/>
    <w:rsid w:val="008E5517"/>
    <w:rsid w:val="008E5841"/>
    <w:rsid w:val="008E5F17"/>
    <w:rsid w:val="008E6696"/>
    <w:rsid w:val="008E6856"/>
    <w:rsid w:val="008E6A94"/>
    <w:rsid w:val="008E6AE6"/>
    <w:rsid w:val="008E6DD3"/>
    <w:rsid w:val="008E6DEA"/>
    <w:rsid w:val="008E6E2E"/>
    <w:rsid w:val="008E7428"/>
    <w:rsid w:val="008F0116"/>
    <w:rsid w:val="008F0810"/>
    <w:rsid w:val="008F0F7E"/>
    <w:rsid w:val="008F143D"/>
    <w:rsid w:val="008F14EB"/>
    <w:rsid w:val="008F1682"/>
    <w:rsid w:val="008F2775"/>
    <w:rsid w:val="008F28BE"/>
    <w:rsid w:val="008F4FF2"/>
    <w:rsid w:val="008F5357"/>
    <w:rsid w:val="008F5AE3"/>
    <w:rsid w:val="008F7232"/>
    <w:rsid w:val="008F7750"/>
    <w:rsid w:val="009003C7"/>
    <w:rsid w:val="00900D24"/>
    <w:rsid w:val="00901784"/>
    <w:rsid w:val="00902061"/>
    <w:rsid w:val="00902810"/>
    <w:rsid w:val="00902DBE"/>
    <w:rsid w:val="00903371"/>
    <w:rsid w:val="00904714"/>
    <w:rsid w:val="00904897"/>
    <w:rsid w:val="00904DD5"/>
    <w:rsid w:val="00904E74"/>
    <w:rsid w:val="00904E96"/>
    <w:rsid w:val="00905D7F"/>
    <w:rsid w:val="00906A31"/>
    <w:rsid w:val="00907216"/>
    <w:rsid w:val="00910D16"/>
    <w:rsid w:val="00910E90"/>
    <w:rsid w:val="00911FF6"/>
    <w:rsid w:val="009128FC"/>
    <w:rsid w:val="009130FC"/>
    <w:rsid w:val="00913610"/>
    <w:rsid w:val="00913D5C"/>
    <w:rsid w:val="00914F82"/>
    <w:rsid w:val="009152BE"/>
    <w:rsid w:val="00915806"/>
    <w:rsid w:val="009160F5"/>
    <w:rsid w:val="00916100"/>
    <w:rsid w:val="009163E5"/>
    <w:rsid w:val="009164AA"/>
    <w:rsid w:val="009214BE"/>
    <w:rsid w:val="00922446"/>
    <w:rsid w:val="00923394"/>
    <w:rsid w:val="00923A7A"/>
    <w:rsid w:val="009240F0"/>
    <w:rsid w:val="0092426C"/>
    <w:rsid w:val="00925C1E"/>
    <w:rsid w:val="00925D27"/>
    <w:rsid w:val="00925F60"/>
    <w:rsid w:val="00927404"/>
    <w:rsid w:val="00927ABB"/>
    <w:rsid w:val="009316E3"/>
    <w:rsid w:val="00931B9C"/>
    <w:rsid w:val="00931F79"/>
    <w:rsid w:val="00932465"/>
    <w:rsid w:val="00932589"/>
    <w:rsid w:val="00932865"/>
    <w:rsid w:val="009329DA"/>
    <w:rsid w:val="00932F56"/>
    <w:rsid w:val="00933A8E"/>
    <w:rsid w:val="00933B0D"/>
    <w:rsid w:val="00933D86"/>
    <w:rsid w:val="00934856"/>
    <w:rsid w:val="00935472"/>
    <w:rsid w:val="00935545"/>
    <w:rsid w:val="009359F3"/>
    <w:rsid w:val="00936066"/>
    <w:rsid w:val="00937899"/>
    <w:rsid w:val="0094002F"/>
    <w:rsid w:val="00940C3E"/>
    <w:rsid w:val="00941D6F"/>
    <w:rsid w:val="009426CB"/>
    <w:rsid w:val="009426E3"/>
    <w:rsid w:val="00943097"/>
    <w:rsid w:val="00943553"/>
    <w:rsid w:val="009436B2"/>
    <w:rsid w:val="00943736"/>
    <w:rsid w:val="00943C29"/>
    <w:rsid w:val="0094401A"/>
    <w:rsid w:val="009442A6"/>
    <w:rsid w:val="00944718"/>
    <w:rsid w:val="00944B72"/>
    <w:rsid w:val="0094514A"/>
    <w:rsid w:val="0094525A"/>
    <w:rsid w:val="00945887"/>
    <w:rsid w:val="00946510"/>
    <w:rsid w:val="00946EA5"/>
    <w:rsid w:val="009473F3"/>
    <w:rsid w:val="009504C9"/>
    <w:rsid w:val="009506F5"/>
    <w:rsid w:val="00950B69"/>
    <w:rsid w:val="00950E5D"/>
    <w:rsid w:val="0095169F"/>
    <w:rsid w:val="00952201"/>
    <w:rsid w:val="009525C9"/>
    <w:rsid w:val="009543D7"/>
    <w:rsid w:val="009548D0"/>
    <w:rsid w:val="00955094"/>
    <w:rsid w:val="0096017C"/>
    <w:rsid w:val="00960A23"/>
    <w:rsid w:val="00960C10"/>
    <w:rsid w:val="00960D57"/>
    <w:rsid w:val="00961A55"/>
    <w:rsid w:val="00962535"/>
    <w:rsid w:val="00963065"/>
    <w:rsid w:val="009632E7"/>
    <w:rsid w:val="00963DDE"/>
    <w:rsid w:val="00963F08"/>
    <w:rsid w:val="0096484B"/>
    <w:rsid w:val="00965360"/>
    <w:rsid w:val="00965B1E"/>
    <w:rsid w:val="0096618C"/>
    <w:rsid w:val="009663E9"/>
    <w:rsid w:val="00966773"/>
    <w:rsid w:val="00966C90"/>
    <w:rsid w:val="00967E9C"/>
    <w:rsid w:val="009702C9"/>
    <w:rsid w:val="009704FE"/>
    <w:rsid w:val="009707DC"/>
    <w:rsid w:val="00971405"/>
    <w:rsid w:val="00971B93"/>
    <w:rsid w:val="00972BC7"/>
    <w:rsid w:val="00972C33"/>
    <w:rsid w:val="00972D97"/>
    <w:rsid w:val="009732C1"/>
    <w:rsid w:val="0097410D"/>
    <w:rsid w:val="0097574A"/>
    <w:rsid w:val="00980660"/>
    <w:rsid w:val="00980FAD"/>
    <w:rsid w:val="00981283"/>
    <w:rsid w:val="0098138E"/>
    <w:rsid w:val="00981D49"/>
    <w:rsid w:val="00982489"/>
    <w:rsid w:val="009847F8"/>
    <w:rsid w:val="00984BE9"/>
    <w:rsid w:val="0098516F"/>
    <w:rsid w:val="00985D51"/>
    <w:rsid w:val="0098655A"/>
    <w:rsid w:val="0098702D"/>
    <w:rsid w:val="0098729B"/>
    <w:rsid w:val="00987808"/>
    <w:rsid w:val="00991548"/>
    <w:rsid w:val="009918E8"/>
    <w:rsid w:val="009919FF"/>
    <w:rsid w:val="00991BEA"/>
    <w:rsid w:val="00991F14"/>
    <w:rsid w:val="00995998"/>
    <w:rsid w:val="009961DC"/>
    <w:rsid w:val="0099662E"/>
    <w:rsid w:val="009967CB"/>
    <w:rsid w:val="00996872"/>
    <w:rsid w:val="00996A14"/>
    <w:rsid w:val="00996B97"/>
    <w:rsid w:val="00997266"/>
    <w:rsid w:val="009A0524"/>
    <w:rsid w:val="009A0E40"/>
    <w:rsid w:val="009A165F"/>
    <w:rsid w:val="009A169F"/>
    <w:rsid w:val="009A1C8B"/>
    <w:rsid w:val="009A1F5F"/>
    <w:rsid w:val="009A25F2"/>
    <w:rsid w:val="009A3062"/>
    <w:rsid w:val="009A31D5"/>
    <w:rsid w:val="009A331C"/>
    <w:rsid w:val="009A3C4A"/>
    <w:rsid w:val="009A4076"/>
    <w:rsid w:val="009A4AF0"/>
    <w:rsid w:val="009A4BBB"/>
    <w:rsid w:val="009A4C0C"/>
    <w:rsid w:val="009A4C2B"/>
    <w:rsid w:val="009A4EB5"/>
    <w:rsid w:val="009A54BC"/>
    <w:rsid w:val="009A65A4"/>
    <w:rsid w:val="009A6AA0"/>
    <w:rsid w:val="009A6BE6"/>
    <w:rsid w:val="009A6E36"/>
    <w:rsid w:val="009A6FDC"/>
    <w:rsid w:val="009A763B"/>
    <w:rsid w:val="009A7746"/>
    <w:rsid w:val="009A779A"/>
    <w:rsid w:val="009A7BE2"/>
    <w:rsid w:val="009B0846"/>
    <w:rsid w:val="009B0F86"/>
    <w:rsid w:val="009B1E9B"/>
    <w:rsid w:val="009B314B"/>
    <w:rsid w:val="009B3903"/>
    <w:rsid w:val="009B39C2"/>
    <w:rsid w:val="009B4BFF"/>
    <w:rsid w:val="009B4F5C"/>
    <w:rsid w:val="009B50FF"/>
    <w:rsid w:val="009B532D"/>
    <w:rsid w:val="009B5D53"/>
    <w:rsid w:val="009B65E8"/>
    <w:rsid w:val="009B67E6"/>
    <w:rsid w:val="009B70D9"/>
    <w:rsid w:val="009C042A"/>
    <w:rsid w:val="009C0FF6"/>
    <w:rsid w:val="009C1415"/>
    <w:rsid w:val="009C15C8"/>
    <w:rsid w:val="009C1AB0"/>
    <w:rsid w:val="009C213B"/>
    <w:rsid w:val="009C27A8"/>
    <w:rsid w:val="009C362A"/>
    <w:rsid w:val="009C3D66"/>
    <w:rsid w:val="009C4709"/>
    <w:rsid w:val="009C53AA"/>
    <w:rsid w:val="009C6007"/>
    <w:rsid w:val="009C60E5"/>
    <w:rsid w:val="009C62DA"/>
    <w:rsid w:val="009C7D51"/>
    <w:rsid w:val="009D0036"/>
    <w:rsid w:val="009D0D2F"/>
    <w:rsid w:val="009D0D3C"/>
    <w:rsid w:val="009D1EBE"/>
    <w:rsid w:val="009D267B"/>
    <w:rsid w:val="009D287A"/>
    <w:rsid w:val="009D2C55"/>
    <w:rsid w:val="009D2F98"/>
    <w:rsid w:val="009D3337"/>
    <w:rsid w:val="009D364E"/>
    <w:rsid w:val="009D483C"/>
    <w:rsid w:val="009D664F"/>
    <w:rsid w:val="009D6ED8"/>
    <w:rsid w:val="009E0DE8"/>
    <w:rsid w:val="009E17A4"/>
    <w:rsid w:val="009E2394"/>
    <w:rsid w:val="009E399D"/>
    <w:rsid w:val="009E4AD9"/>
    <w:rsid w:val="009E5F0F"/>
    <w:rsid w:val="009E6052"/>
    <w:rsid w:val="009E649C"/>
    <w:rsid w:val="009E6EDB"/>
    <w:rsid w:val="009E7A7F"/>
    <w:rsid w:val="009E7C7F"/>
    <w:rsid w:val="009F0975"/>
    <w:rsid w:val="009F1D80"/>
    <w:rsid w:val="009F348F"/>
    <w:rsid w:val="009F437A"/>
    <w:rsid w:val="009F485C"/>
    <w:rsid w:val="009F66F9"/>
    <w:rsid w:val="009F6DAF"/>
    <w:rsid w:val="009F6E61"/>
    <w:rsid w:val="009F7F93"/>
    <w:rsid w:val="00A001D1"/>
    <w:rsid w:val="00A008EF"/>
    <w:rsid w:val="00A00903"/>
    <w:rsid w:val="00A00AC6"/>
    <w:rsid w:val="00A01723"/>
    <w:rsid w:val="00A0257D"/>
    <w:rsid w:val="00A03A7E"/>
    <w:rsid w:val="00A04085"/>
    <w:rsid w:val="00A04405"/>
    <w:rsid w:val="00A05400"/>
    <w:rsid w:val="00A06768"/>
    <w:rsid w:val="00A106E9"/>
    <w:rsid w:val="00A10E0C"/>
    <w:rsid w:val="00A11F97"/>
    <w:rsid w:val="00A1201D"/>
    <w:rsid w:val="00A1293C"/>
    <w:rsid w:val="00A13909"/>
    <w:rsid w:val="00A13B15"/>
    <w:rsid w:val="00A14132"/>
    <w:rsid w:val="00A148A0"/>
    <w:rsid w:val="00A149F9"/>
    <w:rsid w:val="00A14E3C"/>
    <w:rsid w:val="00A15CDE"/>
    <w:rsid w:val="00A15FB0"/>
    <w:rsid w:val="00A17492"/>
    <w:rsid w:val="00A17A9F"/>
    <w:rsid w:val="00A17BB2"/>
    <w:rsid w:val="00A17CAB"/>
    <w:rsid w:val="00A17CE0"/>
    <w:rsid w:val="00A17D87"/>
    <w:rsid w:val="00A17DDB"/>
    <w:rsid w:val="00A20FF1"/>
    <w:rsid w:val="00A2106C"/>
    <w:rsid w:val="00A2132D"/>
    <w:rsid w:val="00A218F8"/>
    <w:rsid w:val="00A23D11"/>
    <w:rsid w:val="00A23D48"/>
    <w:rsid w:val="00A23F7E"/>
    <w:rsid w:val="00A246D1"/>
    <w:rsid w:val="00A24983"/>
    <w:rsid w:val="00A24DA5"/>
    <w:rsid w:val="00A25269"/>
    <w:rsid w:val="00A25E84"/>
    <w:rsid w:val="00A2690D"/>
    <w:rsid w:val="00A26B70"/>
    <w:rsid w:val="00A274E6"/>
    <w:rsid w:val="00A277E3"/>
    <w:rsid w:val="00A306A8"/>
    <w:rsid w:val="00A323CA"/>
    <w:rsid w:val="00A32423"/>
    <w:rsid w:val="00A3278F"/>
    <w:rsid w:val="00A329A2"/>
    <w:rsid w:val="00A336B3"/>
    <w:rsid w:val="00A33A03"/>
    <w:rsid w:val="00A33F91"/>
    <w:rsid w:val="00A33FC6"/>
    <w:rsid w:val="00A344D4"/>
    <w:rsid w:val="00A35932"/>
    <w:rsid w:val="00A359B0"/>
    <w:rsid w:val="00A359B1"/>
    <w:rsid w:val="00A35B43"/>
    <w:rsid w:val="00A35F81"/>
    <w:rsid w:val="00A36018"/>
    <w:rsid w:val="00A363AD"/>
    <w:rsid w:val="00A369FF"/>
    <w:rsid w:val="00A40366"/>
    <w:rsid w:val="00A42306"/>
    <w:rsid w:val="00A42723"/>
    <w:rsid w:val="00A42F49"/>
    <w:rsid w:val="00A43D0A"/>
    <w:rsid w:val="00A440FA"/>
    <w:rsid w:val="00A44410"/>
    <w:rsid w:val="00A448D6"/>
    <w:rsid w:val="00A44AAA"/>
    <w:rsid w:val="00A44B51"/>
    <w:rsid w:val="00A44C4D"/>
    <w:rsid w:val="00A44E8D"/>
    <w:rsid w:val="00A457E5"/>
    <w:rsid w:val="00A45F57"/>
    <w:rsid w:val="00A46113"/>
    <w:rsid w:val="00A465DF"/>
    <w:rsid w:val="00A46C6B"/>
    <w:rsid w:val="00A46EA6"/>
    <w:rsid w:val="00A46EA8"/>
    <w:rsid w:val="00A47481"/>
    <w:rsid w:val="00A500C5"/>
    <w:rsid w:val="00A509D2"/>
    <w:rsid w:val="00A51498"/>
    <w:rsid w:val="00A5152F"/>
    <w:rsid w:val="00A5154D"/>
    <w:rsid w:val="00A51993"/>
    <w:rsid w:val="00A55ACD"/>
    <w:rsid w:val="00A55B81"/>
    <w:rsid w:val="00A56F7C"/>
    <w:rsid w:val="00A572C3"/>
    <w:rsid w:val="00A57E17"/>
    <w:rsid w:val="00A604E2"/>
    <w:rsid w:val="00A61B6E"/>
    <w:rsid w:val="00A61D4A"/>
    <w:rsid w:val="00A6248D"/>
    <w:rsid w:val="00A637AE"/>
    <w:rsid w:val="00A63A25"/>
    <w:rsid w:val="00A63D35"/>
    <w:rsid w:val="00A646D8"/>
    <w:rsid w:val="00A64F32"/>
    <w:rsid w:val="00A65288"/>
    <w:rsid w:val="00A66768"/>
    <w:rsid w:val="00A671A8"/>
    <w:rsid w:val="00A67ED0"/>
    <w:rsid w:val="00A70B6E"/>
    <w:rsid w:val="00A70CA0"/>
    <w:rsid w:val="00A71C13"/>
    <w:rsid w:val="00A7213C"/>
    <w:rsid w:val="00A72E0E"/>
    <w:rsid w:val="00A74597"/>
    <w:rsid w:val="00A74833"/>
    <w:rsid w:val="00A748A6"/>
    <w:rsid w:val="00A74D24"/>
    <w:rsid w:val="00A75206"/>
    <w:rsid w:val="00A7576B"/>
    <w:rsid w:val="00A75F1D"/>
    <w:rsid w:val="00A76750"/>
    <w:rsid w:val="00A76EAF"/>
    <w:rsid w:val="00A81D09"/>
    <w:rsid w:val="00A8308B"/>
    <w:rsid w:val="00A8506F"/>
    <w:rsid w:val="00A85354"/>
    <w:rsid w:val="00A85569"/>
    <w:rsid w:val="00A85D27"/>
    <w:rsid w:val="00A87F62"/>
    <w:rsid w:val="00A911E0"/>
    <w:rsid w:val="00A93210"/>
    <w:rsid w:val="00A93224"/>
    <w:rsid w:val="00A93C32"/>
    <w:rsid w:val="00A93D49"/>
    <w:rsid w:val="00A9560D"/>
    <w:rsid w:val="00A95874"/>
    <w:rsid w:val="00A95AE5"/>
    <w:rsid w:val="00A96557"/>
    <w:rsid w:val="00A96716"/>
    <w:rsid w:val="00A978E4"/>
    <w:rsid w:val="00AA05BD"/>
    <w:rsid w:val="00AA0748"/>
    <w:rsid w:val="00AA247D"/>
    <w:rsid w:val="00AA2770"/>
    <w:rsid w:val="00AA4DCF"/>
    <w:rsid w:val="00AA52FF"/>
    <w:rsid w:val="00AA63E1"/>
    <w:rsid w:val="00AA646F"/>
    <w:rsid w:val="00AA668F"/>
    <w:rsid w:val="00AA6DBF"/>
    <w:rsid w:val="00AA719D"/>
    <w:rsid w:val="00AA73F1"/>
    <w:rsid w:val="00AB077B"/>
    <w:rsid w:val="00AB11BF"/>
    <w:rsid w:val="00AB1892"/>
    <w:rsid w:val="00AB1B81"/>
    <w:rsid w:val="00AB22B6"/>
    <w:rsid w:val="00AB35F2"/>
    <w:rsid w:val="00AB57C7"/>
    <w:rsid w:val="00AB584D"/>
    <w:rsid w:val="00AB59EB"/>
    <w:rsid w:val="00AB6359"/>
    <w:rsid w:val="00AB6DE2"/>
    <w:rsid w:val="00AB7875"/>
    <w:rsid w:val="00AC0554"/>
    <w:rsid w:val="00AC0B25"/>
    <w:rsid w:val="00AC27AA"/>
    <w:rsid w:val="00AC36CF"/>
    <w:rsid w:val="00AC39DD"/>
    <w:rsid w:val="00AC43C2"/>
    <w:rsid w:val="00AC44A9"/>
    <w:rsid w:val="00AC5DD2"/>
    <w:rsid w:val="00AC665A"/>
    <w:rsid w:val="00AC68EE"/>
    <w:rsid w:val="00AC7C50"/>
    <w:rsid w:val="00AC7E61"/>
    <w:rsid w:val="00AD0332"/>
    <w:rsid w:val="00AD09D5"/>
    <w:rsid w:val="00AD0A57"/>
    <w:rsid w:val="00AD25C9"/>
    <w:rsid w:val="00AD32D4"/>
    <w:rsid w:val="00AD3D60"/>
    <w:rsid w:val="00AD4887"/>
    <w:rsid w:val="00AD5184"/>
    <w:rsid w:val="00AD53A0"/>
    <w:rsid w:val="00AD67D0"/>
    <w:rsid w:val="00AD712C"/>
    <w:rsid w:val="00AD7DBC"/>
    <w:rsid w:val="00AE0677"/>
    <w:rsid w:val="00AE0D04"/>
    <w:rsid w:val="00AE0FC7"/>
    <w:rsid w:val="00AE184E"/>
    <w:rsid w:val="00AE2539"/>
    <w:rsid w:val="00AE28C6"/>
    <w:rsid w:val="00AE38F7"/>
    <w:rsid w:val="00AE44B3"/>
    <w:rsid w:val="00AE4E81"/>
    <w:rsid w:val="00AE5346"/>
    <w:rsid w:val="00AE5589"/>
    <w:rsid w:val="00AE5617"/>
    <w:rsid w:val="00AE5DD0"/>
    <w:rsid w:val="00AE6C22"/>
    <w:rsid w:val="00AE7234"/>
    <w:rsid w:val="00AE7CC5"/>
    <w:rsid w:val="00AE7E62"/>
    <w:rsid w:val="00AF1133"/>
    <w:rsid w:val="00AF1205"/>
    <w:rsid w:val="00AF1CF3"/>
    <w:rsid w:val="00AF2804"/>
    <w:rsid w:val="00AF2C25"/>
    <w:rsid w:val="00AF3013"/>
    <w:rsid w:val="00AF3031"/>
    <w:rsid w:val="00AF31D4"/>
    <w:rsid w:val="00AF3406"/>
    <w:rsid w:val="00AF50B4"/>
    <w:rsid w:val="00AF5554"/>
    <w:rsid w:val="00AF57DD"/>
    <w:rsid w:val="00AF60AD"/>
    <w:rsid w:val="00B00698"/>
    <w:rsid w:val="00B00A2A"/>
    <w:rsid w:val="00B00BB5"/>
    <w:rsid w:val="00B00C87"/>
    <w:rsid w:val="00B01296"/>
    <w:rsid w:val="00B01C93"/>
    <w:rsid w:val="00B01F7E"/>
    <w:rsid w:val="00B02679"/>
    <w:rsid w:val="00B03044"/>
    <w:rsid w:val="00B040D6"/>
    <w:rsid w:val="00B04CC9"/>
    <w:rsid w:val="00B066D4"/>
    <w:rsid w:val="00B067BD"/>
    <w:rsid w:val="00B06808"/>
    <w:rsid w:val="00B075AD"/>
    <w:rsid w:val="00B07AB8"/>
    <w:rsid w:val="00B07E07"/>
    <w:rsid w:val="00B07EB0"/>
    <w:rsid w:val="00B10A96"/>
    <w:rsid w:val="00B1197B"/>
    <w:rsid w:val="00B120E5"/>
    <w:rsid w:val="00B12F09"/>
    <w:rsid w:val="00B13659"/>
    <w:rsid w:val="00B13821"/>
    <w:rsid w:val="00B13B96"/>
    <w:rsid w:val="00B14A62"/>
    <w:rsid w:val="00B14B83"/>
    <w:rsid w:val="00B15488"/>
    <w:rsid w:val="00B1559F"/>
    <w:rsid w:val="00B1570F"/>
    <w:rsid w:val="00B16482"/>
    <w:rsid w:val="00B16C2A"/>
    <w:rsid w:val="00B16DA2"/>
    <w:rsid w:val="00B16EAD"/>
    <w:rsid w:val="00B170FD"/>
    <w:rsid w:val="00B172D2"/>
    <w:rsid w:val="00B17D64"/>
    <w:rsid w:val="00B2069A"/>
    <w:rsid w:val="00B20A45"/>
    <w:rsid w:val="00B21A16"/>
    <w:rsid w:val="00B22732"/>
    <w:rsid w:val="00B230AE"/>
    <w:rsid w:val="00B23A53"/>
    <w:rsid w:val="00B24C74"/>
    <w:rsid w:val="00B25602"/>
    <w:rsid w:val="00B25BF9"/>
    <w:rsid w:val="00B262BC"/>
    <w:rsid w:val="00B262F7"/>
    <w:rsid w:val="00B27139"/>
    <w:rsid w:val="00B27256"/>
    <w:rsid w:val="00B27568"/>
    <w:rsid w:val="00B3087D"/>
    <w:rsid w:val="00B3099E"/>
    <w:rsid w:val="00B3474A"/>
    <w:rsid w:val="00B34794"/>
    <w:rsid w:val="00B3586F"/>
    <w:rsid w:val="00B35E93"/>
    <w:rsid w:val="00B35EC9"/>
    <w:rsid w:val="00B3659A"/>
    <w:rsid w:val="00B36651"/>
    <w:rsid w:val="00B37B56"/>
    <w:rsid w:val="00B403A3"/>
    <w:rsid w:val="00B403A6"/>
    <w:rsid w:val="00B40E5B"/>
    <w:rsid w:val="00B41435"/>
    <w:rsid w:val="00B41F73"/>
    <w:rsid w:val="00B44418"/>
    <w:rsid w:val="00B446E4"/>
    <w:rsid w:val="00B4499C"/>
    <w:rsid w:val="00B4536C"/>
    <w:rsid w:val="00B46883"/>
    <w:rsid w:val="00B4721F"/>
    <w:rsid w:val="00B51AC0"/>
    <w:rsid w:val="00B51FC9"/>
    <w:rsid w:val="00B52136"/>
    <w:rsid w:val="00B523AC"/>
    <w:rsid w:val="00B52AD8"/>
    <w:rsid w:val="00B532C7"/>
    <w:rsid w:val="00B54122"/>
    <w:rsid w:val="00B545FE"/>
    <w:rsid w:val="00B54639"/>
    <w:rsid w:val="00B54EBF"/>
    <w:rsid w:val="00B55464"/>
    <w:rsid w:val="00B56414"/>
    <w:rsid w:val="00B576C0"/>
    <w:rsid w:val="00B60415"/>
    <w:rsid w:val="00B60421"/>
    <w:rsid w:val="00B60F8E"/>
    <w:rsid w:val="00B6235F"/>
    <w:rsid w:val="00B627B7"/>
    <w:rsid w:val="00B627C7"/>
    <w:rsid w:val="00B62F7A"/>
    <w:rsid w:val="00B6506B"/>
    <w:rsid w:val="00B65073"/>
    <w:rsid w:val="00B65262"/>
    <w:rsid w:val="00B6539E"/>
    <w:rsid w:val="00B66B0E"/>
    <w:rsid w:val="00B700D7"/>
    <w:rsid w:val="00B702A4"/>
    <w:rsid w:val="00B71DCD"/>
    <w:rsid w:val="00B73181"/>
    <w:rsid w:val="00B73CCD"/>
    <w:rsid w:val="00B744D3"/>
    <w:rsid w:val="00B74595"/>
    <w:rsid w:val="00B74C1D"/>
    <w:rsid w:val="00B76B08"/>
    <w:rsid w:val="00B77610"/>
    <w:rsid w:val="00B776E6"/>
    <w:rsid w:val="00B80004"/>
    <w:rsid w:val="00B81189"/>
    <w:rsid w:val="00B81BD7"/>
    <w:rsid w:val="00B81EB6"/>
    <w:rsid w:val="00B82431"/>
    <w:rsid w:val="00B825B3"/>
    <w:rsid w:val="00B826EA"/>
    <w:rsid w:val="00B8297F"/>
    <w:rsid w:val="00B83229"/>
    <w:rsid w:val="00B83E7E"/>
    <w:rsid w:val="00B8445A"/>
    <w:rsid w:val="00B84B11"/>
    <w:rsid w:val="00B84CC0"/>
    <w:rsid w:val="00B84CE1"/>
    <w:rsid w:val="00B84E18"/>
    <w:rsid w:val="00B858A8"/>
    <w:rsid w:val="00B8666D"/>
    <w:rsid w:val="00B87DF0"/>
    <w:rsid w:val="00B907A5"/>
    <w:rsid w:val="00B90F5A"/>
    <w:rsid w:val="00B91D3C"/>
    <w:rsid w:val="00B9210C"/>
    <w:rsid w:val="00B93A03"/>
    <w:rsid w:val="00B93A6A"/>
    <w:rsid w:val="00B93B3A"/>
    <w:rsid w:val="00B93D06"/>
    <w:rsid w:val="00B93F37"/>
    <w:rsid w:val="00B94013"/>
    <w:rsid w:val="00B94AB1"/>
    <w:rsid w:val="00B95E32"/>
    <w:rsid w:val="00B967E8"/>
    <w:rsid w:val="00B967FA"/>
    <w:rsid w:val="00B969E6"/>
    <w:rsid w:val="00B96C66"/>
    <w:rsid w:val="00B97BD5"/>
    <w:rsid w:val="00BA0086"/>
    <w:rsid w:val="00BA2226"/>
    <w:rsid w:val="00BA2898"/>
    <w:rsid w:val="00BA2FA9"/>
    <w:rsid w:val="00BA2FB6"/>
    <w:rsid w:val="00BA3A5E"/>
    <w:rsid w:val="00BA3D61"/>
    <w:rsid w:val="00BA5D5B"/>
    <w:rsid w:val="00BA5E77"/>
    <w:rsid w:val="00BA6469"/>
    <w:rsid w:val="00BA64A4"/>
    <w:rsid w:val="00BA64BF"/>
    <w:rsid w:val="00BA676E"/>
    <w:rsid w:val="00BA678A"/>
    <w:rsid w:val="00BA73AA"/>
    <w:rsid w:val="00BA73C2"/>
    <w:rsid w:val="00BA7972"/>
    <w:rsid w:val="00BB018E"/>
    <w:rsid w:val="00BB0243"/>
    <w:rsid w:val="00BB027B"/>
    <w:rsid w:val="00BB084D"/>
    <w:rsid w:val="00BB0B9C"/>
    <w:rsid w:val="00BB0C9A"/>
    <w:rsid w:val="00BB1358"/>
    <w:rsid w:val="00BB17FD"/>
    <w:rsid w:val="00BB1EEB"/>
    <w:rsid w:val="00BB50F4"/>
    <w:rsid w:val="00BB5EFC"/>
    <w:rsid w:val="00BC0B18"/>
    <w:rsid w:val="00BC0CEC"/>
    <w:rsid w:val="00BC1E70"/>
    <w:rsid w:val="00BC1F29"/>
    <w:rsid w:val="00BC36E9"/>
    <w:rsid w:val="00BC3A0F"/>
    <w:rsid w:val="00BC511C"/>
    <w:rsid w:val="00BC58A9"/>
    <w:rsid w:val="00BC5BFD"/>
    <w:rsid w:val="00BC6475"/>
    <w:rsid w:val="00BC6CD7"/>
    <w:rsid w:val="00BC791D"/>
    <w:rsid w:val="00BD0394"/>
    <w:rsid w:val="00BD105F"/>
    <w:rsid w:val="00BD1D1B"/>
    <w:rsid w:val="00BD3197"/>
    <w:rsid w:val="00BD3243"/>
    <w:rsid w:val="00BD332E"/>
    <w:rsid w:val="00BD356B"/>
    <w:rsid w:val="00BD485A"/>
    <w:rsid w:val="00BD4931"/>
    <w:rsid w:val="00BD4BF1"/>
    <w:rsid w:val="00BD4C25"/>
    <w:rsid w:val="00BD64EB"/>
    <w:rsid w:val="00BD6886"/>
    <w:rsid w:val="00BD70A9"/>
    <w:rsid w:val="00BD7528"/>
    <w:rsid w:val="00BD7B2A"/>
    <w:rsid w:val="00BE0E44"/>
    <w:rsid w:val="00BE1211"/>
    <w:rsid w:val="00BE1425"/>
    <w:rsid w:val="00BE1DC7"/>
    <w:rsid w:val="00BE23B3"/>
    <w:rsid w:val="00BE2BF5"/>
    <w:rsid w:val="00BE2DA0"/>
    <w:rsid w:val="00BE3220"/>
    <w:rsid w:val="00BE3417"/>
    <w:rsid w:val="00BE375A"/>
    <w:rsid w:val="00BE4CDF"/>
    <w:rsid w:val="00BE5077"/>
    <w:rsid w:val="00BE550A"/>
    <w:rsid w:val="00BE5D6E"/>
    <w:rsid w:val="00BE63C2"/>
    <w:rsid w:val="00BE63DC"/>
    <w:rsid w:val="00BE6C19"/>
    <w:rsid w:val="00BE7246"/>
    <w:rsid w:val="00BF04E2"/>
    <w:rsid w:val="00BF0E25"/>
    <w:rsid w:val="00BF0EF3"/>
    <w:rsid w:val="00BF0FDE"/>
    <w:rsid w:val="00BF136E"/>
    <w:rsid w:val="00BF270B"/>
    <w:rsid w:val="00BF33FB"/>
    <w:rsid w:val="00BF3684"/>
    <w:rsid w:val="00BF39C2"/>
    <w:rsid w:val="00BF3EF2"/>
    <w:rsid w:val="00BF4010"/>
    <w:rsid w:val="00BF45D3"/>
    <w:rsid w:val="00BF4960"/>
    <w:rsid w:val="00BF4B7B"/>
    <w:rsid w:val="00BF5181"/>
    <w:rsid w:val="00BF5477"/>
    <w:rsid w:val="00BF555A"/>
    <w:rsid w:val="00BF5788"/>
    <w:rsid w:val="00BF5FAD"/>
    <w:rsid w:val="00BF63F1"/>
    <w:rsid w:val="00BF7A69"/>
    <w:rsid w:val="00BF7CD2"/>
    <w:rsid w:val="00BF7D15"/>
    <w:rsid w:val="00BF7D31"/>
    <w:rsid w:val="00BF7F16"/>
    <w:rsid w:val="00C00CB5"/>
    <w:rsid w:val="00C01ABA"/>
    <w:rsid w:val="00C01B24"/>
    <w:rsid w:val="00C02215"/>
    <w:rsid w:val="00C0278C"/>
    <w:rsid w:val="00C033F7"/>
    <w:rsid w:val="00C04328"/>
    <w:rsid w:val="00C05D2B"/>
    <w:rsid w:val="00C06054"/>
    <w:rsid w:val="00C0611B"/>
    <w:rsid w:val="00C06AC6"/>
    <w:rsid w:val="00C07138"/>
    <w:rsid w:val="00C07798"/>
    <w:rsid w:val="00C07C7E"/>
    <w:rsid w:val="00C10B5F"/>
    <w:rsid w:val="00C11096"/>
    <w:rsid w:val="00C11245"/>
    <w:rsid w:val="00C11FE4"/>
    <w:rsid w:val="00C124C7"/>
    <w:rsid w:val="00C14071"/>
    <w:rsid w:val="00C1445D"/>
    <w:rsid w:val="00C14D1F"/>
    <w:rsid w:val="00C15807"/>
    <w:rsid w:val="00C2077C"/>
    <w:rsid w:val="00C20A1E"/>
    <w:rsid w:val="00C20FB4"/>
    <w:rsid w:val="00C2113A"/>
    <w:rsid w:val="00C2178D"/>
    <w:rsid w:val="00C22B9C"/>
    <w:rsid w:val="00C2409B"/>
    <w:rsid w:val="00C2430A"/>
    <w:rsid w:val="00C249D2"/>
    <w:rsid w:val="00C25755"/>
    <w:rsid w:val="00C2648A"/>
    <w:rsid w:val="00C26951"/>
    <w:rsid w:val="00C2697B"/>
    <w:rsid w:val="00C31ACD"/>
    <w:rsid w:val="00C31C0E"/>
    <w:rsid w:val="00C31DCE"/>
    <w:rsid w:val="00C32893"/>
    <w:rsid w:val="00C32A53"/>
    <w:rsid w:val="00C32DBB"/>
    <w:rsid w:val="00C33C64"/>
    <w:rsid w:val="00C3412B"/>
    <w:rsid w:val="00C352CF"/>
    <w:rsid w:val="00C353F2"/>
    <w:rsid w:val="00C35CED"/>
    <w:rsid w:val="00C35D6B"/>
    <w:rsid w:val="00C36940"/>
    <w:rsid w:val="00C372BB"/>
    <w:rsid w:val="00C37897"/>
    <w:rsid w:val="00C37D93"/>
    <w:rsid w:val="00C409CE"/>
    <w:rsid w:val="00C4159B"/>
    <w:rsid w:val="00C4219F"/>
    <w:rsid w:val="00C42E66"/>
    <w:rsid w:val="00C43887"/>
    <w:rsid w:val="00C43BE1"/>
    <w:rsid w:val="00C449EE"/>
    <w:rsid w:val="00C451E5"/>
    <w:rsid w:val="00C4554C"/>
    <w:rsid w:val="00C45FDE"/>
    <w:rsid w:val="00C461BC"/>
    <w:rsid w:val="00C46D84"/>
    <w:rsid w:val="00C47F0F"/>
    <w:rsid w:val="00C502C3"/>
    <w:rsid w:val="00C50B1A"/>
    <w:rsid w:val="00C51562"/>
    <w:rsid w:val="00C51F1A"/>
    <w:rsid w:val="00C53C92"/>
    <w:rsid w:val="00C5612F"/>
    <w:rsid w:val="00C56847"/>
    <w:rsid w:val="00C56AB6"/>
    <w:rsid w:val="00C57B84"/>
    <w:rsid w:val="00C606EB"/>
    <w:rsid w:val="00C6237D"/>
    <w:rsid w:val="00C62553"/>
    <w:rsid w:val="00C62EC6"/>
    <w:rsid w:val="00C65053"/>
    <w:rsid w:val="00C6506E"/>
    <w:rsid w:val="00C65B4F"/>
    <w:rsid w:val="00C661DA"/>
    <w:rsid w:val="00C66B47"/>
    <w:rsid w:val="00C675F2"/>
    <w:rsid w:val="00C701FC"/>
    <w:rsid w:val="00C70A38"/>
    <w:rsid w:val="00C70ED2"/>
    <w:rsid w:val="00C7118E"/>
    <w:rsid w:val="00C718FC"/>
    <w:rsid w:val="00C72754"/>
    <w:rsid w:val="00C7305F"/>
    <w:rsid w:val="00C7335F"/>
    <w:rsid w:val="00C734E9"/>
    <w:rsid w:val="00C736E1"/>
    <w:rsid w:val="00C73979"/>
    <w:rsid w:val="00C73EB9"/>
    <w:rsid w:val="00C755CF"/>
    <w:rsid w:val="00C75749"/>
    <w:rsid w:val="00C76209"/>
    <w:rsid w:val="00C7692F"/>
    <w:rsid w:val="00C805B5"/>
    <w:rsid w:val="00C8066B"/>
    <w:rsid w:val="00C80BDD"/>
    <w:rsid w:val="00C80FBD"/>
    <w:rsid w:val="00C81098"/>
    <w:rsid w:val="00C81D7E"/>
    <w:rsid w:val="00C827E8"/>
    <w:rsid w:val="00C83269"/>
    <w:rsid w:val="00C8338F"/>
    <w:rsid w:val="00C8397D"/>
    <w:rsid w:val="00C83991"/>
    <w:rsid w:val="00C84370"/>
    <w:rsid w:val="00C85549"/>
    <w:rsid w:val="00C85AEF"/>
    <w:rsid w:val="00C8676A"/>
    <w:rsid w:val="00C86BF8"/>
    <w:rsid w:val="00C86BFC"/>
    <w:rsid w:val="00C875E8"/>
    <w:rsid w:val="00C878D5"/>
    <w:rsid w:val="00C900E6"/>
    <w:rsid w:val="00C9033B"/>
    <w:rsid w:val="00C9093B"/>
    <w:rsid w:val="00C90B5D"/>
    <w:rsid w:val="00C90FFB"/>
    <w:rsid w:val="00C913A1"/>
    <w:rsid w:val="00C92DB4"/>
    <w:rsid w:val="00C93136"/>
    <w:rsid w:val="00C93329"/>
    <w:rsid w:val="00C962AC"/>
    <w:rsid w:val="00C96434"/>
    <w:rsid w:val="00C97BF4"/>
    <w:rsid w:val="00CA0197"/>
    <w:rsid w:val="00CA082A"/>
    <w:rsid w:val="00CA0972"/>
    <w:rsid w:val="00CA0CBA"/>
    <w:rsid w:val="00CA0F26"/>
    <w:rsid w:val="00CA1C27"/>
    <w:rsid w:val="00CA2266"/>
    <w:rsid w:val="00CA2322"/>
    <w:rsid w:val="00CA2639"/>
    <w:rsid w:val="00CA2648"/>
    <w:rsid w:val="00CA2C7F"/>
    <w:rsid w:val="00CA2F2B"/>
    <w:rsid w:val="00CA3033"/>
    <w:rsid w:val="00CA36A4"/>
    <w:rsid w:val="00CA379E"/>
    <w:rsid w:val="00CA4EAD"/>
    <w:rsid w:val="00CA5033"/>
    <w:rsid w:val="00CA6FE1"/>
    <w:rsid w:val="00CA7686"/>
    <w:rsid w:val="00CA791E"/>
    <w:rsid w:val="00CA7A35"/>
    <w:rsid w:val="00CB0965"/>
    <w:rsid w:val="00CB1459"/>
    <w:rsid w:val="00CB19AD"/>
    <w:rsid w:val="00CB3D04"/>
    <w:rsid w:val="00CB3E93"/>
    <w:rsid w:val="00CB5EC4"/>
    <w:rsid w:val="00CB6214"/>
    <w:rsid w:val="00CB66FF"/>
    <w:rsid w:val="00CB729D"/>
    <w:rsid w:val="00CB7EB9"/>
    <w:rsid w:val="00CC1E74"/>
    <w:rsid w:val="00CC2EB5"/>
    <w:rsid w:val="00CC3B10"/>
    <w:rsid w:val="00CC3B22"/>
    <w:rsid w:val="00CC3B4B"/>
    <w:rsid w:val="00CC4421"/>
    <w:rsid w:val="00CC4C0B"/>
    <w:rsid w:val="00CC5786"/>
    <w:rsid w:val="00CC58BD"/>
    <w:rsid w:val="00CC5C5D"/>
    <w:rsid w:val="00CC640E"/>
    <w:rsid w:val="00CC6A99"/>
    <w:rsid w:val="00CC77A0"/>
    <w:rsid w:val="00CC7BAD"/>
    <w:rsid w:val="00CC7D62"/>
    <w:rsid w:val="00CD0593"/>
    <w:rsid w:val="00CD16A3"/>
    <w:rsid w:val="00CD44D2"/>
    <w:rsid w:val="00CD467B"/>
    <w:rsid w:val="00CD5C43"/>
    <w:rsid w:val="00CD6829"/>
    <w:rsid w:val="00CD6C73"/>
    <w:rsid w:val="00CD7829"/>
    <w:rsid w:val="00CE0158"/>
    <w:rsid w:val="00CE0A8D"/>
    <w:rsid w:val="00CE271F"/>
    <w:rsid w:val="00CE2C11"/>
    <w:rsid w:val="00CE34FA"/>
    <w:rsid w:val="00CE3E24"/>
    <w:rsid w:val="00CE48A6"/>
    <w:rsid w:val="00CE4A8C"/>
    <w:rsid w:val="00CE599C"/>
    <w:rsid w:val="00CE5B46"/>
    <w:rsid w:val="00CE758C"/>
    <w:rsid w:val="00CE7944"/>
    <w:rsid w:val="00CF064A"/>
    <w:rsid w:val="00CF0C23"/>
    <w:rsid w:val="00CF1C6F"/>
    <w:rsid w:val="00CF2059"/>
    <w:rsid w:val="00CF252F"/>
    <w:rsid w:val="00CF2630"/>
    <w:rsid w:val="00CF2839"/>
    <w:rsid w:val="00D007CD"/>
    <w:rsid w:val="00D00AA3"/>
    <w:rsid w:val="00D0126A"/>
    <w:rsid w:val="00D01D48"/>
    <w:rsid w:val="00D03195"/>
    <w:rsid w:val="00D040FA"/>
    <w:rsid w:val="00D0504E"/>
    <w:rsid w:val="00D05FA7"/>
    <w:rsid w:val="00D0620B"/>
    <w:rsid w:val="00D06B6C"/>
    <w:rsid w:val="00D07569"/>
    <w:rsid w:val="00D075A3"/>
    <w:rsid w:val="00D078C3"/>
    <w:rsid w:val="00D07F73"/>
    <w:rsid w:val="00D10051"/>
    <w:rsid w:val="00D10268"/>
    <w:rsid w:val="00D12CB7"/>
    <w:rsid w:val="00D13803"/>
    <w:rsid w:val="00D14169"/>
    <w:rsid w:val="00D14844"/>
    <w:rsid w:val="00D14ED3"/>
    <w:rsid w:val="00D14F9F"/>
    <w:rsid w:val="00D15660"/>
    <w:rsid w:val="00D164BB"/>
    <w:rsid w:val="00D16A62"/>
    <w:rsid w:val="00D16EF0"/>
    <w:rsid w:val="00D16F59"/>
    <w:rsid w:val="00D16FE6"/>
    <w:rsid w:val="00D20185"/>
    <w:rsid w:val="00D2041C"/>
    <w:rsid w:val="00D20A02"/>
    <w:rsid w:val="00D215AC"/>
    <w:rsid w:val="00D22760"/>
    <w:rsid w:val="00D22CBC"/>
    <w:rsid w:val="00D23234"/>
    <w:rsid w:val="00D23567"/>
    <w:rsid w:val="00D239B3"/>
    <w:rsid w:val="00D2408E"/>
    <w:rsid w:val="00D24FCB"/>
    <w:rsid w:val="00D25ADE"/>
    <w:rsid w:val="00D25B16"/>
    <w:rsid w:val="00D26079"/>
    <w:rsid w:val="00D26094"/>
    <w:rsid w:val="00D268E7"/>
    <w:rsid w:val="00D26DBF"/>
    <w:rsid w:val="00D300C1"/>
    <w:rsid w:val="00D302F2"/>
    <w:rsid w:val="00D3337C"/>
    <w:rsid w:val="00D347F6"/>
    <w:rsid w:val="00D367A2"/>
    <w:rsid w:val="00D36F9D"/>
    <w:rsid w:val="00D3733D"/>
    <w:rsid w:val="00D4163D"/>
    <w:rsid w:val="00D4164A"/>
    <w:rsid w:val="00D41D7E"/>
    <w:rsid w:val="00D4243A"/>
    <w:rsid w:val="00D42EFE"/>
    <w:rsid w:val="00D43239"/>
    <w:rsid w:val="00D43297"/>
    <w:rsid w:val="00D44BE4"/>
    <w:rsid w:val="00D44DB6"/>
    <w:rsid w:val="00D44EA8"/>
    <w:rsid w:val="00D4712F"/>
    <w:rsid w:val="00D47C08"/>
    <w:rsid w:val="00D50119"/>
    <w:rsid w:val="00D52E0E"/>
    <w:rsid w:val="00D5360A"/>
    <w:rsid w:val="00D54135"/>
    <w:rsid w:val="00D547BA"/>
    <w:rsid w:val="00D54FEB"/>
    <w:rsid w:val="00D55617"/>
    <w:rsid w:val="00D5568B"/>
    <w:rsid w:val="00D565C6"/>
    <w:rsid w:val="00D57171"/>
    <w:rsid w:val="00D57AE7"/>
    <w:rsid w:val="00D602C0"/>
    <w:rsid w:val="00D60D99"/>
    <w:rsid w:val="00D60E1C"/>
    <w:rsid w:val="00D6125F"/>
    <w:rsid w:val="00D61562"/>
    <w:rsid w:val="00D62AD8"/>
    <w:rsid w:val="00D62E5B"/>
    <w:rsid w:val="00D62EE2"/>
    <w:rsid w:val="00D63259"/>
    <w:rsid w:val="00D63BEC"/>
    <w:rsid w:val="00D65A8D"/>
    <w:rsid w:val="00D65F87"/>
    <w:rsid w:val="00D6625D"/>
    <w:rsid w:val="00D668C3"/>
    <w:rsid w:val="00D66949"/>
    <w:rsid w:val="00D66A3D"/>
    <w:rsid w:val="00D66B50"/>
    <w:rsid w:val="00D701E8"/>
    <w:rsid w:val="00D70AFA"/>
    <w:rsid w:val="00D70C32"/>
    <w:rsid w:val="00D713BB"/>
    <w:rsid w:val="00D7426D"/>
    <w:rsid w:val="00D747FF"/>
    <w:rsid w:val="00D75FE5"/>
    <w:rsid w:val="00D769AE"/>
    <w:rsid w:val="00D77178"/>
    <w:rsid w:val="00D772E9"/>
    <w:rsid w:val="00D7750D"/>
    <w:rsid w:val="00D77C23"/>
    <w:rsid w:val="00D80651"/>
    <w:rsid w:val="00D81A0D"/>
    <w:rsid w:val="00D82963"/>
    <w:rsid w:val="00D82A43"/>
    <w:rsid w:val="00D84D64"/>
    <w:rsid w:val="00D85C7A"/>
    <w:rsid w:val="00D87D7F"/>
    <w:rsid w:val="00D90956"/>
    <w:rsid w:val="00D91D90"/>
    <w:rsid w:val="00D92589"/>
    <w:rsid w:val="00D925AC"/>
    <w:rsid w:val="00D92D0A"/>
    <w:rsid w:val="00D93943"/>
    <w:rsid w:val="00D957F7"/>
    <w:rsid w:val="00D95C15"/>
    <w:rsid w:val="00D971E9"/>
    <w:rsid w:val="00D97703"/>
    <w:rsid w:val="00D97DDB"/>
    <w:rsid w:val="00DA0DA8"/>
    <w:rsid w:val="00DA1310"/>
    <w:rsid w:val="00DA1547"/>
    <w:rsid w:val="00DA1645"/>
    <w:rsid w:val="00DA18F9"/>
    <w:rsid w:val="00DA1D2C"/>
    <w:rsid w:val="00DA266F"/>
    <w:rsid w:val="00DA3400"/>
    <w:rsid w:val="00DA5460"/>
    <w:rsid w:val="00DA69C4"/>
    <w:rsid w:val="00DA7B5D"/>
    <w:rsid w:val="00DB0922"/>
    <w:rsid w:val="00DB0E20"/>
    <w:rsid w:val="00DB104A"/>
    <w:rsid w:val="00DB24C7"/>
    <w:rsid w:val="00DB3AC3"/>
    <w:rsid w:val="00DB3CEC"/>
    <w:rsid w:val="00DB3FB5"/>
    <w:rsid w:val="00DB4677"/>
    <w:rsid w:val="00DB4F7F"/>
    <w:rsid w:val="00DB6453"/>
    <w:rsid w:val="00DB6484"/>
    <w:rsid w:val="00DB695F"/>
    <w:rsid w:val="00DB6D04"/>
    <w:rsid w:val="00DB72E7"/>
    <w:rsid w:val="00DB771C"/>
    <w:rsid w:val="00DC00CE"/>
    <w:rsid w:val="00DC041D"/>
    <w:rsid w:val="00DC0A91"/>
    <w:rsid w:val="00DC1139"/>
    <w:rsid w:val="00DC1582"/>
    <w:rsid w:val="00DC409F"/>
    <w:rsid w:val="00DC41F7"/>
    <w:rsid w:val="00DC4262"/>
    <w:rsid w:val="00DC48D2"/>
    <w:rsid w:val="00DC4FEB"/>
    <w:rsid w:val="00DC5B03"/>
    <w:rsid w:val="00DC6B01"/>
    <w:rsid w:val="00DC77E7"/>
    <w:rsid w:val="00DC79FF"/>
    <w:rsid w:val="00DD056F"/>
    <w:rsid w:val="00DD05EB"/>
    <w:rsid w:val="00DD0751"/>
    <w:rsid w:val="00DD0EAF"/>
    <w:rsid w:val="00DD186B"/>
    <w:rsid w:val="00DD1991"/>
    <w:rsid w:val="00DD264A"/>
    <w:rsid w:val="00DD312F"/>
    <w:rsid w:val="00DD35D2"/>
    <w:rsid w:val="00DD3644"/>
    <w:rsid w:val="00DD5367"/>
    <w:rsid w:val="00DD5ABA"/>
    <w:rsid w:val="00DD664D"/>
    <w:rsid w:val="00DD6DE0"/>
    <w:rsid w:val="00DD75DE"/>
    <w:rsid w:val="00DD7633"/>
    <w:rsid w:val="00DD7775"/>
    <w:rsid w:val="00DD7898"/>
    <w:rsid w:val="00DD79AD"/>
    <w:rsid w:val="00DD7E05"/>
    <w:rsid w:val="00DE1296"/>
    <w:rsid w:val="00DE13B2"/>
    <w:rsid w:val="00DE1795"/>
    <w:rsid w:val="00DE2A84"/>
    <w:rsid w:val="00DE2C28"/>
    <w:rsid w:val="00DE2DB4"/>
    <w:rsid w:val="00DE3C24"/>
    <w:rsid w:val="00DE3CFA"/>
    <w:rsid w:val="00DE4ADD"/>
    <w:rsid w:val="00DE4CD5"/>
    <w:rsid w:val="00DE5D70"/>
    <w:rsid w:val="00DE618F"/>
    <w:rsid w:val="00DE69A5"/>
    <w:rsid w:val="00DE72E0"/>
    <w:rsid w:val="00DE74BD"/>
    <w:rsid w:val="00DE7859"/>
    <w:rsid w:val="00DE7D11"/>
    <w:rsid w:val="00DF0074"/>
    <w:rsid w:val="00DF0E56"/>
    <w:rsid w:val="00DF12A5"/>
    <w:rsid w:val="00DF2208"/>
    <w:rsid w:val="00DF4A57"/>
    <w:rsid w:val="00DF4C6E"/>
    <w:rsid w:val="00DF5231"/>
    <w:rsid w:val="00DF5632"/>
    <w:rsid w:val="00DF58E7"/>
    <w:rsid w:val="00DF66EA"/>
    <w:rsid w:val="00DF6B0D"/>
    <w:rsid w:val="00DF72E5"/>
    <w:rsid w:val="00DF77A8"/>
    <w:rsid w:val="00DF7A42"/>
    <w:rsid w:val="00DF7E05"/>
    <w:rsid w:val="00E00D32"/>
    <w:rsid w:val="00E01E13"/>
    <w:rsid w:val="00E01F40"/>
    <w:rsid w:val="00E01F52"/>
    <w:rsid w:val="00E02A54"/>
    <w:rsid w:val="00E02AEE"/>
    <w:rsid w:val="00E02BB5"/>
    <w:rsid w:val="00E040C5"/>
    <w:rsid w:val="00E046DE"/>
    <w:rsid w:val="00E04FA7"/>
    <w:rsid w:val="00E0552A"/>
    <w:rsid w:val="00E06DC8"/>
    <w:rsid w:val="00E07647"/>
    <w:rsid w:val="00E07709"/>
    <w:rsid w:val="00E107FD"/>
    <w:rsid w:val="00E1096A"/>
    <w:rsid w:val="00E11876"/>
    <w:rsid w:val="00E118B3"/>
    <w:rsid w:val="00E11AFC"/>
    <w:rsid w:val="00E132D2"/>
    <w:rsid w:val="00E13B32"/>
    <w:rsid w:val="00E14217"/>
    <w:rsid w:val="00E14C01"/>
    <w:rsid w:val="00E16DD4"/>
    <w:rsid w:val="00E17246"/>
    <w:rsid w:val="00E20C60"/>
    <w:rsid w:val="00E20EBC"/>
    <w:rsid w:val="00E21874"/>
    <w:rsid w:val="00E22FC8"/>
    <w:rsid w:val="00E23569"/>
    <w:rsid w:val="00E23CBB"/>
    <w:rsid w:val="00E24884"/>
    <w:rsid w:val="00E24DE3"/>
    <w:rsid w:val="00E25B8B"/>
    <w:rsid w:val="00E26072"/>
    <w:rsid w:val="00E262D3"/>
    <w:rsid w:val="00E2643D"/>
    <w:rsid w:val="00E26BBC"/>
    <w:rsid w:val="00E26C8B"/>
    <w:rsid w:val="00E272CB"/>
    <w:rsid w:val="00E27C4D"/>
    <w:rsid w:val="00E27C9D"/>
    <w:rsid w:val="00E3053B"/>
    <w:rsid w:val="00E3113E"/>
    <w:rsid w:val="00E316F2"/>
    <w:rsid w:val="00E318E6"/>
    <w:rsid w:val="00E32155"/>
    <w:rsid w:val="00E32C35"/>
    <w:rsid w:val="00E32DE6"/>
    <w:rsid w:val="00E333F9"/>
    <w:rsid w:val="00E33C7D"/>
    <w:rsid w:val="00E33FAB"/>
    <w:rsid w:val="00E34E6C"/>
    <w:rsid w:val="00E353A9"/>
    <w:rsid w:val="00E35E44"/>
    <w:rsid w:val="00E37B59"/>
    <w:rsid w:val="00E402AA"/>
    <w:rsid w:val="00E409AD"/>
    <w:rsid w:val="00E41153"/>
    <w:rsid w:val="00E41944"/>
    <w:rsid w:val="00E42077"/>
    <w:rsid w:val="00E42666"/>
    <w:rsid w:val="00E447F1"/>
    <w:rsid w:val="00E45202"/>
    <w:rsid w:val="00E452A3"/>
    <w:rsid w:val="00E476EE"/>
    <w:rsid w:val="00E47FF5"/>
    <w:rsid w:val="00E50638"/>
    <w:rsid w:val="00E5144B"/>
    <w:rsid w:val="00E523C4"/>
    <w:rsid w:val="00E5259F"/>
    <w:rsid w:val="00E528FF"/>
    <w:rsid w:val="00E52BC8"/>
    <w:rsid w:val="00E53438"/>
    <w:rsid w:val="00E53A43"/>
    <w:rsid w:val="00E53D2A"/>
    <w:rsid w:val="00E540B4"/>
    <w:rsid w:val="00E54859"/>
    <w:rsid w:val="00E55417"/>
    <w:rsid w:val="00E567D8"/>
    <w:rsid w:val="00E56C12"/>
    <w:rsid w:val="00E60028"/>
    <w:rsid w:val="00E601A5"/>
    <w:rsid w:val="00E60486"/>
    <w:rsid w:val="00E606CA"/>
    <w:rsid w:val="00E607C1"/>
    <w:rsid w:val="00E615CF"/>
    <w:rsid w:val="00E6358B"/>
    <w:rsid w:val="00E6470C"/>
    <w:rsid w:val="00E65A67"/>
    <w:rsid w:val="00E6622E"/>
    <w:rsid w:val="00E663CD"/>
    <w:rsid w:val="00E6653A"/>
    <w:rsid w:val="00E6667B"/>
    <w:rsid w:val="00E66CBF"/>
    <w:rsid w:val="00E67608"/>
    <w:rsid w:val="00E67F99"/>
    <w:rsid w:val="00E708DA"/>
    <w:rsid w:val="00E70CDC"/>
    <w:rsid w:val="00E712DA"/>
    <w:rsid w:val="00E7155C"/>
    <w:rsid w:val="00E725FC"/>
    <w:rsid w:val="00E72A26"/>
    <w:rsid w:val="00E72D62"/>
    <w:rsid w:val="00E7300A"/>
    <w:rsid w:val="00E73128"/>
    <w:rsid w:val="00E73308"/>
    <w:rsid w:val="00E736CB"/>
    <w:rsid w:val="00E742C5"/>
    <w:rsid w:val="00E74953"/>
    <w:rsid w:val="00E74F91"/>
    <w:rsid w:val="00E81FDF"/>
    <w:rsid w:val="00E82673"/>
    <w:rsid w:val="00E82A5C"/>
    <w:rsid w:val="00E82E90"/>
    <w:rsid w:val="00E84ADA"/>
    <w:rsid w:val="00E86FC9"/>
    <w:rsid w:val="00E873CF"/>
    <w:rsid w:val="00E87926"/>
    <w:rsid w:val="00E91336"/>
    <w:rsid w:val="00E913AD"/>
    <w:rsid w:val="00E9217D"/>
    <w:rsid w:val="00E9366B"/>
    <w:rsid w:val="00E93F05"/>
    <w:rsid w:val="00E94D0E"/>
    <w:rsid w:val="00E95C69"/>
    <w:rsid w:val="00E97406"/>
    <w:rsid w:val="00EA05F3"/>
    <w:rsid w:val="00EA1A8D"/>
    <w:rsid w:val="00EA20F4"/>
    <w:rsid w:val="00EA2965"/>
    <w:rsid w:val="00EA2C22"/>
    <w:rsid w:val="00EA3386"/>
    <w:rsid w:val="00EA36C6"/>
    <w:rsid w:val="00EA3784"/>
    <w:rsid w:val="00EA38B0"/>
    <w:rsid w:val="00EA3B05"/>
    <w:rsid w:val="00EA3DC5"/>
    <w:rsid w:val="00EA4132"/>
    <w:rsid w:val="00EA4F66"/>
    <w:rsid w:val="00EA55F4"/>
    <w:rsid w:val="00EA59AD"/>
    <w:rsid w:val="00EA6633"/>
    <w:rsid w:val="00EA66DB"/>
    <w:rsid w:val="00EA776D"/>
    <w:rsid w:val="00EB040B"/>
    <w:rsid w:val="00EB0BCA"/>
    <w:rsid w:val="00EB13C6"/>
    <w:rsid w:val="00EB1859"/>
    <w:rsid w:val="00EB2D49"/>
    <w:rsid w:val="00EB304E"/>
    <w:rsid w:val="00EB37F6"/>
    <w:rsid w:val="00EB395E"/>
    <w:rsid w:val="00EB4F08"/>
    <w:rsid w:val="00EB50F8"/>
    <w:rsid w:val="00EB6B19"/>
    <w:rsid w:val="00EC049E"/>
    <w:rsid w:val="00EC218F"/>
    <w:rsid w:val="00EC24F3"/>
    <w:rsid w:val="00EC2567"/>
    <w:rsid w:val="00EC2747"/>
    <w:rsid w:val="00EC30F9"/>
    <w:rsid w:val="00EC3250"/>
    <w:rsid w:val="00EC3FCB"/>
    <w:rsid w:val="00EC4148"/>
    <w:rsid w:val="00EC45BB"/>
    <w:rsid w:val="00EC45EC"/>
    <w:rsid w:val="00EC57D1"/>
    <w:rsid w:val="00EC5818"/>
    <w:rsid w:val="00EC5C67"/>
    <w:rsid w:val="00EC69F3"/>
    <w:rsid w:val="00EC6AB3"/>
    <w:rsid w:val="00EC7590"/>
    <w:rsid w:val="00EC773A"/>
    <w:rsid w:val="00EC7B89"/>
    <w:rsid w:val="00ED1668"/>
    <w:rsid w:val="00ED1D94"/>
    <w:rsid w:val="00ED35E4"/>
    <w:rsid w:val="00ED4DAE"/>
    <w:rsid w:val="00ED50A2"/>
    <w:rsid w:val="00ED5725"/>
    <w:rsid w:val="00ED5ABA"/>
    <w:rsid w:val="00ED6E61"/>
    <w:rsid w:val="00ED7031"/>
    <w:rsid w:val="00ED71A5"/>
    <w:rsid w:val="00EE00EE"/>
    <w:rsid w:val="00EE0BBE"/>
    <w:rsid w:val="00EE0E15"/>
    <w:rsid w:val="00EE3060"/>
    <w:rsid w:val="00EE4315"/>
    <w:rsid w:val="00EE48AA"/>
    <w:rsid w:val="00EE4DF6"/>
    <w:rsid w:val="00EE6CAC"/>
    <w:rsid w:val="00EE71D9"/>
    <w:rsid w:val="00EE757F"/>
    <w:rsid w:val="00EE76FC"/>
    <w:rsid w:val="00EF04BB"/>
    <w:rsid w:val="00EF0522"/>
    <w:rsid w:val="00EF0594"/>
    <w:rsid w:val="00EF07DF"/>
    <w:rsid w:val="00EF0ED4"/>
    <w:rsid w:val="00EF107B"/>
    <w:rsid w:val="00EF1E5C"/>
    <w:rsid w:val="00EF258F"/>
    <w:rsid w:val="00EF37B4"/>
    <w:rsid w:val="00EF3A4E"/>
    <w:rsid w:val="00EF3DDB"/>
    <w:rsid w:val="00EF4364"/>
    <w:rsid w:val="00EF43B3"/>
    <w:rsid w:val="00EF4A7A"/>
    <w:rsid w:val="00EF4DFB"/>
    <w:rsid w:val="00EF50E4"/>
    <w:rsid w:val="00EF531B"/>
    <w:rsid w:val="00EF576B"/>
    <w:rsid w:val="00EF5E30"/>
    <w:rsid w:val="00EF6299"/>
    <w:rsid w:val="00EF6925"/>
    <w:rsid w:val="00EF6D6D"/>
    <w:rsid w:val="00F0018A"/>
    <w:rsid w:val="00F00B35"/>
    <w:rsid w:val="00F01201"/>
    <w:rsid w:val="00F03A22"/>
    <w:rsid w:val="00F04449"/>
    <w:rsid w:val="00F04B7F"/>
    <w:rsid w:val="00F052D6"/>
    <w:rsid w:val="00F052DC"/>
    <w:rsid w:val="00F05878"/>
    <w:rsid w:val="00F103B0"/>
    <w:rsid w:val="00F10A74"/>
    <w:rsid w:val="00F1186B"/>
    <w:rsid w:val="00F12118"/>
    <w:rsid w:val="00F13066"/>
    <w:rsid w:val="00F13BD1"/>
    <w:rsid w:val="00F13C95"/>
    <w:rsid w:val="00F143F7"/>
    <w:rsid w:val="00F14DF8"/>
    <w:rsid w:val="00F15EC1"/>
    <w:rsid w:val="00F20BA6"/>
    <w:rsid w:val="00F20C5E"/>
    <w:rsid w:val="00F211E3"/>
    <w:rsid w:val="00F21718"/>
    <w:rsid w:val="00F21A5B"/>
    <w:rsid w:val="00F21E1B"/>
    <w:rsid w:val="00F22A4F"/>
    <w:rsid w:val="00F231C0"/>
    <w:rsid w:val="00F241C4"/>
    <w:rsid w:val="00F247DE"/>
    <w:rsid w:val="00F260B8"/>
    <w:rsid w:val="00F26142"/>
    <w:rsid w:val="00F26ED3"/>
    <w:rsid w:val="00F27172"/>
    <w:rsid w:val="00F27F9C"/>
    <w:rsid w:val="00F3000B"/>
    <w:rsid w:val="00F30B2C"/>
    <w:rsid w:val="00F3105B"/>
    <w:rsid w:val="00F32C85"/>
    <w:rsid w:val="00F3390D"/>
    <w:rsid w:val="00F33C62"/>
    <w:rsid w:val="00F353EE"/>
    <w:rsid w:val="00F35D62"/>
    <w:rsid w:val="00F36298"/>
    <w:rsid w:val="00F369B2"/>
    <w:rsid w:val="00F36A6D"/>
    <w:rsid w:val="00F36B15"/>
    <w:rsid w:val="00F36CD8"/>
    <w:rsid w:val="00F40020"/>
    <w:rsid w:val="00F40CFC"/>
    <w:rsid w:val="00F40D76"/>
    <w:rsid w:val="00F4279D"/>
    <w:rsid w:val="00F42D17"/>
    <w:rsid w:val="00F43256"/>
    <w:rsid w:val="00F434CB"/>
    <w:rsid w:val="00F43623"/>
    <w:rsid w:val="00F43724"/>
    <w:rsid w:val="00F462C6"/>
    <w:rsid w:val="00F4632E"/>
    <w:rsid w:val="00F5036A"/>
    <w:rsid w:val="00F51546"/>
    <w:rsid w:val="00F5282F"/>
    <w:rsid w:val="00F52982"/>
    <w:rsid w:val="00F532EA"/>
    <w:rsid w:val="00F536FE"/>
    <w:rsid w:val="00F53F09"/>
    <w:rsid w:val="00F54898"/>
    <w:rsid w:val="00F54B5D"/>
    <w:rsid w:val="00F54BB0"/>
    <w:rsid w:val="00F55524"/>
    <w:rsid w:val="00F56229"/>
    <w:rsid w:val="00F5665C"/>
    <w:rsid w:val="00F566A6"/>
    <w:rsid w:val="00F56D92"/>
    <w:rsid w:val="00F574BA"/>
    <w:rsid w:val="00F57918"/>
    <w:rsid w:val="00F57DBD"/>
    <w:rsid w:val="00F60A1B"/>
    <w:rsid w:val="00F61008"/>
    <w:rsid w:val="00F61C54"/>
    <w:rsid w:val="00F61DD6"/>
    <w:rsid w:val="00F62668"/>
    <w:rsid w:val="00F62B7A"/>
    <w:rsid w:val="00F6397D"/>
    <w:rsid w:val="00F639BD"/>
    <w:rsid w:val="00F64599"/>
    <w:rsid w:val="00F64D40"/>
    <w:rsid w:val="00F65056"/>
    <w:rsid w:val="00F652FB"/>
    <w:rsid w:val="00F65C3D"/>
    <w:rsid w:val="00F6655B"/>
    <w:rsid w:val="00F665DA"/>
    <w:rsid w:val="00F669AA"/>
    <w:rsid w:val="00F669E8"/>
    <w:rsid w:val="00F678BC"/>
    <w:rsid w:val="00F67B65"/>
    <w:rsid w:val="00F703B4"/>
    <w:rsid w:val="00F71B00"/>
    <w:rsid w:val="00F72349"/>
    <w:rsid w:val="00F7288A"/>
    <w:rsid w:val="00F7293E"/>
    <w:rsid w:val="00F72E19"/>
    <w:rsid w:val="00F73A74"/>
    <w:rsid w:val="00F753DA"/>
    <w:rsid w:val="00F75FCA"/>
    <w:rsid w:val="00F76314"/>
    <w:rsid w:val="00F76650"/>
    <w:rsid w:val="00F7683E"/>
    <w:rsid w:val="00F77186"/>
    <w:rsid w:val="00F805AA"/>
    <w:rsid w:val="00F8087A"/>
    <w:rsid w:val="00F81088"/>
    <w:rsid w:val="00F818C8"/>
    <w:rsid w:val="00F82201"/>
    <w:rsid w:val="00F825AF"/>
    <w:rsid w:val="00F82C6B"/>
    <w:rsid w:val="00F83154"/>
    <w:rsid w:val="00F8370A"/>
    <w:rsid w:val="00F83CD7"/>
    <w:rsid w:val="00F84AB7"/>
    <w:rsid w:val="00F85186"/>
    <w:rsid w:val="00F85CBB"/>
    <w:rsid w:val="00F86D5A"/>
    <w:rsid w:val="00F87BB3"/>
    <w:rsid w:val="00F90BC8"/>
    <w:rsid w:val="00F9146F"/>
    <w:rsid w:val="00F9187B"/>
    <w:rsid w:val="00F91946"/>
    <w:rsid w:val="00F91A66"/>
    <w:rsid w:val="00F92385"/>
    <w:rsid w:val="00F92EF0"/>
    <w:rsid w:val="00F93463"/>
    <w:rsid w:val="00F943C6"/>
    <w:rsid w:val="00F94ED2"/>
    <w:rsid w:val="00F94ED9"/>
    <w:rsid w:val="00F9538A"/>
    <w:rsid w:val="00F968E1"/>
    <w:rsid w:val="00F9750E"/>
    <w:rsid w:val="00F97759"/>
    <w:rsid w:val="00F97981"/>
    <w:rsid w:val="00F979F8"/>
    <w:rsid w:val="00FA09F7"/>
    <w:rsid w:val="00FA14E5"/>
    <w:rsid w:val="00FA1580"/>
    <w:rsid w:val="00FA1B4F"/>
    <w:rsid w:val="00FA22B3"/>
    <w:rsid w:val="00FA2915"/>
    <w:rsid w:val="00FA2B59"/>
    <w:rsid w:val="00FA3333"/>
    <w:rsid w:val="00FA3949"/>
    <w:rsid w:val="00FA3A81"/>
    <w:rsid w:val="00FA456D"/>
    <w:rsid w:val="00FA4DCF"/>
    <w:rsid w:val="00FA5225"/>
    <w:rsid w:val="00FA57F2"/>
    <w:rsid w:val="00FA75E2"/>
    <w:rsid w:val="00FA794A"/>
    <w:rsid w:val="00FA79DA"/>
    <w:rsid w:val="00FB15D7"/>
    <w:rsid w:val="00FB18A1"/>
    <w:rsid w:val="00FB18F9"/>
    <w:rsid w:val="00FB1E94"/>
    <w:rsid w:val="00FB340F"/>
    <w:rsid w:val="00FB34AB"/>
    <w:rsid w:val="00FB34E5"/>
    <w:rsid w:val="00FB3B9D"/>
    <w:rsid w:val="00FB3DB2"/>
    <w:rsid w:val="00FB429C"/>
    <w:rsid w:val="00FB5022"/>
    <w:rsid w:val="00FB64C1"/>
    <w:rsid w:val="00FB684C"/>
    <w:rsid w:val="00FC1514"/>
    <w:rsid w:val="00FC2000"/>
    <w:rsid w:val="00FC21DC"/>
    <w:rsid w:val="00FC284C"/>
    <w:rsid w:val="00FC3965"/>
    <w:rsid w:val="00FC39CA"/>
    <w:rsid w:val="00FC3B3E"/>
    <w:rsid w:val="00FC3EE6"/>
    <w:rsid w:val="00FC47F9"/>
    <w:rsid w:val="00FC4C2F"/>
    <w:rsid w:val="00FC4E12"/>
    <w:rsid w:val="00FC5255"/>
    <w:rsid w:val="00FC5A16"/>
    <w:rsid w:val="00FC675F"/>
    <w:rsid w:val="00FC6880"/>
    <w:rsid w:val="00FC75CE"/>
    <w:rsid w:val="00FC7932"/>
    <w:rsid w:val="00FC7DB1"/>
    <w:rsid w:val="00FC7EF4"/>
    <w:rsid w:val="00FD080D"/>
    <w:rsid w:val="00FD119D"/>
    <w:rsid w:val="00FD16B0"/>
    <w:rsid w:val="00FD1F89"/>
    <w:rsid w:val="00FD283B"/>
    <w:rsid w:val="00FD2A7C"/>
    <w:rsid w:val="00FD2FB4"/>
    <w:rsid w:val="00FD3C87"/>
    <w:rsid w:val="00FD441B"/>
    <w:rsid w:val="00FD4C68"/>
    <w:rsid w:val="00FD519E"/>
    <w:rsid w:val="00FD55E8"/>
    <w:rsid w:val="00FD589A"/>
    <w:rsid w:val="00FD5D76"/>
    <w:rsid w:val="00FD5EAE"/>
    <w:rsid w:val="00FD6045"/>
    <w:rsid w:val="00FD763A"/>
    <w:rsid w:val="00FD7F9B"/>
    <w:rsid w:val="00FE10A5"/>
    <w:rsid w:val="00FE12A6"/>
    <w:rsid w:val="00FE1BC9"/>
    <w:rsid w:val="00FE1C11"/>
    <w:rsid w:val="00FE2351"/>
    <w:rsid w:val="00FE2675"/>
    <w:rsid w:val="00FE2E83"/>
    <w:rsid w:val="00FE337D"/>
    <w:rsid w:val="00FE3608"/>
    <w:rsid w:val="00FE447E"/>
    <w:rsid w:val="00FE49DE"/>
    <w:rsid w:val="00FE4F7E"/>
    <w:rsid w:val="00FE5183"/>
    <w:rsid w:val="00FE5580"/>
    <w:rsid w:val="00FE5621"/>
    <w:rsid w:val="00FE6534"/>
    <w:rsid w:val="00FE78AD"/>
    <w:rsid w:val="00FF110C"/>
    <w:rsid w:val="00FF1B76"/>
    <w:rsid w:val="00FF25C8"/>
    <w:rsid w:val="00FF27B9"/>
    <w:rsid w:val="00FF364D"/>
    <w:rsid w:val="00FF4384"/>
    <w:rsid w:val="00FF4AE5"/>
    <w:rsid w:val="00FF4F7A"/>
    <w:rsid w:val="00FF5FEB"/>
    <w:rsid w:val="00FF6990"/>
    <w:rsid w:val="00FF6D28"/>
    <w:rsid w:val="00FF6DA2"/>
    <w:rsid w:val="00FF6F6B"/>
    <w:rsid w:val="0117B6E2"/>
    <w:rsid w:val="015A0F81"/>
    <w:rsid w:val="0164F1B3"/>
    <w:rsid w:val="019B9041"/>
    <w:rsid w:val="01A4519C"/>
    <w:rsid w:val="01A99D29"/>
    <w:rsid w:val="01AC66BD"/>
    <w:rsid w:val="01B14372"/>
    <w:rsid w:val="01D17592"/>
    <w:rsid w:val="0202722F"/>
    <w:rsid w:val="022E8660"/>
    <w:rsid w:val="024BD55D"/>
    <w:rsid w:val="026CA74E"/>
    <w:rsid w:val="02A2B242"/>
    <w:rsid w:val="02A61FE4"/>
    <w:rsid w:val="02E4530B"/>
    <w:rsid w:val="03423909"/>
    <w:rsid w:val="0349EF15"/>
    <w:rsid w:val="034DED0C"/>
    <w:rsid w:val="0365F46B"/>
    <w:rsid w:val="03803D27"/>
    <w:rsid w:val="038502DB"/>
    <w:rsid w:val="03A4A863"/>
    <w:rsid w:val="03C76837"/>
    <w:rsid w:val="03CACB69"/>
    <w:rsid w:val="03F8EAB6"/>
    <w:rsid w:val="04001B84"/>
    <w:rsid w:val="0413C364"/>
    <w:rsid w:val="041EC591"/>
    <w:rsid w:val="0422DB40"/>
    <w:rsid w:val="04BE2167"/>
    <w:rsid w:val="04C91753"/>
    <w:rsid w:val="05046CAE"/>
    <w:rsid w:val="05048947"/>
    <w:rsid w:val="05722693"/>
    <w:rsid w:val="05CBF797"/>
    <w:rsid w:val="06064787"/>
    <w:rsid w:val="06385E80"/>
    <w:rsid w:val="063BC618"/>
    <w:rsid w:val="065A9B41"/>
    <w:rsid w:val="06E665D9"/>
    <w:rsid w:val="0718FF58"/>
    <w:rsid w:val="071D8427"/>
    <w:rsid w:val="075C356C"/>
    <w:rsid w:val="075FE329"/>
    <w:rsid w:val="07602EC7"/>
    <w:rsid w:val="07C9778F"/>
    <w:rsid w:val="07D8631D"/>
    <w:rsid w:val="085984A7"/>
    <w:rsid w:val="085D9A72"/>
    <w:rsid w:val="0862B67D"/>
    <w:rsid w:val="0877A65C"/>
    <w:rsid w:val="0882FB94"/>
    <w:rsid w:val="08999581"/>
    <w:rsid w:val="08A1EEDE"/>
    <w:rsid w:val="08D32A0C"/>
    <w:rsid w:val="08F3ACA7"/>
    <w:rsid w:val="091A74AD"/>
    <w:rsid w:val="092280DF"/>
    <w:rsid w:val="097AD390"/>
    <w:rsid w:val="0981C1FA"/>
    <w:rsid w:val="09877B4D"/>
    <w:rsid w:val="09B5F7AF"/>
    <w:rsid w:val="09D4DAAB"/>
    <w:rsid w:val="09EE2111"/>
    <w:rsid w:val="0A7A23D3"/>
    <w:rsid w:val="0AA55C2D"/>
    <w:rsid w:val="0ACE1342"/>
    <w:rsid w:val="0AD537D9"/>
    <w:rsid w:val="0AF5CB9B"/>
    <w:rsid w:val="0B194030"/>
    <w:rsid w:val="0B361B9B"/>
    <w:rsid w:val="0B4D66EA"/>
    <w:rsid w:val="0B68655B"/>
    <w:rsid w:val="0B9620E7"/>
    <w:rsid w:val="0BAEBDD6"/>
    <w:rsid w:val="0C021C93"/>
    <w:rsid w:val="0C2BAB61"/>
    <w:rsid w:val="0C3C6E53"/>
    <w:rsid w:val="0C6A057E"/>
    <w:rsid w:val="0C8F298A"/>
    <w:rsid w:val="0CBEC022"/>
    <w:rsid w:val="0CCCC100"/>
    <w:rsid w:val="0CCD23CD"/>
    <w:rsid w:val="0D02B5F6"/>
    <w:rsid w:val="0D0721BF"/>
    <w:rsid w:val="0D235321"/>
    <w:rsid w:val="0D2A44F8"/>
    <w:rsid w:val="0D5588AE"/>
    <w:rsid w:val="0D574A90"/>
    <w:rsid w:val="0D582A1F"/>
    <w:rsid w:val="0D5E245B"/>
    <w:rsid w:val="0D69ECEA"/>
    <w:rsid w:val="0DD0772C"/>
    <w:rsid w:val="0DF3D520"/>
    <w:rsid w:val="0DF8F060"/>
    <w:rsid w:val="0E0D39C5"/>
    <w:rsid w:val="0E170270"/>
    <w:rsid w:val="0E2FEE0A"/>
    <w:rsid w:val="0E376CDD"/>
    <w:rsid w:val="0E37A529"/>
    <w:rsid w:val="0E655185"/>
    <w:rsid w:val="0E760A24"/>
    <w:rsid w:val="0E9276F2"/>
    <w:rsid w:val="0EA2314A"/>
    <w:rsid w:val="0EBA5B9A"/>
    <w:rsid w:val="0EE38BC1"/>
    <w:rsid w:val="0F277907"/>
    <w:rsid w:val="0F4A3012"/>
    <w:rsid w:val="0F4D25E9"/>
    <w:rsid w:val="0F62FCA6"/>
    <w:rsid w:val="0FB6A418"/>
    <w:rsid w:val="0FBD28ED"/>
    <w:rsid w:val="0FEE6EE8"/>
    <w:rsid w:val="0FF234B7"/>
    <w:rsid w:val="101BEBE0"/>
    <w:rsid w:val="101E84D2"/>
    <w:rsid w:val="108E40C7"/>
    <w:rsid w:val="108E8FD2"/>
    <w:rsid w:val="10E829B5"/>
    <w:rsid w:val="10F872FC"/>
    <w:rsid w:val="10FE0DF2"/>
    <w:rsid w:val="11347BA8"/>
    <w:rsid w:val="11425649"/>
    <w:rsid w:val="115205F6"/>
    <w:rsid w:val="119BCCD5"/>
    <w:rsid w:val="11F32327"/>
    <w:rsid w:val="1208D592"/>
    <w:rsid w:val="1209CE81"/>
    <w:rsid w:val="120E9C91"/>
    <w:rsid w:val="1229386D"/>
    <w:rsid w:val="1230C55B"/>
    <w:rsid w:val="124D3A2C"/>
    <w:rsid w:val="1256A9AD"/>
    <w:rsid w:val="1259C601"/>
    <w:rsid w:val="1262FF3A"/>
    <w:rsid w:val="126E0264"/>
    <w:rsid w:val="12AD5D4A"/>
    <w:rsid w:val="12BAED3B"/>
    <w:rsid w:val="12BEB5C9"/>
    <w:rsid w:val="12EF0438"/>
    <w:rsid w:val="12FA1FCA"/>
    <w:rsid w:val="13727451"/>
    <w:rsid w:val="1380D8AC"/>
    <w:rsid w:val="13A869AF"/>
    <w:rsid w:val="13C92332"/>
    <w:rsid w:val="143C39BE"/>
    <w:rsid w:val="14C1E2BD"/>
    <w:rsid w:val="14C39BE3"/>
    <w:rsid w:val="14DE0919"/>
    <w:rsid w:val="15063553"/>
    <w:rsid w:val="1513FF93"/>
    <w:rsid w:val="1533B6A1"/>
    <w:rsid w:val="1538B195"/>
    <w:rsid w:val="15640E28"/>
    <w:rsid w:val="1589BBA1"/>
    <w:rsid w:val="15F8B2E3"/>
    <w:rsid w:val="163656B4"/>
    <w:rsid w:val="1638CE8A"/>
    <w:rsid w:val="167D4E2D"/>
    <w:rsid w:val="16B86A92"/>
    <w:rsid w:val="16B951EE"/>
    <w:rsid w:val="16BC2D61"/>
    <w:rsid w:val="16D7824E"/>
    <w:rsid w:val="16EB2B69"/>
    <w:rsid w:val="1706A24E"/>
    <w:rsid w:val="17209ECA"/>
    <w:rsid w:val="1727D4C4"/>
    <w:rsid w:val="174E2DFE"/>
    <w:rsid w:val="182DBE32"/>
    <w:rsid w:val="1840942B"/>
    <w:rsid w:val="184684D4"/>
    <w:rsid w:val="18B6B0A6"/>
    <w:rsid w:val="18D7F15B"/>
    <w:rsid w:val="18F5D212"/>
    <w:rsid w:val="194B80F4"/>
    <w:rsid w:val="19A6F60A"/>
    <w:rsid w:val="19AB041C"/>
    <w:rsid w:val="19BBB1AD"/>
    <w:rsid w:val="19C73BB1"/>
    <w:rsid w:val="19CB3E4B"/>
    <w:rsid w:val="19FBCBDF"/>
    <w:rsid w:val="1A0730F6"/>
    <w:rsid w:val="1A9AC807"/>
    <w:rsid w:val="1AB42BC1"/>
    <w:rsid w:val="1B1DF475"/>
    <w:rsid w:val="1B28B7B6"/>
    <w:rsid w:val="1B57FC92"/>
    <w:rsid w:val="1B5BAD31"/>
    <w:rsid w:val="1BB5E79D"/>
    <w:rsid w:val="1BBD79AB"/>
    <w:rsid w:val="1BDDAE55"/>
    <w:rsid w:val="1C407CB8"/>
    <w:rsid w:val="1C529066"/>
    <w:rsid w:val="1C6DD1A1"/>
    <w:rsid w:val="1C7DAC99"/>
    <w:rsid w:val="1C9C4A78"/>
    <w:rsid w:val="1C9F95A5"/>
    <w:rsid w:val="1CE04B62"/>
    <w:rsid w:val="1D1503E0"/>
    <w:rsid w:val="1D19FEAE"/>
    <w:rsid w:val="1D43B1E6"/>
    <w:rsid w:val="1D5B33BE"/>
    <w:rsid w:val="1DB1D61F"/>
    <w:rsid w:val="1DC05105"/>
    <w:rsid w:val="1E918F36"/>
    <w:rsid w:val="1EB8B788"/>
    <w:rsid w:val="1EEEA041"/>
    <w:rsid w:val="1F03AB5B"/>
    <w:rsid w:val="1F2F4286"/>
    <w:rsid w:val="1F39B73A"/>
    <w:rsid w:val="1F3E954F"/>
    <w:rsid w:val="1F5E8D64"/>
    <w:rsid w:val="1FBB156E"/>
    <w:rsid w:val="1FDB1408"/>
    <w:rsid w:val="2085E01A"/>
    <w:rsid w:val="20B46068"/>
    <w:rsid w:val="20D4A6F7"/>
    <w:rsid w:val="211A53BE"/>
    <w:rsid w:val="211B1329"/>
    <w:rsid w:val="212FD6BE"/>
    <w:rsid w:val="2140EFCC"/>
    <w:rsid w:val="2179A4C5"/>
    <w:rsid w:val="2195E754"/>
    <w:rsid w:val="21A594E3"/>
    <w:rsid w:val="21B2C1BE"/>
    <w:rsid w:val="21C12C6A"/>
    <w:rsid w:val="21CD7D47"/>
    <w:rsid w:val="22070741"/>
    <w:rsid w:val="22083557"/>
    <w:rsid w:val="222CD044"/>
    <w:rsid w:val="228B373A"/>
    <w:rsid w:val="229B0BF3"/>
    <w:rsid w:val="229B4868"/>
    <w:rsid w:val="22D18AF1"/>
    <w:rsid w:val="22FBAC92"/>
    <w:rsid w:val="23217683"/>
    <w:rsid w:val="23890EE9"/>
    <w:rsid w:val="23C3FCB8"/>
    <w:rsid w:val="23F0A9B8"/>
    <w:rsid w:val="23FF6D80"/>
    <w:rsid w:val="240DD61B"/>
    <w:rsid w:val="24112A10"/>
    <w:rsid w:val="248FACD1"/>
    <w:rsid w:val="24C251D6"/>
    <w:rsid w:val="24CCDECC"/>
    <w:rsid w:val="254D400A"/>
    <w:rsid w:val="25501676"/>
    <w:rsid w:val="25583870"/>
    <w:rsid w:val="25725207"/>
    <w:rsid w:val="257754AA"/>
    <w:rsid w:val="25BDE6D7"/>
    <w:rsid w:val="25D76128"/>
    <w:rsid w:val="2605486F"/>
    <w:rsid w:val="26107266"/>
    <w:rsid w:val="2616440F"/>
    <w:rsid w:val="265C4E0F"/>
    <w:rsid w:val="2662DF96"/>
    <w:rsid w:val="26A8D631"/>
    <w:rsid w:val="26D08F48"/>
    <w:rsid w:val="27041C86"/>
    <w:rsid w:val="27404375"/>
    <w:rsid w:val="27487D38"/>
    <w:rsid w:val="274A87F9"/>
    <w:rsid w:val="2750161B"/>
    <w:rsid w:val="27906333"/>
    <w:rsid w:val="27986A66"/>
    <w:rsid w:val="27B5B215"/>
    <w:rsid w:val="27BB9375"/>
    <w:rsid w:val="27C0C9A1"/>
    <w:rsid w:val="2827AE2E"/>
    <w:rsid w:val="282D9220"/>
    <w:rsid w:val="2898E444"/>
    <w:rsid w:val="289C6187"/>
    <w:rsid w:val="28B51523"/>
    <w:rsid w:val="28C7C183"/>
    <w:rsid w:val="28DD969A"/>
    <w:rsid w:val="28EE6735"/>
    <w:rsid w:val="290D7F81"/>
    <w:rsid w:val="2925F47F"/>
    <w:rsid w:val="2929571C"/>
    <w:rsid w:val="295B30A4"/>
    <w:rsid w:val="29612876"/>
    <w:rsid w:val="29BB1EC3"/>
    <w:rsid w:val="29C0F0C8"/>
    <w:rsid w:val="29C90744"/>
    <w:rsid w:val="29D947F2"/>
    <w:rsid w:val="2A4B839B"/>
    <w:rsid w:val="2A52F37B"/>
    <w:rsid w:val="2AB09864"/>
    <w:rsid w:val="2ABB207D"/>
    <w:rsid w:val="2ADD2271"/>
    <w:rsid w:val="2AFC80EC"/>
    <w:rsid w:val="2B0701C7"/>
    <w:rsid w:val="2B2021A8"/>
    <w:rsid w:val="2B3C4674"/>
    <w:rsid w:val="2B6010D8"/>
    <w:rsid w:val="2B6DA2DE"/>
    <w:rsid w:val="2BE21A0F"/>
    <w:rsid w:val="2BE21C15"/>
    <w:rsid w:val="2C429E96"/>
    <w:rsid w:val="2C4815B3"/>
    <w:rsid w:val="2C5994F8"/>
    <w:rsid w:val="2C6B0C55"/>
    <w:rsid w:val="2C7596F4"/>
    <w:rsid w:val="2CE4C670"/>
    <w:rsid w:val="2CE63A32"/>
    <w:rsid w:val="2CF3D940"/>
    <w:rsid w:val="2D0ECEB0"/>
    <w:rsid w:val="2D193D1C"/>
    <w:rsid w:val="2D42A545"/>
    <w:rsid w:val="2D85D861"/>
    <w:rsid w:val="2DAAD4DE"/>
    <w:rsid w:val="2DDDE2D3"/>
    <w:rsid w:val="2DEDBE68"/>
    <w:rsid w:val="2E15455A"/>
    <w:rsid w:val="2E5AA7CE"/>
    <w:rsid w:val="2E7AF6CC"/>
    <w:rsid w:val="2EA78842"/>
    <w:rsid w:val="2ED7AEAF"/>
    <w:rsid w:val="2EF1C029"/>
    <w:rsid w:val="2F092FC5"/>
    <w:rsid w:val="2F0FE4C7"/>
    <w:rsid w:val="2F17A77A"/>
    <w:rsid w:val="2F59A246"/>
    <w:rsid w:val="30149C13"/>
    <w:rsid w:val="30156AB3"/>
    <w:rsid w:val="301B9DE5"/>
    <w:rsid w:val="30243988"/>
    <w:rsid w:val="30367627"/>
    <w:rsid w:val="30BD16DB"/>
    <w:rsid w:val="30DEA82E"/>
    <w:rsid w:val="30EA7FAF"/>
    <w:rsid w:val="30FF198D"/>
    <w:rsid w:val="3101DC91"/>
    <w:rsid w:val="313E39DF"/>
    <w:rsid w:val="315E7065"/>
    <w:rsid w:val="316F52B6"/>
    <w:rsid w:val="3179E9E3"/>
    <w:rsid w:val="3195A22E"/>
    <w:rsid w:val="31C0E69E"/>
    <w:rsid w:val="31D50667"/>
    <w:rsid w:val="31EE9F84"/>
    <w:rsid w:val="3260C0B3"/>
    <w:rsid w:val="32AE64F6"/>
    <w:rsid w:val="32BB27F1"/>
    <w:rsid w:val="32D1987F"/>
    <w:rsid w:val="3315D307"/>
    <w:rsid w:val="33199571"/>
    <w:rsid w:val="333A9858"/>
    <w:rsid w:val="334CBACE"/>
    <w:rsid w:val="335C3DF2"/>
    <w:rsid w:val="33C7322A"/>
    <w:rsid w:val="33DC8E19"/>
    <w:rsid w:val="33DCF449"/>
    <w:rsid w:val="33E9A25B"/>
    <w:rsid w:val="34234050"/>
    <w:rsid w:val="344B2810"/>
    <w:rsid w:val="349342E3"/>
    <w:rsid w:val="349FE911"/>
    <w:rsid w:val="34C71DB6"/>
    <w:rsid w:val="34D199B2"/>
    <w:rsid w:val="34E473D8"/>
    <w:rsid w:val="34F710E5"/>
    <w:rsid w:val="3500F8FD"/>
    <w:rsid w:val="351A45B7"/>
    <w:rsid w:val="35216361"/>
    <w:rsid w:val="355C1B30"/>
    <w:rsid w:val="357F1132"/>
    <w:rsid w:val="35922B69"/>
    <w:rsid w:val="359972F4"/>
    <w:rsid w:val="35C38CEE"/>
    <w:rsid w:val="35CFB114"/>
    <w:rsid w:val="36181F59"/>
    <w:rsid w:val="363AB900"/>
    <w:rsid w:val="363DFF54"/>
    <w:rsid w:val="3699A371"/>
    <w:rsid w:val="36AAAC51"/>
    <w:rsid w:val="36C413E4"/>
    <w:rsid w:val="36D32ED4"/>
    <w:rsid w:val="36EB75D0"/>
    <w:rsid w:val="36F777D4"/>
    <w:rsid w:val="3710ADBC"/>
    <w:rsid w:val="3728BEE7"/>
    <w:rsid w:val="37562DB9"/>
    <w:rsid w:val="375CB2B4"/>
    <w:rsid w:val="378904A0"/>
    <w:rsid w:val="37EB3C07"/>
    <w:rsid w:val="38003C6D"/>
    <w:rsid w:val="3801C989"/>
    <w:rsid w:val="381E9CDA"/>
    <w:rsid w:val="3827E63F"/>
    <w:rsid w:val="3831C51B"/>
    <w:rsid w:val="387EC6E2"/>
    <w:rsid w:val="38A4BFBF"/>
    <w:rsid w:val="38CEE363"/>
    <w:rsid w:val="38F5FD8A"/>
    <w:rsid w:val="391BC1F6"/>
    <w:rsid w:val="393D03FD"/>
    <w:rsid w:val="3967BFD5"/>
    <w:rsid w:val="3991AD88"/>
    <w:rsid w:val="39A75CBF"/>
    <w:rsid w:val="39F5B931"/>
    <w:rsid w:val="3A15AEB7"/>
    <w:rsid w:val="3A39B0D6"/>
    <w:rsid w:val="3A48B600"/>
    <w:rsid w:val="3A72984B"/>
    <w:rsid w:val="3A7982B8"/>
    <w:rsid w:val="3A98369D"/>
    <w:rsid w:val="3A9EEB5E"/>
    <w:rsid w:val="3AAF1E07"/>
    <w:rsid w:val="3ABAE692"/>
    <w:rsid w:val="3AC0152C"/>
    <w:rsid w:val="3AD8040B"/>
    <w:rsid w:val="3AEEA86A"/>
    <w:rsid w:val="3B28284A"/>
    <w:rsid w:val="3B4C3552"/>
    <w:rsid w:val="3B8DA594"/>
    <w:rsid w:val="3B94B523"/>
    <w:rsid w:val="3BA9DCA1"/>
    <w:rsid w:val="3BBED081"/>
    <w:rsid w:val="3BDF51C9"/>
    <w:rsid w:val="3BE00B45"/>
    <w:rsid w:val="3C2CCAC2"/>
    <w:rsid w:val="3C3E8BC5"/>
    <w:rsid w:val="3C42D058"/>
    <w:rsid w:val="3CBD40BF"/>
    <w:rsid w:val="3CD07D42"/>
    <w:rsid w:val="3CE0115C"/>
    <w:rsid w:val="3CE2D151"/>
    <w:rsid w:val="3D136B55"/>
    <w:rsid w:val="3D2069E5"/>
    <w:rsid w:val="3D302FF9"/>
    <w:rsid w:val="3D8F9AF0"/>
    <w:rsid w:val="3DB72D87"/>
    <w:rsid w:val="3E2BC082"/>
    <w:rsid w:val="3E429626"/>
    <w:rsid w:val="3E4FC1E6"/>
    <w:rsid w:val="3E56338B"/>
    <w:rsid w:val="3E5745B3"/>
    <w:rsid w:val="3E9F3E63"/>
    <w:rsid w:val="3EC9E813"/>
    <w:rsid w:val="3ED62DFE"/>
    <w:rsid w:val="3EE51B34"/>
    <w:rsid w:val="3F2400CD"/>
    <w:rsid w:val="3F2407F3"/>
    <w:rsid w:val="3F26E131"/>
    <w:rsid w:val="3F2F46A1"/>
    <w:rsid w:val="3F3CB1DB"/>
    <w:rsid w:val="3F75E89D"/>
    <w:rsid w:val="3FD98BD7"/>
    <w:rsid w:val="40153AAE"/>
    <w:rsid w:val="4099CDC6"/>
    <w:rsid w:val="40CCB2BC"/>
    <w:rsid w:val="40F9D9A2"/>
    <w:rsid w:val="4107E556"/>
    <w:rsid w:val="41231102"/>
    <w:rsid w:val="41413C1B"/>
    <w:rsid w:val="41C5F585"/>
    <w:rsid w:val="41D1235C"/>
    <w:rsid w:val="41D13EA0"/>
    <w:rsid w:val="41F1DCC6"/>
    <w:rsid w:val="42119E14"/>
    <w:rsid w:val="421E6227"/>
    <w:rsid w:val="4247CBAC"/>
    <w:rsid w:val="428ABE58"/>
    <w:rsid w:val="42A902D4"/>
    <w:rsid w:val="4301E3A5"/>
    <w:rsid w:val="4316F9B7"/>
    <w:rsid w:val="4348C82F"/>
    <w:rsid w:val="43785F3C"/>
    <w:rsid w:val="4383F125"/>
    <w:rsid w:val="43C2C87C"/>
    <w:rsid w:val="440F868E"/>
    <w:rsid w:val="44141163"/>
    <w:rsid w:val="442A8078"/>
    <w:rsid w:val="44C5E9CB"/>
    <w:rsid w:val="44C9320B"/>
    <w:rsid w:val="44D4D6FD"/>
    <w:rsid w:val="44DFB4AA"/>
    <w:rsid w:val="4510C7D8"/>
    <w:rsid w:val="45310E73"/>
    <w:rsid w:val="45672595"/>
    <w:rsid w:val="456F0530"/>
    <w:rsid w:val="4591DEDE"/>
    <w:rsid w:val="45AFA91B"/>
    <w:rsid w:val="45B45E69"/>
    <w:rsid w:val="45D7FD85"/>
    <w:rsid w:val="45DF52A1"/>
    <w:rsid w:val="46907502"/>
    <w:rsid w:val="46A59EB3"/>
    <w:rsid w:val="46C14E43"/>
    <w:rsid w:val="46DD8EE0"/>
    <w:rsid w:val="46E1A652"/>
    <w:rsid w:val="471A32C7"/>
    <w:rsid w:val="47386964"/>
    <w:rsid w:val="47387929"/>
    <w:rsid w:val="4754398C"/>
    <w:rsid w:val="47A9CFAA"/>
    <w:rsid w:val="47B3649F"/>
    <w:rsid w:val="47FC02B5"/>
    <w:rsid w:val="4857A9B6"/>
    <w:rsid w:val="4868AC33"/>
    <w:rsid w:val="489634BE"/>
    <w:rsid w:val="48FD5B2E"/>
    <w:rsid w:val="48FE389E"/>
    <w:rsid w:val="4908054D"/>
    <w:rsid w:val="49204F89"/>
    <w:rsid w:val="4942660F"/>
    <w:rsid w:val="494B7EB9"/>
    <w:rsid w:val="495DE17C"/>
    <w:rsid w:val="4976DD72"/>
    <w:rsid w:val="4985EFF4"/>
    <w:rsid w:val="49ABD349"/>
    <w:rsid w:val="49CFF272"/>
    <w:rsid w:val="49DA63B0"/>
    <w:rsid w:val="49EFAB8B"/>
    <w:rsid w:val="49FA9684"/>
    <w:rsid w:val="4A898EA3"/>
    <w:rsid w:val="4A9B43F7"/>
    <w:rsid w:val="4AC642FE"/>
    <w:rsid w:val="4AD46F79"/>
    <w:rsid w:val="4AED4C33"/>
    <w:rsid w:val="4AF4AFCD"/>
    <w:rsid w:val="4B00D697"/>
    <w:rsid w:val="4B1402FA"/>
    <w:rsid w:val="4B2F3EA2"/>
    <w:rsid w:val="4B431710"/>
    <w:rsid w:val="4B6FA4A4"/>
    <w:rsid w:val="4BACA880"/>
    <w:rsid w:val="4BBEC819"/>
    <w:rsid w:val="4BD69110"/>
    <w:rsid w:val="4C720D46"/>
    <w:rsid w:val="4C790A0B"/>
    <w:rsid w:val="4C7BB8F2"/>
    <w:rsid w:val="4C9308C7"/>
    <w:rsid w:val="4C98EA03"/>
    <w:rsid w:val="4D2C91C6"/>
    <w:rsid w:val="4D53C11C"/>
    <w:rsid w:val="4D60CF39"/>
    <w:rsid w:val="4D696B84"/>
    <w:rsid w:val="4D75406A"/>
    <w:rsid w:val="4DA91FE6"/>
    <w:rsid w:val="4DB0DCC3"/>
    <w:rsid w:val="4DDA1890"/>
    <w:rsid w:val="4DF1EBA6"/>
    <w:rsid w:val="4E483DAD"/>
    <w:rsid w:val="4E4D5F33"/>
    <w:rsid w:val="4E4EE504"/>
    <w:rsid w:val="4E6574B1"/>
    <w:rsid w:val="4E7C051A"/>
    <w:rsid w:val="4ECF180C"/>
    <w:rsid w:val="4EE3F25A"/>
    <w:rsid w:val="4EF5A519"/>
    <w:rsid w:val="4F04DA26"/>
    <w:rsid w:val="4F528679"/>
    <w:rsid w:val="4F66F976"/>
    <w:rsid w:val="4F676D27"/>
    <w:rsid w:val="4FA6560D"/>
    <w:rsid w:val="5036B0C3"/>
    <w:rsid w:val="50B0E335"/>
    <w:rsid w:val="510238BA"/>
    <w:rsid w:val="510C5D1E"/>
    <w:rsid w:val="5138D8FB"/>
    <w:rsid w:val="514A7E25"/>
    <w:rsid w:val="518DEA49"/>
    <w:rsid w:val="51A3307D"/>
    <w:rsid w:val="51A3D9F7"/>
    <w:rsid w:val="51A7200C"/>
    <w:rsid w:val="51D0DA04"/>
    <w:rsid w:val="52549D94"/>
    <w:rsid w:val="52DA7B60"/>
    <w:rsid w:val="52FAEF67"/>
    <w:rsid w:val="54370700"/>
    <w:rsid w:val="544645D4"/>
    <w:rsid w:val="5447C4EE"/>
    <w:rsid w:val="544F5CB6"/>
    <w:rsid w:val="5462634A"/>
    <w:rsid w:val="54D1D4B9"/>
    <w:rsid w:val="552E3E2D"/>
    <w:rsid w:val="55571C4B"/>
    <w:rsid w:val="55864EF9"/>
    <w:rsid w:val="55B85F75"/>
    <w:rsid w:val="5613F24F"/>
    <w:rsid w:val="561B5B30"/>
    <w:rsid w:val="5642C34A"/>
    <w:rsid w:val="5672D3A1"/>
    <w:rsid w:val="5674B7B8"/>
    <w:rsid w:val="56771128"/>
    <w:rsid w:val="568F7094"/>
    <w:rsid w:val="56B39A6D"/>
    <w:rsid w:val="56CB6309"/>
    <w:rsid w:val="5731C770"/>
    <w:rsid w:val="5755B07F"/>
    <w:rsid w:val="57836B47"/>
    <w:rsid w:val="57C3BC25"/>
    <w:rsid w:val="5812E692"/>
    <w:rsid w:val="58285F19"/>
    <w:rsid w:val="583C284B"/>
    <w:rsid w:val="5903DB31"/>
    <w:rsid w:val="594EB456"/>
    <w:rsid w:val="59631749"/>
    <w:rsid w:val="596C75FC"/>
    <w:rsid w:val="5A0F4BD7"/>
    <w:rsid w:val="5A179654"/>
    <w:rsid w:val="5A82F7B3"/>
    <w:rsid w:val="5A9254A2"/>
    <w:rsid w:val="5AA348A6"/>
    <w:rsid w:val="5AE17AEE"/>
    <w:rsid w:val="5AF9DD53"/>
    <w:rsid w:val="5B297803"/>
    <w:rsid w:val="5B4DA9D4"/>
    <w:rsid w:val="5B610987"/>
    <w:rsid w:val="5B73E12E"/>
    <w:rsid w:val="5B7F1E7A"/>
    <w:rsid w:val="5B88BF10"/>
    <w:rsid w:val="5BA4A512"/>
    <w:rsid w:val="5BDF8048"/>
    <w:rsid w:val="5BF486FA"/>
    <w:rsid w:val="5C375D65"/>
    <w:rsid w:val="5C47D8B2"/>
    <w:rsid w:val="5C4F5508"/>
    <w:rsid w:val="5C5D8B56"/>
    <w:rsid w:val="5C787021"/>
    <w:rsid w:val="5C79782F"/>
    <w:rsid w:val="5C8C30C1"/>
    <w:rsid w:val="5C8F7108"/>
    <w:rsid w:val="5CC7DDFE"/>
    <w:rsid w:val="5CC8C800"/>
    <w:rsid w:val="5D053BED"/>
    <w:rsid w:val="5D27F6E6"/>
    <w:rsid w:val="5D52B42E"/>
    <w:rsid w:val="5D7A05BE"/>
    <w:rsid w:val="5D9A707C"/>
    <w:rsid w:val="5DBD37C4"/>
    <w:rsid w:val="5DDCF2BA"/>
    <w:rsid w:val="5DFD6EEF"/>
    <w:rsid w:val="5E10A73E"/>
    <w:rsid w:val="5E211B5E"/>
    <w:rsid w:val="5E3C918D"/>
    <w:rsid w:val="5E3F35F3"/>
    <w:rsid w:val="5E542BA8"/>
    <w:rsid w:val="5E9BE8E5"/>
    <w:rsid w:val="5EFD1D58"/>
    <w:rsid w:val="5F37C1EA"/>
    <w:rsid w:val="5F731B7B"/>
    <w:rsid w:val="5FB430B6"/>
    <w:rsid w:val="5FBE9FF4"/>
    <w:rsid w:val="5FD21B6E"/>
    <w:rsid w:val="5FE5738D"/>
    <w:rsid w:val="602C28E6"/>
    <w:rsid w:val="607748EB"/>
    <w:rsid w:val="60862801"/>
    <w:rsid w:val="60B2D859"/>
    <w:rsid w:val="60B5D329"/>
    <w:rsid w:val="60FD639F"/>
    <w:rsid w:val="61179965"/>
    <w:rsid w:val="61298C86"/>
    <w:rsid w:val="6196B562"/>
    <w:rsid w:val="62046572"/>
    <w:rsid w:val="6214EEDC"/>
    <w:rsid w:val="62337A43"/>
    <w:rsid w:val="6249D6AC"/>
    <w:rsid w:val="62552FE8"/>
    <w:rsid w:val="627FC188"/>
    <w:rsid w:val="628EC131"/>
    <w:rsid w:val="62B64151"/>
    <w:rsid w:val="62B6A7AC"/>
    <w:rsid w:val="62CD9E76"/>
    <w:rsid w:val="6339BA9B"/>
    <w:rsid w:val="63774857"/>
    <w:rsid w:val="63982F6C"/>
    <w:rsid w:val="63A16A8C"/>
    <w:rsid w:val="63AC9EBA"/>
    <w:rsid w:val="63B0B71A"/>
    <w:rsid w:val="63DA0616"/>
    <w:rsid w:val="6408E54D"/>
    <w:rsid w:val="64774513"/>
    <w:rsid w:val="64A834F1"/>
    <w:rsid w:val="64F12AA0"/>
    <w:rsid w:val="652451DF"/>
    <w:rsid w:val="652DA457"/>
    <w:rsid w:val="6537E86A"/>
    <w:rsid w:val="6580AFA6"/>
    <w:rsid w:val="65993953"/>
    <w:rsid w:val="65D18D5F"/>
    <w:rsid w:val="65DC2AF3"/>
    <w:rsid w:val="65E3A696"/>
    <w:rsid w:val="65EBFCFC"/>
    <w:rsid w:val="661324C5"/>
    <w:rsid w:val="663E607A"/>
    <w:rsid w:val="66681F67"/>
    <w:rsid w:val="667A3C57"/>
    <w:rsid w:val="66A7FDDF"/>
    <w:rsid w:val="66CC4910"/>
    <w:rsid w:val="66D052FD"/>
    <w:rsid w:val="66D80633"/>
    <w:rsid w:val="66FD2D52"/>
    <w:rsid w:val="66FDB2CB"/>
    <w:rsid w:val="670C6D84"/>
    <w:rsid w:val="6738F466"/>
    <w:rsid w:val="674558F5"/>
    <w:rsid w:val="67814AA3"/>
    <w:rsid w:val="67B74B1E"/>
    <w:rsid w:val="67B882A6"/>
    <w:rsid w:val="67FBADF5"/>
    <w:rsid w:val="6806759D"/>
    <w:rsid w:val="683FAF8E"/>
    <w:rsid w:val="6849FEE9"/>
    <w:rsid w:val="68FAB762"/>
    <w:rsid w:val="691F4174"/>
    <w:rsid w:val="693C81AB"/>
    <w:rsid w:val="695FA257"/>
    <w:rsid w:val="69625B5D"/>
    <w:rsid w:val="69E23289"/>
    <w:rsid w:val="6A391184"/>
    <w:rsid w:val="6A605241"/>
    <w:rsid w:val="6A71458E"/>
    <w:rsid w:val="6A9221CD"/>
    <w:rsid w:val="6B05AE5D"/>
    <w:rsid w:val="6B187350"/>
    <w:rsid w:val="6B42A7E0"/>
    <w:rsid w:val="6B477016"/>
    <w:rsid w:val="6B8ABF34"/>
    <w:rsid w:val="6B9CE853"/>
    <w:rsid w:val="6BC54B16"/>
    <w:rsid w:val="6BD18FE3"/>
    <w:rsid w:val="6BF8BA97"/>
    <w:rsid w:val="6C0D7648"/>
    <w:rsid w:val="6CBCCE52"/>
    <w:rsid w:val="6CFFD0AE"/>
    <w:rsid w:val="6D2F6DFC"/>
    <w:rsid w:val="6D3092C7"/>
    <w:rsid w:val="6D30FB10"/>
    <w:rsid w:val="6D477DCD"/>
    <w:rsid w:val="6D9A5679"/>
    <w:rsid w:val="6DA9B376"/>
    <w:rsid w:val="6DB53380"/>
    <w:rsid w:val="6DF52926"/>
    <w:rsid w:val="6E0211D8"/>
    <w:rsid w:val="6E349602"/>
    <w:rsid w:val="6E38D820"/>
    <w:rsid w:val="6E48C333"/>
    <w:rsid w:val="6E4FBF73"/>
    <w:rsid w:val="6E52F856"/>
    <w:rsid w:val="6E77AB87"/>
    <w:rsid w:val="6E7BDA9A"/>
    <w:rsid w:val="6ED33401"/>
    <w:rsid w:val="6EDF6FC1"/>
    <w:rsid w:val="6EEDAC6A"/>
    <w:rsid w:val="6F2134B7"/>
    <w:rsid w:val="6F51FCFF"/>
    <w:rsid w:val="6FA307B1"/>
    <w:rsid w:val="6FAAF967"/>
    <w:rsid w:val="7065C8F0"/>
    <w:rsid w:val="70898252"/>
    <w:rsid w:val="70A4FC2F"/>
    <w:rsid w:val="70F42B69"/>
    <w:rsid w:val="70F654B3"/>
    <w:rsid w:val="710D6A0C"/>
    <w:rsid w:val="71222068"/>
    <w:rsid w:val="712AF417"/>
    <w:rsid w:val="71307B32"/>
    <w:rsid w:val="713C2AB8"/>
    <w:rsid w:val="7140774D"/>
    <w:rsid w:val="7150CE72"/>
    <w:rsid w:val="71749326"/>
    <w:rsid w:val="718573FE"/>
    <w:rsid w:val="71C00BD3"/>
    <w:rsid w:val="71DAA451"/>
    <w:rsid w:val="71EE75B4"/>
    <w:rsid w:val="71FB7FAB"/>
    <w:rsid w:val="7208FC88"/>
    <w:rsid w:val="7253EA99"/>
    <w:rsid w:val="729BBFF8"/>
    <w:rsid w:val="72BFBA54"/>
    <w:rsid w:val="72C390F7"/>
    <w:rsid w:val="72EC48EA"/>
    <w:rsid w:val="7338E9F4"/>
    <w:rsid w:val="73885C36"/>
    <w:rsid w:val="738B25D3"/>
    <w:rsid w:val="739942A3"/>
    <w:rsid w:val="73D97E0F"/>
    <w:rsid w:val="73E1E6DA"/>
    <w:rsid w:val="74269EA1"/>
    <w:rsid w:val="74522089"/>
    <w:rsid w:val="7465335F"/>
    <w:rsid w:val="746556D8"/>
    <w:rsid w:val="746BBCCD"/>
    <w:rsid w:val="74881511"/>
    <w:rsid w:val="74AF86C9"/>
    <w:rsid w:val="74B623FB"/>
    <w:rsid w:val="74C0888A"/>
    <w:rsid w:val="751E6E22"/>
    <w:rsid w:val="75289989"/>
    <w:rsid w:val="753B8399"/>
    <w:rsid w:val="754A15F0"/>
    <w:rsid w:val="75593900"/>
    <w:rsid w:val="7571073D"/>
    <w:rsid w:val="7586DE64"/>
    <w:rsid w:val="758FE5E2"/>
    <w:rsid w:val="75A5CB48"/>
    <w:rsid w:val="75FB52C8"/>
    <w:rsid w:val="7601B47C"/>
    <w:rsid w:val="7656031E"/>
    <w:rsid w:val="766F307E"/>
    <w:rsid w:val="7670C0A0"/>
    <w:rsid w:val="76851781"/>
    <w:rsid w:val="768DA02B"/>
    <w:rsid w:val="76B4DA73"/>
    <w:rsid w:val="76DFE7FA"/>
    <w:rsid w:val="76E9A74C"/>
    <w:rsid w:val="76EABDB8"/>
    <w:rsid w:val="774362EF"/>
    <w:rsid w:val="7761EB1C"/>
    <w:rsid w:val="7780D0A5"/>
    <w:rsid w:val="778CDEB1"/>
    <w:rsid w:val="77ABC9DB"/>
    <w:rsid w:val="77BDF62C"/>
    <w:rsid w:val="77D72C33"/>
    <w:rsid w:val="783AC7FE"/>
    <w:rsid w:val="784AAE13"/>
    <w:rsid w:val="7870CB1C"/>
    <w:rsid w:val="78846A8F"/>
    <w:rsid w:val="788C2386"/>
    <w:rsid w:val="788F58B8"/>
    <w:rsid w:val="7902F3E2"/>
    <w:rsid w:val="790F52AE"/>
    <w:rsid w:val="7930F19C"/>
    <w:rsid w:val="7931F315"/>
    <w:rsid w:val="795C4619"/>
    <w:rsid w:val="7990A011"/>
    <w:rsid w:val="799E524E"/>
    <w:rsid w:val="79A292E1"/>
    <w:rsid w:val="79F4E246"/>
    <w:rsid w:val="7A09DB2E"/>
    <w:rsid w:val="7A5DA89A"/>
    <w:rsid w:val="7A77A630"/>
    <w:rsid w:val="7AB1CAC2"/>
    <w:rsid w:val="7ADC7572"/>
    <w:rsid w:val="7AE5BC55"/>
    <w:rsid w:val="7B116763"/>
    <w:rsid w:val="7B4402C0"/>
    <w:rsid w:val="7B96124E"/>
    <w:rsid w:val="7B971912"/>
    <w:rsid w:val="7BA45DCC"/>
    <w:rsid w:val="7BC8E6F3"/>
    <w:rsid w:val="7C223666"/>
    <w:rsid w:val="7C486548"/>
    <w:rsid w:val="7C4D8ADF"/>
    <w:rsid w:val="7C5175A3"/>
    <w:rsid w:val="7C7DAD2F"/>
    <w:rsid w:val="7CC18475"/>
    <w:rsid w:val="7CD88FE4"/>
    <w:rsid w:val="7CDE7704"/>
    <w:rsid w:val="7D007A70"/>
    <w:rsid w:val="7D2BDB06"/>
    <w:rsid w:val="7D3E5163"/>
    <w:rsid w:val="7D418542"/>
    <w:rsid w:val="7D6EA7BF"/>
    <w:rsid w:val="7DA4A6EE"/>
    <w:rsid w:val="7DDB200C"/>
    <w:rsid w:val="7E14EC6A"/>
    <w:rsid w:val="7E21CA5A"/>
    <w:rsid w:val="7E2C8957"/>
    <w:rsid w:val="7E4C5081"/>
    <w:rsid w:val="7E563623"/>
    <w:rsid w:val="7E8327AC"/>
    <w:rsid w:val="7EABF9C4"/>
    <w:rsid w:val="7EB04B5F"/>
    <w:rsid w:val="7EBCCF46"/>
    <w:rsid w:val="7EEA2450"/>
    <w:rsid w:val="7F549E03"/>
    <w:rsid w:val="7F7EADE6"/>
    <w:rsid w:val="7FCE08AD"/>
    <w:rsid w:val="7FF286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FBCB"/>
  <w15:chartTrackingRefBased/>
  <w15:docId w15:val="{DC5EA769-C330-45B1-8048-9D1173FFB2A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5B07FE"/>
    <w:pPr>
      <w:numPr>
        <w:ilvl w:val="1"/>
        <w:numId w:val="1"/>
      </w:numPr>
      <w:tabs>
        <w:tab w:val="clear" w:pos="1080"/>
      </w:tabs>
      <w:ind w:right="2160"/>
      <w:outlineLvl w:val="1"/>
    </w:pPr>
  </w:style>
  <w:style w:type="paragraph" w:styleId="Heading3">
    <w:name w:val="heading 3"/>
    <w:basedOn w:val="Dummy"/>
    <w:next w:val="Standard"/>
    <w:link w:val="Heading3Char"/>
    <w:uiPriority w:val="4"/>
    <w:qFormat/>
    <w:rsid w:val="00C35CED"/>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C35CED"/>
    <w:pPr>
      <w:numPr>
        <w:ilvl w:val="3"/>
        <w:numId w:val="1"/>
      </w:numPr>
      <w:ind w:right="72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7"/>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7"/>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A42F49"/>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5B07FE"/>
    <w:rPr>
      <w:rFonts w:ascii="Arial" w:hAnsi="Arial" w:cs="Arial"/>
      <w:b/>
      <w:sz w:val="26"/>
      <w:szCs w:val="26"/>
    </w:rPr>
  </w:style>
  <w:style w:type="character" w:customStyle="1" w:styleId="Heading3Char">
    <w:name w:val="Heading 3 Char"/>
    <w:basedOn w:val="DefaultParagraphFont"/>
    <w:link w:val="Heading3"/>
    <w:uiPriority w:val="4"/>
    <w:rsid w:val="00C35CED"/>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C35CED"/>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F21E1B"/>
    <w:pPr>
      <w:keepNext/>
      <w:spacing w:before="180" w:line="360" w:lineRule="auto"/>
      <w:outlineLvl w:val="0"/>
    </w:pPr>
    <w:rPr>
      <w:spacing w:val="120"/>
    </w:rPr>
  </w:style>
  <w:style w:type="paragraph" w:styleId="TOC2">
    <w:name w:val="toc 2"/>
    <w:basedOn w:val="Normal"/>
    <w:next w:val="Normal"/>
    <w:uiPriority w:val="39"/>
    <w:unhideWhenUsed/>
    <w:rsid w:val="00A76750"/>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A76750"/>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A76750"/>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2 Char Char Char,Footnote Text Char Char Char Char Char,Footnote Text Char2 Char Char Char Char1 Char,Footnote Text Char2,fn,f,ALTS FOOTNOTE,fn 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 Char Char,Footnote Text Char2 Char Char,Footnote Text Char2 Char Char Char Char,Footnote Text Char Char Char Char Char Char,Footnote Text Char2 Char Char Char Char1 Char Char,Footnote Text Char2 Char1,fn Char,f Char"/>
    <w:basedOn w:val="DefaultParagraphFont"/>
    <w:link w:val="FootnoteText"/>
    <w:uiPriority w:val="99"/>
    <w:rsid w:val="007657C1"/>
    <w:rPr>
      <w:rFonts w:ascii="Book Antiqua" w:hAnsi="Book Antiqua"/>
      <w:szCs w:val="20"/>
    </w:rPr>
  </w:style>
  <w:style w:type="character" w:styleId="FootnoteReference">
    <w:name w:val="footnote reference"/>
    <w:aliases w:val="o,fr,Style 3,o1,o2,o3,o4,o5,o6,o11,o21,o7,o + Times New Roman,Style 12,(NECG) Footnote Reference,Appel note de bas de p,Style 124,Style 58,Style 17,Style 20,Style 13,fr1,fr2,fr3,FR,Footnote Reference/,Style 6,Footnote Reference1,char"/>
    <w:basedOn w:val="DefaultParagraphFont"/>
    <w:uiPriority w:val="99"/>
    <w:unhideWhenUsed/>
    <w:qFormat/>
    <w:rsid w:val="00D23234"/>
    <w:rPr>
      <w:vertAlign w:val="superscript"/>
    </w:rPr>
  </w:style>
  <w:style w:type="paragraph" w:customStyle="1" w:styleId="FoF">
    <w:name w:val="FoF"/>
    <w:basedOn w:val="Standard"/>
    <w:uiPriority w:val="6"/>
    <w:qFormat/>
    <w:rsid w:val="00D23234"/>
    <w:pPr>
      <w:numPr>
        <w:numId w:val="3"/>
      </w:numPr>
    </w:pPr>
  </w:style>
  <w:style w:type="paragraph" w:customStyle="1" w:styleId="CoL">
    <w:name w:val="CoL"/>
    <w:basedOn w:val="Standard"/>
    <w:uiPriority w:val="7"/>
    <w:qFormat/>
    <w:rsid w:val="00D23234"/>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D23234"/>
    <w:pPr>
      <w:numPr>
        <w:numId w:val="19"/>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7"/>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A76750"/>
    <w:pPr>
      <w:tabs>
        <w:tab w:val="left" w:pos="1728"/>
        <w:tab w:val="right" w:leader="dot" w:pos="9350"/>
      </w:tabs>
      <w:spacing w:line="240" w:lineRule="auto"/>
      <w:ind w:left="2995" w:right="720" w:hanging="1008"/>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7"/>
      </w:numPr>
      <w:spacing w:after="120" w:line="240" w:lineRule="auto"/>
    </w:pPr>
  </w:style>
  <w:style w:type="character" w:styleId="UnresolvedMention">
    <w:name w:val="Unresolved Mention"/>
    <w:basedOn w:val="DefaultParagraphFont"/>
    <w:uiPriority w:val="99"/>
    <w:semiHidden/>
    <w:unhideWhenUsed/>
    <w:rsid w:val="003146CD"/>
    <w:rPr>
      <w:color w:val="605E5C"/>
      <w:shd w:val="clear" w:color="auto" w:fill="E1DFDD"/>
    </w:rPr>
  </w:style>
  <w:style w:type="paragraph" w:styleId="ListParagraph">
    <w:name w:val="List Paragraph"/>
    <w:basedOn w:val="Normal"/>
    <w:uiPriority w:val="34"/>
    <w:qFormat/>
    <w:rsid w:val="008D5156"/>
    <w:pPr>
      <w:ind w:left="720"/>
      <w:contextualSpacing/>
    </w:pPr>
  </w:style>
  <w:style w:type="paragraph" w:styleId="NormalWeb">
    <w:name w:val="Normal (Web)"/>
    <w:basedOn w:val="Normal"/>
    <w:uiPriority w:val="99"/>
    <w:semiHidden/>
    <w:unhideWhenUsed/>
    <w:rsid w:val="00026543"/>
    <w:rPr>
      <w:rFonts w:ascii="Times New Roman" w:hAnsi="Times New Roman" w:cs="Times New Roman"/>
      <w:sz w:val="24"/>
      <w:szCs w:val="24"/>
    </w:rPr>
  </w:style>
  <w:style w:type="paragraph" w:styleId="TOC7">
    <w:name w:val="toc 7"/>
    <w:basedOn w:val="Normal"/>
    <w:next w:val="Normal"/>
    <w:autoRedefine/>
    <w:uiPriority w:val="39"/>
    <w:unhideWhenUsed/>
    <w:rsid w:val="00AA2770"/>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AA2770"/>
    <w:pPr>
      <w:spacing w:after="100" w:line="278" w:lineRule="auto"/>
      <w:ind w:left="1680" w:firstLine="0"/>
    </w:pPr>
    <w:rPr>
      <w:rFonts w:asciiTheme="minorHAnsi" w:eastAsiaTheme="minorEastAsia" w:hAnsiTheme="minorHAnsi"/>
      <w:kern w:val="2"/>
      <w:sz w:val="24"/>
      <w:szCs w:val="24"/>
      <w14:ligatures w14:val="standardContextual"/>
    </w:rPr>
  </w:style>
  <w:style w:type="character" w:styleId="Emphasis">
    <w:name w:val="Emphasis"/>
    <w:basedOn w:val="DefaultParagraphFont"/>
    <w:uiPriority w:val="20"/>
    <w:qFormat/>
    <w:rsid w:val="00614C95"/>
    <w:rPr>
      <w:i/>
      <w:iCs/>
    </w:rPr>
  </w:style>
  <w:style w:type="character" w:styleId="Strong">
    <w:name w:val="Strong"/>
    <w:basedOn w:val="DefaultParagraphFont"/>
    <w:uiPriority w:val="22"/>
    <w:qFormat/>
    <w:rsid w:val="007F2BBB"/>
    <w:rPr>
      <w:b/>
      <w:bCs/>
    </w:rPr>
  </w:style>
  <w:style w:type="character" w:styleId="CommentReference">
    <w:name w:val="annotation reference"/>
    <w:basedOn w:val="DefaultParagraphFont"/>
    <w:uiPriority w:val="99"/>
    <w:semiHidden/>
    <w:unhideWhenUsed/>
    <w:rsid w:val="004C1923"/>
    <w:rPr>
      <w:sz w:val="16"/>
      <w:szCs w:val="16"/>
    </w:rPr>
  </w:style>
  <w:style w:type="paragraph" w:styleId="CommentText">
    <w:name w:val="annotation text"/>
    <w:basedOn w:val="Normal"/>
    <w:link w:val="CommentTextChar"/>
    <w:uiPriority w:val="99"/>
    <w:unhideWhenUsed/>
    <w:rsid w:val="004C1923"/>
    <w:pPr>
      <w:spacing w:line="240" w:lineRule="auto"/>
    </w:pPr>
    <w:rPr>
      <w:sz w:val="20"/>
      <w:szCs w:val="20"/>
    </w:rPr>
  </w:style>
  <w:style w:type="character" w:customStyle="1" w:styleId="CommentTextChar">
    <w:name w:val="Comment Text Char"/>
    <w:basedOn w:val="DefaultParagraphFont"/>
    <w:link w:val="CommentText"/>
    <w:uiPriority w:val="99"/>
    <w:rsid w:val="004C1923"/>
    <w:rPr>
      <w:rFonts w:ascii="Book Antiqua" w:hAnsi="Book Antiqua"/>
      <w:sz w:val="20"/>
      <w:szCs w:val="20"/>
    </w:rPr>
  </w:style>
  <w:style w:type="paragraph" w:styleId="Revision">
    <w:name w:val="Revision"/>
    <w:hidden/>
    <w:uiPriority w:val="99"/>
    <w:semiHidden/>
    <w:rsid w:val="008628FA"/>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363F47"/>
    <w:rPr>
      <w:b/>
      <w:bCs/>
    </w:rPr>
  </w:style>
  <w:style w:type="character" w:customStyle="1" w:styleId="CommentSubjectChar">
    <w:name w:val="Comment Subject Char"/>
    <w:basedOn w:val="CommentTextChar"/>
    <w:link w:val="CommentSubject"/>
    <w:uiPriority w:val="99"/>
    <w:semiHidden/>
    <w:rsid w:val="00363F47"/>
    <w:rPr>
      <w:rFonts w:ascii="Book Antiqua" w:hAnsi="Book Antiqua"/>
      <w:b/>
      <w:bCs/>
      <w:sz w:val="20"/>
      <w:szCs w:val="20"/>
    </w:rPr>
  </w:style>
  <w:style w:type="character" w:styleId="Mention">
    <w:name w:val="Mention"/>
    <w:basedOn w:val="DefaultParagraphFont"/>
    <w:uiPriority w:val="99"/>
    <w:unhideWhenUsed/>
    <w:rsid w:val="00A17DDB"/>
    <w:rPr>
      <w:color w:val="2B579A"/>
      <w:shd w:val="clear" w:color="auto" w:fill="E1DFDD"/>
    </w:rPr>
  </w:style>
  <w:style w:type="paragraph" w:customStyle="1" w:styleId="StandardTableSub">
    <w:name w:val="StandardTableSub"/>
    <w:basedOn w:val="Standard"/>
    <w:rsid w:val="005804B5"/>
    <w:pPr>
      <w:spacing w:before="180"/>
    </w:pPr>
  </w:style>
  <w:style w:type="paragraph" w:customStyle="1" w:styleId="BlockQuoteH033">
    <w:name w:val="BlockQuoteH033"/>
    <w:basedOn w:val="Normal"/>
    <w:qFormat/>
    <w:rsid w:val="008C67B5"/>
    <w:pPr>
      <w:spacing w:after="120" w:line="240" w:lineRule="auto"/>
      <w:ind w:left="1195" w:right="1440" w:hanging="475"/>
    </w:pPr>
  </w:style>
  <w:style w:type="paragraph" w:customStyle="1" w:styleId="TableFN">
    <w:name w:val="TableFN"/>
    <w:basedOn w:val="Normal"/>
    <w:rsid w:val="00851A53"/>
    <w:pPr>
      <w:spacing w:after="180"/>
      <w:ind w:firstLine="0"/>
    </w:pPr>
    <w:rPr>
      <w:rFonts w:eastAsia="Calibri" w:cs="Aptos"/>
      <w:sz w:val="20"/>
      <w:szCs w:val="20"/>
    </w:rPr>
  </w:style>
  <w:style w:type="paragraph" w:customStyle="1" w:styleId="BlockQuoteBullet1">
    <w:name w:val="BlockQuoteBullet1"/>
    <w:basedOn w:val="Normal"/>
    <w:qFormat/>
    <w:rsid w:val="005B0C1B"/>
    <w:pPr>
      <w:spacing w:after="120" w:line="240" w:lineRule="auto"/>
      <w:ind w:right="1440" w:firstLine="0"/>
    </w:pPr>
  </w:style>
  <w:style w:type="paragraph" w:customStyle="1" w:styleId="BlockQuoteH025subH025">
    <w:name w:val="BlockQuoteH025subH025"/>
    <w:basedOn w:val="Normal"/>
    <w:qFormat/>
    <w:rsid w:val="00A323CA"/>
    <w:pPr>
      <w:spacing w:after="120" w:line="240" w:lineRule="auto"/>
      <w:ind w:left="1404" w:right="1440" w:hanging="360"/>
    </w:pPr>
  </w:style>
  <w:style w:type="paragraph" w:customStyle="1" w:styleId="TableTitleBody">
    <w:name w:val="TableTitleBody"/>
    <w:basedOn w:val="Normal"/>
    <w:qFormat/>
    <w:rsid w:val="00D24FCB"/>
    <w:pPr>
      <w:keepNext/>
      <w:spacing w:before="240" w:after="120" w:line="240" w:lineRule="auto"/>
      <w:ind w:firstLine="0"/>
      <w:jc w:val="center"/>
    </w:pPr>
    <w:rPr>
      <w:b/>
      <w:bCs/>
    </w:rPr>
  </w:style>
  <w:style w:type="paragraph" w:customStyle="1" w:styleId="TableTitleBodyT09">
    <w:name w:val="TableTitleBodyT09"/>
    <w:basedOn w:val="Normal"/>
    <w:rsid w:val="00FC7DB1"/>
    <w:pPr>
      <w:keepNext/>
      <w:tabs>
        <w:tab w:val="left" w:pos="1296"/>
      </w:tabs>
      <w:spacing w:after="120" w:line="240" w:lineRule="auto"/>
      <w:ind w:firstLine="0"/>
      <w:jc w:val="center"/>
    </w:pPr>
  </w:style>
  <w:style w:type="paragraph" w:customStyle="1" w:styleId="TableSub">
    <w:name w:val="TableSub"/>
    <w:basedOn w:val="Normal"/>
    <w:rsid w:val="00D87D7F"/>
    <w:pPr>
      <w:spacing w:after="120" w:line="240" w:lineRule="auto"/>
      <w:ind w:firstLine="0"/>
    </w:pPr>
    <w:rPr>
      <w:sz w:val="20"/>
      <w:szCs w:val="20"/>
    </w:rPr>
  </w:style>
  <w:style w:type="paragraph" w:customStyle="1" w:styleId="Table1Issues">
    <w:name w:val="Table1Issues"/>
    <w:basedOn w:val="ListNum"/>
    <w:rsid w:val="001831B4"/>
    <w:pPr>
      <w:numPr>
        <w:ilvl w:val="0"/>
        <w:numId w:val="8"/>
      </w:numPr>
      <w:spacing w:after="0"/>
      <w:ind w:left="317" w:hanging="317"/>
    </w:pPr>
    <w:rPr>
      <w:sz w:val="20"/>
      <w:szCs w:val="20"/>
    </w:rPr>
  </w:style>
  <w:style w:type="paragraph" w:customStyle="1" w:styleId="BlockQuote0">
    <w:name w:val="BlockQuote"/>
    <w:basedOn w:val="Normal"/>
    <w:qFormat/>
    <w:rsid w:val="00AC44A9"/>
    <w:pPr>
      <w:spacing w:after="120" w:line="240" w:lineRule="auto"/>
      <w:ind w:left="720" w:right="1440" w:firstLine="0"/>
    </w:pPr>
  </w:style>
  <w:style w:type="paragraph" w:customStyle="1" w:styleId="Table2Subissue">
    <w:name w:val="Table2Subissue"/>
    <w:basedOn w:val="Normal"/>
    <w:rsid w:val="009C15C8"/>
    <w:pPr>
      <w:spacing w:line="240" w:lineRule="auto"/>
      <w:ind w:left="288" w:hanging="288"/>
    </w:pPr>
    <w:rPr>
      <w:szCs w:val="20"/>
    </w:rPr>
  </w:style>
  <w:style w:type="paragraph" w:customStyle="1" w:styleId="Table2Subissue2">
    <w:name w:val="Table2Subissue2"/>
    <w:basedOn w:val="Table2Subissue"/>
    <w:rsid w:val="009C15C8"/>
    <w:pPr>
      <w:ind w:left="576" w:hanging="576"/>
    </w:pPr>
  </w:style>
  <w:style w:type="paragraph" w:customStyle="1" w:styleId="Table2Subissue3">
    <w:name w:val="Table2Subissue3"/>
    <w:basedOn w:val="Table2Subissue"/>
    <w:rsid w:val="009C15C8"/>
    <w:pPr>
      <w:ind w:left="403" w:hanging="403"/>
    </w:pPr>
  </w:style>
  <w:style w:type="paragraph" w:customStyle="1" w:styleId="OP1appendix">
    <w:name w:val="OP1appendix"/>
    <w:basedOn w:val="BlockQuoteBullet1"/>
    <w:rsid w:val="006840FE"/>
    <w:pPr>
      <w:numPr>
        <w:numId w:val="18"/>
      </w:numPr>
      <w:tabs>
        <w:tab w:val="left" w:pos="1080"/>
        <w:tab w:val="left" w:pos="2592"/>
      </w:tabs>
      <w:spacing w:after="0"/>
      <w:ind w:left="2966" w:hanging="2246"/>
    </w:pPr>
    <w:rPr>
      <w:rFonts w:cs="Arial"/>
      <w:bCs/>
      <w:szCs w:val="26"/>
    </w:rPr>
  </w:style>
  <w:style w:type="paragraph" w:customStyle="1" w:styleId="Table3Items">
    <w:name w:val="Table3Items"/>
    <w:basedOn w:val="BlockQuoteBullet1"/>
    <w:rsid w:val="00C2178D"/>
    <w:pPr>
      <w:numPr>
        <w:numId w:val="17"/>
      </w:numPr>
      <w:spacing w:after="0"/>
    </w:pPr>
    <w:rPr>
      <w:szCs w:val="20"/>
    </w:rPr>
  </w:style>
  <w:style w:type="paragraph" w:customStyle="1" w:styleId="Section">
    <w:name w:val="Section"/>
    <w:basedOn w:val="FoF"/>
    <w:rsid w:val="00F55524"/>
    <w:pPr>
      <w:keepNext/>
      <w:numPr>
        <w:numId w:val="0"/>
      </w:numPr>
      <w:spacing w:after="120" w:line="240" w:lineRule="auto"/>
    </w:pPr>
    <w:rPr>
      <w:i/>
      <w:iCs/>
      <w:u w:val="single"/>
    </w:rPr>
  </w:style>
  <w:style w:type="paragraph" w:customStyle="1" w:styleId="Subsection">
    <w:name w:val="Subsection"/>
    <w:basedOn w:val="Standard"/>
    <w:rsid w:val="0055448F"/>
    <w:pPr>
      <w:keepNext/>
      <w:spacing w:after="120" w:line="240" w:lineRule="auto"/>
    </w:pPr>
    <w:rPr>
      <w:u w:val="single"/>
    </w:rPr>
  </w:style>
  <w:style w:type="paragraph" w:customStyle="1" w:styleId="BoxCheck1">
    <w:name w:val="Box&amp;Check1"/>
    <w:basedOn w:val="Normal"/>
    <w:qFormat/>
    <w:rsid w:val="0036146E"/>
    <w:pPr>
      <w:spacing w:line="240" w:lineRule="exact"/>
      <w:ind w:left="288" w:hanging="288"/>
    </w:pPr>
    <w:rPr>
      <w:rFonts w:ascii="Times New Roman" w:hAnsi="Times New Roman"/>
      <w:sz w:val="24"/>
    </w:rPr>
  </w:style>
  <w:style w:type="character" w:styleId="FollowedHyperlink">
    <w:name w:val="FollowedHyperlink"/>
    <w:basedOn w:val="DefaultParagraphFont"/>
    <w:uiPriority w:val="99"/>
    <w:semiHidden/>
    <w:unhideWhenUsed/>
    <w:rsid w:val="000826A3"/>
    <w:rPr>
      <w:color w:val="954F72" w:themeColor="followedHyperlink"/>
      <w:u w:val="single"/>
    </w:rPr>
  </w:style>
  <w:style w:type="paragraph" w:customStyle="1" w:styleId="OPSub">
    <w:name w:val="OPSub"/>
    <w:basedOn w:val="Standard"/>
    <w:rsid w:val="006C14D8"/>
    <w:pPr>
      <w:spacing w:after="120" w:line="240" w:lineRule="auto"/>
      <w:ind w:righ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166750531">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565140747">
      <w:bodyDiv w:val="1"/>
      <w:marLeft w:val="0"/>
      <w:marRight w:val="0"/>
      <w:marTop w:val="0"/>
      <w:marBottom w:val="0"/>
      <w:divBdr>
        <w:top w:val="none" w:sz="0" w:space="0" w:color="auto"/>
        <w:left w:val="none" w:sz="0" w:space="0" w:color="auto"/>
        <w:bottom w:val="none" w:sz="0" w:space="0" w:color="auto"/>
        <w:right w:val="none" w:sz="0" w:space="0" w:color="auto"/>
      </w:divBdr>
    </w:div>
    <w:div w:id="1676298594">
      <w:bodyDiv w:val="1"/>
      <w:marLeft w:val="0"/>
      <w:marRight w:val="0"/>
      <w:marTop w:val="0"/>
      <w:marBottom w:val="0"/>
      <w:divBdr>
        <w:top w:val="none" w:sz="0" w:space="0" w:color="auto"/>
        <w:left w:val="none" w:sz="0" w:space="0" w:color="auto"/>
        <w:bottom w:val="none" w:sz="0" w:space="0" w:color="auto"/>
        <w:right w:val="none" w:sz="0" w:space="0" w:color="auto"/>
      </w:divBdr>
    </w:div>
    <w:div w:id="2000037982">
      <w:bodyDiv w:val="1"/>
      <w:marLeft w:val="0"/>
      <w:marRight w:val="0"/>
      <w:marTop w:val="0"/>
      <w:marBottom w:val="0"/>
      <w:divBdr>
        <w:top w:val="none" w:sz="0" w:space="0" w:color="auto"/>
        <w:left w:val="none" w:sz="0" w:space="0" w:color="auto"/>
        <w:bottom w:val="none" w:sz="0" w:space="0" w:color="auto"/>
        <w:right w:val="none" w:sz="0" w:space="0" w:color="auto"/>
      </w:divBdr>
    </w:div>
    <w:div w:id="2074695288">
      <w:bodyDiv w:val="1"/>
      <w:marLeft w:val="0"/>
      <w:marRight w:val="0"/>
      <w:marTop w:val="0"/>
      <w:marBottom w:val="0"/>
      <w:divBdr>
        <w:top w:val="none" w:sz="0" w:space="0" w:color="auto"/>
        <w:left w:val="none" w:sz="0" w:space="0" w:color="auto"/>
        <w:bottom w:val="none" w:sz="0" w:space="0" w:color="auto"/>
        <w:right w:val="none" w:sz="0" w:space="0" w:color="auto"/>
      </w:divBdr>
    </w:div>
    <w:div w:id="212738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calwaterassn.com/preserve-decoupling/" TargetMode="External" Id="rId17" /><Relationship Type="http://schemas.openxmlformats.org/officeDocument/2006/relationships/customXml" Target="../customXml/item2.xml" Id="rId2" /><Relationship Type="http://schemas.openxmlformats.org/officeDocument/2006/relationships/hyperlink" Target="https://docs.cpuc.ca.gov/PublishedDocs/SupDoc/A2301001/6740/520497018.pdf" TargetMode="Externa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theme" Target="theme/theme1.xml" Id="rId22" /><Relationship Type="http://schemas.openxmlformats.org/officeDocument/2006/relationships/hyperlink" Target="https://docs.cpuc.ca.gov/PublishedDocs/Published/G000/M605/K873/605873771.pdf" TargetMode="External" Id="R1a179b25a5114104" /><Relationship Type="http://schemas.openxmlformats.org/officeDocument/2006/relationships/hyperlink" Target="https://docs.cpuc.ca.gov/PublishedDocs/Published/G000/M605/K873/605873772.pdf" TargetMode="External" Id="Re67ecb095b334f58" /><Relationship Type="http://schemas.openxmlformats.org/officeDocument/2006/relationships/hyperlink" Target="https://docs.cpuc.ca.gov/PublishedDocs/Published/G000/M605/K873/605873554.pdf" TargetMode="External" Id="R7b3cff7290704b2a" /></Relationships>
</file>

<file path=word/_rels/footnotes.xml.rels><?xml version="1.0" encoding="UTF-8" standalone="yes"?>
<Relationships xmlns="http://schemas.openxmlformats.org/package/2006/relationships"><Relationship Id="rId2" Type="http://schemas.openxmlformats.org/officeDocument/2006/relationships/hyperlink" Target="https://www.brattle.com/wp-content/uploads/2017/10/6081_effect_of_electric_decoupling_on_the_cost_of_capital.pdf" TargetMode="External"/><Relationship Id="rId1" Type="http://schemas.openxmlformats.org/officeDocument/2006/relationships/hyperlink" Target="https://www.calwater.com/about/compan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129bdc740f4af5bc5bce3e64490311db">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a77d2ffb77d2c2317744030685f74046"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6557B-6A8A-476E-B163-C689430C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5.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172</ap:Pages>
  <ap:Words>40105</ap:Words>
  <ap:Characters>228605</ap:Characters>
  <ap:Application>Microsoft Office Word</ap:Application>
  <ap:DocSecurity>0</ap:DocSecurity>
  <ap:Lines>1905</ap:Lines>
  <ap:Paragraphs>536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268174</ap:CharactersWithSpaces>
  <ap:SharedDoc>false</ap:SharedDoc>
  <ap:HLinks>
    <vt:vector baseType="variant" size="600">
      <vt:variant>
        <vt:i4>5046353</vt:i4>
      </vt:variant>
      <vt:variant>
        <vt:i4>459</vt:i4>
      </vt:variant>
      <vt:variant>
        <vt:i4>0</vt:i4>
      </vt:variant>
      <vt:variant>
        <vt:i4>5</vt:i4>
      </vt:variant>
      <vt:variant>
        <vt:lpwstr>https://calwaterassn.com/preserve-decoupling/</vt:lpwstr>
      </vt:variant>
      <vt:variant>
        <vt:lpwstr/>
      </vt:variant>
      <vt:variant>
        <vt:i4>589853</vt:i4>
      </vt:variant>
      <vt:variant>
        <vt:i4>456</vt:i4>
      </vt:variant>
      <vt:variant>
        <vt:i4>0</vt:i4>
      </vt:variant>
      <vt:variant>
        <vt:i4>5</vt:i4>
      </vt:variant>
      <vt:variant>
        <vt:lpwstr>https://docs.cpuc.ca.gov/PublishedDocs/SupDoc/A2301001/6740/520497018.pdf</vt:lpwstr>
      </vt:variant>
      <vt:variant>
        <vt:lpwstr/>
      </vt:variant>
      <vt:variant>
        <vt:i4>1703999</vt:i4>
      </vt:variant>
      <vt:variant>
        <vt:i4>449</vt:i4>
      </vt:variant>
      <vt:variant>
        <vt:i4>0</vt:i4>
      </vt:variant>
      <vt:variant>
        <vt:i4>5</vt:i4>
      </vt:variant>
      <vt:variant>
        <vt:lpwstr/>
      </vt:variant>
      <vt:variant>
        <vt:lpwstr>_Toc224305994</vt:lpwstr>
      </vt:variant>
      <vt:variant>
        <vt:i4>1703999</vt:i4>
      </vt:variant>
      <vt:variant>
        <vt:i4>443</vt:i4>
      </vt:variant>
      <vt:variant>
        <vt:i4>0</vt:i4>
      </vt:variant>
      <vt:variant>
        <vt:i4>5</vt:i4>
      </vt:variant>
      <vt:variant>
        <vt:lpwstr/>
      </vt:variant>
      <vt:variant>
        <vt:lpwstr>_Toc224305993</vt:lpwstr>
      </vt:variant>
      <vt:variant>
        <vt:i4>1703999</vt:i4>
      </vt:variant>
      <vt:variant>
        <vt:i4>437</vt:i4>
      </vt:variant>
      <vt:variant>
        <vt:i4>0</vt:i4>
      </vt:variant>
      <vt:variant>
        <vt:i4>5</vt:i4>
      </vt:variant>
      <vt:variant>
        <vt:lpwstr/>
      </vt:variant>
      <vt:variant>
        <vt:lpwstr>_Toc224305992</vt:lpwstr>
      </vt:variant>
      <vt:variant>
        <vt:i4>1703999</vt:i4>
      </vt:variant>
      <vt:variant>
        <vt:i4>431</vt:i4>
      </vt:variant>
      <vt:variant>
        <vt:i4>0</vt:i4>
      </vt:variant>
      <vt:variant>
        <vt:i4>5</vt:i4>
      </vt:variant>
      <vt:variant>
        <vt:lpwstr/>
      </vt:variant>
      <vt:variant>
        <vt:lpwstr>_Toc224305991</vt:lpwstr>
      </vt:variant>
      <vt:variant>
        <vt:i4>1703999</vt:i4>
      </vt:variant>
      <vt:variant>
        <vt:i4>425</vt:i4>
      </vt:variant>
      <vt:variant>
        <vt:i4>0</vt:i4>
      </vt:variant>
      <vt:variant>
        <vt:i4>5</vt:i4>
      </vt:variant>
      <vt:variant>
        <vt:lpwstr/>
      </vt:variant>
      <vt:variant>
        <vt:lpwstr>_Toc224305990</vt:lpwstr>
      </vt:variant>
      <vt:variant>
        <vt:i4>1769535</vt:i4>
      </vt:variant>
      <vt:variant>
        <vt:i4>419</vt:i4>
      </vt:variant>
      <vt:variant>
        <vt:i4>0</vt:i4>
      </vt:variant>
      <vt:variant>
        <vt:i4>5</vt:i4>
      </vt:variant>
      <vt:variant>
        <vt:lpwstr/>
      </vt:variant>
      <vt:variant>
        <vt:lpwstr>_Toc224305989</vt:lpwstr>
      </vt:variant>
      <vt:variant>
        <vt:i4>1769535</vt:i4>
      </vt:variant>
      <vt:variant>
        <vt:i4>413</vt:i4>
      </vt:variant>
      <vt:variant>
        <vt:i4>0</vt:i4>
      </vt:variant>
      <vt:variant>
        <vt:i4>5</vt:i4>
      </vt:variant>
      <vt:variant>
        <vt:lpwstr/>
      </vt:variant>
      <vt:variant>
        <vt:lpwstr>_Toc224305988</vt:lpwstr>
      </vt:variant>
      <vt:variant>
        <vt:i4>1769535</vt:i4>
      </vt:variant>
      <vt:variant>
        <vt:i4>407</vt:i4>
      </vt:variant>
      <vt:variant>
        <vt:i4>0</vt:i4>
      </vt:variant>
      <vt:variant>
        <vt:i4>5</vt:i4>
      </vt:variant>
      <vt:variant>
        <vt:lpwstr/>
      </vt:variant>
      <vt:variant>
        <vt:lpwstr>_Toc224305987</vt:lpwstr>
      </vt:variant>
      <vt:variant>
        <vt:i4>1769535</vt:i4>
      </vt:variant>
      <vt:variant>
        <vt:i4>401</vt:i4>
      </vt:variant>
      <vt:variant>
        <vt:i4>0</vt:i4>
      </vt:variant>
      <vt:variant>
        <vt:i4>5</vt:i4>
      </vt:variant>
      <vt:variant>
        <vt:lpwstr/>
      </vt:variant>
      <vt:variant>
        <vt:lpwstr>_Toc224305986</vt:lpwstr>
      </vt:variant>
      <vt:variant>
        <vt:i4>1769535</vt:i4>
      </vt:variant>
      <vt:variant>
        <vt:i4>395</vt:i4>
      </vt:variant>
      <vt:variant>
        <vt:i4>0</vt:i4>
      </vt:variant>
      <vt:variant>
        <vt:i4>5</vt:i4>
      </vt:variant>
      <vt:variant>
        <vt:lpwstr/>
      </vt:variant>
      <vt:variant>
        <vt:lpwstr>_Toc224305985</vt:lpwstr>
      </vt:variant>
      <vt:variant>
        <vt:i4>1769535</vt:i4>
      </vt:variant>
      <vt:variant>
        <vt:i4>389</vt:i4>
      </vt:variant>
      <vt:variant>
        <vt:i4>0</vt:i4>
      </vt:variant>
      <vt:variant>
        <vt:i4>5</vt:i4>
      </vt:variant>
      <vt:variant>
        <vt:lpwstr/>
      </vt:variant>
      <vt:variant>
        <vt:lpwstr>_Toc224305984</vt:lpwstr>
      </vt:variant>
      <vt:variant>
        <vt:i4>1769535</vt:i4>
      </vt:variant>
      <vt:variant>
        <vt:i4>383</vt:i4>
      </vt:variant>
      <vt:variant>
        <vt:i4>0</vt:i4>
      </vt:variant>
      <vt:variant>
        <vt:i4>5</vt:i4>
      </vt:variant>
      <vt:variant>
        <vt:lpwstr/>
      </vt:variant>
      <vt:variant>
        <vt:lpwstr>_Toc224305983</vt:lpwstr>
      </vt:variant>
      <vt:variant>
        <vt:i4>1769535</vt:i4>
      </vt:variant>
      <vt:variant>
        <vt:i4>377</vt:i4>
      </vt:variant>
      <vt:variant>
        <vt:i4>0</vt:i4>
      </vt:variant>
      <vt:variant>
        <vt:i4>5</vt:i4>
      </vt:variant>
      <vt:variant>
        <vt:lpwstr/>
      </vt:variant>
      <vt:variant>
        <vt:lpwstr>_Toc224305982</vt:lpwstr>
      </vt:variant>
      <vt:variant>
        <vt:i4>1769535</vt:i4>
      </vt:variant>
      <vt:variant>
        <vt:i4>371</vt:i4>
      </vt:variant>
      <vt:variant>
        <vt:i4>0</vt:i4>
      </vt:variant>
      <vt:variant>
        <vt:i4>5</vt:i4>
      </vt:variant>
      <vt:variant>
        <vt:lpwstr/>
      </vt:variant>
      <vt:variant>
        <vt:lpwstr>_Toc224305981</vt:lpwstr>
      </vt:variant>
      <vt:variant>
        <vt:i4>1769535</vt:i4>
      </vt:variant>
      <vt:variant>
        <vt:i4>365</vt:i4>
      </vt:variant>
      <vt:variant>
        <vt:i4>0</vt:i4>
      </vt:variant>
      <vt:variant>
        <vt:i4>5</vt:i4>
      </vt:variant>
      <vt:variant>
        <vt:lpwstr/>
      </vt:variant>
      <vt:variant>
        <vt:lpwstr>_Toc224305980</vt:lpwstr>
      </vt:variant>
      <vt:variant>
        <vt:i4>1310783</vt:i4>
      </vt:variant>
      <vt:variant>
        <vt:i4>359</vt:i4>
      </vt:variant>
      <vt:variant>
        <vt:i4>0</vt:i4>
      </vt:variant>
      <vt:variant>
        <vt:i4>5</vt:i4>
      </vt:variant>
      <vt:variant>
        <vt:lpwstr/>
      </vt:variant>
      <vt:variant>
        <vt:lpwstr>_Toc224305979</vt:lpwstr>
      </vt:variant>
      <vt:variant>
        <vt:i4>1310783</vt:i4>
      </vt:variant>
      <vt:variant>
        <vt:i4>353</vt:i4>
      </vt:variant>
      <vt:variant>
        <vt:i4>0</vt:i4>
      </vt:variant>
      <vt:variant>
        <vt:i4>5</vt:i4>
      </vt:variant>
      <vt:variant>
        <vt:lpwstr/>
      </vt:variant>
      <vt:variant>
        <vt:lpwstr>_Toc224305978</vt:lpwstr>
      </vt:variant>
      <vt:variant>
        <vt:i4>1310783</vt:i4>
      </vt:variant>
      <vt:variant>
        <vt:i4>347</vt:i4>
      </vt:variant>
      <vt:variant>
        <vt:i4>0</vt:i4>
      </vt:variant>
      <vt:variant>
        <vt:i4>5</vt:i4>
      </vt:variant>
      <vt:variant>
        <vt:lpwstr/>
      </vt:variant>
      <vt:variant>
        <vt:lpwstr>_Toc224305977</vt:lpwstr>
      </vt:variant>
      <vt:variant>
        <vt:i4>1310783</vt:i4>
      </vt:variant>
      <vt:variant>
        <vt:i4>341</vt:i4>
      </vt:variant>
      <vt:variant>
        <vt:i4>0</vt:i4>
      </vt:variant>
      <vt:variant>
        <vt:i4>5</vt:i4>
      </vt:variant>
      <vt:variant>
        <vt:lpwstr/>
      </vt:variant>
      <vt:variant>
        <vt:lpwstr>_Toc224305976</vt:lpwstr>
      </vt:variant>
      <vt:variant>
        <vt:i4>1310783</vt:i4>
      </vt:variant>
      <vt:variant>
        <vt:i4>335</vt:i4>
      </vt:variant>
      <vt:variant>
        <vt:i4>0</vt:i4>
      </vt:variant>
      <vt:variant>
        <vt:i4>5</vt:i4>
      </vt:variant>
      <vt:variant>
        <vt:lpwstr/>
      </vt:variant>
      <vt:variant>
        <vt:lpwstr>_Toc224305975</vt:lpwstr>
      </vt:variant>
      <vt:variant>
        <vt:i4>1310783</vt:i4>
      </vt:variant>
      <vt:variant>
        <vt:i4>329</vt:i4>
      </vt:variant>
      <vt:variant>
        <vt:i4>0</vt:i4>
      </vt:variant>
      <vt:variant>
        <vt:i4>5</vt:i4>
      </vt:variant>
      <vt:variant>
        <vt:lpwstr/>
      </vt:variant>
      <vt:variant>
        <vt:lpwstr>_Toc224305974</vt:lpwstr>
      </vt:variant>
      <vt:variant>
        <vt:i4>1310783</vt:i4>
      </vt:variant>
      <vt:variant>
        <vt:i4>323</vt:i4>
      </vt:variant>
      <vt:variant>
        <vt:i4>0</vt:i4>
      </vt:variant>
      <vt:variant>
        <vt:i4>5</vt:i4>
      </vt:variant>
      <vt:variant>
        <vt:lpwstr/>
      </vt:variant>
      <vt:variant>
        <vt:lpwstr>_Toc224305973</vt:lpwstr>
      </vt:variant>
      <vt:variant>
        <vt:i4>1310783</vt:i4>
      </vt:variant>
      <vt:variant>
        <vt:i4>317</vt:i4>
      </vt:variant>
      <vt:variant>
        <vt:i4>0</vt:i4>
      </vt:variant>
      <vt:variant>
        <vt:i4>5</vt:i4>
      </vt:variant>
      <vt:variant>
        <vt:lpwstr/>
      </vt:variant>
      <vt:variant>
        <vt:lpwstr>_Toc224305972</vt:lpwstr>
      </vt:variant>
      <vt:variant>
        <vt:i4>1310783</vt:i4>
      </vt:variant>
      <vt:variant>
        <vt:i4>311</vt:i4>
      </vt:variant>
      <vt:variant>
        <vt:i4>0</vt:i4>
      </vt:variant>
      <vt:variant>
        <vt:i4>5</vt:i4>
      </vt:variant>
      <vt:variant>
        <vt:lpwstr/>
      </vt:variant>
      <vt:variant>
        <vt:lpwstr>_Toc224305971</vt:lpwstr>
      </vt:variant>
      <vt:variant>
        <vt:i4>1310783</vt:i4>
      </vt:variant>
      <vt:variant>
        <vt:i4>305</vt:i4>
      </vt:variant>
      <vt:variant>
        <vt:i4>0</vt:i4>
      </vt:variant>
      <vt:variant>
        <vt:i4>5</vt:i4>
      </vt:variant>
      <vt:variant>
        <vt:lpwstr/>
      </vt:variant>
      <vt:variant>
        <vt:lpwstr>_Toc224305970</vt:lpwstr>
      </vt:variant>
      <vt:variant>
        <vt:i4>1376319</vt:i4>
      </vt:variant>
      <vt:variant>
        <vt:i4>299</vt:i4>
      </vt:variant>
      <vt:variant>
        <vt:i4>0</vt:i4>
      </vt:variant>
      <vt:variant>
        <vt:i4>5</vt:i4>
      </vt:variant>
      <vt:variant>
        <vt:lpwstr/>
      </vt:variant>
      <vt:variant>
        <vt:lpwstr>_Toc224305969</vt:lpwstr>
      </vt:variant>
      <vt:variant>
        <vt:i4>1376319</vt:i4>
      </vt:variant>
      <vt:variant>
        <vt:i4>293</vt:i4>
      </vt:variant>
      <vt:variant>
        <vt:i4>0</vt:i4>
      </vt:variant>
      <vt:variant>
        <vt:i4>5</vt:i4>
      </vt:variant>
      <vt:variant>
        <vt:lpwstr/>
      </vt:variant>
      <vt:variant>
        <vt:lpwstr>_Toc224305968</vt:lpwstr>
      </vt:variant>
      <vt:variant>
        <vt:i4>1376319</vt:i4>
      </vt:variant>
      <vt:variant>
        <vt:i4>287</vt:i4>
      </vt:variant>
      <vt:variant>
        <vt:i4>0</vt:i4>
      </vt:variant>
      <vt:variant>
        <vt:i4>5</vt:i4>
      </vt:variant>
      <vt:variant>
        <vt:lpwstr/>
      </vt:variant>
      <vt:variant>
        <vt:lpwstr>_Toc224305967</vt:lpwstr>
      </vt:variant>
      <vt:variant>
        <vt:i4>1376319</vt:i4>
      </vt:variant>
      <vt:variant>
        <vt:i4>281</vt:i4>
      </vt:variant>
      <vt:variant>
        <vt:i4>0</vt:i4>
      </vt:variant>
      <vt:variant>
        <vt:i4>5</vt:i4>
      </vt:variant>
      <vt:variant>
        <vt:lpwstr/>
      </vt:variant>
      <vt:variant>
        <vt:lpwstr>_Toc224305966</vt:lpwstr>
      </vt:variant>
      <vt:variant>
        <vt:i4>1376319</vt:i4>
      </vt:variant>
      <vt:variant>
        <vt:i4>275</vt:i4>
      </vt:variant>
      <vt:variant>
        <vt:i4>0</vt:i4>
      </vt:variant>
      <vt:variant>
        <vt:i4>5</vt:i4>
      </vt:variant>
      <vt:variant>
        <vt:lpwstr/>
      </vt:variant>
      <vt:variant>
        <vt:lpwstr>_Toc224305965</vt:lpwstr>
      </vt:variant>
      <vt:variant>
        <vt:i4>1376319</vt:i4>
      </vt:variant>
      <vt:variant>
        <vt:i4>269</vt:i4>
      </vt:variant>
      <vt:variant>
        <vt:i4>0</vt:i4>
      </vt:variant>
      <vt:variant>
        <vt:i4>5</vt:i4>
      </vt:variant>
      <vt:variant>
        <vt:lpwstr/>
      </vt:variant>
      <vt:variant>
        <vt:lpwstr>_Toc224305964</vt:lpwstr>
      </vt:variant>
      <vt:variant>
        <vt:i4>1376319</vt:i4>
      </vt:variant>
      <vt:variant>
        <vt:i4>263</vt:i4>
      </vt:variant>
      <vt:variant>
        <vt:i4>0</vt:i4>
      </vt:variant>
      <vt:variant>
        <vt:i4>5</vt:i4>
      </vt:variant>
      <vt:variant>
        <vt:lpwstr/>
      </vt:variant>
      <vt:variant>
        <vt:lpwstr>_Toc224305963</vt:lpwstr>
      </vt:variant>
      <vt:variant>
        <vt:i4>1376319</vt:i4>
      </vt:variant>
      <vt:variant>
        <vt:i4>257</vt:i4>
      </vt:variant>
      <vt:variant>
        <vt:i4>0</vt:i4>
      </vt:variant>
      <vt:variant>
        <vt:i4>5</vt:i4>
      </vt:variant>
      <vt:variant>
        <vt:lpwstr/>
      </vt:variant>
      <vt:variant>
        <vt:lpwstr>_Toc224305962</vt:lpwstr>
      </vt:variant>
      <vt:variant>
        <vt:i4>1376319</vt:i4>
      </vt:variant>
      <vt:variant>
        <vt:i4>251</vt:i4>
      </vt:variant>
      <vt:variant>
        <vt:i4>0</vt:i4>
      </vt:variant>
      <vt:variant>
        <vt:i4>5</vt:i4>
      </vt:variant>
      <vt:variant>
        <vt:lpwstr/>
      </vt:variant>
      <vt:variant>
        <vt:lpwstr>_Toc224305961</vt:lpwstr>
      </vt:variant>
      <vt:variant>
        <vt:i4>1376319</vt:i4>
      </vt:variant>
      <vt:variant>
        <vt:i4>245</vt:i4>
      </vt:variant>
      <vt:variant>
        <vt:i4>0</vt:i4>
      </vt:variant>
      <vt:variant>
        <vt:i4>5</vt:i4>
      </vt:variant>
      <vt:variant>
        <vt:lpwstr/>
      </vt:variant>
      <vt:variant>
        <vt:lpwstr>_Toc224305960</vt:lpwstr>
      </vt:variant>
      <vt:variant>
        <vt:i4>1441855</vt:i4>
      </vt:variant>
      <vt:variant>
        <vt:i4>239</vt:i4>
      </vt:variant>
      <vt:variant>
        <vt:i4>0</vt:i4>
      </vt:variant>
      <vt:variant>
        <vt:i4>5</vt:i4>
      </vt:variant>
      <vt:variant>
        <vt:lpwstr/>
      </vt:variant>
      <vt:variant>
        <vt:lpwstr>_Toc224305959</vt:lpwstr>
      </vt:variant>
      <vt:variant>
        <vt:i4>1441855</vt:i4>
      </vt:variant>
      <vt:variant>
        <vt:i4>233</vt:i4>
      </vt:variant>
      <vt:variant>
        <vt:i4>0</vt:i4>
      </vt:variant>
      <vt:variant>
        <vt:i4>5</vt:i4>
      </vt:variant>
      <vt:variant>
        <vt:lpwstr/>
      </vt:variant>
      <vt:variant>
        <vt:lpwstr>_Toc224305958</vt:lpwstr>
      </vt:variant>
      <vt:variant>
        <vt:i4>1441855</vt:i4>
      </vt:variant>
      <vt:variant>
        <vt:i4>227</vt:i4>
      </vt:variant>
      <vt:variant>
        <vt:i4>0</vt:i4>
      </vt:variant>
      <vt:variant>
        <vt:i4>5</vt:i4>
      </vt:variant>
      <vt:variant>
        <vt:lpwstr/>
      </vt:variant>
      <vt:variant>
        <vt:lpwstr>_Toc224305957</vt:lpwstr>
      </vt:variant>
      <vt:variant>
        <vt:i4>1441855</vt:i4>
      </vt:variant>
      <vt:variant>
        <vt:i4>221</vt:i4>
      </vt:variant>
      <vt:variant>
        <vt:i4>0</vt:i4>
      </vt:variant>
      <vt:variant>
        <vt:i4>5</vt:i4>
      </vt:variant>
      <vt:variant>
        <vt:lpwstr/>
      </vt:variant>
      <vt:variant>
        <vt:lpwstr>_Toc224305956</vt:lpwstr>
      </vt:variant>
      <vt:variant>
        <vt:i4>1441855</vt:i4>
      </vt:variant>
      <vt:variant>
        <vt:i4>215</vt:i4>
      </vt:variant>
      <vt:variant>
        <vt:i4>0</vt:i4>
      </vt:variant>
      <vt:variant>
        <vt:i4>5</vt:i4>
      </vt:variant>
      <vt:variant>
        <vt:lpwstr/>
      </vt:variant>
      <vt:variant>
        <vt:lpwstr>_Toc224305955</vt:lpwstr>
      </vt:variant>
      <vt:variant>
        <vt:i4>1441855</vt:i4>
      </vt:variant>
      <vt:variant>
        <vt:i4>209</vt:i4>
      </vt:variant>
      <vt:variant>
        <vt:i4>0</vt:i4>
      </vt:variant>
      <vt:variant>
        <vt:i4>5</vt:i4>
      </vt:variant>
      <vt:variant>
        <vt:lpwstr/>
      </vt:variant>
      <vt:variant>
        <vt:lpwstr>_Toc224305954</vt:lpwstr>
      </vt:variant>
      <vt:variant>
        <vt:i4>1441855</vt:i4>
      </vt:variant>
      <vt:variant>
        <vt:i4>203</vt:i4>
      </vt:variant>
      <vt:variant>
        <vt:i4>0</vt:i4>
      </vt:variant>
      <vt:variant>
        <vt:i4>5</vt:i4>
      </vt:variant>
      <vt:variant>
        <vt:lpwstr/>
      </vt:variant>
      <vt:variant>
        <vt:lpwstr>_Toc224305953</vt:lpwstr>
      </vt:variant>
      <vt:variant>
        <vt:i4>1441855</vt:i4>
      </vt:variant>
      <vt:variant>
        <vt:i4>197</vt:i4>
      </vt:variant>
      <vt:variant>
        <vt:i4>0</vt:i4>
      </vt:variant>
      <vt:variant>
        <vt:i4>5</vt:i4>
      </vt:variant>
      <vt:variant>
        <vt:lpwstr/>
      </vt:variant>
      <vt:variant>
        <vt:lpwstr>_Toc224305952</vt:lpwstr>
      </vt:variant>
      <vt:variant>
        <vt:i4>1441855</vt:i4>
      </vt:variant>
      <vt:variant>
        <vt:i4>191</vt:i4>
      </vt:variant>
      <vt:variant>
        <vt:i4>0</vt:i4>
      </vt:variant>
      <vt:variant>
        <vt:i4>5</vt:i4>
      </vt:variant>
      <vt:variant>
        <vt:lpwstr/>
      </vt:variant>
      <vt:variant>
        <vt:lpwstr>_Toc224305951</vt:lpwstr>
      </vt:variant>
      <vt:variant>
        <vt:i4>1441855</vt:i4>
      </vt:variant>
      <vt:variant>
        <vt:i4>185</vt:i4>
      </vt:variant>
      <vt:variant>
        <vt:i4>0</vt:i4>
      </vt:variant>
      <vt:variant>
        <vt:i4>5</vt:i4>
      </vt:variant>
      <vt:variant>
        <vt:lpwstr/>
      </vt:variant>
      <vt:variant>
        <vt:lpwstr>_Toc224305950</vt:lpwstr>
      </vt:variant>
      <vt:variant>
        <vt:i4>1507391</vt:i4>
      </vt:variant>
      <vt:variant>
        <vt:i4>179</vt:i4>
      </vt:variant>
      <vt:variant>
        <vt:i4>0</vt:i4>
      </vt:variant>
      <vt:variant>
        <vt:i4>5</vt:i4>
      </vt:variant>
      <vt:variant>
        <vt:lpwstr/>
      </vt:variant>
      <vt:variant>
        <vt:lpwstr>_Toc224305949</vt:lpwstr>
      </vt:variant>
      <vt:variant>
        <vt:i4>1507391</vt:i4>
      </vt:variant>
      <vt:variant>
        <vt:i4>173</vt:i4>
      </vt:variant>
      <vt:variant>
        <vt:i4>0</vt:i4>
      </vt:variant>
      <vt:variant>
        <vt:i4>5</vt:i4>
      </vt:variant>
      <vt:variant>
        <vt:lpwstr/>
      </vt:variant>
      <vt:variant>
        <vt:lpwstr>_Toc224305948</vt:lpwstr>
      </vt:variant>
      <vt:variant>
        <vt:i4>1507391</vt:i4>
      </vt:variant>
      <vt:variant>
        <vt:i4>167</vt:i4>
      </vt:variant>
      <vt:variant>
        <vt:i4>0</vt:i4>
      </vt:variant>
      <vt:variant>
        <vt:i4>5</vt:i4>
      </vt:variant>
      <vt:variant>
        <vt:lpwstr/>
      </vt:variant>
      <vt:variant>
        <vt:lpwstr>_Toc224305947</vt:lpwstr>
      </vt:variant>
      <vt:variant>
        <vt:i4>1507391</vt:i4>
      </vt:variant>
      <vt:variant>
        <vt:i4>161</vt:i4>
      </vt:variant>
      <vt:variant>
        <vt:i4>0</vt:i4>
      </vt:variant>
      <vt:variant>
        <vt:i4>5</vt:i4>
      </vt:variant>
      <vt:variant>
        <vt:lpwstr/>
      </vt:variant>
      <vt:variant>
        <vt:lpwstr>_Toc224305946</vt:lpwstr>
      </vt:variant>
      <vt:variant>
        <vt:i4>1507391</vt:i4>
      </vt:variant>
      <vt:variant>
        <vt:i4>155</vt:i4>
      </vt:variant>
      <vt:variant>
        <vt:i4>0</vt:i4>
      </vt:variant>
      <vt:variant>
        <vt:i4>5</vt:i4>
      </vt:variant>
      <vt:variant>
        <vt:lpwstr/>
      </vt:variant>
      <vt:variant>
        <vt:lpwstr>_Toc224305945</vt:lpwstr>
      </vt:variant>
      <vt:variant>
        <vt:i4>1507391</vt:i4>
      </vt:variant>
      <vt:variant>
        <vt:i4>149</vt:i4>
      </vt:variant>
      <vt:variant>
        <vt:i4>0</vt:i4>
      </vt:variant>
      <vt:variant>
        <vt:i4>5</vt:i4>
      </vt:variant>
      <vt:variant>
        <vt:lpwstr/>
      </vt:variant>
      <vt:variant>
        <vt:lpwstr>_Toc224305944</vt:lpwstr>
      </vt:variant>
      <vt:variant>
        <vt:i4>1507391</vt:i4>
      </vt:variant>
      <vt:variant>
        <vt:i4>143</vt:i4>
      </vt:variant>
      <vt:variant>
        <vt:i4>0</vt:i4>
      </vt:variant>
      <vt:variant>
        <vt:i4>5</vt:i4>
      </vt:variant>
      <vt:variant>
        <vt:lpwstr/>
      </vt:variant>
      <vt:variant>
        <vt:lpwstr>_Toc224305943</vt:lpwstr>
      </vt:variant>
      <vt:variant>
        <vt:i4>1507391</vt:i4>
      </vt:variant>
      <vt:variant>
        <vt:i4>137</vt:i4>
      </vt:variant>
      <vt:variant>
        <vt:i4>0</vt:i4>
      </vt:variant>
      <vt:variant>
        <vt:i4>5</vt:i4>
      </vt:variant>
      <vt:variant>
        <vt:lpwstr/>
      </vt:variant>
      <vt:variant>
        <vt:lpwstr>_Toc224305942</vt:lpwstr>
      </vt:variant>
      <vt:variant>
        <vt:i4>1507391</vt:i4>
      </vt:variant>
      <vt:variant>
        <vt:i4>131</vt:i4>
      </vt:variant>
      <vt:variant>
        <vt:i4>0</vt:i4>
      </vt:variant>
      <vt:variant>
        <vt:i4>5</vt:i4>
      </vt:variant>
      <vt:variant>
        <vt:lpwstr/>
      </vt:variant>
      <vt:variant>
        <vt:lpwstr>_Toc224305941</vt:lpwstr>
      </vt:variant>
      <vt:variant>
        <vt:i4>1507391</vt:i4>
      </vt:variant>
      <vt:variant>
        <vt:i4>125</vt:i4>
      </vt:variant>
      <vt:variant>
        <vt:i4>0</vt:i4>
      </vt:variant>
      <vt:variant>
        <vt:i4>5</vt:i4>
      </vt:variant>
      <vt:variant>
        <vt:lpwstr/>
      </vt:variant>
      <vt:variant>
        <vt:lpwstr>_Toc224305940</vt:lpwstr>
      </vt:variant>
      <vt:variant>
        <vt:i4>1048639</vt:i4>
      </vt:variant>
      <vt:variant>
        <vt:i4>119</vt:i4>
      </vt:variant>
      <vt:variant>
        <vt:i4>0</vt:i4>
      </vt:variant>
      <vt:variant>
        <vt:i4>5</vt:i4>
      </vt:variant>
      <vt:variant>
        <vt:lpwstr/>
      </vt:variant>
      <vt:variant>
        <vt:lpwstr>_Toc224305939</vt:lpwstr>
      </vt:variant>
      <vt:variant>
        <vt:i4>1048639</vt:i4>
      </vt:variant>
      <vt:variant>
        <vt:i4>113</vt:i4>
      </vt:variant>
      <vt:variant>
        <vt:i4>0</vt:i4>
      </vt:variant>
      <vt:variant>
        <vt:i4>5</vt:i4>
      </vt:variant>
      <vt:variant>
        <vt:lpwstr/>
      </vt:variant>
      <vt:variant>
        <vt:lpwstr>_Toc224305938</vt:lpwstr>
      </vt:variant>
      <vt:variant>
        <vt:i4>1048639</vt:i4>
      </vt:variant>
      <vt:variant>
        <vt:i4>107</vt:i4>
      </vt:variant>
      <vt:variant>
        <vt:i4>0</vt:i4>
      </vt:variant>
      <vt:variant>
        <vt:i4>5</vt:i4>
      </vt:variant>
      <vt:variant>
        <vt:lpwstr/>
      </vt:variant>
      <vt:variant>
        <vt:lpwstr>_Toc224305937</vt:lpwstr>
      </vt:variant>
      <vt:variant>
        <vt:i4>1048639</vt:i4>
      </vt:variant>
      <vt:variant>
        <vt:i4>101</vt:i4>
      </vt:variant>
      <vt:variant>
        <vt:i4>0</vt:i4>
      </vt:variant>
      <vt:variant>
        <vt:i4>5</vt:i4>
      </vt:variant>
      <vt:variant>
        <vt:lpwstr/>
      </vt:variant>
      <vt:variant>
        <vt:lpwstr>_Toc224305936</vt:lpwstr>
      </vt:variant>
      <vt:variant>
        <vt:i4>1048639</vt:i4>
      </vt:variant>
      <vt:variant>
        <vt:i4>95</vt:i4>
      </vt:variant>
      <vt:variant>
        <vt:i4>0</vt:i4>
      </vt:variant>
      <vt:variant>
        <vt:i4>5</vt:i4>
      </vt:variant>
      <vt:variant>
        <vt:lpwstr/>
      </vt:variant>
      <vt:variant>
        <vt:lpwstr>_Toc224305935</vt:lpwstr>
      </vt:variant>
      <vt:variant>
        <vt:i4>1048639</vt:i4>
      </vt:variant>
      <vt:variant>
        <vt:i4>89</vt:i4>
      </vt:variant>
      <vt:variant>
        <vt:i4>0</vt:i4>
      </vt:variant>
      <vt:variant>
        <vt:i4>5</vt:i4>
      </vt:variant>
      <vt:variant>
        <vt:lpwstr/>
      </vt:variant>
      <vt:variant>
        <vt:lpwstr>_Toc224305934</vt:lpwstr>
      </vt:variant>
      <vt:variant>
        <vt:i4>1048639</vt:i4>
      </vt:variant>
      <vt:variant>
        <vt:i4>83</vt:i4>
      </vt:variant>
      <vt:variant>
        <vt:i4>0</vt:i4>
      </vt:variant>
      <vt:variant>
        <vt:i4>5</vt:i4>
      </vt:variant>
      <vt:variant>
        <vt:lpwstr/>
      </vt:variant>
      <vt:variant>
        <vt:lpwstr>_Toc224305933</vt:lpwstr>
      </vt:variant>
      <vt:variant>
        <vt:i4>1048639</vt:i4>
      </vt:variant>
      <vt:variant>
        <vt:i4>77</vt:i4>
      </vt:variant>
      <vt:variant>
        <vt:i4>0</vt:i4>
      </vt:variant>
      <vt:variant>
        <vt:i4>5</vt:i4>
      </vt:variant>
      <vt:variant>
        <vt:lpwstr/>
      </vt:variant>
      <vt:variant>
        <vt:lpwstr>_Toc224305932</vt:lpwstr>
      </vt:variant>
      <vt:variant>
        <vt:i4>1048639</vt:i4>
      </vt:variant>
      <vt:variant>
        <vt:i4>71</vt:i4>
      </vt:variant>
      <vt:variant>
        <vt:i4>0</vt:i4>
      </vt:variant>
      <vt:variant>
        <vt:i4>5</vt:i4>
      </vt:variant>
      <vt:variant>
        <vt:lpwstr/>
      </vt:variant>
      <vt:variant>
        <vt:lpwstr>_Toc224305931</vt:lpwstr>
      </vt:variant>
      <vt:variant>
        <vt:i4>1048639</vt:i4>
      </vt:variant>
      <vt:variant>
        <vt:i4>65</vt:i4>
      </vt:variant>
      <vt:variant>
        <vt:i4>0</vt:i4>
      </vt:variant>
      <vt:variant>
        <vt:i4>5</vt:i4>
      </vt:variant>
      <vt:variant>
        <vt:lpwstr/>
      </vt:variant>
      <vt:variant>
        <vt:lpwstr>_Toc224305930</vt:lpwstr>
      </vt:variant>
      <vt:variant>
        <vt:i4>1114175</vt:i4>
      </vt:variant>
      <vt:variant>
        <vt:i4>59</vt:i4>
      </vt:variant>
      <vt:variant>
        <vt:i4>0</vt:i4>
      </vt:variant>
      <vt:variant>
        <vt:i4>5</vt:i4>
      </vt:variant>
      <vt:variant>
        <vt:lpwstr/>
      </vt:variant>
      <vt:variant>
        <vt:lpwstr>_Toc224305929</vt:lpwstr>
      </vt:variant>
      <vt:variant>
        <vt:i4>1114175</vt:i4>
      </vt:variant>
      <vt:variant>
        <vt:i4>53</vt:i4>
      </vt:variant>
      <vt:variant>
        <vt:i4>0</vt:i4>
      </vt:variant>
      <vt:variant>
        <vt:i4>5</vt:i4>
      </vt:variant>
      <vt:variant>
        <vt:lpwstr/>
      </vt:variant>
      <vt:variant>
        <vt:lpwstr>_Toc224305928</vt:lpwstr>
      </vt:variant>
      <vt:variant>
        <vt:i4>1114175</vt:i4>
      </vt:variant>
      <vt:variant>
        <vt:i4>47</vt:i4>
      </vt:variant>
      <vt:variant>
        <vt:i4>0</vt:i4>
      </vt:variant>
      <vt:variant>
        <vt:i4>5</vt:i4>
      </vt:variant>
      <vt:variant>
        <vt:lpwstr/>
      </vt:variant>
      <vt:variant>
        <vt:lpwstr>_Toc224305927</vt:lpwstr>
      </vt:variant>
      <vt:variant>
        <vt:i4>1114175</vt:i4>
      </vt:variant>
      <vt:variant>
        <vt:i4>41</vt:i4>
      </vt:variant>
      <vt:variant>
        <vt:i4>0</vt:i4>
      </vt:variant>
      <vt:variant>
        <vt:i4>5</vt:i4>
      </vt:variant>
      <vt:variant>
        <vt:lpwstr/>
      </vt:variant>
      <vt:variant>
        <vt:lpwstr>_Toc224305926</vt:lpwstr>
      </vt:variant>
      <vt:variant>
        <vt:i4>1114175</vt:i4>
      </vt:variant>
      <vt:variant>
        <vt:i4>35</vt:i4>
      </vt:variant>
      <vt:variant>
        <vt:i4>0</vt:i4>
      </vt:variant>
      <vt:variant>
        <vt:i4>5</vt:i4>
      </vt:variant>
      <vt:variant>
        <vt:lpwstr/>
      </vt:variant>
      <vt:variant>
        <vt:lpwstr>_Toc224305925</vt:lpwstr>
      </vt:variant>
      <vt:variant>
        <vt:i4>1114175</vt:i4>
      </vt:variant>
      <vt:variant>
        <vt:i4>29</vt:i4>
      </vt:variant>
      <vt:variant>
        <vt:i4>0</vt:i4>
      </vt:variant>
      <vt:variant>
        <vt:i4>5</vt:i4>
      </vt:variant>
      <vt:variant>
        <vt:lpwstr/>
      </vt:variant>
      <vt:variant>
        <vt:lpwstr>_Toc224305924</vt:lpwstr>
      </vt:variant>
      <vt:variant>
        <vt:i4>1114175</vt:i4>
      </vt:variant>
      <vt:variant>
        <vt:i4>23</vt:i4>
      </vt:variant>
      <vt:variant>
        <vt:i4>0</vt:i4>
      </vt:variant>
      <vt:variant>
        <vt:i4>5</vt:i4>
      </vt:variant>
      <vt:variant>
        <vt:lpwstr/>
      </vt:variant>
      <vt:variant>
        <vt:lpwstr>_Toc224305923</vt:lpwstr>
      </vt:variant>
      <vt:variant>
        <vt:i4>1114175</vt:i4>
      </vt:variant>
      <vt:variant>
        <vt:i4>17</vt:i4>
      </vt:variant>
      <vt:variant>
        <vt:i4>0</vt:i4>
      </vt:variant>
      <vt:variant>
        <vt:i4>5</vt:i4>
      </vt:variant>
      <vt:variant>
        <vt:lpwstr/>
      </vt:variant>
      <vt:variant>
        <vt:lpwstr>_Toc224305922</vt:lpwstr>
      </vt:variant>
      <vt:variant>
        <vt:i4>1114175</vt:i4>
      </vt:variant>
      <vt:variant>
        <vt:i4>11</vt:i4>
      </vt:variant>
      <vt:variant>
        <vt:i4>0</vt:i4>
      </vt:variant>
      <vt:variant>
        <vt:i4>5</vt:i4>
      </vt:variant>
      <vt:variant>
        <vt:lpwstr/>
      </vt:variant>
      <vt:variant>
        <vt:lpwstr>_Toc224305921</vt:lpwstr>
      </vt:variant>
      <vt:variant>
        <vt:i4>1114175</vt:i4>
      </vt:variant>
      <vt:variant>
        <vt:i4>5</vt:i4>
      </vt:variant>
      <vt:variant>
        <vt:i4>0</vt:i4>
      </vt:variant>
      <vt:variant>
        <vt:i4>5</vt:i4>
      </vt:variant>
      <vt:variant>
        <vt:lpwstr/>
      </vt:variant>
      <vt:variant>
        <vt:lpwstr>_Toc224305920</vt:lpwstr>
      </vt:variant>
      <vt:variant>
        <vt:i4>5963888</vt:i4>
      </vt:variant>
      <vt:variant>
        <vt:i4>3</vt:i4>
      </vt:variant>
      <vt:variant>
        <vt:i4>0</vt:i4>
      </vt:variant>
      <vt:variant>
        <vt:i4>5</vt:i4>
      </vt:variant>
      <vt:variant>
        <vt:lpwstr>https://www.brattle.com/wp-content/uploads/2017/10/6081_effect_of_electric_decoupling_on_the_cost_of_capital.pdf</vt:lpwstr>
      </vt:variant>
      <vt:variant>
        <vt:lpwstr/>
      </vt:variant>
      <vt:variant>
        <vt:i4>2162742</vt:i4>
      </vt:variant>
      <vt:variant>
        <vt:i4>0</vt:i4>
      </vt:variant>
      <vt:variant>
        <vt:i4>0</vt:i4>
      </vt:variant>
      <vt:variant>
        <vt:i4>5</vt:i4>
      </vt:variant>
      <vt:variant>
        <vt:lpwstr>https://www.calwater.com/about/company-information/</vt:lpwstr>
      </vt:variant>
      <vt:variant>
        <vt:lpwstr/>
      </vt:variant>
      <vt:variant>
        <vt:i4>6946906</vt:i4>
      </vt:variant>
      <vt:variant>
        <vt:i4>60</vt:i4>
      </vt:variant>
      <vt:variant>
        <vt:i4>0</vt:i4>
      </vt:variant>
      <vt:variant>
        <vt:i4>5</vt:i4>
      </vt:variant>
      <vt:variant>
        <vt:lpwstr>mailto:Wilson.Tsai@cpuc.ca.gov</vt:lpwstr>
      </vt:variant>
      <vt:variant>
        <vt:lpwstr/>
      </vt:variant>
      <vt:variant>
        <vt:i4>4259955</vt:i4>
      </vt:variant>
      <vt:variant>
        <vt:i4>57</vt:i4>
      </vt:variant>
      <vt:variant>
        <vt:i4>0</vt:i4>
      </vt:variant>
      <vt:variant>
        <vt:i4>5</vt:i4>
      </vt:variant>
      <vt:variant>
        <vt:lpwstr>mailto:Manisha.Lakhanpal@cpuc.ca.gov</vt:lpwstr>
      </vt:variant>
      <vt:variant>
        <vt:lpwstr/>
      </vt:variant>
      <vt:variant>
        <vt:i4>6946906</vt:i4>
      </vt:variant>
      <vt:variant>
        <vt:i4>54</vt:i4>
      </vt:variant>
      <vt:variant>
        <vt:i4>0</vt:i4>
      </vt:variant>
      <vt:variant>
        <vt:i4>5</vt:i4>
      </vt:variant>
      <vt:variant>
        <vt:lpwstr>mailto:Wilson.Tsai@cpuc.ca.gov</vt:lpwstr>
      </vt:variant>
      <vt:variant>
        <vt:lpwstr/>
      </vt:variant>
      <vt:variant>
        <vt:i4>4587622</vt:i4>
      </vt:variant>
      <vt:variant>
        <vt:i4>51</vt:i4>
      </vt:variant>
      <vt:variant>
        <vt:i4>0</vt:i4>
      </vt:variant>
      <vt:variant>
        <vt:i4>5</vt:i4>
      </vt:variant>
      <vt:variant>
        <vt:lpwstr>mailto:Alberto.Rosas@cpuc.ca.gov</vt:lpwstr>
      </vt:variant>
      <vt:variant>
        <vt:lpwstr/>
      </vt:variant>
      <vt:variant>
        <vt:i4>4587622</vt:i4>
      </vt:variant>
      <vt:variant>
        <vt:i4>48</vt:i4>
      </vt:variant>
      <vt:variant>
        <vt:i4>0</vt:i4>
      </vt:variant>
      <vt:variant>
        <vt:i4>5</vt:i4>
      </vt:variant>
      <vt:variant>
        <vt:lpwstr>mailto:Alberto.Rosas@cpuc.ca.gov</vt:lpwstr>
      </vt:variant>
      <vt:variant>
        <vt:lpwstr/>
      </vt:variant>
      <vt:variant>
        <vt:i4>4587622</vt:i4>
      </vt:variant>
      <vt:variant>
        <vt:i4>45</vt:i4>
      </vt:variant>
      <vt:variant>
        <vt:i4>0</vt:i4>
      </vt:variant>
      <vt:variant>
        <vt:i4>5</vt:i4>
      </vt:variant>
      <vt:variant>
        <vt:lpwstr>mailto:Alberto.Rosas@cpuc.ca.gov</vt:lpwstr>
      </vt:variant>
      <vt:variant>
        <vt:lpwstr/>
      </vt:variant>
      <vt:variant>
        <vt:i4>4587622</vt:i4>
      </vt:variant>
      <vt:variant>
        <vt:i4>42</vt:i4>
      </vt:variant>
      <vt:variant>
        <vt:i4>0</vt:i4>
      </vt:variant>
      <vt:variant>
        <vt:i4>5</vt:i4>
      </vt:variant>
      <vt:variant>
        <vt:lpwstr>mailto:Alberto.Rosas@cpuc.ca.gov</vt:lpwstr>
      </vt:variant>
      <vt:variant>
        <vt:lpwstr/>
      </vt:variant>
      <vt:variant>
        <vt:i4>6946906</vt:i4>
      </vt:variant>
      <vt:variant>
        <vt:i4>39</vt:i4>
      </vt:variant>
      <vt:variant>
        <vt:i4>0</vt:i4>
      </vt:variant>
      <vt:variant>
        <vt:i4>5</vt:i4>
      </vt:variant>
      <vt:variant>
        <vt:lpwstr>mailto:Wilson.Tsai@cpuc.ca.gov</vt:lpwstr>
      </vt:variant>
      <vt:variant>
        <vt:lpwstr/>
      </vt:variant>
      <vt:variant>
        <vt:i4>5570678</vt:i4>
      </vt:variant>
      <vt:variant>
        <vt:i4>36</vt:i4>
      </vt:variant>
      <vt:variant>
        <vt:i4>0</vt:i4>
      </vt:variant>
      <vt:variant>
        <vt:i4>5</vt:i4>
      </vt:variant>
      <vt:variant>
        <vt:lpwstr>mailto:bruce.deberry@cpuc.ca.gov</vt:lpwstr>
      </vt:variant>
      <vt:variant>
        <vt:lpwstr/>
      </vt:variant>
      <vt:variant>
        <vt:i4>4587622</vt:i4>
      </vt:variant>
      <vt:variant>
        <vt:i4>33</vt:i4>
      </vt:variant>
      <vt:variant>
        <vt:i4>0</vt:i4>
      </vt:variant>
      <vt:variant>
        <vt:i4>5</vt:i4>
      </vt:variant>
      <vt:variant>
        <vt:lpwstr>mailto:Alberto.Rosas@cpuc.ca.gov</vt:lpwstr>
      </vt:variant>
      <vt:variant>
        <vt:lpwstr/>
      </vt:variant>
      <vt:variant>
        <vt:i4>5701729</vt:i4>
      </vt:variant>
      <vt:variant>
        <vt:i4>30</vt:i4>
      </vt:variant>
      <vt:variant>
        <vt:i4>0</vt:i4>
      </vt:variant>
      <vt:variant>
        <vt:i4>5</vt:i4>
      </vt:variant>
      <vt:variant>
        <vt:lpwstr>mailto:Matthew.Baker@cpuc.ca.gov</vt:lpwstr>
      </vt:variant>
      <vt:variant>
        <vt:lpwstr/>
      </vt:variant>
      <vt:variant>
        <vt:i4>4259955</vt:i4>
      </vt:variant>
      <vt:variant>
        <vt:i4>27</vt:i4>
      </vt:variant>
      <vt:variant>
        <vt:i4>0</vt:i4>
      </vt:variant>
      <vt:variant>
        <vt:i4>5</vt:i4>
      </vt:variant>
      <vt:variant>
        <vt:lpwstr>mailto:Manisha.Lakhanpal@cpuc.ca.gov</vt:lpwstr>
      </vt:variant>
      <vt:variant>
        <vt:lpwstr/>
      </vt:variant>
      <vt:variant>
        <vt:i4>6946906</vt:i4>
      </vt:variant>
      <vt:variant>
        <vt:i4>24</vt:i4>
      </vt:variant>
      <vt:variant>
        <vt:i4>0</vt:i4>
      </vt:variant>
      <vt:variant>
        <vt:i4>5</vt:i4>
      </vt:variant>
      <vt:variant>
        <vt:lpwstr>mailto:Wilson.Tsai@cpuc.ca.gov</vt:lpwstr>
      </vt:variant>
      <vt:variant>
        <vt:lpwstr/>
      </vt:variant>
      <vt:variant>
        <vt:i4>4587622</vt:i4>
      </vt:variant>
      <vt:variant>
        <vt:i4>21</vt:i4>
      </vt:variant>
      <vt:variant>
        <vt:i4>0</vt:i4>
      </vt:variant>
      <vt:variant>
        <vt:i4>5</vt:i4>
      </vt:variant>
      <vt:variant>
        <vt:lpwstr>mailto:Alberto.Rosas@cpuc.ca.gov</vt:lpwstr>
      </vt:variant>
      <vt:variant>
        <vt:lpwstr/>
      </vt:variant>
      <vt:variant>
        <vt:i4>4587622</vt:i4>
      </vt:variant>
      <vt:variant>
        <vt:i4>18</vt:i4>
      </vt:variant>
      <vt:variant>
        <vt:i4>0</vt:i4>
      </vt:variant>
      <vt:variant>
        <vt:i4>5</vt:i4>
      </vt:variant>
      <vt:variant>
        <vt:lpwstr>mailto:Alberto.Rosas@cpuc.ca.gov</vt:lpwstr>
      </vt:variant>
      <vt:variant>
        <vt:lpwstr/>
      </vt:variant>
      <vt:variant>
        <vt:i4>1048630</vt:i4>
      </vt:variant>
      <vt:variant>
        <vt:i4>15</vt:i4>
      </vt:variant>
      <vt:variant>
        <vt:i4>0</vt:i4>
      </vt:variant>
      <vt:variant>
        <vt:i4>5</vt:i4>
      </vt:variant>
      <vt:variant>
        <vt:lpwstr>mailto:Mahdi.Jahami@cpuc.ca.gov</vt:lpwstr>
      </vt:variant>
      <vt:variant>
        <vt:lpwstr/>
      </vt:variant>
      <vt:variant>
        <vt:i4>6946906</vt:i4>
      </vt:variant>
      <vt:variant>
        <vt:i4>12</vt:i4>
      </vt:variant>
      <vt:variant>
        <vt:i4>0</vt:i4>
      </vt:variant>
      <vt:variant>
        <vt:i4>5</vt:i4>
      </vt:variant>
      <vt:variant>
        <vt:lpwstr>mailto:Wilson.Tsai@cpuc.ca.gov</vt:lpwstr>
      </vt:variant>
      <vt:variant>
        <vt:lpwstr/>
      </vt:variant>
      <vt:variant>
        <vt:i4>6946906</vt:i4>
      </vt:variant>
      <vt:variant>
        <vt:i4>9</vt:i4>
      </vt:variant>
      <vt:variant>
        <vt:i4>0</vt:i4>
      </vt:variant>
      <vt:variant>
        <vt:i4>5</vt:i4>
      </vt:variant>
      <vt:variant>
        <vt:lpwstr>mailto:Wilson.Tsai@cpuc.ca.gov</vt:lpwstr>
      </vt:variant>
      <vt:variant>
        <vt:lpwstr/>
      </vt:variant>
      <vt:variant>
        <vt:i4>6946906</vt:i4>
      </vt:variant>
      <vt:variant>
        <vt:i4>6</vt:i4>
      </vt:variant>
      <vt:variant>
        <vt:i4>0</vt:i4>
      </vt:variant>
      <vt:variant>
        <vt:i4>5</vt:i4>
      </vt:variant>
      <vt:variant>
        <vt:lpwstr>mailto:Wilson.Tsai@cpuc.ca.gov</vt:lpwstr>
      </vt:variant>
      <vt:variant>
        <vt:lpwstr/>
      </vt:variant>
      <vt:variant>
        <vt:i4>6946906</vt:i4>
      </vt:variant>
      <vt:variant>
        <vt:i4>3</vt:i4>
      </vt:variant>
      <vt:variant>
        <vt:i4>0</vt:i4>
      </vt:variant>
      <vt:variant>
        <vt:i4>5</vt:i4>
      </vt:variant>
      <vt:variant>
        <vt:lpwstr>mailto:Wilson.Tsai@cpuc.ca.gov</vt:lpwstr>
      </vt:variant>
      <vt:variant>
        <vt:lpwstr/>
      </vt:variant>
      <vt:variant>
        <vt:i4>1048630</vt:i4>
      </vt:variant>
      <vt:variant>
        <vt:i4>0</vt:i4>
      </vt:variant>
      <vt:variant>
        <vt:i4>0</vt:i4>
      </vt:variant>
      <vt:variant>
        <vt:i4>5</vt:i4>
      </vt:variant>
      <vt:variant>
        <vt:lpwstr>mailto:Mahdi.Jahami@cpuc.ca.gov</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2026-04-28T19:26:20Z</dcterms:created>
  <dcterms:modified xsi:type="dcterms:W3CDTF">2026-04-28T19:26:20Z</dcterms:modified>
</cp:coreProperties>
</file>