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F137A" w:rsidR="00B60421" w:rsidP="007E0FEE" w:rsidRDefault="00A34413" w14:paraId="1838662B" w14:textId="772738D7">
      <w:pPr>
        <w:tabs>
          <w:tab w:val="center" w:pos="4680"/>
          <w:tab w:val="right" w:pos="9360"/>
        </w:tabs>
        <w:spacing w:line="240" w:lineRule="auto"/>
        <w:ind w:firstLine="0"/>
      </w:pPr>
      <w:r w:rsidRPr="006F137A">
        <w:t>ALJ</w:t>
      </w:r>
      <w:r w:rsidRPr="006F137A" w:rsidR="00DA7B5D">
        <w:t>/</w:t>
      </w:r>
      <w:r w:rsidRPr="006F137A" w:rsidR="00321404">
        <w:t>J06</w:t>
      </w:r>
      <w:r w:rsidRPr="006F137A" w:rsidR="00DA7B5D">
        <w:t>/</w:t>
      </w:r>
      <w:r w:rsidRPr="006F137A">
        <w:t>nd3</w:t>
      </w:r>
      <w:r w:rsidRPr="006F137A" w:rsidR="007E0FEE">
        <w:tab/>
      </w:r>
      <w:r w:rsidRPr="006F137A" w:rsidR="00DA7B5D">
        <w:rPr>
          <w:rFonts w:cs="Arial"/>
          <w:b/>
          <w:szCs w:val="32"/>
        </w:rPr>
        <w:t>PROPOSED DECISION</w:t>
      </w:r>
      <w:r w:rsidRPr="006F137A" w:rsidR="00DA7B5D">
        <w:tab/>
      </w:r>
      <w:r w:rsidRPr="006F137A" w:rsidR="00DA7B5D">
        <w:rPr>
          <w:b/>
        </w:rPr>
        <w:t>Agenda ID #</w:t>
      </w:r>
      <w:r w:rsidRPr="006F137A" w:rsidR="00515CB5">
        <w:rPr>
          <w:b/>
        </w:rPr>
        <w:t>24102</w:t>
      </w:r>
      <w:r w:rsidR="00570764">
        <w:rPr>
          <w:b/>
        </w:rPr>
        <w:t xml:space="preserve"> </w:t>
      </w:r>
      <w:r w:rsidRPr="00570764" w:rsidR="00570764">
        <w:rPr>
          <w:b/>
        </w:rPr>
        <w:t>(Rev.1)</w:t>
      </w:r>
    </w:p>
    <w:p w:rsidR="00DA7B5D" w:rsidP="00632207" w:rsidRDefault="00E42B35" w14:paraId="46B446BA" w14:textId="7FA8246A">
      <w:pPr>
        <w:spacing w:line="240" w:lineRule="auto"/>
        <w:jc w:val="right"/>
        <w:rPr>
          <w:b/>
        </w:rPr>
      </w:pPr>
      <w:r w:rsidRPr="006F137A">
        <w:rPr>
          <w:b/>
        </w:rPr>
        <w:t>Ratesetting</w:t>
      </w:r>
    </w:p>
    <w:p w:rsidRPr="006F137A" w:rsidR="00570764" w:rsidP="00632207" w:rsidRDefault="00570764" w14:paraId="48717C13" w14:textId="45B9173E">
      <w:pPr>
        <w:spacing w:line="240" w:lineRule="auto"/>
        <w:jc w:val="right"/>
        <w:rPr>
          <w:b/>
        </w:rPr>
      </w:pPr>
      <w:r>
        <w:rPr>
          <w:b/>
        </w:rPr>
        <w:t>4/30/2026  Item #</w:t>
      </w:r>
      <w:r w:rsidRPr="00BD46BE" w:rsidR="00BD46BE">
        <w:rPr>
          <w:b/>
        </w:rPr>
        <w:t>11</w:t>
      </w:r>
    </w:p>
    <w:p w:rsidRPr="006F137A" w:rsidR="00DA7B5D" w:rsidP="00A34413" w:rsidRDefault="00DA7B5D" w14:paraId="0D0A35E0" w14:textId="77777777">
      <w:pPr>
        <w:spacing w:line="240" w:lineRule="auto"/>
        <w:ind w:firstLine="0"/>
      </w:pPr>
    </w:p>
    <w:p w:rsidRPr="006F137A" w:rsidR="00A34413" w:rsidP="00A34413" w:rsidRDefault="00A34413" w14:paraId="29671A76" w14:textId="77777777">
      <w:pPr>
        <w:spacing w:line="240" w:lineRule="auto"/>
        <w:ind w:firstLine="0"/>
      </w:pPr>
    </w:p>
    <w:p w:rsidRPr="006F137A" w:rsidR="00DA7B5D" w:rsidP="00A34413" w:rsidRDefault="00DA7B5D" w14:paraId="5BC17FDB" w14:textId="694FFDA0">
      <w:pPr>
        <w:spacing w:line="240" w:lineRule="auto"/>
        <w:ind w:left="1080" w:hanging="1080"/>
      </w:pPr>
      <w:r w:rsidRPr="006F137A">
        <w:t xml:space="preserve">Decision </w:t>
      </w:r>
      <w:r w:rsidRPr="006F137A" w:rsidR="00E14D69">
        <w:rPr>
          <w:b/>
          <w:bCs/>
          <w:u w:val="single"/>
        </w:rPr>
        <w:t>PROPOSED DECISION OF ALJ PEREZ</w:t>
      </w:r>
      <w:r w:rsidRPr="006F137A" w:rsidR="00C93942">
        <w:rPr>
          <w:b/>
          <w:bCs/>
          <w:u w:val="single"/>
        </w:rPr>
        <w:noBreakHyphen/>
      </w:r>
      <w:r w:rsidRPr="006F137A" w:rsidR="00E14D69">
        <w:rPr>
          <w:b/>
          <w:bCs/>
          <w:u w:val="single"/>
        </w:rPr>
        <w:t>GREEN</w:t>
      </w:r>
      <w:r w:rsidRPr="006F137A" w:rsidR="00E14D69">
        <w:rPr>
          <w:b/>
          <w:bCs/>
        </w:rPr>
        <w:t xml:space="preserve"> (Mailed </w:t>
      </w:r>
      <w:r w:rsidRPr="006F137A" w:rsidR="00515CB5">
        <w:rPr>
          <w:b/>
          <w:bCs/>
        </w:rPr>
        <w:t>3/20</w:t>
      </w:r>
      <w:r w:rsidRPr="006F137A" w:rsidR="00E14D69">
        <w:rPr>
          <w:b/>
          <w:bCs/>
        </w:rPr>
        <w:t>/2026)</w:t>
      </w:r>
    </w:p>
    <w:p w:rsidRPr="006F137A" w:rsidR="00A34413" w:rsidP="00A34413" w:rsidRDefault="00A34413" w14:paraId="27352BEA" w14:textId="77777777">
      <w:pPr>
        <w:spacing w:line="240" w:lineRule="auto"/>
        <w:ind w:left="1080" w:hanging="1080"/>
      </w:pPr>
    </w:p>
    <w:p w:rsidRPr="006F137A" w:rsidR="00A34413" w:rsidP="00A34413" w:rsidRDefault="00A34413" w14:paraId="3428BA07" w14:textId="77777777">
      <w:pPr>
        <w:spacing w:line="240" w:lineRule="auto"/>
        <w:ind w:left="1080" w:hanging="1080"/>
      </w:pPr>
    </w:p>
    <w:p w:rsidRPr="006F137A" w:rsidR="00DA7B5D" w:rsidP="00BB0243" w:rsidRDefault="00DA7B5D" w14:paraId="6A3D7FC8" w14:textId="77777777">
      <w:pPr>
        <w:spacing w:line="240" w:lineRule="auto"/>
        <w:ind w:firstLine="0"/>
        <w:jc w:val="center"/>
        <w:rPr>
          <w:rFonts w:ascii="Arial" w:hAnsi="Arial" w:cs="Arial"/>
          <w:sz w:val="24"/>
          <w:szCs w:val="24"/>
        </w:rPr>
      </w:pPr>
      <w:r w:rsidRPr="006F137A">
        <w:rPr>
          <w:rFonts w:ascii="Arial" w:hAnsi="Arial" w:cs="Arial"/>
          <w:b/>
          <w:sz w:val="24"/>
          <w:szCs w:val="24"/>
        </w:rPr>
        <w:t>BEFORE THE PUBLIC UTILITIES COMMISSION OF THE STATE OF CALIFORNIA</w:t>
      </w:r>
    </w:p>
    <w:p w:rsidRPr="006F137A" w:rsidR="00DA7B5D" w:rsidP="008F0116" w:rsidRDefault="00DA7B5D" w14:paraId="545C18A3"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Pr="006F137A" w:rsidR="00DA7B5D" w:rsidTr="00E725FC" w14:paraId="2A402E54" w14:textId="77777777">
        <w:trPr>
          <w:jc w:val="center"/>
        </w:trPr>
        <w:tc>
          <w:tcPr>
            <w:tcW w:w="5040" w:type="dxa"/>
            <w:tcBorders>
              <w:top w:val="nil"/>
              <w:left w:val="nil"/>
              <w:bottom w:val="single" w:color="auto" w:sz="4" w:space="0"/>
              <w:right w:val="single" w:color="auto" w:sz="4" w:space="0"/>
            </w:tcBorders>
          </w:tcPr>
          <w:p w:rsidRPr="006F137A" w:rsidR="00DA7B5D" w:rsidP="00C10B5F" w:rsidRDefault="00B03BAD" w14:paraId="0807B0A6" w14:textId="4FBFFDB1">
            <w:pPr>
              <w:spacing w:line="240" w:lineRule="auto"/>
              <w:ind w:firstLine="0"/>
              <w:rPr>
                <w:rFonts w:cs="Arial"/>
                <w:szCs w:val="26"/>
              </w:rPr>
            </w:pPr>
            <w:r w:rsidRPr="006F137A">
              <w:rPr>
                <w:rFonts w:cs="Arial"/>
                <w:szCs w:val="26"/>
              </w:rPr>
              <w:t xml:space="preserve">In The Matter of the Application of Southern California Gas Company (U904G) for Authorization to Implement Revenue Requirement for Costs to Enable Commencement of </w:t>
            </w:r>
            <w:r w:rsidRPr="006F137A" w:rsidR="00C93942">
              <w:rPr>
                <w:rFonts w:cs="Arial"/>
                <w:szCs w:val="26"/>
              </w:rPr>
              <w:t>Phase 2</w:t>
            </w:r>
            <w:r w:rsidRPr="006F137A">
              <w:rPr>
                <w:rFonts w:cs="Arial"/>
                <w:szCs w:val="26"/>
              </w:rPr>
              <w:t xml:space="preserve"> Activities for Angeles Link.</w:t>
            </w:r>
          </w:p>
          <w:p w:rsidRPr="006F137A" w:rsidR="00B03BAD" w:rsidP="00C10B5F" w:rsidRDefault="00B03BAD" w14:paraId="6C29FE27" w14:textId="1E19476D">
            <w:pPr>
              <w:spacing w:line="240" w:lineRule="auto"/>
              <w:ind w:firstLine="0"/>
              <w:rPr>
                <w:rFonts w:cs="Arial"/>
                <w:szCs w:val="26"/>
              </w:rPr>
            </w:pPr>
          </w:p>
        </w:tc>
        <w:tc>
          <w:tcPr>
            <w:tcW w:w="5040" w:type="dxa"/>
            <w:tcBorders>
              <w:top w:val="nil"/>
              <w:left w:val="single" w:color="auto" w:sz="4" w:space="0"/>
              <w:bottom w:val="nil"/>
              <w:right w:val="nil"/>
            </w:tcBorders>
            <w:vAlign w:val="center"/>
          </w:tcPr>
          <w:p w:rsidRPr="006F137A" w:rsidR="00DA7B5D" w:rsidP="00412C83" w:rsidRDefault="0017653E" w14:paraId="22080F50" w14:textId="65FDE289">
            <w:pPr>
              <w:spacing w:line="240" w:lineRule="auto"/>
              <w:ind w:firstLine="0"/>
              <w:jc w:val="center"/>
              <w:rPr>
                <w:rFonts w:cs="Arial"/>
                <w:szCs w:val="26"/>
              </w:rPr>
            </w:pPr>
            <w:r w:rsidRPr="006F137A">
              <w:rPr>
                <w:rFonts w:cs="Arial"/>
                <w:szCs w:val="26"/>
              </w:rPr>
              <w:t>Application 24</w:t>
            </w:r>
            <w:r w:rsidRPr="006F137A" w:rsidR="00C93942">
              <w:rPr>
                <w:rFonts w:cs="Arial"/>
                <w:szCs w:val="26"/>
              </w:rPr>
              <w:noBreakHyphen/>
            </w:r>
            <w:r w:rsidRPr="006F137A">
              <w:rPr>
                <w:rFonts w:cs="Arial"/>
                <w:szCs w:val="26"/>
              </w:rPr>
              <w:t>12</w:t>
            </w:r>
            <w:r w:rsidRPr="006F137A" w:rsidR="00C93942">
              <w:rPr>
                <w:rFonts w:cs="Arial"/>
                <w:szCs w:val="26"/>
              </w:rPr>
              <w:noBreakHyphen/>
            </w:r>
            <w:r w:rsidRPr="006F137A">
              <w:rPr>
                <w:rFonts w:cs="Arial"/>
                <w:szCs w:val="26"/>
              </w:rPr>
              <w:t>011</w:t>
            </w:r>
          </w:p>
        </w:tc>
      </w:tr>
    </w:tbl>
    <w:p w:rsidRPr="006F137A" w:rsidR="00DA7B5D" w:rsidP="008F0116" w:rsidRDefault="00DA7B5D" w14:paraId="7B3E242E" w14:textId="77777777">
      <w:pPr>
        <w:spacing w:line="240" w:lineRule="auto"/>
        <w:ind w:firstLine="0"/>
        <w:rPr>
          <w:rFonts w:ascii="Arial" w:hAnsi="Arial" w:cs="Arial"/>
          <w:sz w:val="24"/>
          <w:szCs w:val="24"/>
        </w:rPr>
      </w:pPr>
    </w:p>
    <w:p w:rsidRPr="006F137A" w:rsidR="00DA7B5D" w:rsidP="008F0116" w:rsidRDefault="00DA7B5D" w14:paraId="19FEE67C" w14:textId="77777777">
      <w:pPr>
        <w:spacing w:line="240" w:lineRule="auto"/>
        <w:ind w:firstLine="0"/>
        <w:rPr>
          <w:rFonts w:ascii="Arial" w:hAnsi="Arial" w:cs="Arial"/>
          <w:sz w:val="24"/>
          <w:szCs w:val="24"/>
        </w:rPr>
      </w:pPr>
    </w:p>
    <w:p w:rsidRPr="006F137A" w:rsidR="003873F5" w:rsidP="003873F5" w:rsidRDefault="003873F5" w14:paraId="197ABB07" w14:textId="67E4637C">
      <w:pPr>
        <w:pStyle w:val="Dummy"/>
        <w:jc w:val="center"/>
      </w:pPr>
      <w:r w:rsidRPr="006F137A">
        <w:fldChar w:fldCharType="begin"/>
      </w:r>
      <w:r w:rsidRPr="006F137A">
        <w:instrText xml:space="preserve"> REF Title \h </w:instrText>
      </w:r>
      <w:r w:rsidR="006F137A">
        <w:instrText xml:space="preserve"> \* MERGEFORMAT </w:instrText>
      </w:r>
      <w:r w:rsidRPr="006F137A">
        <w:fldChar w:fldCharType="separate"/>
      </w:r>
      <w:bookmarkStart w:name="_Toc228299454" w:id="0"/>
      <w:r w:rsidRPr="006F137A" w:rsidR="00FF579E">
        <w:t>DECISION DENYING SOUTHERN CALIFORNIA GAS COMPANY’S</w:t>
      </w:r>
      <w:r w:rsidRPr="006F137A" w:rsidR="00FF579E">
        <w:br/>
        <w:t>REQUEST FOR COST RECOVERY FROM RATEPAYERS</w:t>
      </w:r>
      <w:r w:rsidRPr="006F137A" w:rsidR="00FF579E">
        <w:br/>
        <w:t>FOR PHASE 2 ACTIVITIES FOR ANGELES LINK PROJECT</w:t>
      </w:r>
      <w:bookmarkEnd w:id="0"/>
      <w:r w:rsidRPr="006F137A">
        <w:fldChar w:fldCharType="end"/>
      </w:r>
    </w:p>
    <w:p w:rsidRPr="006F137A" w:rsidR="006E1BE7" w:rsidP="006E1BE7" w:rsidRDefault="006E1BE7" w14:paraId="425FFD3F" w14:textId="77777777">
      <w:pPr>
        <w:pStyle w:val="Dummy"/>
      </w:pPr>
    </w:p>
    <w:p w:rsidRPr="006F137A" w:rsidR="00F92385" w:rsidP="00B3087D" w:rsidRDefault="00F92385" w14:paraId="62DCDA91" w14:textId="678DD983">
      <w:pPr>
        <w:pStyle w:val="Dummy"/>
        <w:jc w:val="center"/>
        <w:sectPr w:rsidRPr="006F137A" w:rsidR="00F92385" w:rsidSect="00143359">
          <w:headerReference w:type="default" r:id="rId11"/>
          <w:foot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pPr>
    </w:p>
    <w:p w:rsidRPr="006F137A" w:rsidR="00D50119" w:rsidP="003873F5" w:rsidRDefault="00D50119" w14:paraId="4DB9DD5E" w14:textId="77777777">
      <w:pPr>
        <w:pStyle w:val="TOCHeading"/>
      </w:pPr>
      <w:r w:rsidRPr="006F137A">
        <w:lastRenderedPageBreak/>
        <w:t>TABLE OF CONTENTS</w:t>
      </w:r>
    </w:p>
    <w:p w:rsidRPr="006F137A" w:rsidR="00D50119" w:rsidP="003873F5" w:rsidRDefault="00D50119" w14:paraId="6E6E402E" w14:textId="77777777">
      <w:pPr>
        <w:tabs>
          <w:tab w:val="right" w:pos="9360"/>
        </w:tabs>
        <w:spacing w:line="240" w:lineRule="auto"/>
        <w:ind w:firstLine="0"/>
      </w:pPr>
      <w:r w:rsidRPr="006F137A">
        <w:rPr>
          <w:b/>
        </w:rPr>
        <w:t>Title</w:t>
      </w:r>
      <w:r w:rsidRPr="006F137A">
        <w:tab/>
      </w:r>
      <w:r w:rsidRPr="006F137A">
        <w:rPr>
          <w:b/>
        </w:rPr>
        <w:t>Page</w:t>
      </w:r>
    </w:p>
    <w:sdt>
      <w:sdtPr>
        <w:id w:val="-1224440197"/>
        <w:docPartObj>
          <w:docPartGallery w:val="Table of Contents"/>
          <w:docPartUnique/>
        </w:docPartObj>
      </w:sdtPr>
      <w:sdtEndPr>
        <w:rPr>
          <w:b/>
          <w:bCs/>
          <w:noProof/>
        </w:rPr>
      </w:sdtEndPr>
      <w:sdtContent>
        <w:p w:rsidR="00FF579E" w:rsidP="00FF579E" w:rsidRDefault="008C7413" w14:paraId="3CFAD738" w14:textId="5DCB591E">
          <w:pPr>
            <w:pStyle w:val="TOC1"/>
            <w:tabs>
              <w:tab w:val="right" w:leader="dot" w:pos="9350"/>
            </w:tabs>
            <w:ind w:left="0" w:firstLine="0"/>
            <w:rPr>
              <w:rFonts w:asciiTheme="minorHAnsi" w:hAnsiTheme="minorHAnsi" w:cstheme="minorBidi"/>
              <w:noProof/>
              <w:kern w:val="2"/>
              <w:sz w:val="24"/>
              <w:szCs w:val="24"/>
              <w14:ligatures w14:val="standardContextual"/>
            </w:rPr>
          </w:pPr>
          <w:r w:rsidRPr="006F137A">
            <w:rPr>
              <w:rFonts w:asciiTheme="minorHAnsi" w:hAnsiTheme="minorHAnsi"/>
              <w:sz w:val="22"/>
            </w:rPr>
            <w:fldChar w:fldCharType="begin"/>
          </w:r>
          <w:r w:rsidRPr="006F137A">
            <w:rPr>
              <w:rFonts w:asciiTheme="minorHAnsi" w:hAnsiTheme="minorHAnsi"/>
              <w:sz w:val="22"/>
            </w:rPr>
            <w:instrText xml:space="preserve"> TOC \o "1-6" \h \z \u </w:instrText>
          </w:r>
          <w:r w:rsidRPr="006F137A">
            <w:rPr>
              <w:rFonts w:asciiTheme="minorHAnsi" w:hAnsiTheme="minorHAnsi"/>
              <w:sz w:val="22"/>
            </w:rPr>
            <w:fldChar w:fldCharType="separate"/>
          </w:r>
          <w:hyperlink w:history="1" w:anchor="_Toc228299454">
            <w:r w:rsidRPr="00880DE9" w:rsidR="00FF579E">
              <w:rPr>
                <w:rStyle w:val="Hyperlink"/>
                <w:noProof/>
              </w:rPr>
              <w:t>DECISION DENYING SOUTHERN CALIFORNIA GAS COMPANY’S REQUEST FOR COST RECOVERY FROM RATEPAYERS FOR PHASE 2 ACTIVITIES FOR ANGELES LINK PROJECT</w:t>
            </w:r>
            <w:r w:rsidR="00FF579E">
              <w:rPr>
                <w:noProof/>
                <w:webHidden/>
              </w:rPr>
              <w:tab/>
            </w:r>
            <w:r w:rsidR="00FF579E">
              <w:rPr>
                <w:noProof/>
                <w:webHidden/>
              </w:rPr>
              <w:fldChar w:fldCharType="begin"/>
            </w:r>
            <w:r w:rsidR="00FF579E">
              <w:rPr>
                <w:noProof/>
                <w:webHidden/>
              </w:rPr>
              <w:instrText xml:space="preserve"> PAGEREF _Toc228299454 \h </w:instrText>
            </w:r>
            <w:r w:rsidR="00FF579E">
              <w:rPr>
                <w:noProof/>
                <w:webHidden/>
              </w:rPr>
            </w:r>
            <w:r w:rsidR="00FF579E">
              <w:rPr>
                <w:noProof/>
                <w:webHidden/>
              </w:rPr>
              <w:fldChar w:fldCharType="separate"/>
            </w:r>
            <w:r w:rsidR="00FF579E">
              <w:rPr>
                <w:noProof/>
                <w:webHidden/>
              </w:rPr>
              <w:t>1</w:t>
            </w:r>
            <w:r w:rsidR="00FF579E">
              <w:rPr>
                <w:noProof/>
                <w:webHidden/>
              </w:rPr>
              <w:fldChar w:fldCharType="end"/>
            </w:r>
          </w:hyperlink>
        </w:p>
        <w:p w:rsidR="00FF579E" w:rsidRDefault="00FF579E" w14:paraId="7E1F5CC7" w14:textId="2F430493">
          <w:pPr>
            <w:pStyle w:val="TOC1"/>
            <w:tabs>
              <w:tab w:val="right" w:leader="dot" w:pos="9350"/>
            </w:tabs>
            <w:rPr>
              <w:rFonts w:asciiTheme="minorHAnsi" w:hAnsiTheme="minorHAnsi" w:cstheme="minorBidi"/>
              <w:noProof/>
              <w:kern w:val="2"/>
              <w:sz w:val="24"/>
              <w:szCs w:val="24"/>
              <w14:ligatures w14:val="standardContextual"/>
            </w:rPr>
          </w:pPr>
          <w:hyperlink w:history="1" w:anchor="_Toc228299455">
            <w:r w:rsidRPr="00880DE9">
              <w:rPr>
                <w:rStyle w:val="Hyperlink"/>
                <w:noProof/>
              </w:rPr>
              <w:t>Summary</w:t>
            </w:r>
            <w:r>
              <w:rPr>
                <w:noProof/>
                <w:webHidden/>
              </w:rPr>
              <w:tab/>
            </w:r>
            <w:r>
              <w:rPr>
                <w:noProof/>
                <w:webHidden/>
              </w:rPr>
              <w:fldChar w:fldCharType="begin"/>
            </w:r>
            <w:r>
              <w:rPr>
                <w:noProof/>
                <w:webHidden/>
              </w:rPr>
              <w:instrText xml:space="preserve"> PAGEREF _Toc228299455 \h </w:instrText>
            </w:r>
            <w:r>
              <w:rPr>
                <w:noProof/>
                <w:webHidden/>
              </w:rPr>
            </w:r>
            <w:r>
              <w:rPr>
                <w:noProof/>
                <w:webHidden/>
              </w:rPr>
              <w:fldChar w:fldCharType="separate"/>
            </w:r>
            <w:r>
              <w:rPr>
                <w:noProof/>
                <w:webHidden/>
              </w:rPr>
              <w:t>2</w:t>
            </w:r>
            <w:r>
              <w:rPr>
                <w:noProof/>
                <w:webHidden/>
              </w:rPr>
              <w:fldChar w:fldCharType="end"/>
            </w:r>
          </w:hyperlink>
        </w:p>
        <w:p w:rsidR="00FF579E" w:rsidRDefault="00FF579E" w14:paraId="14372B8B" w14:textId="35BFBCF0">
          <w:pPr>
            <w:pStyle w:val="TOC1"/>
            <w:tabs>
              <w:tab w:val="right" w:leader="dot" w:pos="9350"/>
            </w:tabs>
            <w:rPr>
              <w:rFonts w:asciiTheme="minorHAnsi" w:hAnsiTheme="minorHAnsi" w:cstheme="minorBidi"/>
              <w:noProof/>
              <w:kern w:val="2"/>
              <w:sz w:val="24"/>
              <w:szCs w:val="24"/>
              <w14:ligatures w14:val="standardContextual"/>
            </w:rPr>
          </w:pPr>
          <w:hyperlink w:history="1" w:anchor="_Toc228299456">
            <w:r w:rsidRPr="00880DE9">
              <w:rPr>
                <w:rStyle w:val="Hyperlink"/>
                <w:noProof/>
              </w:rPr>
              <w:t>1.</w:t>
            </w:r>
            <w:r>
              <w:rPr>
                <w:rFonts w:asciiTheme="minorHAnsi" w:hAnsiTheme="minorHAnsi" w:cstheme="minorBidi"/>
                <w:noProof/>
                <w:kern w:val="2"/>
                <w:sz w:val="24"/>
                <w:szCs w:val="24"/>
                <w14:ligatures w14:val="standardContextual"/>
              </w:rPr>
              <w:tab/>
            </w:r>
            <w:r w:rsidRPr="00880DE9">
              <w:rPr>
                <w:rStyle w:val="Hyperlink"/>
                <w:noProof/>
              </w:rPr>
              <w:t>Background</w:t>
            </w:r>
            <w:r>
              <w:rPr>
                <w:noProof/>
                <w:webHidden/>
              </w:rPr>
              <w:tab/>
            </w:r>
            <w:r>
              <w:rPr>
                <w:noProof/>
                <w:webHidden/>
              </w:rPr>
              <w:fldChar w:fldCharType="begin"/>
            </w:r>
            <w:r>
              <w:rPr>
                <w:noProof/>
                <w:webHidden/>
              </w:rPr>
              <w:instrText xml:space="preserve"> PAGEREF _Toc228299456 \h </w:instrText>
            </w:r>
            <w:r>
              <w:rPr>
                <w:noProof/>
                <w:webHidden/>
              </w:rPr>
            </w:r>
            <w:r>
              <w:rPr>
                <w:noProof/>
                <w:webHidden/>
              </w:rPr>
              <w:fldChar w:fldCharType="separate"/>
            </w:r>
            <w:r>
              <w:rPr>
                <w:noProof/>
                <w:webHidden/>
              </w:rPr>
              <w:t>2</w:t>
            </w:r>
            <w:r>
              <w:rPr>
                <w:noProof/>
                <w:webHidden/>
              </w:rPr>
              <w:fldChar w:fldCharType="end"/>
            </w:r>
          </w:hyperlink>
        </w:p>
        <w:p w:rsidR="00FF579E" w:rsidRDefault="00FF579E" w14:paraId="238E20AE" w14:textId="3ED8F638">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8299457">
            <w:r w:rsidRPr="00880DE9">
              <w:rPr>
                <w:rStyle w:val="Hyperlink"/>
                <w:noProof/>
              </w:rPr>
              <w:t>1.1.</w:t>
            </w:r>
            <w:r>
              <w:rPr>
                <w:rFonts w:asciiTheme="minorHAnsi" w:hAnsiTheme="minorHAnsi" w:cstheme="minorBidi"/>
                <w:noProof/>
                <w:kern w:val="2"/>
                <w:sz w:val="24"/>
                <w:szCs w:val="24"/>
                <w14:ligatures w14:val="standardContextual"/>
              </w:rPr>
              <w:tab/>
            </w:r>
            <w:r w:rsidRPr="00880DE9">
              <w:rPr>
                <w:rStyle w:val="Hyperlink"/>
                <w:noProof/>
              </w:rPr>
              <w:t>Submission Date</w:t>
            </w:r>
            <w:r>
              <w:rPr>
                <w:noProof/>
                <w:webHidden/>
              </w:rPr>
              <w:tab/>
            </w:r>
            <w:r>
              <w:rPr>
                <w:noProof/>
                <w:webHidden/>
              </w:rPr>
              <w:fldChar w:fldCharType="begin"/>
            </w:r>
            <w:r>
              <w:rPr>
                <w:noProof/>
                <w:webHidden/>
              </w:rPr>
              <w:instrText xml:space="preserve"> PAGEREF _Toc228299457 \h </w:instrText>
            </w:r>
            <w:r>
              <w:rPr>
                <w:noProof/>
                <w:webHidden/>
              </w:rPr>
            </w:r>
            <w:r>
              <w:rPr>
                <w:noProof/>
                <w:webHidden/>
              </w:rPr>
              <w:fldChar w:fldCharType="separate"/>
            </w:r>
            <w:r>
              <w:rPr>
                <w:noProof/>
                <w:webHidden/>
              </w:rPr>
              <w:t>5</w:t>
            </w:r>
            <w:r>
              <w:rPr>
                <w:noProof/>
                <w:webHidden/>
              </w:rPr>
              <w:fldChar w:fldCharType="end"/>
            </w:r>
          </w:hyperlink>
        </w:p>
        <w:p w:rsidR="00FF579E" w:rsidRDefault="00FF579E" w14:paraId="1E887AFF" w14:textId="25CBED38">
          <w:pPr>
            <w:pStyle w:val="TOC1"/>
            <w:tabs>
              <w:tab w:val="right" w:leader="dot" w:pos="9350"/>
            </w:tabs>
            <w:rPr>
              <w:rFonts w:asciiTheme="minorHAnsi" w:hAnsiTheme="minorHAnsi" w:cstheme="minorBidi"/>
              <w:noProof/>
              <w:kern w:val="2"/>
              <w:sz w:val="24"/>
              <w:szCs w:val="24"/>
              <w14:ligatures w14:val="standardContextual"/>
            </w:rPr>
          </w:pPr>
          <w:hyperlink w:history="1" w:anchor="_Toc228299458">
            <w:r w:rsidRPr="00880DE9">
              <w:rPr>
                <w:rStyle w:val="Hyperlink"/>
                <w:noProof/>
              </w:rPr>
              <w:t>2.</w:t>
            </w:r>
            <w:r>
              <w:rPr>
                <w:rFonts w:asciiTheme="minorHAnsi" w:hAnsiTheme="minorHAnsi" w:cstheme="minorBidi"/>
                <w:noProof/>
                <w:kern w:val="2"/>
                <w:sz w:val="24"/>
                <w:szCs w:val="24"/>
                <w14:ligatures w14:val="standardContextual"/>
              </w:rPr>
              <w:tab/>
            </w:r>
            <w:r w:rsidRPr="00880DE9">
              <w:rPr>
                <w:rStyle w:val="Hyperlink"/>
                <w:noProof/>
              </w:rPr>
              <w:t>Issues Before the Commission</w:t>
            </w:r>
            <w:r>
              <w:rPr>
                <w:noProof/>
                <w:webHidden/>
              </w:rPr>
              <w:tab/>
            </w:r>
            <w:r>
              <w:rPr>
                <w:noProof/>
                <w:webHidden/>
              </w:rPr>
              <w:fldChar w:fldCharType="begin"/>
            </w:r>
            <w:r>
              <w:rPr>
                <w:noProof/>
                <w:webHidden/>
              </w:rPr>
              <w:instrText xml:space="preserve"> PAGEREF _Toc228299458 \h </w:instrText>
            </w:r>
            <w:r>
              <w:rPr>
                <w:noProof/>
                <w:webHidden/>
              </w:rPr>
            </w:r>
            <w:r>
              <w:rPr>
                <w:noProof/>
                <w:webHidden/>
              </w:rPr>
              <w:fldChar w:fldCharType="separate"/>
            </w:r>
            <w:r>
              <w:rPr>
                <w:noProof/>
                <w:webHidden/>
              </w:rPr>
              <w:t>5</w:t>
            </w:r>
            <w:r>
              <w:rPr>
                <w:noProof/>
                <w:webHidden/>
              </w:rPr>
              <w:fldChar w:fldCharType="end"/>
            </w:r>
          </w:hyperlink>
        </w:p>
        <w:p w:rsidR="00FF579E" w:rsidRDefault="00FF579E" w14:paraId="74E33C8F" w14:textId="22F3A757">
          <w:pPr>
            <w:pStyle w:val="TOC1"/>
            <w:tabs>
              <w:tab w:val="right" w:leader="dot" w:pos="9350"/>
            </w:tabs>
            <w:rPr>
              <w:rFonts w:asciiTheme="minorHAnsi" w:hAnsiTheme="minorHAnsi" w:cstheme="minorBidi"/>
              <w:noProof/>
              <w:kern w:val="2"/>
              <w:sz w:val="24"/>
              <w:szCs w:val="24"/>
              <w14:ligatures w14:val="standardContextual"/>
            </w:rPr>
          </w:pPr>
          <w:hyperlink w:history="1" w:anchor="_Toc228299459">
            <w:r w:rsidRPr="00880DE9">
              <w:rPr>
                <w:rStyle w:val="Hyperlink"/>
                <w:noProof/>
              </w:rPr>
              <w:t>3.</w:t>
            </w:r>
            <w:r>
              <w:rPr>
                <w:rFonts w:asciiTheme="minorHAnsi" w:hAnsiTheme="minorHAnsi" w:cstheme="minorBidi"/>
                <w:noProof/>
                <w:kern w:val="2"/>
                <w:sz w:val="24"/>
                <w:szCs w:val="24"/>
                <w14:ligatures w14:val="standardContextual"/>
              </w:rPr>
              <w:tab/>
            </w:r>
            <w:r w:rsidRPr="00880DE9">
              <w:rPr>
                <w:rStyle w:val="Hyperlink"/>
                <w:noProof/>
              </w:rPr>
              <w:t>Order of Review of Applications</w:t>
            </w:r>
            <w:r>
              <w:rPr>
                <w:noProof/>
                <w:webHidden/>
              </w:rPr>
              <w:tab/>
            </w:r>
            <w:r>
              <w:rPr>
                <w:noProof/>
                <w:webHidden/>
              </w:rPr>
              <w:fldChar w:fldCharType="begin"/>
            </w:r>
            <w:r>
              <w:rPr>
                <w:noProof/>
                <w:webHidden/>
              </w:rPr>
              <w:instrText xml:space="preserve"> PAGEREF _Toc228299459 \h </w:instrText>
            </w:r>
            <w:r>
              <w:rPr>
                <w:noProof/>
                <w:webHidden/>
              </w:rPr>
            </w:r>
            <w:r>
              <w:rPr>
                <w:noProof/>
                <w:webHidden/>
              </w:rPr>
              <w:fldChar w:fldCharType="separate"/>
            </w:r>
            <w:r>
              <w:rPr>
                <w:noProof/>
                <w:webHidden/>
              </w:rPr>
              <w:t>6</w:t>
            </w:r>
            <w:r>
              <w:rPr>
                <w:noProof/>
                <w:webHidden/>
              </w:rPr>
              <w:fldChar w:fldCharType="end"/>
            </w:r>
          </w:hyperlink>
        </w:p>
        <w:p w:rsidR="00FF579E" w:rsidRDefault="00FF579E" w14:paraId="4C97356E" w14:textId="350D5CE7">
          <w:pPr>
            <w:pStyle w:val="TOC1"/>
            <w:tabs>
              <w:tab w:val="right" w:leader="dot" w:pos="9350"/>
            </w:tabs>
            <w:rPr>
              <w:rFonts w:asciiTheme="minorHAnsi" w:hAnsiTheme="minorHAnsi" w:cstheme="minorBidi"/>
              <w:noProof/>
              <w:kern w:val="2"/>
              <w:sz w:val="24"/>
              <w:szCs w:val="24"/>
              <w14:ligatures w14:val="standardContextual"/>
            </w:rPr>
          </w:pPr>
          <w:hyperlink w:history="1" w:anchor="_Toc228299460">
            <w:r w:rsidRPr="00880DE9">
              <w:rPr>
                <w:rStyle w:val="Hyperlink"/>
                <w:noProof/>
              </w:rPr>
              <w:t>4.</w:t>
            </w:r>
            <w:r>
              <w:rPr>
                <w:rFonts w:asciiTheme="minorHAnsi" w:hAnsiTheme="minorHAnsi" w:cstheme="minorBidi"/>
                <w:noProof/>
                <w:kern w:val="2"/>
                <w:sz w:val="24"/>
                <w:szCs w:val="24"/>
                <w14:ligatures w14:val="standardContextual"/>
              </w:rPr>
              <w:tab/>
            </w:r>
            <w:r w:rsidRPr="00880DE9">
              <w:rPr>
                <w:rStyle w:val="Hyperlink"/>
                <w:noProof/>
              </w:rPr>
              <w:t>Reasonableness of Cost Recovery from Ratepayers</w:t>
            </w:r>
            <w:r>
              <w:rPr>
                <w:noProof/>
                <w:webHidden/>
              </w:rPr>
              <w:tab/>
            </w:r>
            <w:r>
              <w:rPr>
                <w:noProof/>
                <w:webHidden/>
              </w:rPr>
              <w:fldChar w:fldCharType="begin"/>
            </w:r>
            <w:r>
              <w:rPr>
                <w:noProof/>
                <w:webHidden/>
              </w:rPr>
              <w:instrText xml:space="preserve"> PAGEREF _Toc228299460 \h </w:instrText>
            </w:r>
            <w:r>
              <w:rPr>
                <w:noProof/>
                <w:webHidden/>
              </w:rPr>
            </w:r>
            <w:r>
              <w:rPr>
                <w:noProof/>
                <w:webHidden/>
              </w:rPr>
              <w:fldChar w:fldCharType="separate"/>
            </w:r>
            <w:r>
              <w:rPr>
                <w:noProof/>
                <w:webHidden/>
              </w:rPr>
              <w:t>7</w:t>
            </w:r>
            <w:r>
              <w:rPr>
                <w:noProof/>
                <w:webHidden/>
              </w:rPr>
              <w:fldChar w:fldCharType="end"/>
            </w:r>
          </w:hyperlink>
        </w:p>
        <w:p w:rsidR="00FF579E" w:rsidRDefault="00FF579E" w14:paraId="5FE9A3FC" w14:textId="2C1D01F3">
          <w:pPr>
            <w:pStyle w:val="TOC1"/>
            <w:tabs>
              <w:tab w:val="right" w:leader="dot" w:pos="9350"/>
            </w:tabs>
            <w:rPr>
              <w:rFonts w:asciiTheme="minorHAnsi" w:hAnsiTheme="minorHAnsi" w:cstheme="minorBidi"/>
              <w:noProof/>
              <w:kern w:val="2"/>
              <w:sz w:val="24"/>
              <w:szCs w:val="24"/>
              <w14:ligatures w14:val="standardContextual"/>
            </w:rPr>
          </w:pPr>
          <w:hyperlink w:history="1" w:anchor="_Toc228299461">
            <w:r w:rsidRPr="00880DE9">
              <w:rPr>
                <w:rStyle w:val="Hyperlink"/>
                <w:noProof/>
              </w:rPr>
              <w:t>5.</w:t>
            </w:r>
            <w:r>
              <w:rPr>
                <w:rFonts w:asciiTheme="minorHAnsi" w:hAnsiTheme="minorHAnsi" w:cstheme="minorBidi"/>
                <w:noProof/>
                <w:kern w:val="2"/>
                <w:sz w:val="24"/>
                <w:szCs w:val="24"/>
                <w14:ligatures w14:val="standardContextual"/>
              </w:rPr>
              <w:tab/>
            </w:r>
            <w:r w:rsidRPr="00880DE9">
              <w:rPr>
                <w:rStyle w:val="Hyperlink"/>
                <w:noProof/>
              </w:rPr>
              <w:t>Jurisdiction</w:t>
            </w:r>
            <w:r>
              <w:rPr>
                <w:noProof/>
                <w:webHidden/>
              </w:rPr>
              <w:tab/>
            </w:r>
            <w:r>
              <w:rPr>
                <w:noProof/>
                <w:webHidden/>
              </w:rPr>
              <w:fldChar w:fldCharType="begin"/>
            </w:r>
            <w:r>
              <w:rPr>
                <w:noProof/>
                <w:webHidden/>
              </w:rPr>
              <w:instrText xml:space="preserve"> PAGEREF _Toc228299461 \h </w:instrText>
            </w:r>
            <w:r>
              <w:rPr>
                <w:noProof/>
                <w:webHidden/>
              </w:rPr>
            </w:r>
            <w:r>
              <w:rPr>
                <w:noProof/>
                <w:webHidden/>
              </w:rPr>
              <w:fldChar w:fldCharType="separate"/>
            </w:r>
            <w:r>
              <w:rPr>
                <w:noProof/>
                <w:webHidden/>
              </w:rPr>
              <w:t>15</w:t>
            </w:r>
            <w:r>
              <w:rPr>
                <w:noProof/>
                <w:webHidden/>
              </w:rPr>
              <w:fldChar w:fldCharType="end"/>
            </w:r>
          </w:hyperlink>
        </w:p>
        <w:p w:rsidR="00FF579E" w:rsidRDefault="00FF579E" w14:paraId="2144F163" w14:textId="130E4190">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8299462">
            <w:r w:rsidRPr="00880DE9">
              <w:rPr>
                <w:rStyle w:val="Hyperlink"/>
                <w:noProof/>
              </w:rPr>
              <w:t>5.1.</w:t>
            </w:r>
            <w:r>
              <w:rPr>
                <w:rFonts w:asciiTheme="minorHAnsi" w:hAnsiTheme="minorHAnsi" w:cstheme="minorBidi"/>
                <w:noProof/>
                <w:kern w:val="2"/>
                <w:sz w:val="24"/>
                <w:szCs w:val="24"/>
                <w14:ligatures w14:val="standardContextual"/>
              </w:rPr>
              <w:tab/>
            </w:r>
            <w:r w:rsidRPr="00880DE9">
              <w:rPr>
                <w:rStyle w:val="Hyperlink"/>
                <w:noProof/>
              </w:rPr>
              <w:t>Project Treatment as a Pipeline Under Pub. Util. Code Section 227 and Pipeline Corporation Under Pub. Util. Code Section 228</w:t>
            </w:r>
            <w:r>
              <w:rPr>
                <w:noProof/>
                <w:webHidden/>
              </w:rPr>
              <w:tab/>
            </w:r>
            <w:r>
              <w:rPr>
                <w:noProof/>
                <w:webHidden/>
              </w:rPr>
              <w:fldChar w:fldCharType="begin"/>
            </w:r>
            <w:r>
              <w:rPr>
                <w:noProof/>
                <w:webHidden/>
              </w:rPr>
              <w:instrText xml:space="preserve"> PAGEREF _Toc228299462 \h </w:instrText>
            </w:r>
            <w:r>
              <w:rPr>
                <w:noProof/>
                <w:webHidden/>
              </w:rPr>
            </w:r>
            <w:r>
              <w:rPr>
                <w:noProof/>
                <w:webHidden/>
              </w:rPr>
              <w:fldChar w:fldCharType="separate"/>
            </w:r>
            <w:r>
              <w:rPr>
                <w:noProof/>
                <w:webHidden/>
              </w:rPr>
              <w:t>15</w:t>
            </w:r>
            <w:r>
              <w:rPr>
                <w:noProof/>
                <w:webHidden/>
              </w:rPr>
              <w:fldChar w:fldCharType="end"/>
            </w:r>
          </w:hyperlink>
        </w:p>
        <w:p w:rsidR="00FF579E" w:rsidRDefault="00FF579E" w14:paraId="6CED1996" w14:textId="0953DFAD">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8299463">
            <w:r w:rsidRPr="00880DE9">
              <w:rPr>
                <w:rStyle w:val="Hyperlink"/>
                <w:noProof/>
              </w:rPr>
              <w:t>5.2.</w:t>
            </w:r>
            <w:r>
              <w:rPr>
                <w:rFonts w:asciiTheme="minorHAnsi" w:hAnsiTheme="minorHAnsi" w:cstheme="minorBidi"/>
                <w:noProof/>
                <w:kern w:val="2"/>
                <w:sz w:val="24"/>
                <w:szCs w:val="24"/>
                <w14:ligatures w14:val="standardContextual"/>
              </w:rPr>
              <w:tab/>
            </w:r>
            <w:r w:rsidRPr="00880DE9">
              <w:rPr>
                <w:rStyle w:val="Hyperlink"/>
                <w:noProof/>
              </w:rPr>
              <w:t>Project Treatment as a Gas Plant Under Pub. Util. Code Section 221 and Gas Plant Corporation Under Pub. Util. Code Section 222</w:t>
            </w:r>
            <w:r>
              <w:rPr>
                <w:noProof/>
                <w:webHidden/>
              </w:rPr>
              <w:tab/>
            </w:r>
            <w:r>
              <w:rPr>
                <w:noProof/>
                <w:webHidden/>
              </w:rPr>
              <w:fldChar w:fldCharType="begin"/>
            </w:r>
            <w:r>
              <w:rPr>
                <w:noProof/>
                <w:webHidden/>
              </w:rPr>
              <w:instrText xml:space="preserve"> PAGEREF _Toc228299463 \h </w:instrText>
            </w:r>
            <w:r>
              <w:rPr>
                <w:noProof/>
                <w:webHidden/>
              </w:rPr>
            </w:r>
            <w:r>
              <w:rPr>
                <w:noProof/>
                <w:webHidden/>
              </w:rPr>
              <w:fldChar w:fldCharType="separate"/>
            </w:r>
            <w:r>
              <w:rPr>
                <w:noProof/>
                <w:webHidden/>
              </w:rPr>
              <w:t>18</w:t>
            </w:r>
            <w:r>
              <w:rPr>
                <w:noProof/>
                <w:webHidden/>
              </w:rPr>
              <w:fldChar w:fldCharType="end"/>
            </w:r>
          </w:hyperlink>
        </w:p>
        <w:p w:rsidR="00FF579E" w:rsidRDefault="00FF579E" w14:paraId="5EFB794A" w14:textId="56721563">
          <w:pPr>
            <w:pStyle w:val="TOC1"/>
            <w:tabs>
              <w:tab w:val="right" w:leader="dot" w:pos="9350"/>
            </w:tabs>
            <w:rPr>
              <w:rFonts w:asciiTheme="minorHAnsi" w:hAnsiTheme="minorHAnsi" w:cstheme="minorBidi"/>
              <w:noProof/>
              <w:kern w:val="2"/>
              <w:sz w:val="24"/>
              <w:szCs w:val="24"/>
              <w14:ligatures w14:val="standardContextual"/>
            </w:rPr>
          </w:pPr>
          <w:hyperlink w:history="1" w:anchor="_Toc228299464">
            <w:r w:rsidRPr="00880DE9">
              <w:rPr>
                <w:rStyle w:val="Hyperlink"/>
                <w:noProof/>
              </w:rPr>
              <w:t>6.</w:t>
            </w:r>
            <w:r>
              <w:rPr>
                <w:rFonts w:asciiTheme="minorHAnsi" w:hAnsiTheme="minorHAnsi" w:cstheme="minorBidi"/>
                <w:noProof/>
                <w:kern w:val="2"/>
                <w:sz w:val="24"/>
                <w:szCs w:val="24"/>
                <w14:ligatures w14:val="standardContextual"/>
              </w:rPr>
              <w:tab/>
            </w:r>
            <w:r w:rsidRPr="00880DE9">
              <w:rPr>
                <w:rStyle w:val="Hyperlink"/>
                <w:noProof/>
              </w:rPr>
              <w:t>Summary of Public Comment</w:t>
            </w:r>
            <w:r>
              <w:rPr>
                <w:noProof/>
                <w:webHidden/>
              </w:rPr>
              <w:tab/>
            </w:r>
            <w:r>
              <w:rPr>
                <w:noProof/>
                <w:webHidden/>
              </w:rPr>
              <w:fldChar w:fldCharType="begin"/>
            </w:r>
            <w:r>
              <w:rPr>
                <w:noProof/>
                <w:webHidden/>
              </w:rPr>
              <w:instrText xml:space="preserve"> PAGEREF _Toc228299464 \h </w:instrText>
            </w:r>
            <w:r>
              <w:rPr>
                <w:noProof/>
                <w:webHidden/>
              </w:rPr>
            </w:r>
            <w:r>
              <w:rPr>
                <w:noProof/>
                <w:webHidden/>
              </w:rPr>
              <w:fldChar w:fldCharType="separate"/>
            </w:r>
            <w:r>
              <w:rPr>
                <w:noProof/>
                <w:webHidden/>
              </w:rPr>
              <w:t>20</w:t>
            </w:r>
            <w:r>
              <w:rPr>
                <w:noProof/>
                <w:webHidden/>
              </w:rPr>
              <w:fldChar w:fldCharType="end"/>
            </w:r>
          </w:hyperlink>
        </w:p>
        <w:p w:rsidR="00FF579E" w:rsidRDefault="00FF579E" w14:paraId="7068F800" w14:textId="57781BC7">
          <w:pPr>
            <w:pStyle w:val="TOC1"/>
            <w:tabs>
              <w:tab w:val="right" w:leader="dot" w:pos="9350"/>
            </w:tabs>
            <w:rPr>
              <w:rFonts w:asciiTheme="minorHAnsi" w:hAnsiTheme="minorHAnsi" w:cstheme="minorBidi"/>
              <w:noProof/>
              <w:kern w:val="2"/>
              <w:sz w:val="24"/>
              <w:szCs w:val="24"/>
              <w14:ligatures w14:val="standardContextual"/>
            </w:rPr>
          </w:pPr>
          <w:hyperlink w:history="1" w:anchor="_Toc228299465">
            <w:r w:rsidRPr="00880DE9">
              <w:rPr>
                <w:rStyle w:val="Hyperlink"/>
                <w:noProof/>
              </w:rPr>
              <w:t>7.</w:t>
            </w:r>
            <w:r>
              <w:rPr>
                <w:rFonts w:asciiTheme="minorHAnsi" w:hAnsiTheme="minorHAnsi" w:cstheme="minorBidi"/>
                <w:noProof/>
                <w:kern w:val="2"/>
                <w:sz w:val="24"/>
                <w:szCs w:val="24"/>
                <w14:ligatures w14:val="standardContextual"/>
              </w:rPr>
              <w:tab/>
            </w:r>
            <w:r w:rsidRPr="00880DE9">
              <w:rPr>
                <w:rStyle w:val="Hyperlink"/>
                <w:noProof/>
              </w:rPr>
              <w:t>Procedural Matters</w:t>
            </w:r>
            <w:r>
              <w:rPr>
                <w:noProof/>
                <w:webHidden/>
              </w:rPr>
              <w:tab/>
            </w:r>
            <w:r>
              <w:rPr>
                <w:noProof/>
                <w:webHidden/>
              </w:rPr>
              <w:fldChar w:fldCharType="begin"/>
            </w:r>
            <w:r>
              <w:rPr>
                <w:noProof/>
                <w:webHidden/>
              </w:rPr>
              <w:instrText xml:space="preserve"> PAGEREF _Toc228299465 \h </w:instrText>
            </w:r>
            <w:r>
              <w:rPr>
                <w:noProof/>
                <w:webHidden/>
              </w:rPr>
            </w:r>
            <w:r>
              <w:rPr>
                <w:noProof/>
                <w:webHidden/>
              </w:rPr>
              <w:fldChar w:fldCharType="separate"/>
            </w:r>
            <w:r>
              <w:rPr>
                <w:noProof/>
                <w:webHidden/>
              </w:rPr>
              <w:t>20</w:t>
            </w:r>
            <w:r>
              <w:rPr>
                <w:noProof/>
                <w:webHidden/>
              </w:rPr>
              <w:fldChar w:fldCharType="end"/>
            </w:r>
          </w:hyperlink>
        </w:p>
        <w:p w:rsidR="00FF579E" w:rsidRDefault="00FF579E" w14:paraId="05FF1C54" w14:textId="501F78F3">
          <w:pPr>
            <w:pStyle w:val="TOC1"/>
            <w:tabs>
              <w:tab w:val="right" w:leader="dot" w:pos="9350"/>
            </w:tabs>
            <w:rPr>
              <w:rFonts w:asciiTheme="minorHAnsi" w:hAnsiTheme="minorHAnsi" w:cstheme="minorBidi"/>
              <w:noProof/>
              <w:kern w:val="2"/>
              <w:sz w:val="24"/>
              <w:szCs w:val="24"/>
              <w14:ligatures w14:val="standardContextual"/>
            </w:rPr>
          </w:pPr>
          <w:hyperlink w:history="1" w:anchor="_Toc228299466">
            <w:r w:rsidRPr="00880DE9">
              <w:rPr>
                <w:rStyle w:val="Hyperlink"/>
                <w:noProof/>
              </w:rPr>
              <w:t>8.</w:t>
            </w:r>
            <w:r>
              <w:rPr>
                <w:rFonts w:asciiTheme="minorHAnsi" w:hAnsiTheme="minorHAnsi" w:cstheme="minorBidi"/>
                <w:noProof/>
                <w:kern w:val="2"/>
                <w:sz w:val="24"/>
                <w:szCs w:val="24"/>
                <w14:ligatures w14:val="standardContextual"/>
              </w:rPr>
              <w:tab/>
            </w:r>
            <w:r w:rsidRPr="00880DE9">
              <w:rPr>
                <w:rStyle w:val="Hyperlink"/>
                <w:noProof/>
              </w:rPr>
              <w:t>Comments on Proposed Decision</w:t>
            </w:r>
            <w:r>
              <w:rPr>
                <w:noProof/>
                <w:webHidden/>
              </w:rPr>
              <w:tab/>
            </w:r>
            <w:r>
              <w:rPr>
                <w:noProof/>
                <w:webHidden/>
              </w:rPr>
              <w:fldChar w:fldCharType="begin"/>
            </w:r>
            <w:r>
              <w:rPr>
                <w:noProof/>
                <w:webHidden/>
              </w:rPr>
              <w:instrText xml:space="preserve"> PAGEREF _Toc228299466 \h </w:instrText>
            </w:r>
            <w:r>
              <w:rPr>
                <w:noProof/>
                <w:webHidden/>
              </w:rPr>
            </w:r>
            <w:r>
              <w:rPr>
                <w:noProof/>
                <w:webHidden/>
              </w:rPr>
              <w:fldChar w:fldCharType="separate"/>
            </w:r>
            <w:r>
              <w:rPr>
                <w:noProof/>
                <w:webHidden/>
              </w:rPr>
              <w:t>20</w:t>
            </w:r>
            <w:r>
              <w:rPr>
                <w:noProof/>
                <w:webHidden/>
              </w:rPr>
              <w:fldChar w:fldCharType="end"/>
            </w:r>
          </w:hyperlink>
        </w:p>
        <w:p w:rsidR="00FF579E" w:rsidRDefault="00FF579E" w14:paraId="26EE6D9A" w14:textId="7A5BE58C">
          <w:pPr>
            <w:pStyle w:val="TOC1"/>
            <w:tabs>
              <w:tab w:val="right" w:leader="dot" w:pos="9350"/>
            </w:tabs>
            <w:rPr>
              <w:rFonts w:asciiTheme="minorHAnsi" w:hAnsiTheme="minorHAnsi" w:cstheme="minorBidi"/>
              <w:noProof/>
              <w:kern w:val="2"/>
              <w:sz w:val="24"/>
              <w:szCs w:val="24"/>
              <w14:ligatures w14:val="standardContextual"/>
            </w:rPr>
          </w:pPr>
          <w:hyperlink w:history="1" w:anchor="_Toc228299467">
            <w:r w:rsidRPr="00880DE9">
              <w:rPr>
                <w:rStyle w:val="Hyperlink"/>
                <w:noProof/>
              </w:rPr>
              <w:t>9.</w:t>
            </w:r>
            <w:r>
              <w:rPr>
                <w:rFonts w:asciiTheme="minorHAnsi" w:hAnsiTheme="minorHAnsi" w:cstheme="minorBidi"/>
                <w:noProof/>
                <w:kern w:val="2"/>
                <w:sz w:val="24"/>
                <w:szCs w:val="24"/>
                <w14:ligatures w14:val="standardContextual"/>
              </w:rPr>
              <w:tab/>
            </w:r>
            <w:r w:rsidRPr="00880DE9">
              <w:rPr>
                <w:rStyle w:val="Hyperlink"/>
                <w:noProof/>
              </w:rPr>
              <w:t>Assignment of Proceeding</w:t>
            </w:r>
            <w:r>
              <w:rPr>
                <w:noProof/>
                <w:webHidden/>
              </w:rPr>
              <w:tab/>
            </w:r>
            <w:r>
              <w:rPr>
                <w:noProof/>
                <w:webHidden/>
              </w:rPr>
              <w:fldChar w:fldCharType="begin"/>
            </w:r>
            <w:r>
              <w:rPr>
                <w:noProof/>
                <w:webHidden/>
              </w:rPr>
              <w:instrText xml:space="preserve"> PAGEREF _Toc228299467 \h </w:instrText>
            </w:r>
            <w:r>
              <w:rPr>
                <w:noProof/>
                <w:webHidden/>
              </w:rPr>
            </w:r>
            <w:r>
              <w:rPr>
                <w:noProof/>
                <w:webHidden/>
              </w:rPr>
              <w:fldChar w:fldCharType="separate"/>
            </w:r>
            <w:r>
              <w:rPr>
                <w:noProof/>
                <w:webHidden/>
              </w:rPr>
              <w:t>23</w:t>
            </w:r>
            <w:r>
              <w:rPr>
                <w:noProof/>
                <w:webHidden/>
              </w:rPr>
              <w:fldChar w:fldCharType="end"/>
            </w:r>
          </w:hyperlink>
        </w:p>
        <w:p w:rsidR="00FF579E" w:rsidRDefault="00FF579E" w14:paraId="23EF716F" w14:textId="461DBC5A">
          <w:pPr>
            <w:pStyle w:val="TOC1"/>
            <w:tabs>
              <w:tab w:val="right" w:leader="dot" w:pos="9350"/>
            </w:tabs>
            <w:rPr>
              <w:rFonts w:asciiTheme="minorHAnsi" w:hAnsiTheme="minorHAnsi" w:cstheme="minorBidi"/>
              <w:noProof/>
              <w:kern w:val="2"/>
              <w:sz w:val="24"/>
              <w:szCs w:val="24"/>
              <w14:ligatures w14:val="standardContextual"/>
            </w:rPr>
          </w:pPr>
          <w:hyperlink w:history="1" w:anchor="_Toc228299468">
            <w:r w:rsidRPr="00880DE9">
              <w:rPr>
                <w:rStyle w:val="Hyperlink"/>
                <w:noProof/>
              </w:rPr>
              <w:t>Findings of Fact</w:t>
            </w:r>
            <w:r>
              <w:rPr>
                <w:noProof/>
                <w:webHidden/>
              </w:rPr>
              <w:tab/>
            </w:r>
            <w:r>
              <w:rPr>
                <w:noProof/>
                <w:webHidden/>
              </w:rPr>
              <w:fldChar w:fldCharType="begin"/>
            </w:r>
            <w:r>
              <w:rPr>
                <w:noProof/>
                <w:webHidden/>
              </w:rPr>
              <w:instrText xml:space="preserve"> PAGEREF _Toc228299468 \h </w:instrText>
            </w:r>
            <w:r>
              <w:rPr>
                <w:noProof/>
                <w:webHidden/>
              </w:rPr>
            </w:r>
            <w:r>
              <w:rPr>
                <w:noProof/>
                <w:webHidden/>
              </w:rPr>
              <w:fldChar w:fldCharType="separate"/>
            </w:r>
            <w:r>
              <w:rPr>
                <w:noProof/>
                <w:webHidden/>
              </w:rPr>
              <w:t>23</w:t>
            </w:r>
            <w:r>
              <w:rPr>
                <w:noProof/>
                <w:webHidden/>
              </w:rPr>
              <w:fldChar w:fldCharType="end"/>
            </w:r>
          </w:hyperlink>
        </w:p>
        <w:p w:rsidR="00FF579E" w:rsidRDefault="00FF579E" w14:paraId="33DF638D" w14:textId="2455B404">
          <w:pPr>
            <w:pStyle w:val="TOC1"/>
            <w:tabs>
              <w:tab w:val="right" w:leader="dot" w:pos="9350"/>
            </w:tabs>
            <w:rPr>
              <w:rFonts w:asciiTheme="minorHAnsi" w:hAnsiTheme="minorHAnsi" w:cstheme="minorBidi"/>
              <w:noProof/>
              <w:kern w:val="2"/>
              <w:sz w:val="24"/>
              <w:szCs w:val="24"/>
              <w14:ligatures w14:val="standardContextual"/>
            </w:rPr>
          </w:pPr>
          <w:hyperlink w:history="1" w:anchor="_Toc228299469">
            <w:r w:rsidRPr="00880DE9">
              <w:rPr>
                <w:rStyle w:val="Hyperlink"/>
                <w:noProof/>
              </w:rPr>
              <w:t>Conclusions of Law</w:t>
            </w:r>
            <w:r>
              <w:rPr>
                <w:noProof/>
                <w:webHidden/>
              </w:rPr>
              <w:tab/>
            </w:r>
            <w:r>
              <w:rPr>
                <w:noProof/>
                <w:webHidden/>
              </w:rPr>
              <w:fldChar w:fldCharType="begin"/>
            </w:r>
            <w:r>
              <w:rPr>
                <w:noProof/>
                <w:webHidden/>
              </w:rPr>
              <w:instrText xml:space="preserve"> PAGEREF _Toc228299469 \h </w:instrText>
            </w:r>
            <w:r>
              <w:rPr>
                <w:noProof/>
                <w:webHidden/>
              </w:rPr>
            </w:r>
            <w:r>
              <w:rPr>
                <w:noProof/>
                <w:webHidden/>
              </w:rPr>
              <w:fldChar w:fldCharType="separate"/>
            </w:r>
            <w:r>
              <w:rPr>
                <w:noProof/>
                <w:webHidden/>
              </w:rPr>
              <w:t>24</w:t>
            </w:r>
            <w:r>
              <w:rPr>
                <w:noProof/>
                <w:webHidden/>
              </w:rPr>
              <w:fldChar w:fldCharType="end"/>
            </w:r>
          </w:hyperlink>
        </w:p>
        <w:p w:rsidR="00FF579E" w:rsidRDefault="00FF579E" w14:paraId="1BFAE2DB" w14:textId="0694716C">
          <w:pPr>
            <w:pStyle w:val="TOC1"/>
            <w:tabs>
              <w:tab w:val="right" w:leader="dot" w:pos="9350"/>
            </w:tabs>
            <w:rPr>
              <w:rFonts w:asciiTheme="minorHAnsi" w:hAnsiTheme="minorHAnsi" w:cstheme="minorBidi"/>
              <w:noProof/>
              <w:kern w:val="2"/>
              <w:sz w:val="24"/>
              <w:szCs w:val="24"/>
              <w14:ligatures w14:val="standardContextual"/>
            </w:rPr>
          </w:pPr>
          <w:hyperlink w:history="1" w:anchor="_Toc228299470">
            <w:r w:rsidRPr="00880DE9">
              <w:rPr>
                <w:rStyle w:val="Hyperlink"/>
                <w:noProof/>
              </w:rPr>
              <w:t>ORDER</w:t>
            </w:r>
            <w:r>
              <w:rPr>
                <w:noProof/>
                <w:webHidden/>
              </w:rPr>
              <w:tab/>
            </w:r>
            <w:r>
              <w:rPr>
                <w:noProof/>
                <w:webHidden/>
              </w:rPr>
              <w:fldChar w:fldCharType="begin"/>
            </w:r>
            <w:r>
              <w:rPr>
                <w:noProof/>
                <w:webHidden/>
              </w:rPr>
              <w:instrText xml:space="preserve"> PAGEREF _Toc228299470 \h </w:instrText>
            </w:r>
            <w:r>
              <w:rPr>
                <w:noProof/>
                <w:webHidden/>
              </w:rPr>
            </w:r>
            <w:r>
              <w:rPr>
                <w:noProof/>
                <w:webHidden/>
              </w:rPr>
              <w:fldChar w:fldCharType="separate"/>
            </w:r>
            <w:r>
              <w:rPr>
                <w:noProof/>
                <w:webHidden/>
              </w:rPr>
              <w:t>24</w:t>
            </w:r>
            <w:r>
              <w:rPr>
                <w:noProof/>
                <w:webHidden/>
              </w:rPr>
              <w:fldChar w:fldCharType="end"/>
            </w:r>
          </w:hyperlink>
        </w:p>
        <w:p w:rsidRPr="006F137A" w:rsidR="00D82A43" w:rsidP="008C7413" w:rsidRDefault="008C7413" w14:paraId="297B9CAA" w14:textId="02DD9BBE">
          <w:pPr>
            <w:pStyle w:val="TOC1"/>
            <w:tabs>
              <w:tab w:val="right" w:leader="dot" w:pos="9350"/>
            </w:tabs>
          </w:pPr>
          <w:r w:rsidRPr="006F137A">
            <w:rPr>
              <w:rFonts w:asciiTheme="minorHAnsi" w:hAnsiTheme="minorHAnsi"/>
              <w:sz w:val="22"/>
            </w:rPr>
            <w:fldChar w:fldCharType="end"/>
          </w:r>
        </w:p>
      </w:sdtContent>
    </w:sdt>
    <w:p w:rsidRPr="006F137A" w:rsidR="006E1BE7" w:rsidP="00D44DB6" w:rsidRDefault="006E1BE7" w14:paraId="48D6B98C" w14:textId="77777777">
      <w:pPr>
        <w:spacing w:line="240" w:lineRule="auto"/>
        <w:ind w:firstLine="0"/>
        <w:rPr>
          <w:rFonts w:cs="Arial"/>
          <w:i/>
          <w:szCs w:val="26"/>
        </w:rPr>
      </w:pPr>
    </w:p>
    <w:p w:rsidRPr="006F137A" w:rsidR="006E1BE7" w:rsidP="00D44DB6" w:rsidRDefault="006E1BE7" w14:paraId="3E35B9B9" w14:textId="77777777">
      <w:pPr>
        <w:spacing w:line="240" w:lineRule="auto"/>
        <w:ind w:firstLine="0"/>
        <w:rPr>
          <w:rFonts w:cs="Arial"/>
          <w:i/>
          <w:szCs w:val="26"/>
        </w:rPr>
        <w:sectPr w:rsidRPr="006F137A" w:rsidR="006E1BE7" w:rsidSect="00D44DB6">
          <w:pgSz w:w="12240" w:h="15840"/>
          <w:pgMar w:top="1728" w:right="1440" w:bottom="1440" w:left="1440" w:header="720" w:footer="720" w:gutter="0"/>
          <w:pgNumType w:fmt="lowerRoman" w:start="1"/>
          <w:cols w:space="720"/>
          <w:docGrid w:linePitch="360"/>
        </w:sectPr>
      </w:pPr>
    </w:p>
    <w:p w:rsidRPr="006F137A" w:rsidR="00BF70A3" w:rsidP="00BF70A3" w:rsidRDefault="00BF70A3" w14:paraId="77D20E4A" w14:textId="3006C23A">
      <w:pPr>
        <w:pStyle w:val="Main"/>
      </w:pPr>
      <w:bookmarkStart w:name="Title" w:id="1"/>
      <w:bookmarkStart w:name="_Toc8123714" w:id="2"/>
      <w:r w:rsidRPr="006F137A">
        <w:lastRenderedPageBreak/>
        <w:t>DECISION DENYING SOUTHERN CALIFORNIA GAS COMPANY</w:t>
      </w:r>
      <w:r w:rsidRPr="006F137A" w:rsidR="00261375">
        <w:t>’</w:t>
      </w:r>
      <w:r w:rsidRPr="006F137A">
        <w:t>S</w:t>
      </w:r>
      <w:r w:rsidRPr="006F137A">
        <w:br/>
        <w:t>REQUEST FOR COST RECOVERY FROM RATEPAYERS</w:t>
      </w:r>
      <w:r w:rsidRPr="006F137A">
        <w:br/>
        <w:t>FOR PHASE</w:t>
      </w:r>
      <w:r w:rsidRPr="006F137A" w:rsidR="00751C71">
        <w:t> </w:t>
      </w:r>
      <w:r w:rsidRPr="006F137A">
        <w:t>2 ACTIVITIES FOR ANGELES LINK PROJECT</w:t>
      </w:r>
      <w:bookmarkEnd w:id="1"/>
    </w:p>
    <w:p w:rsidRPr="006F137A" w:rsidR="00BF70A3" w:rsidP="00BF70A3" w:rsidRDefault="00BF70A3" w14:paraId="204C9904" w14:textId="77777777">
      <w:pPr>
        <w:pStyle w:val="Main"/>
        <w:jc w:val="left"/>
      </w:pPr>
    </w:p>
    <w:p w:rsidRPr="006F137A" w:rsidR="005A148C" w:rsidP="005A148C" w:rsidRDefault="005A148C" w14:paraId="08E274B5" w14:textId="507B2BD0">
      <w:pPr>
        <w:pStyle w:val="Dummy"/>
      </w:pPr>
      <w:bookmarkStart w:name="_Toc228299455" w:id="3"/>
      <w:r w:rsidRPr="006F137A">
        <w:t>Summary</w:t>
      </w:r>
      <w:bookmarkEnd w:id="2"/>
      <w:bookmarkEnd w:id="3"/>
    </w:p>
    <w:p w:rsidRPr="006F137A" w:rsidR="006C4F39" w:rsidP="006C4F39" w:rsidRDefault="006C4F39" w14:paraId="42F91309" w14:textId="6D18B95F">
      <w:pPr>
        <w:pStyle w:val="Standard"/>
      </w:pPr>
      <w:r w:rsidRPr="006F137A">
        <w:t xml:space="preserve">This decision denies the application of Southern California Gas Company </w:t>
      </w:r>
      <w:r w:rsidRPr="006F137A" w:rsidR="00854E53">
        <w:t>requesting $266</w:t>
      </w:r>
      <w:r w:rsidRPr="006F137A" w:rsidR="00AE7384">
        <w:t> </w:t>
      </w:r>
      <w:r w:rsidRPr="006F137A" w:rsidR="00854E53">
        <w:t>million</w:t>
      </w:r>
      <w:r w:rsidRPr="006F137A" w:rsidR="00174CC4">
        <w:t xml:space="preserve"> of</w:t>
      </w:r>
      <w:r w:rsidRPr="006F137A">
        <w:t xml:space="preserve"> cost recovery from </w:t>
      </w:r>
      <w:r w:rsidRPr="006F137A" w:rsidR="00FE4E77">
        <w:t xml:space="preserve">natural gas </w:t>
      </w:r>
      <w:r w:rsidRPr="006F137A">
        <w:t xml:space="preserve">ratepayers for </w:t>
      </w:r>
      <w:r w:rsidRPr="006F137A" w:rsidR="00C93942">
        <w:t>Phase 2</w:t>
      </w:r>
      <w:r w:rsidRPr="006F137A">
        <w:t xml:space="preserve"> Activities related to </w:t>
      </w:r>
      <w:r w:rsidRPr="006F137A" w:rsidR="00A13E11">
        <w:t xml:space="preserve">the </w:t>
      </w:r>
      <w:r w:rsidRPr="006F137A">
        <w:t>Angeles Link Project.</w:t>
      </w:r>
    </w:p>
    <w:p w:rsidRPr="006F137A" w:rsidR="005A148C" w:rsidP="005D17EE" w:rsidRDefault="00EE2876" w14:paraId="72A3E7A4" w14:textId="29B88B03">
      <w:pPr>
        <w:pStyle w:val="Standard"/>
      </w:pPr>
      <w:r w:rsidRPr="006F137A">
        <w:t>This proceeding is</w:t>
      </w:r>
      <w:r w:rsidRPr="006F137A" w:rsidR="00D96C1C">
        <w:t xml:space="preserve"> closed</w:t>
      </w:r>
      <w:r w:rsidRPr="006F137A" w:rsidR="00775D7C">
        <w:t>.</w:t>
      </w:r>
    </w:p>
    <w:p w:rsidRPr="006F137A" w:rsidR="00CB7E73" w:rsidP="003873F5" w:rsidRDefault="002C7FE9" w14:paraId="7C34E444" w14:textId="3F4993A8">
      <w:pPr>
        <w:pStyle w:val="Heading1"/>
      </w:pPr>
      <w:bookmarkStart w:name="_Toc8123715" w:id="4"/>
      <w:bookmarkStart w:name="_Toc228299456" w:id="5"/>
      <w:r w:rsidRPr="006F137A">
        <w:t>Background</w:t>
      </w:r>
      <w:bookmarkEnd w:id="4"/>
      <w:bookmarkEnd w:id="5"/>
    </w:p>
    <w:p w:rsidRPr="006F137A" w:rsidR="00BC0797" w:rsidP="00BC0797" w:rsidRDefault="00BC0797" w14:paraId="7E2AA0EB" w14:textId="08A5D721">
      <w:pPr>
        <w:pStyle w:val="xstandard"/>
      </w:pPr>
      <w:r w:rsidRPr="006F137A">
        <w:t>On February</w:t>
      </w:r>
      <w:r w:rsidRPr="006F137A" w:rsidR="00B84025">
        <w:t> </w:t>
      </w:r>
      <w:r w:rsidRPr="006F137A">
        <w:t>17, 2022, Southern California Gas Company (SoCalGas) filed Application (A.)</w:t>
      </w:r>
      <w:r w:rsidRPr="006F137A" w:rsidR="00B84025">
        <w:t> </w:t>
      </w:r>
      <w:r w:rsidRPr="006F137A">
        <w:t>22</w:t>
      </w:r>
      <w:r w:rsidRPr="006F137A" w:rsidR="00C93942">
        <w:noBreakHyphen/>
      </w:r>
      <w:r w:rsidRPr="006F137A">
        <w:t>02</w:t>
      </w:r>
      <w:r w:rsidRPr="006F137A" w:rsidR="00C93942">
        <w:noBreakHyphen/>
      </w:r>
      <w:r w:rsidRPr="006F137A">
        <w:t>007 (Phase</w:t>
      </w:r>
      <w:r w:rsidRPr="006F137A" w:rsidR="00B84025">
        <w:t> </w:t>
      </w:r>
      <w:r w:rsidRPr="006F137A">
        <w:t xml:space="preserve">1 Application) requesting the authority to establish a memorandum account to record the costs of planning a potential project, the Angeles Link Project (Project). SoCalGas proposes to </w:t>
      </w:r>
      <w:r w:rsidRPr="006F137A" w:rsidR="003E009C">
        <w:t xml:space="preserve">develop </w:t>
      </w:r>
      <w:r w:rsidRPr="006F137A">
        <w:t>dedicated hydrogen pipelines, including transmission pipelines, to deliver renewable hydrogen gas</w:t>
      </w:r>
      <w:r w:rsidRPr="006F137A">
        <w:rPr>
          <w:rStyle w:val="FootnoteReference"/>
        </w:rPr>
        <w:footnoteReference w:id="2"/>
      </w:r>
      <w:r w:rsidRPr="006F137A">
        <w:t xml:space="preserve"> into the Los</w:t>
      </w:r>
      <w:r w:rsidRPr="006F137A" w:rsidR="00B84025">
        <w:t> </w:t>
      </w:r>
      <w:r w:rsidRPr="006F137A">
        <w:t>Angeles Basin to support hydrogen end users.</w:t>
      </w:r>
      <w:r w:rsidRPr="006F137A" w:rsidR="003E009C">
        <w:rPr>
          <w:rStyle w:val="FootnoteReference"/>
        </w:rPr>
        <w:footnoteReference w:id="3"/>
      </w:r>
      <w:r w:rsidRPr="006F137A" w:rsidR="00A06280">
        <w:t xml:space="preserve"> </w:t>
      </w:r>
      <w:r w:rsidRPr="006F137A">
        <w:t>SoCalGas stated that this Project could advance the State’s clean energy policy objectives of decarbonization and clean air goals by bringing renewable hydrogen to the Los</w:t>
      </w:r>
      <w:r w:rsidRPr="006F137A" w:rsidR="00B84025">
        <w:t> </w:t>
      </w:r>
      <w:r w:rsidRPr="006F137A">
        <w:t>Angeles Basin as an energy source for “hard</w:t>
      </w:r>
      <w:r w:rsidRPr="006F137A" w:rsidR="00C93942">
        <w:noBreakHyphen/>
      </w:r>
      <w:r w:rsidRPr="006F137A">
        <w:t>to</w:t>
      </w:r>
      <w:r w:rsidRPr="006F137A" w:rsidR="00C93942">
        <w:noBreakHyphen/>
      </w:r>
      <w:r w:rsidRPr="006F137A">
        <w:t>electrify” industries, electric generation, and heavy</w:t>
      </w:r>
      <w:r w:rsidRPr="006F137A" w:rsidR="00C93942">
        <w:noBreakHyphen/>
      </w:r>
      <w:r w:rsidRPr="006F137A">
        <w:t xml:space="preserve">duty transportation sector and </w:t>
      </w:r>
      <w:r w:rsidRPr="006F137A" w:rsidR="004F3D7B">
        <w:t>as a potential substitute for</w:t>
      </w:r>
      <w:r w:rsidRPr="006F137A">
        <w:t xml:space="preserve"> natural gas supplied by Aliso Canyon. SoCalGas outlines the following phases of the Project, which did not include construction: Phase</w:t>
      </w:r>
      <w:r w:rsidRPr="006F137A" w:rsidR="00B84025">
        <w:t> </w:t>
      </w:r>
      <w:r w:rsidRPr="006F137A">
        <w:t>1</w:t>
      </w:r>
      <w:r w:rsidRPr="006F137A" w:rsidR="00EE687D">
        <w:t> —</w:t>
      </w:r>
      <w:r w:rsidRPr="006F137A">
        <w:t xml:space="preserve"> feasibility study, </w:t>
      </w:r>
      <w:r w:rsidRPr="006F137A" w:rsidR="00C93942">
        <w:t>Phase 2</w:t>
      </w:r>
      <w:r w:rsidRPr="006F137A" w:rsidR="00EE687D">
        <w:t> —</w:t>
      </w:r>
      <w:r w:rsidRPr="006F137A">
        <w:t xml:space="preserve"> front end engineering and design (FEED) study, and Phase</w:t>
      </w:r>
      <w:r w:rsidRPr="006F137A" w:rsidR="00B84025">
        <w:t> </w:t>
      </w:r>
      <w:r w:rsidRPr="006F137A">
        <w:t>3</w:t>
      </w:r>
      <w:r w:rsidRPr="006F137A" w:rsidR="00EE687D">
        <w:t> —</w:t>
      </w:r>
      <w:r w:rsidRPr="006F137A">
        <w:t xml:space="preserve"> </w:t>
      </w:r>
      <w:r w:rsidRPr="006F137A" w:rsidR="007808FE">
        <w:t xml:space="preserve">development of </w:t>
      </w:r>
      <w:r w:rsidRPr="006F137A" w:rsidR="006B4C9B">
        <w:t xml:space="preserve">an </w:t>
      </w:r>
      <w:r w:rsidRPr="006F137A" w:rsidR="007808FE">
        <w:t>application for</w:t>
      </w:r>
      <w:r w:rsidRPr="006F137A" w:rsidR="00F66889">
        <w:t xml:space="preserve"> a</w:t>
      </w:r>
      <w:r w:rsidRPr="006F137A" w:rsidR="007808FE">
        <w:t xml:space="preserve"> </w:t>
      </w:r>
      <w:r w:rsidRPr="006F137A">
        <w:t>Certificate of Public Convenience and Necessity (CPCN). The Angeles Link Project Phase</w:t>
      </w:r>
      <w:r w:rsidRPr="006F137A" w:rsidR="00B84025">
        <w:t> </w:t>
      </w:r>
      <w:r w:rsidRPr="006F137A">
        <w:t xml:space="preserve">1 Demand </w:t>
      </w:r>
      <w:r w:rsidRPr="006F137A">
        <w:lastRenderedPageBreak/>
        <w:t>Study indicates that the Project could supply hydrogen for power generation, industrial uses and transportation applications,</w:t>
      </w:r>
      <w:r w:rsidRPr="006F137A">
        <w:rPr>
          <w:rStyle w:val="FootnoteReference"/>
        </w:rPr>
        <w:footnoteReference w:id="4"/>
      </w:r>
      <w:r w:rsidRPr="006F137A">
        <w:t xml:space="preserve"> but does not identify specific ratepayers.</w:t>
      </w:r>
    </w:p>
    <w:p w:rsidRPr="006F137A" w:rsidR="00BC0797" w:rsidP="00BC0797" w:rsidRDefault="00BC0797" w14:paraId="446C497D" w14:textId="60B44534">
      <w:pPr>
        <w:pStyle w:val="xstandard"/>
      </w:pPr>
      <w:r w:rsidRPr="006F137A">
        <w:t>On December</w:t>
      </w:r>
      <w:r w:rsidRPr="006F137A" w:rsidR="00B84025">
        <w:t> </w:t>
      </w:r>
      <w:r w:rsidRPr="006F137A">
        <w:t>20, 2022, the Commission authorized SoCalGas to establish the Angeles Link Memorandum Account (Memo Account) to record Phase</w:t>
      </w:r>
      <w:r w:rsidRPr="006F137A" w:rsidR="00B84025">
        <w:t> </w:t>
      </w:r>
      <w:r w:rsidRPr="006F137A">
        <w:t>1 Activities costs in Decision (D.)</w:t>
      </w:r>
      <w:r w:rsidRPr="006F137A" w:rsidR="00B84025">
        <w:t> </w:t>
      </w:r>
      <w:r w:rsidRPr="006F137A">
        <w:t>22</w:t>
      </w:r>
      <w:r w:rsidRPr="006F137A" w:rsidR="00C93942">
        <w:noBreakHyphen/>
      </w:r>
      <w:r w:rsidRPr="006F137A">
        <w:t>12</w:t>
      </w:r>
      <w:r w:rsidRPr="006F137A" w:rsidR="00C93942">
        <w:noBreakHyphen/>
      </w:r>
      <w:r w:rsidRPr="006F137A">
        <w:t>055. D.22</w:t>
      </w:r>
      <w:r w:rsidRPr="006F137A" w:rsidR="00C93942">
        <w:noBreakHyphen/>
      </w:r>
      <w:r w:rsidRPr="006F137A">
        <w:t>12</w:t>
      </w:r>
      <w:r w:rsidRPr="006F137A" w:rsidR="00C93942">
        <w:noBreakHyphen/>
      </w:r>
      <w:r w:rsidRPr="006F137A">
        <w:t>055 provided multiple minimum compliance requirements if SoCalGas were to seek recovery for Phase</w:t>
      </w:r>
      <w:r w:rsidRPr="006F137A" w:rsidR="00B84025">
        <w:t> </w:t>
      </w:r>
      <w:r w:rsidRPr="006F137A">
        <w:t xml:space="preserve">1 Activities and continue to </w:t>
      </w:r>
      <w:r w:rsidRPr="006F137A" w:rsidR="00C93942">
        <w:t>Phase 2</w:t>
      </w:r>
      <w:r w:rsidRPr="006F137A">
        <w:t>. D.22</w:t>
      </w:r>
      <w:r w:rsidRPr="006F137A" w:rsidR="00C93942">
        <w:noBreakHyphen/>
      </w:r>
      <w:r w:rsidRPr="006F137A">
        <w:t>12</w:t>
      </w:r>
      <w:r w:rsidRPr="006F137A" w:rsidR="00C93942">
        <w:noBreakHyphen/>
      </w:r>
      <w:r w:rsidRPr="006F137A">
        <w:t xml:space="preserve">055 </w:t>
      </w:r>
      <w:r w:rsidRPr="006F137A" w:rsidR="00CA6076">
        <w:t>authorized cost recording only</w:t>
      </w:r>
      <w:r w:rsidRPr="006F137A">
        <w:t xml:space="preserve"> “if the Project is restricted to only transport hydrogen that does not use any fossil fuel in its production process.”</w:t>
      </w:r>
      <w:r w:rsidRPr="006F137A">
        <w:rPr>
          <w:rStyle w:val="FootnoteReference"/>
        </w:rPr>
        <w:footnoteReference w:id="5"/>
      </w:r>
      <w:r w:rsidRPr="006F137A">
        <w:t xml:space="preserve"> In D.22</w:t>
      </w:r>
      <w:r w:rsidRPr="006F137A" w:rsidR="00C93942">
        <w:noBreakHyphen/>
      </w:r>
      <w:r w:rsidRPr="006F137A">
        <w:t>12</w:t>
      </w:r>
      <w:r w:rsidRPr="006F137A" w:rsidR="00C93942">
        <w:noBreakHyphen/>
      </w:r>
      <w:r w:rsidRPr="006F137A">
        <w:t>055, the Commission determined that it was premature to address jurisdiction. D.22</w:t>
      </w:r>
      <w:r w:rsidRPr="006F137A" w:rsidR="00C93942">
        <w:noBreakHyphen/>
      </w:r>
      <w:r w:rsidRPr="006F137A">
        <w:t>12</w:t>
      </w:r>
      <w:r w:rsidRPr="006F137A" w:rsidR="00C93942">
        <w:noBreakHyphen/>
      </w:r>
      <w:r w:rsidRPr="006F137A">
        <w:t xml:space="preserve">055 required SoCalGas to join other entities that were members of the Alliance for Renewable Clean Hydrogen Energy Systems (ARCHES) in support of the State of California’s application for the federal funding provided through the Infrastructure Investment and Jobs Act (IIJA) prior to receiving authority to record any </w:t>
      </w:r>
      <w:r w:rsidRPr="006F137A" w:rsidR="00C93942">
        <w:t>Phase 2</w:t>
      </w:r>
      <w:r w:rsidRPr="006F137A">
        <w:t xml:space="preserve"> costs.</w:t>
      </w:r>
    </w:p>
    <w:p w:rsidRPr="006F137A" w:rsidR="00BC0797" w:rsidP="00BC0797" w:rsidRDefault="00BC0797" w14:paraId="094C0C77" w14:textId="20076459">
      <w:pPr>
        <w:pStyle w:val="xstandard"/>
      </w:pPr>
      <w:r w:rsidRPr="006F137A">
        <w:t>On December</w:t>
      </w:r>
      <w:r w:rsidRPr="006F137A" w:rsidR="00B84025">
        <w:t> </w:t>
      </w:r>
      <w:r w:rsidRPr="006F137A">
        <w:t>20, 2024, SoCalGas filed A.24</w:t>
      </w:r>
      <w:r w:rsidRPr="006F137A" w:rsidR="00C93942">
        <w:noBreakHyphen/>
      </w:r>
      <w:r w:rsidRPr="006F137A">
        <w:t>12</w:t>
      </w:r>
      <w:r w:rsidRPr="006F137A" w:rsidR="00C93942">
        <w:noBreakHyphen/>
      </w:r>
      <w:r w:rsidRPr="006F137A">
        <w:t>011 (</w:t>
      </w:r>
      <w:r w:rsidRPr="006F137A" w:rsidR="00C93942">
        <w:t>Phase 2</w:t>
      </w:r>
      <w:r w:rsidRPr="006F137A">
        <w:t xml:space="preserve"> Application) requesting authorization to implement revenue requirement for costs to enable the commencement of </w:t>
      </w:r>
      <w:r w:rsidRPr="006F137A" w:rsidR="00C93942">
        <w:t>Phase 2</w:t>
      </w:r>
      <w:r w:rsidRPr="006F137A">
        <w:t xml:space="preserve"> Activities of the Project. SoCalGas proposes </w:t>
      </w:r>
      <w:r w:rsidRPr="006F137A" w:rsidR="00C93942">
        <w:lastRenderedPageBreak/>
        <w:t>Phase 2</w:t>
      </w:r>
      <w:r w:rsidRPr="006F137A">
        <w:t xml:space="preserve"> Activities include the completion of a 30% FEED study and further stakeholder engagement from Phase</w:t>
      </w:r>
      <w:r w:rsidRPr="006F137A" w:rsidR="00B84025">
        <w:t> </w:t>
      </w:r>
      <w:r w:rsidRPr="006F137A">
        <w:t>1 Activities. SoCalGas requests authority to establish a two</w:t>
      </w:r>
      <w:r w:rsidRPr="006F137A" w:rsidR="00C93942">
        <w:noBreakHyphen/>
      </w:r>
      <w:r w:rsidRPr="006F137A">
        <w:t>way balancing account and for the Commission to implement a revenue requirement based on forecasted cost requirements of $266</w:t>
      </w:r>
      <w:r w:rsidRPr="006F137A" w:rsidR="00B84025">
        <w:t> </w:t>
      </w:r>
      <w:r w:rsidRPr="006F137A">
        <w:t xml:space="preserve">million for </w:t>
      </w:r>
      <w:r w:rsidRPr="006F137A" w:rsidR="00C93942">
        <w:t>Phase 2</w:t>
      </w:r>
      <w:r w:rsidRPr="006F137A">
        <w:t xml:space="preserve"> Activities. In the </w:t>
      </w:r>
      <w:r w:rsidRPr="006F137A" w:rsidR="00C93942">
        <w:t>Phase 2</w:t>
      </w:r>
      <w:r w:rsidRPr="006F137A">
        <w:t xml:space="preserve"> Application, SoCalGas noted that it declined IIJA funding for ARCHES. In the Phase</w:t>
      </w:r>
      <w:r w:rsidRPr="006F137A" w:rsidR="00B84025">
        <w:t> </w:t>
      </w:r>
      <w:r w:rsidRPr="006F137A">
        <w:t>1 Activities High</w:t>
      </w:r>
      <w:r w:rsidRPr="006F137A" w:rsidR="00C93942">
        <w:noBreakHyphen/>
      </w:r>
      <w:r w:rsidRPr="006F137A">
        <w:t>Level Economics Analysis and Cost Effectiveness Study (Cost Effectiveness Study), SoCalGas estimates that the Project would be cost effective for certain end</w:t>
      </w:r>
      <w:r w:rsidRPr="006F137A" w:rsidR="002E6348">
        <w:t xml:space="preserve"> </w:t>
      </w:r>
      <w:r w:rsidRPr="006F137A">
        <w:t>uses including “long</w:t>
      </w:r>
      <w:r w:rsidRPr="006F137A" w:rsidR="00C93942">
        <w:noBreakHyphen/>
      </w:r>
      <w:r w:rsidRPr="006F137A">
        <w:t>haul transportation, retrofitted gas</w:t>
      </w:r>
      <w:r w:rsidRPr="006F137A" w:rsidR="00C93942">
        <w:noBreakHyphen/>
      </w:r>
      <w:r w:rsidRPr="006F137A">
        <w:t>fueled generation facilities, and certain industrial end uses” and carbon capture and sequestration.</w:t>
      </w:r>
      <w:r w:rsidRPr="006F137A">
        <w:rPr>
          <w:rStyle w:val="FootnoteReference"/>
        </w:rPr>
        <w:footnoteReference w:id="6"/>
      </w:r>
    </w:p>
    <w:p w:rsidRPr="006F137A" w:rsidR="00BC0797" w:rsidP="00BC0797" w:rsidRDefault="00BC0797" w14:paraId="4586F2B8" w14:textId="6E10979E">
      <w:pPr>
        <w:pStyle w:val="xstandard"/>
      </w:pPr>
      <w:r w:rsidRPr="006F137A">
        <w:t>By January</w:t>
      </w:r>
      <w:r w:rsidRPr="006F137A" w:rsidR="00B84025">
        <w:t> </w:t>
      </w:r>
      <w:r w:rsidRPr="006F137A">
        <w:t>23, 2025, responses and protests were filed by Air Products and Chemicals, Inc. (Air Products); California Environmental Justice Alliance and Sierra Club (jointly CEJA/Sierra Club); California Hydrogen Business Council (CHBC); City of Long Beach (Port of Long Beach); Coalition of California Utility Employees and California State Pipe Trades Council (jointly CUE/CSPTC); Environmental Defense Fund (EDF); Green Hydrogen Coalition (GHC); Indicated Shippers; the Public Advocates Office at the California Public Utilities Commission (</w:t>
      </w:r>
      <w:r w:rsidRPr="006F137A" w:rsidR="00C93942">
        <w:t>Cal Advoc</w:t>
      </w:r>
      <w:r w:rsidRPr="006F137A">
        <w:t>ates); Southern California Generation Coalition (SCGC); and Utility Consumers’ Action Network (UCAN). On January</w:t>
      </w:r>
      <w:r w:rsidRPr="006F137A" w:rsidR="00B84025">
        <w:t> </w:t>
      </w:r>
      <w:r w:rsidRPr="006F137A">
        <w:t xml:space="preserve">29, 2025, Indicated Shippers filed an amended protest to the </w:t>
      </w:r>
      <w:r w:rsidRPr="006F137A" w:rsidR="00C93942">
        <w:t>Phase 2</w:t>
      </w:r>
      <w:r w:rsidRPr="006F137A">
        <w:t xml:space="preserve"> Application.</w:t>
      </w:r>
    </w:p>
    <w:p w:rsidRPr="006F137A" w:rsidR="00BC0797" w:rsidP="00BC0797" w:rsidRDefault="00BC0797" w14:paraId="651A4D3D" w14:textId="20588113">
      <w:pPr>
        <w:pStyle w:val="xstandard"/>
      </w:pPr>
      <w:r w:rsidRPr="006F137A">
        <w:t>On February</w:t>
      </w:r>
      <w:r w:rsidRPr="006F137A" w:rsidR="00B84025">
        <w:t> </w:t>
      </w:r>
      <w:r w:rsidRPr="006F137A">
        <w:t>13, 2025, motions for party status were granted for Utility Workers of America, Local</w:t>
      </w:r>
      <w:r w:rsidRPr="006F137A" w:rsidR="00B84025">
        <w:t> </w:t>
      </w:r>
      <w:r w:rsidRPr="006F137A">
        <w:t>483 (UWUA Local</w:t>
      </w:r>
      <w:r w:rsidRPr="006F137A" w:rsidR="00B84025">
        <w:t> </w:t>
      </w:r>
      <w:r w:rsidRPr="006F137A">
        <w:t>483), the Port of Los</w:t>
      </w:r>
      <w:r w:rsidRPr="006F137A" w:rsidR="00B84025">
        <w:t> </w:t>
      </w:r>
      <w:r w:rsidRPr="006F137A">
        <w:t xml:space="preserve">Angeles (Port </w:t>
      </w:r>
      <w:r w:rsidRPr="006F137A">
        <w:lastRenderedPageBreak/>
        <w:t>of LA), the California Manufacturers &amp; Technology Association (CMTA), and The Utility Reform Network (TURN).</w:t>
      </w:r>
      <w:r w:rsidRPr="006F137A">
        <w:rPr>
          <w:rStyle w:val="FootnoteReference"/>
        </w:rPr>
        <w:footnoteReference w:id="7"/>
      </w:r>
    </w:p>
    <w:p w:rsidRPr="006F137A" w:rsidR="00BC0797" w:rsidP="00BC0797" w:rsidRDefault="00BC0797" w14:paraId="3D12198B" w14:textId="3A7B86BA">
      <w:pPr>
        <w:pStyle w:val="xstandard"/>
      </w:pPr>
      <w:r w:rsidRPr="006F137A">
        <w:t>On February</w:t>
      </w:r>
      <w:r w:rsidRPr="006F137A" w:rsidR="00B84025">
        <w:t> </w:t>
      </w:r>
      <w:r w:rsidRPr="006F137A">
        <w:t xml:space="preserve">3, 2025, SoCalGas filed a reply to the responses and protests to the </w:t>
      </w:r>
      <w:r w:rsidRPr="006F137A" w:rsidR="00C93942">
        <w:t>Phase 2</w:t>
      </w:r>
      <w:r w:rsidRPr="006F137A">
        <w:t xml:space="preserve"> Application.</w:t>
      </w:r>
    </w:p>
    <w:p w:rsidRPr="006F137A" w:rsidR="00BC0797" w:rsidP="00BC0797" w:rsidRDefault="00BC0797" w14:paraId="7A6AB10D" w14:textId="7E5C6E65">
      <w:pPr>
        <w:pStyle w:val="xstandard"/>
      </w:pPr>
      <w:r w:rsidRPr="006F137A">
        <w:t>A prehearing conference was held on March</w:t>
      </w:r>
      <w:r w:rsidRPr="006F137A" w:rsidR="00B84025">
        <w:t> </w:t>
      </w:r>
      <w:r w:rsidRPr="006F137A">
        <w:t>14, 2025.</w:t>
      </w:r>
    </w:p>
    <w:p w:rsidRPr="006F137A" w:rsidR="00BC0797" w:rsidP="00BC0797" w:rsidRDefault="00BC0797" w14:paraId="6A172B78" w14:textId="0A194341">
      <w:pPr>
        <w:pStyle w:val="xstandard"/>
      </w:pPr>
      <w:r w:rsidRPr="006F137A">
        <w:t>On June</w:t>
      </w:r>
      <w:r w:rsidRPr="006F137A" w:rsidR="00B84025">
        <w:t> </w:t>
      </w:r>
      <w:r w:rsidRPr="006F137A">
        <w:t>12, 2025, SoCalGas filed A.25</w:t>
      </w:r>
      <w:r w:rsidRPr="006F137A" w:rsidR="00C93942">
        <w:noBreakHyphen/>
      </w:r>
      <w:r w:rsidRPr="006F137A">
        <w:t>06</w:t>
      </w:r>
      <w:r w:rsidRPr="006F137A" w:rsidR="00C93942">
        <w:noBreakHyphen/>
      </w:r>
      <w:r w:rsidRPr="006F137A">
        <w:t>011 (Phase</w:t>
      </w:r>
      <w:r w:rsidRPr="006F137A" w:rsidR="00B84025">
        <w:t> </w:t>
      </w:r>
      <w:r w:rsidRPr="006F137A">
        <w:t>1 Compliance Application) requesting authorization to recover costs recorded in its Angeles Link Memorandum Account for Phase</w:t>
      </w:r>
      <w:r w:rsidRPr="006F137A" w:rsidR="00B84025">
        <w:t> </w:t>
      </w:r>
      <w:r w:rsidRPr="006F137A">
        <w:t>1 Activities.</w:t>
      </w:r>
    </w:p>
    <w:p w:rsidRPr="006F137A" w:rsidR="00BC0797" w:rsidP="00BC0797" w:rsidRDefault="00BC0797" w14:paraId="15EB7C3A" w14:textId="5497CAB2">
      <w:pPr>
        <w:pStyle w:val="Standard"/>
      </w:pPr>
      <w:r w:rsidRPr="006F137A">
        <w:t>On July</w:t>
      </w:r>
      <w:r w:rsidRPr="006F137A" w:rsidR="00B84025">
        <w:t> </w:t>
      </w:r>
      <w:r w:rsidRPr="006F137A">
        <w:t xml:space="preserve">31, 2025, the </w:t>
      </w:r>
      <w:r w:rsidRPr="006F137A" w:rsidR="0097529E">
        <w:t xml:space="preserve">assigned </w:t>
      </w:r>
      <w:r w:rsidRPr="006F137A">
        <w:t>Commission</w:t>
      </w:r>
      <w:r w:rsidRPr="006F137A" w:rsidR="00EE493A">
        <w:t>er</w:t>
      </w:r>
      <w:r w:rsidRPr="006F137A">
        <w:t xml:space="preserve"> issued a scoping memo and ruling (Scoping Memo) bifurcating the </w:t>
      </w:r>
      <w:r w:rsidRPr="006F137A" w:rsidR="00C93942">
        <w:t>Phase 2</w:t>
      </w:r>
      <w:r w:rsidRPr="006F137A">
        <w:t xml:space="preserve"> proceeding to first consider threshold questions of law and policy in </w:t>
      </w:r>
      <w:r w:rsidRPr="006F137A" w:rsidR="00C93942">
        <w:t>Phase 2</w:t>
      </w:r>
      <w:r w:rsidRPr="006F137A">
        <w:t xml:space="preserve">A before considering </w:t>
      </w:r>
      <w:r w:rsidRPr="006F137A" w:rsidR="00C93942">
        <w:t>Phase 2</w:t>
      </w:r>
      <w:r w:rsidRPr="006F137A">
        <w:t>B.</w:t>
      </w:r>
    </w:p>
    <w:p w:rsidRPr="006F137A" w:rsidR="00750F36" w:rsidP="00BC0797" w:rsidRDefault="00750F36" w14:paraId="6FF5CC37" w14:textId="68502A87">
      <w:pPr>
        <w:pStyle w:val="Standard"/>
      </w:pPr>
      <w:r w:rsidRPr="006F137A">
        <w:t>On August</w:t>
      </w:r>
      <w:r w:rsidRPr="006F137A" w:rsidR="00260D45">
        <w:t> </w:t>
      </w:r>
      <w:r w:rsidRPr="006F137A">
        <w:t>25, 2025, an ALJ ruling grant</w:t>
      </w:r>
      <w:r w:rsidRPr="006F137A" w:rsidR="00A06B0C">
        <w:t>ed</w:t>
      </w:r>
      <w:r w:rsidRPr="006F137A">
        <w:t xml:space="preserve"> party status to First Public Hydrogen Authority (First Public H2) and </w:t>
      </w:r>
      <w:r w:rsidRPr="006F137A" w:rsidR="0041313D">
        <w:t>Foothill Transit.</w:t>
      </w:r>
    </w:p>
    <w:p w:rsidRPr="006F137A" w:rsidR="00BC0797" w:rsidP="00BC0797" w:rsidRDefault="00BC0797" w14:paraId="06098A8D" w14:textId="5DE91577">
      <w:pPr>
        <w:pStyle w:val="Standard"/>
      </w:pPr>
      <w:r w:rsidRPr="006F137A">
        <w:t>On September</w:t>
      </w:r>
      <w:r w:rsidRPr="006F137A" w:rsidR="00B84025">
        <w:t> </w:t>
      </w:r>
      <w:r w:rsidRPr="006F137A">
        <w:t xml:space="preserve">3, 2025, opening briefs were filed by Air Products, </w:t>
      </w:r>
      <w:r w:rsidRPr="006F137A" w:rsidR="00C93942">
        <w:t>Cal Advoc</w:t>
      </w:r>
      <w:r w:rsidRPr="006F137A">
        <w:t>ates, CEJA/Sierra Club, CHBC, CSPTC, EDF, First Public H2, GHC, Indicated Shippers, SCGC, SoCalGas, TURN, UCAN, and UWUA Local</w:t>
      </w:r>
      <w:r w:rsidRPr="006F137A" w:rsidR="00B84025">
        <w:t> </w:t>
      </w:r>
      <w:r w:rsidRPr="006F137A">
        <w:t>483.</w:t>
      </w:r>
    </w:p>
    <w:p w:rsidRPr="006F137A" w:rsidR="007525BA" w:rsidP="007525BA" w:rsidRDefault="00BC0797" w14:paraId="20DB5859" w14:textId="17426F4C">
      <w:pPr>
        <w:pStyle w:val="Standard"/>
      </w:pPr>
      <w:r w:rsidRPr="006F137A">
        <w:t>On October</w:t>
      </w:r>
      <w:r w:rsidRPr="006F137A" w:rsidR="00B84025">
        <w:t> </w:t>
      </w:r>
      <w:r w:rsidRPr="006F137A">
        <w:t xml:space="preserve">17, 2025, reply briefs were filed by Air Products, </w:t>
      </w:r>
      <w:r w:rsidRPr="006F137A" w:rsidR="00C93942">
        <w:t>Cal Advoc</w:t>
      </w:r>
      <w:r w:rsidRPr="006F137A">
        <w:t>ates, CEJA/Sierra Club, CHBC, CSPTC, EDF, GHC, Indicated Shippers, SCGC, SoCalGas, TURN, and UCAN.</w:t>
      </w:r>
    </w:p>
    <w:p w:rsidRPr="006F137A" w:rsidR="00683B2C" w:rsidP="00683B2C" w:rsidRDefault="00683B2C" w14:paraId="254B4B86" w14:textId="77777777">
      <w:pPr>
        <w:pStyle w:val="Heading2"/>
      </w:pPr>
      <w:bookmarkStart w:name="_Toc228299457" w:id="6"/>
      <w:r w:rsidRPr="006F137A">
        <w:t>Submission Date</w:t>
      </w:r>
      <w:bookmarkEnd w:id="6"/>
    </w:p>
    <w:p w:rsidRPr="006F137A" w:rsidR="00683B2C" w:rsidP="00683B2C" w:rsidRDefault="00683B2C" w14:paraId="549D0D39" w14:textId="3EA063AB">
      <w:pPr>
        <w:pStyle w:val="Standard"/>
      </w:pPr>
      <w:r w:rsidRPr="006F137A">
        <w:t xml:space="preserve">This matter was submitted on </w:t>
      </w:r>
      <w:r w:rsidRPr="006F137A" w:rsidR="007E242F">
        <w:t>October </w:t>
      </w:r>
      <w:r w:rsidRPr="006F137A" w:rsidR="00C85E3A">
        <w:t>17, 2025</w:t>
      </w:r>
      <w:r w:rsidRPr="006F137A" w:rsidR="002A0134">
        <w:t>,</w:t>
      </w:r>
      <w:r w:rsidRPr="006F137A">
        <w:t xml:space="preserve"> upon </w:t>
      </w:r>
      <w:r w:rsidRPr="006F137A" w:rsidR="00D94A43">
        <w:t xml:space="preserve">filing of </w:t>
      </w:r>
      <w:r w:rsidRPr="006F137A">
        <w:t>reply briefs.</w:t>
      </w:r>
    </w:p>
    <w:p w:rsidRPr="006F137A" w:rsidR="005A148C" w:rsidP="005939A5" w:rsidRDefault="005939A5" w14:paraId="344C633E" w14:textId="77777777">
      <w:pPr>
        <w:pStyle w:val="Heading1"/>
      </w:pPr>
      <w:bookmarkStart w:name="_Toc8123719" w:id="7"/>
      <w:bookmarkStart w:name="_Toc228299458" w:id="8"/>
      <w:r w:rsidRPr="006F137A">
        <w:t xml:space="preserve">Issues Before the </w:t>
      </w:r>
      <w:bookmarkEnd w:id="7"/>
      <w:r w:rsidRPr="006F137A" w:rsidR="008A08BF">
        <w:t>Commission</w:t>
      </w:r>
      <w:bookmarkEnd w:id="8"/>
    </w:p>
    <w:p w:rsidRPr="006F137A" w:rsidR="005B5894" w:rsidP="00485760" w:rsidRDefault="00485760" w14:paraId="2171B053" w14:textId="6D898480">
      <w:pPr>
        <w:pStyle w:val="Standard"/>
      </w:pPr>
      <w:r w:rsidRPr="006F137A">
        <w:t xml:space="preserve">The Scoping Memo </w:t>
      </w:r>
      <w:r w:rsidRPr="006F137A" w:rsidR="005B5894">
        <w:t xml:space="preserve">bifurcated </w:t>
      </w:r>
      <w:r w:rsidRPr="006F137A">
        <w:t xml:space="preserve">the </w:t>
      </w:r>
      <w:r w:rsidRPr="006F137A" w:rsidR="00C93942">
        <w:t>Phase 2</w:t>
      </w:r>
      <w:r w:rsidRPr="006F137A">
        <w:t xml:space="preserve"> proceeding to first consider threshold issues of law and policy in </w:t>
      </w:r>
      <w:r w:rsidRPr="006F137A" w:rsidR="00C93942">
        <w:t>Phase 2</w:t>
      </w:r>
      <w:r w:rsidRPr="006F137A">
        <w:t xml:space="preserve">A before considering whether </w:t>
      </w:r>
      <w:r w:rsidRPr="006F137A" w:rsidR="00C93942">
        <w:lastRenderedPageBreak/>
        <w:t>Phase 2</w:t>
      </w:r>
      <w:r w:rsidRPr="006F137A">
        <w:t>B is needed. Based on this decision</w:t>
      </w:r>
      <w:r w:rsidRPr="006F137A" w:rsidR="005B5894">
        <w:t>’s resolution of Phase</w:t>
      </w:r>
      <w:r w:rsidRPr="006F137A" w:rsidR="00260D45">
        <w:t> </w:t>
      </w:r>
      <w:r w:rsidRPr="006F137A" w:rsidR="005B5894">
        <w:t>2A threshold issues</w:t>
      </w:r>
      <w:r w:rsidRPr="006F137A">
        <w:t xml:space="preserve">, </w:t>
      </w:r>
      <w:r w:rsidRPr="006F137A" w:rsidR="005B5894">
        <w:t xml:space="preserve">the issues of </w:t>
      </w:r>
      <w:r w:rsidRPr="006F137A" w:rsidR="00C93942">
        <w:t>Phase 2</w:t>
      </w:r>
      <w:r w:rsidRPr="006F137A">
        <w:t xml:space="preserve">B </w:t>
      </w:r>
      <w:r w:rsidRPr="006F137A" w:rsidR="00907BE1">
        <w:t>need not be addressed</w:t>
      </w:r>
      <w:r w:rsidRPr="006F137A" w:rsidR="005B5894">
        <w:t>, and it is reasonable to close this proceeding</w:t>
      </w:r>
      <w:r w:rsidRPr="006F137A">
        <w:t>.</w:t>
      </w:r>
    </w:p>
    <w:p w:rsidRPr="006F137A" w:rsidR="00485760" w:rsidP="00485760" w:rsidRDefault="00485760" w14:paraId="08D314DC" w14:textId="449DC4C6">
      <w:pPr>
        <w:pStyle w:val="Standard"/>
      </w:pPr>
      <w:r w:rsidRPr="006F137A">
        <w:t xml:space="preserve">The </w:t>
      </w:r>
      <w:r w:rsidRPr="006F137A" w:rsidR="00C93942">
        <w:t>Phase 2</w:t>
      </w:r>
      <w:r w:rsidRPr="006F137A">
        <w:t xml:space="preserve">A threshold issues, which are limited to matters of law and policy, to be determined or otherwise considered </w:t>
      </w:r>
      <w:r w:rsidRPr="006F137A" w:rsidR="005B5894">
        <w:t xml:space="preserve">in this decision </w:t>
      </w:r>
      <w:r w:rsidRPr="006F137A">
        <w:t>are:</w:t>
      </w:r>
    </w:p>
    <w:p w:rsidRPr="006F137A" w:rsidR="00485760" w:rsidP="00485760" w:rsidRDefault="00485760" w14:paraId="24D3EA74" w14:textId="3B563BAA">
      <w:pPr>
        <w:pStyle w:val="ListNum"/>
        <w:ind w:left="720" w:firstLine="0"/>
      </w:pPr>
      <w:r w:rsidRPr="006F137A">
        <w:t xml:space="preserve">Should the Commission consider the SoCalGas </w:t>
      </w:r>
      <w:r w:rsidRPr="006F137A" w:rsidR="00C93942">
        <w:t>Phase 2</w:t>
      </w:r>
      <w:r w:rsidRPr="006F137A">
        <w:t xml:space="preserve"> Application before reviewing the SoCalGas Phase</w:t>
      </w:r>
      <w:r w:rsidRPr="006F137A" w:rsidR="00B84025">
        <w:t> </w:t>
      </w:r>
      <w:r w:rsidRPr="006F137A">
        <w:t>1 Compliance Application?</w:t>
      </w:r>
    </w:p>
    <w:p w:rsidRPr="006F137A" w:rsidR="00485760" w:rsidP="00485760" w:rsidRDefault="00485760" w14:paraId="70D63642" w14:textId="3AECE1A7">
      <w:pPr>
        <w:pStyle w:val="ListNum"/>
        <w:ind w:left="720" w:firstLine="0"/>
      </w:pPr>
      <w:r w:rsidRPr="006F137A">
        <w:t>Should the Project be treated as a pipeline as defined by Public Utilities Code (Pub.</w:t>
      </w:r>
      <w:r w:rsidRPr="006F137A" w:rsidR="00B84025">
        <w:t> </w:t>
      </w:r>
      <w:r w:rsidRPr="006F137A">
        <w:t>Util. Code) Section</w:t>
      </w:r>
      <w:r w:rsidRPr="006F137A" w:rsidR="00B84025">
        <w:t> </w:t>
      </w:r>
      <w:r w:rsidRPr="006F137A">
        <w:t>227? If so, should SoCalGas be treated as a pipeline corporation with consideration to Pub.</w:t>
      </w:r>
      <w:r w:rsidRPr="006F137A" w:rsidR="00FA2B1C">
        <w:t> </w:t>
      </w:r>
      <w:r w:rsidRPr="006F137A">
        <w:t>Util. Code Section</w:t>
      </w:r>
      <w:r w:rsidRPr="006F137A" w:rsidR="00FA2B1C">
        <w:t> </w:t>
      </w:r>
      <w:r w:rsidRPr="006F137A">
        <w:t>228?</w:t>
      </w:r>
    </w:p>
    <w:p w:rsidRPr="006F137A" w:rsidR="00485760" w:rsidP="00485760" w:rsidRDefault="00485760" w14:paraId="64EC852D" w14:textId="14794797">
      <w:pPr>
        <w:pStyle w:val="ListNum"/>
        <w:ind w:left="720" w:firstLine="0"/>
      </w:pPr>
      <w:r w:rsidRPr="006F137A">
        <w:t>Should the Project be treated as a gas plant as defined by Pub.</w:t>
      </w:r>
      <w:r w:rsidRPr="006F137A" w:rsidR="00B84025">
        <w:t> </w:t>
      </w:r>
      <w:r w:rsidRPr="006F137A">
        <w:t>Util. Code Section</w:t>
      </w:r>
      <w:r w:rsidRPr="006F137A" w:rsidR="007412EC">
        <w:t> </w:t>
      </w:r>
      <w:r w:rsidRPr="006F137A">
        <w:t>221? If so, should SoCalGas be treated as a gas plant corporation with consideration to Pub.</w:t>
      </w:r>
      <w:r w:rsidRPr="006F137A" w:rsidR="00BC1558">
        <w:t> </w:t>
      </w:r>
      <w:r w:rsidRPr="006F137A">
        <w:t>Util. Code Section</w:t>
      </w:r>
      <w:r w:rsidRPr="006F137A" w:rsidR="00BC1558">
        <w:t> </w:t>
      </w:r>
      <w:r w:rsidRPr="006F137A">
        <w:t>222?</w:t>
      </w:r>
    </w:p>
    <w:p w:rsidRPr="006F137A" w:rsidR="00485760" w:rsidP="00485760" w:rsidRDefault="00485760" w14:paraId="60BDEB48" w14:textId="6A04C306">
      <w:pPr>
        <w:pStyle w:val="ListNum"/>
        <w:ind w:left="720" w:firstLine="0"/>
      </w:pPr>
      <w:r w:rsidRPr="006F137A">
        <w:t xml:space="preserve">Is it reasonable for ratepayers, or a subset of ratepayers, to be responsible for the costs of </w:t>
      </w:r>
      <w:r w:rsidRPr="006F137A" w:rsidR="00C93942">
        <w:t>Phase 2</w:t>
      </w:r>
      <w:r w:rsidRPr="006F137A">
        <w:t xml:space="preserve"> Activities, as a matter of law and policy?</w:t>
      </w:r>
    </w:p>
    <w:p w:rsidRPr="006F137A" w:rsidR="00485760" w:rsidP="00485760" w:rsidRDefault="00485760" w14:paraId="70F8247C" w14:textId="77777777">
      <w:pPr>
        <w:pStyle w:val="ListNum"/>
        <w:ind w:left="720" w:firstLine="0"/>
      </w:pPr>
      <w:r w:rsidRPr="006F137A">
        <w:t>Does the Commission have jurisdiction over the Project?</w:t>
      </w:r>
    </w:p>
    <w:p w:rsidRPr="006F137A" w:rsidR="005C17F0" w:rsidRDefault="001D0CF3" w14:paraId="522B5676" w14:textId="77777777">
      <w:pPr>
        <w:pStyle w:val="Heading1"/>
      </w:pPr>
      <w:bookmarkStart w:name="_Toc228299459" w:id="9"/>
      <w:r w:rsidRPr="006F137A">
        <w:t xml:space="preserve">Order of Review of </w:t>
      </w:r>
      <w:r w:rsidRPr="006F137A" w:rsidR="005C17F0">
        <w:t>Applications</w:t>
      </w:r>
      <w:bookmarkEnd w:id="9"/>
    </w:p>
    <w:p w:rsidRPr="006F137A" w:rsidR="00467B4B" w:rsidP="00C93942" w:rsidRDefault="00467B4B" w14:paraId="31E325FD" w14:textId="2DD8A283">
      <w:pPr>
        <w:pStyle w:val="Standard"/>
      </w:pPr>
      <w:r w:rsidRPr="006F137A">
        <w:t xml:space="preserve">Air Products, </w:t>
      </w:r>
      <w:r w:rsidRPr="006F137A" w:rsidR="00C93942">
        <w:t>Cal Advoc</w:t>
      </w:r>
      <w:r w:rsidRPr="006F137A">
        <w:t xml:space="preserve">ates, CEJA/Sierra Club, EDF, Indicated Shippers, TURN, and UCAN support the application review of </w:t>
      </w:r>
      <w:r w:rsidRPr="006F137A" w:rsidR="00C93942">
        <w:t>Phase 2</w:t>
      </w:r>
      <w:r w:rsidRPr="006F137A">
        <w:t>A before Phase</w:t>
      </w:r>
      <w:r w:rsidRPr="006F137A" w:rsidR="00B84025">
        <w:t> </w:t>
      </w:r>
      <w:r w:rsidRPr="006F137A">
        <w:t xml:space="preserve">1 Compliance. The rationale </w:t>
      </w:r>
      <w:r w:rsidRPr="006F137A" w:rsidR="003A4055">
        <w:t xml:space="preserve">is </w:t>
      </w:r>
      <w:r w:rsidRPr="006F137A">
        <w:t>based on the interrelated and relevant issues in both proceedings. Additionally, parties argue that Phase</w:t>
      </w:r>
      <w:r w:rsidRPr="006F137A" w:rsidR="00B84025">
        <w:t> </w:t>
      </w:r>
      <w:r w:rsidRPr="006F137A">
        <w:t xml:space="preserve">1 Compliance Application must happen before </w:t>
      </w:r>
      <w:r w:rsidRPr="006F137A" w:rsidR="00C93942">
        <w:t>Phase 2</w:t>
      </w:r>
      <w:r w:rsidRPr="006F137A">
        <w:t>B to ensure compliance with D.22</w:t>
      </w:r>
      <w:r w:rsidRPr="006F137A" w:rsidR="00C93942">
        <w:noBreakHyphen/>
      </w:r>
      <w:r w:rsidRPr="006F137A">
        <w:t>12</w:t>
      </w:r>
      <w:r w:rsidRPr="006F137A" w:rsidR="00C93942">
        <w:noBreakHyphen/>
      </w:r>
      <w:r w:rsidRPr="006F137A">
        <w:t>055 for Phase</w:t>
      </w:r>
      <w:r w:rsidRPr="006F137A" w:rsidR="00B84025">
        <w:t> </w:t>
      </w:r>
      <w:r w:rsidRPr="006F137A">
        <w:t xml:space="preserve">1 Activities that will influence </w:t>
      </w:r>
      <w:r w:rsidRPr="006F137A" w:rsidR="00C93942">
        <w:t>Phase 2</w:t>
      </w:r>
      <w:r w:rsidRPr="006F137A">
        <w:t xml:space="preserve"> Activities.</w:t>
      </w:r>
    </w:p>
    <w:p w:rsidRPr="006F137A" w:rsidR="00467B4B" w:rsidP="00C93942" w:rsidRDefault="00467B4B" w14:paraId="72351820" w14:textId="1C401C1E">
      <w:pPr>
        <w:pStyle w:val="Standard"/>
      </w:pPr>
      <w:r w:rsidRPr="006F137A">
        <w:t xml:space="preserve">Parties that prefer </w:t>
      </w:r>
      <w:r w:rsidRPr="006F137A" w:rsidR="005D6490">
        <w:t xml:space="preserve">a </w:t>
      </w:r>
      <w:r w:rsidRPr="006F137A">
        <w:t>review of the Phase</w:t>
      </w:r>
      <w:r w:rsidRPr="006F137A" w:rsidR="00B84025">
        <w:t> </w:t>
      </w:r>
      <w:r w:rsidRPr="006F137A">
        <w:t>1 Compliance Application</w:t>
      </w:r>
      <w:r w:rsidRPr="006F137A" w:rsidR="005B5894">
        <w:t xml:space="preserve"> </w:t>
      </w:r>
      <w:r w:rsidRPr="006F137A" w:rsidR="005447E8">
        <w:t>first</w:t>
      </w:r>
      <w:r w:rsidRPr="006F137A">
        <w:t xml:space="preserve"> included CHBC, GHC, SoCalGas, and UWUA Local</w:t>
      </w:r>
      <w:r w:rsidRPr="006F137A" w:rsidR="00B84025">
        <w:t> </w:t>
      </w:r>
      <w:r w:rsidRPr="006F137A">
        <w:t>483. These parties support the approach that the applications could run concurrently without delay. SoCalGas indicated that the phases are independent.</w:t>
      </w:r>
      <w:r w:rsidRPr="006F137A" w:rsidR="001A3EF8">
        <w:t xml:space="preserve"> No party </w:t>
      </w:r>
      <w:r w:rsidRPr="006F137A" w:rsidR="00924D90">
        <w:t>argue</w:t>
      </w:r>
      <w:r w:rsidRPr="006F137A" w:rsidR="00BC1D22">
        <w:t>s</w:t>
      </w:r>
      <w:r w:rsidRPr="006F137A" w:rsidR="00924D90">
        <w:t xml:space="preserve"> that </w:t>
      </w:r>
      <w:r w:rsidRPr="006F137A" w:rsidR="00A07ABF">
        <w:t xml:space="preserve">it </w:t>
      </w:r>
      <w:r w:rsidRPr="006F137A" w:rsidR="00512B6E">
        <w:t>i</w:t>
      </w:r>
      <w:r w:rsidRPr="006F137A" w:rsidR="00A07ABF">
        <w:t xml:space="preserve">s necessary for </w:t>
      </w:r>
      <w:r w:rsidRPr="006F137A" w:rsidR="006E4BD4">
        <w:t xml:space="preserve">the Commission to first </w:t>
      </w:r>
      <w:r w:rsidRPr="006F137A" w:rsidR="00512B6E">
        <w:t>review</w:t>
      </w:r>
      <w:r w:rsidRPr="006F137A" w:rsidR="006E4BD4">
        <w:t xml:space="preserve"> the</w:t>
      </w:r>
      <w:r w:rsidRPr="006F137A" w:rsidR="00971588">
        <w:t xml:space="preserve"> </w:t>
      </w:r>
      <w:r w:rsidRPr="006F137A" w:rsidR="00924D90">
        <w:t>Phase</w:t>
      </w:r>
      <w:r w:rsidRPr="006F137A" w:rsidR="00260D45">
        <w:t> </w:t>
      </w:r>
      <w:r w:rsidRPr="006F137A" w:rsidR="00924D90">
        <w:t xml:space="preserve">1 Compliance </w:t>
      </w:r>
      <w:r w:rsidRPr="006F137A" w:rsidR="00924D90">
        <w:lastRenderedPageBreak/>
        <w:t>Application</w:t>
      </w:r>
      <w:r w:rsidRPr="006F137A" w:rsidR="00A07ABF">
        <w:t xml:space="preserve"> b</w:t>
      </w:r>
      <w:r w:rsidRPr="006F137A" w:rsidR="00E2738A">
        <w:t>efore addressing Phase</w:t>
      </w:r>
      <w:r w:rsidRPr="006F137A" w:rsidR="00260D45">
        <w:t> </w:t>
      </w:r>
      <w:r w:rsidRPr="006F137A" w:rsidR="00E2738A">
        <w:t>2A threshold issues in the Phase</w:t>
      </w:r>
      <w:r w:rsidRPr="006F137A" w:rsidR="00260D45">
        <w:t> </w:t>
      </w:r>
      <w:r w:rsidRPr="006F137A" w:rsidR="00E2738A">
        <w:t>2 Application.</w:t>
      </w:r>
    </w:p>
    <w:p w:rsidRPr="006F137A" w:rsidR="00261375" w:rsidP="00C93942" w:rsidRDefault="008F7700" w14:paraId="22E40CC4" w14:textId="2890A09D">
      <w:pPr>
        <w:pStyle w:val="Standard"/>
      </w:pPr>
      <w:r w:rsidRPr="006F137A">
        <w:t xml:space="preserve">We agree with Air Products, Cal Advocates, CEJA/Sierra Club, EDF, Indicated Shippers, TURN, and UCAN that </w:t>
      </w:r>
      <w:r w:rsidRPr="006F137A" w:rsidR="004C4898">
        <w:t xml:space="preserve">the Commission can address </w:t>
      </w:r>
      <w:r w:rsidRPr="006F137A">
        <w:t>Phase</w:t>
      </w:r>
      <w:r w:rsidRPr="006F137A" w:rsidR="00260D45">
        <w:t> </w:t>
      </w:r>
      <w:r w:rsidRPr="006F137A">
        <w:t>2A before the Phase</w:t>
      </w:r>
      <w:r w:rsidRPr="006F137A" w:rsidR="00260D45">
        <w:t> </w:t>
      </w:r>
      <w:r w:rsidRPr="006F137A">
        <w:t>1 Compliance Application.</w:t>
      </w:r>
      <w:r w:rsidRPr="006F137A" w:rsidR="00FC5199">
        <w:t xml:space="preserve"> </w:t>
      </w:r>
      <w:r w:rsidRPr="006F137A" w:rsidR="00AB037B">
        <w:t>We note that D.22</w:t>
      </w:r>
      <w:r w:rsidRPr="006F137A" w:rsidR="00260D45">
        <w:noBreakHyphen/>
      </w:r>
      <w:r w:rsidRPr="006F137A" w:rsidR="00AB037B">
        <w:t>12</w:t>
      </w:r>
      <w:r w:rsidRPr="006F137A" w:rsidR="00260D45">
        <w:noBreakHyphen/>
      </w:r>
      <w:r w:rsidRPr="006F137A" w:rsidR="00AB037B">
        <w:t>055 requires that</w:t>
      </w:r>
      <w:r w:rsidRPr="006F137A" w:rsidR="00BE1785">
        <w:t xml:space="preserve"> the </w:t>
      </w:r>
      <w:r w:rsidRPr="006F137A" w:rsidR="00AB037B">
        <w:t>Phase</w:t>
      </w:r>
      <w:r w:rsidRPr="006F137A" w:rsidR="00260D45">
        <w:t> </w:t>
      </w:r>
      <w:r w:rsidRPr="006F137A" w:rsidR="00AB037B">
        <w:t>1 studies get a proper review</w:t>
      </w:r>
      <w:r w:rsidRPr="006F137A" w:rsidR="00AB037B">
        <w:rPr>
          <w:vertAlign w:val="superscript"/>
        </w:rPr>
        <w:footnoteReference w:id="8"/>
      </w:r>
      <w:r w:rsidRPr="006F137A" w:rsidR="00AB037B">
        <w:t xml:space="preserve"> as they would impact </w:t>
      </w:r>
      <w:r w:rsidRPr="006F137A" w:rsidR="002F2CD6">
        <w:t>the</w:t>
      </w:r>
      <w:r w:rsidRPr="006F137A" w:rsidR="00567ECF">
        <w:t xml:space="preserve"> need </w:t>
      </w:r>
      <w:r w:rsidRPr="006F137A" w:rsidR="00DF6414">
        <w:t xml:space="preserve">for </w:t>
      </w:r>
      <w:r w:rsidRPr="006F137A" w:rsidR="00567ECF">
        <w:t xml:space="preserve">and scope of </w:t>
      </w:r>
      <w:r w:rsidRPr="006F137A" w:rsidR="00AB037B">
        <w:t>Phase</w:t>
      </w:r>
      <w:r w:rsidRPr="006F137A" w:rsidR="00260D45">
        <w:t> </w:t>
      </w:r>
      <w:r w:rsidRPr="006F137A" w:rsidR="00AB037B">
        <w:t xml:space="preserve">2 Activities. </w:t>
      </w:r>
      <w:r w:rsidRPr="006F137A" w:rsidR="00467B4B">
        <w:t xml:space="preserve">We find that it is reasonable to review the </w:t>
      </w:r>
      <w:r w:rsidRPr="006F137A" w:rsidR="00C93942">
        <w:t>Phase 2</w:t>
      </w:r>
      <w:r w:rsidRPr="006F137A" w:rsidR="00467B4B">
        <w:t xml:space="preserve">A threshold issues in the </w:t>
      </w:r>
      <w:r w:rsidRPr="006F137A" w:rsidR="00C93942">
        <w:t>Phase 2</w:t>
      </w:r>
      <w:r w:rsidRPr="006F137A" w:rsidR="00467B4B">
        <w:t xml:space="preserve"> Application before </w:t>
      </w:r>
      <w:r w:rsidRPr="006F137A" w:rsidR="005B5894">
        <w:t xml:space="preserve">the Commission resolves </w:t>
      </w:r>
      <w:r w:rsidRPr="006F137A" w:rsidR="00467B4B">
        <w:t>the Phase</w:t>
      </w:r>
      <w:r w:rsidRPr="006F137A" w:rsidR="00B84025">
        <w:t> </w:t>
      </w:r>
      <w:r w:rsidRPr="006F137A" w:rsidR="00467B4B">
        <w:t>1 Compliance Application.</w:t>
      </w:r>
    </w:p>
    <w:p w:rsidRPr="006F137A" w:rsidR="00910875" w:rsidP="00247A5F" w:rsidRDefault="00E47288" w14:paraId="79B26487" w14:textId="23A8EEF6">
      <w:pPr>
        <w:pStyle w:val="Heading1"/>
      </w:pPr>
      <w:bookmarkStart w:name="_Toc228299460" w:id="10"/>
      <w:r w:rsidRPr="006F137A">
        <w:t xml:space="preserve">Reasonableness of </w:t>
      </w:r>
      <w:r w:rsidRPr="006F137A" w:rsidR="00B7643F">
        <w:t xml:space="preserve">Cost </w:t>
      </w:r>
      <w:r w:rsidRPr="006F137A" w:rsidR="00665493">
        <w:t>R</w:t>
      </w:r>
      <w:r w:rsidRPr="006F137A">
        <w:t xml:space="preserve">ecovery from </w:t>
      </w:r>
      <w:r w:rsidRPr="006F137A" w:rsidR="00665493">
        <w:t>R</w:t>
      </w:r>
      <w:r w:rsidRPr="006F137A">
        <w:t>atepayers</w:t>
      </w:r>
      <w:bookmarkEnd w:id="10"/>
    </w:p>
    <w:p w:rsidRPr="006F137A" w:rsidR="005A62B1" w:rsidP="00C93942" w:rsidRDefault="005A62B1" w14:paraId="3DFE1068" w14:textId="129CE297">
      <w:pPr>
        <w:pStyle w:val="Standard"/>
      </w:pPr>
      <w:r w:rsidRPr="006F137A">
        <w:t>SoCalGas requests authorization to implement a revenue requirement from its current natural gas ratepayers in a two</w:t>
      </w:r>
      <w:r w:rsidRPr="006F137A" w:rsidR="00C93942">
        <w:noBreakHyphen/>
      </w:r>
      <w:r w:rsidRPr="006F137A">
        <w:t xml:space="preserve">way balancing account for </w:t>
      </w:r>
      <w:r w:rsidRPr="006F137A" w:rsidR="00C93942">
        <w:t>Phase 2</w:t>
      </w:r>
      <w:r w:rsidRPr="006F137A">
        <w:t xml:space="preserve"> Activities. SoCalGas proposes that the timing for authorization of the request is appropriate based on </w:t>
      </w:r>
      <w:r w:rsidRPr="006F137A" w:rsidR="007F5B3D">
        <w:t xml:space="preserve">its </w:t>
      </w:r>
      <w:r w:rsidRPr="006F137A">
        <w:t>determination that Phase</w:t>
      </w:r>
      <w:r w:rsidRPr="006F137A" w:rsidR="00B84025">
        <w:t> </w:t>
      </w:r>
      <w:r w:rsidRPr="006F137A">
        <w:t>1 Activities have been completed. SoCalGas states that investor</w:t>
      </w:r>
      <w:r w:rsidRPr="006F137A" w:rsidR="00C93942">
        <w:noBreakHyphen/>
      </w:r>
      <w:r w:rsidRPr="006F137A">
        <w:t>owned utilities may recover reasonable expenditures to serve the public.</w:t>
      </w:r>
      <w:r w:rsidRPr="006F137A">
        <w:rPr>
          <w:rStyle w:val="FootnoteReference"/>
        </w:rPr>
        <w:footnoteReference w:id="9"/>
      </w:r>
      <w:r w:rsidRPr="006F137A">
        <w:t xml:space="preserve"> </w:t>
      </w:r>
      <w:r w:rsidRPr="006F137A" w:rsidR="00780422">
        <w:t>The</w:t>
      </w:r>
      <w:r w:rsidRPr="006F137A">
        <w:t xml:space="preserve"> utility argued that it would be reasonable to recover costs from all</w:t>
      </w:r>
      <w:r w:rsidRPr="006F137A" w:rsidR="001140BC">
        <w:rPr>
          <w:rStyle w:val="FootnoteReference"/>
        </w:rPr>
        <w:footnoteReference w:id="10"/>
      </w:r>
      <w:r w:rsidRPr="006F137A">
        <w:t xml:space="preserve"> </w:t>
      </w:r>
      <w:r w:rsidRPr="006F137A" w:rsidR="001140BC">
        <w:t>or a subset</w:t>
      </w:r>
      <w:r w:rsidRPr="006F137A" w:rsidR="001140BC">
        <w:rPr>
          <w:rStyle w:val="FootnoteReference"/>
        </w:rPr>
        <w:footnoteReference w:id="11"/>
      </w:r>
      <w:r w:rsidRPr="006F137A" w:rsidR="00D16F95">
        <w:t xml:space="preserve"> of</w:t>
      </w:r>
      <w:r w:rsidRPr="006F137A" w:rsidR="001140BC">
        <w:t xml:space="preserve"> </w:t>
      </w:r>
      <w:r w:rsidRPr="006F137A">
        <w:t>its ratepayers for potential and indirect societal benefits of the Project. SoCalGas intends “to transport hydrogen gas to consumers who wish to utilize clean renewable hydrogen in their operations as a substitute for natural gas or other fuels</w:t>
      </w:r>
      <w:r w:rsidRPr="006F137A" w:rsidR="005412C0">
        <w:t xml:space="preserve"> — </w:t>
      </w:r>
      <w:r w:rsidRPr="006F137A">
        <w:t xml:space="preserve">including power </w:t>
      </w:r>
      <w:r w:rsidRPr="006F137A">
        <w:lastRenderedPageBreak/>
        <w:t>generation, industrial uses, heavy</w:t>
      </w:r>
      <w:r w:rsidRPr="006F137A" w:rsidR="00C93942">
        <w:noBreakHyphen/>
      </w:r>
      <w:r w:rsidRPr="006F137A">
        <w:t>duty transportation, transit agencies” among other possibilities.</w:t>
      </w:r>
      <w:r w:rsidRPr="006F137A">
        <w:rPr>
          <w:rStyle w:val="FootnoteReference"/>
        </w:rPr>
        <w:footnoteReference w:id="12"/>
      </w:r>
    </w:p>
    <w:p w:rsidRPr="006F137A" w:rsidR="005A62B1" w:rsidP="00C93942" w:rsidRDefault="005A62B1" w14:paraId="56C83355" w14:textId="27AD723B">
      <w:pPr>
        <w:pStyle w:val="Standard"/>
      </w:pPr>
      <w:r w:rsidRPr="006F137A">
        <w:t xml:space="preserve">The parties supporting cost recovery from all or a </w:t>
      </w:r>
      <w:r w:rsidRPr="006F137A" w:rsidR="003E78F8">
        <w:t xml:space="preserve">subset </w:t>
      </w:r>
      <w:r w:rsidRPr="006F137A">
        <w:t xml:space="preserve">of ratepayers for the cost of </w:t>
      </w:r>
      <w:r w:rsidRPr="006F137A" w:rsidR="00C93942">
        <w:t>Phase 2</w:t>
      </w:r>
      <w:r w:rsidRPr="006F137A">
        <w:t xml:space="preserve"> Activities include GHC, CHBC, CSPTC, SCGC, and UWUA Local</w:t>
      </w:r>
      <w:r w:rsidRPr="006F137A" w:rsidR="00B84025">
        <w:t> </w:t>
      </w:r>
      <w:r w:rsidRPr="006F137A">
        <w:t xml:space="preserve">483. Air Products, </w:t>
      </w:r>
      <w:r w:rsidRPr="006F137A" w:rsidR="00C93942">
        <w:t>Cal Advoc</w:t>
      </w:r>
      <w:r w:rsidRPr="006F137A">
        <w:t>ates, CEJA/Sierra Club, EDF, First Public H2, Indicated Shippers, TURN, and UCAN</w:t>
      </w:r>
      <w:r w:rsidRPr="006F137A" w:rsidDel="0063787D">
        <w:t xml:space="preserve"> </w:t>
      </w:r>
      <w:r w:rsidRPr="006F137A">
        <w:t>oppose cost recovery from ratepayers for this application.</w:t>
      </w:r>
    </w:p>
    <w:p w:rsidRPr="006F137A" w:rsidR="007E03F1" w:rsidP="006872CA" w:rsidRDefault="005A62B1" w14:paraId="0C921698" w14:textId="325215CE">
      <w:pPr>
        <w:pStyle w:val="Standard"/>
      </w:pPr>
      <w:r w:rsidRPr="006F137A">
        <w:t>While parties generally agree about the possibility of indirect societal benefits of hydrogen such as reduced greenhouse gas emissions, improved air quality and consequent health benefits, and workforce transition, party positions differed on the</w:t>
      </w:r>
      <w:r w:rsidRPr="006F137A" w:rsidR="005C0862">
        <w:t xml:space="preserve"> direct</w:t>
      </w:r>
      <w:r w:rsidRPr="006F137A">
        <w:t xml:space="preserve"> benefits </w:t>
      </w:r>
      <w:r w:rsidRPr="006F137A" w:rsidR="005C0862">
        <w:t xml:space="preserve">to ratepayers </w:t>
      </w:r>
      <w:r w:rsidRPr="006F137A">
        <w:t xml:space="preserve">that could be provided by the Project and/or </w:t>
      </w:r>
      <w:r w:rsidRPr="006F137A" w:rsidR="00C93942">
        <w:t>Phase 2</w:t>
      </w:r>
      <w:r w:rsidRPr="006F137A">
        <w:t xml:space="preserve"> Activities. SoCalGas, CHBC, CSPTC, GHC, SCGC, and UWUA Local</w:t>
      </w:r>
      <w:r w:rsidRPr="006F137A" w:rsidR="00B84025">
        <w:t> </w:t>
      </w:r>
      <w:r w:rsidRPr="006F137A">
        <w:t>483 attribute many potential indirect societal benefits to the Project.</w:t>
      </w:r>
      <w:r w:rsidRPr="006F137A" w:rsidR="00C13176">
        <w:t xml:space="preserve"> </w:t>
      </w:r>
      <w:r w:rsidRPr="006F137A">
        <w:t>GHC and UWUA Local</w:t>
      </w:r>
      <w:r w:rsidRPr="006F137A" w:rsidR="00437A2F">
        <w:t> </w:t>
      </w:r>
      <w:r w:rsidRPr="006F137A">
        <w:t xml:space="preserve">483 argue that the </w:t>
      </w:r>
      <w:r w:rsidRPr="006F137A" w:rsidR="00C93942">
        <w:t>Phase 2</w:t>
      </w:r>
      <w:r w:rsidRPr="006F137A">
        <w:t xml:space="preserve"> Activities would direct</w:t>
      </w:r>
      <w:r w:rsidRPr="006F137A" w:rsidR="00FD7F4C">
        <w:t>ly</w:t>
      </w:r>
      <w:r w:rsidRPr="006F137A">
        <w:t xml:space="preserve"> benefit </w:t>
      </w:r>
      <w:r w:rsidRPr="006F137A" w:rsidR="00FD7F4C">
        <w:t>Californian</w:t>
      </w:r>
      <w:r w:rsidRPr="006F137A" w:rsidR="009E4700">
        <w:t>s with</w:t>
      </w:r>
      <w:r w:rsidRPr="006F137A">
        <w:t xml:space="preserve"> workforce transition.</w:t>
      </w:r>
      <w:r w:rsidRPr="006F137A">
        <w:rPr>
          <w:rStyle w:val="FootnoteReference"/>
        </w:rPr>
        <w:footnoteReference w:id="13"/>
      </w:r>
    </w:p>
    <w:p w:rsidRPr="006F137A" w:rsidR="005A62B1" w:rsidP="007E03F1" w:rsidRDefault="005A62B1" w14:paraId="3D8C0DA5" w14:textId="51999912">
      <w:pPr>
        <w:pStyle w:val="Standard"/>
      </w:pPr>
      <w:r w:rsidRPr="006F137A">
        <w:t xml:space="preserve">In briefs, Air Products, </w:t>
      </w:r>
      <w:r w:rsidRPr="006F137A" w:rsidR="00C93942">
        <w:t>Cal Advoc</w:t>
      </w:r>
      <w:r w:rsidRPr="006F137A">
        <w:t>ates, CEJA/Sierra Club, First Public H2, TURN, and UCAN reject that the Project will directly benefit SoCalGas natural gas ratepayers.</w:t>
      </w:r>
      <w:r w:rsidRPr="006F137A">
        <w:rPr>
          <w:rStyle w:val="FootnoteReference"/>
        </w:rPr>
        <w:footnoteReference w:id="14"/>
      </w:r>
      <w:r w:rsidRPr="006F137A">
        <w:t xml:space="preserve"> TURN states “core residential or commercial customers will obtain no direct benefits from the hydrogen pipeline.”</w:t>
      </w:r>
      <w:r w:rsidRPr="006F137A">
        <w:rPr>
          <w:rStyle w:val="FootnoteReference"/>
        </w:rPr>
        <w:footnoteReference w:id="15"/>
      </w:r>
      <w:r w:rsidRPr="006F137A">
        <w:t xml:space="preserve"> </w:t>
      </w:r>
      <w:r w:rsidRPr="006F137A" w:rsidR="00C93942">
        <w:t>Cal Advoc</w:t>
      </w:r>
      <w:r w:rsidRPr="006F137A">
        <w:t xml:space="preserve">ates notes that SoCalGas fails to identify specific customers who would directly benefit from the </w:t>
      </w:r>
      <w:r w:rsidRPr="006F137A">
        <w:lastRenderedPageBreak/>
        <w:t>Project.</w:t>
      </w:r>
      <w:r w:rsidRPr="006F137A">
        <w:rPr>
          <w:rStyle w:val="FootnoteReference"/>
        </w:rPr>
        <w:footnoteReference w:id="16"/>
      </w:r>
      <w:r w:rsidRPr="006F137A">
        <w:t xml:space="preserve"> CEJA/Sierra Club concur that SoCalGas does not identify ratepayers that would justify cost recovery.</w:t>
      </w:r>
      <w:r w:rsidRPr="006F137A">
        <w:rPr>
          <w:rStyle w:val="FootnoteReference"/>
        </w:rPr>
        <w:footnoteReference w:id="17"/>
      </w:r>
    </w:p>
    <w:p w:rsidRPr="006F137A" w:rsidR="005A62B1" w:rsidP="00C93942" w:rsidRDefault="005A62B1" w14:paraId="40F45074" w14:textId="77FA4AA1">
      <w:pPr>
        <w:pStyle w:val="Standard"/>
      </w:pPr>
      <w:r w:rsidRPr="006F137A">
        <w:t xml:space="preserve">Parties disagreed on whether to allow cost recovery for </w:t>
      </w:r>
      <w:r w:rsidRPr="006F137A" w:rsidR="00C93942">
        <w:t>Phase 2</w:t>
      </w:r>
      <w:r w:rsidRPr="006F137A">
        <w:t xml:space="preserve"> Activities. SoCalGas supports cost recovery as a matter of standard utility practice of taking on “business, financial, and regulatory risks in their service of the public for the long term.”</w:t>
      </w:r>
      <w:r w:rsidRPr="006F137A">
        <w:rPr>
          <w:rStyle w:val="FootnoteReference"/>
        </w:rPr>
        <w:footnoteReference w:id="18"/>
      </w:r>
      <w:r w:rsidRPr="006F137A">
        <w:t xml:space="preserve"> In briefs, SoCalGas and supporting parties argue that the societal benefits justify cost recovery. GHC and CSPTC state that indirect benefits are sufficient to authorize recovery.</w:t>
      </w:r>
      <w:r w:rsidRPr="006F137A">
        <w:rPr>
          <w:rStyle w:val="FootnoteReference"/>
        </w:rPr>
        <w:footnoteReference w:id="19"/>
      </w:r>
      <w:r w:rsidRPr="006F137A">
        <w:t xml:space="preserve"> Air Products, </w:t>
      </w:r>
      <w:r w:rsidRPr="006F137A" w:rsidR="00C93942">
        <w:t>Cal Advoc</w:t>
      </w:r>
      <w:r w:rsidRPr="006F137A">
        <w:t>ates, CEJA/Sierra Club, TURN, and UCAN disagree that the potential indirect benefits are sufficient for cost recovery.</w:t>
      </w:r>
      <w:r w:rsidRPr="006F137A">
        <w:rPr>
          <w:rStyle w:val="FootnoteReference"/>
        </w:rPr>
        <w:footnoteReference w:id="20"/>
      </w:r>
      <w:r w:rsidRPr="006F137A">
        <w:t xml:space="preserve"> Furthermore, Air Products, </w:t>
      </w:r>
      <w:r w:rsidRPr="006F137A" w:rsidR="00C93942">
        <w:t>Cal Advoc</w:t>
      </w:r>
      <w:r w:rsidRPr="006F137A">
        <w:t>ates, CEJA/Sierra Club, EDF, First Public H2, Indicated Shippers, TURN, and UCAN note that D.22</w:t>
      </w:r>
      <w:r w:rsidRPr="006F137A" w:rsidR="00C93942">
        <w:noBreakHyphen/>
      </w:r>
      <w:r w:rsidRPr="006F137A">
        <w:t>12</w:t>
      </w:r>
      <w:r w:rsidRPr="006F137A" w:rsidR="00C93942">
        <w:noBreakHyphen/>
      </w:r>
      <w:r w:rsidRPr="006F137A">
        <w:t xml:space="preserve">055 </w:t>
      </w:r>
      <w:r w:rsidRPr="006F137A" w:rsidR="00095E1E">
        <w:t xml:space="preserve">requires </w:t>
      </w:r>
      <w:r w:rsidRPr="006F137A">
        <w:t xml:space="preserve">SoCalGas to identify ratepayers </w:t>
      </w:r>
      <w:r w:rsidRPr="006F137A" w:rsidR="00332A34">
        <w:t xml:space="preserve">who would </w:t>
      </w:r>
      <w:r w:rsidRPr="0060022E" w:rsidR="00741803">
        <w:t>receive</w:t>
      </w:r>
      <w:r w:rsidRPr="0060022E" w:rsidR="00181DF4">
        <w:t xml:space="preserve"> direct benefits</w:t>
      </w:r>
      <w:r w:rsidRPr="0060022E" w:rsidR="00E2030D">
        <w:t xml:space="preserve"> </w:t>
      </w:r>
      <w:r w:rsidRPr="006F137A">
        <w:t>from whom the project’s costs could be recovered. Many parties note that if a hydrogen pipeline were paid for by natural gas ratepayers, it would not provide direct benefits and would lead to cross subsidization.</w:t>
      </w:r>
      <w:r w:rsidRPr="006F137A">
        <w:rPr>
          <w:rStyle w:val="FootnoteReference"/>
        </w:rPr>
        <w:footnoteReference w:id="21"/>
      </w:r>
    </w:p>
    <w:p w:rsidRPr="006F137A" w:rsidR="005A62B1" w:rsidP="00C93942" w:rsidRDefault="005A62B1" w14:paraId="77BF3FFD" w14:textId="65790340">
      <w:pPr>
        <w:pStyle w:val="Standard"/>
      </w:pPr>
      <w:r w:rsidRPr="006F137A">
        <w:t xml:space="preserve">Air Products, </w:t>
      </w:r>
      <w:r w:rsidRPr="006F137A" w:rsidR="00C93942">
        <w:t>Cal Advoc</w:t>
      </w:r>
      <w:r w:rsidRPr="006F137A">
        <w:t xml:space="preserve">ates, CEJA/Sierra Club, EDF, First Public H2, Indicated Shippers, TURN, and UCAN argue that cost recovery from ratepayers is unreasonable based on principles of cost causation and direction provided in </w:t>
      </w:r>
      <w:r w:rsidRPr="006F137A">
        <w:lastRenderedPageBreak/>
        <w:t>D.22</w:t>
      </w:r>
      <w:r w:rsidRPr="006F137A" w:rsidR="00C93942">
        <w:noBreakHyphen/>
      </w:r>
      <w:r w:rsidRPr="006F137A">
        <w:t>12</w:t>
      </w:r>
      <w:r w:rsidRPr="006F137A" w:rsidR="00C93942">
        <w:noBreakHyphen/>
      </w:r>
      <w:r w:rsidRPr="006F137A">
        <w:t>055.</w:t>
      </w:r>
      <w:r w:rsidRPr="006F137A">
        <w:rPr>
          <w:rStyle w:val="FootnoteReference"/>
        </w:rPr>
        <w:footnoteReference w:id="22"/>
      </w:r>
      <w:r w:rsidRPr="006F137A">
        <w:t xml:space="preserve"> EDF doubts the </w:t>
      </w:r>
      <w:r w:rsidRPr="006F137A" w:rsidR="00D122E0">
        <w:t xml:space="preserve">potential </w:t>
      </w:r>
      <w:r w:rsidRPr="006F137A">
        <w:t xml:space="preserve">Project benefits to ratepayers </w:t>
      </w:r>
      <w:r w:rsidRPr="006F137A" w:rsidR="003A6125">
        <w:t>w</w:t>
      </w:r>
      <w:r w:rsidRPr="006F137A" w:rsidR="00D122E0">
        <w:t>ould</w:t>
      </w:r>
      <w:r w:rsidRPr="006F137A">
        <w:t xml:space="preserve"> support cost allocation.</w:t>
      </w:r>
      <w:r w:rsidRPr="006F137A">
        <w:rPr>
          <w:rStyle w:val="FootnoteReference"/>
        </w:rPr>
        <w:footnoteReference w:id="23"/>
      </w:r>
      <w:r w:rsidRPr="006F137A">
        <w:t xml:space="preserve"> These parties contend that the Project will not provide direct benefits to SoCalGas’ natural gas customers.</w:t>
      </w:r>
    </w:p>
    <w:p w:rsidRPr="006F137A" w:rsidR="005A62B1" w:rsidP="00C93942" w:rsidRDefault="005A62B1" w14:paraId="7F06C28B" w14:textId="31BD8B13">
      <w:pPr>
        <w:pStyle w:val="Standard"/>
      </w:pPr>
      <w:r w:rsidRPr="006F137A">
        <w:t>SoCalGas and CSPTC claim that the Commission has broad authority over and has approved project and programs that did not align strictly with cost causation principles based on broad societal benefits.</w:t>
      </w:r>
      <w:r w:rsidRPr="006F137A">
        <w:rPr>
          <w:rStyle w:val="FootnoteReference"/>
        </w:rPr>
        <w:footnoteReference w:id="24"/>
      </w:r>
      <w:r w:rsidRPr="006F137A">
        <w:t xml:space="preserve"> In opening briefs, TURN argues that the scenarios in which the Commission has allocated costs broadly among different customer classes or different load serving entities</w:t>
      </w:r>
      <w:r w:rsidRPr="006F137A" w:rsidR="00C96AA1">
        <w:t> </w:t>
      </w:r>
      <w:r w:rsidRPr="006F137A">
        <w:t>—</w:t>
      </w:r>
      <w:r w:rsidRPr="006F137A" w:rsidR="00C96AA1">
        <w:t xml:space="preserve"> </w:t>
      </w:r>
      <w:r w:rsidRPr="006F137A">
        <w:t>and arguably has departed from cost causation principles</w:t>
      </w:r>
      <w:r w:rsidRPr="006F137A" w:rsidR="005643B3">
        <w:t> </w:t>
      </w:r>
      <w:r w:rsidRPr="006F137A">
        <w:t>—</w:t>
      </w:r>
      <w:r w:rsidRPr="006F137A" w:rsidR="005643B3">
        <w:t xml:space="preserve"> </w:t>
      </w:r>
      <w:r w:rsidRPr="006F137A">
        <w:t>have “addressed programs or costs whose underlying goal was to provide utility gas or electric service by constructing or financing new central (renewable or zero carbon) or distributed generation resources, financing projects associated with electric demand reductions, or connecting customers to the existing grid.” Furthermore, TURN identifies three general categories in which they fall into: (1)</w:t>
      </w:r>
      <w:r w:rsidRPr="006F137A" w:rsidR="00147E1C">
        <w:t> </w:t>
      </w:r>
      <w:r w:rsidRPr="006F137A">
        <w:t>projects or programs required by the legislature, (2)</w:t>
      </w:r>
      <w:r w:rsidRPr="006F137A" w:rsidR="00147E1C">
        <w:t> </w:t>
      </w:r>
      <w:r w:rsidRPr="006F137A">
        <w:t>the allocation of costs among competing electricity commodity service providers reflecting the system</w:t>
      </w:r>
      <w:r w:rsidRPr="006F137A" w:rsidR="00C93942">
        <w:noBreakHyphen/>
      </w:r>
      <w:r w:rsidRPr="006F137A">
        <w:t>wide reliability benefits provided by generation or demand response resources, and (3)</w:t>
      </w:r>
      <w:r w:rsidRPr="006F137A" w:rsidR="00147E1C">
        <w:t> </w:t>
      </w:r>
      <w:r w:rsidRPr="006F137A">
        <w:t>for small/pilot projects that would not significantly impact rates.</w:t>
      </w:r>
      <w:r w:rsidRPr="006F137A">
        <w:rPr>
          <w:rStyle w:val="FootnoteReference"/>
        </w:rPr>
        <w:footnoteReference w:id="25"/>
      </w:r>
      <w:r w:rsidRPr="006F137A">
        <w:t xml:space="preserve"> TURN argues the </w:t>
      </w:r>
      <w:r w:rsidRPr="006F137A" w:rsidR="00C93942">
        <w:t>Phase 2</w:t>
      </w:r>
      <w:r w:rsidRPr="006F137A">
        <w:t xml:space="preserve"> Application is not consistent with these precedents.</w:t>
      </w:r>
    </w:p>
    <w:p w:rsidRPr="006F137A" w:rsidR="005A62B1" w:rsidP="00C93942" w:rsidRDefault="00C93942" w14:paraId="41625598" w14:textId="36909B90">
      <w:pPr>
        <w:pStyle w:val="Standard"/>
      </w:pPr>
      <w:r w:rsidRPr="006F137A">
        <w:lastRenderedPageBreak/>
        <w:t>Cal Advoc</w:t>
      </w:r>
      <w:r w:rsidRPr="006F137A" w:rsidR="005A62B1">
        <w:t>ates, CEJA/Sierra Club, EDF, TURN</w:t>
      </w:r>
      <w:r w:rsidRPr="006F137A" w:rsidR="00F8104F">
        <w:t>, and UCAN</w:t>
      </w:r>
      <w:r w:rsidRPr="006F137A" w:rsidR="005A62B1">
        <w:t xml:space="preserve"> express concern over the Project’s impacts on affordable rates.</w:t>
      </w:r>
      <w:r w:rsidRPr="006F137A" w:rsidR="005A62B1">
        <w:rPr>
          <w:rStyle w:val="FootnoteReference"/>
        </w:rPr>
        <w:footnoteReference w:id="26"/>
      </w:r>
      <w:r w:rsidRPr="006F137A" w:rsidR="005A62B1">
        <w:t xml:space="preserve"> EDF indicates that without certainty of the Project providing ratepayer benefit, approving funding of the Project would not support affordability.</w:t>
      </w:r>
      <w:r w:rsidRPr="006F137A" w:rsidR="005A62B1">
        <w:rPr>
          <w:rStyle w:val="FootnoteReference"/>
        </w:rPr>
        <w:footnoteReference w:id="27"/>
      </w:r>
      <w:r w:rsidRPr="006F137A" w:rsidR="005A62B1">
        <w:t xml:space="preserve"> TURN recommends that the Commission uphold affordable rates in compliance with cost allocation principles in Pub.</w:t>
      </w:r>
      <w:r w:rsidRPr="006F137A" w:rsidR="00B84025">
        <w:t> </w:t>
      </w:r>
      <w:r w:rsidRPr="006F137A" w:rsidR="005A62B1">
        <w:t>Util. Code Section</w:t>
      </w:r>
      <w:r w:rsidRPr="006F137A" w:rsidR="00B84025">
        <w:t> </w:t>
      </w:r>
      <w:r w:rsidRPr="006F137A" w:rsidR="005A62B1">
        <w:t>739.6.</w:t>
      </w:r>
      <w:r w:rsidRPr="006F137A" w:rsidR="005A62B1">
        <w:rPr>
          <w:rStyle w:val="FootnoteReference"/>
        </w:rPr>
        <w:footnoteReference w:id="28"/>
      </w:r>
      <w:r w:rsidRPr="006F137A" w:rsidR="005A62B1">
        <w:t xml:space="preserve"> EDF notes that broad statewide benefits of cost</w:t>
      </w:r>
      <w:r w:rsidRPr="006F137A" w:rsidR="002E6348">
        <w:t xml:space="preserve"> </w:t>
      </w:r>
      <w:r w:rsidRPr="006F137A" w:rsidR="005A62B1">
        <w:t>and climate</w:t>
      </w:r>
      <w:r w:rsidRPr="006F137A">
        <w:noBreakHyphen/>
      </w:r>
      <w:r w:rsidRPr="006F137A" w:rsidR="005A62B1">
        <w:t xml:space="preserve">effective decarbonization pathways are based on </w:t>
      </w:r>
      <w:r w:rsidRPr="006F137A" w:rsidR="00CA6E6F">
        <w:t xml:space="preserve">SoCalGas’ </w:t>
      </w:r>
      <w:r w:rsidRPr="006F137A" w:rsidR="005A62B1">
        <w:t>analysis provided and recommends that the analysis be done by the Commission before considering cost allocation across all of the utility’s ratepayers.</w:t>
      </w:r>
      <w:r w:rsidRPr="006F137A" w:rsidR="005A62B1">
        <w:rPr>
          <w:rStyle w:val="FootnoteReference"/>
        </w:rPr>
        <w:footnoteReference w:id="29"/>
      </w:r>
    </w:p>
    <w:p w:rsidRPr="006F137A" w:rsidR="005A62B1" w:rsidP="00C93942" w:rsidRDefault="00C93942" w14:paraId="747A6EE0" w14:textId="307633AF">
      <w:pPr>
        <w:pStyle w:val="Standard"/>
      </w:pPr>
      <w:r w:rsidRPr="006F137A">
        <w:t>Cal Advoc</w:t>
      </w:r>
      <w:r w:rsidRPr="006F137A" w:rsidR="005A62B1">
        <w:t>ates and CEJA/Sierra Club are concerned that the Project, which is in the planning stage, may not be constructed nor dedicated to public use.</w:t>
      </w:r>
      <w:r w:rsidRPr="006F137A" w:rsidR="005A62B1">
        <w:rPr>
          <w:rStyle w:val="FootnoteReference"/>
        </w:rPr>
        <w:footnoteReference w:id="30"/>
      </w:r>
      <w:r w:rsidRPr="006F137A" w:rsidR="005A62B1">
        <w:t xml:space="preserve"> TURN recommends that if the Commission were to consider cost allocation to ratepayers, it should direct the utility to record costs in a memorandum account for “future cost recovery when the project is used and useful.”</w:t>
      </w:r>
      <w:r w:rsidRPr="006F137A" w:rsidR="005A62B1">
        <w:rPr>
          <w:rStyle w:val="FootnoteReference"/>
        </w:rPr>
        <w:footnoteReference w:id="31"/>
      </w:r>
    </w:p>
    <w:p w:rsidRPr="006F137A" w:rsidR="005A62B1" w:rsidP="00C93942" w:rsidRDefault="005A62B1" w14:paraId="17FC6C3B" w14:textId="77777777">
      <w:pPr>
        <w:pStyle w:val="Standard"/>
      </w:pPr>
      <w:r w:rsidRPr="006F137A">
        <w:t>SoCalGas argues that the proposed revenue requirement would improve affordable rates by avoiding interest payments among other things.</w:t>
      </w:r>
      <w:r w:rsidRPr="006F137A">
        <w:rPr>
          <w:rStyle w:val="FootnoteReference"/>
        </w:rPr>
        <w:footnoteReference w:id="32"/>
      </w:r>
      <w:r w:rsidRPr="006F137A">
        <w:t xml:space="preserve"> TURN </w:t>
      </w:r>
      <w:r w:rsidRPr="006F137A">
        <w:lastRenderedPageBreak/>
        <w:t>disagrees that this will be a net benefit to ratepayers “as compared to a memorandum account for subsequent reasonableness review.”</w:t>
      </w:r>
      <w:r w:rsidRPr="006F137A">
        <w:rPr>
          <w:rStyle w:val="FootnoteReference"/>
        </w:rPr>
        <w:footnoteReference w:id="33"/>
      </w:r>
    </w:p>
    <w:p w:rsidRPr="006F137A" w:rsidR="005A62B1" w:rsidP="00C93942" w:rsidRDefault="005A62B1" w14:paraId="49D0D9CA" w14:textId="37C3B9DB">
      <w:pPr>
        <w:pStyle w:val="Standard"/>
      </w:pPr>
      <w:r w:rsidRPr="006F137A">
        <w:t xml:space="preserve">We determine that it is not reasonable for SoCalGas to recover the cost of </w:t>
      </w:r>
      <w:r w:rsidRPr="006F137A" w:rsidR="00C93942">
        <w:t>Phase 2</w:t>
      </w:r>
      <w:r w:rsidRPr="006F137A">
        <w:t xml:space="preserve"> Activities from its natural gas ratepayers</w:t>
      </w:r>
      <w:r w:rsidRPr="006F137A" w:rsidR="00EB55F7">
        <w:t xml:space="preserve"> </w:t>
      </w:r>
      <w:r w:rsidRPr="006F137A" w:rsidR="00CA7B81">
        <w:t>in A.24-12-011</w:t>
      </w:r>
      <w:r w:rsidRPr="006F137A">
        <w:t>.</w:t>
      </w:r>
    </w:p>
    <w:p w:rsidRPr="006F137A" w:rsidR="005A62B1" w:rsidP="00C93942" w:rsidRDefault="005A62B1" w14:paraId="6C4009B9" w14:textId="44C7966C">
      <w:pPr>
        <w:pStyle w:val="Standard"/>
      </w:pPr>
      <w:r w:rsidRPr="006F137A">
        <w:t xml:space="preserve">First, we agree with </w:t>
      </w:r>
      <w:r w:rsidRPr="006F137A" w:rsidR="00C93942">
        <w:t>Cal Advoc</w:t>
      </w:r>
      <w:r w:rsidRPr="006F137A">
        <w:t>ates, CEJA/Sierra Club, and TURN that the Project remains in the planning stage, and may not be constructed</w:t>
      </w:r>
      <w:r w:rsidRPr="006F137A" w:rsidR="007A0AFD">
        <w:t>, used and useful,</w:t>
      </w:r>
      <w:r w:rsidRPr="006F137A">
        <w:t xml:space="preserve"> nor dedicated to public use. We also observe that projected cost for </w:t>
      </w:r>
      <w:r w:rsidRPr="006F137A" w:rsidR="00C93942">
        <w:t>Phase 2</w:t>
      </w:r>
      <w:r w:rsidRPr="006F137A">
        <w:t xml:space="preserve"> Activities increased significantly from $92</w:t>
      </w:r>
      <w:r w:rsidRPr="006F137A" w:rsidR="00B84025">
        <w:t> </w:t>
      </w:r>
      <w:r w:rsidRPr="006F137A">
        <w:t xml:space="preserve">million </w:t>
      </w:r>
      <w:r w:rsidRPr="006F137A" w:rsidR="00AD57CB">
        <w:t xml:space="preserve">in the Phase 1 Application </w:t>
      </w:r>
      <w:r w:rsidRPr="006F137A">
        <w:t>to $266</w:t>
      </w:r>
      <w:r w:rsidRPr="006F137A" w:rsidR="00B84025">
        <w:t> </w:t>
      </w:r>
      <w:r w:rsidRPr="006F137A">
        <w:t xml:space="preserve">million </w:t>
      </w:r>
      <w:r w:rsidRPr="006F137A" w:rsidR="00AD57CB">
        <w:t xml:space="preserve">in </w:t>
      </w:r>
      <w:r w:rsidRPr="006F137A">
        <w:t xml:space="preserve">the </w:t>
      </w:r>
      <w:r w:rsidRPr="006F137A" w:rsidR="00C93942">
        <w:t>Phase 2</w:t>
      </w:r>
      <w:r w:rsidRPr="006F137A">
        <w:t xml:space="preserve"> Application. With large increases in the projected costs of the studies alone, we </w:t>
      </w:r>
      <w:r w:rsidRPr="006F137A" w:rsidR="001C3D3C">
        <w:t>share</w:t>
      </w:r>
      <w:r w:rsidRPr="006F137A">
        <w:t xml:space="preserve"> the concerns </w:t>
      </w:r>
      <w:r w:rsidRPr="006F137A" w:rsidR="001C3D3C">
        <w:t xml:space="preserve">of </w:t>
      </w:r>
      <w:r w:rsidRPr="006F137A" w:rsidR="00C93942">
        <w:t>Cal Advoc</w:t>
      </w:r>
      <w:r w:rsidRPr="006F137A">
        <w:t>ates, CEJA/Sierra Club, EDF</w:t>
      </w:r>
      <w:r w:rsidRPr="006F137A" w:rsidR="00541A4B">
        <w:t>,</w:t>
      </w:r>
      <w:r w:rsidRPr="006F137A">
        <w:t xml:space="preserve"> TURN</w:t>
      </w:r>
      <w:r w:rsidRPr="006F137A" w:rsidR="00541A4B">
        <w:t>, and UCAN</w:t>
      </w:r>
      <w:r w:rsidRPr="006F137A">
        <w:t xml:space="preserve"> about the </w:t>
      </w:r>
      <w:r w:rsidRPr="006F137A" w:rsidR="00D20E0E">
        <w:t xml:space="preserve">Project’s costs and </w:t>
      </w:r>
      <w:r w:rsidRPr="006F137A">
        <w:t>impact on affordable rates. The initial projected costs were significant in the Phase</w:t>
      </w:r>
      <w:r w:rsidRPr="006F137A" w:rsidR="00B84025">
        <w:t> </w:t>
      </w:r>
      <w:r w:rsidRPr="006F137A">
        <w:t xml:space="preserve">1 Application </w:t>
      </w:r>
      <w:r w:rsidRPr="006F137A" w:rsidR="00D20F03">
        <w:t xml:space="preserve">and </w:t>
      </w:r>
      <w:r w:rsidRPr="006F137A">
        <w:t>the Commission directed SoCalGas to apply for IIJA funding with the intention of offsetting the financial impact of the Project on ratepayers.</w:t>
      </w:r>
      <w:r w:rsidRPr="006F137A">
        <w:rPr>
          <w:rStyle w:val="FootnoteReference"/>
        </w:rPr>
        <w:footnoteReference w:id="34"/>
      </w:r>
      <w:r w:rsidRPr="006F137A">
        <w:t xml:space="preserve"> SoCalGas </w:t>
      </w:r>
      <w:r w:rsidRPr="006F137A" w:rsidR="00D64C11">
        <w:t>sta</w:t>
      </w:r>
      <w:r w:rsidRPr="006F137A" w:rsidR="00E932D4">
        <w:t xml:space="preserve">ted that it </w:t>
      </w:r>
      <w:r w:rsidRPr="006F137A">
        <w:t>declined federal funding because the additional cost of complying with regulations accompanying those federal funds would not be in the ratepayers’ interest</w:t>
      </w:r>
      <w:r w:rsidRPr="006F137A" w:rsidR="00D20758">
        <w:t>.</w:t>
      </w:r>
      <w:r w:rsidRPr="006F137A">
        <w:rPr>
          <w:rStyle w:val="FootnoteReference"/>
        </w:rPr>
        <w:footnoteReference w:id="35"/>
      </w:r>
      <w:r w:rsidRPr="006F137A">
        <w:t xml:space="preserve"> </w:t>
      </w:r>
      <w:r w:rsidRPr="006F137A" w:rsidR="00197B93">
        <w:t>T</w:t>
      </w:r>
      <w:r w:rsidRPr="006F137A">
        <w:t>here are no federal funds to offset the proposed project</w:t>
      </w:r>
      <w:r w:rsidRPr="006F137A" w:rsidR="00B9145E">
        <w:t>’s cost</w:t>
      </w:r>
      <w:r w:rsidRPr="006F137A">
        <w:t>.</w:t>
      </w:r>
      <w:r w:rsidRPr="006F137A" w:rsidR="00FB08B9">
        <w:t xml:space="preserve"> Air Products </w:t>
      </w:r>
      <w:r w:rsidRPr="006F137A" w:rsidR="00AC739A">
        <w:t>notes</w:t>
      </w:r>
      <w:r w:rsidRPr="006F137A" w:rsidR="00B52B79">
        <w:t xml:space="preserve"> that</w:t>
      </w:r>
      <w:r w:rsidRPr="006F137A" w:rsidR="00FB08B9">
        <w:t xml:space="preserve"> </w:t>
      </w:r>
      <w:r w:rsidRPr="006F137A" w:rsidR="00AC739A">
        <w:t xml:space="preserve">the </w:t>
      </w:r>
      <w:r w:rsidRPr="006F137A" w:rsidR="00FB08B9">
        <w:t xml:space="preserve">Commission </w:t>
      </w:r>
      <w:r w:rsidRPr="006F137A" w:rsidR="00AC739A">
        <w:t>often requires</w:t>
      </w:r>
      <w:r w:rsidRPr="006F137A" w:rsidR="00FB08B9">
        <w:t xml:space="preserve"> </w:t>
      </w:r>
      <w:r w:rsidRPr="006F137A" w:rsidR="00C94073">
        <w:t>“</w:t>
      </w:r>
      <w:r w:rsidRPr="006F137A" w:rsidR="00FB08B9">
        <w:t>utility facilities be “used and useful” before costs can be recovered from ratepayers.”</w:t>
      </w:r>
      <w:r w:rsidRPr="006F137A" w:rsidR="00B52B79">
        <w:rPr>
          <w:rStyle w:val="FootnoteReference"/>
        </w:rPr>
        <w:footnoteReference w:id="36"/>
      </w:r>
    </w:p>
    <w:p w:rsidRPr="006F137A" w:rsidR="005A62B1" w:rsidP="00C93942" w:rsidRDefault="005A62B1" w14:paraId="6FC1FB42" w14:textId="68FBE1EB">
      <w:pPr>
        <w:pStyle w:val="Standard"/>
      </w:pPr>
      <w:r w:rsidRPr="006F137A">
        <w:t xml:space="preserve">Given these uncertainties, we find that it is not reasonable to approve cost recovery from ratepayers for the </w:t>
      </w:r>
      <w:r w:rsidRPr="006F137A" w:rsidR="00C93942">
        <w:t>Phase 2</w:t>
      </w:r>
      <w:r w:rsidRPr="006F137A">
        <w:t xml:space="preserve"> Activities before the Project is </w:t>
      </w:r>
      <w:r w:rsidRPr="006F137A">
        <w:lastRenderedPageBreak/>
        <w:t>constructed, dedicated to public use, and demonstrated to be used and useful to ratepayers.</w:t>
      </w:r>
    </w:p>
    <w:p w:rsidRPr="006F137A" w:rsidR="008C1943" w:rsidP="00C93942" w:rsidRDefault="005A62B1" w14:paraId="1E7C9421" w14:textId="7F32E256">
      <w:pPr>
        <w:pStyle w:val="Standard"/>
      </w:pPr>
      <w:r w:rsidRPr="006F137A">
        <w:t xml:space="preserve">Second, we also agree with parties including </w:t>
      </w:r>
      <w:r w:rsidRPr="006F137A" w:rsidR="00C93942">
        <w:t>Cal Advoc</w:t>
      </w:r>
      <w:r w:rsidRPr="006F137A">
        <w:t xml:space="preserve">ates, CEJA/Sierra Club, and TURN that SoCalGas has not clearly identified ratepayers that would directly benefit from the Project to justify approval of cost recovery in the </w:t>
      </w:r>
      <w:r w:rsidRPr="006F137A" w:rsidR="00C93942">
        <w:t>Phase 2</w:t>
      </w:r>
      <w:r w:rsidRPr="006F137A">
        <w:t xml:space="preserve"> Application. It is undisputed that the Project would not serve hydrogen to the vast majority of SoCalGas </w:t>
      </w:r>
      <w:r w:rsidRPr="006F137A" w:rsidR="00A44207">
        <w:t xml:space="preserve">natural gas </w:t>
      </w:r>
      <w:r w:rsidRPr="006F137A">
        <w:t xml:space="preserve">ratepayers, and would not connect </w:t>
      </w:r>
      <w:r w:rsidRPr="006F137A" w:rsidR="005C0862">
        <w:t xml:space="preserve">to </w:t>
      </w:r>
      <w:r w:rsidRPr="006F137A">
        <w:t xml:space="preserve">SoCalGas’s existing </w:t>
      </w:r>
      <w:r w:rsidRPr="006F137A" w:rsidR="00F25FD9">
        <w:t xml:space="preserve">natural </w:t>
      </w:r>
      <w:r w:rsidRPr="006F137A">
        <w:t>gas distribution system. We find that requiring ratepayers to bear costs for the Project would be inconsistent with the cost causation principles articulated in the D.22</w:t>
      </w:r>
      <w:r w:rsidRPr="006F137A" w:rsidR="00C93942">
        <w:noBreakHyphen/>
      </w:r>
      <w:r w:rsidRPr="006F137A">
        <w:t>12</w:t>
      </w:r>
      <w:r w:rsidRPr="006F137A" w:rsidR="00C93942">
        <w:noBreakHyphen/>
      </w:r>
      <w:r w:rsidRPr="006F137A">
        <w:t>055 and other precedent recognizing that in general “ratepayers are required to bear only the reasonable costs of those projects which provide direct and ongoing benefits.”</w:t>
      </w:r>
      <w:r w:rsidRPr="006F137A">
        <w:rPr>
          <w:rStyle w:val="FootnoteReference"/>
        </w:rPr>
        <w:footnoteReference w:id="37"/>
      </w:r>
    </w:p>
    <w:p w:rsidRPr="006F137A" w:rsidR="00EA1589" w:rsidP="00B2630E" w:rsidRDefault="00610981" w14:paraId="4F43010A" w14:textId="37E27AA3">
      <w:pPr>
        <w:pStyle w:val="Standard"/>
      </w:pPr>
      <w:r w:rsidRPr="006F137A">
        <w:t xml:space="preserve">Third, we agree with parties that cost causation </w:t>
      </w:r>
      <w:r w:rsidRPr="006F137A" w:rsidR="00DD30D4">
        <w:t>principles are relevant to this proceeding</w:t>
      </w:r>
      <w:r w:rsidRPr="00E80FAB" w:rsidR="00DD30D4">
        <w:t>.</w:t>
      </w:r>
      <w:r w:rsidRPr="006F137A" w:rsidR="00DD30D4">
        <w:t xml:space="preserve"> </w:t>
      </w:r>
      <w:r w:rsidRPr="006F137A" w:rsidR="00EA1589">
        <w:t xml:space="preserve">We agree with TURN </w:t>
      </w:r>
      <w:r w:rsidRPr="00E80FAB" w:rsidR="007F389E">
        <w:t xml:space="preserve">that there </w:t>
      </w:r>
      <w:r w:rsidRPr="00E80FAB" w:rsidR="00256E52">
        <w:t>have been</w:t>
      </w:r>
      <w:r w:rsidRPr="00E80FAB" w:rsidR="001A3C93">
        <w:t xml:space="preserve"> certain circumstances where the Commission has </w:t>
      </w:r>
      <w:r w:rsidRPr="00E80FAB" w:rsidR="00B1248B">
        <w:t>allocated costs broadly</w:t>
      </w:r>
      <w:r w:rsidRPr="00E80FAB" w:rsidR="00A77636">
        <w:t>, and find that considerations which may have justified allocating costs broadly in other proceedings are not present here</w:t>
      </w:r>
      <w:r w:rsidRPr="00E80FAB" w:rsidR="00DA1116">
        <w:t>.</w:t>
      </w:r>
      <w:r w:rsidRPr="00E80FAB" w:rsidR="00A77636">
        <w:t xml:space="preserve"> </w:t>
      </w:r>
      <w:r w:rsidRPr="006F137A" w:rsidR="00EA1589">
        <w:t>We agree with Air Products, Cal Advocates, CEJA/Sierra Club, EDF, First Public H2, Indicated Shippers, TURN, and UCAN that D.22</w:t>
      </w:r>
      <w:r w:rsidR="005265AA">
        <w:noBreakHyphen/>
      </w:r>
      <w:r w:rsidRPr="006F137A" w:rsidR="00EA1589">
        <w:t>12</w:t>
      </w:r>
      <w:r w:rsidR="005265AA">
        <w:noBreakHyphen/>
      </w:r>
      <w:r w:rsidRPr="006F137A" w:rsidR="00EA1589">
        <w:t xml:space="preserve">055 </w:t>
      </w:r>
      <w:r w:rsidRPr="006F137A" w:rsidR="000364D9">
        <w:t>directed</w:t>
      </w:r>
      <w:r w:rsidRPr="006F137A" w:rsidR="00EA1589">
        <w:t xml:space="preserve"> SoCalGas to identify ratepayers that would receive direct benefits from the project</w:t>
      </w:r>
      <w:r w:rsidRPr="006F137A" w:rsidR="009265E0">
        <w:t xml:space="preserve"> </w:t>
      </w:r>
      <w:r w:rsidRPr="006F137A" w:rsidR="00A059ED">
        <w:t xml:space="preserve">and </w:t>
      </w:r>
      <w:r w:rsidRPr="006F137A" w:rsidR="006A0D40">
        <w:t>established</w:t>
      </w:r>
      <w:r w:rsidRPr="006F137A" w:rsidR="009265E0">
        <w:t xml:space="preserve"> cost causation </w:t>
      </w:r>
      <w:r w:rsidRPr="006F137A" w:rsidR="00A059ED">
        <w:t xml:space="preserve">principles in </w:t>
      </w:r>
      <w:r w:rsidRPr="006F137A" w:rsidR="009265E0">
        <w:t xml:space="preserve">application </w:t>
      </w:r>
      <w:r w:rsidRPr="006F137A" w:rsidR="00EB4844">
        <w:t>for</w:t>
      </w:r>
      <w:r w:rsidRPr="006F137A" w:rsidR="009265E0">
        <w:t xml:space="preserve"> cost recovery</w:t>
      </w:r>
      <w:r w:rsidRPr="006F137A" w:rsidR="00EA1589">
        <w:t>. In comments</w:t>
      </w:r>
      <w:r w:rsidRPr="006F137A" w:rsidR="00DC5E1F">
        <w:t xml:space="preserve"> </w:t>
      </w:r>
      <w:r w:rsidRPr="006F137A" w:rsidR="00AF3B08">
        <w:t>on</w:t>
      </w:r>
      <w:r w:rsidRPr="006F137A" w:rsidR="00DC5E1F">
        <w:t xml:space="preserve"> the proposed decision</w:t>
      </w:r>
      <w:r w:rsidRPr="006F137A" w:rsidR="00EA1589">
        <w:t>, SoCalGas argues that there is a failure to distinguish why Phase</w:t>
      </w:r>
      <w:r w:rsidR="005265AA">
        <w:t> </w:t>
      </w:r>
      <w:r w:rsidRPr="006F137A" w:rsidR="00EA1589">
        <w:t>2 could not depart from cost causation guidance issued in D.22</w:t>
      </w:r>
      <w:r w:rsidR="005265AA">
        <w:noBreakHyphen/>
      </w:r>
      <w:r w:rsidRPr="006F137A" w:rsidR="00EA1589">
        <w:t>12</w:t>
      </w:r>
      <w:r w:rsidR="005265AA">
        <w:noBreakHyphen/>
      </w:r>
      <w:r w:rsidRPr="006F137A" w:rsidR="00EA1589">
        <w:t>055. We note that D.22</w:t>
      </w:r>
      <w:r w:rsidR="005265AA">
        <w:noBreakHyphen/>
      </w:r>
      <w:r w:rsidRPr="006F137A" w:rsidR="00EA1589">
        <w:t>12</w:t>
      </w:r>
      <w:r w:rsidR="005265AA">
        <w:noBreakHyphen/>
      </w:r>
      <w:r w:rsidRPr="006F137A" w:rsidR="00EA1589">
        <w:t>055 articulates well</w:t>
      </w:r>
      <w:r w:rsidR="005265AA">
        <w:noBreakHyphen/>
      </w:r>
      <w:r w:rsidRPr="006F137A" w:rsidR="00EA1589">
        <w:t xml:space="preserve">established principles of cost causation and ratepayer benefits, and their application to a </w:t>
      </w:r>
      <w:r w:rsidRPr="006F137A" w:rsidR="00EA1589">
        <w:lastRenderedPageBreak/>
        <w:t>request for cost recovery for Phase</w:t>
      </w:r>
      <w:r w:rsidR="005265AA">
        <w:t> </w:t>
      </w:r>
      <w:r w:rsidRPr="006F137A" w:rsidR="00EA1589">
        <w:t xml:space="preserve">1. </w:t>
      </w:r>
      <w:r w:rsidRPr="006F137A" w:rsidR="005651D8">
        <w:t xml:space="preserve">For </w:t>
      </w:r>
      <w:r w:rsidRPr="006F137A" w:rsidR="00EA1589">
        <w:t>a Phase</w:t>
      </w:r>
      <w:r w:rsidR="005265AA">
        <w:t> </w:t>
      </w:r>
      <w:r w:rsidRPr="006F137A" w:rsidR="00EA1589">
        <w:t>2 application, D.22</w:t>
      </w:r>
      <w:r w:rsidR="005265AA">
        <w:noBreakHyphen/>
      </w:r>
      <w:r w:rsidRPr="006F137A" w:rsidR="00EA1589">
        <w:t>12</w:t>
      </w:r>
      <w:r w:rsidR="005265AA">
        <w:noBreakHyphen/>
      </w:r>
      <w:r w:rsidRPr="006F137A" w:rsidR="00EA1589">
        <w:t>055 requires SoCalGas to provide findings and results including the “identification of the ratepayers who would be end</w:t>
      </w:r>
      <w:r w:rsidR="005265AA">
        <w:noBreakHyphen/>
      </w:r>
      <w:r w:rsidRPr="006F137A" w:rsidR="00EA1589">
        <w:t>users, including current natural gas customers and future customers.”</w:t>
      </w:r>
      <w:r w:rsidRPr="006F137A" w:rsidR="00EA1589">
        <w:rPr>
          <w:vertAlign w:val="superscript"/>
        </w:rPr>
        <w:footnoteReference w:id="38"/>
      </w:r>
      <w:r w:rsidRPr="006F137A" w:rsidR="00EA1589">
        <w:t xml:space="preserve"> D.22</w:t>
      </w:r>
      <w:r w:rsidR="005265AA">
        <w:noBreakHyphen/>
      </w:r>
      <w:r w:rsidRPr="006F137A" w:rsidR="00EA1589">
        <w:t>12</w:t>
      </w:r>
      <w:r w:rsidR="005265AA">
        <w:noBreakHyphen/>
      </w:r>
      <w:r w:rsidRPr="006F137A" w:rsidR="00EA1589">
        <w:t>055 relates direct benefits for ratepayers in relation to customers taking service of the Angeles Link Project.</w:t>
      </w:r>
      <w:r w:rsidRPr="006F137A" w:rsidR="00EA1589">
        <w:rPr>
          <w:vertAlign w:val="superscript"/>
        </w:rPr>
        <w:footnoteReference w:id="39"/>
      </w:r>
      <w:r w:rsidRPr="006F137A" w:rsidR="00EA1589">
        <w:t xml:space="preserve"> In this Decision</w:t>
      </w:r>
      <w:r w:rsidRPr="006F137A" w:rsidR="00E55F28">
        <w:t xml:space="preserve"> denying the application</w:t>
      </w:r>
      <w:r w:rsidRPr="006F137A" w:rsidR="00EA1589">
        <w:t>, we find that these principles of cost causation and ratepayer benefits articulated D.22</w:t>
      </w:r>
      <w:r w:rsidR="005265AA">
        <w:noBreakHyphen/>
      </w:r>
      <w:r w:rsidRPr="006F137A" w:rsidR="00EA1589">
        <w:t>12</w:t>
      </w:r>
      <w:r w:rsidR="005265AA">
        <w:noBreakHyphen/>
      </w:r>
      <w:r w:rsidRPr="006F137A" w:rsidR="00EA1589">
        <w:t>055 apply to Phase</w:t>
      </w:r>
      <w:r w:rsidR="005265AA">
        <w:t> </w:t>
      </w:r>
      <w:r w:rsidRPr="006F137A" w:rsidR="00EA1589">
        <w:t>2 Activities and for consideration of cost recovery of Phase</w:t>
      </w:r>
      <w:r w:rsidR="005265AA">
        <w:t> </w:t>
      </w:r>
      <w:r w:rsidRPr="006F137A" w:rsidR="00EA1589">
        <w:t>2 Activities.</w:t>
      </w:r>
    </w:p>
    <w:p w:rsidRPr="006F137A" w:rsidR="005A62B1" w:rsidP="00C93942" w:rsidRDefault="00622D44" w14:paraId="13C552DB" w14:textId="24DF9334">
      <w:pPr>
        <w:pStyle w:val="Standard"/>
      </w:pPr>
      <w:r w:rsidRPr="006F137A">
        <w:t xml:space="preserve">We agree with parties </w:t>
      </w:r>
      <w:r w:rsidRPr="006F137A" w:rsidR="00F2085E">
        <w:t xml:space="preserve">that a memorandum account is the appropriate tracking mechanism </w:t>
      </w:r>
      <w:r w:rsidRPr="006F137A" w:rsidR="009931CA">
        <w:t>for Phase</w:t>
      </w:r>
      <w:r w:rsidR="005265AA">
        <w:t> </w:t>
      </w:r>
      <w:r w:rsidRPr="006F137A" w:rsidR="009931CA">
        <w:t xml:space="preserve">2 Activities. </w:t>
      </w:r>
      <w:r w:rsidRPr="006F137A" w:rsidR="005A62B1">
        <w:t>For the Phase</w:t>
      </w:r>
      <w:r w:rsidRPr="006F137A" w:rsidR="006E3704">
        <w:t> </w:t>
      </w:r>
      <w:r w:rsidRPr="006F137A" w:rsidR="005A62B1">
        <w:t>1 Activities, in D.22</w:t>
      </w:r>
      <w:r w:rsidRPr="006F137A" w:rsidR="00C93942">
        <w:noBreakHyphen/>
      </w:r>
      <w:r w:rsidRPr="006F137A" w:rsidR="005A62B1">
        <w:t>12</w:t>
      </w:r>
      <w:r w:rsidRPr="006F137A" w:rsidR="00C93942">
        <w:noBreakHyphen/>
      </w:r>
      <w:r w:rsidRPr="006F137A" w:rsidR="005A62B1">
        <w:t>055, the Commission has already determined that “under the cost causation principle, rate recovery from all ratepayers would not be appropriate… only the set of ratepayers who can potentially take service of clean renewable hydrogen from the Project are likely to benefit from the Angeles Link Memo Account.”</w:t>
      </w:r>
      <w:r w:rsidRPr="006F137A" w:rsidR="005A62B1">
        <w:rPr>
          <w:rStyle w:val="FootnoteReference"/>
        </w:rPr>
        <w:footnoteReference w:id="40"/>
      </w:r>
      <w:r w:rsidRPr="006F137A" w:rsidR="005A62B1">
        <w:t xml:space="preserve"> The Commission required tracking in a memorandum account and for SoCalGas to file an application if the utility were to seek cost recovery so that the Commission could review Phase</w:t>
      </w:r>
      <w:r w:rsidRPr="006F137A" w:rsidR="00B84025">
        <w:t> </w:t>
      </w:r>
      <w:r w:rsidRPr="006F137A" w:rsidR="005A62B1">
        <w:t xml:space="preserve">1 Activities compliance and reasonableness of costs for ratepayers. The Commission indicated </w:t>
      </w:r>
      <w:r w:rsidRPr="006F137A" w:rsidR="00E035D6">
        <w:t xml:space="preserve">that </w:t>
      </w:r>
      <w:r w:rsidRPr="006F137A" w:rsidR="00760E9F">
        <w:t xml:space="preserve">if SoCalGas </w:t>
      </w:r>
      <w:r w:rsidRPr="006F137A" w:rsidR="003F6756">
        <w:t xml:space="preserve">was authorized </w:t>
      </w:r>
      <w:r w:rsidRPr="006F137A" w:rsidR="00760E9F">
        <w:t>to</w:t>
      </w:r>
      <w:r w:rsidRPr="006F137A" w:rsidR="005A62B1">
        <w:t xml:space="preserve"> track costs </w:t>
      </w:r>
      <w:r w:rsidRPr="006F137A" w:rsidR="00760E9F">
        <w:t>for Phase</w:t>
      </w:r>
      <w:r w:rsidR="00363237">
        <w:t> </w:t>
      </w:r>
      <w:r w:rsidRPr="006F137A" w:rsidR="00760E9F">
        <w:t>2 Activities</w:t>
      </w:r>
      <w:r w:rsidRPr="006F137A" w:rsidR="00C56AC0">
        <w:t xml:space="preserve"> it should </w:t>
      </w:r>
      <w:r w:rsidRPr="006F137A" w:rsidR="00C50B62">
        <w:t>do so</w:t>
      </w:r>
      <w:r w:rsidRPr="006F137A" w:rsidR="00C56AC0">
        <w:t xml:space="preserve"> </w:t>
      </w:r>
      <w:r w:rsidRPr="006F137A" w:rsidR="005A62B1">
        <w:t>in the same memorandum account.</w:t>
      </w:r>
      <w:r w:rsidRPr="006F137A" w:rsidR="005A62B1">
        <w:rPr>
          <w:rStyle w:val="FootnoteReference"/>
        </w:rPr>
        <w:footnoteReference w:id="41"/>
      </w:r>
      <w:r w:rsidRPr="006F137A" w:rsidR="005A62B1">
        <w:t xml:space="preserve"> Additionally, “The commission shall establish rates using cost allocation principles that fairly and reasonably assign to different </w:t>
      </w:r>
      <w:r w:rsidRPr="006F137A" w:rsidR="005A62B1">
        <w:lastRenderedPageBreak/>
        <w:t>customer classes the costs of providing service to those customer classes, consistent with the policies of affordability…”</w:t>
      </w:r>
      <w:r w:rsidRPr="006F137A" w:rsidR="005A62B1">
        <w:rPr>
          <w:rStyle w:val="FootnoteReference"/>
        </w:rPr>
        <w:footnoteReference w:id="42"/>
      </w:r>
    </w:p>
    <w:p w:rsidRPr="006F137A" w:rsidR="00261375" w:rsidP="00C93942" w:rsidRDefault="005A62B1" w14:paraId="17F91A53" w14:textId="20D38727">
      <w:pPr>
        <w:pStyle w:val="Standard"/>
      </w:pPr>
      <w:r w:rsidRPr="006F137A">
        <w:t>We therefore deny</w:t>
      </w:r>
      <w:r w:rsidRPr="006F137A" w:rsidR="00AF4FDB">
        <w:t xml:space="preserve"> </w:t>
      </w:r>
      <w:r w:rsidRPr="006F137A">
        <w:t xml:space="preserve">cost recovery for </w:t>
      </w:r>
      <w:r w:rsidRPr="006F137A" w:rsidR="00C93942">
        <w:t>Phase 2</w:t>
      </w:r>
      <w:r w:rsidRPr="006F137A">
        <w:t xml:space="preserve"> Activities from ratepayers</w:t>
      </w:r>
      <w:r w:rsidRPr="006F137A" w:rsidR="00D57CF1">
        <w:t>.</w:t>
      </w:r>
      <w:r w:rsidRPr="006F137A" w:rsidR="00112785">
        <w:t xml:space="preserve"> </w:t>
      </w:r>
      <w:r w:rsidRPr="006F137A" w:rsidR="007414C0">
        <w:t>Th</w:t>
      </w:r>
      <w:r w:rsidRPr="006F137A" w:rsidR="008C416B">
        <w:t xml:space="preserve">is decision does not preclude </w:t>
      </w:r>
      <w:r w:rsidRPr="006F137A" w:rsidR="00F67FF9">
        <w:t>SoCalGas</w:t>
      </w:r>
      <w:r w:rsidRPr="006F137A" w:rsidR="007414C0">
        <w:t xml:space="preserve"> </w:t>
      </w:r>
      <w:r w:rsidRPr="006F137A" w:rsidR="00DA3085">
        <w:t>from</w:t>
      </w:r>
      <w:r w:rsidRPr="006F137A" w:rsidR="00B65EDD">
        <w:t xml:space="preserve"> </w:t>
      </w:r>
      <w:r w:rsidRPr="006F137A" w:rsidR="00DA3085">
        <w:t>filing</w:t>
      </w:r>
      <w:r w:rsidRPr="006F137A" w:rsidR="007414C0">
        <w:t xml:space="preserve"> </w:t>
      </w:r>
      <w:r w:rsidRPr="006F137A" w:rsidR="00DA3085">
        <w:t>an</w:t>
      </w:r>
      <w:r w:rsidRPr="006F137A" w:rsidR="00A37738">
        <w:t>other</w:t>
      </w:r>
      <w:r w:rsidRPr="006F137A" w:rsidR="006F1DE6">
        <w:t xml:space="preserve"> application </w:t>
      </w:r>
      <w:r w:rsidRPr="006F137A" w:rsidR="00D41D2B">
        <w:t>to commence</w:t>
      </w:r>
      <w:r w:rsidRPr="006F137A" w:rsidR="007414C0">
        <w:t xml:space="preserve"> Phase</w:t>
      </w:r>
      <w:r w:rsidR="00A742A9">
        <w:t> </w:t>
      </w:r>
      <w:r w:rsidRPr="006F137A" w:rsidR="007414C0">
        <w:t>2 Activities</w:t>
      </w:r>
      <w:r w:rsidRPr="006F137A" w:rsidR="00390701">
        <w:t>.</w:t>
      </w:r>
      <w:r w:rsidRPr="006F137A" w:rsidR="003D4E6E">
        <w:t xml:space="preserve"> </w:t>
      </w:r>
      <w:r w:rsidRPr="006F137A" w:rsidR="00662DBA">
        <w:t>For consideration of cost recovery of Phase</w:t>
      </w:r>
      <w:r w:rsidR="00A742A9">
        <w:t> </w:t>
      </w:r>
      <w:r w:rsidRPr="006F137A" w:rsidR="00662DBA">
        <w:t>2 Activities, the Commission must determine that the Project complies with the Commission’s cost causation principles</w:t>
      </w:r>
      <w:r w:rsidRPr="006F137A" w:rsidR="007B12DB">
        <w:t xml:space="preserve">, </w:t>
      </w:r>
      <w:r w:rsidRPr="006F137A" w:rsidR="00682C15">
        <w:t>and that the Project is</w:t>
      </w:r>
      <w:r w:rsidRPr="006F137A" w:rsidR="004B73E7">
        <w:t xml:space="preserve"> used and useful</w:t>
      </w:r>
      <w:r w:rsidRPr="006F137A" w:rsidR="007B0495">
        <w:t>.</w:t>
      </w:r>
    </w:p>
    <w:p w:rsidRPr="006F137A" w:rsidR="001200CD" w:rsidP="001200CD" w:rsidRDefault="001200CD" w14:paraId="6EF0B602" w14:textId="444B4DEB">
      <w:pPr>
        <w:pStyle w:val="Heading1"/>
      </w:pPr>
      <w:bookmarkStart w:name="_Toc228299461" w:id="11"/>
      <w:r w:rsidRPr="006F137A">
        <w:t>Jurisdiction</w:t>
      </w:r>
      <w:bookmarkEnd w:id="11"/>
    </w:p>
    <w:p w:rsidRPr="006F137A" w:rsidR="001200CD" w:rsidP="00C93942" w:rsidRDefault="00811050" w14:paraId="601BCAA1" w14:textId="2B858469">
      <w:pPr>
        <w:pStyle w:val="Standard"/>
      </w:pPr>
      <w:r w:rsidRPr="006F137A">
        <w:t>We find that it is premature to make a determination on jurisdiction for this application based on the sections below</w:t>
      </w:r>
      <w:r w:rsidRPr="006F137A" w:rsidR="007C2416">
        <w:t>.</w:t>
      </w:r>
    </w:p>
    <w:p w:rsidRPr="006F137A" w:rsidR="0052311E" w:rsidP="00123307" w:rsidRDefault="0052311E" w14:paraId="1DF56622" w14:textId="2417DCE1">
      <w:pPr>
        <w:pStyle w:val="Heading2"/>
      </w:pPr>
      <w:bookmarkStart w:name="_Toc228299462" w:id="12"/>
      <w:r w:rsidRPr="006F137A">
        <w:t xml:space="preserve">Project </w:t>
      </w:r>
      <w:r w:rsidRPr="006F137A" w:rsidR="00B7643F">
        <w:t>T</w:t>
      </w:r>
      <w:r w:rsidRPr="006F137A">
        <w:t xml:space="preserve">reatment as a </w:t>
      </w:r>
      <w:r w:rsidRPr="006F137A" w:rsidR="00B7643F">
        <w:t>P</w:t>
      </w:r>
      <w:r w:rsidRPr="006F137A">
        <w:t>ipeline</w:t>
      </w:r>
      <w:r w:rsidRPr="006F137A" w:rsidR="00E76CFC">
        <w:t xml:space="preserve"> </w:t>
      </w:r>
      <w:r w:rsidRPr="006F137A" w:rsidR="00F142B3">
        <w:t xml:space="preserve">Under </w:t>
      </w:r>
      <w:r w:rsidRPr="006F137A" w:rsidR="00FC7BD8">
        <w:t>Pub. Util.</w:t>
      </w:r>
      <w:r w:rsidRPr="006F137A" w:rsidR="008F373D">
        <w:t xml:space="preserve"> </w:t>
      </w:r>
      <w:r w:rsidRPr="006F137A" w:rsidR="00FC7BD8">
        <w:t>Code Section 2</w:t>
      </w:r>
      <w:r w:rsidRPr="006F137A" w:rsidR="008F373D">
        <w:t>27 and</w:t>
      </w:r>
      <w:r w:rsidRPr="006F137A" w:rsidR="00E76CFC">
        <w:br/>
      </w:r>
      <w:r w:rsidRPr="006F137A" w:rsidR="002B53DF">
        <w:t>Pipeline Corporation</w:t>
      </w:r>
      <w:r w:rsidRPr="006F137A" w:rsidR="00A52288">
        <w:t xml:space="preserve"> </w:t>
      </w:r>
      <w:r w:rsidRPr="006F137A" w:rsidR="00E76CFC">
        <w:t>Under</w:t>
      </w:r>
      <w:r w:rsidRPr="006F137A" w:rsidR="00E76CFC">
        <w:br/>
      </w:r>
      <w:r w:rsidRPr="006F137A" w:rsidR="00FC7BD8">
        <w:t>Pub. Util.</w:t>
      </w:r>
      <w:r w:rsidRPr="006F137A" w:rsidR="002B53DF">
        <w:t xml:space="preserve"> </w:t>
      </w:r>
      <w:r w:rsidRPr="006F137A" w:rsidR="00FC7BD8">
        <w:t>Code Section 2</w:t>
      </w:r>
      <w:r w:rsidRPr="006F137A" w:rsidR="008F373D">
        <w:t>28</w:t>
      </w:r>
      <w:bookmarkEnd w:id="12"/>
    </w:p>
    <w:p w:rsidRPr="006F137A" w:rsidR="00662202" w:rsidP="00C93942" w:rsidRDefault="00662202" w14:paraId="56476F1F" w14:textId="3C356F03">
      <w:pPr>
        <w:pStyle w:val="Standard"/>
      </w:pPr>
      <w:r w:rsidRPr="006F137A">
        <w:t>Parties generally do not support the treatment of the Project as a pipeline as defined by Pub.</w:t>
      </w:r>
      <w:r w:rsidRPr="006F137A" w:rsidR="00B84025">
        <w:t> </w:t>
      </w:r>
      <w:r w:rsidRPr="006F137A">
        <w:t>Util. Code Section</w:t>
      </w:r>
      <w:r w:rsidRPr="006F137A" w:rsidR="00B84025">
        <w:t> </w:t>
      </w:r>
      <w:r w:rsidRPr="006F137A">
        <w:t>227 nor the utility as a pipeline corporation under Pub.</w:t>
      </w:r>
      <w:r w:rsidRPr="006F137A" w:rsidR="00B84025">
        <w:t> </w:t>
      </w:r>
      <w:r w:rsidRPr="006F137A">
        <w:t>Util. Code Section</w:t>
      </w:r>
      <w:r w:rsidRPr="006F137A" w:rsidR="00B84025">
        <w:t> </w:t>
      </w:r>
      <w:r w:rsidRPr="006F137A">
        <w:t>228 for varying reasons.</w:t>
      </w:r>
    </w:p>
    <w:p w:rsidRPr="006F137A" w:rsidR="00662202" w:rsidP="00C93942" w:rsidRDefault="00662202" w14:paraId="0D7ECE95" w14:textId="3E690487">
      <w:pPr>
        <w:pStyle w:val="Standard"/>
      </w:pPr>
      <w:r w:rsidRPr="006F137A">
        <w:t>Most parties</w:t>
      </w:r>
      <w:r w:rsidRPr="006F137A">
        <w:rPr>
          <w:rStyle w:val="FootnoteReference"/>
        </w:rPr>
        <w:footnoteReference w:id="43"/>
      </w:r>
      <w:r w:rsidRPr="006F137A">
        <w:t xml:space="preserve"> agree that addressing whether the definition in Pub.</w:t>
      </w:r>
      <w:r w:rsidRPr="006F137A" w:rsidR="00B84025">
        <w:t> </w:t>
      </w:r>
      <w:r w:rsidRPr="006F137A">
        <w:t>Util. Code Section</w:t>
      </w:r>
      <w:r w:rsidRPr="006F137A" w:rsidR="00B84025">
        <w:t> </w:t>
      </w:r>
      <w:r w:rsidRPr="006F137A">
        <w:t>227 of “fluid substances” that pass through pipelines applies to hydrogen gas would be contested. SoCalGas, CSPTC, First Public H2, Indicated Shippers, and SCGC state that the Angeles Link Project should not be treated as a pipeline because, as proposed, the Project would transport hydrogen gas, not liquified hydrogen which would not qualify as a fluid substance under Pub.</w:t>
      </w:r>
      <w:r w:rsidRPr="006F137A" w:rsidR="00B84025">
        <w:t> </w:t>
      </w:r>
      <w:r w:rsidRPr="006F137A">
        <w:t xml:space="preserve">Util. </w:t>
      </w:r>
      <w:r w:rsidRPr="006F137A">
        <w:lastRenderedPageBreak/>
        <w:t xml:space="preserve">Code </w:t>
      </w:r>
      <w:r w:rsidRPr="006F137A" w:rsidR="00FC7BD8">
        <w:t>Section </w:t>
      </w:r>
      <w:r w:rsidRPr="006F137A">
        <w:t>227.</w:t>
      </w:r>
      <w:r w:rsidRPr="006F137A">
        <w:rPr>
          <w:rStyle w:val="FootnoteReference"/>
        </w:rPr>
        <w:footnoteReference w:id="44"/>
      </w:r>
      <w:r w:rsidRPr="006F137A">
        <w:t xml:space="preserve"> Air Products and Indicated Shippers argue that Commission jurisdiction over pipelines has been limited to crude oil and other fossil fuels.</w:t>
      </w:r>
      <w:r w:rsidRPr="006F137A">
        <w:rPr>
          <w:rStyle w:val="FootnoteReference"/>
        </w:rPr>
        <w:footnoteReference w:id="45"/>
      </w:r>
      <w:r w:rsidRPr="006F137A">
        <w:t xml:space="preserve"> UCAN argue that fluid substance may include hydrogen.</w:t>
      </w:r>
      <w:r w:rsidRPr="006F137A">
        <w:rPr>
          <w:rStyle w:val="FootnoteReference"/>
        </w:rPr>
        <w:footnoteReference w:id="46"/>
      </w:r>
      <w:r w:rsidRPr="006F137A">
        <w:t xml:space="preserve"> CEJA/Sierra Club argue that the interpretation of fluid substances might include gaseous fluids,</w:t>
      </w:r>
      <w:r w:rsidRPr="006F137A">
        <w:rPr>
          <w:rStyle w:val="FootnoteReference"/>
        </w:rPr>
        <w:footnoteReference w:id="47"/>
      </w:r>
      <w:r w:rsidRPr="006F137A">
        <w:t xml:space="preserve"> and that without dedicated utility the matter is premature.</w:t>
      </w:r>
      <w:r w:rsidRPr="006F137A">
        <w:rPr>
          <w:rStyle w:val="FootnoteReference"/>
        </w:rPr>
        <w:footnoteReference w:id="48"/>
      </w:r>
    </w:p>
    <w:p w:rsidRPr="006F137A" w:rsidR="00662202" w:rsidP="00C93942" w:rsidRDefault="00662202" w14:paraId="54C7E732" w14:textId="3CBCC2DC">
      <w:pPr>
        <w:pStyle w:val="Standard"/>
      </w:pPr>
      <w:r w:rsidRPr="006F137A">
        <w:t>Air Products, First Public H2, and Indicated Shippers argue that treating the Project as a pipeline would not align with the intent of the legislature and Commission.</w:t>
      </w:r>
      <w:r w:rsidRPr="006F137A">
        <w:rPr>
          <w:rStyle w:val="FootnoteReference"/>
        </w:rPr>
        <w:footnoteReference w:id="49"/>
      </w:r>
      <w:r w:rsidRPr="006F137A">
        <w:t xml:space="preserve"> Indicated Shippers and EDF suggests that the Commission could exert its authority over the pipelines which would be followed by legal appeals.</w:t>
      </w:r>
      <w:r w:rsidRPr="006F137A">
        <w:rPr>
          <w:rStyle w:val="FootnoteReference"/>
        </w:rPr>
        <w:footnoteReference w:id="50"/>
      </w:r>
      <w:r w:rsidRPr="006F137A">
        <w:t xml:space="preserve"> If the Commission were to consider its authority over hydrogen pipelines and pipeline corporations, EDF, First Public H2, GHC, Indicated Shippers, and UCAN recommend that it be done through a rulemaking, not this application. First Public H2 and GHC propose that the Commission narrowly determine jurisdiction over the </w:t>
      </w:r>
      <w:r w:rsidRPr="006F137A" w:rsidR="00C93942">
        <w:t>Phase 2</w:t>
      </w:r>
      <w:r w:rsidRPr="006F137A">
        <w:t xml:space="preserve"> Activities in this application rather than the entire Project.</w:t>
      </w:r>
      <w:r w:rsidRPr="006F137A">
        <w:rPr>
          <w:rStyle w:val="FootnoteReference"/>
        </w:rPr>
        <w:footnoteReference w:id="51"/>
      </w:r>
    </w:p>
    <w:p w:rsidRPr="006F137A" w:rsidR="00662202" w:rsidP="00C93942" w:rsidRDefault="00662202" w14:paraId="13FD446E" w14:textId="4E0D2AB5">
      <w:pPr>
        <w:pStyle w:val="Standard"/>
      </w:pPr>
      <w:r w:rsidRPr="006F137A">
        <w:t>Some parties argue that determining jurisdiction is premature until the pipeline is constructed, used and useful, and dedicated to public use.</w:t>
      </w:r>
      <w:r w:rsidRPr="006F137A">
        <w:rPr>
          <w:rStyle w:val="FootnoteReference"/>
        </w:rPr>
        <w:footnoteReference w:id="52"/>
      </w:r>
      <w:r w:rsidRPr="006F137A">
        <w:t xml:space="preserve"> </w:t>
      </w:r>
      <w:r w:rsidRPr="006F137A" w:rsidR="00C93942">
        <w:lastRenderedPageBreak/>
        <w:t>Cal Advoc</w:t>
      </w:r>
      <w:r w:rsidRPr="006F137A">
        <w:t>ates and CEJA/Sierra Club</w:t>
      </w:r>
      <w:r w:rsidRPr="006F137A">
        <w:rPr>
          <w:rStyle w:val="FootnoteReference"/>
        </w:rPr>
        <w:footnoteReference w:id="53"/>
      </w:r>
      <w:r w:rsidRPr="006F137A">
        <w:t xml:space="preserve"> reference the Richfield case in which the Supreme Court addressed the statutory definition of pipelines to apply only to utilities that have dedicated their property </w:t>
      </w:r>
      <w:r w:rsidRPr="006F137A" w:rsidR="008B25A6">
        <w:t xml:space="preserve">to </w:t>
      </w:r>
      <w:r w:rsidRPr="006F137A">
        <w:t>public use.</w:t>
      </w:r>
      <w:r w:rsidRPr="006F137A">
        <w:rPr>
          <w:rStyle w:val="FootnoteReference"/>
        </w:rPr>
        <w:footnoteReference w:id="54"/>
      </w:r>
      <w:r w:rsidRPr="006F137A">
        <w:t xml:space="preserve"> TURN and CEJA/Sierra Club note that the Project is currently in the planning stages and therefore neither used and useful nor dedicated.</w:t>
      </w:r>
      <w:r w:rsidRPr="006F137A">
        <w:rPr>
          <w:rStyle w:val="FootnoteReference"/>
        </w:rPr>
        <w:footnoteReference w:id="55"/>
      </w:r>
    </w:p>
    <w:p w:rsidRPr="006F137A" w:rsidR="00235AA5" w:rsidP="00C93942" w:rsidRDefault="00662202" w14:paraId="57B2D03B" w14:textId="1A9E1836">
      <w:pPr>
        <w:pStyle w:val="Standard"/>
      </w:pPr>
      <w:r w:rsidRPr="006F137A">
        <w:t>We agree that we need not reach the question of whether the Project is subject to the Commissions pipeline jurisdiction. Notably, SoCalGas does not seek to develop the Project as a “pipe line” as defined by Pub.</w:t>
      </w:r>
      <w:r w:rsidRPr="006F137A" w:rsidR="004E7C46">
        <w:t> </w:t>
      </w:r>
      <w:r w:rsidRPr="006F137A">
        <w:t>Util. Code Section</w:t>
      </w:r>
      <w:r w:rsidRPr="006F137A" w:rsidR="004E7C46">
        <w:t> </w:t>
      </w:r>
      <w:r w:rsidRPr="006F137A">
        <w:t>227, in the capacity of a “pipeline corporation” as defined by Pub.</w:t>
      </w:r>
      <w:r w:rsidRPr="006F137A" w:rsidR="004E7C46">
        <w:t> </w:t>
      </w:r>
      <w:r w:rsidRPr="006F137A">
        <w:t>Util. Code Section</w:t>
      </w:r>
      <w:r w:rsidRPr="006F137A" w:rsidR="004E7C46">
        <w:t> </w:t>
      </w:r>
      <w:r w:rsidRPr="006F137A">
        <w:t>228.</w:t>
      </w:r>
      <w:r w:rsidRPr="006F137A">
        <w:rPr>
          <w:rStyle w:val="FootnoteReference"/>
        </w:rPr>
        <w:footnoteReference w:id="56"/>
      </w:r>
    </w:p>
    <w:p w:rsidRPr="006F137A" w:rsidR="00662202" w:rsidP="00C93942" w:rsidRDefault="00662202" w14:paraId="7636EC93" w14:textId="0D963D1A">
      <w:pPr>
        <w:pStyle w:val="Standard"/>
      </w:pPr>
      <w:r w:rsidRPr="006F137A">
        <w:t xml:space="preserve">We agree with </w:t>
      </w:r>
      <w:r w:rsidRPr="006F137A" w:rsidR="00C93942">
        <w:t>Cal Advoc</w:t>
      </w:r>
      <w:r w:rsidRPr="006F137A">
        <w:t>ates, CEJA/Sierra Club, and TURN that the Project is in the planning stages and may not become operational, used and useful, and dedicated to public use.</w:t>
      </w:r>
    </w:p>
    <w:p w:rsidRPr="006F137A" w:rsidR="00E82256" w:rsidP="00C93942" w:rsidRDefault="00662202" w14:paraId="2B33841D" w14:textId="4FE53788">
      <w:pPr>
        <w:pStyle w:val="Standard"/>
      </w:pPr>
      <w:r w:rsidRPr="006F137A">
        <w:t xml:space="preserve">Because we are </w:t>
      </w:r>
      <w:r w:rsidRPr="006F137A" w:rsidR="005B3734">
        <w:t xml:space="preserve">denying this </w:t>
      </w:r>
      <w:r w:rsidRPr="006F137A" w:rsidR="00871091">
        <w:t>application</w:t>
      </w:r>
      <w:r w:rsidRPr="006F137A">
        <w:t xml:space="preserve">, it </w:t>
      </w:r>
      <w:r w:rsidRPr="006F137A" w:rsidR="0015632F">
        <w:t xml:space="preserve">is </w:t>
      </w:r>
      <w:r w:rsidRPr="006F137A">
        <w:t xml:space="preserve">unnecessary to determine whether the Project would fall within the Commission’s pipeline jurisdiction. We therefore find that it is premature to determine whether the project </w:t>
      </w:r>
      <w:r w:rsidRPr="006F137A" w:rsidR="00ED4191">
        <w:t xml:space="preserve">falls </w:t>
      </w:r>
      <w:r w:rsidRPr="006F137A">
        <w:t>under Pub.</w:t>
      </w:r>
      <w:r w:rsidRPr="006F137A" w:rsidR="00B84025">
        <w:t> </w:t>
      </w:r>
      <w:r w:rsidRPr="006F137A">
        <w:t>Util. Code Section</w:t>
      </w:r>
      <w:r w:rsidRPr="006F137A" w:rsidR="00B84025">
        <w:t> </w:t>
      </w:r>
      <w:r w:rsidRPr="006F137A">
        <w:t>227 and Section</w:t>
      </w:r>
      <w:r w:rsidRPr="006F137A" w:rsidR="00B84025">
        <w:t> </w:t>
      </w:r>
      <w:r w:rsidRPr="006F137A">
        <w:t>228 at this time</w:t>
      </w:r>
      <w:r w:rsidRPr="006F137A" w:rsidR="005C14E2">
        <w:t>.</w:t>
      </w:r>
    </w:p>
    <w:p w:rsidRPr="006F137A" w:rsidR="0052311E" w:rsidP="00B20E35" w:rsidRDefault="0052311E" w14:paraId="64E23C18" w14:textId="24852589">
      <w:pPr>
        <w:pStyle w:val="Heading2"/>
      </w:pPr>
      <w:bookmarkStart w:name="_Toc228299463" w:id="13"/>
      <w:r w:rsidRPr="006F137A">
        <w:lastRenderedPageBreak/>
        <w:t xml:space="preserve">Project </w:t>
      </w:r>
      <w:r w:rsidRPr="006F137A" w:rsidR="00B82FFA">
        <w:t>T</w:t>
      </w:r>
      <w:r w:rsidRPr="006F137A">
        <w:t xml:space="preserve">reatment as a </w:t>
      </w:r>
      <w:r w:rsidRPr="006F137A" w:rsidR="00B7643F">
        <w:t>Gas Plant</w:t>
      </w:r>
      <w:r w:rsidRPr="006F137A" w:rsidR="00132593">
        <w:br/>
      </w:r>
      <w:r w:rsidRPr="006F137A" w:rsidR="00D32F4B">
        <w:t xml:space="preserve">Under </w:t>
      </w:r>
      <w:r w:rsidRPr="006F137A" w:rsidR="00FC7BD8">
        <w:t>Pub. Util.</w:t>
      </w:r>
      <w:r w:rsidRPr="006F137A" w:rsidR="008F373D">
        <w:t xml:space="preserve"> </w:t>
      </w:r>
      <w:r w:rsidRPr="006F137A" w:rsidR="00FC7BD8">
        <w:t>Code Section 2</w:t>
      </w:r>
      <w:r w:rsidRPr="006F137A" w:rsidR="008F373D">
        <w:t>21 and</w:t>
      </w:r>
      <w:r w:rsidRPr="006F137A" w:rsidR="00132593">
        <w:br/>
      </w:r>
      <w:r w:rsidRPr="006F137A" w:rsidR="003F0185">
        <w:t xml:space="preserve">Gas </w:t>
      </w:r>
      <w:r w:rsidRPr="006F137A" w:rsidR="002B53DF">
        <w:t xml:space="preserve">Plant Corporation </w:t>
      </w:r>
      <w:r w:rsidRPr="006F137A" w:rsidR="00132593">
        <w:t>Under</w:t>
      </w:r>
      <w:r w:rsidRPr="006F137A" w:rsidR="00132593">
        <w:br/>
      </w:r>
      <w:r w:rsidRPr="006F137A" w:rsidR="00FC7BD8">
        <w:t>Pub. Util.</w:t>
      </w:r>
      <w:r w:rsidRPr="006F137A" w:rsidR="002B53DF">
        <w:t xml:space="preserve"> </w:t>
      </w:r>
      <w:r w:rsidRPr="006F137A" w:rsidR="00FC7BD8">
        <w:t>Code Section 2</w:t>
      </w:r>
      <w:r w:rsidRPr="006F137A" w:rsidR="008F373D">
        <w:t>22</w:t>
      </w:r>
      <w:bookmarkEnd w:id="13"/>
    </w:p>
    <w:p w:rsidRPr="006F137A" w:rsidR="007B21A3" w:rsidP="00C93942" w:rsidRDefault="007B21A3" w14:paraId="60123597" w14:textId="09B2AD3D">
      <w:pPr>
        <w:pStyle w:val="Standard"/>
      </w:pPr>
      <w:r w:rsidRPr="006F137A">
        <w:t>SoCalGas, CSPTC, SCGC, and UWUA Local</w:t>
      </w:r>
      <w:r w:rsidRPr="006F137A" w:rsidR="00B84025">
        <w:t> </w:t>
      </w:r>
      <w:r w:rsidRPr="006F137A">
        <w:t xml:space="preserve">483 support the treatment of the Project as a gas plant and SoCalGas as a gas plant corporation. Air Products, </w:t>
      </w:r>
      <w:r w:rsidRPr="006F137A" w:rsidR="00C93942">
        <w:t>Cal Advoc</w:t>
      </w:r>
      <w:r w:rsidRPr="006F137A">
        <w:t>ates, CEJA/Sierra Club, EDF, First Public H2, and Indicated Shippers generally oppose such treatment of the Project.</w:t>
      </w:r>
    </w:p>
    <w:p w:rsidRPr="006F137A" w:rsidR="007B21A3" w:rsidP="00C93942" w:rsidRDefault="007B21A3" w14:paraId="359EBFF7" w14:textId="05C7172B">
      <w:pPr>
        <w:pStyle w:val="Standard"/>
      </w:pPr>
      <w:r w:rsidRPr="006F137A">
        <w:t>Party interpretation of the application of Pub.</w:t>
      </w:r>
      <w:r w:rsidRPr="006F137A" w:rsidR="00B84025">
        <w:t> </w:t>
      </w:r>
      <w:r w:rsidRPr="006F137A">
        <w:t>Util. Code Section</w:t>
      </w:r>
      <w:r w:rsidRPr="006F137A" w:rsidR="00B84025">
        <w:t> </w:t>
      </w:r>
      <w:r w:rsidRPr="006F137A">
        <w:t>221 and Section</w:t>
      </w:r>
      <w:r w:rsidRPr="006F137A" w:rsidR="00B84025">
        <w:t> </w:t>
      </w:r>
      <w:r w:rsidRPr="006F137A">
        <w:t xml:space="preserve">222 to hydrogen differ. CSPTC and SoCalGas support hydrogen being included </w:t>
      </w:r>
      <w:r w:rsidRPr="006F137A" w:rsidR="002567F0">
        <w:t xml:space="preserve">broadly under </w:t>
      </w:r>
      <w:r w:rsidRPr="006F137A">
        <w:t>Pub.</w:t>
      </w:r>
      <w:r w:rsidRPr="006F137A" w:rsidR="00B84025">
        <w:t> </w:t>
      </w:r>
      <w:r w:rsidRPr="006F137A">
        <w:t>Util. Code Section</w:t>
      </w:r>
      <w:r w:rsidRPr="006F137A" w:rsidR="00B84025">
        <w:t> </w:t>
      </w:r>
      <w:r w:rsidRPr="006F137A">
        <w:t>221 as “gas, natural or manufactured”</w:t>
      </w:r>
      <w:r w:rsidRPr="006F137A">
        <w:rPr>
          <w:rStyle w:val="FootnoteReference"/>
        </w:rPr>
        <w:footnoteReference w:id="57"/>
      </w:r>
      <w:r w:rsidRPr="006F137A">
        <w:t xml:space="preserve"> and</w:t>
      </w:r>
      <w:r w:rsidRPr="006F137A" w:rsidR="00CA6E6F">
        <w:t xml:space="preserve"> </w:t>
      </w:r>
      <w:r w:rsidRPr="006F137A">
        <w:t>“gas use for light, heat or power.”</w:t>
      </w:r>
      <w:r w:rsidRPr="006F137A">
        <w:rPr>
          <w:rStyle w:val="FootnoteReference"/>
        </w:rPr>
        <w:footnoteReference w:id="58"/>
      </w:r>
      <w:r w:rsidRPr="006F137A">
        <w:t xml:space="preserve"> Air Products, First Public H2, Indicated Shippers disagree that hydrogen </w:t>
      </w:r>
      <w:r w:rsidRPr="006F137A" w:rsidR="00870263">
        <w:t>is included</w:t>
      </w:r>
      <w:r w:rsidRPr="006F137A" w:rsidR="005F4E57">
        <w:t xml:space="preserve"> </w:t>
      </w:r>
      <w:r w:rsidRPr="006F137A">
        <w:t>as a gas under Pub.</w:t>
      </w:r>
      <w:r w:rsidRPr="006F137A" w:rsidR="00B84025">
        <w:t> </w:t>
      </w:r>
      <w:r w:rsidRPr="006F137A">
        <w:t>Util. Code Section</w:t>
      </w:r>
      <w:r w:rsidRPr="006F137A" w:rsidR="00B84025">
        <w:t> </w:t>
      </w:r>
      <w:r w:rsidRPr="006F137A">
        <w:t>221</w:t>
      </w:r>
      <w:r w:rsidRPr="006F137A" w:rsidR="005F4E57">
        <w:t xml:space="preserve"> and</w:t>
      </w:r>
      <w:r w:rsidRPr="006F137A">
        <w:t xml:space="preserve"> </w:t>
      </w:r>
      <w:r w:rsidRPr="006F137A" w:rsidR="00FF709E">
        <w:t>rais</w:t>
      </w:r>
      <w:r w:rsidRPr="006F137A" w:rsidR="005F4E57">
        <w:t>e</w:t>
      </w:r>
      <w:r w:rsidRPr="006F137A" w:rsidR="00FF709E">
        <w:t xml:space="preserve"> </w:t>
      </w:r>
      <w:r w:rsidRPr="006F137A" w:rsidR="005D7710">
        <w:t xml:space="preserve">further </w:t>
      </w:r>
      <w:r w:rsidRPr="006F137A" w:rsidR="00FF709E">
        <w:t>doubt over the</w:t>
      </w:r>
      <w:r w:rsidRPr="006F137A" w:rsidR="0011179C">
        <w:t xml:space="preserve"> historical context</w:t>
      </w:r>
      <w:r w:rsidRPr="006F137A" w:rsidR="000219E4">
        <w:t>.</w:t>
      </w:r>
      <w:r w:rsidRPr="006F137A" w:rsidR="000219E4">
        <w:rPr>
          <w:rStyle w:val="FootnoteReference"/>
        </w:rPr>
        <w:footnoteReference w:id="59"/>
      </w:r>
    </w:p>
    <w:p w:rsidRPr="006F137A" w:rsidR="007B21A3" w:rsidP="00C93942" w:rsidRDefault="007B21A3" w14:paraId="263745F7" w14:textId="506BF65A">
      <w:pPr>
        <w:pStyle w:val="Standard"/>
      </w:pPr>
      <w:r w:rsidRPr="006F137A">
        <w:t>SoCalGas proposes that the Project be treated as a gas plant as the utility intends to transport hydrogen gas</w:t>
      </w:r>
      <w:r w:rsidRPr="006F137A">
        <w:rPr>
          <w:rStyle w:val="FootnoteReference"/>
        </w:rPr>
        <w:footnoteReference w:id="60"/>
      </w:r>
      <w:r w:rsidRPr="006F137A">
        <w:t xml:space="preserve"> and that it may operate as a gas plant corporation. SoCalGas, CSPTC, SCGC, UWUA Local</w:t>
      </w:r>
      <w:r w:rsidRPr="006F137A" w:rsidR="00B84025">
        <w:t> </w:t>
      </w:r>
      <w:r w:rsidRPr="006F137A">
        <w:t>483 state that the Project may function as a gas plant and the utility under Pub.</w:t>
      </w:r>
      <w:r w:rsidRPr="006F137A" w:rsidR="00B84025">
        <w:t> </w:t>
      </w:r>
      <w:r w:rsidRPr="006F137A">
        <w:t xml:space="preserve">Util. </w:t>
      </w:r>
      <w:r w:rsidRPr="006F137A" w:rsidR="00AA6CE8">
        <w:t>Code</w:t>
      </w:r>
      <w:r w:rsidRPr="006F137A" w:rsidR="00142DF4">
        <w:t xml:space="preserve"> Section </w:t>
      </w:r>
      <w:r w:rsidRPr="006F137A">
        <w:t xml:space="preserve">221 and </w:t>
      </w:r>
      <w:r w:rsidRPr="006F137A" w:rsidR="009B2CD4">
        <w:t>Section </w:t>
      </w:r>
      <w:r w:rsidRPr="006F137A">
        <w:t>222 dependent on Commission authority.</w:t>
      </w:r>
      <w:r w:rsidRPr="006F137A">
        <w:rPr>
          <w:rStyle w:val="FootnoteReference"/>
        </w:rPr>
        <w:footnoteReference w:id="61"/>
      </w:r>
      <w:r w:rsidRPr="006F137A">
        <w:t xml:space="preserve"> EDF believes the Commission may exert authority over the Project as a gas plant based on statute.</w:t>
      </w:r>
      <w:r w:rsidRPr="006F137A">
        <w:rPr>
          <w:rStyle w:val="FootnoteReference"/>
        </w:rPr>
        <w:footnoteReference w:id="62"/>
      </w:r>
    </w:p>
    <w:p w:rsidRPr="006F137A" w:rsidR="007B21A3" w:rsidP="00C93942" w:rsidRDefault="007B21A3" w14:paraId="3183E967" w14:textId="506697F4">
      <w:pPr>
        <w:pStyle w:val="Standard"/>
      </w:pPr>
      <w:r w:rsidRPr="006F137A">
        <w:lastRenderedPageBreak/>
        <w:t xml:space="preserve">SoCalGas </w:t>
      </w:r>
      <w:r w:rsidRPr="006F137A" w:rsidR="00454123">
        <w:t xml:space="preserve">argues </w:t>
      </w:r>
      <w:r w:rsidRPr="006F137A">
        <w:t xml:space="preserve">that once a CPCN is filed and authorized by the Commission, the Project </w:t>
      </w:r>
      <w:r w:rsidRPr="006F137A" w:rsidR="00454123">
        <w:t xml:space="preserve">should </w:t>
      </w:r>
      <w:r w:rsidRPr="006F137A">
        <w:t xml:space="preserve">be considered as a gas plant. </w:t>
      </w:r>
      <w:r w:rsidRPr="006F137A" w:rsidR="00306C6E">
        <w:t xml:space="preserve">As noted above, </w:t>
      </w:r>
      <w:r w:rsidRPr="006F137A" w:rsidR="00212902">
        <w:t>Air Products, First Public H2,</w:t>
      </w:r>
      <w:r w:rsidRPr="006F137A" w:rsidR="000A50A2">
        <w:t xml:space="preserve"> and</w:t>
      </w:r>
      <w:r w:rsidRPr="006F137A" w:rsidR="00212902">
        <w:t xml:space="preserve"> Indicated Shippers contest whether the </w:t>
      </w:r>
      <w:r w:rsidRPr="006F137A" w:rsidR="00455676">
        <w:t>hydrogen</w:t>
      </w:r>
      <w:r w:rsidRPr="006F137A" w:rsidR="00212902">
        <w:t xml:space="preserve"> would qualify </w:t>
      </w:r>
      <w:r w:rsidRPr="006F137A" w:rsidR="00455676">
        <w:t xml:space="preserve">under the statutory definition of </w:t>
      </w:r>
      <w:r w:rsidRPr="006F137A" w:rsidR="00B37E91">
        <w:t xml:space="preserve">a gas plant </w:t>
      </w:r>
      <w:r w:rsidRPr="006F137A" w:rsidR="00E31593">
        <w:t>under Pub.</w:t>
      </w:r>
      <w:r w:rsidRPr="006F137A" w:rsidR="001E3E0B">
        <w:t> </w:t>
      </w:r>
      <w:r w:rsidRPr="006F137A" w:rsidR="00E31593">
        <w:t>Util. Code Section</w:t>
      </w:r>
      <w:r w:rsidRPr="006F137A" w:rsidR="001E3E0B">
        <w:t> </w:t>
      </w:r>
      <w:r w:rsidRPr="006F137A" w:rsidR="00E31593">
        <w:t>221</w:t>
      </w:r>
      <w:r w:rsidRPr="006F137A" w:rsidR="003C0CC9">
        <w:t xml:space="preserve">. </w:t>
      </w:r>
      <w:r w:rsidRPr="006F137A">
        <w:t>CEJA/Sierra Club argue that a CPCN serves as an intention for a future gas plant but is not enough for consideration as a would be constructed project.</w:t>
      </w:r>
      <w:r w:rsidRPr="006F137A">
        <w:rPr>
          <w:rStyle w:val="FootnoteReference"/>
        </w:rPr>
        <w:footnoteReference w:id="63"/>
      </w:r>
      <w:r w:rsidRPr="006F137A">
        <w:t xml:space="preserve"> Air Products, </w:t>
      </w:r>
      <w:r w:rsidRPr="006F137A" w:rsidR="00C93942">
        <w:t>Cal Advoc</w:t>
      </w:r>
      <w:r w:rsidRPr="006F137A">
        <w:t xml:space="preserve">ates, CEJA/Sierra Club, </w:t>
      </w:r>
      <w:r w:rsidRPr="006F137A" w:rsidR="00D931D5">
        <w:t xml:space="preserve">Indicated Shippers, </w:t>
      </w:r>
      <w:r w:rsidRPr="006F137A">
        <w:t>and UCAN counter that the project must be beyond the planning phase and used and useful before it can be treated as a gas plant.</w:t>
      </w:r>
      <w:r w:rsidRPr="006F137A">
        <w:rPr>
          <w:rStyle w:val="FootnoteReference"/>
        </w:rPr>
        <w:footnoteReference w:id="64"/>
      </w:r>
      <w:r w:rsidRPr="006F137A">
        <w:t xml:space="preserve"> </w:t>
      </w:r>
      <w:r w:rsidRPr="006F137A" w:rsidR="00DA446A">
        <w:t>CEJA/Sierra Club</w:t>
      </w:r>
      <w:r w:rsidRPr="006F137A">
        <w:t xml:space="preserve"> </w:t>
      </w:r>
      <w:r w:rsidRPr="006F137A" w:rsidR="00D273B4">
        <w:t>offer</w:t>
      </w:r>
      <w:r w:rsidRPr="006F137A">
        <w:t xml:space="preserve"> that the Project could be treated as a gas plant if built.</w:t>
      </w:r>
      <w:r w:rsidRPr="006F137A">
        <w:rPr>
          <w:rStyle w:val="FootnoteReference"/>
        </w:rPr>
        <w:footnoteReference w:id="65"/>
      </w:r>
    </w:p>
    <w:p w:rsidRPr="006F137A" w:rsidR="007B21A3" w:rsidP="00C93942" w:rsidRDefault="007B21A3" w14:paraId="2C9DD1A3" w14:textId="78AE52E9">
      <w:pPr>
        <w:pStyle w:val="Standard"/>
      </w:pPr>
      <w:r w:rsidRPr="006F137A">
        <w:t>In its Application, SoCalGas states that the Project will be dedicated to public use.</w:t>
      </w:r>
      <w:r w:rsidRPr="006F137A">
        <w:rPr>
          <w:rStyle w:val="FootnoteReference"/>
        </w:rPr>
        <w:footnoteReference w:id="66"/>
      </w:r>
      <w:r w:rsidRPr="006F137A">
        <w:t xml:space="preserve"> </w:t>
      </w:r>
      <w:r w:rsidRPr="006F137A" w:rsidR="00C93942">
        <w:t>Cal Advoc</w:t>
      </w:r>
      <w:r w:rsidRPr="006F137A">
        <w:t>ates</w:t>
      </w:r>
      <w:r w:rsidRPr="006F137A" w:rsidR="00826561">
        <w:t xml:space="preserve"> and</w:t>
      </w:r>
      <w:r w:rsidRPr="006F137A">
        <w:t xml:space="preserve"> CEJA/Sierra Club</w:t>
      </w:r>
      <w:r w:rsidRPr="006F137A" w:rsidR="00826561">
        <w:t xml:space="preserve"> </w:t>
      </w:r>
      <w:r w:rsidRPr="006F137A">
        <w:t>state that intention to dedicate to public use does not comply with the dedication principle.</w:t>
      </w:r>
      <w:r w:rsidRPr="006F137A">
        <w:rPr>
          <w:rStyle w:val="FootnoteReference"/>
        </w:rPr>
        <w:footnoteReference w:id="67"/>
      </w:r>
      <w:r w:rsidRPr="006F137A">
        <w:t xml:space="preserve"> CEJA/Sierra Club indicate a project may be considered compliant to the dedication principle when a project is operational and held out to public use.</w:t>
      </w:r>
      <w:r w:rsidRPr="006F137A">
        <w:rPr>
          <w:rStyle w:val="FootnoteReference"/>
        </w:rPr>
        <w:footnoteReference w:id="68"/>
      </w:r>
    </w:p>
    <w:p w:rsidRPr="006F137A" w:rsidR="007B21A3" w:rsidP="00C93942" w:rsidRDefault="007B21A3" w14:paraId="3D801D0D" w14:textId="28A5ABD6">
      <w:pPr>
        <w:pStyle w:val="Standard"/>
      </w:pPr>
      <w:r w:rsidRPr="006F137A">
        <w:t xml:space="preserve">Because we are </w:t>
      </w:r>
      <w:r w:rsidRPr="006F137A" w:rsidR="007C7048">
        <w:t>denying this application</w:t>
      </w:r>
      <w:r w:rsidRPr="006F137A">
        <w:t>, it is unnecessary to determine whether the Project would fall within the Commission’s gas plant jurisdiction. We therefore find that it is premature to determine whether the project under Pub.</w:t>
      </w:r>
      <w:r w:rsidRPr="006F137A" w:rsidR="00B84025">
        <w:t> </w:t>
      </w:r>
      <w:r w:rsidRPr="006F137A">
        <w:t>Util. Code Section</w:t>
      </w:r>
      <w:r w:rsidRPr="006F137A" w:rsidR="00B84025">
        <w:t> </w:t>
      </w:r>
      <w:r w:rsidRPr="006F137A">
        <w:t>221 and Section</w:t>
      </w:r>
      <w:r w:rsidRPr="006F137A" w:rsidR="00B84025">
        <w:t> </w:t>
      </w:r>
      <w:r w:rsidRPr="006F137A">
        <w:t>222 at this time.</w:t>
      </w:r>
    </w:p>
    <w:p w:rsidRPr="006F137A" w:rsidR="00603238" w:rsidP="00FA1B4F" w:rsidRDefault="00603238" w14:paraId="197FB980" w14:textId="77777777">
      <w:pPr>
        <w:pStyle w:val="Heading1"/>
      </w:pPr>
      <w:bookmarkStart w:name="_Toc8123721" w:id="14"/>
      <w:bookmarkStart w:name="_Toc228299464" w:id="15"/>
      <w:r w:rsidRPr="006F137A">
        <w:lastRenderedPageBreak/>
        <w:t>Summary of Public Comment</w:t>
      </w:r>
      <w:bookmarkEnd w:id="15"/>
    </w:p>
    <w:p w:rsidRPr="006F137A" w:rsidR="00A83BC9" w:rsidP="00C93942" w:rsidRDefault="00A83BC9" w14:paraId="279D3A74" w14:textId="1E091560">
      <w:pPr>
        <w:pStyle w:val="Standard"/>
      </w:pPr>
      <w:r w:rsidRPr="006F137A">
        <w:t>Rule</w:t>
      </w:r>
      <w:r w:rsidRPr="006F137A" w:rsidR="00B84025">
        <w:t> </w:t>
      </w:r>
      <w:r w:rsidRPr="006F137A">
        <w:t>1.18 of the Commission’s Rules of Practice and Procedure (Rules) allows any member of the public to submit written comment in any Commission proceeding using the “Public Comment” tab of the online Docket Card for that proceeding on the Commission’s website.</w:t>
      </w:r>
      <w:r w:rsidRPr="006F137A" w:rsidR="00A97191">
        <w:t xml:space="preserve"> </w:t>
      </w:r>
      <w:r w:rsidRPr="006F137A">
        <w:t>Rule</w:t>
      </w:r>
      <w:r w:rsidRPr="006F137A" w:rsidR="00B84025">
        <w:t> </w:t>
      </w:r>
      <w:r w:rsidRPr="006F137A">
        <w:t>1.18(b) requires that relevant written comment submitted in a proceeding be summarized in the final decision issued in that proceeding.</w:t>
      </w:r>
    </w:p>
    <w:p w:rsidRPr="006F137A" w:rsidR="00603238" w:rsidP="00A83BC9" w:rsidRDefault="00A83BC9" w14:paraId="1F6BEB7E" w14:textId="6DB37C97">
      <w:pPr>
        <w:pStyle w:val="Standard"/>
      </w:pPr>
      <w:r w:rsidRPr="006F137A">
        <w:t>Approximately 15 public comments were submitted using the Public Comment tab of the online Docket Card for this proceeding on the Commission’s website. The comments oppose this application for the following reasons: increased/unaffordable rates, cost causation principles, and safety concerns about hydrogen pipelines</w:t>
      </w:r>
      <w:r w:rsidRPr="006F137A" w:rsidR="00603238">
        <w:t>.</w:t>
      </w:r>
    </w:p>
    <w:p w:rsidRPr="006F137A" w:rsidR="004A1EAD" w:rsidP="004A1EAD" w:rsidRDefault="004A1EAD" w14:paraId="7D5609BA" w14:textId="77777777">
      <w:pPr>
        <w:pStyle w:val="Heading1"/>
      </w:pPr>
      <w:bookmarkStart w:name="_Toc8123723" w:id="16"/>
      <w:bookmarkStart w:name="_Toc228299465" w:id="17"/>
      <w:bookmarkEnd w:id="14"/>
      <w:r w:rsidRPr="006F137A">
        <w:t>Procedural Matters</w:t>
      </w:r>
      <w:bookmarkEnd w:id="17"/>
    </w:p>
    <w:p w:rsidRPr="006F137A" w:rsidR="004A1EAD" w:rsidP="004A1EAD" w:rsidRDefault="004A1EAD" w14:paraId="68C02632" w14:textId="38091CC9">
      <w:pPr>
        <w:pStyle w:val="Standard"/>
      </w:pPr>
      <w:r w:rsidRPr="006F137A">
        <w:t xml:space="preserve">This decision affirms all rulings made by the </w:t>
      </w:r>
      <w:r w:rsidRPr="006F137A" w:rsidR="003A3920">
        <w:t>Administrative Law Judge (</w:t>
      </w:r>
      <w:r w:rsidRPr="006F137A" w:rsidR="005377F2">
        <w:t>ALJ</w:t>
      </w:r>
      <w:r w:rsidRPr="006F137A" w:rsidR="003A3920">
        <w:t>)</w:t>
      </w:r>
      <w:r w:rsidRPr="006F137A">
        <w:t xml:space="preserve"> and assigned Commissioner in this proceeding. All motions not ruled on are deemed denied.</w:t>
      </w:r>
    </w:p>
    <w:p w:rsidRPr="006F137A" w:rsidR="005939A5" w:rsidP="005939A5" w:rsidRDefault="005939A5" w14:paraId="2E862F4C" w14:textId="77777777">
      <w:pPr>
        <w:pStyle w:val="Heading1"/>
      </w:pPr>
      <w:bookmarkStart w:name="_Toc228299466" w:id="18"/>
      <w:r w:rsidRPr="006F137A">
        <w:t>Comments on Proposed Decision</w:t>
      </w:r>
      <w:bookmarkEnd w:id="16"/>
      <w:bookmarkEnd w:id="18"/>
    </w:p>
    <w:p w:rsidRPr="006F137A" w:rsidR="00261375" w:rsidP="005C58FA" w:rsidRDefault="005C58FA" w14:paraId="245F5D2A" w14:textId="4A5F3C46">
      <w:pPr>
        <w:pStyle w:val="Standard"/>
      </w:pPr>
      <w:r w:rsidRPr="006F137A">
        <w:t xml:space="preserve">The proposed decision of ALJ </w:t>
      </w:r>
      <w:r w:rsidRPr="006F137A" w:rsidR="0040373C">
        <w:t>Perez</w:t>
      </w:r>
      <w:r w:rsidRPr="006F137A" w:rsidR="00C93942">
        <w:noBreakHyphen/>
      </w:r>
      <w:r w:rsidRPr="006F137A" w:rsidR="0040373C">
        <w:t>Green</w:t>
      </w:r>
      <w:r w:rsidRPr="006F137A">
        <w:t xml:space="preserve"> in this matter was mailed to the parties in accordance with </w:t>
      </w:r>
      <w:r w:rsidRPr="006F137A" w:rsidR="00936A23">
        <w:t>Pub. Util. Code Section </w:t>
      </w:r>
      <w:r w:rsidRPr="006F137A">
        <w:t>311</w:t>
      </w:r>
      <w:r w:rsidRPr="006F137A" w:rsidR="00AF226D">
        <w:t xml:space="preserve"> </w:t>
      </w:r>
      <w:r w:rsidRPr="006F137A">
        <w:t xml:space="preserve">and comments were allowed under </w:t>
      </w:r>
      <w:r w:rsidRPr="006F137A" w:rsidR="00CD38BC">
        <w:t>Rule </w:t>
      </w:r>
      <w:r w:rsidRPr="006F137A">
        <w:t>14.3.</w:t>
      </w:r>
      <w:r w:rsidRPr="006F137A" w:rsidR="002B67B3">
        <w:t xml:space="preserve"> </w:t>
      </w:r>
      <w:r w:rsidRPr="006F137A">
        <w:t xml:space="preserve">Comments were filed on </w:t>
      </w:r>
      <w:r w:rsidRPr="006F137A" w:rsidR="009A6693">
        <w:t>April</w:t>
      </w:r>
      <w:r w:rsidR="00A742A9">
        <w:t> </w:t>
      </w:r>
      <w:r w:rsidRPr="006F137A" w:rsidR="009A6693">
        <w:t>9</w:t>
      </w:r>
      <w:r w:rsidRPr="006F137A" w:rsidR="00C15A49">
        <w:t>,</w:t>
      </w:r>
      <w:r w:rsidRPr="006F137A" w:rsidR="009A6693">
        <w:t xml:space="preserve"> </w:t>
      </w:r>
      <w:r w:rsidRPr="006F137A" w:rsidR="00C15A49">
        <w:t xml:space="preserve">2026 </w:t>
      </w:r>
      <w:r w:rsidRPr="006F137A" w:rsidR="001E305C">
        <w:t xml:space="preserve">by </w:t>
      </w:r>
      <w:r w:rsidRPr="006F137A" w:rsidR="001D6729">
        <w:t xml:space="preserve">jointly </w:t>
      </w:r>
      <w:r w:rsidRPr="006F137A" w:rsidR="001E305C">
        <w:t>Air Products</w:t>
      </w:r>
      <w:r w:rsidRPr="006F137A" w:rsidR="001D6729">
        <w:t xml:space="preserve"> and</w:t>
      </w:r>
      <w:r w:rsidRPr="006F137A" w:rsidR="00034D6D">
        <w:t xml:space="preserve"> Indicated Shippers;</w:t>
      </w:r>
      <w:r w:rsidRPr="006F137A" w:rsidR="001E305C">
        <w:t xml:space="preserve"> Cal Advocates</w:t>
      </w:r>
      <w:r w:rsidRPr="006F137A" w:rsidR="00034D6D">
        <w:t>;</w:t>
      </w:r>
      <w:r w:rsidRPr="006F137A" w:rsidR="001E305C">
        <w:t xml:space="preserve"> CEJA/Sierra Club</w:t>
      </w:r>
      <w:r w:rsidRPr="006F137A" w:rsidR="00034D6D">
        <w:t>;</w:t>
      </w:r>
      <w:r w:rsidRPr="006F137A" w:rsidR="008E3B4F">
        <w:t xml:space="preserve"> CSPTC;</w:t>
      </w:r>
      <w:r w:rsidRPr="006F137A" w:rsidR="001E305C">
        <w:t xml:space="preserve"> EDF</w:t>
      </w:r>
      <w:r w:rsidRPr="006F137A" w:rsidR="00327349">
        <w:t>;</w:t>
      </w:r>
      <w:r w:rsidRPr="006F137A" w:rsidR="001E305C">
        <w:t xml:space="preserve"> </w:t>
      </w:r>
      <w:r w:rsidRPr="00E80FAB" w:rsidR="001F1A33">
        <w:t>Port of LA</w:t>
      </w:r>
      <w:r w:rsidRPr="006F137A" w:rsidR="001F1A33">
        <w:t xml:space="preserve">; </w:t>
      </w:r>
      <w:r w:rsidRPr="00E80FAB" w:rsidR="000D2554">
        <w:t xml:space="preserve">SCGC; </w:t>
      </w:r>
      <w:r w:rsidRPr="006F137A" w:rsidR="001E305C">
        <w:t>SoCalGas</w:t>
      </w:r>
      <w:r w:rsidRPr="006F137A" w:rsidR="001F1A33">
        <w:t>;</w:t>
      </w:r>
      <w:r w:rsidRPr="006F137A" w:rsidR="001E305C">
        <w:t xml:space="preserve"> TURN</w:t>
      </w:r>
      <w:r w:rsidRPr="006F137A" w:rsidR="00034D6D">
        <w:t>;</w:t>
      </w:r>
      <w:r w:rsidRPr="006F137A" w:rsidR="001E305C">
        <w:t xml:space="preserve"> UCAN</w:t>
      </w:r>
      <w:r w:rsidRPr="006F137A" w:rsidR="00034D6D">
        <w:t>;</w:t>
      </w:r>
      <w:r w:rsidRPr="006F137A" w:rsidR="001E305C">
        <w:t xml:space="preserve"> and UWUA Local 483</w:t>
      </w:r>
      <w:r w:rsidRPr="006F137A">
        <w:t xml:space="preserve">, and reply comments were filed on </w:t>
      </w:r>
      <w:r w:rsidRPr="006F137A" w:rsidR="00595B5F">
        <w:t>April</w:t>
      </w:r>
      <w:r w:rsidR="00A742A9">
        <w:t> </w:t>
      </w:r>
      <w:r w:rsidRPr="006F137A" w:rsidR="006A2BE1">
        <w:t>14</w:t>
      </w:r>
      <w:r w:rsidRPr="006F137A" w:rsidR="00595B5F">
        <w:t xml:space="preserve">, 2026 by </w:t>
      </w:r>
      <w:r w:rsidRPr="006F137A" w:rsidR="008C71F9">
        <w:t>Air Products, Cal</w:t>
      </w:r>
      <w:r w:rsidR="00A742A9">
        <w:t> </w:t>
      </w:r>
      <w:r w:rsidRPr="006F137A" w:rsidR="008C71F9">
        <w:t xml:space="preserve">Advocates, CEJA/Sierra Club, SoCalGas, </w:t>
      </w:r>
      <w:r w:rsidRPr="006F137A" w:rsidR="00C437CA">
        <w:t xml:space="preserve">and </w:t>
      </w:r>
      <w:r w:rsidRPr="006F137A" w:rsidR="008C71F9">
        <w:t>UCAN</w:t>
      </w:r>
      <w:r w:rsidRPr="006F137A">
        <w:t>.</w:t>
      </w:r>
    </w:p>
    <w:p w:rsidRPr="006F137A" w:rsidR="00756523" w:rsidP="005C58FA" w:rsidRDefault="002651F9" w14:paraId="2EC632F4" w14:textId="47045829">
      <w:pPr>
        <w:pStyle w:val="Standard"/>
      </w:pPr>
      <w:r w:rsidRPr="006F137A">
        <w:t>This section summarizes the comments from parties thematically. Where relevant, changes have been made in the text of the decision</w:t>
      </w:r>
      <w:r w:rsidRPr="006F137A" w:rsidR="00035BF3">
        <w:t>.</w:t>
      </w:r>
    </w:p>
    <w:p w:rsidRPr="006F137A" w:rsidR="00035BF3" w:rsidP="0005638D" w:rsidRDefault="0005638D" w14:paraId="2F88B5FA" w14:textId="716F6CD0">
      <w:r w:rsidRPr="006F137A">
        <w:lastRenderedPageBreak/>
        <w:t>Air Products, Cal</w:t>
      </w:r>
      <w:r w:rsidR="00A742A9">
        <w:t> </w:t>
      </w:r>
      <w:r w:rsidRPr="006F137A">
        <w:t>Advocates, CEJA/Sierra Club, EDF, Indicated Shippers, TURN, and UCAN are in support of the proposed decision.</w:t>
      </w:r>
      <w:r w:rsidRPr="006F137A" w:rsidR="00114637">
        <w:t xml:space="preserve"> </w:t>
      </w:r>
      <w:r w:rsidRPr="006F137A" w:rsidR="008309E3">
        <w:t>Most parties d</w:t>
      </w:r>
      <w:r w:rsidRPr="006F137A" w:rsidR="00B379DA">
        <w:t>o</w:t>
      </w:r>
      <w:r w:rsidRPr="006F137A" w:rsidR="008309E3">
        <w:t xml:space="preserve"> not oppose the proposed decision.</w:t>
      </w:r>
    </w:p>
    <w:p w:rsidRPr="006F137A" w:rsidR="00D7054D" w:rsidP="0005638D" w:rsidRDefault="0083102C" w14:paraId="3FEC47A4" w14:textId="5DB49CD1">
      <w:r w:rsidRPr="006F137A">
        <w:t>Cal</w:t>
      </w:r>
      <w:r w:rsidR="00B6797B">
        <w:t> </w:t>
      </w:r>
      <w:r w:rsidRPr="006F137A">
        <w:t xml:space="preserve">Advocates proposes </w:t>
      </w:r>
      <w:r w:rsidRPr="006F137A" w:rsidR="00D7054D">
        <w:t xml:space="preserve">a FOF and COL </w:t>
      </w:r>
      <w:r w:rsidRPr="006F137A" w:rsidR="00246C68">
        <w:t>on</w:t>
      </w:r>
      <w:r w:rsidRPr="006F137A" w:rsidR="00FB6984">
        <w:t xml:space="preserve"> </w:t>
      </w:r>
      <w:r w:rsidRPr="006F137A" w:rsidR="00FD235E">
        <w:t>Project service and cost causation principles</w:t>
      </w:r>
      <w:r w:rsidRPr="006F137A" w:rsidR="00246C68">
        <w:t xml:space="preserve">. We </w:t>
      </w:r>
      <w:r w:rsidRPr="006F137A" w:rsidR="00606E65">
        <w:t xml:space="preserve">agree </w:t>
      </w:r>
      <w:r w:rsidRPr="006F137A" w:rsidR="003B221D">
        <w:t>in general with</w:t>
      </w:r>
      <w:r w:rsidRPr="006F137A" w:rsidR="00606E65">
        <w:t xml:space="preserve"> the </w:t>
      </w:r>
      <w:r w:rsidRPr="006F137A" w:rsidR="00A7598A">
        <w:t>suggestion</w:t>
      </w:r>
      <w:r w:rsidRPr="006F137A" w:rsidR="003B221D">
        <w:t>s</w:t>
      </w:r>
      <w:r w:rsidRPr="006F137A" w:rsidR="00A7598A">
        <w:t xml:space="preserve"> and add</w:t>
      </w:r>
      <w:r w:rsidRPr="006F137A" w:rsidR="009F4EFB">
        <w:t xml:space="preserve"> another</w:t>
      </w:r>
      <w:r w:rsidRPr="006F137A" w:rsidR="00A7598A">
        <w:t xml:space="preserve"> </w:t>
      </w:r>
      <w:r w:rsidRPr="006F137A" w:rsidR="003B221D">
        <w:t>FOF and COL.</w:t>
      </w:r>
    </w:p>
    <w:p w:rsidRPr="006F137A" w:rsidR="00CA4060" w:rsidP="00CA4060" w:rsidRDefault="00CA4060" w14:paraId="227A25E6" w14:textId="69B9173C">
      <w:r w:rsidRPr="006F137A">
        <w:t>UWUA Local</w:t>
      </w:r>
      <w:r w:rsidR="00B6797B">
        <w:t> </w:t>
      </w:r>
      <w:r w:rsidRPr="006F137A">
        <w:t>483 argues that SoCalGas is not requesting immediate rate collection from all of its ratepayers. We have amended the language.</w:t>
      </w:r>
    </w:p>
    <w:p w:rsidRPr="006F137A" w:rsidR="009A15D2" w:rsidP="0005638D" w:rsidRDefault="00850406" w14:paraId="422506C6" w14:textId="267B710F">
      <w:r w:rsidRPr="006F137A">
        <w:t xml:space="preserve">SoCalGas, </w:t>
      </w:r>
      <w:r w:rsidRPr="006F137A" w:rsidR="00CF5DE8">
        <w:t>Port of LA,</w:t>
      </w:r>
      <w:r w:rsidRPr="006F137A">
        <w:t xml:space="preserve"> and</w:t>
      </w:r>
      <w:r w:rsidRPr="006F137A" w:rsidR="00CF5DE8">
        <w:t xml:space="preserve"> SCGC </w:t>
      </w:r>
      <w:r w:rsidRPr="006F137A" w:rsidR="005006EF">
        <w:t>request that the denial be without prejudice</w:t>
      </w:r>
      <w:r w:rsidRPr="006F137A" w:rsidR="00C83939">
        <w:t xml:space="preserve"> </w:t>
      </w:r>
      <w:r w:rsidRPr="006F137A" w:rsidR="00C417F6">
        <w:t xml:space="preserve">so </w:t>
      </w:r>
      <w:r w:rsidRPr="006F137A" w:rsidR="00C63FA3">
        <w:t xml:space="preserve">as not to </w:t>
      </w:r>
      <w:r w:rsidRPr="006F137A" w:rsidR="00624D65">
        <w:t>impact</w:t>
      </w:r>
      <w:r w:rsidRPr="006F137A" w:rsidR="00C417F6">
        <w:t xml:space="preserve"> future </w:t>
      </w:r>
      <w:r w:rsidRPr="006F137A" w:rsidR="00FD3233">
        <w:t xml:space="preserve">and/or other </w:t>
      </w:r>
      <w:r w:rsidRPr="006F137A" w:rsidR="00C417F6">
        <w:t xml:space="preserve">efforts to bring </w:t>
      </w:r>
      <w:r w:rsidRPr="006F137A" w:rsidR="002B157C">
        <w:t xml:space="preserve">clean </w:t>
      </w:r>
      <w:r w:rsidRPr="006F137A" w:rsidR="00C417F6">
        <w:t>renewable hydrogen</w:t>
      </w:r>
      <w:r w:rsidRPr="006F137A" w:rsidR="009F1523">
        <w:t>,</w:t>
      </w:r>
      <w:r w:rsidRPr="006F137A" w:rsidR="00481FDE">
        <w:t xml:space="preserve"> among other reasons</w:t>
      </w:r>
      <w:r w:rsidRPr="006F137A" w:rsidR="00C83939">
        <w:t xml:space="preserve">. </w:t>
      </w:r>
      <w:r w:rsidRPr="006F137A" w:rsidR="002F3CAB">
        <w:t xml:space="preserve">SoCalGas </w:t>
      </w:r>
      <w:r w:rsidRPr="006F137A" w:rsidR="00352DE4">
        <w:t xml:space="preserve">is concerned about this being precedential. </w:t>
      </w:r>
      <w:r w:rsidRPr="006F137A" w:rsidR="003B221D">
        <w:t xml:space="preserve">SoCalGas </w:t>
      </w:r>
      <w:r w:rsidRPr="006F137A" w:rsidR="00352DE4">
        <w:t>is</w:t>
      </w:r>
      <w:r w:rsidRPr="006F137A" w:rsidR="003B221D">
        <w:t xml:space="preserve"> concerned that the Project studies </w:t>
      </w:r>
      <w:r w:rsidRPr="006F137A" w:rsidR="00F17745">
        <w:t>will</w:t>
      </w:r>
      <w:r w:rsidRPr="006F137A" w:rsidR="003B221D">
        <w:t xml:space="preserve"> be halted.</w:t>
      </w:r>
      <w:r w:rsidRPr="006F137A" w:rsidR="00AC4DB5">
        <w:t xml:space="preserve"> </w:t>
      </w:r>
      <w:r w:rsidRPr="006F137A" w:rsidR="005315D6">
        <w:t xml:space="preserve">UCAN </w:t>
      </w:r>
      <w:r w:rsidRPr="006F137A" w:rsidR="00AC4DB5">
        <w:t>replie</w:t>
      </w:r>
      <w:r w:rsidRPr="006F137A" w:rsidR="00A40BDE">
        <w:t>s</w:t>
      </w:r>
      <w:r w:rsidRPr="006F137A" w:rsidR="0069275E">
        <w:t xml:space="preserve"> that </w:t>
      </w:r>
      <w:r w:rsidRPr="006F137A" w:rsidR="00AC4DB5">
        <w:t xml:space="preserve">the proposed decision denies </w:t>
      </w:r>
      <w:r w:rsidRPr="006F137A" w:rsidR="00827CEB">
        <w:t>recovery of ratepayer funds</w:t>
      </w:r>
      <w:r w:rsidRPr="006F137A" w:rsidR="009F086F">
        <w:t>,</w:t>
      </w:r>
      <w:r w:rsidRPr="006F137A" w:rsidR="00827CEB">
        <w:t xml:space="preserve"> </w:t>
      </w:r>
      <w:r w:rsidRPr="006F137A" w:rsidR="00A40BDE">
        <w:t>but</w:t>
      </w:r>
      <w:r w:rsidRPr="006F137A" w:rsidR="00827CEB">
        <w:t xml:space="preserve"> doe</w:t>
      </w:r>
      <w:r w:rsidRPr="006F137A" w:rsidR="00213E47">
        <w:t>s</w:t>
      </w:r>
      <w:r w:rsidRPr="006F137A" w:rsidR="00827CEB">
        <w:t xml:space="preserve"> not limit </w:t>
      </w:r>
      <w:r w:rsidRPr="006F137A" w:rsidR="00A40BDE">
        <w:t xml:space="preserve">the </w:t>
      </w:r>
      <w:r w:rsidRPr="006F137A" w:rsidR="00827CEB">
        <w:t xml:space="preserve">use of </w:t>
      </w:r>
      <w:r w:rsidRPr="006F137A" w:rsidR="00AC4DB5">
        <w:t>shareholder funds</w:t>
      </w:r>
      <w:r w:rsidRPr="006F137A" w:rsidR="009A68DE">
        <w:t>.</w:t>
      </w:r>
      <w:r w:rsidRPr="006F137A" w:rsidR="000E1AAC">
        <w:t xml:space="preserve"> </w:t>
      </w:r>
      <w:r w:rsidRPr="006F137A" w:rsidR="004F66C7">
        <w:t>This</w:t>
      </w:r>
      <w:r w:rsidRPr="006F137A" w:rsidR="00517861">
        <w:t xml:space="preserve"> proposed decision </w:t>
      </w:r>
      <w:r w:rsidRPr="006F137A" w:rsidR="00BA5621">
        <w:t>den</w:t>
      </w:r>
      <w:r w:rsidRPr="006F137A" w:rsidR="00517861">
        <w:t>ies</w:t>
      </w:r>
      <w:r w:rsidRPr="006F137A" w:rsidR="00BA5621">
        <w:t xml:space="preserve"> </w:t>
      </w:r>
      <w:r w:rsidRPr="006F137A" w:rsidR="00A36209">
        <w:t xml:space="preserve">this application, </w:t>
      </w:r>
      <w:r w:rsidRPr="006F137A" w:rsidR="00A73139">
        <w:t>A.24</w:t>
      </w:r>
      <w:r w:rsidR="00B6797B">
        <w:noBreakHyphen/>
      </w:r>
      <w:r w:rsidRPr="006F137A" w:rsidR="00A73139">
        <w:t>12</w:t>
      </w:r>
      <w:r w:rsidR="00B6797B">
        <w:noBreakHyphen/>
      </w:r>
      <w:r w:rsidRPr="006F137A" w:rsidR="00A73139">
        <w:t>011</w:t>
      </w:r>
      <w:r w:rsidRPr="006F137A" w:rsidR="005B2776">
        <w:t xml:space="preserve">, </w:t>
      </w:r>
      <w:r w:rsidRPr="006F137A" w:rsidR="001B34FF">
        <w:t>but</w:t>
      </w:r>
      <w:r w:rsidRPr="006F137A" w:rsidR="005B2776">
        <w:t xml:space="preserve"> does not preclude the utility from filing another application for </w:t>
      </w:r>
      <w:r w:rsidRPr="006F137A" w:rsidR="00FB17AC">
        <w:t>Phase</w:t>
      </w:r>
      <w:r w:rsidR="00B6797B">
        <w:t> </w:t>
      </w:r>
      <w:r w:rsidRPr="006F137A" w:rsidR="00FB17AC">
        <w:t>2 Activities</w:t>
      </w:r>
      <w:r w:rsidRPr="006F137A" w:rsidR="00682D92">
        <w:t xml:space="preserve"> in the future if it can demonstrate the requirements set out in D.22</w:t>
      </w:r>
      <w:r w:rsidR="00B6797B">
        <w:noBreakHyphen/>
      </w:r>
      <w:r w:rsidRPr="006F137A" w:rsidR="00682D92">
        <w:t>12</w:t>
      </w:r>
      <w:r w:rsidR="00B6797B">
        <w:noBreakHyphen/>
      </w:r>
      <w:r w:rsidRPr="006F137A" w:rsidR="00682D92">
        <w:t>055</w:t>
      </w:r>
      <w:r w:rsidRPr="006F137A" w:rsidR="009F086F">
        <w:t xml:space="preserve"> and this decision</w:t>
      </w:r>
      <w:r w:rsidRPr="006F137A" w:rsidR="003354E0">
        <w:t>.</w:t>
      </w:r>
    </w:p>
    <w:p w:rsidRPr="006F137A" w:rsidR="002130A0" w:rsidP="00CE6CB8" w:rsidRDefault="002130A0" w14:paraId="00CE13DF" w14:textId="25E130E5">
      <w:r w:rsidRPr="006F137A">
        <w:t xml:space="preserve">EDF </w:t>
      </w:r>
      <w:r w:rsidRPr="006F137A" w:rsidR="00AF4645">
        <w:t xml:space="preserve">requests that the Commission provide guidance </w:t>
      </w:r>
      <w:r w:rsidRPr="006F137A" w:rsidR="00CC41C5">
        <w:t xml:space="preserve">in this proposed decision on how utilities may advance </w:t>
      </w:r>
      <w:r w:rsidRPr="006F137A" w:rsidR="00E70AB3">
        <w:t>hydrogen</w:t>
      </w:r>
      <w:r w:rsidRPr="006F137A" w:rsidR="00883174">
        <w:t xml:space="preserve"> fuel. </w:t>
      </w:r>
      <w:r w:rsidRPr="006F137A" w:rsidR="001D3D23">
        <w:t>This decision is</w:t>
      </w:r>
      <w:r w:rsidRPr="006F137A" w:rsidR="004D2715">
        <w:t xml:space="preserve"> limit</w:t>
      </w:r>
      <w:r w:rsidRPr="006F137A" w:rsidR="001D3D23">
        <w:t>ed</w:t>
      </w:r>
      <w:r w:rsidRPr="006F137A" w:rsidR="002C12B2">
        <w:t xml:space="preserve"> </w:t>
      </w:r>
      <w:r w:rsidRPr="006F137A" w:rsidR="006E68C6">
        <w:t>th</w:t>
      </w:r>
      <w:r w:rsidRPr="006F137A" w:rsidR="003D0960">
        <w:t>is</w:t>
      </w:r>
      <w:r w:rsidRPr="006F137A" w:rsidR="006E68C6">
        <w:t xml:space="preserve"> application</w:t>
      </w:r>
      <w:r w:rsidRPr="006F137A" w:rsidR="00512DF3">
        <w:t xml:space="preserve"> </w:t>
      </w:r>
      <w:r w:rsidRPr="006F137A" w:rsidR="003D0960">
        <w:t>on t</w:t>
      </w:r>
      <w:r w:rsidRPr="006F137A" w:rsidR="00512DF3">
        <w:t xml:space="preserve">he </w:t>
      </w:r>
      <w:r w:rsidRPr="006F137A" w:rsidR="00F62C38">
        <w:t>Phase</w:t>
      </w:r>
      <w:r w:rsidR="00B6797B">
        <w:t> </w:t>
      </w:r>
      <w:r w:rsidRPr="006F137A" w:rsidR="00F62C38">
        <w:t xml:space="preserve">2 Activities in the </w:t>
      </w:r>
      <w:r w:rsidRPr="006F137A" w:rsidR="00512DF3">
        <w:t>Angeles Link</w:t>
      </w:r>
      <w:r w:rsidRPr="006F137A" w:rsidR="00682D92">
        <w:t xml:space="preserve"> </w:t>
      </w:r>
      <w:r w:rsidRPr="006F137A" w:rsidR="00512DF3">
        <w:t>Project</w:t>
      </w:r>
      <w:r w:rsidRPr="006F137A" w:rsidR="002C12B2">
        <w:t>.</w:t>
      </w:r>
    </w:p>
    <w:p w:rsidRPr="006F137A" w:rsidR="00D22DCF" w:rsidP="00D22DCF" w:rsidRDefault="00D22DCF" w14:paraId="1A006C70" w14:textId="2A8C2610">
      <w:r w:rsidRPr="006F137A">
        <w:t xml:space="preserve">Air Products/Indicated Shippers and CEJA/Sierra Club note that the proposed decision is consistent with the Commission’s stance on fair market competition and suggests that the issue be addressed directly. </w:t>
      </w:r>
      <w:r w:rsidRPr="006F137A" w:rsidR="001E1CF5">
        <w:t xml:space="preserve">EDF suggests additional language regarding affiliate transaction rules though making this determination may be premature for the proposed decision. </w:t>
      </w:r>
      <w:r w:rsidRPr="006F137A">
        <w:t xml:space="preserve">We understand that </w:t>
      </w:r>
      <w:r w:rsidRPr="006F137A">
        <w:lastRenderedPageBreak/>
        <w:t>this consideration is relevant to the Project and explicit in D.22</w:t>
      </w:r>
      <w:r w:rsidR="00B6797B">
        <w:noBreakHyphen/>
      </w:r>
      <w:r w:rsidRPr="006F137A">
        <w:t>12</w:t>
      </w:r>
      <w:r w:rsidR="00B6797B">
        <w:noBreakHyphen/>
      </w:r>
      <w:r w:rsidRPr="006F137A">
        <w:t>055. We intentionally limited the proposed decision to Phase</w:t>
      </w:r>
      <w:r w:rsidR="00B6797B">
        <w:t> </w:t>
      </w:r>
      <w:r w:rsidRPr="006F137A">
        <w:t>2A issues.</w:t>
      </w:r>
    </w:p>
    <w:p w:rsidRPr="006F137A" w:rsidR="00CC3107" w:rsidP="00CE6CB8" w:rsidRDefault="00CC3107" w14:paraId="495D1641" w14:textId="1BB86583">
      <w:r w:rsidRPr="006F137A">
        <w:t>UWUA Local</w:t>
      </w:r>
      <w:r w:rsidR="00B6797B">
        <w:t> </w:t>
      </w:r>
      <w:r w:rsidRPr="006F137A">
        <w:t>483 argue</w:t>
      </w:r>
      <w:r w:rsidRPr="006F137A" w:rsidR="003F27C4">
        <w:t>s</w:t>
      </w:r>
      <w:r w:rsidRPr="006F137A">
        <w:t xml:space="preserve"> that </w:t>
      </w:r>
      <w:r w:rsidRPr="006F137A" w:rsidR="009E5C96">
        <w:t>Pub</w:t>
      </w:r>
      <w:r w:rsidRPr="006F137A" w:rsidR="00B52188">
        <w:t>.</w:t>
      </w:r>
      <w:r w:rsidR="00B6797B">
        <w:t> </w:t>
      </w:r>
      <w:r w:rsidRPr="006F137A" w:rsidR="009E5C96">
        <w:t>Util. Code</w:t>
      </w:r>
      <w:r w:rsidRPr="006F137A" w:rsidR="00B52188">
        <w:t xml:space="preserve"> </w:t>
      </w:r>
      <w:r w:rsidR="00B6797B">
        <w:t>Section </w:t>
      </w:r>
      <w:r w:rsidRPr="006F137A" w:rsidR="00B52188">
        <w:t>740.8</w:t>
      </w:r>
      <w:r w:rsidRPr="006F137A" w:rsidR="00F831C9">
        <w:t xml:space="preserve"> defines interest of ratepayers </w:t>
      </w:r>
      <w:r w:rsidRPr="006F137A" w:rsidR="00551CBF">
        <w:t xml:space="preserve">to include maintenance and creation of </w:t>
      </w:r>
      <w:r w:rsidRPr="006F137A" w:rsidR="005F0DD9">
        <w:t>high-quality</w:t>
      </w:r>
      <w:r w:rsidRPr="006F137A" w:rsidR="00551CBF">
        <w:t xml:space="preserve"> jobs. </w:t>
      </w:r>
      <w:r w:rsidRPr="006F137A" w:rsidR="0009308F">
        <w:t>We</w:t>
      </w:r>
      <w:r w:rsidRPr="006F137A" w:rsidR="00DC651D">
        <w:t xml:space="preserve"> </w:t>
      </w:r>
      <w:r w:rsidRPr="006F137A" w:rsidR="0009308F">
        <w:t xml:space="preserve">clarify that </w:t>
      </w:r>
      <w:r w:rsidRPr="006F137A" w:rsidR="00DC651D">
        <w:t>Pub.</w:t>
      </w:r>
      <w:r w:rsidR="00B6797B">
        <w:t> </w:t>
      </w:r>
      <w:r w:rsidRPr="006F137A" w:rsidR="00DC651D">
        <w:t xml:space="preserve">Util. Code </w:t>
      </w:r>
      <w:r w:rsidR="00B6797B">
        <w:t>Section </w:t>
      </w:r>
      <w:r w:rsidRPr="006F137A" w:rsidR="00DC651D">
        <w:t xml:space="preserve">740 </w:t>
      </w:r>
      <w:r w:rsidRPr="006F137A" w:rsidR="00531323">
        <w:t>pertains to</w:t>
      </w:r>
      <w:r w:rsidRPr="006F137A" w:rsidR="0009308F">
        <w:t xml:space="preserve"> research and developmen</w:t>
      </w:r>
      <w:r w:rsidRPr="006F137A" w:rsidR="00CE2DE2">
        <w:t xml:space="preserve">t, which </w:t>
      </w:r>
      <w:r w:rsidRPr="006F137A" w:rsidR="00531323">
        <w:t>does not apply to thi</w:t>
      </w:r>
      <w:r w:rsidRPr="006F137A" w:rsidR="00516510">
        <w:t>s</w:t>
      </w:r>
      <w:r w:rsidRPr="006F137A" w:rsidR="00CE2DE2">
        <w:t xml:space="preserve"> </w:t>
      </w:r>
      <w:r w:rsidRPr="006F137A" w:rsidR="00516510">
        <w:t>P</w:t>
      </w:r>
      <w:r w:rsidRPr="006F137A" w:rsidR="00CE2DE2">
        <w:t>roject.</w:t>
      </w:r>
    </w:p>
    <w:p w:rsidRPr="006F137A" w:rsidR="00A8776C" w:rsidP="00A8776C" w:rsidRDefault="00221090" w14:paraId="2B78002D" w14:textId="2823E57E">
      <w:r w:rsidRPr="006F137A">
        <w:t>SoCalGas accepts the affordability</w:t>
      </w:r>
      <w:r w:rsidR="00D91A18">
        <w:noBreakHyphen/>
      </w:r>
      <w:r w:rsidRPr="006F137A">
        <w:t>based outcome of the proposed decision.</w:t>
      </w:r>
      <w:r w:rsidRPr="006F137A" w:rsidR="00EE2321">
        <w:t xml:space="preserve"> </w:t>
      </w:r>
      <w:r w:rsidRPr="006F137A" w:rsidR="00FE1FD4">
        <w:t>It also</w:t>
      </w:r>
      <w:r w:rsidRPr="006F137A" w:rsidR="00804615">
        <w:t xml:space="preserve"> argues that the </w:t>
      </w:r>
      <w:r w:rsidRPr="006F137A" w:rsidR="00FE1FD4">
        <w:t>denial of</w:t>
      </w:r>
      <w:r w:rsidRPr="006F137A" w:rsidR="00E162A9">
        <w:t xml:space="preserve"> the application </w:t>
      </w:r>
      <w:r w:rsidRPr="006F137A" w:rsidR="00A1140C">
        <w:t>is</w:t>
      </w:r>
      <w:r w:rsidRPr="006F137A" w:rsidR="00E162A9">
        <w:t xml:space="preserve"> a policy choice</w:t>
      </w:r>
      <w:r w:rsidRPr="006F137A" w:rsidR="001E0355">
        <w:t xml:space="preserve"> limited to </w:t>
      </w:r>
      <w:r w:rsidRPr="006F137A" w:rsidR="00CD0450">
        <w:t xml:space="preserve">the </w:t>
      </w:r>
      <w:r w:rsidRPr="006F137A" w:rsidR="001E0355">
        <w:t>issue of</w:t>
      </w:r>
      <w:r w:rsidRPr="006F137A" w:rsidR="005F17CB">
        <w:t xml:space="preserve"> </w:t>
      </w:r>
      <w:r w:rsidRPr="006F137A" w:rsidR="00A1140C">
        <w:t>affordability</w:t>
      </w:r>
      <w:r w:rsidRPr="006F137A" w:rsidR="001E0355">
        <w:t>.</w:t>
      </w:r>
      <w:r w:rsidRPr="006F137A" w:rsidR="001D6DED">
        <w:t xml:space="preserve"> </w:t>
      </w:r>
      <w:r w:rsidRPr="006F137A" w:rsidR="00985B65">
        <w:t>We decline to limit the decision in this manner.</w:t>
      </w:r>
    </w:p>
    <w:p w:rsidRPr="006F137A" w:rsidR="00C34E07" w:rsidP="0017502F" w:rsidRDefault="00053FC3" w14:paraId="333D0F00" w14:textId="108CA6BA">
      <w:r w:rsidRPr="006F137A">
        <w:t>SoCalGas argues that there is a failure to distinguish why Phase</w:t>
      </w:r>
      <w:r w:rsidR="00D91A18">
        <w:t> </w:t>
      </w:r>
      <w:r w:rsidRPr="006F137A">
        <w:t>2 could not depart from cost causation guidance issued in D.22</w:t>
      </w:r>
      <w:r w:rsidR="00D91A18">
        <w:noBreakHyphen/>
      </w:r>
      <w:r w:rsidRPr="006F137A">
        <w:t>12</w:t>
      </w:r>
      <w:r w:rsidR="00D91A18">
        <w:noBreakHyphen/>
      </w:r>
      <w:r w:rsidRPr="006F137A">
        <w:t>055.</w:t>
      </w:r>
      <w:r w:rsidRPr="006F137A" w:rsidR="00C34E07">
        <w:t xml:space="preserve"> </w:t>
      </w:r>
      <w:r w:rsidRPr="006F137A" w:rsidR="000911BF">
        <w:t xml:space="preserve">We disagree as </w:t>
      </w:r>
      <w:r w:rsidRPr="006F137A" w:rsidR="001158E3">
        <w:t>addressed above.</w:t>
      </w:r>
    </w:p>
    <w:p w:rsidRPr="006F137A" w:rsidR="00C55D03" w:rsidRDefault="00C5119E" w14:paraId="1EA2B5BD" w14:textId="1CE24D47">
      <w:r w:rsidRPr="006F137A">
        <w:t>SoCalGas</w:t>
      </w:r>
      <w:r w:rsidRPr="006F137A" w:rsidR="00BA1C9E">
        <w:t xml:space="preserve"> argues that </w:t>
      </w:r>
      <w:r w:rsidRPr="006F137A" w:rsidR="00C801B2">
        <w:t xml:space="preserve">we deny </w:t>
      </w:r>
      <w:r w:rsidRPr="006F137A" w:rsidR="00055FC0">
        <w:t xml:space="preserve">authorization of </w:t>
      </w:r>
      <w:r w:rsidRPr="006F137A" w:rsidR="00C801B2">
        <w:t>Phase</w:t>
      </w:r>
      <w:r w:rsidR="00D91A18">
        <w:t> </w:t>
      </w:r>
      <w:r w:rsidRPr="006F137A" w:rsidR="00C801B2">
        <w:t>2</w:t>
      </w:r>
      <w:r w:rsidRPr="006F137A" w:rsidR="00055FC0">
        <w:t xml:space="preserve"> </w:t>
      </w:r>
      <w:r w:rsidRPr="006F137A" w:rsidR="00C801B2">
        <w:t>A</w:t>
      </w:r>
      <w:r w:rsidRPr="006F137A" w:rsidR="00055FC0">
        <w:t>ctivities</w:t>
      </w:r>
      <w:r w:rsidRPr="006F137A" w:rsidR="00C801B2">
        <w:t xml:space="preserve"> based on the </w:t>
      </w:r>
      <w:r w:rsidRPr="006F137A" w:rsidR="00D503E5">
        <w:t>P</w:t>
      </w:r>
      <w:r w:rsidRPr="006F137A" w:rsidR="00C801B2">
        <w:t>roject not being used and useful.</w:t>
      </w:r>
      <w:r w:rsidRPr="006F137A" w:rsidR="007D1DFF">
        <w:t xml:space="preserve"> </w:t>
      </w:r>
      <w:r w:rsidRPr="006F137A" w:rsidR="00ED7B46">
        <w:t xml:space="preserve">SoCalGas </w:t>
      </w:r>
      <w:r w:rsidRPr="006F137A" w:rsidR="00FA535A">
        <w:t>ar</w:t>
      </w:r>
      <w:r w:rsidRPr="006F137A" w:rsidR="007F47C2">
        <w:t>gues</w:t>
      </w:r>
      <w:r w:rsidRPr="006F137A" w:rsidR="00ED7B46">
        <w:t xml:space="preserve"> that the used and useful standard does not preclude cost recovery for reasonable planning, engineering, and development undertaken to advance projects that serve the public interest. </w:t>
      </w:r>
      <w:r w:rsidRPr="006F137A" w:rsidR="00C55D03">
        <w:t xml:space="preserve">We recognize that the Commission in certain circumstances could make an exception to the general rule that a project must be used and useful, as well as dedicated to public use before allowing recovery of costs in rates and that in doing so we must consider and find that such cost recovery is in the public interest of ratepayers. Based on the record </w:t>
      </w:r>
      <w:r w:rsidRPr="006F137A" w:rsidR="007E3B1E">
        <w:t>of</w:t>
      </w:r>
      <w:r w:rsidRPr="006F137A" w:rsidR="00C55D03">
        <w:t xml:space="preserve"> this Phase</w:t>
      </w:r>
      <w:r w:rsidR="00D91A18">
        <w:t> </w:t>
      </w:r>
      <w:r w:rsidRPr="006F137A" w:rsidR="00C55D03">
        <w:t>2 Application</w:t>
      </w:r>
      <w:r w:rsidRPr="006F137A" w:rsidR="007E3B1E">
        <w:t>,</w:t>
      </w:r>
      <w:r w:rsidRPr="006F137A" w:rsidR="00C55D03">
        <w:t xml:space="preserve"> we cannot make a finding that such cost recovery is in the public interest.</w:t>
      </w:r>
    </w:p>
    <w:p w:rsidRPr="006F137A" w:rsidR="007E3B1E" w:rsidP="006D2ED6" w:rsidRDefault="007E3B1E" w14:paraId="708A7487" w14:textId="7540A8AF">
      <w:r w:rsidRPr="006F137A">
        <w:t xml:space="preserve">SoCalGas raised concerns regarding language regarding </w:t>
      </w:r>
      <w:r w:rsidRPr="006F137A" w:rsidR="00C53F58">
        <w:t>the basis for denial</w:t>
      </w:r>
      <w:r w:rsidRPr="006F137A" w:rsidR="00F01F9D">
        <w:t xml:space="preserve"> on jurisdiction</w:t>
      </w:r>
      <w:r w:rsidRPr="006F137A" w:rsidR="00C53F58">
        <w:t xml:space="preserve"> and </w:t>
      </w:r>
      <w:r w:rsidRPr="006F137A">
        <w:t>CPCN, which we have addressed.</w:t>
      </w:r>
    </w:p>
    <w:p w:rsidRPr="006F137A" w:rsidR="006D2ED6" w:rsidP="006D2ED6" w:rsidRDefault="006D2ED6" w14:paraId="3A287406" w14:textId="7113A776">
      <w:r w:rsidRPr="006F137A">
        <w:t xml:space="preserve">SoCalGas argues that the proposed decision unfairly makes a determination on cost allocation without due process to consider whether it is </w:t>
      </w:r>
      <w:r w:rsidRPr="006F137A">
        <w:lastRenderedPageBreak/>
        <w:t>reasonable for ratepayers or a subset of ratepayers to be responsible for Phase</w:t>
      </w:r>
      <w:r w:rsidR="00D91A18">
        <w:t> </w:t>
      </w:r>
      <w:r w:rsidRPr="006F137A">
        <w:t xml:space="preserve">2 Activities, as a matter of law and policy. We disagree. The utility was informed </w:t>
      </w:r>
      <w:r w:rsidRPr="006F137A" w:rsidR="00962B90">
        <w:t xml:space="preserve">that the Commission would be considering </w:t>
      </w:r>
      <w:r w:rsidRPr="006F137A" w:rsidR="007E6559">
        <w:t>cost allocation to ratepayers in</w:t>
      </w:r>
      <w:r w:rsidRPr="006F137A">
        <w:t xml:space="preserve"> the scoping memo for this proceeding and D.22</w:t>
      </w:r>
      <w:r w:rsidR="00D91A18">
        <w:noBreakHyphen/>
      </w:r>
      <w:r w:rsidRPr="006F137A">
        <w:t>12</w:t>
      </w:r>
      <w:r w:rsidR="00D91A18">
        <w:noBreakHyphen/>
      </w:r>
      <w:r w:rsidRPr="006F137A">
        <w:t>055.</w:t>
      </w:r>
      <w:r w:rsidR="00E80FAB">
        <w:t xml:space="preserve"> </w:t>
      </w:r>
      <w:r w:rsidRPr="006F137A">
        <w:t>SoCalGas had opportunities in its application and briefs to provide the necessary information</w:t>
      </w:r>
      <w:r w:rsidRPr="006F137A" w:rsidR="00764305">
        <w:t xml:space="preserve"> to demonstrate </w:t>
      </w:r>
      <w:r w:rsidRPr="006F137A" w:rsidR="00E51FE1">
        <w:t xml:space="preserve">that it could meet </w:t>
      </w:r>
      <w:r w:rsidRPr="006F137A" w:rsidR="00764305">
        <w:t>this requirement</w:t>
      </w:r>
      <w:r w:rsidRPr="006F137A">
        <w:t>.</w:t>
      </w:r>
      <w:r w:rsidRPr="006F137A" w:rsidR="009207C7">
        <w:t xml:space="preserve"> In some instances, this decision cites uncontested information put into the record by SoCalGas; this is neither unfair nor is it a violation of SoCalGas’s due process interests.</w:t>
      </w:r>
    </w:p>
    <w:p w:rsidRPr="006F137A" w:rsidR="008F59BF" w:rsidP="00455929" w:rsidRDefault="008F59BF" w14:paraId="088D09F6" w14:textId="50D3C459">
      <w:r w:rsidRPr="006F137A">
        <w:t xml:space="preserve">UCAN suggested </w:t>
      </w:r>
      <w:r w:rsidRPr="006F137A" w:rsidR="00E545FF">
        <w:t xml:space="preserve">consideration of compensation for work on </w:t>
      </w:r>
      <w:r w:rsidRPr="006F137A" w:rsidR="00CB6805">
        <w:t xml:space="preserve">the Planning Advisory Group for </w:t>
      </w:r>
      <w:r w:rsidRPr="006F137A" w:rsidR="00E545FF">
        <w:t>Phase</w:t>
      </w:r>
      <w:r w:rsidR="00735277">
        <w:t> </w:t>
      </w:r>
      <w:r w:rsidRPr="006F137A" w:rsidR="00E545FF">
        <w:t xml:space="preserve">1 Activities. We </w:t>
      </w:r>
      <w:r w:rsidRPr="006F137A" w:rsidR="00D6498F">
        <w:t xml:space="preserve">see this as appropriate to address in the </w:t>
      </w:r>
      <w:r w:rsidRPr="006F137A" w:rsidR="00D66B47">
        <w:t xml:space="preserve">proceeding on </w:t>
      </w:r>
      <w:r w:rsidRPr="006F137A" w:rsidR="00D6498F">
        <w:t>Phase</w:t>
      </w:r>
      <w:r w:rsidR="00735277">
        <w:t> </w:t>
      </w:r>
      <w:r w:rsidRPr="006F137A" w:rsidR="00D6498F">
        <w:t>1 Complianc</w:t>
      </w:r>
      <w:r w:rsidRPr="006F137A" w:rsidR="00D66B47">
        <w:t>e</w:t>
      </w:r>
      <w:r w:rsidRPr="006F137A" w:rsidR="00D6498F">
        <w:t>.</w:t>
      </w:r>
    </w:p>
    <w:p w:rsidRPr="006F137A" w:rsidR="005939A5" w:rsidP="005939A5" w:rsidRDefault="005939A5" w14:paraId="04469AD7" w14:textId="46DCEC3B">
      <w:pPr>
        <w:pStyle w:val="Heading1"/>
      </w:pPr>
      <w:bookmarkStart w:name="_Toc8123724" w:id="19"/>
      <w:bookmarkStart w:name="_Toc228299467" w:id="20"/>
      <w:r w:rsidRPr="006F137A">
        <w:t>Assignment of Proceeding</w:t>
      </w:r>
      <w:bookmarkEnd w:id="19"/>
      <w:bookmarkEnd w:id="20"/>
    </w:p>
    <w:p w:rsidRPr="006F137A" w:rsidR="005939A5" w:rsidP="006E6574" w:rsidRDefault="006D711D" w14:paraId="23AEEE24" w14:textId="4EA4EAB0">
      <w:pPr>
        <w:pStyle w:val="Standard"/>
      </w:pPr>
      <w:r w:rsidRPr="006F137A">
        <w:t>Commissioner John Reynolds</w:t>
      </w:r>
      <w:r w:rsidRPr="006F137A" w:rsidR="005939A5">
        <w:t xml:space="preserve"> is the assigned Commissioner and </w:t>
      </w:r>
      <w:r w:rsidRPr="006F137A">
        <w:t>Joanna Perez</w:t>
      </w:r>
      <w:r w:rsidRPr="006F137A" w:rsidR="00C93942">
        <w:noBreakHyphen/>
      </w:r>
      <w:r w:rsidRPr="006F137A">
        <w:t>Green</w:t>
      </w:r>
      <w:r w:rsidRPr="006F137A" w:rsidR="005939A5">
        <w:t xml:space="preserve"> is the assigned </w:t>
      </w:r>
      <w:r w:rsidRPr="006F137A">
        <w:t>ALJ</w:t>
      </w:r>
      <w:r w:rsidRPr="006F137A" w:rsidR="005939A5">
        <w:t xml:space="preserve"> in this proceeding.</w:t>
      </w:r>
    </w:p>
    <w:p w:rsidRPr="006F137A" w:rsidR="005939A5" w:rsidP="006C03C0" w:rsidRDefault="005939A5" w14:paraId="08F2B239" w14:textId="078417C9">
      <w:pPr>
        <w:pStyle w:val="Dummy"/>
      </w:pPr>
      <w:bookmarkStart w:name="_Toc8123725" w:id="21"/>
      <w:bookmarkStart w:name="_Toc228299468" w:id="22"/>
      <w:r w:rsidRPr="006F137A">
        <w:t>Findings of Fact</w:t>
      </w:r>
      <w:bookmarkEnd w:id="21"/>
      <w:bookmarkEnd w:id="22"/>
    </w:p>
    <w:p w:rsidRPr="006F137A" w:rsidR="00E56306" w:rsidP="00E56306" w:rsidRDefault="00E56306" w14:paraId="0F2B80D4" w14:textId="77777777">
      <w:pPr>
        <w:pStyle w:val="CoL"/>
      </w:pPr>
      <w:r w:rsidRPr="006F137A">
        <w:t>SoCalGas did not accept IIJA funding for the development of the Project.</w:t>
      </w:r>
    </w:p>
    <w:p w:rsidRPr="006F137A" w:rsidR="00E56306" w:rsidP="00E56306" w:rsidRDefault="00302097" w14:paraId="12FA0DC6" w14:textId="3ED85020">
      <w:pPr>
        <w:pStyle w:val="CoL"/>
      </w:pPr>
      <w:r w:rsidRPr="006F137A">
        <w:t>SoCalGas</w:t>
      </w:r>
      <w:r w:rsidR="0019225D">
        <w:t>’</w:t>
      </w:r>
      <w:r w:rsidRPr="006F137A">
        <w:t xml:space="preserve"> </w:t>
      </w:r>
      <w:r w:rsidRPr="006F137A" w:rsidR="00E56306">
        <w:t xml:space="preserve">projected cost of </w:t>
      </w:r>
      <w:r w:rsidRPr="006F137A" w:rsidR="00C93942">
        <w:t>Phase 2</w:t>
      </w:r>
      <w:r w:rsidRPr="006F137A" w:rsidR="00E56306">
        <w:t xml:space="preserve"> Activities has increased from $92</w:t>
      </w:r>
      <w:r w:rsidRPr="006F137A" w:rsidR="00B84025">
        <w:t> </w:t>
      </w:r>
      <w:r w:rsidRPr="006F137A" w:rsidR="00E56306">
        <w:t>million</w:t>
      </w:r>
      <w:r w:rsidRPr="006F137A">
        <w:t xml:space="preserve"> in 2022</w:t>
      </w:r>
      <w:r w:rsidRPr="006F137A" w:rsidR="00E56306">
        <w:t xml:space="preserve"> to $266</w:t>
      </w:r>
      <w:r w:rsidRPr="006F137A" w:rsidR="00B84025">
        <w:t> </w:t>
      </w:r>
      <w:r w:rsidRPr="006F137A" w:rsidR="00E56306">
        <w:t xml:space="preserve">million </w:t>
      </w:r>
      <w:r w:rsidRPr="006F137A" w:rsidR="00F97F25">
        <w:t>in 2024</w:t>
      </w:r>
      <w:r w:rsidRPr="006F137A" w:rsidR="00E56306">
        <w:t>.</w:t>
      </w:r>
    </w:p>
    <w:p w:rsidRPr="006F137A" w:rsidR="0047783B" w:rsidP="00E56306" w:rsidRDefault="0047783B" w14:paraId="079AE321" w14:textId="03D7ADF9">
      <w:pPr>
        <w:pStyle w:val="CoL"/>
      </w:pPr>
      <w:r w:rsidRPr="006F137A">
        <w:t>The Project would not serve hydrogen to the vast majority of SoCalGas natural gas ratepayers and would not connect to SoCalGas’s existing natural gas distribution system.</w:t>
      </w:r>
    </w:p>
    <w:p w:rsidRPr="006F137A" w:rsidR="00A87A17" w:rsidP="00455929" w:rsidRDefault="00E56306" w14:paraId="56EF23AA" w14:textId="0B86A283">
      <w:pPr>
        <w:pStyle w:val="CoL"/>
        <w:ind w:firstLine="547"/>
      </w:pPr>
      <w:r w:rsidRPr="006F137A">
        <w:t xml:space="preserve">SoCalGas did not </w:t>
      </w:r>
      <w:r w:rsidRPr="006F137A" w:rsidR="00FD0C67">
        <w:t xml:space="preserve">identify </w:t>
      </w:r>
      <w:r w:rsidRPr="006F137A" w:rsidR="00A7374E">
        <w:t xml:space="preserve">a sufficient core base of </w:t>
      </w:r>
      <w:r w:rsidRPr="006F137A" w:rsidR="004F5E9A">
        <w:t>its natural gas</w:t>
      </w:r>
      <w:r w:rsidRPr="006F137A" w:rsidR="00714A73">
        <w:t xml:space="preserve"> </w:t>
      </w:r>
      <w:r w:rsidRPr="006F137A">
        <w:t xml:space="preserve">ratepayers </w:t>
      </w:r>
      <w:r w:rsidRPr="006F137A" w:rsidR="006C1D01">
        <w:t xml:space="preserve">that </w:t>
      </w:r>
      <w:r w:rsidRPr="006F137A">
        <w:t>might receive direct benefits as end</w:t>
      </w:r>
      <w:r w:rsidRPr="006F137A" w:rsidR="002E6348">
        <w:t xml:space="preserve"> </w:t>
      </w:r>
      <w:r w:rsidRPr="006F137A">
        <w:t>users for the Project as required in D.22</w:t>
      </w:r>
      <w:r w:rsidRPr="006F137A" w:rsidR="00C93942">
        <w:noBreakHyphen/>
      </w:r>
      <w:r w:rsidRPr="006F137A">
        <w:t>12</w:t>
      </w:r>
      <w:r w:rsidRPr="006F137A" w:rsidR="00C93942">
        <w:noBreakHyphen/>
      </w:r>
      <w:r w:rsidRPr="006F137A">
        <w:t>055.</w:t>
      </w:r>
    </w:p>
    <w:p w:rsidRPr="006F137A" w:rsidR="00E56306" w:rsidP="00455929" w:rsidRDefault="00E56306" w14:paraId="7AAD26C0" w14:textId="77777777">
      <w:pPr>
        <w:pStyle w:val="CoL"/>
        <w:ind w:firstLine="547"/>
      </w:pPr>
      <w:r w:rsidRPr="006F137A">
        <w:t>The Project is not constructed, used and useful, or dedicated to the public.</w:t>
      </w:r>
    </w:p>
    <w:p w:rsidRPr="006F137A" w:rsidR="00E56306" w:rsidP="00455929" w:rsidRDefault="00E56306" w14:paraId="5FB47FA5" w14:textId="07BF1ADC">
      <w:pPr>
        <w:pStyle w:val="CoL"/>
        <w:ind w:firstLine="547"/>
      </w:pPr>
      <w:r w:rsidRPr="006F137A">
        <w:lastRenderedPageBreak/>
        <w:t>Because the renewable hydrogen Project is in the planning stage, there is uncertainty about the Project’s costs, construction, how the Project will develop, and delivery of benefits to SoCalGas natural gas ratepayers.</w:t>
      </w:r>
    </w:p>
    <w:p w:rsidRPr="006F137A" w:rsidR="002D71AA" w:rsidP="00455929" w:rsidRDefault="0040607B" w14:paraId="68FEFBA3" w14:textId="6CB5F201">
      <w:pPr>
        <w:pStyle w:val="CoL"/>
        <w:ind w:firstLine="547"/>
      </w:pPr>
      <w:r w:rsidRPr="006F137A">
        <w:t>D.22</w:t>
      </w:r>
      <w:r w:rsidR="009D55C6">
        <w:noBreakHyphen/>
      </w:r>
      <w:r w:rsidRPr="006F137A">
        <w:t>12</w:t>
      </w:r>
      <w:r w:rsidR="009D55C6">
        <w:noBreakHyphen/>
      </w:r>
      <w:r w:rsidRPr="006F137A">
        <w:t>055</w:t>
      </w:r>
      <w:r w:rsidRPr="006F137A" w:rsidR="002D71AA">
        <w:t xml:space="preserve"> </w:t>
      </w:r>
      <w:r w:rsidRPr="006F137A" w:rsidR="00AE5FD7">
        <w:t>identifies cost causation principles</w:t>
      </w:r>
      <w:r w:rsidRPr="006F137A" w:rsidR="00197AD7">
        <w:t xml:space="preserve"> in relation to the Project</w:t>
      </w:r>
      <w:r w:rsidRPr="006F137A" w:rsidR="004536C5">
        <w:t xml:space="preserve"> and</w:t>
      </w:r>
      <w:r w:rsidRPr="006F137A" w:rsidR="007601B2">
        <w:t xml:space="preserve"> </w:t>
      </w:r>
      <w:r w:rsidRPr="006F137A" w:rsidR="002D27B8">
        <w:t xml:space="preserve">requests for </w:t>
      </w:r>
      <w:r w:rsidRPr="006F137A" w:rsidR="007601B2">
        <w:t>cost recovery</w:t>
      </w:r>
      <w:r w:rsidRPr="006F137A" w:rsidR="002D71AA">
        <w:t>.</w:t>
      </w:r>
    </w:p>
    <w:p w:rsidRPr="006F137A" w:rsidR="00604C4C" w:rsidP="00E56306" w:rsidRDefault="003702CD" w14:paraId="27E5E8C3" w14:textId="2E52E27A">
      <w:pPr>
        <w:pStyle w:val="CoL"/>
      </w:pPr>
      <w:r w:rsidRPr="006F137A">
        <w:t xml:space="preserve">It is </w:t>
      </w:r>
      <w:r w:rsidRPr="006F137A" w:rsidR="00EC5F8A">
        <w:t xml:space="preserve">not </w:t>
      </w:r>
      <w:r w:rsidRPr="006F137A">
        <w:t>reasonable to c</w:t>
      </w:r>
      <w:r w:rsidRPr="006F137A" w:rsidR="00EA5AB9">
        <w:t>o</w:t>
      </w:r>
      <w:r w:rsidRPr="006F137A" w:rsidR="00BC0EE9">
        <w:t>nsider co</w:t>
      </w:r>
      <w:r w:rsidRPr="006F137A" w:rsidR="00EA5AB9">
        <w:t xml:space="preserve">st </w:t>
      </w:r>
      <w:r w:rsidRPr="006F137A" w:rsidR="00BC0EE9">
        <w:t xml:space="preserve">recovery from ratepayers </w:t>
      </w:r>
      <w:r w:rsidRPr="006F137A" w:rsidR="00792A97">
        <w:t xml:space="preserve">or a subset of ratepayers </w:t>
      </w:r>
      <w:r w:rsidRPr="006F137A" w:rsidR="00BC0EE9">
        <w:t xml:space="preserve">for </w:t>
      </w:r>
      <w:r w:rsidRPr="006F137A" w:rsidR="00807E48">
        <w:t xml:space="preserve">approved </w:t>
      </w:r>
      <w:r w:rsidRPr="006F137A" w:rsidR="00BC0EE9">
        <w:t>Phase</w:t>
      </w:r>
      <w:r w:rsidR="009D55C6">
        <w:t> </w:t>
      </w:r>
      <w:r w:rsidRPr="006F137A" w:rsidR="00BC0EE9">
        <w:t xml:space="preserve">2 Activities </w:t>
      </w:r>
      <w:r w:rsidRPr="006F137A" w:rsidR="00EC5F8A">
        <w:t>until</w:t>
      </w:r>
      <w:r w:rsidRPr="006F137A">
        <w:t xml:space="preserve"> the Project is</w:t>
      </w:r>
      <w:r w:rsidRPr="006F137A" w:rsidR="00DC20E1">
        <w:t xml:space="preserve"> </w:t>
      </w:r>
      <w:r w:rsidRPr="006F137A" w:rsidR="00F81666">
        <w:t>used and useful</w:t>
      </w:r>
      <w:r w:rsidRPr="006F137A" w:rsidR="009C1C17">
        <w:t>.</w:t>
      </w:r>
    </w:p>
    <w:p w:rsidRPr="006F137A" w:rsidR="00E56306" w:rsidP="003B61A7" w:rsidRDefault="00E56306" w14:paraId="2A91CC5D" w14:textId="77777777">
      <w:pPr>
        <w:pStyle w:val="Dummy"/>
        <w:rPr>
          <w:b w:val="0"/>
        </w:rPr>
      </w:pPr>
      <w:bookmarkStart w:name="_Toc8123726" w:id="23"/>
      <w:bookmarkStart w:name="_Toc133843857" w:id="24"/>
      <w:bookmarkStart w:name="_Toc228299469" w:id="25"/>
      <w:r w:rsidRPr="006F137A">
        <w:t>Conclusions of Law</w:t>
      </w:r>
      <w:bookmarkEnd w:id="23"/>
      <w:bookmarkEnd w:id="24"/>
      <w:bookmarkEnd w:id="25"/>
    </w:p>
    <w:p w:rsidRPr="006F137A" w:rsidR="00E56306" w:rsidP="00B43D88" w:rsidRDefault="00E56306" w14:paraId="3659C315" w14:textId="54B2F92E">
      <w:pPr>
        <w:pStyle w:val="CoL"/>
        <w:numPr>
          <w:ilvl w:val="0"/>
          <w:numId w:val="25"/>
        </w:numPr>
      </w:pPr>
      <w:r w:rsidRPr="006F137A">
        <w:t xml:space="preserve">It is reasonable to deny SoCalGas’ request to implement a revenue requirement for the cost of </w:t>
      </w:r>
      <w:r w:rsidRPr="006F137A" w:rsidR="00C93942">
        <w:t>Phase 2</w:t>
      </w:r>
      <w:r w:rsidRPr="006F137A">
        <w:t xml:space="preserve"> Activities.</w:t>
      </w:r>
    </w:p>
    <w:p w:rsidRPr="006F137A" w:rsidR="00EC7ADA" w:rsidP="00B43D88" w:rsidRDefault="00EF74E8" w14:paraId="63BEA9CF" w14:textId="4715289F">
      <w:pPr>
        <w:pStyle w:val="CoL"/>
        <w:numPr>
          <w:ilvl w:val="0"/>
          <w:numId w:val="25"/>
        </w:numPr>
      </w:pPr>
      <w:r w:rsidRPr="006F137A">
        <w:t>C</w:t>
      </w:r>
      <w:r w:rsidRPr="006F137A" w:rsidR="00EC7ADA">
        <w:t xml:space="preserve">ost causation principles </w:t>
      </w:r>
      <w:r w:rsidRPr="006F137A" w:rsidR="007601B2">
        <w:t>in D.22</w:t>
      </w:r>
      <w:r w:rsidR="00B43D88">
        <w:noBreakHyphen/>
      </w:r>
      <w:r w:rsidRPr="006F137A" w:rsidR="007601B2">
        <w:t>12</w:t>
      </w:r>
      <w:r w:rsidR="00B43D88">
        <w:noBreakHyphen/>
      </w:r>
      <w:r w:rsidRPr="006F137A" w:rsidR="007601B2">
        <w:t xml:space="preserve">055 </w:t>
      </w:r>
      <w:r w:rsidRPr="006F137A">
        <w:t>should</w:t>
      </w:r>
      <w:r w:rsidRPr="006F137A" w:rsidR="00EC7ADA">
        <w:t xml:space="preserve"> apply </w:t>
      </w:r>
      <w:r w:rsidRPr="006F137A" w:rsidR="00317CC3">
        <w:t xml:space="preserve">in considering </w:t>
      </w:r>
      <w:r w:rsidRPr="006F137A" w:rsidR="006F4BB0">
        <w:t>approval of</w:t>
      </w:r>
      <w:r w:rsidRPr="006F137A" w:rsidR="007601B2">
        <w:t xml:space="preserve"> </w:t>
      </w:r>
      <w:r w:rsidRPr="006F137A" w:rsidR="00EC7ADA">
        <w:t>Phase</w:t>
      </w:r>
      <w:r w:rsidR="00B43D88">
        <w:t> </w:t>
      </w:r>
      <w:r w:rsidRPr="006F137A" w:rsidR="00EC7ADA">
        <w:t>2 Activities</w:t>
      </w:r>
      <w:r w:rsidRPr="006F137A" w:rsidR="007601B2">
        <w:t xml:space="preserve"> and </w:t>
      </w:r>
      <w:r w:rsidRPr="006F137A" w:rsidR="00317CC3">
        <w:t>related request</w:t>
      </w:r>
      <w:r w:rsidRPr="006F137A" w:rsidR="007601B2">
        <w:t xml:space="preserve"> </w:t>
      </w:r>
      <w:r w:rsidRPr="006F137A" w:rsidR="00317CC3">
        <w:t xml:space="preserve">for </w:t>
      </w:r>
      <w:r w:rsidRPr="006F137A" w:rsidR="007601B2">
        <w:t>cost recovery.</w:t>
      </w:r>
    </w:p>
    <w:p w:rsidRPr="006F137A" w:rsidR="009323CF" w:rsidP="003B61A7" w:rsidRDefault="00E132B1" w14:paraId="50B28D42" w14:textId="11C43BF9">
      <w:pPr>
        <w:pStyle w:val="CoL"/>
        <w:numPr>
          <w:ilvl w:val="0"/>
          <w:numId w:val="25"/>
        </w:numPr>
      </w:pPr>
      <w:r w:rsidRPr="006F137A">
        <w:t>It is not reasonable to consider c</w:t>
      </w:r>
      <w:r w:rsidRPr="006F137A" w:rsidR="00711B01">
        <w:t>ost recovery from ratepayers for the cost of Phase</w:t>
      </w:r>
      <w:r w:rsidR="00B43D88">
        <w:t> </w:t>
      </w:r>
      <w:r w:rsidRPr="006F137A" w:rsidR="00711B01">
        <w:t xml:space="preserve">2 Activities until </w:t>
      </w:r>
      <w:r w:rsidRPr="006F137A" w:rsidR="0018455B">
        <w:t>the</w:t>
      </w:r>
      <w:r w:rsidRPr="006F137A" w:rsidR="00B822BA">
        <w:t xml:space="preserve"> Project </w:t>
      </w:r>
      <w:r w:rsidRPr="006F137A" w:rsidR="006C1C04">
        <w:t xml:space="preserve">is </w:t>
      </w:r>
      <w:r w:rsidRPr="006F137A" w:rsidR="00B822BA">
        <w:t>used and useful</w:t>
      </w:r>
      <w:r w:rsidRPr="006F137A" w:rsidR="00822FB7">
        <w:t>.</w:t>
      </w:r>
    </w:p>
    <w:p w:rsidRPr="006F137A" w:rsidR="00100C47" w:rsidP="00E56306" w:rsidRDefault="00E56306" w14:paraId="67ED9D82" w14:textId="42BCF13B">
      <w:pPr>
        <w:pStyle w:val="CoL"/>
      </w:pPr>
      <w:r w:rsidRPr="006F137A">
        <w:t>It is reasonable to close this proceeding</w:t>
      </w:r>
      <w:r w:rsidRPr="006F137A" w:rsidR="00521E19">
        <w:t>.</w:t>
      </w:r>
    </w:p>
    <w:p w:rsidRPr="006F137A" w:rsidR="00BB0243" w:rsidP="006C03C0" w:rsidRDefault="005939A5" w14:paraId="44F7837F" w14:textId="77777777">
      <w:pPr>
        <w:pStyle w:val="Mainex"/>
        <w:spacing w:before="180"/>
      </w:pPr>
      <w:bookmarkStart w:name="_Toc228299470" w:id="26"/>
      <w:r w:rsidRPr="006F137A">
        <w:t>O</w:t>
      </w:r>
      <w:r w:rsidRPr="006F137A" w:rsidR="00722850">
        <w:t>RDER</w:t>
      </w:r>
      <w:bookmarkEnd w:id="26"/>
    </w:p>
    <w:p w:rsidRPr="006F137A" w:rsidR="00BB0243" w:rsidP="006C03C0" w:rsidRDefault="00BB0243" w14:paraId="667C724E" w14:textId="77777777">
      <w:pPr>
        <w:pStyle w:val="Standard"/>
        <w:keepNext/>
      </w:pPr>
      <w:r w:rsidRPr="006F137A">
        <w:rPr>
          <w:b/>
          <w:bCs/>
        </w:rPr>
        <w:t>IT IS ORDERED</w:t>
      </w:r>
      <w:r w:rsidRPr="006F137A">
        <w:t xml:space="preserve"> that:</w:t>
      </w:r>
    </w:p>
    <w:p w:rsidRPr="006F137A" w:rsidR="00932865" w:rsidP="001E2A62" w:rsidRDefault="00911D58" w14:paraId="4F3A0C00" w14:textId="163C0B97">
      <w:pPr>
        <w:pStyle w:val="OP"/>
      </w:pPr>
      <w:r w:rsidRPr="006F137A">
        <w:t>Southern California Gas Company</w:t>
      </w:r>
      <w:r w:rsidRPr="006F137A" w:rsidR="00261375">
        <w:t>’</w:t>
      </w:r>
      <w:r w:rsidRPr="006F137A" w:rsidR="006A0329">
        <w:t>s</w:t>
      </w:r>
      <w:r w:rsidRPr="006F137A">
        <w:t xml:space="preserve"> </w:t>
      </w:r>
      <w:r w:rsidRPr="006F137A" w:rsidR="006A0329">
        <w:t xml:space="preserve">request </w:t>
      </w:r>
      <w:r w:rsidRPr="006F137A">
        <w:t xml:space="preserve">to </w:t>
      </w:r>
      <w:r w:rsidRPr="006F137A">
        <w:rPr>
          <w:rFonts w:cs="Arial"/>
          <w:szCs w:val="26"/>
        </w:rPr>
        <w:t xml:space="preserve">implement revenue requirement for </w:t>
      </w:r>
      <w:r w:rsidRPr="006F137A" w:rsidR="00107E99">
        <w:rPr>
          <w:rFonts w:cs="Arial"/>
          <w:szCs w:val="26"/>
        </w:rPr>
        <w:t xml:space="preserve">costs of the </w:t>
      </w:r>
      <w:r w:rsidRPr="006F137A" w:rsidR="00C93942">
        <w:rPr>
          <w:rFonts w:cs="Arial"/>
          <w:szCs w:val="26"/>
        </w:rPr>
        <w:t>Phase 2</w:t>
      </w:r>
      <w:r w:rsidRPr="006F137A">
        <w:rPr>
          <w:rFonts w:cs="Arial"/>
          <w:szCs w:val="26"/>
        </w:rPr>
        <w:t xml:space="preserve"> Activities</w:t>
      </w:r>
      <w:r w:rsidRPr="006F137A" w:rsidR="006A0329">
        <w:rPr>
          <w:rFonts w:cs="Arial"/>
          <w:szCs w:val="26"/>
        </w:rPr>
        <w:t xml:space="preserve"> </w:t>
      </w:r>
      <w:r w:rsidRPr="006F137A" w:rsidR="00107E99">
        <w:rPr>
          <w:rFonts w:cs="Arial"/>
          <w:szCs w:val="26"/>
        </w:rPr>
        <w:t>for the</w:t>
      </w:r>
      <w:r w:rsidRPr="006F137A">
        <w:rPr>
          <w:rFonts w:cs="Arial"/>
          <w:szCs w:val="26"/>
        </w:rPr>
        <w:t xml:space="preserve"> Angeles Link</w:t>
      </w:r>
      <w:r w:rsidRPr="006F137A" w:rsidR="00D02298">
        <w:rPr>
          <w:rFonts w:cs="Arial"/>
          <w:szCs w:val="26"/>
        </w:rPr>
        <w:t xml:space="preserve"> Project</w:t>
      </w:r>
      <w:r w:rsidRPr="006F137A">
        <w:t xml:space="preserve"> is denied</w:t>
      </w:r>
      <w:r w:rsidRPr="006F137A" w:rsidR="000A6E05">
        <w:t>.</w:t>
      </w:r>
    </w:p>
    <w:p w:rsidRPr="006F137A" w:rsidR="00F6397D" w:rsidP="00F27603" w:rsidRDefault="00E23CBB" w14:paraId="00EB4AE6" w14:textId="1E43EB18">
      <w:pPr>
        <w:pStyle w:val="OP"/>
        <w:keepNext/>
      </w:pPr>
      <w:r w:rsidRPr="006F137A">
        <w:t>Application</w:t>
      </w:r>
      <w:r w:rsidRPr="006F137A" w:rsidR="003A4A50">
        <w:t xml:space="preserve"> 24</w:t>
      </w:r>
      <w:r w:rsidRPr="006F137A" w:rsidR="00C93942">
        <w:noBreakHyphen/>
      </w:r>
      <w:r w:rsidRPr="006F137A" w:rsidR="003A4A50">
        <w:t>12</w:t>
      </w:r>
      <w:r w:rsidRPr="006F137A" w:rsidR="00C93942">
        <w:noBreakHyphen/>
      </w:r>
      <w:r w:rsidRPr="006F137A" w:rsidR="003A4A50">
        <w:t xml:space="preserve">011 </w:t>
      </w:r>
      <w:r w:rsidRPr="006F137A">
        <w:t xml:space="preserve">is </w:t>
      </w:r>
      <w:r w:rsidRPr="006F137A" w:rsidR="009F78E8">
        <w:t>closed.</w:t>
      </w:r>
    </w:p>
    <w:p w:rsidRPr="006F137A" w:rsidR="008F0116" w:rsidP="00F27603" w:rsidRDefault="008F0116" w14:paraId="5DA5066F" w14:textId="77777777">
      <w:pPr>
        <w:pStyle w:val="Standard"/>
        <w:keepNext/>
      </w:pPr>
      <w:r w:rsidRPr="006F137A">
        <w:t>This order is effective today.</w:t>
      </w:r>
    </w:p>
    <w:p w:rsidR="00714CF2" w:rsidP="00F27603" w:rsidRDefault="008F0116" w14:paraId="1EF4C8F6" w14:textId="541E9816">
      <w:pPr>
        <w:pStyle w:val="Standard"/>
        <w:keepNext/>
      </w:pPr>
      <w:r w:rsidRPr="006F137A">
        <w:t xml:space="preserve">Dated </w:t>
      </w:r>
      <w:r w:rsidRPr="006F137A" w:rsidR="00F27603">
        <w:t>__________</w:t>
      </w:r>
      <w:r w:rsidRPr="006F137A" w:rsidR="000416B0">
        <w:t>__________</w:t>
      </w:r>
      <w:r w:rsidRPr="006F137A">
        <w:t>, at San Francisco, California</w:t>
      </w:r>
      <w:r w:rsidRPr="006F137A" w:rsidR="00F27603">
        <w:t>.</w:t>
      </w:r>
    </w:p>
    <w:p w:rsidR="00F27603" w:rsidP="00F27603" w:rsidRDefault="00F27603" w14:paraId="351C1C4A" w14:textId="77777777">
      <w:pPr>
        <w:pStyle w:val="Standard"/>
        <w:keepNext/>
      </w:pPr>
    </w:p>
    <w:p w:rsidR="00F27603" w:rsidP="00F27603" w:rsidRDefault="00F27603" w14:paraId="5844365C" w14:textId="77777777">
      <w:pPr>
        <w:pStyle w:val="Standard"/>
        <w:keepNext/>
      </w:pPr>
    </w:p>
    <w:p w:rsidRPr="00714CF2" w:rsidR="00F27603" w:rsidP="00F27603" w:rsidRDefault="00F27603" w14:paraId="5E989406" w14:textId="77777777">
      <w:pPr>
        <w:pStyle w:val="Standard"/>
        <w:keepNext/>
      </w:pPr>
    </w:p>
    <w:sectPr w:rsidRPr="00714CF2" w:rsidR="00F27603" w:rsidSect="00AD6D54">
      <w:footerReference w:type="default" r:id="rId15"/>
      <w:pgSz w:w="12240" w:h="15840"/>
      <w:pgMar w:top="1728" w:right="1440" w:bottom="1440" w:left="1440" w:header="720" w:footer="720" w:gutter="0"/>
      <w:pgNumType w:start="2"/>
      <w:cols w:space="720"/>
      <w:docGrid w:linePitch="360"/>
    </w:sectPr>
    <w:p>
      <w:r>
        <w:t xml:space="preserve"/>
      </w:r>
    </w:p>
    <w:p>
      <w:r>
        <w:t xml:space="preserve">Attachment 1: </w:t>
      </w:r>
    </w:p>
    <w:p>
      <w:hyperlink w:history="true" r:id="R25fa1af95be04c2c">
        <w:r w:rsidRPr="00CB1292">
          <w:rPr>
            <w:rStyle w:val="Hyperlink"/>
            <w:color w:val="2E74B5" w:themeColor="accent1" w:themeShade="BF"/>
            <w:u w:val="single"/>
          </w:rPr>
          <w:t>A2412011 Perez-Green PD (Redline Version).pdf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C8CB4" w14:textId="77777777" w:rsidR="00D95125" w:rsidRDefault="00D95125" w:rsidP="0098138E">
      <w:pPr>
        <w:spacing w:line="240" w:lineRule="auto"/>
      </w:pPr>
      <w:r>
        <w:separator/>
      </w:r>
    </w:p>
  </w:endnote>
  <w:endnote w:type="continuationSeparator" w:id="0">
    <w:p w14:paraId="37AF2FE6" w14:textId="77777777" w:rsidR="00D95125" w:rsidRDefault="00D95125"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Cambria"/>
    <w:panose1 w:val="020406020503050303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F6310" w14:textId="5294896B" w:rsidR="00F92385" w:rsidRDefault="00C93942" w:rsidP="00545D63">
    <w:pPr>
      <w:spacing w:line="240" w:lineRule="auto"/>
      <w:ind w:firstLine="0"/>
      <w:jc w:val="center"/>
    </w:pPr>
    <w:r>
      <w:noBreakHyphen/>
    </w:r>
    <w:r w:rsidR="00545D63">
      <w:t xml:space="preserve"> </w:t>
    </w:r>
    <w:sdt>
      <w:sdtPr>
        <w:id w:val="-1472208903"/>
        <w:docPartObj>
          <w:docPartGallery w:val="Page Numbers (Bottom of Page)"/>
          <w:docPartUnique/>
        </w:docPartObj>
      </w:sdtPr>
      <w:sdtEndPr>
        <w:rPr>
          <w:noProof/>
        </w:rPr>
      </w:sdtEndPr>
      <w:sdtContent>
        <w:r w:rsidR="00F92385">
          <w:fldChar w:fldCharType="begin"/>
        </w:r>
        <w:r w:rsidR="00F92385">
          <w:instrText xml:space="preserve"> PAGE   \* MERGEFORMAT </w:instrText>
        </w:r>
        <w:r w:rsidR="00F92385">
          <w:fldChar w:fldCharType="separate"/>
        </w:r>
        <w:r w:rsidR="00F92385">
          <w:rPr>
            <w:noProof/>
          </w:rPr>
          <w:t>2</w:t>
        </w:r>
        <w:r w:rsidR="00F92385">
          <w:rPr>
            <w:noProof/>
          </w:rPr>
          <w:fldChar w:fldCharType="end"/>
        </w:r>
        <w:r w:rsidR="00545D63">
          <w:rPr>
            <w:noProof/>
          </w:rPr>
          <w:t xml:space="preserve"> </w:t>
        </w:r>
        <w:r>
          <w:rPr>
            <w:noProof/>
          </w:rPr>
          <w:noBreakHyphen/>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9CFA3" w14:textId="21C05F7B" w:rsidR="00632207" w:rsidRDefault="00D95125" w:rsidP="00A35EDD">
    <w:pPr>
      <w:tabs>
        <w:tab w:val="center" w:pos="4680"/>
      </w:tabs>
      <w:spacing w:line="240" w:lineRule="auto"/>
      <w:ind w:firstLine="0"/>
      <w:rPr>
        <w:noProof/>
      </w:rPr>
    </w:pPr>
    <w:sdt>
      <w:sdtPr>
        <w:id w:val="-1352874971"/>
        <w:docPartObj>
          <w:docPartGallery w:val="Page Numbers (Bottom of Page)"/>
          <w:docPartUnique/>
        </w:docPartObj>
      </w:sdtPr>
      <w:sdtEndPr>
        <w:rPr>
          <w:noProof/>
        </w:rPr>
      </w:sdtEndPr>
      <w:sdtContent>
        <w:r w:rsidR="006420B0" w:rsidRPr="006420B0">
          <w:rPr>
            <w:rFonts w:cs="Arial"/>
            <w:sz w:val="16"/>
            <w:szCs w:val="16"/>
          </w:rPr>
          <w:t>605819437</w:t>
        </w:r>
        <w:r w:rsidR="00632207">
          <w:rPr>
            <w:rFonts w:ascii="Arial" w:hAnsi="Arial" w:cs="Arial"/>
            <w:sz w:val="16"/>
            <w:szCs w:val="16"/>
          </w:rPr>
          <w:tab/>
        </w:r>
        <w:r w:rsidR="00C93942">
          <w:noBreakHyphen/>
        </w:r>
        <w:r w:rsidR="00EE4315">
          <w:t xml:space="preserve"> </w:t>
        </w:r>
        <w:r w:rsidR="00F92385">
          <w:fldChar w:fldCharType="begin"/>
        </w:r>
        <w:r w:rsidR="00F92385">
          <w:instrText xml:space="preserve"> PAGE   \* MERGEFORMAT </w:instrText>
        </w:r>
        <w:r w:rsidR="00F92385">
          <w:fldChar w:fldCharType="separate"/>
        </w:r>
        <w:r w:rsidR="00F92385">
          <w:rPr>
            <w:noProof/>
          </w:rPr>
          <w:t>2</w:t>
        </w:r>
        <w:r w:rsidR="00F92385">
          <w:rPr>
            <w:noProof/>
          </w:rPr>
          <w:fldChar w:fldCharType="end"/>
        </w:r>
      </w:sdtContent>
    </w:sdt>
    <w:r w:rsidR="00EE4315">
      <w:rPr>
        <w:noProof/>
      </w:rPr>
      <w:t xml:space="preserve"> </w:t>
    </w:r>
    <w:r w:rsidR="00C93942">
      <w:rPr>
        <w:noProof/>
      </w:rPr>
      <w:noBreakHyphen/>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772B4" w14:textId="7B6B6A41" w:rsidR="00E23CBB" w:rsidRDefault="00C93942" w:rsidP="00A35EDD">
    <w:pPr>
      <w:spacing w:line="240" w:lineRule="auto"/>
      <w:ind w:firstLine="0"/>
      <w:jc w:val="center"/>
    </w:pPr>
    <w:r>
      <w:noBreakHyphen/>
    </w:r>
    <w:sdt>
      <w:sdtPr>
        <w:id w:val="-1034043401"/>
        <w:docPartObj>
          <w:docPartGallery w:val="Page Numbers (Bottom of Page)"/>
          <w:docPartUnique/>
        </w:docPartObj>
      </w:sdtPr>
      <w:sdtEndPr>
        <w:rPr>
          <w:noProof/>
        </w:rPr>
      </w:sdtEndPr>
      <w:sdtContent>
        <w:r w:rsidR="00EE4315">
          <w:t xml:space="preserve"> </w:t>
        </w:r>
        <w:r w:rsidR="00E23CBB">
          <w:fldChar w:fldCharType="begin"/>
        </w:r>
        <w:r w:rsidR="00E23CBB">
          <w:instrText xml:space="preserve"> PAGE   \* MERGEFORMAT </w:instrText>
        </w:r>
        <w:r w:rsidR="00E23CBB">
          <w:fldChar w:fldCharType="separate"/>
        </w:r>
        <w:r w:rsidR="00E23CBB">
          <w:rPr>
            <w:noProof/>
          </w:rPr>
          <w:t>2</w:t>
        </w:r>
        <w:r w:rsidR="00E23CBB">
          <w:rPr>
            <w:noProof/>
          </w:rPr>
          <w:fldChar w:fldCharType="end"/>
        </w:r>
        <w:r w:rsidR="00EE4315">
          <w:rPr>
            <w:noProof/>
          </w:rPr>
          <w:t xml:space="preserve"> </w:t>
        </w:r>
        <w:r>
          <w:rPr>
            <w:noProof/>
          </w:rPr>
          <w:noBreakHyphen/>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B137C" w14:textId="77777777" w:rsidR="00D95125" w:rsidRDefault="00D95125" w:rsidP="00DF58E7">
      <w:pPr>
        <w:spacing w:line="240" w:lineRule="auto"/>
        <w:ind w:firstLine="0"/>
      </w:pPr>
      <w:r>
        <w:separator/>
      </w:r>
    </w:p>
  </w:footnote>
  <w:footnote w:type="continuationSeparator" w:id="0">
    <w:p w14:paraId="77079F56" w14:textId="77777777" w:rsidR="00D95125" w:rsidRDefault="00D95125" w:rsidP="00DF58E7">
      <w:pPr>
        <w:spacing w:line="240" w:lineRule="auto"/>
        <w:ind w:firstLine="0"/>
      </w:pPr>
      <w:r>
        <w:continuationSeparator/>
      </w:r>
    </w:p>
  </w:footnote>
  <w:footnote w:type="continuationNotice" w:id="1">
    <w:p w14:paraId="02DDE66C" w14:textId="77777777" w:rsidR="00D95125" w:rsidRPr="00DF58E7" w:rsidRDefault="00D95125" w:rsidP="00DF58E7">
      <w:pPr>
        <w:spacing w:line="240" w:lineRule="auto"/>
        <w:ind w:firstLine="0"/>
        <w:jc w:val="right"/>
        <w:rPr>
          <w:i/>
          <w:sz w:val="22"/>
        </w:rPr>
      </w:pPr>
      <w:r w:rsidRPr="00DF58E7">
        <w:rPr>
          <w:i/>
          <w:sz w:val="22"/>
        </w:rPr>
        <w:t>Footnote continued on next page.</w:t>
      </w:r>
    </w:p>
  </w:footnote>
  <w:footnote w:id="2">
    <w:p w14:paraId="393ACEDB" w14:textId="77777777" w:rsidR="00BC0797" w:rsidRDefault="00BC0797" w:rsidP="00BC0797">
      <w:pPr>
        <w:pStyle w:val="FootnoteText"/>
      </w:pPr>
      <w:r>
        <w:rPr>
          <w:rStyle w:val="FootnoteReference"/>
        </w:rPr>
        <w:footnoteRef/>
      </w:r>
      <w:r>
        <w:t xml:space="preserve"> Renewable hydrogen gas for the Project is hydrogen gas, not blended with natural gas.</w:t>
      </w:r>
    </w:p>
  </w:footnote>
  <w:footnote w:id="3">
    <w:p w14:paraId="17EDF27D" w14:textId="5CD35205" w:rsidR="003E009C" w:rsidRDefault="003E009C">
      <w:pPr>
        <w:pStyle w:val="FootnoteText"/>
      </w:pPr>
      <w:r>
        <w:rPr>
          <w:rStyle w:val="FootnoteReference"/>
        </w:rPr>
        <w:footnoteRef/>
      </w:r>
      <w:r>
        <w:t xml:space="preserve"> </w:t>
      </w:r>
      <w:r w:rsidR="00AD65D1">
        <w:t>Phase 1 Application at 1-2.</w:t>
      </w:r>
    </w:p>
  </w:footnote>
  <w:footnote w:id="4">
    <w:p w14:paraId="201E84B2" w14:textId="7D5D7790" w:rsidR="00BC0797" w:rsidRDefault="00BC0797" w:rsidP="00BC0797">
      <w:pPr>
        <w:pStyle w:val="FootnoteText"/>
      </w:pPr>
      <w:r>
        <w:rPr>
          <w:rStyle w:val="FootnoteReference"/>
        </w:rPr>
        <w:footnoteRef/>
      </w:r>
      <w:r>
        <w:t xml:space="preserve"> “</w:t>
      </w:r>
      <w:r w:rsidRPr="004653A6">
        <w:t>The Demand Study has identified both existing and future SoCalGas ratepayers who would be potential end</w:t>
      </w:r>
      <w:r w:rsidR="00C93942">
        <w:noBreakHyphen/>
      </w:r>
      <w:r w:rsidRPr="004653A6">
        <w:t>users of Angeles Link. Existing ratepayers include power generation facilities, industrial customers such as metal fabrication shops, food and beverage manufacturing/</w:t>
      </w:r>
      <w:r>
        <w:t xml:space="preserve"> </w:t>
      </w:r>
      <w:r w:rsidRPr="004653A6">
        <w:t>processing facilities, stone/glass/cement facilities, pulp and paper, chemicals, mobility customers such as bus fleet operators and other heavy</w:t>
      </w:r>
      <w:r w:rsidR="00C93942">
        <w:noBreakHyphen/>
      </w:r>
      <w:r w:rsidRPr="004653A6">
        <w:t xml:space="preserve">duty vehicle operators that take service from SoCalGas </w:t>
      </w:r>
      <w:r>
        <w:t xml:space="preserve">[clean natural gas] </w:t>
      </w:r>
      <w:r w:rsidRPr="004653A6">
        <w:t>CNG stations, and refineries, among others. Future potential ratepayers, who are not currently served by SoCalGas and could benefit from Angeles Link, include non</w:t>
      </w:r>
      <w:r w:rsidR="00C93942">
        <w:noBreakHyphen/>
      </w:r>
      <w:r w:rsidRPr="004653A6">
        <w:t>utility served heavy</w:t>
      </w:r>
      <w:r w:rsidR="00C93942">
        <w:noBreakHyphen/>
      </w:r>
      <w:r w:rsidRPr="004653A6">
        <w:t>duty vehicle operators, commercial harbor craft operators, ocean</w:t>
      </w:r>
      <w:r w:rsidR="00C93942">
        <w:noBreakHyphen/>
      </w:r>
      <w:r w:rsidRPr="004653A6">
        <w:t>going vessel operators, and locomotive operators.</w:t>
      </w:r>
      <w:r>
        <w:t>” Demand Study at page 18.</w:t>
      </w:r>
    </w:p>
  </w:footnote>
  <w:footnote w:id="5">
    <w:p w14:paraId="4DD57209" w14:textId="6BB00036" w:rsidR="00BC0797" w:rsidRDefault="00BC0797" w:rsidP="00BC0797">
      <w:pPr>
        <w:pStyle w:val="FootnoteText"/>
      </w:pPr>
      <w:r>
        <w:rPr>
          <w:rStyle w:val="FootnoteReference"/>
        </w:rPr>
        <w:footnoteRef/>
      </w:r>
      <w:r>
        <w:t xml:space="preserve"> D.22</w:t>
      </w:r>
      <w:r w:rsidR="00C93942">
        <w:noBreakHyphen/>
      </w:r>
      <w:r>
        <w:t>12</w:t>
      </w:r>
      <w:r w:rsidR="00C93942">
        <w:noBreakHyphen/>
      </w:r>
      <w:r>
        <w:t>055 Finding of Fact</w:t>
      </w:r>
      <w:r w:rsidR="0009703B">
        <w:t xml:space="preserve"> </w:t>
      </w:r>
      <w:r>
        <w:t>(FOF)</w:t>
      </w:r>
      <w:r w:rsidR="0009703B">
        <w:t> </w:t>
      </w:r>
      <w:r>
        <w:t>36</w:t>
      </w:r>
      <w:r w:rsidR="006E66DE">
        <w:t xml:space="preserve"> at </w:t>
      </w:r>
      <w:r>
        <w:t>66.</w:t>
      </w:r>
    </w:p>
  </w:footnote>
  <w:footnote w:id="6">
    <w:p w14:paraId="1084A727" w14:textId="0F6A10BC" w:rsidR="00BC0797" w:rsidRDefault="00BC0797" w:rsidP="00BC0797">
      <w:pPr>
        <w:pStyle w:val="FootnoteText"/>
      </w:pPr>
      <w:r>
        <w:rPr>
          <w:rStyle w:val="FootnoteReference"/>
        </w:rPr>
        <w:footnoteRef/>
      </w:r>
      <w:r>
        <w:t xml:space="preserve"> </w:t>
      </w:r>
      <w:r w:rsidR="00C93942">
        <w:t>Phase 2</w:t>
      </w:r>
      <w:r>
        <w:t xml:space="preserve"> Application</w:t>
      </w:r>
      <w:r w:rsidR="006E66DE">
        <w:t xml:space="preserve"> at </w:t>
      </w:r>
      <w:r>
        <w:t>41.</w:t>
      </w:r>
    </w:p>
  </w:footnote>
  <w:footnote w:id="7">
    <w:p w14:paraId="4C0D3B83" w14:textId="2070054B" w:rsidR="00BC0797" w:rsidRDefault="00BC0797" w:rsidP="00BC0797">
      <w:pPr>
        <w:pStyle w:val="FootnoteText"/>
      </w:pPr>
      <w:r>
        <w:rPr>
          <w:rStyle w:val="FootnoteReference"/>
        </w:rPr>
        <w:footnoteRef/>
      </w:r>
      <w:r>
        <w:t xml:space="preserve"> Motions for party status were filed by UWUA Local</w:t>
      </w:r>
      <w:r w:rsidR="00B84025">
        <w:t> </w:t>
      </w:r>
      <w:r>
        <w:t xml:space="preserve">483 on </w:t>
      </w:r>
      <w:r w:rsidRPr="00925FC1">
        <w:t>January</w:t>
      </w:r>
      <w:r w:rsidR="00B84025">
        <w:t> </w:t>
      </w:r>
      <w:r w:rsidRPr="00925FC1">
        <w:t>16, 2025</w:t>
      </w:r>
      <w:r>
        <w:t>, Port of Los</w:t>
      </w:r>
      <w:r w:rsidR="00B84025">
        <w:t> </w:t>
      </w:r>
      <w:r>
        <w:t>Angeles on January</w:t>
      </w:r>
      <w:r w:rsidR="00B84025">
        <w:t> </w:t>
      </w:r>
      <w:r>
        <w:t>21, 2025, CMTA on January</w:t>
      </w:r>
      <w:r w:rsidR="00B84025">
        <w:t> </w:t>
      </w:r>
      <w:r>
        <w:t>29, 2025, and TURN on February</w:t>
      </w:r>
      <w:r w:rsidR="00B84025">
        <w:t> </w:t>
      </w:r>
      <w:r>
        <w:t>12, 2024.</w:t>
      </w:r>
    </w:p>
  </w:footnote>
  <w:footnote w:id="8">
    <w:p w14:paraId="74338ABA" w14:textId="01ED76EA" w:rsidR="00AB037B" w:rsidRDefault="00AB037B" w:rsidP="00AB037B">
      <w:pPr>
        <w:pStyle w:val="FootnoteText"/>
      </w:pPr>
      <w:r>
        <w:rPr>
          <w:rStyle w:val="FootnoteReference"/>
        </w:rPr>
        <w:footnoteRef/>
      </w:r>
      <w:r>
        <w:t xml:space="preserve"> D.22</w:t>
      </w:r>
      <w:r w:rsidR="00260D45">
        <w:noBreakHyphen/>
      </w:r>
      <w:r>
        <w:t>12</w:t>
      </w:r>
      <w:r w:rsidR="00260D45">
        <w:noBreakHyphen/>
      </w:r>
      <w:r>
        <w:t>055 Conclusion of Law 39 at</w:t>
      </w:r>
      <w:r w:rsidR="00260D45">
        <w:t> </w:t>
      </w:r>
      <w:r>
        <w:t>72.</w:t>
      </w:r>
    </w:p>
  </w:footnote>
  <w:footnote w:id="9">
    <w:p w14:paraId="4E28EB73" w14:textId="37F651CE" w:rsidR="005A62B1" w:rsidRDefault="005A62B1" w:rsidP="005A62B1">
      <w:pPr>
        <w:pStyle w:val="FootnoteText"/>
      </w:pPr>
      <w:r>
        <w:rPr>
          <w:rStyle w:val="FootnoteReference"/>
        </w:rPr>
        <w:footnoteRef/>
      </w:r>
      <w:r>
        <w:t xml:space="preserve"> SoCalGas Opening Brief</w:t>
      </w:r>
      <w:r w:rsidR="006E66DE">
        <w:t xml:space="preserve"> at </w:t>
      </w:r>
      <w:r>
        <w:t>20.</w:t>
      </w:r>
    </w:p>
  </w:footnote>
  <w:footnote w:id="10">
    <w:p w14:paraId="2895554D" w14:textId="18EE0D63" w:rsidR="001140BC" w:rsidRDefault="001140BC">
      <w:pPr>
        <w:pStyle w:val="FootnoteText"/>
      </w:pPr>
      <w:r>
        <w:rPr>
          <w:rStyle w:val="FootnoteReference"/>
        </w:rPr>
        <w:footnoteRef/>
      </w:r>
      <w:r>
        <w:t xml:space="preserve"> </w:t>
      </w:r>
      <w:r w:rsidR="00B87E06">
        <w:t xml:space="preserve">Phase 2 </w:t>
      </w:r>
      <w:r>
        <w:t>Application</w:t>
      </w:r>
      <w:r w:rsidR="00967116">
        <w:t>.</w:t>
      </w:r>
    </w:p>
  </w:footnote>
  <w:footnote w:id="11">
    <w:p w14:paraId="0F6F5BAC" w14:textId="49D03947" w:rsidR="001140BC" w:rsidRDefault="001140BC">
      <w:pPr>
        <w:pStyle w:val="FootnoteText"/>
      </w:pPr>
      <w:r w:rsidRPr="009F4719">
        <w:rPr>
          <w:rStyle w:val="FootnoteReference"/>
        </w:rPr>
        <w:footnoteRef/>
      </w:r>
      <w:r w:rsidRPr="009F4719">
        <w:t xml:space="preserve"> </w:t>
      </w:r>
      <w:r w:rsidR="00967116" w:rsidRPr="009F4719">
        <w:t xml:space="preserve">SoCalGas </w:t>
      </w:r>
      <w:r w:rsidRPr="009F4719">
        <w:t xml:space="preserve">Opening </w:t>
      </w:r>
      <w:r w:rsidR="00967116" w:rsidRPr="009F4719">
        <w:t>B</w:t>
      </w:r>
      <w:r w:rsidRPr="009F4719">
        <w:t>rief</w:t>
      </w:r>
      <w:r w:rsidR="00967116" w:rsidRPr="009F4719">
        <w:t xml:space="preserve"> at </w:t>
      </w:r>
      <w:r w:rsidR="009F4719" w:rsidRPr="00455929">
        <w:t>3</w:t>
      </w:r>
      <w:r w:rsidR="00967116" w:rsidRPr="009F4719">
        <w:t>.</w:t>
      </w:r>
    </w:p>
  </w:footnote>
  <w:footnote w:id="12">
    <w:p w14:paraId="12DD71D9" w14:textId="2E6EC7D6" w:rsidR="005A62B1" w:rsidRDefault="005A62B1" w:rsidP="005A62B1">
      <w:pPr>
        <w:pStyle w:val="FootnoteText"/>
      </w:pPr>
      <w:r>
        <w:rPr>
          <w:rStyle w:val="FootnoteReference"/>
        </w:rPr>
        <w:footnoteRef/>
      </w:r>
      <w:r>
        <w:t xml:space="preserve"> SoCalGas Opening Brief</w:t>
      </w:r>
      <w:r w:rsidR="006E66DE">
        <w:t xml:space="preserve"> at </w:t>
      </w:r>
      <w:r>
        <w:t>21, see also footnote</w:t>
      </w:r>
      <w:r w:rsidR="002B5839">
        <w:t> </w:t>
      </w:r>
      <w:r>
        <w:t>2 (describing potential future end users of hydrogen delivered by Angeles Link).</w:t>
      </w:r>
    </w:p>
  </w:footnote>
  <w:footnote w:id="13">
    <w:p w14:paraId="546547DB" w14:textId="1C6E1FE7" w:rsidR="005A62B1" w:rsidRDefault="005A62B1" w:rsidP="005A62B1">
      <w:pPr>
        <w:pStyle w:val="FootnoteText"/>
      </w:pPr>
      <w:r>
        <w:rPr>
          <w:rStyle w:val="FootnoteReference"/>
        </w:rPr>
        <w:footnoteRef/>
      </w:r>
      <w:r>
        <w:t xml:space="preserve"> GHC Reply Brief</w:t>
      </w:r>
      <w:r w:rsidR="006E66DE">
        <w:t xml:space="preserve"> at </w:t>
      </w:r>
      <w:r>
        <w:t>5</w:t>
      </w:r>
      <w:r w:rsidR="00C93942">
        <w:noBreakHyphen/>
      </w:r>
      <w:r>
        <w:t xml:space="preserve">6 and </w:t>
      </w:r>
      <w:r w:rsidRPr="00472D4B">
        <w:t>UWUA Local</w:t>
      </w:r>
      <w:r w:rsidR="008A42F0">
        <w:t> </w:t>
      </w:r>
      <w:r w:rsidRPr="00472D4B">
        <w:t>483</w:t>
      </w:r>
      <w:r>
        <w:t xml:space="preserve"> Opening Brief</w:t>
      </w:r>
      <w:r w:rsidR="006E66DE">
        <w:t xml:space="preserve"> at </w:t>
      </w:r>
      <w:r>
        <w:t>4.</w:t>
      </w:r>
    </w:p>
  </w:footnote>
  <w:footnote w:id="14">
    <w:p w14:paraId="4C8274F9" w14:textId="46F34CF6" w:rsidR="005A62B1" w:rsidRDefault="005A62B1" w:rsidP="005A62B1">
      <w:pPr>
        <w:pStyle w:val="FootnoteText"/>
      </w:pPr>
      <w:r>
        <w:rPr>
          <w:rStyle w:val="FootnoteReference"/>
        </w:rPr>
        <w:footnoteRef/>
      </w:r>
      <w:r>
        <w:t xml:space="preserve"> Opening briefs of Air Products</w:t>
      </w:r>
      <w:r w:rsidR="006E66DE">
        <w:t xml:space="preserve"> at </w:t>
      </w:r>
      <w:r>
        <w:t>20</w:t>
      </w:r>
      <w:r w:rsidR="00C93942">
        <w:noBreakHyphen/>
      </w:r>
      <w:r>
        <w:t xml:space="preserve">21, </w:t>
      </w:r>
      <w:r w:rsidR="00C93942">
        <w:t>Cal Advoc</w:t>
      </w:r>
      <w:r>
        <w:t>ates</w:t>
      </w:r>
      <w:r w:rsidR="006E66DE">
        <w:t xml:space="preserve"> at </w:t>
      </w:r>
      <w:r>
        <w:t>9, CEJA/Sierra Club</w:t>
      </w:r>
      <w:r w:rsidR="006E66DE">
        <w:t xml:space="preserve"> at </w:t>
      </w:r>
      <w:r>
        <w:t>2, First Public H2</w:t>
      </w:r>
      <w:r w:rsidR="006E66DE">
        <w:t xml:space="preserve"> at </w:t>
      </w:r>
      <w:r>
        <w:t>13, TURN</w:t>
      </w:r>
      <w:r w:rsidR="006E66DE">
        <w:t xml:space="preserve"> at </w:t>
      </w:r>
      <w:r>
        <w:t>23, and UCAN</w:t>
      </w:r>
      <w:r w:rsidR="006E66DE">
        <w:t xml:space="preserve"> at </w:t>
      </w:r>
      <w:r>
        <w:t>10.</w:t>
      </w:r>
    </w:p>
  </w:footnote>
  <w:footnote w:id="15">
    <w:p w14:paraId="43CE5B2F" w14:textId="64F82F5B" w:rsidR="005A62B1" w:rsidRDefault="005A62B1" w:rsidP="005A62B1">
      <w:pPr>
        <w:pStyle w:val="FootnoteText"/>
      </w:pPr>
      <w:r w:rsidRPr="00572C9E">
        <w:rPr>
          <w:rStyle w:val="FootnoteReference"/>
        </w:rPr>
        <w:footnoteRef/>
      </w:r>
      <w:r w:rsidRPr="00572C9E">
        <w:t xml:space="preserve"> TURN Opening </w:t>
      </w:r>
      <w:r>
        <w:t>Brief</w:t>
      </w:r>
      <w:r w:rsidR="006E66DE">
        <w:t xml:space="preserve"> at </w:t>
      </w:r>
      <w:r w:rsidRPr="00572C9E">
        <w:t>23.</w:t>
      </w:r>
    </w:p>
  </w:footnote>
  <w:footnote w:id="16">
    <w:p w14:paraId="5E8CF509" w14:textId="77A61B1E" w:rsidR="005A62B1" w:rsidRDefault="005A62B1" w:rsidP="005A62B1">
      <w:pPr>
        <w:pStyle w:val="FootnoteText"/>
      </w:pPr>
      <w:r>
        <w:rPr>
          <w:rStyle w:val="FootnoteReference"/>
        </w:rPr>
        <w:footnoteRef/>
      </w:r>
      <w:r>
        <w:t xml:space="preserve"> </w:t>
      </w:r>
      <w:r w:rsidR="00C93942">
        <w:t>Cal Advoc</w:t>
      </w:r>
      <w:r w:rsidRPr="006738A1">
        <w:t xml:space="preserve">ates Opening </w:t>
      </w:r>
      <w:r>
        <w:t>Brief</w:t>
      </w:r>
      <w:r w:rsidR="006E66DE">
        <w:t xml:space="preserve"> at </w:t>
      </w:r>
      <w:r w:rsidRPr="006738A1">
        <w:t>9</w:t>
      </w:r>
      <w:r>
        <w:t>.</w:t>
      </w:r>
    </w:p>
  </w:footnote>
  <w:footnote w:id="17">
    <w:p w14:paraId="60A147BD" w14:textId="3EAEEF13" w:rsidR="005A62B1" w:rsidRDefault="005A62B1" w:rsidP="005A62B1">
      <w:pPr>
        <w:pStyle w:val="FootnoteText"/>
      </w:pPr>
      <w:r>
        <w:rPr>
          <w:rStyle w:val="FootnoteReference"/>
        </w:rPr>
        <w:footnoteRef/>
      </w:r>
      <w:r>
        <w:t xml:space="preserve"> CEJA/Sierra Club Opening Brief</w:t>
      </w:r>
      <w:r w:rsidR="006E66DE">
        <w:t xml:space="preserve"> at </w:t>
      </w:r>
      <w:r>
        <w:t>9.</w:t>
      </w:r>
    </w:p>
  </w:footnote>
  <w:footnote w:id="18">
    <w:p w14:paraId="264A05F6" w14:textId="74E466DF" w:rsidR="005A62B1" w:rsidRDefault="005A62B1" w:rsidP="005A62B1">
      <w:pPr>
        <w:pStyle w:val="FootnoteText"/>
      </w:pPr>
      <w:r>
        <w:rPr>
          <w:rStyle w:val="FootnoteReference"/>
        </w:rPr>
        <w:footnoteRef/>
      </w:r>
      <w:r>
        <w:t xml:space="preserve"> SoCalGas Opening Brief</w:t>
      </w:r>
      <w:r w:rsidR="006E66DE">
        <w:t xml:space="preserve"> at </w:t>
      </w:r>
      <w:r>
        <w:t>20.</w:t>
      </w:r>
    </w:p>
  </w:footnote>
  <w:footnote w:id="19">
    <w:p w14:paraId="00D38237" w14:textId="7E71157D" w:rsidR="005A62B1" w:rsidRDefault="005A62B1" w:rsidP="005A62B1">
      <w:pPr>
        <w:pStyle w:val="FootnoteText"/>
      </w:pPr>
      <w:r>
        <w:rPr>
          <w:rStyle w:val="FootnoteReference"/>
        </w:rPr>
        <w:footnoteRef/>
      </w:r>
      <w:r>
        <w:t xml:space="preserve"> Reply </w:t>
      </w:r>
      <w:r w:rsidR="00AE1EB2">
        <w:t>b</w:t>
      </w:r>
      <w:r>
        <w:t>riefs of CSPTC</w:t>
      </w:r>
      <w:r w:rsidR="006E66DE">
        <w:t xml:space="preserve"> at </w:t>
      </w:r>
      <w:r>
        <w:t>20 and GHC</w:t>
      </w:r>
      <w:r w:rsidR="006E66DE">
        <w:t xml:space="preserve"> at </w:t>
      </w:r>
      <w:r>
        <w:t>5.</w:t>
      </w:r>
    </w:p>
  </w:footnote>
  <w:footnote w:id="20">
    <w:p w14:paraId="4D373545" w14:textId="1FF0E9AB" w:rsidR="005A62B1" w:rsidRDefault="005A62B1" w:rsidP="005A62B1">
      <w:pPr>
        <w:pStyle w:val="FootnoteText"/>
      </w:pPr>
      <w:r>
        <w:rPr>
          <w:rStyle w:val="FootnoteReference"/>
        </w:rPr>
        <w:footnoteRef/>
      </w:r>
      <w:r>
        <w:t xml:space="preserve"> Air Products Opening Brief</w:t>
      </w:r>
      <w:r w:rsidR="006E66DE">
        <w:t xml:space="preserve"> at </w:t>
      </w:r>
      <w:r>
        <w:t xml:space="preserve">21, </w:t>
      </w:r>
      <w:r w:rsidR="00C93942">
        <w:t>Cal Advoc</w:t>
      </w:r>
      <w:r w:rsidRPr="00835317">
        <w:t>ates</w:t>
      </w:r>
      <w:r>
        <w:t xml:space="preserve"> Reply Brief</w:t>
      </w:r>
      <w:r w:rsidR="006E66DE">
        <w:t xml:space="preserve"> at </w:t>
      </w:r>
      <w:r>
        <w:t>7</w:t>
      </w:r>
      <w:r w:rsidRPr="00835317">
        <w:t>, CEJA/Sierra Club</w:t>
      </w:r>
      <w:r>
        <w:t xml:space="preserve"> Opening Brief</w:t>
      </w:r>
      <w:r w:rsidR="006E66DE">
        <w:t xml:space="preserve"> at </w:t>
      </w:r>
      <w:r>
        <w:t>21</w:t>
      </w:r>
      <w:r w:rsidRPr="00835317">
        <w:t>, EDF</w:t>
      </w:r>
      <w:r>
        <w:t xml:space="preserve"> Opening Brief</w:t>
      </w:r>
      <w:r w:rsidR="006E66DE">
        <w:t xml:space="preserve"> at </w:t>
      </w:r>
      <w:r>
        <w:t>10</w:t>
      </w:r>
      <w:r w:rsidR="00C93942">
        <w:noBreakHyphen/>
      </w:r>
      <w:r>
        <w:t>11</w:t>
      </w:r>
      <w:r w:rsidRPr="00835317">
        <w:t>, TURN</w:t>
      </w:r>
      <w:r>
        <w:t xml:space="preserve"> Opening Brief</w:t>
      </w:r>
      <w:r w:rsidR="006E66DE">
        <w:t xml:space="preserve"> at </w:t>
      </w:r>
      <w:r>
        <w:t>12</w:t>
      </w:r>
      <w:r w:rsidR="00C93942">
        <w:noBreakHyphen/>
      </w:r>
      <w:r>
        <w:t>15</w:t>
      </w:r>
      <w:r w:rsidRPr="00835317">
        <w:t>, and UCAN</w:t>
      </w:r>
      <w:r w:rsidR="006E66DE">
        <w:t xml:space="preserve"> at </w:t>
      </w:r>
      <w:r>
        <w:t>Reply Brief</w:t>
      </w:r>
      <w:r w:rsidR="006E66DE">
        <w:t xml:space="preserve"> at </w:t>
      </w:r>
      <w:r>
        <w:t>7.</w:t>
      </w:r>
    </w:p>
  </w:footnote>
  <w:footnote w:id="21">
    <w:p w14:paraId="548E47E1" w14:textId="57D49686" w:rsidR="005A62B1" w:rsidRDefault="005A62B1" w:rsidP="005A62B1">
      <w:pPr>
        <w:pStyle w:val="FootnoteText"/>
      </w:pPr>
      <w:r>
        <w:rPr>
          <w:rStyle w:val="FootnoteReference"/>
        </w:rPr>
        <w:footnoteRef/>
      </w:r>
      <w:r>
        <w:t xml:space="preserve"> Opening briefs of </w:t>
      </w:r>
      <w:r w:rsidRPr="00013010">
        <w:t>Air Products</w:t>
      </w:r>
      <w:r w:rsidR="006E66DE">
        <w:t xml:space="preserve"> at </w:t>
      </w:r>
      <w:r>
        <w:t>21</w:t>
      </w:r>
      <w:r w:rsidRPr="00013010">
        <w:t xml:space="preserve">, </w:t>
      </w:r>
      <w:r w:rsidR="00C93942">
        <w:t>Cal Advoc</w:t>
      </w:r>
      <w:r w:rsidRPr="00013010">
        <w:t>ates</w:t>
      </w:r>
      <w:r w:rsidR="006E66DE">
        <w:t xml:space="preserve"> at </w:t>
      </w:r>
      <w:r>
        <w:t>9</w:t>
      </w:r>
      <w:r w:rsidR="00C93942">
        <w:noBreakHyphen/>
      </w:r>
      <w:r>
        <w:t>10</w:t>
      </w:r>
      <w:r w:rsidRPr="00013010">
        <w:t xml:space="preserve">, CEJA/Sierra Club, </w:t>
      </w:r>
      <w:r>
        <w:t>and</w:t>
      </w:r>
      <w:r w:rsidRPr="00013010">
        <w:t xml:space="preserve"> TURN</w:t>
      </w:r>
      <w:r w:rsidR="006E66DE">
        <w:t xml:space="preserve"> at </w:t>
      </w:r>
      <w:r>
        <w:t>6</w:t>
      </w:r>
      <w:r w:rsidR="00C93942">
        <w:noBreakHyphen/>
      </w:r>
      <w:r>
        <w:t>7.</w:t>
      </w:r>
    </w:p>
  </w:footnote>
  <w:footnote w:id="22">
    <w:p w14:paraId="716853A8" w14:textId="57CBCEDF" w:rsidR="005A62B1" w:rsidRDefault="005A62B1" w:rsidP="005A62B1">
      <w:pPr>
        <w:pStyle w:val="FootnoteText"/>
      </w:pPr>
      <w:r>
        <w:rPr>
          <w:rStyle w:val="FootnoteReference"/>
        </w:rPr>
        <w:footnoteRef/>
      </w:r>
      <w:r>
        <w:t xml:space="preserve"> Opening briefs of </w:t>
      </w:r>
      <w:r w:rsidRPr="00D60869">
        <w:t>Air Products</w:t>
      </w:r>
      <w:r w:rsidR="006E66DE">
        <w:t xml:space="preserve"> at </w:t>
      </w:r>
      <w:r w:rsidRPr="00D60869">
        <w:t xml:space="preserve">18, </w:t>
      </w:r>
      <w:r w:rsidR="00C93942">
        <w:t>Cal Advoc</w:t>
      </w:r>
      <w:r w:rsidRPr="00D60869">
        <w:t>ates</w:t>
      </w:r>
      <w:r w:rsidR="006E66DE">
        <w:t xml:space="preserve"> at </w:t>
      </w:r>
      <w:r w:rsidRPr="00D60869">
        <w:t>7</w:t>
      </w:r>
      <w:r w:rsidR="00C93942">
        <w:noBreakHyphen/>
      </w:r>
      <w:r w:rsidRPr="00D60869">
        <w:t>8, CEJA/Sierra Club</w:t>
      </w:r>
      <w:r w:rsidR="006E66DE">
        <w:t xml:space="preserve"> at </w:t>
      </w:r>
      <w:r w:rsidRPr="00D60869">
        <w:t>12</w:t>
      </w:r>
      <w:r w:rsidR="00C93942">
        <w:noBreakHyphen/>
      </w:r>
      <w:r w:rsidRPr="00D60869">
        <w:t>17, EDF</w:t>
      </w:r>
      <w:r w:rsidR="006E66DE">
        <w:t xml:space="preserve"> at </w:t>
      </w:r>
      <w:r w:rsidRPr="00D60869">
        <w:t>9, First Public H2</w:t>
      </w:r>
      <w:r w:rsidR="006E66DE">
        <w:t xml:space="preserve"> at </w:t>
      </w:r>
      <w:r>
        <w:t>13</w:t>
      </w:r>
      <w:r w:rsidR="00C93942">
        <w:noBreakHyphen/>
      </w:r>
      <w:r>
        <w:t>14</w:t>
      </w:r>
      <w:r w:rsidRPr="00D60869">
        <w:t>, Indicated Shippers</w:t>
      </w:r>
      <w:r w:rsidR="006E66DE">
        <w:t xml:space="preserve"> at </w:t>
      </w:r>
      <w:r w:rsidRPr="00D60869">
        <w:t xml:space="preserve">23, </w:t>
      </w:r>
      <w:r>
        <w:t xml:space="preserve">and </w:t>
      </w:r>
      <w:r w:rsidRPr="00D60869">
        <w:t>TURN</w:t>
      </w:r>
      <w:r w:rsidR="006E66DE">
        <w:t xml:space="preserve"> at </w:t>
      </w:r>
      <w:r w:rsidRPr="00D60869">
        <w:t>12</w:t>
      </w:r>
      <w:r>
        <w:t>;</w:t>
      </w:r>
      <w:r w:rsidRPr="00D60869">
        <w:t xml:space="preserve"> and UCAN </w:t>
      </w:r>
      <w:r>
        <w:t>Reply Brief</w:t>
      </w:r>
      <w:r w:rsidR="006E66DE">
        <w:t xml:space="preserve"> at </w:t>
      </w:r>
      <w:r w:rsidRPr="00D60869">
        <w:t>7</w:t>
      </w:r>
      <w:r>
        <w:t>.</w:t>
      </w:r>
    </w:p>
  </w:footnote>
  <w:footnote w:id="23">
    <w:p w14:paraId="4A5E5AD4" w14:textId="72C9FC5F" w:rsidR="005A62B1" w:rsidRDefault="005A62B1" w:rsidP="005A62B1">
      <w:pPr>
        <w:pStyle w:val="FootnoteText"/>
      </w:pPr>
      <w:r>
        <w:rPr>
          <w:rStyle w:val="FootnoteReference"/>
        </w:rPr>
        <w:footnoteRef/>
      </w:r>
      <w:r>
        <w:t xml:space="preserve"> EDF Opening Brief</w:t>
      </w:r>
      <w:r w:rsidR="006E66DE">
        <w:t xml:space="preserve"> at </w:t>
      </w:r>
      <w:r>
        <w:t xml:space="preserve">10. </w:t>
      </w:r>
    </w:p>
  </w:footnote>
  <w:footnote w:id="24">
    <w:p w14:paraId="20CF482A" w14:textId="49544872" w:rsidR="005A62B1" w:rsidRDefault="005A62B1" w:rsidP="005A62B1">
      <w:pPr>
        <w:pStyle w:val="FootnoteText"/>
      </w:pPr>
      <w:r>
        <w:rPr>
          <w:rStyle w:val="FootnoteReference"/>
        </w:rPr>
        <w:footnoteRef/>
      </w:r>
      <w:r>
        <w:t xml:space="preserve"> SoCalGas </w:t>
      </w:r>
      <w:r w:rsidR="00C93942">
        <w:t>Phase 2</w:t>
      </w:r>
      <w:r>
        <w:t xml:space="preserve"> Application</w:t>
      </w:r>
      <w:r w:rsidR="006E66DE">
        <w:t xml:space="preserve"> at </w:t>
      </w:r>
      <w:r>
        <w:t>92 and CSPTC Reply Brief</w:t>
      </w:r>
      <w:r w:rsidR="006E66DE">
        <w:t xml:space="preserve"> at </w:t>
      </w:r>
      <w:r>
        <w:t>20.</w:t>
      </w:r>
    </w:p>
  </w:footnote>
  <w:footnote w:id="25">
    <w:p w14:paraId="4B10423B" w14:textId="6BB93F4A" w:rsidR="005A62B1" w:rsidRDefault="005A62B1" w:rsidP="005A62B1">
      <w:pPr>
        <w:pStyle w:val="FootnoteText"/>
      </w:pPr>
      <w:r>
        <w:rPr>
          <w:rStyle w:val="FootnoteReference"/>
        </w:rPr>
        <w:footnoteRef/>
      </w:r>
      <w:r>
        <w:t xml:space="preserve"> TURN Opening Brief</w:t>
      </w:r>
      <w:r w:rsidR="006E66DE">
        <w:t xml:space="preserve"> at </w:t>
      </w:r>
      <w:r>
        <w:t>16</w:t>
      </w:r>
      <w:r w:rsidR="00C93942">
        <w:noBreakHyphen/>
      </w:r>
      <w:r>
        <w:t>17.</w:t>
      </w:r>
    </w:p>
  </w:footnote>
  <w:footnote w:id="26">
    <w:p w14:paraId="49C9BC81" w14:textId="303D7BA0" w:rsidR="005A62B1" w:rsidRDefault="005A62B1" w:rsidP="005A62B1">
      <w:pPr>
        <w:pStyle w:val="FootnoteText"/>
      </w:pPr>
      <w:r>
        <w:rPr>
          <w:rStyle w:val="FootnoteReference"/>
        </w:rPr>
        <w:footnoteRef/>
      </w:r>
      <w:r>
        <w:t xml:space="preserve"> Opening </w:t>
      </w:r>
      <w:r w:rsidR="00091421">
        <w:t>b</w:t>
      </w:r>
      <w:r>
        <w:t xml:space="preserve">riefs of </w:t>
      </w:r>
      <w:r w:rsidR="00C93942">
        <w:t>Cal Advoc</w:t>
      </w:r>
      <w:r>
        <w:t>ates</w:t>
      </w:r>
      <w:r w:rsidR="006E66DE">
        <w:t xml:space="preserve"> at </w:t>
      </w:r>
      <w:r>
        <w:t>2</w:t>
      </w:r>
      <w:r w:rsidR="00C93942">
        <w:noBreakHyphen/>
      </w:r>
      <w:r>
        <w:t xml:space="preserve">3, </w:t>
      </w:r>
      <w:r w:rsidRPr="00953956">
        <w:t>CEJA/Sierra Club</w:t>
      </w:r>
      <w:r w:rsidR="006E66DE">
        <w:t xml:space="preserve"> at </w:t>
      </w:r>
      <w:r>
        <w:t>13, EDF</w:t>
      </w:r>
      <w:r w:rsidR="006E66DE">
        <w:t xml:space="preserve"> at </w:t>
      </w:r>
      <w:r>
        <w:t>10, TURN</w:t>
      </w:r>
      <w:r w:rsidR="006E66DE">
        <w:t xml:space="preserve"> at </w:t>
      </w:r>
      <w:r>
        <w:t>6</w:t>
      </w:r>
      <w:r w:rsidR="00173D03">
        <w:t>, and UCAN at 11-12</w:t>
      </w:r>
      <w:r>
        <w:t>.</w:t>
      </w:r>
    </w:p>
  </w:footnote>
  <w:footnote w:id="27">
    <w:p w14:paraId="5B51905B" w14:textId="4FDCFE4F" w:rsidR="005A62B1" w:rsidRDefault="005A62B1" w:rsidP="005A62B1">
      <w:pPr>
        <w:pStyle w:val="FootnoteText"/>
      </w:pPr>
      <w:r>
        <w:rPr>
          <w:rStyle w:val="FootnoteReference"/>
        </w:rPr>
        <w:footnoteRef/>
      </w:r>
      <w:r>
        <w:t xml:space="preserve"> EDF Opening Brief</w:t>
      </w:r>
      <w:r w:rsidR="006E66DE">
        <w:t xml:space="preserve"> at </w:t>
      </w:r>
      <w:r>
        <w:t>10.</w:t>
      </w:r>
    </w:p>
  </w:footnote>
  <w:footnote w:id="28">
    <w:p w14:paraId="631BD7AF" w14:textId="7B627C61" w:rsidR="005A62B1" w:rsidRDefault="005A62B1" w:rsidP="005A62B1">
      <w:pPr>
        <w:pStyle w:val="FootnoteText"/>
      </w:pPr>
      <w:r>
        <w:rPr>
          <w:rStyle w:val="FootnoteReference"/>
        </w:rPr>
        <w:footnoteRef/>
      </w:r>
      <w:r>
        <w:t xml:space="preserve"> TURN Opening Brief</w:t>
      </w:r>
      <w:r w:rsidR="006E66DE">
        <w:t xml:space="preserve"> at </w:t>
      </w:r>
      <w:r>
        <w:t>13.</w:t>
      </w:r>
    </w:p>
  </w:footnote>
  <w:footnote w:id="29">
    <w:p w14:paraId="3E2E529B" w14:textId="233A2E79" w:rsidR="005A62B1" w:rsidRDefault="005A62B1" w:rsidP="005A62B1">
      <w:pPr>
        <w:pStyle w:val="FootnoteText"/>
      </w:pPr>
      <w:r>
        <w:rPr>
          <w:rStyle w:val="FootnoteReference"/>
        </w:rPr>
        <w:footnoteRef/>
      </w:r>
      <w:r>
        <w:t xml:space="preserve"> EDF Opening Brief</w:t>
      </w:r>
      <w:r w:rsidR="006E66DE">
        <w:t xml:space="preserve"> at </w:t>
      </w:r>
      <w:r>
        <w:t>11.</w:t>
      </w:r>
    </w:p>
  </w:footnote>
  <w:footnote w:id="30">
    <w:p w14:paraId="1223CBB8" w14:textId="1770854F" w:rsidR="005A62B1" w:rsidRDefault="005A62B1" w:rsidP="005A62B1">
      <w:pPr>
        <w:pStyle w:val="FootnoteText"/>
      </w:pPr>
      <w:r>
        <w:rPr>
          <w:rStyle w:val="FootnoteReference"/>
        </w:rPr>
        <w:footnoteRef/>
      </w:r>
      <w:r>
        <w:t xml:space="preserve"> Opening briefs of </w:t>
      </w:r>
      <w:r w:rsidR="00C93942">
        <w:t>Cal Advoc</w:t>
      </w:r>
      <w:r>
        <w:t>ates</w:t>
      </w:r>
      <w:r w:rsidR="006E66DE">
        <w:t xml:space="preserve"> at </w:t>
      </w:r>
      <w:r>
        <w:t xml:space="preserve">11 and </w:t>
      </w:r>
      <w:r w:rsidRPr="00953956">
        <w:t>CEJA/Sierra Club</w:t>
      </w:r>
      <w:r w:rsidR="006E66DE">
        <w:t xml:space="preserve"> at </w:t>
      </w:r>
      <w:r>
        <w:t>18.</w:t>
      </w:r>
    </w:p>
  </w:footnote>
  <w:footnote w:id="31">
    <w:p w14:paraId="024B094B" w14:textId="4D4DB026" w:rsidR="005A62B1" w:rsidRDefault="005A62B1" w:rsidP="005A62B1">
      <w:pPr>
        <w:pStyle w:val="FootnoteText"/>
      </w:pPr>
      <w:r>
        <w:rPr>
          <w:rStyle w:val="FootnoteReference"/>
        </w:rPr>
        <w:footnoteRef/>
      </w:r>
      <w:r>
        <w:t xml:space="preserve"> TURN Opening Brief</w:t>
      </w:r>
      <w:r w:rsidR="006E66DE">
        <w:t xml:space="preserve"> at </w:t>
      </w:r>
      <w:r>
        <w:t>3.</w:t>
      </w:r>
    </w:p>
  </w:footnote>
  <w:footnote w:id="32">
    <w:p w14:paraId="13B0459C" w14:textId="0C59B2CD" w:rsidR="005A62B1" w:rsidRDefault="005A62B1" w:rsidP="005A62B1">
      <w:pPr>
        <w:pStyle w:val="FootnoteText"/>
      </w:pPr>
      <w:r>
        <w:rPr>
          <w:rStyle w:val="FootnoteReference"/>
        </w:rPr>
        <w:footnoteRef/>
      </w:r>
      <w:r>
        <w:t xml:space="preserve"> </w:t>
      </w:r>
      <w:r w:rsidR="00C93942">
        <w:t>Phase 2</w:t>
      </w:r>
      <w:r>
        <w:t xml:space="preserve"> Application</w:t>
      </w:r>
      <w:r w:rsidR="006E66DE">
        <w:t xml:space="preserve"> at </w:t>
      </w:r>
      <w:r>
        <w:t>91.</w:t>
      </w:r>
    </w:p>
  </w:footnote>
  <w:footnote w:id="33">
    <w:p w14:paraId="6C6B3076" w14:textId="251FF7E8" w:rsidR="005A62B1" w:rsidRDefault="005A62B1" w:rsidP="005A62B1">
      <w:pPr>
        <w:pStyle w:val="FootnoteText"/>
      </w:pPr>
      <w:r>
        <w:rPr>
          <w:rStyle w:val="FootnoteReference"/>
        </w:rPr>
        <w:footnoteRef/>
      </w:r>
      <w:r>
        <w:t xml:space="preserve"> TURN Opening Brief</w:t>
      </w:r>
      <w:r w:rsidR="006E66DE">
        <w:t xml:space="preserve"> at </w:t>
      </w:r>
      <w:r>
        <w:t>8.</w:t>
      </w:r>
    </w:p>
  </w:footnote>
  <w:footnote w:id="34">
    <w:p w14:paraId="672F17F3" w14:textId="141DB942" w:rsidR="005A62B1" w:rsidRDefault="005A62B1" w:rsidP="005A62B1">
      <w:pPr>
        <w:pStyle w:val="FootnoteText"/>
      </w:pPr>
      <w:r>
        <w:rPr>
          <w:rStyle w:val="FootnoteReference"/>
        </w:rPr>
        <w:footnoteRef/>
      </w:r>
      <w:r>
        <w:t xml:space="preserve"> D.22</w:t>
      </w:r>
      <w:r w:rsidR="00C93942">
        <w:noBreakHyphen/>
      </w:r>
      <w:r>
        <w:t>12</w:t>
      </w:r>
      <w:r w:rsidR="00C93942">
        <w:noBreakHyphen/>
      </w:r>
      <w:r w:rsidRPr="00ED284C">
        <w:t>055 FOF</w:t>
      </w:r>
      <w:r w:rsidR="00726105">
        <w:t> </w:t>
      </w:r>
      <w:r w:rsidRPr="00ED284C">
        <w:t>11</w:t>
      </w:r>
      <w:r w:rsidR="006E66DE">
        <w:t xml:space="preserve"> at </w:t>
      </w:r>
      <w:r w:rsidRPr="00ED284C">
        <w:t>63.</w:t>
      </w:r>
    </w:p>
  </w:footnote>
  <w:footnote w:id="35">
    <w:p w14:paraId="14B6B380" w14:textId="10F5EC53" w:rsidR="005A62B1" w:rsidRDefault="005A62B1" w:rsidP="005A62B1">
      <w:pPr>
        <w:pStyle w:val="FootnoteText"/>
      </w:pPr>
      <w:r>
        <w:rPr>
          <w:rStyle w:val="FootnoteReference"/>
        </w:rPr>
        <w:footnoteRef/>
      </w:r>
      <w:r>
        <w:t xml:space="preserve"> </w:t>
      </w:r>
      <w:r w:rsidR="00C93942">
        <w:t>Phase 2</w:t>
      </w:r>
      <w:r>
        <w:t xml:space="preserve"> Application</w:t>
      </w:r>
      <w:r w:rsidR="006E66DE">
        <w:t xml:space="preserve"> at </w:t>
      </w:r>
      <w:r>
        <w:t>32.</w:t>
      </w:r>
    </w:p>
  </w:footnote>
  <w:footnote w:id="36">
    <w:p w14:paraId="2818474F" w14:textId="479301CE" w:rsidR="00B52B79" w:rsidRDefault="00B52B79">
      <w:pPr>
        <w:pStyle w:val="FootnoteText"/>
      </w:pPr>
      <w:r>
        <w:rPr>
          <w:rStyle w:val="FootnoteReference"/>
        </w:rPr>
        <w:footnoteRef/>
      </w:r>
      <w:r>
        <w:t xml:space="preserve"> Air </w:t>
      </w:r>
      <w:r w:rsidR="00C94073">
        <w:t>Products</w:t>
      </w:r>
      <w:r>
        <w:t xml:space="preserve"> at </w:t>
      </w:r>
      <w:r w:rsidR="00AC739A">
        <w:t>20-21.</w:t>
      </w:r>
    </w:p>
  </w:footnote>
  <w:footnote w:id="37">
    <w:p w14:paraId="4010F065" w14:textId="234C4F58" w:rsidR="005A62B1" w:rsidRDefault="005A62B1" w:rsidP="005A62B1">
      <w:pPr>
        <w:pStyle w:val="FootnoteText"/>
      </w:pPr>
      <w:r w:rsidRPr="00C6138E">
        <w:rPr>
          <w:rStyle w:val="FootnoteReference"/>
        </w:rPr>
        <w:footnoteRef/>
      </w:r>
      <w:r w:rsidRPr="00C6138E">
        <w:t xml:space="preserve"> </w:t>
      </w:r>
      <w:r w:rsidRPr="00EB00D5">
        <w:t>D.84</w:t>
      </w:r>
      <w:r w:rsidR="00C93942" w:rsidRPr="00771968">
        <w:noBreakHyphen/>
      </w:r>
      <w:r w:rsidRPr="00EB00D5">
        <w:t>09</w:t>
      </w:r>
      <w:r w:rsidR="00C93942" w:rsidRPr="00771968">
        <w:noBreakHyphen/>
      </w:r>
      <w:r w:rsidRPr="00EB00D5">
        <w:t>089</w:t>
      </w:r>
      <w:r w:rsidR="006E66DE">
        <w:t xml:space="preserve"> at </w:t>
      </w:r>
      <w:r w:rsidRPr="00EB00D5">
        <w:t>71</w:t>
      </w:r>
      <w:r w:rsidR="00C93942" w:rsidRPr="00771968">
        <w:noBreakHyphen/>
      </w:r>
      <w:r w:rsidRPr="00EB00D5">
        <w:t>72.</w:t>
      </w:r>
    </w:p>
  </w:footnote>
  <w:footnote w:id="38">
    <w:p w14:paraId="05709447" w14:textId="1385331E" w:rsidR="00EA1589" w:rsidRDefault="00EA1589" w:rsidP="00EA1589">
      <w:pPr>
        <w:pStyle w:val="FootnoteText"/>
      </w:pPr>
      <w:r>
        <w:rPr>
          <w:rStyle w:val="FootnoteReference"/>
        </w:rPr>
        <w:footnoteRef/>
      </w:r>
      <w:r>
        <w:t xml:space="preserve"> D.22-12-055</w:t>
      </w:r>
      <w:r w:rsidR="00BF4A4F">
        <w:t xml:space="preserve"> O</w:t>
      </w:r>
      <w:r w:rsidR="00455929">
        <w:t xml:space="preserve">rdering </w:t>
      </w:r>
      <w:r w:rsidR="00BF4A4F">
        <w:t>P</w:t>
      </w:r>
      <w:r w:rsidR="00455929">
        <w:t>aragraph </w:t>
      </w:r>
      <w:r w:rsidR="00BF4A4F">
        <w:t>6(c)</w:t>
      </w:r>
      <w:r>
        <w:t>.</w:t>
      </w:r>
    </w:p>
  </w:footnote>
  <w:footnote w:id="39">
    <w:p w14:paraId="4AF50C0F" w14:textId="77777777" w:rsidR="00EA1589" w:rsidRDefault="00EA1589" w:rsidP="00EA1589">
      <w:pPr>
        <w:pStyle w:val="FootnoteText"/>
      </w:pPr>
      <w:r>
        <w:rPr>
          <w:rStyle w:val="FootnoteReference"/>
        </w:rPr>
        <w:footnoteRef/>
      </w:r>
      <w:r>
        <w:t xml:space="preserve"> D.22-12-055 FOF 47 at 67.</w:t>
      </w:r>
    </w:p>
  </w:footnote>
  <w:footnote w:id="40">
    <w:p w14:paraId="64E323B0" w14:textId="4A577ADE" w:rsidR="005A62B1" w:rsidRDefault="005A62B1" w:rsidP="005A62B1">
      <w:pPr>
        <w:pStyle w:val="FootnoteText"/>
      </w:pPr>
      <w:r>
        <w:rPr>
          <w:rStyle w:val="FootnoteReference"/>
        </w:rPr>
        <w:footnoteRef/>
      </w:r>
      <w:r>
        <w:t xml:space="preserve"> D.22</w:t>
      </w:r>
      <w:r w:rsidR="00C93942">
        <w:noBreakHyphen/>
      </w:r>
      <w:r>
        <w:t>12</w:t>
      </w:r>
      <w:r w:rsidR="00C93942">
        <w:noBreakHyphen/>
      </w:r>
      <w:r>
        <w:t>055</w:t>
      </w:r>
      <w:r w:rsidR="006E66DE">
        <w:t xml:space="preserve"> at </w:t>
      </w:r>
      <w:r>
        <w:t>22.</w:t>
      </w:r>
    </w:p>
  </w:footnote>
  <w:footnote w:id="41">
    <w:p w14:paraId="78DCFE56" w14:textId="4FF7FBD8" w:rsidR="005A62B1" w:rsidRDefault="005A62B1" w:rsidP="005A62B1">
      <w:pPr>
        <w:pStyle w:val="FootnoteText"/>
      </w:pPr>
      <w:r>
        <w:rPr>
          <w:rStyle w:val="FootnoteReference"/>
        </w:rPr>
        <w:footnoteRef/>
      </w:r>
      <w:r>
        <w:t xml:space="preserve"> D.22</w:t>
      </w:r>
      <w:r w:rsidR="00C93942">
        <w:noBreakHyphen/>
      </w:r>
      <w:r>
        <w:t>12</w:t>
      </w:r>
      <w:r w:rsidR="00C93942">
        <w:noBreakHyphen/>
      </w:r>
      <w:r>
        <w:t>055</w:t>
      </w:r>
      <w:r w:rsidR="006E66DE">
        <w:t xml:space="preserve"> at </w:t>
      </w:r>
      <w:r>
        <w:t>52.</w:t>
      </w:r>
    </w:p>
  </w:footnote>
  <w:footnote w:id="42">
    <w:p w14:paraId="51161C8E" w14:textId="42CA8AA3" w:rsidR="005A62B1" w:rsidRDefault="005A62B1" w:rsidP="005A62B1">
      <w:pPr>
        <w:pStyle w:val="FootnoteText"/>
      </w:pPr>
      <w:r>
        <w:rPr>
          <w:rStyle w:val="FootnoteReference"/>
        </w:rPr>
        <w:footnoteRef/>
      </w:r>
      <w:r>
        <w:t xml:space="preserve"> Pub.</w:t>
      </w:r>
      <w:r w:rsidR="00B84025">
        <w:t> </w:t>
      </w:r>
      <w:r>
        <w:t>Util. Code</w:t>
      </w:r>
      <w:r w:rsidR="00F44259">
        <w:t xml:space="preserve"> Section </w:t>
      </w:r>
      <w:r>
        <w:t>739.6.</w:t>
      </w:r>
    </w:p>
  </w:footnote>
  <w:footnote w:id="43">
    <w:p w14:paraId="3C23B743" w14:textId="3AAC6E14" w:rsidR="00662202" w:rsidRDefault="00662202" w:rsidP="00662202">
      <w:pPr>
        <w:pStyle w:val="FootnoteText"/>
      </w:pPr>
      <w:r>
        <w:rPr>
          <w:rStyle w:val="FootnoteReference"/>
        </w:rPr>
        <w:footnoteRef/>
      </w:r>
      <w:r>
        <w:t xml:space="preserve"> Opening </w:t>
      </w:r>
      <w:r w:rsidR="00D3416D">
        <w:t>b</w:t>
      </w:r>
      <w:r>
        <w:t xml:space="preserve">riefs of </w:t>
      </w:r>
      <w:r w:rsidRPr="00E82FD1">
        <w:t>Air Products, CSPTC, EDF, First Public H2, Indicated Shippers, SCGC, SoCalGas, and UCAN</w:t>
      </w:r>
      <w:r>
        <w:t>.</w:t>
      </w:r>
    </w:p>
  </w:footnote>
  <w:footnote w:id="44">
    <w:p w14:paraId="413A579D" w14:textId="4C0085C5" w:rsidR="00662202" w:rsidRDefault="00662202" w:rsidP="00662202">
      <w:pPr>
        <w:pStyle w:val="FootnoteText"/>
      </w:pPr>
      <w:r>
        <w:rPr>
          <w:rStyle w:val="FootnoteReference"/>
        </w:rPr>
        <w:footnoteRef/>
      </w:r>
      <w:r>
        <w:t xml:space="preserve"> Opening briefs of SoCalGas</w:t>
      </w:r>
      <w:r w:rsidR="006E66DE">
        <w:t xml:space="preserve"> at </w:t>
      </w:r>
      <w:r>
        <w:t>10, CSPTC</w:t>
      </w:r>
      <w:r w:rsidR="006E66DE">
        <w:t xml:space="preserve"> at </w:t>
      </w:r>
      <w:r>
        <w:t>9, First Public H2</w:t>
      </w:r>
      <w:r w:rsidR="006E66DE">
        <w:t xml:space="preserve"> at </w:t>
      </w:r>
      <w:r>
        <w:t>7, Indicated Shippers</w:t>
      </w:r>
      <w:r w:rsidR="006E66DE">
        <w:t xml:space="preserve"> at </w:t>
      </w:r>
      <w:r>
        <w:t>9, and SCGC</w:t>
      </w:r>
      <w:r w:rsidR="006E66DE">
        <w:t xml:space="preserve"> at </w:t>
      </w:r>
      <w:r>
        <w:t>2.</w:t>
      </w:r>
    </w:p>
  </w:footnote>
  <w:footnote w:id="45">
    <w:p w14:paraId="763FE671" w14:textId="2A78CAC7" w:rsidR="00662202" w:rsidRDefault="00662202" w:rsidP="00662202">
      <w:pPr>
        <w:pStyle w:val="FootnoteText"/>
      </w:pPr>
      <w:r>
        <w:rPr>
          <w:rStyle w:val="FootnoteReference"/>
        </w:rPr>
        <w:footnoteRef/>
      </w:r>
      <w:r>
        <w:t xml:space="preserve"> Opening briefs of Air Products</w:t>
      </w:r>
      <w:r w:rsidR="006E66DE">
        <w:t xml:space="preserve"> at </w:t>
      </w:r>
      <w:r>
        <w:t>9 and Indicated Shippers</w:t>
      </w:r>
      <w:r w:rsidR="006E66DE">
        <w:t xml:space="preserve"> at </w:t>
      </w:r>
      <w:r>
        <w:t>9.</w:t>
      </w:r>
    </w:p>
  </w:footnote>
  <w:footnote w:id="46">
    <w:p w14:paraId="0C78770A" w14:textId="064D56FE" w:rsidR="00662202" w:rsidRDefault="00662202" w:rsidP="00662202">
      <w:pPr>
        <w:pStyle w:val="FootnoteText"/>
      </w:pPr>
      <w:r>
        <w:rPr>
          <w:rStyle w:val="FootnoteReference"/>
        </w:rPr>
        <w:footnoteRef/>
      </w:r>
      <w:r>
        <w:t xml:space="preserve"> UCAN Reply Brief</w:t>
      </w:r>
      <w:r w:rsidR="006E66DE">
        <w:t xml:space="preserve"> at </w:t>
      </w:r>
      <w:r>
        <w:t>5.</w:t>
      </w:r>
    </w:p>
  </w:footnote>
  <w:footnote w:id="47">
    <w:p w14:paraId="047B6306" w14:textId="38B7CBF6" w:rsidR="00662202" w:rsidRDefault="00662202" w:rsidP="00662202">
      <w:pPr>
        <w:pStyle w:val="FootnoteText"/>
      </w:pPr>
      <w:r>
        <w:rPr>
          <w:rStyle w:val="FootnoteReference"/>
        </w:rPr>
        <w:footnoteRef/>
      </w:r>
      <w:r>
        <w:t xml:space="preserve"> CEJA/Sierra Club Opening Brief</w:t>
      </w:r>
      <w:r w:rsidR="006E66DE">
        <w:t xml:space="preserve"> at </w:t>
      </w:r>
      <w:r>
        <w:t>7</w:t>
      </w:r>
      <w:r w:rsidR="00C93942">
        <w:noBreakHyphen/>
      </w:r>
      <w:r>
        <w:t>8.</w:t>
      </w:r>
    </w:p>
  </w:footnote>
  <w:footnote w:id="48">
    <w:p w14:paraId="0C928CFD" w14:textId="08D53F73" w:rsidR="00662202" w:rsidRDefault="00662202" w:rsidP="00662202">
      <w:pPr>
        <w:pStyle w:val="FootnoteText"/>
      </w:pPr>
      <w:r>
        <w:rPr>
          <w:rStyle w:val="FootnoteReference"/>
        </w:rPr>
        <w:footnoteRef/>
      </w:r>
      <w:r>
        <w:t xml:space="preserve"> CEJA/Sierra Club Reply Brief</w:t>
      </w:r>
      <w:r w:rsidR="006E66DE">
        <w:t xml:space="preserve"> at </w:t>
      </w:r>
      <w:r>
        <w:t>6.</w:t>
      </w:r>
    </w:p>
  </w:footnote>
  <w:footnote w:id="49">
    <w:p w14:paraId="6D37750A" w14:textId="3ADE0E20" w:rsidR="00662202" w:rsidRPr="006D7D7D" w:rsidRDefault="00662202" w:rsidP="00662202">
      <w:pPr>
        <w:pStyle w:val="FootnoteText"/>
      </w:pPr>
      <w:r w:rsidRPr="00EF564A">
        <w:rPr>
          <w:rStyle w:val="FootnoteReference"/>
        </w:rPr>
        <w:footnoteRef/>
      </w:r>
      <w:r w:rsidRPr="00EF564A">
        <w:t xml:space="preserve"> Opening briefs of Air Products</w:t>
      </w:r>
      <w:r w:rsidR="006E66DE">
        <w:t xml:space="preserve"> at </w:t>
      </w:r>
      <w:r w:rsidRPr="006D7D7D">
        <w:t xml:space="preserve">11, </w:t>
      </w:r>
      <w:r>
        <w:t>First Public H2</w:t>
      </w:r>
      <w:r w:rsidR="006E66DE">
        <w:t xml:space="preserve"> at </w:t>
      </w:r>
      <w:r>
        <w:t>7, and Indicated Shippers</w:t>
      </w:r>
      <w:r w:rsidR="006E66DE">
        <w:t xml:space="preserve"> at </w:t>
      </w:r>
      <w:r>
        <w:t>10.</w:t>
      </w:r>
    </w:p>
  </w:footnote>
  <w:footnote w:id="50">
    <w:p w14:paraId="0391E424" w14:textId="0909DA29" w:rsidR="00662202" w:rsidRPr="006D7D7D" w:rsidRDefault="00662202" w:rsidP="00662202">
      <w:pPr>
        <w:pStyle w:val="FootnoteText"/>
      </w:pPr>
      <w:r w:rsidRPr="00EF564A">
        <w:rPr>
          <w:rStyle w:val="FootnoteReference"/>
        </w:rPr>
        <w:footnoteRef/>
      </w:r>
      <w:r w:rsidRPr="00EF564A">
        <w:t xml:space="preserve"> EDF</w:t>
      </w:r>
      <w:r>
        <w:t xml:space="preserve"> Reply Brief</w:t>
      </w:r>
      <w:r w:rsidR="006E66DE">
        <w:t xml:space="preserve"> at </w:t>
      </w:r>
      <w:r>
        <w:t>7 and Indicated Shippers Opening Brief</w:t>
      </w:r>
      <w:r w:rsidR="006E66DE">
        <w:t xml:space="preserve"> at </w:t>
      </w:r>
      <w:r>
        <w:t>16</w:t>
      </w:r>
      <w:r w:rsidRPr="00EF564A">
        <w:t>.</w:t>
      </w:r>
    </w:p>
  </w:footnote>
  <w:footnote w:id="51">
    <w:p w14:paraId="0EE9F4F3" w14:textId="73203E33" w:rsidR="00662202" w:rsidRPr="006D7D7D" w:rsidRDefault="00662202" w:rsidP="00662202">
      <w:pPr>
        <w:pStyle w:val="FootnoteText"/>
      </w:pPr>
      <w:r w:rsidRPr="006D7D7D">
        <w:rPr>
          <w:rStyle w:val="FootnoteReference"/>
        </w:rPr>
        <w:footnoteRef/>
      </w:r>
      <w:r w:rsidRPr="006D7D7D">
        <w:t xml:space="preserve"> First Public H2 Opening Brief</w:t>
      </w:r>
      <w:r w:rsidR="006E66DE">
        <w:t xml:space="preserve"> at </w:t>
      </w:r>
      <w:r w:rsidRPr="006D7D7D">
        <w:t>4</w:t>
      </w:r>
      <w:r>
        <w:t xml:space="preserve"> and </w:t>
      </w:r>
      <w:r w:rsidRPr="006D7D7D">
        <w:t>GHC Reply Brief</w:t>
      </w:r>
      <w:r w:rsidR="006E66DE">
        <w:t xml:space="preserve"> at </w:t>
      </w:r>
      <w:r w:rsidRPr="006D7D7D">
        <w:t>7.</w:t>
      </w:r>
    </w:p>
  </w:footnote>
  <w:footnote w:id="52">
    <w:p w14:paraId="4066C6C6" w14:textId="288A4CCB" w:rsidR="00662202" w:rsidRPr="006D7D7D" w:rsidRDefault="00662202" w:rsidP="00662202">
      <w:pPr>
        <w:pStyle w:val="FootnoteText"/>
      </w:pPr>
      <w:r w:rsidRPr="006D7D7D">
        <w:rPr>
          <w:rStyle w:val="FootnoteReference"/>
        </w:rPr>
        <w:footnoteRef/>
      </w:r>
      <w:r w:rsidRPr="006D7D7D">
        <w:t xml:space="preserve"> Opening </w:t>
      </w:r>
      <w:r w:rsidR="00197BC8">
        <w:t>b</w:t>
      </w:r>
      <w:r w:rsidRPr="006D7D7D">
        <w:t>rief</w:t>
      </w:r>
      <w:r w:rsidR="00197BC8">
        <w:t>s</w:t>
      </w:r>
      <w:r w:rsidRPr="006D7D7D">
        <w:t xml:space="preserve"> of CEJA/Sierra Club</w:t>
      </w:r>
      <w:r w:rsidR="006E66DE">
        <w:t xml:space="preserve"> at </w:t>
      </w:r>
      <w:r w:rsidRPr="006D7D7D">
        <w:t>9</w:t>
      </w:r>
      <w:r w:rsidR="00C93942">
        <w:noBreakHyphen/>
      </w:r>
      <w:r w:rsidRPr="006D7D7D">
        <w:t>10, 26</w:t>
      </w:r>
      <w:r>
        <w:t xml:space="preserve"> and</w:t>
      </w:r>
      <w:r w:rsidRPr="006D7D7D">
        <w:t xml:space="preserve"> TURN</w:t>
      </w:r>
      <w:r w:rsidR="006E66DE">
        <w:t xml:space="preserve"> at </w:t>
      </w:r>
      <w:r>
        <w:t>8.</w:t>
      </w:r>
    </w:p>
  </w:footnote>
  <w:footnote w:id="53">
    <w:p w14:paraId="41E4721F" w14:textId="3E0F22E7" w:rsidR="00662202" w:rsidRPr="006D7D7D" w:rsidRDefault="00662202" w:rsidP="00662202">
      <w:pPr>
        <w:pStyle w:val="FootnoteText"/>
      </w:pPr>
      <w:r w:rsidRPr="006D7D7D">
        <w:rPr>
          <w:rStyle w:val="FootnoteReference"/>
        </w:rPr>
        <w:footnoteRef/>
      </w:r>
      <w:r w:rsidRPr="006D7D7D">
        <w:t xml:space="preserve"> </w:t>
      </w:r>
      <w:r w:rsidR="00C93942">
        <w:t>Cal Advoc</w:t>
      </w:r>
      <w:r w:rsidRPr="006D7D7D">
        <w:t>ates Reply Brief</w:t>
      </w:r>
      <w:r w:rsidR="006E66DE">
        <w:t xml:space="preserve"> at </w:t>
      </w:r>
      <w:r w:rsidRPr="006D7D7D">
        <w:t>13</w:t>
      </w:r>
      <w:r w:rsidR="00C93942">
        <w:noBreakHyphen/>
      </w:r>
      <w:r w:rsidRPr="006D7D7D">
        <w:t>14 and CEJA/Sierra Club Opening Brief</w:t>
      </w:r>
      <w:r w:rsidR="006E66DE">
        <w:t xml:space="preserve"> at </w:t>
      </w:r>
      <w:r w:rsidRPr="006D7D7D">
        <w:t>9</w:t>
      </w:r>
      <w:r w:rsidR="00C93942">
        <w:noBreakHyphen/>
      </w:r>
      <w:r w:rsidRPr="006D7D7D">
        <w:t>10, 26</w:t>
      </w:r>
      <w:r w:rsidR="00C93942">
        <w:noBreakHyphen/>
      </w:r>
      <w:r w:rsidRPr="006D7D7D">
        <w:t>27.</w:t>
      </w:r>
    </w:p>
  </w:footnote>
  <w:footnote w:id="54">
    <w:p w14:paraId="73FAE115" w14:textId="125B707B" w:rsidR="00662202" w:rsidRDefault="00662202" w:rsidP="00662202">
      <w:pPr>
        <w:pStyle w:val="FootnoteText"/>
      </w:pPr>
      <w:r w:rsidRPr="006D7D7D">
        <w:rPr>
          <w:rStyle w:val="FootnoteReference"/>
        </w:rPr>
        <w:footnoteRef/>
      </w:r>
      <w:r w:rsidRPr="006D7D7D">
        <w:t xml:space="preserve"> </w:t>
      </w:r>
      <w:r w:rsidRPr="00F15116">
        <w:rPr>
          <w:i/>
          <w:iCs/>
        </w:rPr>
        <w:t>Richfield Oil Corp.</w:t>
      </w:r>
      <w:r w:rsidR="00B84025" w:rsidRPr="00771968">
        <w:rPr>
          <w:i/>
          <w:iCs/>
        </w:rPr>
        <w:t> </w:t>
      </w:r>
      <w:r w:rsidRPr="00F15116">
        <w:rPr>
          <w:i/>
          <w:iCs/>
        </w:rPr>
        <w:t>v. Public Utilities Com.</w:t>
      </w:r>
      <w:r w:rsidRPr="002E6AC9">
        <w:t>, 54</w:t>
      </w:r>
      <w:r w:rsidR="00B84025" w:rsidRPr="00771968">
        <w:t> </w:t>
      </w:r>
      <w:r w:rsidRPr="002E6AC9">
        <w:t>Cal. 2d 419, 4</w:t>
      </w:r>
      <w:r>
        <w:t>3</w:t>
      </w:r>
      <w:r w:rsidRPr="002E6AC9">
        <w:t>1 (1960).</w:t>
      </w:r>
    </w:p>
  </w:footnote>
  <w:footnote w:id="55">
    <w:p w14:paraId="7A99C9F4" w14:textId="500A9504" w:rsidR="00662202" w:rsidRDefault="00662202" w:rsidP="00662202">
      <w:pPr>
        <w:pStyle w:val="FootnoteText"/>
      </w:pPr>
      <w:r>
        <w:rPr>
          <w:rStyle w:val="FootnoteReference"/>
        </w:rPr>
        <w:footnoteRef/>
      </w:r>
      <w:r>
        <w:t xml:space="preserve"> CEJA/Sierra Club Opening Brief</w:t>
      </w:r>
      <w:r w:rsidR="006E66DE">
        <w:t xml:space="preserve"> at </w:t>
      </w:r>
      <w:r>
        <w:t>10 and TURN Reply Brief</w:t>
      </w:r>
      <w:r w:rsidR="006E66DE">
        <w:t xml:space="preserve"> at </w:t>
      </w:r>
      <w:r>
        <w:t>8.</w:t>
      </w:r>
    </w:p>
  </w:footnote>
  <w:footnote w:id="56">
    <w:p w14:paraId="78E5820F" w14:textId="569AB57D" w:rsidR="00662202" w:rsidRDefault="00662202" w:rsidP="00662202">
      <w:pPr>
        <w:pStyle w:val="FootnoteText"/>
      </w:pPr>
      <w:r>
        <w:rPr>
          <w:rStyle w:val="FootnoteReference"/>
        </w:rPr>
        <w:footnoteRef/>
      </w:r>
      <w:r>
        <w:t xml:space="preserve"> This is somewhat analogous to the situation in </w:t>
      </w:r>
      <w:r w:rsidRPr="00346646">
        <w:rPr>
          <w:i/>
          <w:iCs/>
        </w:rPr>
        <w:t>Richfield</w:t>
      </w:r>
      <w:r>
        <w:t xml:space="preserve">, wherein the Court declined to determine whether the reference to “fluid” in </w:t>
      </w:r>
      <w:r w:rsidR="00AF58FE">
        <w:t>Pub. Util.</w:t>
      </w:r>
      <w:r w:rsidR="009161FC">
        <w:t xml:space="preserve"> </w:t>
      </w:r>
      <w:r w:rsidR="00AF58FE">
        <w:t>Code S</w:t>
      </w:r>
      <w:r>
        <w:t>ection</w:t>
      </w:r>
      <w:r w:rsidR="004F11BC">
        <w:t> </w:t>
      </w:r>
      <w:r>
        <w:t>227 encompasses gas</w:t>
      </w:r>
      <w:r w:rsidR="004F11BC">
        <w:t>.</w:t>
      </w:r>
    </w:p>
  </w:footnote>
  <w:footnote w:id="57">
    <w:p w14:paraId="43FA13E6" w14:textId="5703A403" w:rsidR="007B21A3" w:rsidRDefault="007B21A3" w:rsidP="007B21A3">
      <w:pPr>
        <w:pStyle w:val="FootnoteText"/>
      </w:pPr>
      <w:r>
        <w:rPr>
          <w:rStyle w:val="FootnoteReference"/>
        </w:rPr>
        <w:footnoteRef/>
      </w:r>
      <w:r>
        <w:t xml:space="preserve"> Opening briefs of CSPTC</w:t>
      </w:r>
      <w:r w:rsidR="006E66DE">
        <w:t xml:space="preserve"> at </w:t>
      </w:r>
      <w:r>
        <w:t>9 and SoCalGas</w:t>
      </w:r>
      <w:r w:rsidR="006E66DE">
        <w:t xml:space="preserve"> at </w:t>
      </w:r>
      <w:r>
        <w:t>11.</w:t>
      </w:r>
    </w:p>
  </w:footnote>
  <w:footnote w:id="58">
    <w:p w14:paraId="6BDA432E" w14:textId="47CCF668" w:rsidR="007B21A3" w:rsidRDefault="007B21A3" w:rsidP="007B21A3">
      <w:pPr>
        <w:pStyle w:val="FootnoteText"/>
      </w:pPr>
      <w:r>
        <w:rPr>
          <w:rStyle w:val="FootnoteReference"/>
        </w:rPr>
        <w:footnoteRef/>
      </w:r>
      <w:r>
        <w:t xml:space="preserve"> Opening briefs of CSPTC</w:t>
      </w:r>
      <w:r w:rsidR="006E66DE">
        <w:t xml:space="preserve"> at </w:t>
      </w:r>
      <w:r>
        <w:t>9 and SoCalGas</w:t>
      </w:r>
      <w:r w:rsidR="006E66DE">
        <w:t xml:space="preserve"> at </w:t>
      </w:r>
      <w:r>
        <w:t>13</w:t>
      </w:r>
      <w:r w:rsidR="00C93942">
        <w:noBreakHyphen/>
      </w:r>
      <w:r>
        <w:t>14.</w:t>
      </w:r>
    </w:p>
  </w:footnote>
  <w:footnote w:id="59">
    <w:p w14:paraId="4B755E3A" w14:textId="4440D561" w:rsidR="000219E4" w:rsidRDefault="000219E4" w:rsidP="000219E4">
      <w:pPr>
        <w:pStyle w:val="FootnoteText"/>
      </w:pPr>
      <w:r w:rsidRPr="00B4417C">
        <w:rPr>
          <w:rStyle w:val="FootnoteReference"/>
        </w:rPr>
        <w:footnoteRef/>
      </w:r>
      <w:r w:rsidRPr="00B4417C">
        <w:t xml:space="preserve"> Opening </w:t>
      </w:r>
      <w:r w:rsidR="004C4AFB">
        <w:t>b</w:t>
      </w:r>
      <w:r w:rsidRPr="00B4417C">
        <w:t>rief</w:t>
      </w:r>
      <w:r w:rsidR="004C4AFB">
        <w:t>s</w:t>
      </w:r>
      <w:r w:rsidRPr="00B4417C">
        <w:t xml:space="preserve"> of Air Products</w:t>
      </w:r>
      <w:r w:rsidR="006E66DE">
        <w:t xml:space="preserve"> at </w:t>
      </w:r>
      <w:r w:rsidRPr="00B4417C">
        <w:t>14</w:t>
      </w:r>
      <w:r w:rsidR="00C93942">
        <w:noBreakHyphen/>
      </w:r>
      <w:r w:rsidRPr="00B4417C">
        <w:t>17, First Public H2</w:t>
      </w:r>
      <w:r w:rsidR="006E66DE">
        <w:t xml:space="preserve"> at </w:t>
      </w:r>
      <w:r w:rsidRPr="00B4417C">
        <w:t xml:space="preserve">8, </w:t>
      </w:r>
      <w:r w:rsidR="00EF3DE2">
        <w:t xml:space="preserve">and </w:t>
      </w:r>
      <w:r w:rsidRPr="00B4417C">
        <w:t>Indicated Shippers</w:t>
      </w:r>
      <w:r w:rsidR="006E66DE">
        <w:t xml:space="preserve"> at </w:t>
      </w:r>
      <w:r>
        <w:t>12</w:t>
      </w:r>
      <w:r w:rsidR="00C93942">
        <w:noBreakHyphen/>
      </w:r>
      <w:r>
        <w:t>13</w:t>
      </w:r>
      <w:r w:rsidRPr="00B4417C">
        <w:t>.</w:t>
      </w:r>
    </w:p>
  </w:footnote>
  <w:footnote w:id="60">
    <w:p w14:paraId="7FB11A82" w14:textId="63A38786" w:rsidR="007B21A3" w:rsidRDefault="007B21A3" w:rsidP="007B21A3">
      <w:pPr>
        <w:pStyle w:val="FootnoteText"/>
      </w:pPr>
      <w:r>
        <w:rPr>
          <w:rStyle w:val="FootnoteReference"/>
        </w:rPr>
        <w:footnoteRef/>
      </w:r>
      <w:r>
        <w:t xml:space="preserve"> SoCalGas Opening Brief</w:t>
      </w:r>
      <w:r w:rsidR="006E66DE">
        <w:t xml:space="preserve"> at </w:t>
      </w:r>
      <w:r>
        <w:t>10.</w:t>
      </w:r>
    </w:p>
  </w:footnote>
  <w:footnote w:id="61">
    <w:p w14:paraId="4852F512" w14:textId="209E4C84" w:rsidR="007B21A3" w:rsidRDefault="007B21A3" w:rsidP="007B21A3">
      <w:pPr>
        <w:pStyle w:val="FootnoteText"/>
      </w:pPr>
      <w:r>
        <w:rPr>
          <w:rStyle w:val="FootnoteReference"/>
        </w:rPr>
        <w:footnoteRef/>
      </w:r>
      <w:r>
        <w:t xml:space="preserve"> Opening briefs of SoCalGas, CSPTC, SCGC, </w:t>
      </w:r>
      <w:r w:rsidR="00D4610D">
        <w:t xml:space="preserve">and </w:t>
      </w:r>
      <w:r>
        <w:t>UWUA Local</w:t>
      </w:r>
      <w:r w:rsidR="00B21ADF">
        <w:t> </w:t>
      </w:r>
      <w:r>
        <w:t>483.</w:t>
      </w:r>
    </w:p>
  </w:footnote>
  <w:footnote w:id="62">
    <w:p w14:paraId="31909985" w14:textId="09446BF0" w:rsidR="007B21A3" w:rsidRDefault="007B21A3" w:rsidP="007B21A3">
      <w:pPr>
        <w:pStyle w:val="FootnoteText"/>
      </w:pPr>
      <w:r>
        <w:rPr>
          <w:rStyle w:val="FootnoteReference"/>
        </w:rPr>
        <w:footnoteRef/>
      </w:r>
      <w:r>
        <w:t xml:space="preserve"> EDF Opening Brief</w:t>
      </w:r>
      <w:r w:rsidR="006E66DE">
        <w:t xml:space="preserve"> at </w:t>
      </w:r>
      <w:r>
        <w:t>8.</w:t>
      </w:r>
    </w:p>
  </w:footnote>
  <w:footnote w:id="63">
    <w:p w14:paraId="135E3EF6" w14:textId="5678F164" w:rsidR="007B21A3" w:rsidRDefault="007B21A3" w:rsidP="007B21A3">
      <w:pPr>
        <w:pStyle w:val="FootnoteText"/>
      </w:pPr>
      <w:r>
        <w:rPr>
          <w:rStyle w:val="FootnoteReference"/>
        </w:rPr>
        <w:footnoteRef/>
      </w:r>
      <w:r>
        <w:t xml:space="preserve"> CEJA/Sierra Club Opening Brief</w:t>
      </w:r>
      <w:r w:rsidR="006E66DE">
        <w:t xml:space="preserve"> at </w:t>
      </w:r>
      <w:r>
        <w:t>19.</w:t>
      </w:r>
    </w:p>
  </w:footnote>
  <w:footnote w:id="64">
    <w:p w14:paraId="21A22D53" w14:textId="0E58F325" w:rsidR="007B21A3" w:rsidRDefault="007B21A3" w:rsidP="007B21A3">
      <w:pPr>
        <w:pStyle w:val="FootnoteText"/>
      </w:pPr>
      <w:r>
        <w:rPr>
          <w:rStyle w:val="FootnoteReference"/>
        </w:rPr>
        <w:footnoteRef/>
      </w:r>
      <w:r>
        <w:t xml:space="preserve"> </w:t>
      </w:r>
      <w:r w:rsidR="00F309E7">
        <w:t xml:space="preserve">Opening </w:t>
      </w:r>
      <w:r w:rsidR="004D18AE">
        <w:t>b</w:t>
      </w:r>
      <w:r w:rsidR="00F309E7">
        <w:t xml:space="preserve">riefs of </w:t>
      </w:r>
      <w:r>
        <w:t>Air Products</w:t>
      </w:r>
      <w:r w:rsidR="006E66DE">
        <w:t xml:space="preserve"> at </w:t>
      </w:r>
      <w:r>
        <w:t>19</w:t>
      </w:r>
      <w:r w:rsidR="00C93942">
        <w:noBreakHyphen/>
      </w:r>
      <w:r>
        <w:t xml:space="preserve">20, </w:t>
      </w:r>
      <w:r w:rsidR="00C93942">
        <w:t>Cal Advoc</w:t>
      </w:r>
      <w:r w:rsidR="00DD3872">
        <w:t>ates</w:t>
      </w:r>
      <w:r w:rsidR="006E66DE">
        <w:t xml:space="preserve"> at </w:t>
      </w:r>
      <w:r w:rsidR="006A3CAD">
        <w:t>11</w:t>
      </w:r>
      <w:r w:rsidR="00DD3872">
        <w:t>,</w:t>
      </w:r>
      <w:r w:rsidR="00DB0C5E">
        <w:t xml:space="preserve"> </w:t>
      </w:r>
      <w:r>
        <w:t>CEJA/Sierra Club</w:t>
      </w:r>
      <w:r w:rsidR="006E66DE">
        <w:t xml:space="preserve"> at </w:t>
      </w:r>
      <w:r>
        <w:t>26</w:t>
      </w:r>
      <w:r w:rsidR="00453318">
        <w:t>, Indicated Shippers</w:t>
      </w:r>
      <w:r w:rsidR="006E66DE">
        <w:t xml:space="preserve"> at </w:t>
      </w:r>
      <w:r w:rsidR="00453318">
        <w:t>26</w:t>
      </w:r>
      <w:r w:rsidR="00F309E7">
        <w:t>;</w:t>
      </w:r>
      <w:r w:rsidR="00DD3872">
        <w:t xml:space="preserve"> </w:t>
      </w:r>
      <w:r w:rsidR="00192061">
        <w:t xml:space="preserve">and </w:t>
      </w:r>
      <w:r w:rsidR="00DD3872">
        <w:t xml:space="preserve">UCAN </w:t>
      </w:r>
      <w:r w:rsidR="00AD25CB">
        <w:t>Reply Brief</w:t>
      </w:r>
      <w:r w:rsidR="006E66DE">
        <w:t xml:space="preserve"> at </w:t>
      </w:r>
      <w:r w:rsidR="00AD25CB">
        <w:t>6.</w:t>
      </w:r>
    </w:p>
  </w:footnote>
  <w:footnote w:id="65">
    <w:p w14:paraId="65B18757" w14:textId="61D23F16" w:rsidR="007B21A3" w:rsidRDefault="007B21A3" w:rsidP="007B21A3">
      <w:pPr>
        <w:pStyle w:val="FootnoteText"/>
      </w:pPr>
      <w:r>
        <w:rPr>
          <w:rStyle w:val="FootnoteReference"/>
        </w:rPr>
        <w:footnoteRef/>
      </w:r>
      <w:r>
        <w:t xml:space="preserve"> CEJA/Sierra Club Opening Brief</w:t>
      </w:r>
      <w:r w:rsidR="006E66DE">
        <w:t xml:space="preserve"> at </w:t>
      </w:r>
      <w:r>
        <w:t>11.</w:t>
      </w:r>
    </w:p>
  </w:footnote>
  <w:footnote w:id="66">
    <w:p w14:paraId="66A20BAA" w14:textId="5E243948" w:rsidR="007B21A3" w:rsidRDefault="007B21A3" w:rsidP="007B21A3">
      <w:pPr>
        <w:pStyle w:val="FootnoteText"/>
      </w:pPr>
      <w:r>
        <w:rPr>
          <w:rStyle w:val="FootnoteReference"/>
        </w:rPr>
        <w:footnoteRef/>
      </w:r>
      <w:r>
        <w:t xml:space="preserve"> </w:t>
      </w:r>
      <w:r w:rsidR="00C93942">
        <w:t>Phase 2</w:t>
      </w:r>
      <w:r>
        <w:t xml:space="preserve"> Application</w:t>
      </w:r>
      <w:r w:rsidR="006E66DE">
        <w:t xml:space="preserve"> at </w:t>
      </w:r>
      <w:r>
        <w:t>3.</w:t>
      </w:r>
    </w:p>
  </w:footnote>
  <w:footnote w:id="67">
    <w:p w14:paraId="71A66AA5" w14:textId="6AEF56AE" w:rsidR="007B21A3" w:rsidRDefault="007B21A3" w:rsidP="007B21A3">
      <w:pPr>
        <w:pStyle w:val="FootnoteText"/>
      </w:pPr>
      <w:r>
        <w:rPr>
          <w:rStyle w:val="FootnoteReference"/>
        </w:rPr>
        <w:footnoteRef/>
      </w:r>
      <w:r>
        <w:t xml:space="preserve"> </w:t>
      </w:r>
      <w:r w:rsidR="00C93942">
        <w:t>Cal Advoc</w:t>
      </w:r>
      <w:r w:rsidR="00D4610D" w:rsidRPr="00D4610D">
        <w:t>ates</w:t>
      </w:r>
      <w:r w:rsidR="006310B5">
        <w:t xml:space="preserve"> Opening Brief</w:t>
      </w:r>
      <w:r w:rsidR="006E66DE">
        <w:t xml:space="preserve"> at </w:t>
      </w:r>
      <w:r w:rsidR="006310B5">
        <w:t>13</w:t>
      </w:r>
      <w:r w:rsidR="00826561">
        <w:t xml:space="preserve"> and </w:t>
      </w:r>
      <w:r>
        <w:t>CEJA/Sierra Club Reply Brief</w:t>
      </w:r>
      <w:r w:rsidR="006E66DE">
        <w:t xml:space="preserve"> at </w:t>
      </w:r>
      <w:r>
        <w:t>21</w:t>
      </w:r>
      <w:r w:rsidR="0054162F">
        <w:t>.</w:t>
      </w:r>
    </w:p>
  </w:footnote>
  <w:footnote w:id="68">
    <w:p w14:paraId="18563FBE" w14:textId="1566F9D4" w:rsidR="007B21A3" w:rsidRDefault="007B21A3" w:rsidP="007B21A3">
      <w:pPr>
        <w:pStyle w:val="FootnoteText"/>
      </w:pPr>
      <w:r>
        <w:rPr>
          <w:rStyle w:val="FootnoteReference"/>
        </w:rPr>
        <w:footnoteRef/>
      </w:r>
      <w:r>
        <w:t xml:space="preserve"> </w:t>
      </w:r>
      <w:r w:rsidR="00A455EF">
        <w:t xml:space="preserve">CEJA/Sierra Club </w:t>
      </w:r>
      <w:r>
        <w:t xml:space="preserve">Opening </w:t>
      </w:r>
      <w:r w:rsidR="00D17D04">
        <w:t>B</w:t>
      </w:r>
      <w:r>
        <w:t>rief</w:t>
      </w:r>
      <w:r w:rsidR="006E66DE">
        <w:t xml:space="preserve"> at </w:t>
      </w:r>
      <w:r>
        <w:t>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01F13" w14:textId="25EAB784" w:rsidR="00EC73ED" w:rsidRDefault="00EC73ED" w:rsidP="00EC73ED">
    <w:pPr>
      <w:pStyle w:val="Header"/>
      <w:tabs>
        <w:tab w:val="clear" w:pos="4680"/>
      </w:tabs>
      <w:ind w:firstLine="0"/>
      <w:rPr>
        <w:b/>
      </w:rPr>
    </w:pPr>
    <w:r w:rsidRPr="00B97024">
      <w:t>A</w:t>
    </w:r>
    <w:r>
      <w:t>.</w:t>
    </w:r>
    <w:r w:rsidRPr="00B97024">
      <w:t>24</w:t>
    </w:r>
    <w:r w:rsidR="00C93942">
      <w:noBreakHyphen/>
    </w:r>
    <w:r w:rsidRPr="00B97024">
      <w:t>12</w:t>
    </w:r>
    <w:r w:rsidR="00C93942">
      <w:noBreakHyphen/>
    </w:r>
    <w:r w:rsidRPr="00B97024">
      <w:t>011</w:t>
    </w:r>
    <w:r>
      <w:t xml:space="preserve">  ALJ/J06/nd3</w:t>
    </w:r>
    <w:r>
      <w:tab/>
    </w:r>
    <w:r w:rsidRPr="00B97024">
      <w:rPr>
        <w:bCs/>
      </w:rPr>
      <w:t>PROPOSED DECISION</w:t>
    </w:r>
    <w:r w:rsidR="00570764">
      <w:rPr>
        <w:bCs/>
      </w:rPr>
      <w:t xml:space="preserve"> </w:t>
    </w:r>
    <w:r w:rsidR="00570764" w:rsidRPr="00570764">
      <w:rPr>
        <w:bCs/>
      </w:rPr>
      <w:t>(Rev.1)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86F3E" w14:textId="77777777" w:rsidR="00B97024" w:rsidRPr="002E0359" w:rsidRDefault="00B97024" w:rsidP="002E0359">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608"/>
    <w:multiLevelType w:val="hybridMultilevel"/>
    <w:tmpl w:val="1990FC36"/>
    <w:lvl w:ilvl="0" w:tplc="BC64FE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4A23C5"/>
    <w:multiLevelType w:val="hybridMultilevel"/>
    <w:tmpl w:val="95148882"/>
    <w:lvl w:ilvl="0" w:tplc="66CC045C">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6C1C14"/>
    <w:multiLevelType w:val="multilevel"/>
    <w:tmpl w:val="18F4A5AC"/>
    <w:styleLink w:val="FoFCoLOP"/>
    <w:lvl w:ilvl="0">
      <w:start w:val="1"/>
      <w:numFmt w:val="decimal"/>
      <w:pStyle w:val="Co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4" w15:restartNumberingAfterBreak="0">
    <w:nsid w:val="15F056CB"/>
    <w:multiLevelType w:val="multilevel"/>
    <w:tmpl w:val="18F4A5AC"/>
    <w:numStyleLink w:val="FoFCoLOP"/>
  </w:abstractNum>
  <w:abstractNum w:abstractNumId="5"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D70038F"/>
    <w:multiLevelType w:val="multilevel"/>
    <w:tmpl w:val="3C526EDE"/>
    <w:numStyleLink w:val="Headings"/>
  </w:abstractNum>
  <w:abstractNum w:abstractNumId="7" w15:restartNumberingAfterBreak="0">
    <w:nsid w:val="1E2242C9"/>
    <w:multiLevelType w:val="multilevel"/>
    <w:tmpl w:val="3C526EDE"/>
    <w:numStyleLink w:val="Headings"/>
  </w:abstractNum>
  <w:abstractNum w:abstractNumId="8" w15:restartNumberingAfterBreak="0">
    <w:nsid w:val="21FB58FE"/>
    <w:multiLevelType w:val="multilevel"/>
    <w:tmpl w:val="3C526EDE"/>
    <w:numStyleLink w:val="Headings"/>
  </w:abstractNum>
  <w:abstractNum w:abstractNumId="9" w15:restartNumberingAfterBreak="0">
    <w:nsid w:val="243663A0"/>
    <w:multiLevelType w:val="multilevel"/>
    <w:tmpl w:val="3C526EDE"/>
    <w:numStyleLink w:val="Headings"/>
  </w:abstractNum>
  <w:abstractNum w:abstractNumId="10" w15:restartNumberingAfterBreak="0">
    <w:nsid w:val="2B8124D7"/>
    <w:multiLevelType w:val="multilevel"/>
    <w:tmpl w:val="3C526EDE"/>
    <w:numStyleLink w:val="Headings"/>
  </w:abstractNum>
  <w:abstractNum w:abstractNumId="11" w15:restartNumberingAfterBreak="0">
    <w:nsid w:val="331F6D42"/>
    <w:multiLevelType w:val="multilevel"/>
    <w:tmpl w:val="3C526EDE"/>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2" w15:restartNumberingAfterBreak="0">
    <w:nsid w:val="549104FC"/>
    <w:multiLevelType w:val="hybridMultilevel"/>
    <w:tmpl w:val="AF42F70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59D042D7"/>
    <w:multiLevelType w:val="multilevel"/>
    <w:tmpl w:val="18F4A5AC"/>
    <w:numStyleLink w:val="FoFCoLOP"/>
  </w:abstractNum>
  <w:abstractNum w:abstractNumId="14" w15:restartNumberingAfterBreak="0">
    <w:nsid w:val="5A9E2171"/>
    <w:multiLevelType w:val="multilevel"/>
    <w:tmpl w:val="3C526EDE"/>
    <w:numStyleLink w:val="Headings"/>
  </w:abstractNum>
  <w:abstractNum w:abstractNumId="15" w15:restartNumberingAfterBreak="0">
    <w:nsid w:val="61A25780"/>
    <w:multiLevelType w:val="multilevel"/>
    <w:tmpl w:val="5D1435B2"/>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ind w:left="1584" w:hanging="864"/>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6"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89A0AFE"/>
    <w:multiLevelType w:val="multilevel"/>
    <w:tmpl w:val="18F4A5AC"/>
    <w:numStyleLink w:val="FoFCoLOP"/>
  </w:abstractNum>
  <w:num w:numId="1" w16cid:durableId="1354526949">
    <w:abstractNumId w:val="14"/>
  </w:num>
  <w:num w:numId="2" w16cid:durableId="140774137">
    <w:abstractNumId w:val="3"/>
  </w:num>
  <w:num w:numId="3" w16cid:durableId="1898543446">
    <w:abstractNumId w:val="13"/>
  </w:num>
  <w:num w:numId="4" w16cid:durableId="701521005">
    <w:abstractNumId w:val="4"/>
  </w:num>
  <w:num w:numId="5" w16cid:durableId="2017029027">
    <w:abstractNumId w:val="17"/>
  </w:num>
  <w:num w:numId="6" w16cid:durableId="973756952">
    <w:abstractNumId w:val="11"/>
  </w:num>
  <w:num w:numId="7" w16cid:durableId="827667741">
    <w:abstractNumId w:val="7"/>
  </w:num>
  <w:num w:numId="8" w16cid:durableId="1760327020">
    <w:abstractNumId w:val="16"/>
  </w:num>
  <w:num w:numId="9" w16cid:durableId="816924040">
    <w:abstractNumId w:val="0"/>
  </w:num>
  <w:num w:numId="10" w16cid:durableId="1817916489">
    <w:abstractNumId w:val="6"/>
  </w:num>
  <w:num w:numId="11" w16cid:durableId="291985460">
    <w:abstractNumId w:val="8"/>
  </w:num>
  <w:num w:numId="12" w16cid:durableId="467941983">
    <w:abstractNumId w:val="5"/>
  </w:num>
  <w:num w:numId="13" w16cid:durableId="712996464">
    <w:abstractNumId w:val="9"/>
  </w:num>
  <w:num w:numId="14" w16cid:durableId="1303778653">
    <w:abstractNumId w:val="10"/>
  </w:num>
  <w:num w:numId="15" w16cid:durableId="1714382259">
    <w:abstractNumId w:val="15"/>
  </w:num>
  <w:num w:numId="16" w16cid:durableId="5481076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15"/>
  </w:num>
  <w:num w:numId="18" w16cid:durableId="647713229">
    <w:abstractNumId w:val="1"/>
  </w:num>
  <w:num w:numId="19" w16cid:durableId="1658146994">
    <w:abstractNumId w:val="15"/>
  </w:num>
  <w:num w:numId="20" w16cid:durableId="1035666122">
    <w:abstractNumId w:val="15"/>
  </w:num>
  <w:num w:numId="21" w16cid:durableId="650250106">
    <w:abstractNumId w:val="15"/>
  </w:num>
  <w:num w:numId="22" w16cid:durableId="1061441518">
    <w:abstractNumId w:val="15"/>
  </w:num>
  <w:num w:numId="23" w16cid:durableId="182716880">
    <w:abstractNumId w:val="2"/>
  </w:num>
  <w:num w:numId="24" w16cid:durableId="1891382665">
    <w:abstractNumId w:val="12"/>
  </w:num>
  <w:num w:numId="25" w16cid:durableId="6381475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18517087">
    <w:abstractNumId w:val="4"/>
  </w:num>
  <w:num w:numId="27" w16cid:durableId="1918130493">
    <w:abstractNumId w:val="4"/>
  </w:num>
  <w:num w:numId="28" w16cid:durableId="201405070">
    <w:abstractNumId w:val="4"/>
  </w:num>
  <w:num w:numId="29" w16cid:durableId="1186137751">
    <w:abstractNumId w:val="4"/>
  </w:num>
  <w:num w:numId="30" w16cid:durableId="949358424">
    <w:abstractNumId w:val="4"/>
  </w:num>
  <w:num w:numId="31" w16cid:durableId="47271245">
    <w:abstractNumId w:val="4"/>
  </w:num>
  <w:num w:numId="32" w16cid:durableId="308363014">
    <w:abstractNumId w:val="4"/>
  </w:num>
  <w:num w:numId="33" w16cid:durableId="1242831082">
    <w:abstractNumId w:val="4"/>
  </w:num>
  <w:num w:numId="34" w16cid:durableId="1724401918">
    <w:abstractNumId w:val="4"/>
  </w:num>
  <w:num w:numId="35" w16cid:durableId="740446908">
    <w:abstractNumId w:val="4"/>
  </w:num>
  <w:num w:numId="36" w16cid:durableId="8325972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68B"/>
    <w:rsid w:val="000002C0"/>
    <w:rsid w:val="00000310"/>
    <w:rsid w:val="000008E6"/>
    <w:rsid w:val="00000F6A"/>
    <w:rsid w:val="00001D34"/>
    <w:rsid w:val="000030D5"/>
    <w:rsid w:val="00003BA4"/>
    <w:rsid w:val="0000423E"/>
    <w:rsid w:val="00004DA3"/>
    <w:rsid w:val="0000669D"/>
    <w:rsid w:val="00007B5D"/>
    <w:rsid w:val="00010B8E"/>
    <w:rsid w:val="00010F6A"/>
    <w:rsid w:val="00011136"/>
    <w:rsid w:val="00011CEB"/>
    <w:rsid w:val="00013010"/>
    <w:rsid w:val="0001355A"/>
    <w:rsid w:val="00013616"/>
    <w:rsid w:val="00013E1F"/>
    <w:rsid w:val="00015194"/>
    <w:rsid w:val="0001667B"/>
    <w:rsid w:val="00020088"/>
    <w:rsid w:val="00020A92"/>
    <w:rsid w:val="0002148F"/>
    <w:rsid w:val="000219E4"/>
    <w:rsid w:val="00021BC5"/>
    <w:rsid w:val="00021BCC"/>
    <w:rsid w:val="000236C4"/>
    <w:rsid w:val="0002405A"/>
    <w:rsid w:val="00025C37"/>
    <w:rsid w:val="00026A2A"/>
    <w:rsid w:val="00026C1D"/>
    <w:rsid w:val="00026C22"/>
    <w:rsid w:val="0002707C"/>
    <w:rsid w:val="000272A6"/>
    <w:rsid w:val="00027614"/>
    <w:rsid w:val="0003013F"/>
    <w:rsid w:val="00030A53"/>
    <w:rsid w:val="00031133"/>
    <w:rsid w:val="000311DA"/>
    <w:rsid w:val="00031342"/>
    <w:rsid w:val="00032253"/>
    <w:rsid w:val="00032B1E"/>
    <w:rsid w:val="00032C97"/>
    <w:rsid w:val="00032EE6"/>
    <w:rsid w:val="00034667"/>
    <w:rsid w:val="00034D6D"/>
    <w:rsid w:val="00035BF3"/>
    <w:rsid w:val="00035E35"/>
    <w:rsid w:val="00035EAD"/>
    <w:rsid w:val="00036086"/>
    <w:rsid w:val="000364D9"/>
    <w:rsid w:val="00037082"/>
    <w:rsid w:val="000370C8"/>
    <w:rsid w:val="000377C9"/>
    <w:rsid w:val="000416B0"/>
    <w:rsid w:val="000419C1"/>
    <w:rsid w:val="00042A83"/>
    <w:rsid w:val="0004305D"/>
    <w:rsid w:val="0004328D"/>
    <w:rsid w:val="00043DDC"/>
    <w:rsid w:val="00043E33"/>
    <w:rsid w:val="00043FAA"/>
    <w:rsid w:val="000452D4"/>
    <w:rsid w:val="00045585"/>
    <w:rsid w:val="00045D16"/>
    <w:rsid w:val="000466A1"/>
    <w:rsid w:val="000478C4"/>
    <w:rsid w:val="00051AC4"/>
    <w:rsid w:val="00051F71"/>
    <w:rsid w:val="0005245D"/>
    <w:rsid w:val="00052B63"/>
    <w:rsid w:val="000530A4"/>
    <w:rsid w:val="0005340A"/>
    <w:rsid w:val="00053A4C"/>
    <w:rsid w:val="00053FC3"/>
    <w:rsid w:val="000547CB"/>
    <w:rsid w:val="0005486D"/>
    <w:rsid w:val="00054EF9"/>
    <w:rsid w:val="00055D88"/>
    <w:rsid w:val="00055FC0"/>
    <w:rsid w:val="0005638D"/>
    <w:rsid w:val="0005658C"/>
    <w:rsid w:val="00057CB7"/>
    <w:rsid w:val="000630E5"/>
    <w:rsid w:val="000631AE"/>
    <w:rsid w:val="00064692"/>
    <w:rsid w:val="00064E13"/>
    <w:rsid w:val="00065863"/>
    <w:rsid w:val="00065CB8"/>
    <w:rsid w:val="00066039"/>
    <w:rsid w:val="00066BB5"/>
    <w:rsid w:val="00067A06"/>
    <w:rsid w:val="00067F72"/>
    <w:rsid w:val="0007002F"/>
    <w:rsid w:val="00070789"/>
    <w:rsid w:val="00070E47"/>
    <w:rsid w:val="0007115A"/>
    <w:rsid w:val="000720F9"/>
    <w:rsid w:val="00072FCF"/>
    <w:rsid w:val="00073563"/>
    <w:rsid w:val="000739AC"/>
    <w:rsid w:val="0007418C"/>
    <w:rsid w:val="00075226"/>
    <w:rsid w:val="00075693"/>
    <w:rsid w:val="00075717"/>
    <w:rsid w:val="000765F9"/>
    <w:rsid w:val="00077928"/>
    <w:rsid w:val="00077B28"/>
    <w:rsid w:val="00077D10"/>
    <w:rsid w:val="00080048"/>
    <w:rsid w:val="00081620"/>
    <w:rsid w:val="0008279F"/>
    <w:rsid w:val="0008457F"/>
    <w:rsid w:val="00084833"/>
    <w:rsid w:val="00084B92"/>
    <w:rsid w:val="00084D75"/>
    <w:rsid w:val="000858D3"/>
    <w:rsid w:val="0009095C"/>
    <w:rsid w:val="00090B9F"/>
    <w:rsid w:val="000911BF"/>
    <w:rsid w:val="00091421"/>
    <w:rsid w:val="0009292B"/>
    <w:rsid w:val="0009308F"/>
    <w:rsid w:val="00093482"/>
    <w:rsid w:val="0009386B"/>
    <w:rsid w:val="0009397C"/>
    <w:rsid w:val="00094005"/>
    <w:rsid w:val="00095E1E"/>
    <w:rsid w:val="0009612F"/>
    <w:rsid w:val="000964AA"/>
    <w:rsid w:val="00096DEC"/>
    <w:rsid w:val="0009703B"/>
    <w:rsid w:val="000973C8"/>
    <w:rsid w:val="00097EDA"/>
    <w:rsid w:val="000A0163"/>
    <w:rsid w:val="000A064C"/>
    <w:rsid w:val="000A0CE3"/>
    <w:rsid w:val="000A10EC"/>
    <w:rsid w:val="000A12CE"/>
    <w:rsid w:val="000A23B9"/>
    <w:rsid w:val="000A2AA9"/>
    <w:rsid w:val="000A2FDE"/>
    <w:rsid w:val="000A30F8"/>
    <w:rsid w:val="000A3312"/>
    <w:rsid w:val="000A343F"/>
    <w:rsid w:val="000A3E7F"/>
    <w:rsid w:val="000A41F1"/>
    <w:rsid w:val="000A434E"/>
    <w:rsid w:val="000A491E"/>
    <w:rsid w:val="000A50A2"/>
    <w:rsid w:val="000A54DB"/>
    <w:rsid w:val="000A56F2"/>
    <w:rsid w:val="000A68DE"/>
    <w:rsid w:val="000A6E05"/>
    <w:rsid w:val="000B057B"/>
    <w:rsid w:val="000B0634"/>
    <w:rsid w:val="000B12FA"/>
    <w:rsid w:val="000B18B3"/>
    <w:rsid w:val="000B1A78"/>
    <w:rsid w:val="000B3C95"/>
    <w:rsid w:val="000B4287"/>
    <w:rsid w:val="000B4818"/>
    <w:rsid w:val="000B48A1"/>
    <w:rsid w:val="000B491E"/>
    <w:rsid w:val="000B4A04"/>
    <w:rsid w:val="000B5506"/>
    <w:rsid w:val="000B6EE8"/>
    <w:rsid w:val="000B7BEA"/>
    <w:rsid w:val="000C01AB"/>
    <w:rsid w:val="000C08BF"/>
    <w:rsid w:val="000C0FDE"/>
    <w:rsid w:val="000C18DC"/>
    <w:rsid w:val="000C276B"/>
    <w:rsid w:val="000C2BBF"/>
    <w:rsid w:val="000C302C"/>
    <w:rsid w:val="000C324E"/>
    <w:rsid w:val="000C34D0"/>
    <w:rsid w:val="000C3B9A"/>
    <w:rsid w:val="000C47B5"/>
    <w:rsid w:val="000C65DB"/>
    <w:rsid w:val="000C7BFB"/>
    <w:rsid w:val="000D09A2"/>
    <w:rsid w:val="000D24B4"/>
    <w:rsid w:val="000D2554"/>
    <w:rsid w:val="000D25A8"/>
    <w:rsid w:val="000D2636"/>
    <w:rsid w:val="000D30FD"/>
    <w:rsid w:val="000D3F2E"/>
    <w:rsid w:val="000D405F"/>
    <w:rsid w:val="000D408B"/>
    <w:rsid w:val="000D4606"/>
    <w:rsid w:val="000D5008"/>
    <w:rsid w:val="000D5EE9"/>
    <w:rsid w:val="000D661F"/>
    <w:rsid w:val="000E0A3A"/>
    <w:rsid w:val="000E0E22"/>
    <w:rsid w:val="000E0F3E"/>
    <w:rsid w:val="000E1202"/>
    <w:rsid w:val="000E1AAC"/>
    <w:rsid w:val="000E270A"/>
    <w:rsid w:val="000E2EDA"/>
    <w:rsid w:val="000E31D0"/>
    <w:rsid w:val="000E3CBE"/>
    <w:rsid w:val="000E427D"/>
    <w:rsid w:val="000E4B13"/>
    <w:rsid w:val="000E4B55"/>
    <w:rsid w:val="000E4C53"/>
    <w:rsid w:val="000E512E"/>
    <w:rsid w:val="000E5564"/>
    <w:rsid w:val="000E69CF"/>
    <w:rsid w:val="000E71F1"/>
    <w:rsid w:val="000E74B4"/>
    <w:rsid w:val="000E7B27"/>
    <w:rsid w:val="000F0B4F"/>
    <w:rsid w:val="000F0B5A"/>
    <w:rsid w:val="000F180F"/>
    <w:rsid w:val="000F2264"/>
    <w:rsid w:val="000F2302"/>
    <w:rsid w:val="000F26EE"/>
    <w:rsid w:val="000F286B"/>
    <w:rsid w:val="000F2AF4"/>
    <w:rsid w:val="000F3490"/>
    <w:rsid w:val="000F48C6"/>
    <w:rsid w:val="000F4AEF"/>
    <w:rsid w:val="000F4E4B"/>
    <w:rsid w:val="000F4FA8"/>
    <w:rsid w:val="000F5067"/>
    <w:rsid w:val="000F53A4"/>
    <w:rsid w:val="000F61D6"/>
    <w:rsid w:val="00100230"/>
    <w:rsid w:val="001003B9"/>
    <w:rsid w:val="00100C47"/>
    <w:rsid w:val="00101046"/>
    <w:rsid w:val="001011EC"/>
    <w:rsid w:val="001022FE"/>
    <w:rsid w:val="00102599"/>
    <w:rsid w:val="00102C3B"/>
    <w:rsid w:val="00102EF5"/>
    <w:rsid w:val="0010324B"/>
    <w:rsid w:val="001035D2"/>
    <w:rsid w:val="00104B7E"/>
    <w:rsid w:val="001059C5"/>
    <w:rsid w:val="0010734C"/>
    <w:rsid w:val="0010742A"/>
    <w:rsid w:val="0010751B"/>
    <w:rsid w:val="00107E99"/>
    <w:rsid w:val="00110307"/>
    <w:rsid w:val="00110DB9"/>
    <w:rsid w:val="00111670"/>
    <w:rsid w:val="0011179C"/>
    <w:rsid w:val="00112785"/>
    <w:rsid w:val="00112DD2"/>
    <w:rsid w:val="001130F1"/>
    <w:rsid w:val="001140BC"/>
    <w:rsid w:val="00114100"/>
    <w:rsid w:val="00114637"/>
    <w:rsid w:val="001158E3"/>
    <w:rsid w:val="001165FF"/>
    <w:rsid w:val="001172E5"/>
    <w:rsid w:val="001177CC"/>
    <w:rsid w:val="001200CD"/>
    <w:rsid w:val="00120704"/>
    <w:rsid w:val="00121089"/>
    <w:rsid w:val="00122A98"/>
    <w:rsid w:val="00122E0A"/>
    <w:rsid w:val="00123307"/>
    <w:rsid w:val="001234AB"/>
    <w:rsid w:val="0012436B"/>
    <w:rsid w:val="00126E14"/>
    <w:rsid w:val="0013000C"/>
    <w:rsid w:val="0013072E"/>
    <w:rsid w:val="001316FE"/>
    <w:rsid w:val="00132593"/>
    <w:rsid w:val="001328B8"/>
    <w:rsid w:val="00134744"/>
    <w:rsid w:val="00135961"/>
    <w:rsid w:val="00137CF0"/>
    <w:rsid w:val="00140CDD"/>
    <w:rsid w:val="00141288"/>
    <w:rsid w:val="00141F9B"/>
    <w:rsid w:val="00142852"/>
    <w:rsid w:val="00142DF4"/>
    <w:rsid w:val="00143359"/>
    <w:rsid w:val="001436AA"/>
    <w:rsid w:val="001442FC"/>
    <w:rsid w:val="00146979"/>
    <w:rsid w:val="00147666"/>
    <w:rsid w:val="00147E1C"/>
    <w:rsid w:val="001506BF"/>
    <w:rsid w:val="00151151"/>
    <w:rsid w:val="001530F0"/>
    <w:rsid w:val="0015476F"/>
    <w:rsid w:val="00154D5E"/>
    <w:rsid w:val="0015632F"/>
    <w:rsid w:val="00156C15"/>
    <w:rsid w:val="001573D8"/>
    <w:rsid w:val="00157521"/>
    <w:rsid w:val="001614B8"/>
    <w:rsid w:val="0016155E"/>
    <w:rsid w:val="00161B02"/>
    <w:rsid w:val="00163355"/>
    <w:rsid w:val="0016353A"/>
    <w:rsid w:val="0016465C"/>
    <w:rsid w:val="00164F5B"/>
    <w:rsid w:val="0016505D"/>
    <w:rsid w:val="001651DD"/>
    <w:rsid w:val="00165956"/>
    <w:rsid w:val="001659BA"/>
    <w:rsid w:val="00166016"/>
    <w:rsid w:val="0016690B"/>
    <w:rsid w:val="00166C89"/>
    <w:rsid w:val="0016737C"/>
    <w:rsid w:val="00167385"/>
    <w:rsid w:val="00171066"/>
    <w:rsid w:val="001722E2"/>
    <w:rsid w:val="001726C1"/>
    <w:rsid w:val="00172B1F"/>
    <w:rsid w:val="00172D8A"/>
    <w:rsid w:val="00172DE9"/>
    <w:rsid w:val="00173D03"/>
    <w:rsid w:val="00173EFE"/>
    <w:rsid w:val="00174CC4"/>
    <w:rsid w:val="0017502F"/>
    <w:rsid w:val="001750EC"/>
    <w:rsid w:val="00175C82"/>
    <w:rsid w:val="001761F3"/>
    <w:rsid w:val="0017653E"/>
    <w:rsid w:val="001766C9"/>
    <w:rsid w:val="00176BAD"/>
    <w:rsid w:val="00177424"/>
    <w:rsid w:val="0017798C"/>
    <w:rsid w:val="0018042F"/>
    <w:rsid w:val="00180C98"/>
    <w:rsid w:val="0018162C"/>
    <w:rsid w:val="00181AA9"/>
    <w:rsid w:val="00181DF4"/>
    <w:rsid w:val="00181F00"/>
    <w:rsid w:val="00182B28"/>
    <w:rsid w:val="00183625"/>
    <w:rsid w:val="0018400A"/>
    <w:rsid w:val="0018455B"/>
    <w:rsid w:val="0018477D"/>
    <w:rsid w:val="00184A8F"/>
    <w:rsid w:val="00184F89"/>
    <w:rsid w:val="00186AA4"/>
    <w:rsid w:val="001901F0"/>
    <w:rsid w:val="00191071"/>
    <w:rsid w:val="001917F8"/>
    <w:rsid w:val="001918FF"/>
    <w:rsid w:val="00191FB5"/>
    <w:rsid w:val="00192061"/>
    <w:rsid w:val="0019225D"/>
    <w:rsid w:val="001924D7"/>
    <w:rsid w:val="001927C7"/>
    <w:rsid w:val="0019290B"/>
    <w:rsid w:val="001929B4"/>
    <w:rsid w:val="00192E63"/>
    <w:rsid w:val="001936A9"/>
    <w:rsid w:val="001939ED"/>
    <w:rsid w:val="00193A01"/>
    <w:rsid w:val="00195506"/>
    <w:rsid w:val="0019610B"/>
    <w:rsid w:val="00196A8E"/>
    <w:rsid w:val="00196D1C"/>
    <w:rsid w:val="00197AD7"/>
    <w:rsid w:val="00197B93"/>
    <w:rsid w:val="00197BC8"/>
    <w:rsid w:val="00197C23"/>
    <w:rsid w:val="001A027E"/>
    <w:rsid w:val="001A0A65"/>
    <w:rsid w:val="001A0AAD"/>
    <w:rsid w:val="001A0E48"/>
    <w:rsid w:val="001A1271"/>
    <w:rsid w:val="001A1680"/>
    <w:rsid w:val="001A1B7C"/>
    <w:rsid w:val="001A32A3"/>
    <w:rsid w:val="001A36C3"/>
    <w:rsid w:val="001A3C93"/>
    <w:rsid w:val="001A3EF8"/>
    <w:rsid w:val="001A745C"/>
    <w:rsid w:val="001A7DF8"/>
    <w:rsid w:val="001B0CCC"/>
    <w:rsid w:val="001B17DE"/>
    <w:rsid w:val="001B17FF"/>
    <w:rsid w:val="001B26E7"/>
    <w:rsid w:val="001B34FF"/>
    <w:rsid w:val="001B3C13"/>
    <w:rsid w:val="001B40A7"/>
    <w:rsid w:val="001B42DA"/>
    <w:rsid w:val="001B6184"/>
    <w:rsid w:val="001B69B7"/>
    <w:rsid w:val="001B7D3C"/>
    <w:rsid w:val="001C03D4"/>
    <w:rsid w:val="001C060E"/>
    <w:rsid w:val="001C1023"/>
    <w:rsid w:val="001C1447"/>
    <w:rsid w:val="001C16B1"/>
    <w:rsid w:val="001C2B43"/>
    <w:rsid w:val="001C363F"/>
    <w:rsid w:val="001C3D3C"/>
    <w:rsid w:val="001C3D68"/>
    <w:rsid w:val="001C515E"/>
    <w:rsid w:val="001C5219"/>
    <w:rsid w:val="001C569E"/>
    <w:rsid w:val="001C67FC"/>
    <w:rsid w:val="001C6940"/>
    <w:rsid w:val="001C69E1"/>
    <w:rsid w:val="001C6CE5"/>
    <w:rsid w:val="001C71FB"/>
    <w:rsid w:val="001C72E0"/>
    <w:rsid w:val="001D040D"/>
    <w:rsid w:val="001D0B40"/>
    <w:rsid w:val="001D0B9B"/>
    <w:rsid w:val="001D0CF3"/>
    <w:rsid w:val="001D102E"/>
    <w:rsid w:val="001D19CA"/>
    <w:rsid w:val="001D3B3C"/>
    <w:rsid w:val="001D3D23"/>
    <w:rsid w:val="001D439D"/>
    <w:rsid w:val="001D4AE5"/>
    <w:rsid w:val="001D51E7"/>
    <w:rsid w:val="001D6729"/>
    <w:rsid w:val="001D6963"/>
    <w:rsid w:val="001D6DED"/>
    <w:rsid w:val="001D7DEF"/>
    <w:rsid w:val="001E0355"/>
    <w:rsid w:val="001E0CB9"/>
    <w:rsid w:val="001E1A39"/>
    <w:rsid w:val="001E1CF5"/>
    <w:rsid w:val="001E2755"/>
    <w:rsid w:val="001E2A62"/>
    <w:rsid w:val="001E2B4C"/>
    <w:rsid w:val="001E305C"/>
    <w:rsid w:val="001E30B9"/>
    <w:rsid w:val="001E30E4"/>
    <w:rsid w:val="001E3424"/>
    <w:rsid w:val="001E3E0B"/>
    <w:rsid w:val="001E4C45"/>
    <w:rsid w:val="001E4F0B"/>
    <w:rsid w:val="001E5650"/>
    <w:rsid w:val="001E5764"/>
    <w:rsid w:val="001E659D"/>
    <w:rsid w:val="001E6A52"/>
    <w:rsid w:val="001E6D77"/>
    <w:rsid w:val="001E6FB6"/>
    <w:rsid w:val="001F01AA"/>
    <w:rsid w:val="001F1A33"/>
    <w:rsid w:val="001F1A5E"/>
    <w:rsid w:val="001F2070"/>
    <w:rsid w:val="001F2819"/>
    <w:rsid w:val="001F2E1C"/>
    <w:rsid w:val="001F3214"/>
    <w:rsid w:val="001F3706"/>
    <w:rsid w:val="001F370A"/>
    <w:rsid w:val="001F398A"/>
    <w:rsid w:val="001F40A4"/>
    <w:rsid w:val="001F447B"/>
    <w:rsid w:val="001F5E75"/>
    <w:rsid w:val="001F6833"/>
    <w:rsid w:val="001F6A61"/>
    <w:rsid w:val="00200037"/>
    <w:rsid w:val="002009BC"/>
    <w:rsid w:val="00200C56"/>
    <w:rsid w:val="00201B39"/>
    <w:rsid w:val="0020223C"/>
    <w:rsid w:val="002026BF"/>
    <w:rsid w:val="002029EA"/>
    <w:rsid w:val="00203AC2"/>
    <w:rsid w:val="00203D53"/>
    <w:rsid w:val="00203DD2"/>
    <w:rsid w:val="0020421A"/>
    <w:rsid w:val="002043EC"/>
    <w:rsid w:val="002054FC"/>
    <w:rsid w:val="00205C45"/>
    <w:rsid w:val="00206DCF"/>
    <w:rsid w:val="00207F50"/>
    <w:rsid w:val="002116BD"/>
    <w:rsid w:val="00211D68"/>
    <w:rsid w:val="002127D1"/>
    <w:rsid w:val="00212902"/>
    <w:rsid w:val="00212B10"/>
    <w:rsid w:val="002130A0"/>
    <w:rsid w:val="0021330D"/>
    <w:rsid w:val="00213E47"/>
    <w:rsid w:val="00214370"/>
    <w:rsid w:val="00215461"/>
    <w:rsid w:val="00216869"/>
    <w:rsid w:val="00216C71"/>
    <w:rsid w:val="002173A3"/>
    <w:rsid w:val="00217FAA"/>
    <w:rsid w:val="00221090"/>
    <w:rsid w:val="00221C61"/>
    <w:rsid w:val="00222ECD"/>
    <w:rsid w:val="0022345F"/>
    <w:rsid w:val="00223890"/>
    <w:rsid w:val="0022536F"/>
    <w:rsid w:val="00225AEB"/>
    <w:rsid w:val="0022614A"/>
    <w:rsid w:val="002274EE"/>
    <w:rsid w:val="00227778"/>
    <w:rsid w:val="00227A54"/>
    <w:rsid w:val="00227C81"/>
    <w:rsid w:val="00227DCE"/>
    <w:rsid w:val="00227FB3"/>
    <w:rsid w:val="0023061F"/>
    <w:rsid w:val="00230745"/>
    <w:rsid w:val="00231185"/>
    <w:rsid w:val="00231C59"/>
    <w:rsid w:val="0023271E"/>
    <w:rsid w:val="002332BF"/>
    <w:rsid w:val="00233FB1"/>
    <w:rsid w:val="0023432A"/>
    <w:rsid w:val="00234E75"/>
    <w:rsid w:val="00235AA5"/>
    <w:rsid w:val="00236D37"/>
    <w:rsid w:val="002376C4"/>
    <w:rsid w:val="00237BA1"/>
    <w:rsid w:val="00237CAF"/>
    <w:rsid w:val="00240528"/>
    <w:rsid w:val="00240C23"/>
    <w:rsid w:val="00241D57"/>
    <w:rsid w:val="00242DDB"/>
    <w:rsid w:val="00243302"/>
    <w:rsid w:val="002434FE"/>
    <w:rsid w:val="00243DC0"/>
    <w:rsid w:val="00244561"/>
    <w:rsid w:val="00244BAF"/>
    <w:rsid w:val="002457BF"/>
    <w:rsid w:val="00245E61"/>
    <w:rsid w:val="002463B0"/>
    <w:rsid w:val="002468D0"/>
    <w:rsid w:val="00246958"/>
    <w:rsid w:val="00246B6B"/>
    <w:rsid w:val="00246C68"/>
    <w:rsid w:val="002473A2"/>
    <w:rsid w:val="00247477"/>
    <w:rsid w:val="00247A5F"/>
    <w:rsid w:val="0025006D"/>
    <w:rsid w:val="0025055C"/>
    <w:rsid w:val="00252ADA"/>
    <w:rsid w:val="00252B7D"/>
    <w:rsid w:val="00252ED5"/>
    <w:rsid w:val="002538DF"/>
    <w:rsid w:val="00254096"/>
    <w:rsid w:val="00254689"/>
    <w:rsid w:val="00254711"/>
    <w:rsid w:val="00254B41"/>
    <w:rsid w:val="002558EB"/>
    <w:rsid w:val="002567F0"/>
    <w:rsid w:val="00256E52"/>
    <w:rsid w:val="00260543"/>
    <w:rsid w:val="00260BC7"/>
    <w:rsid w:val="00260D45"/>
    <w:rsid w:val="00261375"/>
    <w:rsid w:val="00261860"/>
    <w:rsid w:val="00262352"/>
    <w:rsid w:val="00262377"/>
    <w:rsid w:val="0026253F"/>
    <w:rsid w:val="00262911"/>
    <w:rsid w:val="00263071"/>
    <w:rsid w:val="002642F1"/>
    <w:rsid w:val="00264DFA"/>
    <w:rsid w:val="00264F7E"/>
    <w:rsid w:val="002650B9"/>
    <w:rsid w:val="002651F9"/>
    <w:rsid w:val="00265F51"/>
    <w:rsid w:val="00266A37"/>
    <w:rsid w:val="00266F83"/>
    <w:rsid w:val="002675C1"/>
    <w:rsid w:val="00270440"/>
    <w:rsid w:val="00270920"/>
    <w:rsid w:val="00270B2F"/>
    <w:rsid w:val="00270D1C"/>
    <w:rsid w:val="002717DC"/>
    <w:rsid w:val="00271928"/>
    <w:rsid w:val="00271A62"/>
    <w:rsid w:val="00271ADB"/>
    <w:rsid w:val="00272016"/>
    <w:rsid w:val="002722C8"/>
    <w:rsid w:val="00272F4D"/>
    <w:rsid w:val="00273097"/>
    <w:rsid w:val="002739B1"/>
    <w:rsid w:val="002744A1"/>
    <w:rsid w:val="00274ED4"/>
    <w:rsid w:val="0027589E"/>
    <w:rsid w:val="00277033"/>
    <w:rsid w:val="002771B1"/>
    <w:rsid w:val="00280D62"/>
    <w:rsid w:val="00280E68"/>
    <w:rsid w:val="00280F5A"/>
    <w:rsid w:val="00280F5D"/>
    <w:rsid w:val="0028293F"/>
    <w:rsid w:val="00282BCC"/>
    <w:rsid w:val="0028310E"/>
    <w:rsid w:val="00283728"/>
    <w:rsid w:val="00284469"/>
    <w:rsid w:val="00284C1A"/>
    <w:rsid w:val="00284D8D"/>
    <w:rsid w:val="00285669"/>
    <w:rsid w:val="00285BD9"/>
    <w:rsid w:val="00287046"/>
    <w:rsid w:val="00287BC5"/>
    <w:rsid w:val="00290912"/>
    <w:rsid w:val="002915F1"/>
    <w:rsid w:val="00291DA2"/>
    <w:rsid w:val="00291DA7"/>
    <w:rsid w:val="00292304"/>
    <w:rsid w:val="00293DEE"/>
    <w:rsid w:val="00295211"/>
    <w:rsid w:val="00295CC5"/>
    <w:rsid w:val="00295FA2"/>
    <w:rsid w:val="002966B7"/>
    <w:rsid w:val="00297422"/>
    <w:rsid w:val="002A0134"/>
    <w:rsid w:val="002A0955"/>
    <w:rsid w:val="002A0B5D"/>
    <w:rsid w:val="002A0FBF"/>
    <w:rsid w:val="002A21AE"/>
    <w:rsid w:val="002A3186"/>
    <w:rsid w:val="002A3946"/>
    <w:rsid w:val="002A3A60"/>
    <w:rsid w:val="002A50AD"/>
    <w:rsid w:val="002A5B7C"/>
    <w:rsid w:val="002A7C8D"/>
    <w:rsid w:val="002A7E50"/>
    <w:rsid w:val="002B0F67"/>
    <w:rsid w:val="002B157C"/>
    <w:rsid w:val="002B1AD5"/>
    <w:rsid w:val="002B2BE2"/>
    <w:rsid w:val="002B4166"/>
    <w:rsid w:val="002B4B68"/>
    <w:rsid w:val="002B4F93"/>
    <w:rsid w:val="002B53DF"/>
    <w:rsid w:val="002B54D3"/>
    <w:rsid w:val="002B55AE"/>
    <w:rsid w:val="002B5623"/>
    <w:rsid w:val="002B5839"/>
    <w:rsid w:val="002B67B3"/>
    <w:rsid w:val="002B7A9E"/>
    <w:rsid w:val="002C01D9"/>
    <w:rsid w:val="002C03FF"/>
    <w:rsid w:val="002C0835"/>
    <w:rsid w:val="002C0F2D"/>
    <w:rsid w:val="002C12B2"/>
    <w:rsid w:val="002C16BC"/>
    <w:rsid w:val="002C1ADE"/>
    <w:rsid w:val="002C28B4"/>
    <w:rsid w:val="002C3518"/>
    <w:rsid w:val="002C3AED"/>
    <w:rsid w:val="002C61DB"/>
    <w:rsid w:val="002C690D"/>
    <w:rsid w:val="002C7FE9"/>
    <w:rsid w:val="002D0B72"/>
    <w:rsid w:val="002D0DC5"/>
    <w:rsid w:val="002D14CA"/>
    <w:rsid w:val="002D1C74"/>
    <w:rsid w:val="002D2160"/>
    <w:rsid w:val="002D27B8"/>
    <w:rsid w:val="002D2961"/>
    <w:rsid w:val="002D3659"/>
    <w:rsid w:val="002D3B82"/>
    <w:rsid w:val="002D3F33"/>
    <w:rsid w:val="002D4EFD"/>
    <w:rsid w:val="002D6E8A"/>
    <w:rsid w:val="002D6F1E"/>
    <w:rsid w:val="002D719F"/>
    <w:rsid w:val="002D71AA"/>
    <w:rsid w:val="002E0359"/>
    <w:rsid w:val="002E168B"/>
    <w:rsid w:val="002E1BBD"/>
    <w:rsid w:val="002E25C8"/>
    <w:rsid w:val="002E287F"/>
    <w:rsid w:val="002E4F3C"/>
    <w:rsid w:val="002E5446"/>
    <w:rsid w:val="002E5820"/>
    <w:rsid w:val="002E5E0A"/>
    <w:rsid w:val="002E5FCE"/>
    <w:rsid w:val="002E6348"/>
    <w:rsid w:val="002E6E36"/>
    <w:rsid w:val="002E7749"/>
    <w:rsid w:val="002E7DCB"/>
    <w:rsid w:val="002F023D"/>
    <w:rsid w:val="002F216D"/>
    <w:rsid w:val="002F2226"/>
    <w:rsid w:val="002F2B4B"/>
    <w:rsid w:val="002F2CD6"/>
    <w:rsid w:val="002F2F48"/>
    <w:rsid w:val="002F3A85"/>
    <w:rsid w:val="002F3CAB"/>
    <w:rsid w:val="002F407B"/>
    <w:rsid w:val="002F42C3"/>
    <w:rsid w:val="002F4DD5"/>
    <w:rsid w:val="002F58BB"/>
    <w:rsid w:val="002F6E7C"/>
    <w:rsid w:val="002F6FB2"/>
    <w:rsid w:val="002F71AA"/>
    <w:rsid w:val="00300063"/>
    <w:rsid w:val="003001CD"/>
    <w:rsid w:val="00300609"/>
    <w:rsid w:val="00300F1A"/>
    <w:rsid w:val="00301375"/>
    <w:rsid w:val="003016EB"/>
    <w:rsid w:val="00302097"/>
    <w:rsid w:val="00303E39"/>
    <w:rsid w:val="00305F24"/>
    <w:rsid w:val="00306350"/>
    <w:rsid w:val="00306998"/>
    <w:rsid w:val="00306C6E"/>
    <w:rsid w:val="00306E5C"/>
    <w:rsid w:val="003077BD"/>
    <w:rsid w:val="0030783C"/>
    <w:rsid w:val="00310756"/>
    <w:rsid w:val="0031086E"/>
    <w:rsid w:val="00311AF2"/>
    <w:rsid w:val="003125AA"/>
    <w:rsid w:val="00312AFC"/>
    <w:rsid w:val="00313FF1"/>
    <w:rsid w:val="0031478C"/>
    <w:rsid w:val="00314A54"/>
    <w:rsid w:val="00315707"/>
    <w:rsid w:val="00315A97"/>
    <w:rsid w:val="00316071"/>
    <w:rsid w:val="003162AD"/>
    <w:rsid w:val="00317CC3"/>
    <w:rsid w:val="00321404"/>
    <w:rsid w:val="00321CBD"/>
    <w:rsid w:val="00321F9B"/>
    <w:rsid w:val="003227EA"/>
    <w:rsid w:val="00322B6B"/>
    <w:rsid w:val="00324C72"/>
    <w:rsid w:val="00324EA9"/>
    <w:rsid w:val="00324F42"/>
    <w:rsid w:val="00325167"/>
    <w:rsid w:val="00326266"/>
    <w:rsid w:val="003268A2"/>
    <w:rsid w:val="0032690B"/>
    <w:rsid w:val="00326E63"/>
    <w:rsid w:val="00327349"/>
    <w:rsid w:val="0033024E"/>
    <w:rsid w:val="0033147F"/>
    <w:rsid w:val="00331C25"/>
    <w:rsid w:val="00332438"/>
    <w:rsid w:val="0033247F"/>
    <w:rsid w:val="00332A34"/>
    <w:rsid w:val="00332EE3"/>
    <w:rsid w:val="00332EFF"/>
    <w:rsid w:val="00334083"/>
    <w:rsid w:val="00335057"/>
    <w:rsid w:val="00335131"/>
    <w:rsid w:val="003354E0"/>
    <w:rsid w:val="0033691A"/>
    <w:rsid w:val="0033716D"/>
    <w:rsid w:val="00337D70"/>
    <w:rsid w:val="0034122D"/>
    <w:rsid w:val="00341612"/>
    <w:rsid w:val="00342EF1"/>
    <w:rsid w:val="00343127"/>
    <w:rsid w:val="00343E5C"/>
    <w:rsid w:val="00343FED"/>
    <w:rsid w:val="00344603"/>
    <w:rsid w:val="00344DE1"/>
    <w:rsid w:val="00344FB8"/>
    <w:rsid w:val="00346118"/>
    <w:rsid w:val="00346646"/>
    <w:rsid w:val="00347448"/>
    <w:rsid w:val="00347E4A"/>
    <w:rsid w:val="00351AEA"/>
    <w:rsid w:val="00352160"/>
    <w:rsid w:val="00352A63"/>
    <w:rsid w:val="00352DE4"/>
    <w:rsid w:val="0035374B"/>
    <w:rsid w:val="00354333"/>
    <w:rsid w:val="00354AA0"/>
    <w:rsid w:val="00354C63"/>
    <w:rsid w:val="0035559C"/>
    <w:rsid w:val="00355D7E"/>
    <w:rsid w:val="00356289"/>
    <w:rsid w:val="00356878"/>
    <w:rsid w:val="003569F3"/>
    <w:rsid w:val="00357461"/>
    <w:rsid w:val="00357CFE"/>
    <w:rsid w:val="0036017B"/>
    <w:rsid w:val="003601B7"/>
    <w:rsid w:val="0036040D"/>
    <w:rsid w:val="003608BF"/>
    <w:rsid w:val="003624EA"/>
    <w:rsid w:val="00362755"/>
    <w:rsid w:val="00362922"/>
    <w:rsid w:val="00362FCF"/>
    <w:rsid w:val="00363237"/>
    <w:rsid w:val="0036324A"/>
    <w:rsid w:val="00363CDD"/>
    <w:rsid w:val="00364EE7"/>
    <w:rsid w:val="00365171"/>
    <w:rsid w:val="0036684C"/>
    <w:rsid w:val="00366984"/>
    <w:rsid w:val="00367587"/>
    <w:rsid w:val="00367A03"/>
    <w:rsid w:val="003700D2"/>
    <w:rsid w:val="003702CD"/>
    <w:rsid w:val="0037053E"/>
    <w:rsid w:val="00371027"/>
    <w:rsid w:val="00371499"/>
    <w:rsid w:val="00371CE5"/>
    <w:rsid w:val="0037200B"/>
    <w:rsid w:val="003727D1"/>
    <w:rsid w:val="00372C54"/>
    <w:rsid w:val="003730B7"/>
    <w:rsid w:val="00373117"/>
    <w:rsid w:val="00373286"/>
    <w:rsid w:val="003739C8"/>
    <w:rsid w:val="00373ACB"/>
    <w:rsid w:val="00373B93"/>
    <w:rsid w:val="00373F99"/>
    <w:rsid w:val="00375287"/>
    <w:rsid w:val="00375730"/>
    <w:rsid w:val="00376FF1"/>
    <w:rsid w:val="00376FFA"/>
    <w:rsid w:val="00377169"/>
    <w:rsid w:val="003801BD"/>
    <w:rsid w:val="00380420"/>
    <w:rsid w:val="00380CD1"/>
    <w:rsid w:val="00381C4E"/>
    <w:rsid w:val="00381CD4"/>
    <w:rsid w:val="00383182"/>
    <w:rsid w:val="0038342A"/>
    <w:rsid w:val="00385236"/>
    <w:rsid w:val="00385824"/>
    <w:rsid w:val="00385BE1"/>
    <w:rsid w:val="003873F5"/>
    <w:rsid w:val="00387FAC"/>
    <w:rsid w:val="00390396"/>
    <w:rsid w:val="00390701"/>
    <w:rsid w:val="0039089C"/>
    <w:rsid w:val="0039142D"/>
    <w:rsid w:val="00392156"/>
    <w:rsid w:val="003926BB"/>
    <w:rsid w:val="0039388B"/>
    <w:rsid w:val="00393CB9"/>
    <w:rsid w:val="00394CCC"/>
    <w:rsid w:val="00395516"/>
    <w:rsid w:val="003955F7"/>
    <w:rsid w:val="003965D0"/>
    <w:rsid w:val="003966F1"/>
    <w:rsid w:val="00396C21"/>
    <w:rsid w:val="00396EEB"/>
    <w:rsid w:val="0039722F"/>
    <w:rsid w:val="003A02CA"/>
    <w:rsid w:val="003A121B"/>
    <w:rsid w:val="003A1AC5"/>
    <w:rsid w:val="003A1DF0"/>
    <w:rsid w:val="003A2846"/>
    <w:rsid w:val="003A38F0"/>
    <w:rsid w:val="003A3920"/>
    <w:rsid w:val="003A4055"/>
    <w:rsid w:val="003A4505"/>
    <w:rsid w:val="003A4A50"/>
    <w:rsid w:val="003A4BD9"/>
    <w:rsid w:val="003A4EB7"/>
    <w:rsid w:val="003A5642"/>
    <w:rsid w:val="003A56F0"/>
    <w:rsid w:val="003A6125"/>
    <w:rsid w:val="003A72E6"/>
    <w:rsid w:val="003A7AAD"/>
    <w:rsid w:val="003B076B"/>
    <w:rsid w:val="003B0F34"/>
    <w:rsid w:val="003B1B1C"/>
    <w:rsid w:val="003B221D"/>
    <w:rsid w:val="003B46BF"/>
    <w:rsid w:val="003B473F"/>
    <w:rsid w:val="003B59C6"/>
    <w:rsid w:val="003B5D4D"/>
    <w:rsid w:val="003B61A7"/>
    <w:rsid w:val="003B6777"/>
    <w:rsid w:val="003B7007"/>
    <w:rsid w:val="003B77CD"/>
    <w:rsid w:val="003B7DCB"/>
    <w:rsid w:val="003C0CC9"/>
    <w:rsid w:val="003C1184"/>
    <w:rsid w:val="003C147A"/>
    <w:rsid w:val="003C1525"/>
    <w:rsid w:val="003C1996"/>
    <w:rsid w:val="003C23EE"/>
    <w:rsid w:val="003C2A18"/>
    <w:rsid w:val="003C2C73"/>
    <w:rsid w:val="003C2FD0"/>
    <w:rsid w:val="003C324E"/>
    <w:rsid w:val="003C3A1F"/>
    <w:rsid w:val="003C3CA6"/>
    <w:rsid w:val="003C46AD"/>
    <w:rsid w:val="003C4CC3"/>
    <w:rsid w:val="003C51D2"/>
    <w:rsid w:val="003C523E"/>
    <w:rsid w:val="003C56D2"/>
    <w:rsid w:val="003C5815"/>
    <w:rsid w:val="003C6329"/>
    <w:rsid w:val="003C69AF"/>
    <w:rsid w:val="003C6E08"/>
    <w:rsid w:val="003C7024"/>
    <w:rsid w:val="003C7879"/>
    <w:rsid w:val="003C7D83"/>
    <w:rsid w:val="003D0960"/>
    <w:rsid w:val="003D12E6"/>
    <w:rsid w:val="003D19A2"/>
    <w:rsid w:val="003D1CF8"/>
    <w:rsid w:val="003D31F4"/>
    <w:rsid w:val="003D3EB4"/>
    <w:rsid w:val="003D4E6E"/>
    <w:rsid w:val="003D7B87"/>
    <w:rsid w:val="003E009C"/>
    <w:rsid w:val="003E01E6"/>
    <w:rsid w:val="003E0422"/>
    <w:rsid w:val="003E1AC1"/>
    <w:rsid w:val="003E2758"/>
    <w:rsid w:val="003E296F"/>
    <w:rsid w:val="003E2F4E"/>
    <w:rsid w:val="003E315F"/>
    <w:rsid w:val="003E3BBD"/>
    <w:rsid w:val="003E3DD9"/>
    <w:rsid w:val="003E42C6"/>
    <w:rsid w:val="003E4EEE"/>
    <w:rsid w:val="003E5ECD"/>
    <w:rsid w:val="003E60BA"/>
    <w:rsid w:val="003E78F8"/>
    <w:rsid w:val="003F0185"/>
    <w:rsid w:val="003F069A"/>
    <w:rsid w:val="003F083A"/>
    <w:rsid w:val="003F22B3"/>
    <w:rsid w:val="003F27C4"/>
    <w:rsid w:val="003F2EB6"/>
    <w:rsid w:val="003F377B"/>
    <w:rsid w:val="003F41CD"/>
    <w:rsid w:val="003F428A"/>
    <w:rsid w:val="003F4329"/>
    <w:rsid w:val="003F4D10"/>
    <w:rsid w:val="003F4D97"/>
    <w:rsid w:val="003F537E"/>
    <w:rsid w:val="003F63E3"/>
    <w:rsid w:val="003F6756"/>
    <w:rsid w:val="003F70E2"/>
    <w:rsid w:val="003F73AF"/>
    <w:rsid w:val="00400348"/>
    <w:rsid w:val="00401914"/>
    <w:rsid w:val="00402648"/>
    <w:rsid w:val="0040291F"/>
    <w:rsid w:val="004032ED"/>
    <w:rsid w:val="00403458"/>
    <w:rsid w:val="0040373C"/>
    <w:rsid w:val="004039F4"/>
    <w:rsid w:val="004044C6"/>
    <w:rsid w:val="004045F6"/>
    <w:rsid w:val="00404C2A"/>
    <w:rsid w:val="004054B5"/>
    <w:rsid w:val="0040607B"/>
    <w:rsid w:val="00406AFE"/>
    <w:rsid w:val="00406F67"/>
    <w:rsid w:val="00407F0C"/>
    <w:rsid w:val="004109E6"/>
    <w:rsid w:val="00411263"/>
    <w:rsid w:val="004118C1"/>
    <w:rsid w:val="00411E2D"/>
    <w:rsid w:val="004121F7"/>
    <w:rsid w:val="00412371"/>
    <w:rsid w:val="00412534"/>
    <w:rsid w:val="004128D4"/>
    <w:rsid w:val="00412C83"/>
    <w:rsid w:val="0041313D"/>
    <w:rsid w:val="004132BC"/>
    <w:rsid w:val="00413349"/>
    <w:rsid w:val="00413B5C"/>
    <w:rsid w:val="00414212"/>
    <w:rsid w:val="004145E6"/>
    <w:rsid w:val="00414845"/>
    <w:rsid w:val="00414E49"/>
    <w:rsid w:val="00415331"/>
    <w:rsid w:val="00416E99"/>
    <w:rsid w:val="004177C4"/>
    <w:rsid w:val="00420AEB"/>
    <w:rsid w:val="00420DBE"/>
    <w:rsid w:val="004211FE"/>
    <w:rsid w:val="004216E8"/>
    <w:rsid w:val="00421E90"/>
    <w:rsid w:val="00422559"/>
    <w:rsid w:val="004228F6"/>
    <w:rsid w:val="00422C96"/>
    <w:rsid w:val="00423BCF"/>
    <w:rsid w:val="00424102"/>
    <w:rsid w:val="004247EC"/>
    <w:rsid w:val="004250B2"/>
    <w:rsid w:val="00425B4E"/>
    <w:rsid w:val="00425DD1"/>
    <w:rsid w:val="00425F6C"/>
    <w:rsid w:val="00426014"/>
    <w:rsid w:val="004264CC"/>
    <w:rsid w:val="00426548"/>
    <w:rsid w:val="00432714"/>
    <w:rsid w:val="00432DFD"/>
    <w:rsid w:val="004337B4"/>
    <w:rsid w:val="004343F2"/>
    <w:rsid w:val="00436F18"/>
    <w:rsid w:val="00437150"/>
    <w:rsid w:val="0043726F"/>
    <w:rsid w:val="00437A2F"/>
    <w:rsid w:val="00440159"/>
    <w:rsid w:val="00440817"/>
    <w:rsid w:val="0044095B"/>
    <w:rsid w:val="00440AEC"/>
    <w:rsid w:val="00440AF8"/>
    <w:rsid w:val="00442305"/>
    <w:rsid w:val="00442CD5"/>
    <w:rsid w:val="004432D6"/>
    <w:rsid w:val="00444D93"/>
    <w:rsid w:val="00444FB9"/>
    <w:rsid w:val="004451EE"/>
    <w:rsid w:val="0044546D"/>
    <w:rsid w:val="00445A9B"/>
    <w:rsid w:val="0044617E"/>
    <w:rsid w:val="00446993"/>
    <w:rsid w:val="0044783B"/>
    <w:rsid w:val="00447C39"/>
    <w:rsid w:val="004500C9"/>
    <w:rsid w:val="004515F7"/>
    <w:rsid w:val="00453318"/>
    <w:rsid w:val="004534EE"/>
    <w:rsid w:val="004536C5"/>
    <w:rsid w:val="0045395E"/>
    <w:rsid w:val="00454123"/>
    <w:rsid w:val="00454513"/>
    <w:rsid w:val="00454654"/>
    <w:rsid w:val="00455055"/>
    <w:rsid w:val="00455676"/>
    <w:rsid w:val="00455929"/>
    <w:rsid w:val="004567AD"/>
    <w:rsid w:val="0046078B"/>
    <w:rsid w:val="00460B7D"/>
    <w:rsid w:val="004610C1"/>
    <w:rsid w:val="00461383"/>
    <w:rsid w:val="00462872"/>
    <w:rsid w:val="00462BC7"/>
    <w:rsid w:val="00462D69"/>
    <w:rsid w:val="00463187"/>
    <w:rsid w:val="00463E2B"/>
    <w:rsid w:val="0046420B"/>
    <w:rsid w:val="004648DB"/>
    <w:rsid w:val="00464BA6"/>
    <w:rsid w:val="00464FB0"/>
    <w:rsid w:val="004653A6"/>
    <w:rsid w:val="004655AE"/>
    <w:rsid w:val="0046634E"/>
    <w:rsid w:val="00467B4B"/>
    <w:rsid w:val="004722D5"/>
    <w:rsid w:val="00472C4F"/>
    <w:rsid w:val="00472D4B"/>
    <w:rsid w:val="0047346F"/>
    <w:rsid w:val="00473FCA"/>
    <w:rsid w:val="00474C4E"/>
    <w:rsid w:val="004754B9"/>
    <w:rsid w:val="00475F6E"/>
    <w:rsid w:val="004772EE"/>
    <w:rsid w:val="0047783B"/>
    <w:rsid w:val="00477D66"/>
    <w:rsid w:val="00480CB0"/>
    <w:rsid w:val="004811AF"/>
    <w:rsid w:val="00481267"/>
    <w:rsid w:val="00481F7B"/>
    <w:rsid w:val="00481FDE"/>
    <w:rsid w:val="00482D94"/>
    <w:rsid w:val="00483603"/>
    <w:rsid w:val="004840A5"/>
    <w:rsid w:val="00485760"/>
    <w:rsid w:val="004857C1"/>
    <w:rsid w:val="0048620A"/>
    <w:rsid w:val="004871D8"/>
    <w:rsid w:val="004877A5"/>
    <w:rsid w:val="004915E0"/>
    <w:rsid w:val="00491749"/>
    <w:rsid w:val="0049242E"/>
    <w:rsid w:val="00492E43"/>
    <w:rsid w:val="0049309A"/>
    <w:rsid w:val="0049534E"/>
    <w:rsid w:val="00497693"/>
    <w:rsid w:val="0049778C"/>
    <w:rsid w:val="004A030D"/>
    <w:rsid w:val="004A0D92"/>
    <w:rsid w:val="004A1EAD"/>
    <w:rsid w:val="004A2194"/>
    <w:rsid w:val="004A2AAB"/>
    <w:rsid w:val="004A39FB"/>
    <w:rsid w:val="004A47BE"/>
    <w:rsid w:val="004A4A96"/>
    <w:rsid w:val="004A4BD9"/>
    <w:rsid w:val="004A4D87"/>
    <w:rsid w:val="004A533E"/>
    <w:rsid w:val="004A5D29"/>
    <w:rsid w:val="004A60B2"/>
    <w:rsid w:val="004A6990"/>
    <w:rsid w:val="004A6A8B"/>
    <w:rsid w:val="004A7E44"/>
    <w:rsid w:val="004B023D"/>
    <w:rsid w:val="004B0620"/>
    <w:rsid w:val="004B11D8"/>
    <w:rsid w:val="004B1FC4"/>
    <w:rsid w:val="004B247B"/>
    <w:rsid w:val="004B330D"/>
    <w:rsid w:val="004B34EA"/>
    <w:rsid w:val="004B3635"/>
    <w:rsid w:val="004B5494"/>
    <w:rsid w:val="004B72BF"/>
    <w:rsid w:val="004B73E7"/>
    <w:rsid w:val="004B79BA"/>
    <w:rsid w:val="004C1E3D"/>
    <w:rsid w:val="004C3445"/>
    <w:rsid w:val="004C35D7"/>
    <w:rsid w:val="004C37CE"/>
    <w:rsid w:val="004C3E9A"/>
    <w:rsid w:val="004C4898"/>
    <w:rsid w:val="004C4AFB"/>
    <w:rsid w:val="004C4BEF"/>
    <w:rsid w:val="004C521C"/>
    <w:rsid w:val="004C542B"/>
    <w:rsid w:val="004C54C3"/>
    <w:rsid w:val="004C5823"/>
    <w:rsid w:val="004C5B77"/>
    <w:rsid w:val="004C6108"/>
    <w:rsid w:val="004C6197"/>
    <w:rsid w:val="004C61D9"/>
    <w:rsid w:val="004C7A2B"/>
    <w:rsid w:val="004C7D3A"/>
    <w:rsid w:val="004D0382"/>
    <w:rsid w:val="004D0E55"/>
    <w:rsid w:val="004D18AE"/>
    <w:rsid w:val="004D1BFD"/>
    <w:rsid w:val="004D232E"/>
    <w:rsid w:val="004D2715"/>
    <w:rsid w:val="004D2F59"/>
    <w:rsid w:val="004D3A2B"/>
    <w:rsid w:val="004D4AA7"/>
    <w:rsid w:val="004D4F2C"/>
    <w:rsid w:val="004D4FF7"/>
    <w:rsid w:val="004D5FF1"/>
    <w:rsid w:val="004D6707"/>
    <w:rsid w:val="004D71D1"/>
    <w:rsid w:val="004E0ADF"/>
    <w:rsid w:val="004E115C"/>
    <w:rsid w:val="004E1A50"/>
    <w:rsid w:val="004E272A"/>
    <w:rsid w:val="004E3C12"/>
    <w:rsid w:val="004E5758"/>
    <w:rsid w:val="004E5AFE"/>
    <w:rsid w:val="004E6445"/>
    <w:rsid w:val="004E690D"/>
    <w:rsid w:val="004E6948"/>
    <w:rsid w:val="004E7080"/>
    <w:rsid w:val="004E7715"/>
    <w:rsid w:val="004E7C46"/>
    <w:rsid w:val="004F061F"/>
    <w:rsid w:val="004F0C98"/>
    <w:rsid w:val="004F0D17"/>
    <w:rsid w:val="004F0D9D"/>
    <w:rsid w:val="004F11BC"/>
    <w:rsid w:val="004F1795"/>
    <w:rsid w:val="004F1CC9"/>
    <w:rsid w:val="004F1DE1"/>
    <w:rsid w:val="004F3D7B"/>
    <w:rsid w:val="004F4186"/>
    <w:rsid w:val="004F5722"/>
    <w:rsid w:val="004F5B65"/>
    <w:rsid w:val="004F5E9A"/>
    <w:rsid w:val="004F5FCD"/>
    <w:rsid w:val="004F66C7"/>
    <w:rsid w:val="004F77AC"/>
    <w:rsid w:val="0050069C"/>
    <w:rsid w:val="005006EF"/>
    <w:rsid w:val="00500F45"/>
    <w:rsid w:val="00501700"/>
    <w:rsid w:val="005018A8"/>
    <w:rsid w:val="00502528"/>
    <w:rsid w:val="00503CA5"/>
    <w:rsid w:val="00503FE5"/>
    <w:rsid w:val="005045DA"/>
    <w:rsid w:val="00504842"/>
    <w:rsid w:val="00505A39"/>
    <w:rsid w:val="0050702C"/>
    <w:rsid w:val="00507244"/>
    <w:rsid w:val="00507C3F"/>
    <w:rsid w:val="00510482"/>
    <w:rsid w:val="0051092F"/>
    <w:rsid w:val="00511879"/>
    <w:rsid w:val="00512B6E"/>
    <w:rsid w:val="00512DF3"/>
    <w:rsid w:val="00513455"/>
    <w:rsid w:val="005139BE"/>
    <w:rsid w:val="00513D11"/>
    <w:rsid w:val="005147A4"/>
    <w:rsid w:val="005153E4"/>
    <w:rsid w:val="0051577B"/>
    <w:rsid w:val="00515CB5"/>
    <w:rsid w:val="00515EF0"/>
    <w:rsid w:val="00516510"/>
    <w:rsid w:val="00517861"/>
    <w:rsid w:val="005209C6"/>
    <w:rsid w:val="00521A07"/>
    <w:rsid w:val="00521A0A"/>
    <w:rsid w:val="00521E19"/>
    <w:rsid w:val="0052260A"/>
    <w:rsid w:val="00522625"/>
    <w:rsid w:val="00522B47"/>
    <w:rsid w:val="0052311E"/>
    <w:rsid w:val="0052352A"/>
    <w:rsid w:val="005240BF"/>
    <w:rsid w:val="00524B81"/>
    <w:rsid w:val="00524BDA"/>
    <w:rsid w:val="00524C18"/>
    <w:rsid w:val="00525E6A"/>
    <w:rsid w:val="00526463"/>
    <w:rsid w:val="005265AA"/>
    <w:rsid w:val="005278A6"/>
    <w:rsid w:val="00527C51"/>
    <w:rsid w:val="00530234"/>
    <w:rsid w:val="00530FC2"/>
    <w:rsid w:val="00531323"/>
    <w:rsid w:val="005315D6"/>
    <w:rsid w:val="005329C7"/>
    <w:rsid w:val="00533705"/>
    <w:rsid w:val="005354A1"/>
    <w:rsid w:val="00535D5B"/>
    <w:rsid w:val="00536026"/>
    <w:rsid w:val="005366F3"/>
    <w:rsid w:val="00537180"/>
    <w:rsid w:val="005377F2"/>
    <w:rsid w:val="00537ABC"/>
    <w:rsid w:val="00537F72"/>
    <w:rsid w:val="005408A9"/>
    <w:rsid w:val="00540A78"/>
    <w:rsid w:val="005412C0"/>
    <w:rsid w:val="00541397"/>
    <w:rsid w:val="0054162F"/>
    <w:rsid w:val="00541A4B"/>
    <w:rsid w:val="00542559"/>
    <w:rsid w:val="00542782"/>
    <w:rsid w:val="00542868"/>
    <w:rsid w:val="005429FA"/>
    <w:rsid w:val="00543819"/>
    <w:rsid w:val="00543FBC"/>
    <w:rsid w:val="005447E8"/>
    <w:rsid w:val="00544B6D"/>
    <w:rsid w:val="005454C7"/>
    <w:rsid w:val="00545904"/>
    <w:rsid w:val="00545951"/>
    <w:rsid w:val="00545D63"/>
    <w:rsid w:val="00545E8A"/>
    <w:rsid w:val="00547C6E"/>
    <w:rsid w:val="00550AF0"/>
    <w:rsid w:val="005511F6"/>
    <w:rsid w:val="0055196A"/>
    <w:rsid w:val="00551CBF"/>
    <w:rsid w:val="00551DD6"/>
    <w:rsid w:val="00551EDF"/>
    <w:rsid w:val="00552722"/>
    <w:rsid w:val="00552859"/>
    <w:rsid w:val="00553E00"/>
    <w:rsid w:val="005540B4"/>
    <w:rsid w:val="0055488F"/>
    <w:rsid w:val="00554CFF"/>
    <w:rsid w:val="0055547A"/>
    <w:rsid w:val="005554E8"/>
    <w:rsid w:val="00555608"/>
    <w:rsid w:val="0055604E"/>
    <w:rsid w:val="005563A7"/>
    <w:rsid w:val="0055683A"/>
    <w:rsid w:val="0055774D"/>
    <w:rsid w:val="005577C9"/>
    <w:rsid w:val="00557816"/>
    <w:rsid w:val="00557840"/>
    <w:rsid w:val="00560884"/>
    <w:rsid w:val="00561135"/>
    <w:rsid w:val="00562C30"/>
    <w:rsid w:val="00562DDC"/>
    <w:rsid w:val="00562F6B"/>
    <w:rsid w:val="00563B79"/>
    <w:rsid w:val="00563CDD"/>
    <w:rsid w:val="005643B3"/>
    <w:rsid w:val="0056455C"/>
    <w:rsid w:val="00565173"/>
    <w:rsid w:val="005651D8"/>
    <w:rsid w:val="005661CA"/>
    <w:rsid w:val="00566212"/>
    <w:rsid w:val="00567ECF"/>
    <w:rsid w:val="00570226"/>
    <w:rsid w:val="005703DD"/>
    <w:rsid w:val="00570764"/>
    <w:rsid w:val="00570BD6"/>
    <w:rsid w:val="00571D0E"/>
    <w:rsid w:val="005726BC"/>
    <w:rsid w:val="00572C24"/>
    <w:rsid w:val="00572C9E"/>
    <w:rsid w:val="005749F5"/>
    <w:rsid w:val="00575513"/>
    <w:rsid w:val="00576011"/>
    <w:rsid w:val="0057644E"/>
    <w:rsid w:val="00577720"/>
    <w:rsid w:val="00580075"/>
    <w:rsid w:val="00582BAB"/>
    <w:rsid w:val="00583103"/>
    <w:rsid w:val="005840E3"/>
    <w:rsid w:val="00584C7A"/>
    <w:rsid w:val="00584E13"/>
    <w:rsid w:val="00585390"/>
    <w:rsid w:val="00585400"/>
    <w:rsid w:val="00586588"/>
    <w:rsid w:val="00586A29"/>
    <w:rsid w:val="00586BAD"/>
    <w:rsid w:val="00586D24"/>
    <w:rsid w:val="00586EE1"/>
    <w:rsid w:val="00587A54"/>
    <w:rsid w:val="00587E8C"/>
    <w:rsid w:val="005920CF"/>
    <w:rsid w:val="00592901"/>
    <w:rsid w:val="00592E33"/>
    <w:rsid w:val="00592EA8"/>
    <w:rsid w:val="0059302B"/>
    <w:rsid w:val="0059325C"/>
    <w:rsid w:val="0059343A"/>
    <w:rsid w:val="005939A5"/>
    <w:rsid w:val="00593E1D"/>
    <w:rsid w:val="00594399"/>
    <w:rsid w:val="00594FD0"/>
    <w:rsid w:val="00595187"/>
    <w:rsid w:val="005951AA"/>
    <w:rsid w:val="00595B5F"/>
    <w:rsid w:val="00596116"/>
    <w:rsid w:val="00596B2A"/>
    <w:rsid w:val="005976CA"/>
    <w:rsid w:val="00597C46"/>
    <w:rsid w:val="00597E03"/>
    <w:rsid w:val="005A0AB8"/>
    <w:rsid w:val="005A0AF0"/>
    <w:rsid w:val="005A0BB1"/>
    <w:rsid w:val="005A104C"/>
    <w:rsid w:val="005A148C"/>
    <w:rsid w:val="005A1748"/>
    <w:rsid w:val="005A1817"/>
    <w:rsid w:val="005A1F3C"/>
    <w:rsid w:val="005A2344"/>
    <w:rsid w:val="005A27D4"/>
    <w:rsid w:val="005A438A"/>
    <w:rsid w:val="005A4434"/>
    <w:rsid w:val="005A51EA"/>
    <w:rsid w:val="005A568B"/>
    <w:rsid w:val="005A62B1"/>
    <w:rsid w:val="005A6819"/>
    <w:rsid w:val="005A6BDE"/>
    <w:rsid w:val="005A6F3F"/>
    <w:rsid w:val="005B0926"/>
    <w:rsid w:val="005B0A56"/>
    <w:rsid w:val="005B0FD5"/>
    <w:rsid w:val="005B0FD9"/>
    <w:rsid w:val="005B1889"/>
    <w:rsid w:val="005B18A3"/>
    <w:rsid w:val="005B21E7"/>
    <w:rsid w:val="005B2776"/>
    <w:rsid w:val="005B2C17"/>
    <w:rsid w:val="005B35DC"/>
    <w:rsid w:val="005B3734"/>
    <w:rsid w:val="005B3F96"/>
    <w:rsid w:val="005B490B"/>
    <w:rsid w:val="005B4B2E"/>
    <w:rsid w:val="005B5081"/>
    <w:rsid w:val="005B5336"/>
    <w:rsid w:val="005B5894"/>
    <w:rsid w:val="005B5944"/>
    <w:rsid w:val="005B5C16"/>
    <w:rsid w:val="005B5D2F"/>
    <w:rsid w:val="005B5D77"/>
    <w:rsid w:val="005B60E4"/>
    <w:rsid w:val="005B6385"/>
    <w:rsid w:val="005B63A7"/>
    <w:rsid w:val="005B6721"/>
    <w:rsid w:val="005B6B6F"/>
    <w:rsid w:val="005C0862"/>
    <w:rsid w:val="005C0A3A"/>
    <w:rsid w:val="005C0D3B"/>
    <w:rsid w:val="005C14E2"/>
    <w:rsid w:val="005C17F0"/>
    <w:rsid w:val="005C1B32"/>
    <w:rsid w:val="005C3A09"/>
    <w:rsid w:val="005C4186"/>
    <w:rsid w:val="005C4C92"/>
    <w:rsid w:val="005C4F7F"/>
    <w:rsid w:val="005C4F92"/>
    <w:rsid w:val="005C579A"/>
    <w:rsid w:val="005C58FA"/>
    <w:rsid w:val="005C59AB"/>
    <w:rsid w:val="005C5A08"/>
    <w:rsid w:val="005C7040"/>
    <w:rsid w:val="005C747C"/>
    <w:rsid w:val="005D01A2"/>
    <w:rsid w:val="005D10EE"/>
    <w:rsid w:val="005D17BC"/>
    <w:rsid w:val="005D17EE"/>
    <w:rsid w:val="005D1914"/>
    <w:rsid w:val="005D1D05"/>
    <w:rsid w:val="005D26B3"/>
    <w:rsid w:val="005D3531"/>
    <w:rsid w:val="005D3CB9"/>
    <w:rsid w:val="005D44E9"/>
    <w:rsid w:val="005D5916"/>
    <w:rsid w:val="005D6490"/>
    <w:rsid w:val="005D66F0"/>
    <w:rsid w:val="005D71FB"/>
    <w:rsid w:val="005D7710"/>
    <w:rsid w:val="005D79AA"/>
    <w:rsid w:val="005D7B4D"/>
    <w:rsid w:val="005E050C"/>
    <w:rsid w:val="005E0DB8"/>
    <w:rsid w:val="005E1E45"/>
    <w:rsid w:val="005E343C"/>
    <w:rsid w:val="005E4B90"/>
    <w:rsid w:val="005E6457"/>
    <w:rsid w:val="005E75FC"/>
    <w:rsid w:val="005E772E"/>
    <w:rsid w:val="005E7C57"/>
    <w:rsid w:val="005F01E6"/>
    <w:rsid w:val="005F0DD9"/>
    <w:rsid w:val="005F17CB"/>
    <w:rsid w:val="005F1C0F"/>
    <w:rsid w:val="005F2CCB"/>
    <w:rsid w:val="005F4537"/>
    <w:rsid w:val="005F4E57"/>
    <w:rsid w:val="005F4E84"/>
    <w:rsid w:val="005F4EAA"/>
    <w:rsid w:val="005F539E"/>
    <w:rsid w:val="005F5C30"/>
    <w:rsid w:val="005F6512"/>
    <w:rsid w:val="005F66F7"/>
    <w:rsid w:val="005F66FB"/>
    <w:rsid w:val="005F7C82"/>
    <w:rsid w:val="0060022E"/>
    <w:rsid w:val="0060042C"/>
    <w:rsid w:val="00600C35"/>
    <w:rsid w:val="00600E35"/>
    <w:rsid w:val="00601431"/>
    <w:rsid w:val="00601BAD"/>
    <w:rsid w:val="00602ACD"/>
    <w:rsid w:val="00602B17"/>
    <w:rsid w:val="00602B25"/>
    <w:rsid w:val="00602D51"/>
    <w:rsid w:val="00603238"/>
    <w:rsid w:val="0060387D"/>
    <w:rsid w:val="006039D0"/>
    <w:rsid w:val="00603AD5"/>
    <w:rsid w:val="00604C4C"/>
    <w:rsid w:val="00606E65"/>
    <w:rsid w:val="00607C7B"/>
    <w:rsid w:val="006105C4"/>
    <w:rsid w:val="0061078F"/>
    <w:rsid w:val="00610981"/>
    <w:rsid w:val="00611871"/>
    <w:rsid w:val="00612265"/>
    <w:rsid w:val="0061317E"/>
    <w:rsid w:val="0061402E"/>
    <w:rsid w:val="006147E6"/>
    <w:rsid w:val="006162FA"/>
    <w:rsid w:val="00616806"/>
    <w:rsid w:val="00616A4F"/>
    <w:rsid w:val="00616E54"/>
    <w:rsid w:val="0061755B"/>
    <w:rsid w:val="006177A8"/>
    <w:rsid w:val="00617D6B"/>
    <w:rsid w:val="00620144"/>
    <w:rsid w:val="006210F9"/>
    <w:rsid w:val="00621521"/>
    <w:rsid w:val="00621CDF"/>
    <w:rsid w:val="006220AC"/>
    <w:rsid w:val="00622521"/>
    <w:rsid w:val="006227C6"/>
    <w:rsid w:val="00622D44"/>
    <w:rsid w:val="00622E6E"/>
    <w:rsid w:val="0062320C"/>
    <w:rsid w:val="00623240"/>
    <w:rsid w:val="00624C53"/>
    <w:rsid w:val="00624D65"/>
    <w:rsid w:val="00624D71"/>
    <w:rsid w:val="00624D7D"/>
    <w:rsid w:val="00624E2B"/>
    <w:rsid w:val="006258C4"/>
    <w:rsid w:val="00625D8A"/>
    <w:rsid w:val="00625E83"/>
    <w:rsid w:val="00627DFA"/>
    <w:rsid w:val="006310B5"/>
    <w:rsid w:val="00631992"/>
    <w:rsid w:val="00632207"/>
    <w:rsid w:val="00632FFF"/>
    <w:rsid w:val="00633E47"/>
    <w:rsid w:val="006343B0"/>
    <w:rsid w:val="0063455C"/>
    <w:rsid w:val="0063478C"/>
    <w:rsid w:val="0063491C"/>
    <w:rsid w:val="00634E73"/>
    <w:rsid w:val="006357D0"/>
    <w:rsid w:val="006365DF"/>
    <w:rsid w:val="0063782F"/>
    <w:rsid w:val="0063787D"/>
    <w:rsid w:val="00637A09"/>
    <w:rsid w:val="00637CDB"/>
    <w:rsid w:val="006405B6"/>
    <w:rsid w:val="00640D13"/>
    <w:rsid w:val="00641027"/>
    <w:rsid w:val="00641A5C"/>
    <w:rsid w:val="006420B0"/>
    <w:rsid w:val="00642641"/>
    <w:rsid w:val="00642F42"/>
    <w:rsid w:val="00643BA2"/>
    <w:rsid w:val="00644B23"/>
    <w:rsid w:val="00647EF1"/>
    <w:rsid w:val="00650FB3"/>
    <w:rsid w:val="00652467"/>
    <w:rsid w:val="0065487C"/>
    <w:rsid w:val="00654AA9"/>
    <w:rsid w:val="00655065"/>
    <w:rsid w:val="006553A5"/>
    <w:rsid w:val="00655932"/>
    <w:rsid w:val="00656609"/>
    <w:rsid w:val="00656AE8"/>
    <w:rsid w:val="00656EF5"/>
    <w:rsid w:val="0065785B"/>
    <w:rsid w:val="00657A4A"/>
    <w:rsid w:val="006601CE"/>
    <w:rsid w:val="006606CC"/>
    <w:rsid w:val="006618BE"/>
    <w:rsid w:val="00661AFE"/>
    <w:rsid w:val="00661E78"/>
    <w:rsid w:val="00661F34"/>
    <w:rsid w:val="00662202"/>
    <w:rsid w:val="00662B48"/>
    <w:rsid w:val="00662DBA"/>
    <w:rsid w:val="00663D7C"/>
    <w:rsid w:val="00664697"/>
    <w:rsid w:val="00665493"/>
    <w:rsid w:val="0066631B"/>
    <w:rsid w:val="0066703B"/>
    <w:rsid w:val="00667827"/>
    <w:rsid w:val="00670022"/>
    <w:rsid w:val="00670447"/>
    <w:rsid w:val="00670846"/>
    <w:rsid w:val="00670910"/>
    <w:rsid w:val="006710C4"/>
    <w:rsid w:val="006714EC"/>
    <w:rsid w:val="00671BB5"/>
    <w:rsid w:val="006727BE"/>
    <w:rsid w:val="00672AFD"/>
    <w:rsid w:val="0067318A"/>
    <w:rsid w:val="006738A1"/>
    <w:rsid w:val="00673CFC"/>
    <w:rsid w:val="006742A5"/>
    <w:rsid w:val="00674447"/>
    <w:rsid w:val="0067483D"/>
    <w:rsid w:val="0067529D"/>
    <w:rsid w:val="00675E99"/>
    <w:rsid w:val="00675FB0"/>
    <w:rsid w:val="006768DD"/>
    <w:rsid w:val="00676FBF"/>
    <w:rsid w:val="00677DD2"/>
    <w:rsid w:val="00680A2B"/>
    <w:rsid w:val="00680F19"/>
    <w:rsid w:val="00680F1E"/>
    <w:rsid w:val="00681DCD"/>
    <w:rsid w:val="00682052"/>
    <w:rsid w:val="00682C15"/>
    <w:rsid w:val="00682D92"/>
    <w:rsid w:val="00683B2C"/>
    <w:rsid w:val="00683C19"/>
    <w:rsid w:val="006847C2"/>
    <w:rsid w:val="006848FF"/>
    <w:rsid w:val="00684BCA"/>
    <w:rsid w:val="006855C8"/>
    <w:rsid w:val="0068596C"/>
    <w:rsid w:val="00685E9A"/>
    <w:rsid w:val="00685FA6"/>
    <w:rsid w:val="0068668C"/>
    <w:rsid w:val="006872CA"/>
    <w:rsid w:val="00687F51"/>
    <w:rsid w:val="00690FCC"/>
    <w:rsid w:val="00691DB5"/>
    <w:rsid w:val="0069202A"/>
    <w:rsid w:val="0069275E"/>
    <w:rsid w:val="00695105"/>
    <w:rsid w:val="0069525E"/>
    <w:rsid w:val="00695C5D"/>
    <w:rsid w:val="00695E57"/>
    <w:rsid w:val="00695FA4"/>
    <w:rsid w:val="006972E2"/>
    <w:rsid w:val="0069752C"/>
    <w:rsid w:val="00697AEB"/>
    <w:rsid w:val="00697D8D"/>
    <w:rsid w:val="006A0329"/>
    <w:rsid w:val="006A0D40"/>
    <w:rsid w:val="006A1F07"/>
    <w:rsid w:val="006A2709"/>
    <w:rsid w:val="006A2776"/>
    <w:rsid w:val="006A2A68"/>
    <w:rsid w:val="006A2BE1"/>
    <w:rsid w:val="006A2CF6"/>
    <w:rsid w:val="006A2D4E"/>
    <w:rsid w:val="006A3CAD"/>
    <w:rsid w:val="006A4F27"/>
    <w:rsid w:val="006A56C7"/>
    <w:rsid w:val="006A7219"/>
    <w:rsid w:val="006B01BA"/>
    <w:rsid w:val="006B0313"/>
    <w:rsid w:val="006B0365"/>
    <w:rsid w:val="006B0C6A"/>
    <w:rsid w:val="006B21C0"/>
    <w:rsid w:val="006B23B7"/>
    <w:rsid w:val="006B29D4"/>
    <w:rsid w:val="006B4906"/>
    <w:rsid w:val="006B4A10"/>
    <w:rsid w:val="006B4C7D"/>
    <w:rsid w:val="006B4C9B"/>
    <w:rsid w:val="006C03C0"/>
    <w:rsid w:val="006C0678"/>
    <w:rsid w:val="006C0E6F"/>
    <w:rsid w:val="006C1729"/>
    <w:rsid w:val="006C1C04"/>
    <w:rsid w:val="006C1D01"/>
    <w:rsid w:val="006C1F10"/>
    <w:rsid w:val="006C32CF"/>
    <w:rsid w:val="006C3365"/>
    <w:rsid w:val="006C3BBE"/>
    <w:rsid w:val="006C41DE"/>
    <w:rsid w:val="006C435D"/>
    <w:rsid w:val="006C4C65"/>
    <w:rsid w:val="006C4F39"/>
    <w:rsid w:val="006C7ABC"/>
    <w:rsid w:val="006C7F0F"/>
    <w:rsid w:val="006D0659"/>
    <w:rsid w:val="006D0B86"/>
    <w:rsid w:val="006D2412"/>
    <w:rsid w:val="006D27C6"/>
    <w:rsid w:val="006D2860"/>
    <w:rsid w:val="006D2ED6"/>
    <w:rsid w:val="006D414C"/>
    <w:rsid w:val="006D49CE"/>
    <w:rsid w:val="006D4AFD"/>
    <w:rsid w:val="006D5433"/>
    <w:rsid w:val="006D58EF"/>
    <w:rsid w:val="006D5A86"/>
    <w:rsid w:val="006D711D"/>
    <w:rsid w:val="006D73B8"/>
    <w:rsid w:val="006D7832"/>
    <w:rsid w:val="006D78B7"/>
    <w:rsid w:val="006D7F8A"/>
    <w:rsid w:val="006E0135"/>
    <w:rsid w:val="006E04DB"/>
    <w:rsid w:val="006E053F"/>
    <w:rsid w:val="006E0624"/>
    <w:rsid w:val="006E08C7"/>
    <w:rsid w:val="006E0BED"/>
    <w:rsid w:val="006E13A5"/>
    <w:rsid w:val="006E1BE7"/>
    <w:rsid w:val="006E20B7"/>
    <w:rsid w:val="006E26E2"/>
    <w:rsid w:val="006E318C"/>
    <w:rsid w:val="006E3704"/>
    <w:rsid w:val="006E395D"/>
    <w:rsid w:val="006E481D"/>
    <w:rsid w:val="006E4BD4"/>
    <w:rsid w:val="006E4FCC"/>
    <w:rsid w:val="006E5E28"/>
    <w:rsid w:val="006E6002"/>
    <w:rsid w:val="006E6544"/>
    <w:rsid w:val="006E6574"/>
    <w:rsid w:val="006E66DE"/>
    <w:rsid w:val="006E68C6"/>
    <w:rsid w:val="006E734A"/>
    <w:rsid w:val="006E755A"/>
    <w:rsid w:val="006E7799"/>
    <w:rsid w:val="006E78BE"/>
    <w:rsid w:val="006E7AB6"/>
    <w:rsid w:val="006F137A"/>
    <w:rsid w:val="006F15E4"/>
    <w:rsid w:val="006F1DE6"/>
    <w:rsid w:val="006F1DFA"/>
    <w:rsid w:val="006F23E2"/>
    <w:rsid w:val="006F2F43"/>
    <w:rsid w:val="006F314C"/>
    <w:rsid w:val="006F36D9"/>
    <w:rsid w:val="006F3918"/>
    <w:rsid w:val="006F3B11"/>
    <w:rsid w:val="006F3C7A"/>
    <w:rsid w:val="006F483F"/>
    <w:rsid w:val="006F4AE3"/>
    <w:rsid w:val="006F4BB0"/>
    <w:rsid w:val="006F53A2"/>
    <w:rsid w:val="006F5676"/>
    <w:rsid w:val="006F5F29"/>
    <w:rsid w:val="007018E0"/>
    <w:rsid w:val="0070198F"/>
    <w:rsid w:val="00702414"/>
    <w:rsid w:val="007027CA"/>
    <w:rsid w:val="00702B8E"/>
    <w:rsid w:val="007039FD"/>
    <w:rsid w:val="00703E54"/>
    <w:rsid w:val="0070479E"/>
    <w:rsid w:val="00704DFA"/>
    <w:rsid w:val="007056EA"/>
    <w:rsid w:val="00705A77"/>
    <w:rsid w:val="00705EA1"/>
    <w:rsid w:val="007066E7"/>
    <w:rsid w:val="00706ACA"/>
    <w:rsid w:val="00706FE9"/>
    <w:rsid w:val="00707604"/>
    <w:rsid w:val="007109BB"/>
    <w:rsid w:val="00711625"/>
    <w:rsid w:val="0071182D"/>
    <w:rsid w:val="00711B01"/>
    <w:rsid w:val="00712C93"/>
    <w:rsid w:val="007133A6"/>
    <w:rsid w:val="0071369F"/>
    <w:rsid w:val="00713918"/>
    <w:rsid w:val="00713AAB"/>
    <w:rsid w:val="00713D5A"/>
    <w:rsid w:val="00713E76"/>
    <w:rsid w:val="00714132"/>
    <w:rsid w:val="00714A73"/>
    <w:rsid w:val="00714CF2"/>
    <w:rsid w:val="0071568E"/>
    <w:rsid w:val="007156B9"/>
    <w:rsid w:val="00716A6B"/>
    <w:rsid w:val="00716E75"/>
    <w:rsid w:val="0071730C"/>
    <w:rsid w:val="0071765B"/>
    <w:rsid w:val="00720817"/>
    <w:rsid w:val="0072126F"/>
    <w:rsid w:val="007215BD"/>
    <w:rsid w:val="007217AF"/>
    <w:rsid w:val="00722850"/>
    <w:rsid w:val="00722E3A"/>
    <w:rsid w:val="00724CD0"/>
    <w:rsid w:val="00725035"/>
    <w:rsid w:val="007250B7"/>
    <w:rsid w:val="00725C57"/>
    <w:rsid w:val="00726105"/>
    <w:rsid w:val="00726AED"/>
    <w:rsid w:val="007271AB"/>
    <w:rsid w:val="0073044A"/>
    <w:rsid w:val="007310E5"/>
    <w:rsid w:val="00731B09"/>
    <w:rsid w:val="0073205C"/>
    <w:rsid w:val="007323F5"/>
    <w:rsid w:val="0073353F"/>
    <w:rsid w:val="007341C4"/>
    <w:rsid w:val="00735277"/>
    <w:rsid w:val="00735454"/>
    <w:rsid w:val="00735A91"/>
    <w:rsid w:val="00735D01"/>
    <w:rsid w:val="00736091"/>
    <w:rsid w:val="00736673"/>
    <w:rsid w:val="00737A45"/>
    <w:rsid w:val="00740300"/>
    <w:rsid w:val="0074032E"/>
    <w:rsid w:val="007408C7"/>
    <w:rsid w:val="007412EC"/>
    <w:rsid w:val="007414C0"/>
    <w:rsid w:val="00741803"/>
    <w:rsid w:val="007425A9"/>
    <w:rsid w:val="00742940"/>
    <w:rsid w:val="00742A38"/>
    <w:rsid w:val="00742E45"/>
    <w:rsid w:val="00743440"/>
    <w:rsid w:val="007446E5"/>
    <w:rsid w:val="007447AF"/>
    <w:rsid w:val="0074672E"/>
    <w:rsid w:val="00747FBF"/>
    <w:rsid w:val="0075047E"/>
    <w:rsid w:val="00750641"/>
    <w:rsid w:val="00750816"/>
    <w:rsid w:val="00750F36"/>
    <w:rsid w:val="00751C71"/>
    <w:rsid w:val="00752095"/>
    <w:rsid w:val="007525BA"/>
    <w:rsid w:val="00753BA1"/>
    <w:rsid w:val="00753E2B"/>
    <w:rsid w:val="00754018"/>
    <w:rsid w:val="0075428A"/>
    <w:rsid w:val="007542AA"/>
    <w:rsid w:val="00754A95"/>
    <w:rsid w:val="00755B0E"/>
    <w:rsid w:val="00755BAA"/>
    <w:rsid w:val="00756523"/>
    <w:rsid w:val="00756832"/>
    <w:rsid w:val="00756939"/>
    <w:rsid w:val="00757572"/>
    <w:rsid w:val="00757F5D"/>
    <w:rsid w:val="00757F72"/>
    <w:rsid w:val="007601B2"/>
    <w:rsid w:val="00760E9F"/>
    <w:rsid w:val="007618CF"/>
    <w:rsid w:val="007620AB"/>
    <w:rsid w:val="007626F1"/>
    <w:rsid w:val="00762EBB"/>
    <w:rsid w:val="00764305"/>
    <w:rsid w:val="00764A02"/>
    <w:rsid w:val="0076521F"/>
    <w:rsid w:val="007657C1"/>
    <w:rsid w:val="00766D4D"/>
    <w:rsid w:val="00766F2B"/>
    <w:rsid w:val="007672D2"/>
    <w:rsid w:val="00767D94"/>
    <w:rsid w:val="0077030F"/>
    <w:rsid w:val="00770459"/>
    <w:rsid w:val="00770772"/>
    <w:rsid w:val="007708C6"/>
    <w:rsid w:val="00770D09"/>
    <w:rsid w:val="007716F3"/>
    <w:rsid w:val="007716F5"/>
    <w:rsid w:val="00771968"/>
    <w:rsid w:val="00771C79"/>
    <w:rsid w:val="00772C82"/>
    <w:rsid w:val="007739B8"/>
    <w:rsid w:val="007739EA"/>
    <w:rsid w:val="00773A18"/>
    <w:rsid w:val="00773EC2"/>
    <w:rsid w:val="00775813"/>
    <w:rsid w:val="007759E9"/>
    <w:rsid w:val="00775D7C"/>
    <w:rsid w:val="00775F97"/>
    <w:rsid w:val="00776B87"/>
    <w:rsid w:val="00777218"/>
    <w:rsid w:val="0077755F"/>
    <w:rsid w:val="00780375"/>
    <w:rsid w:val="00780422"/>
    <w:rsid w:val="007808FE"/>
    <w:rsid w:val="00781612"/>
    <w:rsid w:val="00781A33"/>
    <w:rsid w:val="00782E93"/>
    <w:rsid w:val="00783728"/>
    <w:rsid w:val="00783780"/>
    <w:rsid w:val="007838CB"/>
    <w:rsid w:val="00783D48"/>
    <w:rsid w:val="0078410F"/>
    <w:rsid w:val="00784511"/>
    <w:rsid w:val="007845C7"/>
    <w:rsid w:val="00784AEC"/>
    <w:rsid w:val="00784E9E"/>
    <w:rsid w:val="00785517"/>
    <w:rsid w:val="00785674"/>
    <w:rsid w:val="007859AC"/>
    <w:rsid w:val="00785B3A"/>
    <w:rsid w:val="00785CBE"/>
    <w:rsid w:val="00790C07"/>
    <w:rsid w:val="00792A97"/>
    <w:rsid w:val="00792AA7"/>
    <w:rsid w:val="00792FE7"/>
    <w:rsid w:val="007930D0"/>
    <w:rsid w:val="00793168"/>
    <w:rsid w:val="007931A6"/>
    <w:rsid w:val="0079375B"/>
    <w:rsid w:val="00793A44"/>
    <w:rsid w:val="00793C3F"/>
    <w:rsid w:val="00794742"/>
    <w:rsid w:val="0079500D"/>
    <w:rsid w:val="007952C9"/>
    <w:rsid w:val="00795725"/>
    <w:rsid w:val="00795AB7"/>
    <w:rsid w:val="00795D42"/>
    <w:rsid w:val="00796190"/>
    <w:rsid w:val="00796EC0"/>
    <w:rsid w:val="00796EC7"/>
    <w:rsid w:val="007972B0"/>
    <w:rsid w:val="007972E8"/>
    <w:rsid w:val="00797364"/>
    <w:rsid w:val="007973C0"/>
    <w:rsid w:val="007A0631"/>
    <w:rsid w:val="007A09A6"/>
    <w:rsid w:val="007A0AFD"/>
    <w:rsid w:val="007A18A4"/>
    <w:rsid w:val="007A19A2"/>
    <w:rsid w:val="007A22F7"/>
    <w:rsid w:val="007A2905"/>
    <w:rsid w:val="007A2C6E"/>
    <w:rsid w:val="007A2E52"/>
    <w:rsid w:val="007A2FCC"/>
    <w:rsid w:val="007A3353"/>
    <w:rsid w:val="007A34F2"/>
    <w:rsid w:val="007A406D"/>
    <w:rsid w:val="007A4D87"/>
    <w:rsid w:val="007A4FC5"/>
    <w:rsid w:val="007A5E36"/>
    <w:rsid w:val="007A60EF"/>
    <w:rsid w:val="007A62B0"/>
    <w:rsid w:val="007A649A"/>
    <w:rsid w:val="007A7527"/>
    <w:rsid w:val="007B007D"/>
    <w:rsid w:val="007B0278"/>
    <w:rsid w:val="007B044A"/>
    <w:rsid w:val="007B0495"/>
    <w:rsid w:val="007B0E3A"/>
    <w:rsid w:val="007B12DB"/>
    <w:rsid w:val="007B13EB"/>
    <w:rsid w:val="007B1CB3"/>
    <w:rsid w:val="007B21A3"/>
    <w:rsid w:val="007B2426"/>
    <w:rsid w:val="007B284A"/>
    <w:rsid w:val="007B2BD9"/>
    <w:rsid w:val="007B2F7E"/>
    <w:rsid w:val="007B35CB"/>
    <w:rsid w:val="007B35D4"/>
    <w:rsid w:val="007B3A17"/>
    <w:rsid w:val="007B3B8B"/>
    <w:rsid w:val="007B489E"/>
    <w:rsid w:val="007B51B4"/>
    <w:rsid w:val="007B5B4A"/>
    <w:rsid w:val="007B6152"/>
    <w:rsid w:val="007B6898"/>
    <w:rsid w:val="007B6F62"/>
    <w:rsid w:val="007B743B"/>
    <w:rsid w:val="007B74E0"/>
    <w:rsid w:val="007C03D8"/>
    <w:rsid w:val="007C2416"/>
    <w:rsid w:val="007C3405"/>
    <w:rsid w:val="007C344F"/>
    <w:rsid w:val="007C3E99"/>
    <w:rsid w:val="007C4D76"/>
    <w:rsid w:val="007C5842"/>
    <w:rsid w:val="007C5A0C"/>
    <w:rsid w:val="007C5E49"/>
    <w:rsid w:val="007C63E8"/>
    <w:rsid w:val="007C7048"/>
    <w:rsid w:val="007C75A8"/>
    <w:rsid w:val="007D04E2"/>
    <w:rsid w:val="007D0737"/>
    <w:rsid w:val="007D12D9"/>
    <w:rsid w:val="007D1DFF"/>
    <w:rsid w:val="007D1E82"/>
    <w:rsid w:val="007D3097"/>
    <w:rsid w:val="007D374C"/>
    <w:rsid w:val="007D3CB4"/>
    <w:rsid w:val="007D47C1"/>
    <w:rsid w:val="007D546E"/>
    <w:rsid w:val="007D5767"/>
    <w:rsid w:val="007D5BA6"/>
    <w:rsid w:val="007D63C8"/>
    <w:rsid w:val="007D6DC0"/>
    <w:rsid w:val="007D7B56"/>
    <w:rsid w:val="007E03F1"/>
    <w:rsid w:val="007E0749"/>
    <w:rsid w:val="007E0FEE"/>
    <w:rsid w:val="007E1351"/>
    <w:rsid w:val="007E2306"/>
    <w:rsid w:val="007E242F"/>
    <w:rsid w:val="007E2580"/>
    <w:rsid w:val="007E2EEC"/>
    <w:rsid w:val="007E310F"/>
    <w:rsid w:val="007E3B1E"/>
    <w:rsid w:val="007E3F2F"/>
    <w:rsid w:val="007E4B29"/>
    <w:rsid w:val="007E545E"/>
    <w:rsid w:val="007E560D"/>
    <w:rsid w:val="007E6559"/>
    <w:rsid w:val="007E737B"/>
    <w:rsid w:val="007E79E9"/>
    <w:rsid w:val="007E7E17"/>
    <w:rsid w:val="007F0038"/>
    <w:rsid w:val="007F0CBA"/>
    <w:rsid w:val="007F1633"/>
    <w:rsid w:val="007F1814"/>
    <w:rsid w:val="007F2017"/>
    <w:rsid w:val="007F389E"/>
    <w:rsid w:val="007F3D01"/>
    <w:rsid w:val="007F47C2"/>
    <w:rsid w:val="007F4D74"/>
    <w:rsid w:val="007F5B3D"/>
    <w:rsid w:val="007F6824"/>
    <w:rsid w:val="007F7706"/>
    <w:rsid w:val="00800484"/>
    <w:rsid w:val="008016AA"/>
    <w:rsid w:val="00801F1D"/>
    <w:rsid w:val="00802DF3"/>
    <w:rsid w:val="0080390E"/>
    <w:rsid w:val="008040D9"/>
    <w:rsid w:val="0080452B"/>
    <w:rsid w:val="00804615"/>
    <w:rsid w:val="00805140"/>
    <w:rsid w:val="00805809"/>
    <w:rsid w:val="00805BD1"/>
    <w:rsid w:val="00805CAB"/>
    <w:rsid w:val="00805D5E"/>
    <w:rsid w:val="008062AE"/>
    <w:rsid w:val="008064CF"/>
    <w:rsid w:val="00806BE5"/>
    <w:rsid w:val="00807616"/>
    <w:rsid w:val="0080774F"/>
    <w:rsid w:val="00807E48"/>
    <w:rsid w:val="00811047"/>
    <w:rsid w:val="00811050"/>
    <w:rsid w:val="008119CE"/>
    <w:rsid w:val="008128D2"/>
    <w:rsid w:val="00813021"/>
    <w:rsid w:val="00813933"/>
    <w:rsid w:val="00814D86"/>
    <w:rsid w:val="008159CF"/>
    <w:rsid w:val="00815FBB"/>
    <w:rsid w:val="0081643C"/>
    <w:rsid w:val="00816E05"/>
    <w:rsid w:val="00816E99"/>
    <w:rsid w:val="00817F65"/>
    <w:rsid w:val="008203F0"/>
    <w:rsid w:val="00820AC2"/>
    <w:rsid w:val="008211DC"/>
    <w:rsid w:val="00821847"/>
    <w:rsid w:val="00822A33"/>
    <w:rsid w:val="00822FB7"/>
    <w:rsid w:val="008236D4"/>
    <w:rsid w:val="00823888"/>
    <w:rsid w:val="00823E64"/>
    <w:rsid w:val="00825063"/>
    <w:rsid w:val="00826561"/>
    <w:rsid w:val="008268BF"/>
    <w:rsid w:val="00826A7A"/>
    <w:rsid w:val="008272D8"/>
    <w:rsid w:val="00827B5D"/>
    <w:rsid w:val="00827CEB"/>
    <w:rsid w:val="00827EAA"/>
    <w:rsid w:val="00830356"/>
    <w:rsid w:val="008309E3"/>
    <w:rsid w:val="0083102C"/>
    <w:rsid w:val="00832B1C"/>
    <w:rsid w:val="008336BB"/>
    <w:rsid w:val="008338A8"/>
    <w:rsid w:val="00833910"/>
    <w:rsid w:val="008339BB"/>
    <w:rsid w:val="00833DE2"/>
    <w:rsid w:val="00834697"/>
    <w:rsid w:val="008350E5"/>
    <w:rsid w:val="0083693E"/>
    <w:rsid w:val="008374CD"/>
    <w:rsid w:val="00837E91"/>
    <w:rsid w:val="008406D2"/>
    <w:rsid w:val="00841385"/>
    <w:rsid w:val="0084152D"/>
    <w:rsid w:val="00841999"/>
    <w:rsid w:val="008419A4"/>
    <w:rsid w:val="00842EFE"/>
    <w:rsid w:val="0084386C"/>
    <w:rsid w:val="00843C06"/>
    <w:rsid w:val="008442CE"/>
    <w:rsid w:val="0084459F"/>
    <w:rsid w:val="0084486E"/>
    <w:rsid w:val="0084494F"/>
    <w:rsid w:val="0084591D"/>
    <w:rsid w:val="00850406"/>
    <w:rsid w:val="00850ED1"/>
    <w:rsid w:val="00852832"/>
    <w:rsid w:val="00852B23"/>
    <w:rsid w:val="00853436"/>
    <w:rsid w:val="00853762"/>
    <w:rsid w:val="00854A9B"/>
    <w:rsid w:val="00854E53"/>
    <w:rsid w:val="008550BC"/>
    <w:rsid w:val="00856AF6"/>
    <w:rsid w:val="00856DB6"/>
    <w:rsid w:val="00856EA5"/>
    <w:rsid w:val="008574CC"/>
    <w:rsid w:val="008605D7"/>
    <w:rsid w:val="00860ACB"/>
    <w:rsid w:val="008621E7"/>
    <w:rsid w:val="00862C01"/>
    <w:rsid w:val="0086419A"/>
    <w:rsid w:val="00864AD1"/>
    <w:rsid w:val="00865185"/>
    <w:rsid w:val="008655C6"/>
    <w:rsid w:val="00865923"/>
    <w:rsid w:val="00866231"/>
    <w:rsid w:val="00866800"/>
    <w:rsid w:val="008673B8"/>
    <w:rsid w:val="00867FA1"/>
    <w:rsid w:val="0087023B"/>
    <w:rsid w:val="00870263"/>
    <w:rsid w:val="0087051A"/>
    <w:rsid w:val="008707EA"/>
    <w:rsid w:val="00870DC0"/>
    <w:rsid w:val="00871091"/>
    <w:rsid w:val="00871C3C"/>
    <w:rsid w:val="00872DFF"/>
    <w:rsid w:val="00872EE5"/>
    <w:rsid w:val="008730DD"/>
    <w:rsid w:val="0087310B"/>
    <w:rsid w:val="00873823"/>
    <w:rsid w:val="008744D3"/>
    <w:rsid w:val="008748CE"/>
    <w:rsid w:val="0087630A"/>
    <w:rsid w:val="00877C10"/>
    <w:rsid w:val="00880093"/>
    <w:rsid w:val="008818E2"/>
    <w:rsid w:val="0088270D"/>
    <w:rsid w:val="00882C0C"/>
    <w:rsid w:val="00882DF3"/>
    <w:rsid w:val="008830C3"/>
    <w:rsid w:val="00883174"/>
    <w:rsid w:val="00883427"/>
    <w:rsid w:val="00883FC4"/>
    <w:rsid w:val="008855F9"/>
    <w:rsid w:val="00885765"/>
    <w:rsid w:val="00885847"/>
    <w:rsid w:val="00885C54"/>
    <w:rsid w:val="008860EB"/>
    <w:rsid w:val="0088613E"/>
    <w:rsid w:val="00886642"/>
    <w:rsid w:val="00886B57"/>
    <w:rsid w:val="008870B6"/>
    <w:rsid w:val="008875E6"/>
    <w:rsid w:val="00887AD9"/>
    <w:rsid w:val="00890AC1"/>
    <w:rsid w:val="00890B4E"/>
    <w:rsid w:val="00891552"/>
    <w:rsid w:val="0089190F"/>
    <w:rsid w:val="00891C05"/>
    <w:rsid w:val="0089320F"/>
    <w:rsid w:val="008940B1"/>
    <w:rsid w:val="00894970"/>
    <w:rsid w:val="00894AB9"/>
    <w:rsid w:val="00895C36"/>
    <w:rsid w:val="00895CA7"/>
    <w:rsid w:val="00897B60"/>
    <w:rsid w:val="00897DCE"/>
    <w:rsid w:val="008A061A"/>
    <w:rsid w:val="008A08BF"/>
    <w:rsid w:val="008A179F"/>
    <w:rsid w:val="008A210B"/>
    <w:rsid w:val="008A266D"/>
    <w:rsid w:val="008A2CD7"/>
    <w:rsid w:val="008A3560"/>
    <w:rsid w:val="008A357E"/>
    <w:rsid w:val="008A3FC2"/>
    <w:rsid w:val="008A42F0"/>
    <w:rsid w:val="008A4A24"/>
    <w:rsid w:val="008A6203"/>
    <w:rsid w:val="008A7ABB"/>
    <w:rsid w:val="008B03BE"/>
    <w:rsid w:val="008B0864"/>
    <w:rsid w:val="008B0E10"/>
    <w:rsid w:val="008B11B7"/>
    <w:rsid w:val="008B175A"/>
    <w:rsid w:val="008B1DBF"/>
    <w:rsid w:val="008B2380"/>
    <w:rsid w:val="008B23BD"/>
    <w:rsid w:val="008B25A6"/>
    <w:rsid w:val="008B26FF"/>
    <w:rsid w:val="008B2708"/>
    <w:rsid w:val="008B2BA8"/>
    <w:rsid w:val="008B2E46"/>
    <w:rsid w:val="008B30EC"/>
    <w:rsid w:val="008B3261"/>
    <w:rsid w:val="008B4AE8"/>
    <w:rsid w:val="008B51DD"/>
    <w:rsid w:val="008B55BE"/>
    <w:rsid w:val="008B5FBF"/>
    <w:rsid w:val="008B739A"/>
    <w:rsid w:val="008C053B"/>
    <w:rsid w:val="008C0B8B"/>
    <w:rsid w:val="008C0F7B"/>
    <w:rsid w:val="008C1943"/>
    <w:rsid w:val="008C1B63"/>
    <w:rsid w:val="008C1CDB"/>
    <w:rsid w:val="008C3CB7"/>
    <w:rsid w:val="008C416B"/>
    <w:rsid w:val="008C47C4"/>
    <w:rsid w:val="008C4885"/>
    <w:rsid w:val="008C50A8"/>
    <w:rsid w:val="008C5DF0"/>
    <w:rsid w:val="008C6732"/>
    <w:rsid w:val="008C71F9"/>
    <w:rsid w:val="008C7413"/>
    <w:rsid w:val="008D16B7"/>
    <w:rsid w:val="008D1C34"/>
    <w:rsid w:val="008D1CEB"/>
    <w:rsid w:val="008D1D1A"/>
    <w:rsid w:val="008D26B8"/>
    <w:rsid w:val="008D279F"/>
    <w:rsid w:val="008D2AF1"/>
    <w:rsid w:val="008D2DA9"/>
    <w:rsid w:val="008D31CC"/>
    <w:rsid w:val="008D33EF"/>
    <w:rsid w:val="008D3E37"/>
    <w:rsid w:val="008D4499"/>
    <w:rsid w:val="008D45D3"/>
    <w:rsid w:val="008D4656"/>
    <w:rsid w:val="008D4C6C"/>
    <w:rsid w:val="008D4EC1"/>
    <w:rsid w:val="008D61A5"/>
    <w:rsid w:val="008D64E9"/>
    <w:rsid w:val="008D659F"/>
    <w:rsid w:val="008D65F4"/>
    <w:rsid w:val="008D6822"/>
    <w:rsid w:val="008D6EDE"/>
    <w:rsid w:val="008D72D9"/>
    <w:rsid w:val="008D77E6"/>
    <w:rsid w:val="008D7AB5"/>
    <w:rsid w:val="008E0A98"/>
    <w:rsid w:val="008E3B4F"/>
    <w:rsid w:val="008E4A22"/>
    <w:rsid w:val="008E5287"/>
    <w:rsid w:val="008E6464"/>
    <w:rsid w:val="008E6AE6"/>
    <w:rsid w:val="008E6BAE"/>
    <w:rsid w:val="008E7209"/>
    <w:rsid w:val="008E7AC3"/>
    <w:rsid w:val="008F0116"/>
    <w:rsid w:val="008F0680"/>
    <w:rsid w:val="008F07E2"/>
    <w:rsid w:val="008F1224"/>
    <w:rsid w:val="008F1396"/>
    <w:rsid w:val="008F143D"/>
    <w:rsid w:val="008F232B"/>
    <w:rsid w:val="008F26AC"/>
    <w:rsid w:val="008F30C0"/>
    <w:rsid w:val="008F36F6"/>
    <w:rsid w:val="008F373D"/>
    <w:rsid w:val="008F3A4F"/>
    <w:rsid w:val="008F3E5B"/>
    <w:rsid w:val="008F4810"/>
    <w:rsid w:val="008F59BF"/>
    <w:rsid w:val="008F6163"/>
    <w:rsid w:val="008F6F23"/>
    <w:rsid w:val="008F6F37"/>
    <w:rsid w:val="008F7245"/>
    <w:rsid w:val="008F7700"/>
    <w:rsid w:val="008F7874"/>
    <w:rsid w:val="0090028B"/>
    <w:rsid w:val="0090199E"/>
    <w:rsid w:val="009022F4"/>
    <w:rsid w:val="00903AB7"/>
    <w:rsid w:val="0090412E"/>
    <w:rsid w:val="00904773"/>
    <w:rsid w:val="00904A05"/>
    <w:rsid w:val="00904ACA"/>
    <w:rsid w:val="0090588D"/>
    <w:rsid w:val="00906333"/>
    <w:rsid w:val="0090688E"/>
    <w:rsid w:val="00907BE1"/>
    <w:rsid w:val="0091009E"/>
    <w:rsid w:val="00910875"/>
    <w:rsid w:val="00910DE8"/>
    <w:rsid w:val="00910EB2"/>
    <w:rsid w:val="00911999"/>
    <w:rsid w:val="00911AA7"/>
    <w:rsid w:val="00911D58"/>
    <w:rsid w:val="00911E6B"/>
    <w:rsid w:val="00912590"/>
    <w:rsid w:val="00913FCA"/>
    <w:rsid w:val="00913FE8"/>
    <w:rsid w:val="00914504"/>
    <w:rsid w:val="0091586B"/>
    <w:rsid w:val="009161FC"/>
    <w:rsid w:val="00917F74"/>
    <w:rsid w:val="0092015D"/>
    <w:rsid w:val="009207A9"/>
    <w:rsid w:val="009207C7"/>
    <w:rsid w:val="00921866"/>
    <w:rsid w:val="009218F9"/>
    <w:rsid w:val="009220DB"/>
    <w:rsid w:val="0092270C"/>
    <w:rsid w:val="00923D3E"/>
    <w:rsid w:val="00924B2D"/>
    <w:rsid w:val="00924D90"/>
    <w:rsid w:val="009265E0"/>
    <w:rsid w:val="0093014C"/>
    <w:rsid w:val="0093064B"/>
    <w:rsid w:val="00930963"/>
    <w:rsid w:val="00931E9F"/>
    <w:rsid w:val="009323CF"/>
    <w:rsid w:val="00932865"/>
    <w:rsid w:val="009328C8"/>
    <w:rsid w:val="00932A19"/>
    <w:rsid w:val="00933328"/>
    <w:rsid w:val="009336B5"/>
    <w:rsid w:val="009348D3"/>
    <w:rsid w:val="009349F9"/>
    <w:rsid w:val="00934A90"/>
    <w:rsid w:val="009357B0"/>
    <w:rsid w:val="00935A3D"/>
    <w:rsid w:val="00936A23"/>
    <w:rsid w:val="00937370"/>
    <w:rsid w:val="00937567"/>
    <w:rsid w:val="00937688"/>
    <w:rsid w:val="00937EEF"/>
    <w:rsid w:val="00940174"/>
    <w:rsid w:val="0094099E"/>
    <w:rsid w:val="00940C4E"/>
    <w:rsid w:val="0094109F"/>
    <w:rsid w:val="009410C7"/>
    <w:rsid w:val="009416A1"/>
    <w:rsid w:val="00941D07"/>
    <w:rsid w:val="00942559"/>
    <w:rsid w:val="009428E9"/>
    <w:rsid w:val="00942C17"/>
    <w:rsid w:val="00943658"/>
    <w:rsid w:val="00944C3E"/>
    <w:rsid w:val="00944D4B"/>
    <w:rsid w:val="00945538"/>
    <w:rsid w:val="009457F2"/>
    <w:rsid w:val="00945A66"/>
    <w:rsid w:val="009467AB"/>
    <w:rsid w:val="00946CD4"/>
    <w:rsid w:val="0094704F"/>
    <w:rsid w:val="00947A01"/>
    <w:rsid w:val="00947D70"/>
    <w:rsid w:val="009522B3"/>
    <w:rsid w:val="00952603"/>
    <w:rsid w:val="0095263F"/>
    <w:rsid w:val="009539A7"/>
    <w:rsid w:val="00954814"/>
    <w:rsid w:val="009558E3"/>
    <w:rsid w:val="00955E3C"/>
    <w:rsid w:val="00956A36"/>
    <w:rsid w:val="0096011B"/>
    <w:rsid w:val="00960435"/>
    <w:rsid w:val="00961999"/>
    <w:rsid w:val="009625AE"/>
    <w:rsid w:val="00962A2D"/>
    <w:rsid w:val="00962B90"/>
    <w:rsid w:val="009638FC"/>
    <w:rsid w:val="00964186"/>
    <w:rsid w:val="009643EA"/>
    <w:rsid w:val="009649B5"/>
    <w:rsid w:val="00965146"/>
    <w:rsid w:val="009653EC"/>
    <w:rsid w:val="00965F35"/>
    <w:rsid w:val="009666A8"/>
    <w:rsid w:val="00967116"/>
    <w:rsid w:val="0097034D"/>
    <w:rsid w:val="009705DC"/>
    <w:rsid w:val="009705F9"/>
    <w:rsid w:val="009707F7"/>
    <w:rsid w:val="00971289"/>
    <w:rsid w:val="00971588"/>
    <w:rsid w:val="00971790"/>
    <w:rsid w:val="009719E2"/>
    <w:rsid w:val="00971C8E"/>
    <w:rsid w:val="00972A77"/>
    <w:rsid w:val="00972B2D"/>
    <w:rsid w:val="00974180"/>
    <w:rsid w:val="0097529D"/>
    <w:rsid w:val="0097529E"/>
    <w:rsid w:val="009759C8"/>
    <w:rsid w:val="00976250"/>
    <w:rsid w:val="00977765"/>
    <w:rsid w:val="00980EA5"/>
    <w:rsid w:val="0098135D"/>
    <w:rsid w:val="0098138E"/>
    <w:rsid w:val="00981693"/>
    <w:rsid w:val="0098391B"/>
    <w:rsid w:val="009845B0"/>
    <w:rsid w:val="0098476A"/>
    <w:rsid w:val="00984793"/>
    <w:rsid w:val="009847BD"/>
    <w:rsid w:val="00984877"/>
    <w:rsid w:val="009859B7"/>
    <w:rsid w:val="00985B65"/>
    <w:rsid w:val="00985C0F"/>
    <w:rsid w:val="00985EED"/>
    <w:rsid w:val="00986080"/>
    <w:rsid w:val="00986458"/>
    <w:rsid w:val="0098655A"/>
    <w:rsid w:val="009867D1"/>
    <w:rsid w:val="00986B04"/>
    <w:rsid w:val="00990390"/>
    <w:rsid w:val="009905B8"/>
    <w:rsid w:val="00990894"/>
    <w:rsid w:val="00990F6A"/>
    <w:rsid w:val="00991805"/>
    <w:rsid w:val="00991BA0"/>
    <w:rsid w:val="00992407"/>
    <w:rsid w:val="009931CA"/>
    <w:rsid w:val="00993BD4"/>
    <w:rsid w:val="00993D4F"/>
    <w:rsid w:val="00993D89"/>
    <w:rsid w:val="00994B48"/>
    <w:rsid w:val="009958C4"/>
    <w:rsid w:val="00996E69"/>
    <w:rsid w:val="00997A6D"/>
    <w:rsid w:val="009A0106"/>
    <w:rsid w:val="009A04B7"/>
    <w:rsid w:val="009A0E63"/>
    <w:rsid w:val="009A1130"/>
    <w:rsid w:val="009A15D2"/>
    <w:rsid w:val="009A2475"/>
    <w:rsid w:val="009A24ED"/>
    <w:rsid w:val="009A2C19"/>
    <w:rsid w:val="009A4037"/>
    <w:rsid w:val="009A44E8"/>
    <w:rsid w:val="009A5080"/>
    <w:rsid w:val="009A57D5"/>
    <w:rsid w:val="009A60D5"/>
    <w:rsid w:val="009A6693"/>
    <w:rsid w:val="009A68DE"/>
    <w:rsid w:val="009A6E36"/>
    <w:rsid w:val="009A7F17"/>
    <w:rsid w:val="009B0B7D"/>
    <w:rsid w:val="009B0BD8"/>
    <w:rsid w:val="009B1617"/>
    <w:rsid w:val="009B19FE"/>
    <w:rsid w:val="009B2CD4"/>
    <w:rsid w:val="009B306C"/>
    <w:rsid w:val="009B317C"/>
    <w:rsid w:val="009B3A7A"/>
    <w:rsid w:val="009B3F67"/>
    <w:rsid w:val="009B47D2"/>
    <w:rsid w:val="009B487B"/>
    <w:rsid w:val="009B6875"/>
    <w:rsid w:val="009B6A35"/>
    <w:rsid w:val="009B7BDA"/>
    <w:rsid w:val="009B7C50"/>
    <w:rsid w:val="009C047C"/>
    <w:rsid w:val="009C110C"/>
    <w:rsid w:val="009C1C17"/>
    <w:rsid w:val="009C271F"/>
    <w:rsid w:val="009C2941"/>
    <w:rsid w:val="009C2BCC"/>
    <w:rsid w:val="009C2D69"/>
    <w:rsid w:val="009C3BCA"/>
    <w:rsid w:val="009C4219"/>
    <w:rsid w:val="009C5243"/>
    <w:rsid w:val="009C5335"/>
    <w:rsid w:val="009C5DF6"/>
    <w:rsid w:val="009C66D9"/>
    <w:rsid w:val="009C721D"/>
    <w:rsid w:val="009C788B"/>
    <w:rsid w:val="009D013A"/>
    <w:rsid w:val="009D2101"/>
    <w:rsid w:val="009D2687"/>
    <w:rsid w:val="009D331E"/>
    <w:rsid w:val="009D4F67"/>
    <w:rsid w:val="009D55C6"/>
    <w:rsid w:val="009D5D1C"/>
    <w:rsid w:val="009D62E9"/>
    <w:rsid w:val="009D658E"/>
    <w:rsid w:val="009D7B8C"/>
    <w:rsid w:val="009E076E"/>
    <w:rsid w:val="009E08E2"/>
    <w:rsid w:val="009E0AF5"/>
    <w:rsid w:val="009E0E73"/>
    <w:rsid w:val="009E14F3"/>
    <w:rsid w:val="009E17FE"/>
    <w:rsid w:val="009E2C3D"/>
    <w:rsid w:val="009E4496"/>
    <w:rsid w:val="009E4700"/>
    <w:rsid w:val="009E562D"/>
    <w:rsid w:val="009E5C96"/>
    <w:rsid w:val="009E5FBE"/>
    <w:rsid w:val="009E5FE0"/>
    <w:rsid w:val="009E6052"/>
    <w:rsid w:val="009E73DF"/>
    <w:rsid w:val="009E7C7F"/>
    <w:rsid w:val="009F086F"/>
    <w:rsid w:val="009F1002"/>
    <w:rsid w:val="009F100E"/>
    <w:rsid w:val="009F126E"/>
    <w:rsid w:val="009F1523"/>
    <w:rsid w:val="009F195C"/>
    <w:rsid w:val="009F20E9"/>
    <w:rsid w:val="009F3580"/>
    <w:rsid w:val="009F4719"/>
    <w:rsid w:val="009F4A5A"/>
    <w:rsid w:val="009F4EFB"/>
    <w:rsid w:val="009F50E8"/>
    <w:rsid w:val="009F62A7"/>
    <w:rsid w:val="009F631E"/>
    <w:rsid w:val="009F63D6"/>
    <w:rsid w:val="009F651E"/>
    <w:rsid w:val="009F6929"/>
    <w:rsid w:val="009F74CF"/>
    <w:rsid w:val="009F78E8"/>
    <w:rsid w:val="00A00513"/>
    <w:rsid w:val="00A0068F"/>
    <w:rsid w:val="00A00C17"/>
    <w:rsid w:val="00A00D53"/>
    <w:rsid w:val="00A021B3"/>
    <w:rsid w:val="00A03B63"/>
    <w:rsid w:val="00A04462"/>
    <w:rsid w:val="00A059ED"/>
    <w:rsid w:val="00A06280"/>
    <w:rsid w:val="00A06B0C"/>
    <w:rsid w:val="00A06D48"/>
    <w:rsid w:val="00A06F58"/>
    <w:rsid w:val="00A07ABF"/>
    <w:rsid w:val="00A1073E"/>
    <w:rsid w:val="00A111A4"/>
    <w:rsid w:val="00A1140C"/>
    <w:rsid w:val="00A11710"/>
    <w:rsid w:val="00A11841"/>
    <w:rsid w:val="00A120E5"/>
    <w:rsid w:val="00A1246A"/>
    <w:rsid w:val="00A12B7B"/>
    <w:rsid w:val="00A12E05"/>
    <w:rsid w:val="00A13311"/>
    <w:rsid w:val="00A13E11"/>
    <w:rsid w:val="00A14E05"/>
    <w:rsid w:val="00A14FCF"/>
    <w:rsid w:val="00A15118"/>
    <w:rsid w:val="00A15FCB"/>
    <w:rsid w:val="00A16684"/>
    <w:rsid w:val="00A1716B"/>
    <w:rsid w:val="00A176A5"/>
    <w:rsid w:val="00A17CE0"/>
    <w:rsid w:val="00A21306"/>
    <w:rsid w:val="00A21486"/>
    <w:rsid w:val="00A2254E"/>
    <w:rsid w:val="00A2326B"/>
    <w:rsid w:val="00A2350C"/>
    <w:rsid w:val="00A23D48"/>
    <w:rsid w:val="00A24340"/>
    <w:rsid w:val="00A2464D"/>
    <w:rsid w:val="00A246CA"/>
    <w:rsid w:val="00A24EED"/>
    <w:rsid w:val="00A254E5"/>
    <w:rsid w:val="00A25777"/>
    <w:rsid w:val="00A25C38"/>
    <w:rsid w:val="00A273C9"/>
    <w:rsid w:val="00A30C89"/>
    <w:rsid w:val="00A33BDE"/>
    <w:rsid w:val="00A34413"/>
    <w:rsid w:val="00A34DC7"/>
    <w:rsid w:val="00A35E0F"/>
    <w:rsid w:val="00A35EDD"/>
    <w:rsid w:val="00A36056"/>
    <w:rsid w:val="00A36209"/>
    <w:rsid w:val="00A36B1E"/>
    <w:rsid w:val="00A374FA"/>
    <w:rsid w:val="00A375A5"/>
    <w:rsid w:val="00A37738"/>
    <w:rsid w:val="00A37F97"/>
    <w:rsid w:val="00A40BDE"/>
    <w:rsid w:val="00A41038"/>
    <w:rsid w:val="00A42306"/>
    <w:rsid w:val="00A44207"/>
    <w:rsid w:val="00A443EE"/>
    <w:rsid w:val="00A44E8D"/>
    <w:rsid w:val="00A455EF"/>
    <w:rsid w:val="00A46300"/>
    <w:rsid w:val="00A46889"/>
    <w:rsid w:val="00A46EA8"/>
    <w:rsid w:val="00A47FA3"/>
    <w:rsid w:val="00A51485"/>
    <w:rsid w:val="00A51779"/>
    <w:rsid w:val="00A52288"/>
    <w:rsid w:val="00A52B4B"/>
    <w:rsid w:val="00A52D64"/>
    <w:rsid w:val="00A53323"/>
    <w:rsid w:val="00A5360A"/>
    <w:rsid w:val="00A54BF2"/>
    <w:rsid w:val="00A55ACD"/>
    <w:rsid w:val="00A568BF"/>
    <w:rsid w:val="00A56CEE"/>
    <w:rsid w:val="00A56F44"/>
    <w:rsid w:val="00A57351"/>
    <w:rsid w:val="00A579F3"/>
    <w:rsid w:val="00A57B64"/>
    <w:rsid w:val="00A57DE6"/>
    <w:rsid w:val="00A61A30"/>
    <w:rsid w:val="00A61DCF"/>
    <w:rsid w:val="00A62C41"/>
    <w:rsid w:val="00A62E4E"/>
    <w:rsid w:val="00A6306D"/>
    <w:rsid w:val="00A6373D"/>
    <w:rsid w:val="00A6385E"/>
    <w:rsid w:val="00A64815"/>
    <w:rsid w:val="00A64F19"/>
    <w:rsid w:val="00A650CE"/>
    <w:rsid w:val="00A6520F"/>
    <w:rsid w:val="00A65833"/>
    <w:rsid w:val="00A66916"/>
    <w:rsid w:val="00A66A6D"/>
    <w:rsid w:val="00A66EAB"/>
    <w:rsid w:val="00A673A8"/>
    <w:rsid w:val="00A67856"/>
    <w:rsid w:val="00A67D29"/>
    <w:rsid w:val="00A70B45"/>
    <w:rsid w:val="00A70F71"/>
    <w:rsid w:val="00A7107F"/>
    <w:rsid w:val="00A710CE"/>
    <w:rsid w:val="00A7114D"/>
    <w:rsid w:val="00A71603"/>
    <w:rsid w:val="00A71BB5"/>
    <w:rsid w:val="00A723F9"/>
    <w:rsid w:val="00A7289F"/>
    <w:rsid w:val="00A73139"/>
    <w:rsid w:val="00A734E7"/>
    <w:rsid w:val="00A7374E"/>
    <w:rsid w:val="00A7396C"/>
    <w:rsid w:val="00A73C51"/>
    <w:rsid w:val="00A73E72"/>
    <w:rsid w:val="00A74217"/>
    <w:rsid w:val="00A742A9"/>
    <w:rsid w:val="00A74862"/>
    <w:rsid w:val="00A75607"/>
    <w:rsid w:val="00A7598A"/>
    <w:rsid w:val="00A75BFC"/>
    <w:rsid w:val="00A76AA4"/>
    <w:rsid w:val="00A76EAF"/>
    <w:rsid w:val="00A76FDE"/>
    <w:rsid w:val="00A77044"/>
    <w:rsid w:val="00A77636"/>
    <w:rsid w:val="00A77955"/>
    <w:rsid w:val="00A80FD7"/>
    <w:rsid w:val="00A821C4"/>
    <w:rsid w:val="00A825F1"/>
    <w:rsid w:val="00A82B9A"/>
    <w:rsid w:val="00A82D18"/>
    <w:rsid w:val="00A83313"/>
    <w:rsid w:val="00A83378"/>
    <w:rsid w:val="00A83572"/>
    <w:rsid w:val="00A837C2"/>
    <w:rsid w:val="00A83BC9"/>
    <w:rsid w:val="00A8450A"/>
    <w:rsid w:val="00A85113"/>
    <w:rsid w:val="00A85D27"/>
    <w:rsid w:val="00A86C83"/>
    <w:rsid w:val="00A875E2"/>
    <w:rsid w:val="00A8776C"/>
    <w:rsid w:val="00A8794C"/>
    <w:rsid w:val="00A87A17"/>
    <w:rsid w:val="00A87D46"/>
    <w:rsid w:val="00A90068"/>
    <w:rsid w:val="00A90368"/>
    <w:rsid w:val="00A90A5B"/>
    <w:rsid w:val="00A92581"/>
    <w:rsid w:val="00A927DC"/>
    <w:rsid w:val="00A92EDE"/>
    <w:rsid w:val="00A93031"/>
    <w:rsid w:val="00A93108"/>
    <w:rsid w:val="00A9370D"/>
    <w:rsid w:val="00A93711"/>
    <w:rsid w:val="00A9400A"/>
    <w:rsid w:val="00A94188"/>
    <w:rsid w:val="00A9418A"/>
    <w:rsid w:val="00A95604"/>
    <w:rsid w:val="00A9584A"/>
    <w:rsid w:val="00A97191"/>
    <w:rsid w:val="00A97727"/>
    <w:rsid w:val="00AA043C"/>
    <w:rsid w:val="00AA195F"/>
    <w:rsid w:val="00AA1BE2"/>
    <w:rsid w:val="00AA25E9"/>
    <w:rsid w:val="00AA267B"/>
    <w:rsid w:val="00AA2E68"/>
    <w:rsid w:val="00AA5011"/>
    <w:rsid w:val="00AA5BC2"/>
    <w:rsid w:val="00AA6113"/>
    <w:rsid w:val="00AA6C72"/>
    <w:rsid w:val="00AA6CE8"/>
    <w:rsid w:val="00AA709F"/>
    <w:rsid w:val="00AA7384"/>
    <w:rsid w:val="00AA77BB"/>
    <w:rsid w:val="00AA7956"/>
    <w:rsid w:val="00AB037B"/>
    <w:rsid w:val="00AB0AF4"/>
    <w:rsid w:val="00AB0B88"/>
    <w:rsid w:val="00AB0CB7"/>
    <w:rsid w:val="00AB15D7"/>
    <w:rsid w:val="00AB1A8E"/>
    <w:rsid w:val="00AB4492"/>
    <w:rsid w:val="00AB48D7"/>
    <w:rsid w:val="00AB49B3"/>
    <w:rsid w:val="00AB4DA4"/>
    <w:rsid w:val="00AB5D21"/>
    <w:rsid w:val="00AB66A7"/>
    <w:rsid w:val="00AB6B65"/>
    <w:rsid w:val="00AB6D5F"/>
    <w:rsid w:val="00AB7125"/>
    <w:rsid w:val="00AB746B"/>
    <w:rsid w:val="00AB7496"/>
    <w:rsid w:val="00AB7875"/>
    <w:rsid w:val="00AB7EFA"/>
    <w:rsid w:val="00AC07B5"/>
    <w:rsid w:val="00AC136F"/>
    <w:rsid w:val="00AC1C09"/>
    <w:rsid w:val="00AC2133"/>
    <w:rsid w:val="00AC28CD"/>
    <w:rsid w:val="00AC4C74"/>
    <w:rsid w:val="00AC4DB5"/>
    <w:rsid w:val="00AC4F57"/>
    <w:rsid w:val="00AC51D9"/>
    <w:rsid w:val="00AC51F0"/>
    <w:rsid w:val="00AC5240"/>
    <w:rsid w:val="00AC5D70"/>
    <w:rsid w:val="00AC68EE"/>
    <w:rsid w:val="00AC739A"/>
    <w:rsid w:val="00AC75E1"/>
    <w:rsid w:val="00AC7E78"/>
    <w:rsid w:val="00AD0131"/>
    <w:rsid w:val="00AD03B5"/>
    <w:rsid w:val="00AD0440"/>
    <w:rsid w:val="00AD19B5"/>
    <w:rsid w:val="00AD1B08"/>
    <w:rsid w:val="00AD25CB"/>
    <w:rsid w:val="00AD2C98"/>
    <w:rsid w:val="00AD3624"/>
    <w:rsid w:val="00AD380D"/>
    <w:rsid w:val="00AD3DF8"/>
    <w:rsid w:val="00AD4B61"/>
    <w:rsid w:val="00AD4FD5"/>
    <w:rsid w:val="00AD5232"/>
    <w:rsid w:val="00AD57CB"/>
    <w:rsid w:val="00AD6065"/>
    <w:rsid w:val="00AD64D1"/>
    <w:rsid w:val="00AD65D1"/>
    <w:rsid w:val="00AD6D54"/>
    <w:rsid w:val="00AD723A"/>
    <w:rsid w:val="00AD7F11"/>
    <w:rsid w:val="00AE04E7"/>
    <w:rsid w:val="00AE0D3B"/>
    <w:rsid w:val="00AE150E"/>
    <w:rsid w:val="00AE1724"/>
    <w:rsid w:val="00AE1EB2"/>
    <w:rsid w:val="00AE3247"/>
    <w:rsid w:val="00AE3749"/>
    <w:rsid w:val="00AE3F1D"/>
    <w:rsid w:val="00AE4293"/>
    <w:rsid w:val="00AE48AC"/>
    <w:rsid w:val="00AE5192"/>
    <w:rsid w:val="00AE525E"/>
    <w:rsid w:val="00AE5873"/>
    <w:rsid w:val="00AE58DC"/>
    <w:rsid w:val="00AE5FD7"/>
    <w:rsid w:val="00AE610B"/>
    <w:rsid w:val="00AE706F"/>
    <w:rsid w:val="00AE7384"/>
    <w:rsid w:val="00AE779E"/>
    <w:rsid w:val="00AE7834"/>
    <w:rsid w:val="00AF08F8"/>
    <w:rsid w:val="00AF1E7B"/>
    <w:rsid w:val="00AF1F1D"/>
    <w:rsid w:val="00AF226D"/>
    <w:rsid w:val="00AF29CC"/>
    <w:rsid w:val="00AF3B08"/>
    <w:rsid w:val="00AF3D7E"/>
    <w:rsid w:val="00AF42A8"/>
    <w:rsid w:val="00AF4645"/>
    <w:rsid w:val="00AF4858"/>
    <w:rsid w:val="00AF4FDB"/>
    <w:rsid w:val="00AF58FE"/>
    <w:rsid w:val="00AF6B5A"/>
    <w:rsid w:val="00B001BF"/>
    <w:rsid w:val="00B014E9"/>
    <w:rsid w:val="00B01B76"/>
    <w:rsid w:val="00B01BFA"/>
    <w:rsid w:val="00B01F7E"/>
    <w:rsid w:val="00B025D0"/>
    <w:rsid w:val="00B02C41"/>
    <w:rsid w:val="00B0304D"/>
    <w:rsid w:val="00B03640"/>
    <w:rsid w:val="00B03941"/>
    <w:rsid w:val="00B03A7D"/>
    <w:rsid w:val="00B03BAD"/>
    <w:rsid w:val="00B05436"/>
    <w:rsid w:val="00B05757"/>
    <w:rsid w:val="00B05A25"/>
    <w:rsid w:val="00B060FE"/>
    <w:rsid w:val="00B0624C"/>
    <w:rsid w:val="00B06A64"/>
    <w:rsid w:val="00B0759D"/>
    <w:rsid w:val="00B07A43"/>
    <w:rsid w:val="00B10131"/>
    <w:rsid w:val="00B103B3"/>
    <w:rsid w:val="00B10A48"/>
    <w:rsid w:val="00B113FA"/>
    <w:rsid w:val="00B1248B"/>
    <w:rsid w:val="00B12791"/>
    <w:rsid w:val="00B12850"/>
    <w:rsid w:val="00B129E7"/>
    <w:rsid w:val="00B14356"/>
    <w:rsid w:val="00B14FE8"/>
    <w:rsid w:val="00B153A4"/>
    <w:rsid w:val="00B1654D"/>
    <w:rsid w:val="00B16C2A"/>
    <w:rsid w:val="00B16FB4"/>
    <w:rsid w:val="00B20303"/>
    <w:rsid w:val="00B20E35"/>
    <w:rsid w:val="00B2185F"/>
    <w:rsid w:val="00B21944"/>
    <w:rsid w:val="00B21ADF"/>
    <w:rsid w:val="00B21E7F"/>
    <w:rsid w:val="00B2202A"/>
    <w:rsid w:val="00B222EA"/>
    <w:rsid w:val="00B2352C"/>
    <w:rsid w:val="00B24523"/>
    <w:rsid w:val="00B25DCF"/>
    <w:rsid w:val="00B2630E"/>
    <w:rsid w:val="00B26541"/>
    <w:rsid w:val="00B26C02"/>
    <w:rsid w:val="00B27A94"/>
    <w:rsid w:val="00B27D56"/>
    <w:rsid w:val="00B27F67"/>
    <w:rsid w:val="00B3087D"/>
    <w:rsid w:val="00B3198A"/>
    <w:rsid w:val="00B32F08"/>
    <w:rsid w:val="00B33396"/>
    <w:rsid w:val="00B334A1"/>
    <w:rsid w:val="00B34794"/>
    <w:rsid w:val="00B34DAF"/>
    <w:rsid w:val="00B3515C"/>
    <w:rsid w:val="00B35758"/>
    <w:rsid w:val="00B35797"/>
    <w:rsid w:val="00B35A02"/>
    <w:rsid w:val="00B35F84"/>
    <w:rsid w:val="00B361B8"/>
    <w:rsid w:val="00B36EC9"/>
    <w:rsid w:val="00B379DA"/>
    <w:rsid w:val="00B37E91"/>
    <w:rsid w:val="00B40E9C"/>
    <w:rsid w:val="00B41649"/>
    <w:rsid w:val="00B43946"/>
    <w:rsid w:val="00B43D88"/>
    <w:rsid w:val="00B4417C"/>
    <w:rsid w:val="00B44397"/>
    <w:rsid w:val="00B45EB8"/>
    <w:rsid w:val="00B4662D"/>
    <w:rsid w:val="00B466C1"/>
    <w:rsid w:val="00B47F8C"/>
    <w:rsid w:val="00B5003F"/>
    <w:rsid w:val="00B505F5"/>
    <w:rsid w:val="00B51987"/>
    <w:rsid w:val="00B52188"/>
    <w:rsid w:val="00B52726"/>
    <w:rsid w:val="00B52A9F"/>
    <w:rsid w:val="00B52B79"/>
    <w:rsid w:val="00B52CE2"/>
    <w:rsid w:val="00B534DB"/>
    <w:rsid w:val="00B543D9"/>
    <w:rsid w:val="00B55CA0"/>
    <w:rsid w:val="00B57164"/>
    <w:rsid w:val="00B60281"/>
    <w:rsid w:val="00B60421"/>
    <w:rsid w:val="00B61051"/>
    <w:rsid w:val="00B6184D"/>
    <w:rsid w:val="00B61DC7"/>
    <w:rsid w:val="00B6234D"/>
    <w:rsid w:val="00B62A87"/>
    <w:rsid w:val="00B6361B"/>
    <w:rsid w:val="00B63772"/>
    <w:rsid w:val="00B63797"/>
    <w:rsid w:val="00B6380C"/>
    <w:rsid w:val="00B63E60"/>
    <w:rsid w:val="00B63F9A"/>
    <w:rsid w:val="00B64133"/>
    <w:rsid w:val="00B643CA"/>
    <w:rsid w:val="00B64DBC"/>
    <w:rsid w:val="00B65250"/>
    <w:rsid w:val="00B65608"/>
    <w:rsid w:val="00B65854"/>
    <w:rsid w:val="00B65B99"/>
    <w:rsid w:val="00B65CCA"/>
    <w:rsid w:val="00B65ECD"/>
    <w:rsid w:val="00B65EDD"/>
    <w:rsid w:val="00B66553"/>
    <w:rsid w:val="00B6797B"/>
    <w:rsid w:val="00B7024D"/>
    <w:rsid w:val="00B7305C"/>
    <w:rsid w:val="00B7402D"/>
    <w:rsid w:val="00B741C6"/>
    <w:rsid w:val="00B749CE"/>
    <w:rsid w:val="00B75917"/>
    <w:rsid w:val="00B75EBE"/>
    <w:rsid w:val="00B7643F"/>
    <w:rsid w:val="00B77043"/>
    <w:rsid w:val="00B8057C"/>
    <w:rsid w:val="00B81EB6"/>
    <w:rsid w:val="00B82062"/>
    <w:rsid w:val="00B822BA"/>
    <w:rsid w:val="00B82FFA"/>
    <w:rsid w:val="00B8371E"/>
    <w:rsid w:val="00B84025"/>
    <w:rsid w:val="00B842F9"/>
    <w:rsid w:val="00B84400"/>
    <w:rsid w:val="00B84ADB"/>
    <w:rsid w:val="00B85B78"/>
    <w:rsid w:val="00B86823"/>
    <w:rsid w:val="00B8709F"/>
    <w:rsid w:val="00B8765B"/>
    <w:rsid w:val="00B87E06"/>
    <w:rsid w:val="00B902A8"/>
    <w:rsid w:val="00B912B0"/>
    <w:rsid w:val="00B9145E"/>
    <w:rsid w:val="00B915A9"/>
    <w:rsid w:val="00B91870"/>
    <w:rsid w:val="00B932E6"/>
    <w:rsid w:val="00B933C4"/>
    <w:rsid w:val="00B93F4F"/>
    <w:rsid w:val="00B962F1"/>
    <w:rsid w:val="00B97024"/>
    <w:rsid w:val="00B97973"/>
    <w:rsid w:val="00B97F91"/>
    <w:rsid w:val="00BA02BD"/>
    <w:rsid w:val="00BA038E"/>
    <w:rsid w:val="00BA0B49"/>
    <w:rsid w:val="00BA1C9E"/>
    <w:rsid w:val="00BA21A5"/>
    <w:rsid w:val="00BA2F32"/>
    <w:rsid w:val="00BA3302"/>
    <w:rsid w:val="00BA382F"/>
    <w:rsid w:val="00BA45D8"/>
    <w:rsid w:val="00BA5514"/>
    <w:rsid w:val="00BA5621"/>
    <w:rsid w:val="00BA5D6F"/>
    <w:rsid w:val="00BA664B"/>
    <w:rsid w:val="00BA6815"/>
    <w:rsid w:val="00BA6AE5"/>
    <w:rsid w:val="00BA6B83"/>
    <w:rsid w:val="00BA6DEE"/>
    <w:rsid w:val="00BA72A1"/>
    <w:rsid w:val="00BB0243"/>
    <w:rsid w:val="00BB3376"/>
    <w:rsid w:val="00BB342C"/>
    <w:rsid w:val="00BB4D72"/>
    <w:rsid w:val="00BB5452"/>
    <w:rsid w:val="00BB5896"/>
    <w:rsid w:val="00BB71C3"/>
    <w:rsid w:val="00BB7C23"/>
    <w:rsid w:val="00BC0797"/>
    <w:rsid w:val="00BC0EE9"/>
    <w:rsid w:val="00BC1558"/>
    <w:rsid w:val="00BC174E"/>
    <w:rsid w:val="00BC1A92"/>
    <w:rsid w:val="00BC1D22"/>
    <w:rsid w:val="00BC3A5D"/>
    <w:rsid w:val="00BC44C4"/>
    <w:rsid w:val="00BC4EBD"/>
    <w:rsid w:val="00BC5401"/>
    <w:rsid w:val="00BC5445"/>
    <w:rsid w:val="00BC66B0"/>
    <w:rsid w:val="00BC6DBD"/>
    <w:rsid w:val="00BC7AEB"/>
    <w:rsid w:val="00BC7B9C"/>
    <w:rsid w:val="00BC7CB7"/>
    <w:rsid w:val="00BC7CFE"/>
    <w:rsid w:val="00BD11E2"/>
    <w:rsid w:val="00BD126C"/>
    <w:rsid w:val="00BD1F0A"/>
    <w:rsid w:val="00BD3FE8"/>
    <w:rsid w:val="00BD421F"/>
    <w:rsid w:val="00BD423B"/>
    <w:rsid w:val="00BD46BE"/>
    <w:rsid w:val="00BD506D"/>
    <w:rsid w:val="00BD5750"/>
    <w:rsid w:val="00BD63B0"/>
    <w:rsid w:val="00BD71EE"/>
    <w:rsid w:val="00BD7BC2"/>
    <w:rsid w:val="00BD7C38"/>
    <w:rsid w:val="00BD7EDB"/>
    <w:rsid w:val="00BE0EEA"/>
    <w:rsid w:val="00BE1785"/>
    <w:rsid w:val="00BE20B1"/>
    <w:rsid w:val="00BE296A"/>
    <w:rsid w:val="00BE2A9D"/>
    <w:rsid w:val="00BE2F6B"/>
    <w:rsid w:val="00BE30B0"/>
    <w:rsid w:val="00BE3172"/>
    <w:rsid w:val="00BE3C12"/>
    <w:rsid w:val="00BE3C6C"/>
    <w:rsid w:val="00BE47DB"/>
    <w:rsid w:val="00BE4CAF"/>
    <w:rsid w:val="00BE5318"/>
    <w:rsid w:val="00BE712C"/>
    <w:rsid w:val="00BE733D"/>
    <w:rsid w:val="00BF035B"/>
    <w:rsid w:val="00BF1A46"/>
    <w:rsid w:val="00BF1EED"/>
    <w:rsid w:val="00BF35D1"/>
    <w:rsid w:val="00BF44FF"/>
    <w:rsid w:val="00BF4A4F"/>
    <w:rsid w:val="00BF5B59"/>
    <w:rsid w:val="00BF624E"/>
    <w:rsid w:val="00BF6A1F"/>
    <w:rsid w:val="00BF70A3"/>
    <w:rsid w:val="00BF78BF"/>
    <w:rsid w:val="00C013DB"/>
    <w:rsid w:val="00C01826"/>
    <w:rsid w:val="00C02077"/>
    <w:rsid w:val="00C0218F"/>
    <w:rsid w:val="00C03CC4"/>
    <w:rsid w:val="00C041B6"/>
    <w:rsid w:val="00C055F3"/>
    <w:rsid w:val="00C05722"/>
    <w:rsid w:val="00C05ADB"/>
    <w:rsid w:val="00C067F6"/>
    <w:rsid w:val="00C075B0"/>
    <w:rsid w:val="00C07AB4"/>
    <w:rsid w:val="00C10B5F"/>
    <w:rsid w:val="00C10C37"/>
    <w:rsid w:val="00C10F72"/>
    <w:rsid w:val="00C11CCD"/>
    <w:rsid w:val="00C11CEC"/>
    <w:rsid w:val="00C12134"/>
    <w:rsid w:val="00C122BD"/>
    <w:rsid w:val="00C1253B"/>
    <w:rsid w:val="00C12540"/>
    <w:rsid w:val="00C12D1D"/>
    <w:rsid w:val="00C13078"/>
    <w:rsid w:val="00C13176"/>
    <w:rsid w:val="00C13189"/>
    <w:rsid w:val="00C13ABF"/>
    <w:rsid w:val="00C13C75"/>
    <w:rsid w:val="00C15A49"/>
    <w:rsid w:val="00C15FA5"/>
    <w:rsid w:val="00C1631E"/>
    <w:rsid w:val="00C1688A"/>
    <w:rsid w:val="00C16AA6"/>
    <w:rsid w:val="00C16E60"/>
    <w:rsid w:val="00C16E63"/>
    <w:rsid w:val="00C17887"/>
    <w:rsid w:val="00C20509"/>
    <w:rsid w:val="00C20B0D"/>
    <w:rsid w:val="00C20F67"/>
    <w:rsid w:val="00C21979"/>
    <w:rsid w:val="00C21FD9"/>
    <w:rsid w:val="00C2249D"/>
    <w:rsid w:val="00C226AB"/>
    <w:rsid w:val="00C2473A"/>
    <w:rsid w:val="00C24998"/>
    <w:rsid w:val="00C25801"/>
    <w:rsid w:val="00C269E2"/>
    <w:rsid w:val="00C275E5"/>
    <w:rsid w:val="00C27B5F"/>
    <w:rsid w:val="00C30BF2"/>
    <w:rsid w:val="00C310DB"/>
    <w:rsid w:val="00C31156"/>
    <w:rsid w:val="00C316C1"/>
    <w:rsid w:val="00C32506"/>
    <w:rsid w:val="00C32AFE"/>
    <w:rsid w:val="00C32BAA"/>
    <w:rsid w:val="00C339FB"/>
    <w:rsid w:val="00C34585"/>
    <w:rsid w:val="00C34E07"/>
    <w:rsid w:val="00C3617E"/>
    <w:rsid w:val="00C37062"/>
    <w:rsid w:val="00C371BB"/>
    <w:rsid w:val="00C40462"/>
    <w:rsid w:val="00C417F6"/>
    <w:rsid w:val="00C42ED0"/>
    <w:rsid w:val="00C437CA"/>
    <w:rsid w:val="00C43AB7"/>
    <w:rsid w:val="00C44978"/>
    <w:rsid w:val="00C44B58"/>
    <w:rsid w:val="00C4533C"/>
    <w:rsid w:val="00C45A72"/>
    <w:rsid w:val="00C45CED"/>
    <w:rsid w:val="00C46B89"/>
    <w:rsid w:val="00C46BE6"/>
    <w:rsid w:val="00C475DB"/>
    <w:rsid w:val="00C47FC6"/>
    <w:rsid w:val="00C505A4"/>
    <w:rsid w:val="00C50B62"/>
    <w:rsid w:val="00C50FA0"/>
    <w:rsid w:val="00C5119E"/>
    <w:rsid w:val="00C515D8"/>
    <w:rsid w:val="00C519C1"/>
    <w:rsid w:val="00C524B0"/>
    <w:rsid w:val="00C528EF"/>
    <w:rsid w:val="00C535D4"/>
    <w:rsid w:val="00C5371D"/>
    <w:rsid w:val="00C53AA5"/>
    <w:rsid w:val="00C53F58"/>
    <w:rsid w:val="00C54F23"/>
    <w:rsid w:val="00C54F39"/>
    <w:rsid w:val="00C55D03"/>
    <w:rsid w:val="00C55FCD"/>
    <w:rsid w:val="00C56AC0"/>
    <w:rsid w:val="00C57686"/>
    <w:rsid w:val="00C60D21"/>
    <w:rsid w:val="00C61589"/>
    <w:rsid w:val="00C61C8D"/>
    <w:rsid w:val="00C62085"/>
    <w:rsid w:val="00C63FA3"/>
    <w:rsid w:val="00C649C9"/>
    <w:rsid w:val="00C651BF"/>
    <w:rsid w:val="00C6615D"/>
    <w:rsid w:val="00C6618A"/>
    <w:rsid w:val="00C66B90"/>
    <w:rsid w:val="00C66D03"/>
    <w:rsid w:val="00C66E86"/>
    <w:rsid w:val="00C670AE"/>
    <w:rsid w:val="00C67287"/>
    <w:rsid w:val="00C67FDA"/>
    <w:rsid w:val="00C710E0"/>
    <w:rsid w:val="00C71712"/>
    <w:rsid w:val="00C717FC"/>
    <w:rsid w:val="00C719E6"/>
    <w:rsid w:val="00C71E2F"/>
    <w:rsid w:val="00C72BE1"/>
    <w:rsid w:val="00C7303D"/>
    <w:rsid w:val="00C736B1"/>
    <w:rsid w:val="00C74B64"/>
    <w:rsid w:val="00C75570"/>
    <w:rsid w:val="00C75D8D"/>
    <w:rsid w:val="00C76160"/>
    <w:rsid w:val="00C7657B"/>
    <w:rsid w:val="00C77C09"/>
    <w:rsid w:val="00C801B2"/>
    <w:rsid w:val="00C80442"/>
    <w:rsid w:val="00C80C40"/>
    <w:rsid w:val="00C810A5"/>
    <w:rsid w:val="00C8197A"/>
    <w:rsid w:val="00C823E9"/>
    <w:rsid w:val="00C8336A"/>
    <w:rsid w:val="00C83939"/>
    <w:rsid w:val="00C850A5"/>
    <w:rsid w:val="00C85AC9"/>
    <w:rsid w:val="00C85B3F"/>
    <w:rsid w:val="00C85C54"/>
    <w:rsid w:val="00C85E3A"/>
    <w:rsid w:val="00C86003"/>
    <w:rsid w:val="00C86476"/>
    <w:rsid w:val="00C86530"/>
    <w:rsid w:val="00C86B9F"/>
    <w:rsid w:val="00C87160"/>
    <w:rsid w:val="00C878D5"/>
    <w:rsid w:val="00C9033B"/>
    <w:rsid w:val="00C9093D"/>
    <w:rsid w:val="00C90D31"/>
    <w:rsid w:val="00C913A1"/>
    <w:rsid w:val="00C91532"/>
    <w:rsid w:val="00C92183"/>
    <w:rsid w:val="00C92836"/>
    <w:rsid w:val="00C93942"/>
    <w:rsid w:val="00C93D7B"/>
    <w:rsid w:val="00C94073"/>
    <w:rsid w:val="00C94CE9"/>
    <w:rsid w:val="00C958F8"/>
    <w:rsid w:val="00C95B47"/>
    <w:rsid w:val="00C95FE9"/>
    <w:rsid w:val="00C96AA1"/>
    <w:rsid w:val="00C96AED"/>
    <w:rsid w:val="00C9707F"/>
    <w:rsid w:val="00C97130"/>
    <w:rsid w:val="00C979DB"/>
    <w:rsid w:val="00CA01D0"/>
    <w:rsid w:val="00CA16D5"/>
    <w:rsid w:val="00CA186E"/>
    <w:rsid w:val="00CA23BD"/>
    <w:rsid w:val="00CA3A50"/>
    <w:rsid w:val="00CA3D2C"/>
    <w:rsid w:val="00CA4060"/>
    <w:rsid w:val="00CA40F4"/>
    <w:rsid w:val="00CA434F"/>
    <w:rsid w:val="00CA46B7"/>
    <w:rsid w:val="00CA50C2"/>
    <w:rsid w:val="00CA5450"/>
    <w:rsid w:val="00CA5F46"/>
    <w:rsid w:val="00CA6076"/>
    <w:rsid w:val="00CA632C"/>
    <w:rsid w:val="00CA6E6F"/>
    <w:rsid w:val="00CA7B81"/>
    <w:rsid w:val="00CB07EC"/>
    <w:rsid w:val="00CB175C"/>
    <w:rsid w:val="00CB226C"/>
    <w:rsid w:val="00CB2F1D"/>
    <w:rsid w:val="00CB317F"/>
    <w:rsid w:val="00CB338C"/>
    <w:rsid w:val="00CB3C0C"/>
    <w:rsid w:val="00CB6805"/>
    <w:rsid w:val="00CB78DF"/>
    <w:rsid w:val="00CB7E73"/>
    <w:rsid w:val="00CB7F69"/>
    <w:rsid w:val="00CC1A2E"/>
    <w:rsid w:val="00CC226D"/>
    <w:rsid w:val="00CC2CB3"/>
    <w:rsid w:val="00CC3107"/>
    <w:rsid w:val="00CC41C5"/>
    <w:rsid w:val="00CC5848"/>
    <w:rsid w:val="00CC6A99"/>
    <w:rsid w:val="00CC6D6B"/>
    <w:rsid w:val="00CD0450"/>
    <w:rsid w:val="00CD20C1"/>
    <w:rsid w:val="00CD2C67"/>
    <w:rsid w:val="00CD2F6C"/>
    <w:rsid w:val="00CD3102"/>
    <w:rsid w:val="00CD38BC"/>
    <w:rsid w:val="00CD3DA3"/>
    <w:rsid w:val="00CD4EDB"/>
    <w:rsid w:val="00CD54D4"/>
    <w:rsid w:val="00CD5E43"/>
    <w:rsid w:val="00CD62CC"/>
    <w:rsid w:val="00CD663A"/>
    <w:rsid w:val="00CD6EFB"/>
    <w:rsid w:val="00CD772F"/>
    <w:rsid w:val="00CD7FF5"/>
    <w:rsid w:val="00CE02FF"/>
    <w:rsid w:val="00CE0DCA"/>
    <w:rsid w:val="00CE124E"/>
    <w:rsid w:val="00CE17DE"/>
    <w:rsid w:val="00CE19AA"/>
    <w:rsid w:val="00CE1D43"/>
    <w:rsid w:val="00CE2DE2"/>
    <w:rsid w:val="00CE3084"/>
    <w:rsid w:val="00CE33FC"/>
    <w:rsid w:val="00CE3D5B"/>
    <w:rsid w:val="00CE3DEB"/>
    <w:rsid w:val="00CE4D4D"/>
    <w:rsid w:val="00CE4F95"/>
    <w:rsid w:val="00CE676F"/>
    <w:rsid w:val="00CE6775"/>
    <w:rsid w:val="00CE6C97"/>
    <w:rsid w:val="00CE6CB8"/>
    <w:rsid w:val="00CE74ED"/>
    <w:rsid w:val="00CF051F"/>
    <w:rsid w:val="00CF07EA"/>
    <w:rsid w:val="00CF1A52"/>
    <w:rsid w:val="00CF1ACD"/>
    <w:rsid w:val="00CF1F1B"/>
    <w:rsid w:val="00CF2456"/>
    <w:rsid w:val="00CF3E76"/>
    <w:rsid w:val="00CF4891"/>
    <w:rsid w:val="00CF4BFF"/>
    <w:rsid w:val="00CF5C37"/>
    <w:rsid w:val="00CF5DE8"/>
    <w:rsid w:val="00CF5E36"/>
    <w:rsid w:val="00CF64CD"/>
    <w:rsid w:val="00CF67C1"/>
    <w:rsid w:val="00CF7963"/>
    <w:rsid w:val="00CF7BC0"/>
    <w:rsid w:val="00D005C7"/>
    <w:rsid w:val="00D005F6"/>
    <w:rsid w:val="00D008C2"/>
    <w:rsid w:val="00D008C7"/>
    <w:rsid w:val="00D00AA3"/>
    <w:rsid w:val="00D01229"/>
    <w:rsid w:val="00D0171C"/>
    <w:rsid w:val="00D01E7C"/>
    <w:rsid w:val="00D02298"/>
    <w:rsid w:val="00D029D5"/>
    <w:rsid w:val="00D02C2D"/>
    <w:rsid w:val="00D02CFC"/>
    <w:rsid w:val="00D03B39"/>
    <w:rsid w:val="00D04089"/>
    <w:rsid w:val="00D04973"/>
    <w:rsid w:val="00D0504E"/>
    <w:rsid w:val="00D05CA1"/>
    <w:rsid w:val="00D05FDD"/>
    <w:rsid w:val="00D06BD3"/>
    <w:rsid w:val="00D07F73"/>
    <w:rsid w:val="00D122E0"/>
    <w:rsid w:val="00D12C07"/>
    <w:rsid w:val="00D138AA"/>
    <w:rsid w:val="00D14844"/>
    <w:rsid w:val="00D15C89"/>
    <w:rsid w:val="00D15E46"/>
    <w:rsid w:val="00D16065"/>
    <w:rsid w:val="00D16F95"/>
    <w:rsid w:val="00D173BA"/>
    <w:rsid w:val="00D17BF1"/>
    <w:rsid w:val="00D17D04"/>
    <w:rsid w:val="00D2041C"/>
    <w:rsid w:val="00D20758"/>
    <w:rsid w:val="00D20E0E"/>
    <w:rsid w:val="00D20F03"/>
    <w:rsid w:val="00D2133E"/>
    <w:rsid w:val="00D21C57"/>
    <w:rsid w:val="00D21DBC"/>
    <w:rsid w:val="00D21FC4"/>
    <w:rsid w:val="00D22DCF"/>
    <w:rsid w:val="00D22F08"/>
    <w:rsid w:val="00D23C7F"/>
    <w:rsid w:val="00D23D47"/>
    <w:rsid w:val="00D25567"/>
    <w:rsid w:val="00D25ADE"/>
    <w:rsid w:val="00D25B9C"/>
    <w:rsid w:val="00D273B4"/>
    <w:rsid w:val="00D273F9"/>
    <w:rsid w:val="00D27907"/>
    <w:rsid w:val="00D279DC"/>
    <w:rsid w:val="00D27E71"/>
    <w:rsid w:val="00D27F82"/>
    <w:rsid w:val="00D319C8"/>
    <w:rsid w:val="00D31D14"/>
    <w:rsid w:val="00D31FAE"/>
    <w:rsid w:val="00D3238B"/>
    <w:rsid w:val="00D32643"/>
    <w:rsid w:val="00D32F4B"/>
    <w:rsid w:val="00D3307E"/>
    <w:rsid w:val="00D3345C"/>
    <w:rsid w:val="00D33709"/>
    <w:rsid w:val="00D3416D"/>
    <w:rsid w:val="00D34DA7"/>
    <w:rsid w:val="00D35A90"/>
    <w:rsid w:val="00D3670E"/>
    <w:rsid w:val="00D36979"/>
    <w:rsid w:val="00D37810"/>
    <w:rsid w:val="00D40093"/>
    <w:rsid w:val="00D40D7A"/>
    <w:rsid w:val="00D41269"/>
    <w:rsid w:val="00D41BEE"/>
    <w:rsid w:val="00D41D2B"/>
    <w:rsid w:val="00D42034"/>
    <w:rsid w:val="00D4218C"/>
    <w:rsid w:val="00D422E5"/>
    <w:rsid w:val="00D422F3"/>
    <w:rsid w:val="00D423F3"/>
    <w:rsid w:val="00D4251A"/>
    <w:rsid w:val="00D43297"/>
    <w:rsid w:val="00D43CA1"/>
    <w:rsid w:val="00D44DB6"/>
    <w:rsid w:val="00D45194"/>
    <w:rsid w:val="00D458E4"/>
    <w:rsid w:val="00D45F9D"/>
    <w:rsid w:val="00D4610D"/>
    <w:rsid w:val="00D46BA3"/>
    <w:rsid w:val="00D47474"/>
    <w:rsid w:val="00D47DF1"/>
    <w:rsid w:val="00D47F62"/>
    <w:rsid w:val="00D50119"/>
    <w:rsid w:val="00D50199"/>
    <w:rsid w:val="00D50301"/>
    <w:rsid w:val="00D503E5"/>
    <w:rsid w:val="00D5054D"/>
    <w:rsid w:val="00D50C2E"/>
    <w:rsid w:val="00D51070"/>
    <w:rsid w:val="00D53DD2"/>
    <w:rsid w:val="00D54D91"/>
    <w:rsid w:val="00D54F50"/>
    <w:rsid w:val="00D557EC"/>
    <w:rsid w:val="00D56679"/>
    <w:rsid w:val="00D57CF1"/>
    <w:rsid w:val="00D60A42"/>
    <w:rsid w:val="00D60CD5"/>
    <w:rsid w:val="00D625AA"/>
    <w:rsid w:val="00D63C4D"/>
    <w:rsid w:val="00D6433B"/>
    <w:rsid w:val="00D6498F"/>
    <w:rsid w:val="00D64C11"/>
    <w:rsid w:val="00D65466"/>
    <w:rsid w:val="00D65B9B"/>
    <w:rsid w:val="00D65D0B"/>
    <w:rsid w:val="00D65E89"/>
    <w:rsid w:val="00D66151"/>
    <w:rsid w:val="00D66B47"/>
    <w:rsid w:val="00D671BB"/>
    <w:rsid w:val="00D6731A"/>
    <w:rsid w:val="00D7054D"/>
    <w:rsid w:val="00D70CD3"/>
    <w:rsid w:val="00D70ED8"/>
    <w:rsid w:val="00D71578"/>
    <w:rsid w:val="00D716F8"/>
    <w:rsid w:val="00D717E1"/>
    <w:rsid w:val="00D719D4"/>
    <w:rsid w:val="00D72BCD"/>
    <w:rsid w:val="00D73281"/>
    <w:rsid w:val="00D73698"/>
    <w:rsid w:val="00D73812"/>
    <w:rsid w:val="00D74288"/>
    <w:rsid w:val="00D74FBF"/>
    <w:rsid w:val="00D75080"/>
    <w:rsid w:val="00D7538E"/>
    <w:rsid w:val="00D75EBC"/>
    <w:rsid w:val="00D7734F"/>
    <w:rsid w:val="00D77A64"/>
    <w:rsid w:val="00D77F57"/>
    <w:rsid w:val="00D81A7A"/>
    <w:rsid w:val="00D82105"/>
    <w:rsid w:val="00D82A43"/>
    <w:rsid w:val="00D8316C"/>
    <w:rsid w:val="00D839BA"/>
    <w:rsid w:val="00D83DCE"/>
    <w:rsid w:val="00D83E8A"/>
    <w:rsid w:val="00D84E89"/>
    <w:rsid w:val="00D86F7D"/>
    <w:rsid w:val="00D8711F"/>
    <w:rsid w:val="00D876F5"/>
    <w:rsid w:val="00D87B9F"/>
    <w:rsid w:val="00D90869"/>
    <w:rsid w:val="00D90884"/>
    <w:rsid w:val="00D91A18"/>
    <w:rsid w:val="00D92690"/>
    <w:rsid w:val="00D931D5"/>
    <w:rsid w:val="00D94A43"/>
    <w:rsid w:val="00D95125"/>
    <w:rsid w:val="00D96238"/>
    <w:rsid w:val="00D9679A"/>
    <w:rsid w:val="00D96C1C"/>
    <w:rsid w:val="00D96D2D"/>
    <w:rsid w:val="00D974D4"/>
    <w:rsid w:val="00DA09D3"/>
    <w:rsid w:val="00DA0CDB"/>
    <w:rsid w:val="00DA1116"/>
    <w:rsid w:val="00DA120E"/>
    <w:rsid w:val="00DA2972"/>
    <w:rsid w:val="00DA2AE1"/>
    <w:rsid w:val="00DA2EEC"/>
    <w:rsid w:val="00DA3085"/>
    <w:rsid w:val="00DA332A"/>
    <w:rsid w:val="00DA33D6"/>
    <w:rsid w:val="00DA398E"/>
    <w:rsid w:val="00DA3A50"/>
    <w:rsid w:val="00DA3B01"/>
    <w:rsid w:val="00DA3FFB"/>
    <w:rsid w:val="00DA446A"/>
    <w:rsid w:val="00DA4547"/>
    <w:rsid w:val="00DA45F5"/>
    <w:rsid w:val="00DA493F"/>
    <w:rsid w:val="00DA524B"/>
    <w:rsid w:val="00DA5906"/>
    <w:rsid w:val="00DA65C4"/>
    <w:rsid w:val="00DA65FC"/>
    <w:rsid w:val="00DA6E80"/>
    <w:rsid w:val="00DA733E"/>
    <w:rsid w:val="00DA7836"/>
    <w:rsid w:val="00DA7A19"/>
    <w:rsid w:val="00DA7B5D"/>
    <w:rsid w:val="00DB0C5E"/>
    <w:rsid w:val="00DB1697"/>
    <w:rsid w:val="00DB2235"/>
    <w:rsid w:val="00DB229B"/>
    <w:rsid w:val="00DB3E5C"/>
    <w:rsid w:val="00DB4CBD"/>
    <w:rsid w:val="00DB5D48"/>
    <w:rsid w:val="00DB6033"/>
    <w:rsid w:val="00DB7611"/>
    <w:rsid w:val="00DB7C70"/>
    <w:rsid w:val="00DC04D1"/>
    <w:rsid w:val="00DC12AF"/>
    <w:rsid w:val="00DC173D"/>
    <w:rsid w:val="00DC20E1"/>
    <w:rsid w:val="00DC2F09"/>
    <w:rsid w:val="00DC3667"/>
    <w:rsid w:val="00DC3F67"/>
    <w:rsid w:val="00DC3FE0"/>
    <w:rsid w:val="00DC5E1F"/>
    <w:rsid w:val="00DC651D"/>
    <w:rsid w:val="00DC71F7"/>
    <w:rsid w:val="00DC72B6"/>
    <w:rsid w:val="00DC7441"/>
    <w:rsid w:val="00DD0B67"/>
    <w:rsid w:val="00DD0D94"/>
    <w:rsid w:val="00DD1BDC"/>
    <w:rsid w:val="00DD1F81"/>
    <w:rsid w:val="00DD30D4"/>
    <w:rsid w:val="00DD32C4"/>
    <w:rsid w:val="00DD33BE"/>
    <w:rsid w:val="00DD3872"/>
    <w:rsid w:val="00DD38B6"/>
    <w:rsid w:val="00DD38FF"/>
    <w:rsid w:val="00DD3948"/>
    <w:rsid w:val="00DD3E6D"/>
    <w:rsid w:val="00DD46A5"/>
    <w:rsid w:val="00DD4A12"/>
    <w:rsid w:val="00DD5A7C"/>
    <w:rsid w:val="00DD6137"/>
    <w:rsid w:val="00DD72C5"/>
    <w:rsid w:val="00DE241F"/>
    <w:rsid w:val="00DE33A7"/>
    <w:rsid w:val="00DE4D2D"/>
    <w:rsid w:val="00DE4E02"/>
    <w:rsid w:val="00DE537D"/>
    <w:rsid w:val="00DE5DAC"/>
    <w:rsid w:val="00DE6530"/>
    <w:rsid w:val="00DE6E1F"/>
    <w:rsid w:val="00DE6E27"/>
    <w:rsid w:val="00DE7CB3"/>
    <w:rsid w:val="00DF0D75"/>
    <w:rsid w:val="00DF3081"/>
    <w:rsid w:val="00DF3432"/>
    <w:rsid w:val="00DF3B5D"/>
    <w:rsid w:val="00DF3FD9"/>
    <w:rsid w:val="00DF52EA"/>
    <w:rsid w:val="00DF585E"/>
    <w:rsid w:val="00DF58E7"/>
    <w:rsid w:val="00DF6414"/>
    <w:rsid w:val="00DF76DC"/>
    <w:rsid w:val="00E004A8"/>
    <w:rsid w:val="00E00672"/>
    <w:rsid w:val="00E016C2"/>
    <w:rsid w:val="00E0174F"/>
    <w:rsid w:val="00E01992"/>
    <w:rsid w:val="00E021B6"/>
    <w:rsid w:val="00E0240D"/>
    <w:rsid w:val="00E034DA"/>
    <w:rsid w:val="00E035D6"/>
    <w:rsid w:val="00E040A8"/>
    <w:rsid w:val="00E04693"/>
    <w:rsid w:val="00E04EF7"/>
    <w:rsid w:val="00E05B9C"/>
    <w:rsid w:val="00E0650A"/>
    <w:rsid w:val="00E0698F"/>
    <w:rsid w:val="00E06BA6"/>
    <w:rsid w:val="00E0718C"/>
    <w:rsid w:val="00E07EA9"/>
    <w:rsid w:val="00E10137"/>
    <w:rsid w:val="00E10418"/>
    <w:rsid w:val="00E106F8"/>
    <w:rsid w:val="00E11876"/>
    <w:rsid w:val="00E11900"/>
    <w:rsid w:val="00E124AB"/>
    <w:rsid w:val="00E124D5"/>
    <w:rsid w:val="00E128CF"/>
    <w:rsid w:val="00E12BC1"/>
    <w:rsid w:val="00E132B1"/>
    <w:rsid w:val="00E1348A"/>
    <w:rsid w:val="00E134A4"/>
    <w:rsid w:val="00E13B99"/>
    <w:rsid w:val="00E13C19"/>
    <w:rsid w:val="00E13D44"/>
    <w:rsid w:val="00E14ACB"/>
    <w:rsid w:val="00E14D69"/>
    <w:rsid w:val="00E1561B"/>
    <w:rsid w:val="00E161B1"/>
    <w:rsid w:val="00E162A9"/>
    <w:rsid w:val="00E1750A"/>
    <w:rsid w:val="00E17BA0"/>
    <w:rsid w:val="00E20059"/>
    <w:rsid w:val="00E2030D"/>
    <w:rsid w:val="00E21333"/>
    <w:rsid w:val="00E2287E"/>
    <w:rsid w:val="00E233CE"/>
    <w:rsid w:val="00E23CBB"/>
    <w:rsid w:val="00E24A6E"/>
    <w:rsid w:val="00E251F2"/>
    <w:rsid w:val="00E25BF4"/>
    <w:rsid w:val="00E25C87"/>
    <w:rsid w:val="00E25F5D"/>
    <w:rsid w:val="00E2608E"/>
    <w:rsid w:val="00E26819"/>
    <w:rsid w:val="00E27016"/>
    <w:rsid w:val="00E270C8"/>
    <w:rsid w:val="00E272ED"/>
    <w:rsid w:val="00E27342"/>
    <w:rsid w:val="00E2738A"/>
    <w:rsid w:val="00E30191"/>
    <w:rsid w:val="00E30E69"/>
    <w:rsid w:val="00E31593"/>
    <w:rsid w:val="00E3282F"/>
    <w:rsid w:val="00E329C8"/>
    <w:rsid w:val="00E32A7C"/>
    <w:rsid w:val="00E336AE"/>
    <w:rsid w:val="00E3371E"/>
    <w:rsid w:val="00E33B96"/>
    <w:rsid w:val="00E341C7"/>
    <w:rsid w:val="00E35225"/>
    <w:rsid w:val="00E35A1D"/>
    <w:rsid w:val="00E36678"/>
    <w:rsid w:val="00E375A3"/>
    <w:rsid w:val="00E37B59"/>
    <w:rsid w:val="00E403CA"/>
    <w:rsid w:val="00E4094F"/>
    <w:rsid w:val="00E41512"/>
    <w:rsid w:val="00E42B35"/>
    <w:rsid w:val="00E42E1A"/>
    <w:rsid w:val="00E42F4D"/>
    <w:rsid w:val="00E430EE"/>
    <w:rsid w:val="00E44014"/>
    <w:rsid w:val="00E4444F"/>
    <w:rsid w:val="00E44B8F"/>
    <w:rsid w:val="00E454A8"/>
    <w:rsid w:val="00E46760"/>
    <w:rsid w:val="00E46B6B"/>
    <w:rsid w:val="00E47288"/>
    <w:rsid w:val="00E47750"/>
    <w:rsid w:val="00E47FF5"/>
    <w:rsid w:val="00E50CF1"/>
    <w:rsid w:val="00E51FE1"/>
    <w:rsid w:val="00E5276C"/>
    <w:rsid w:val="00E53438"/>
    <w:rsid w:val="00E545FF"/>
    <w:rsid w:val="00E54F0C"/>
    <w:rsid w:val="00E552D2"/>
    <w:rsid w:val="00E552E8"/>
    <w:rsid w:val="00E5562B"/>
    <w:rsid w:val="00E55ED5"/>
    <w:rsid w:val="00E55F28"/>
    <w:rsid w:val="00E56306"/>
    <w:rsid w:val="00E56BC3"/>
    <w:rsid w:val="00E56ECB"/>
    <w:rsid w:val="00E5744F"/>
    <w:rsid w:val="00E578B4"/>
    <w:rsid w:val="00E608F6"/>
    <w:rsid w:val="00E61C70"/>
    <w:rsid w:val="00E622B1"/>
    <w:rsid w:val="00E626A7"/>
    <w:rsid w:val="00E626E1"/>
    <w:rsid w:val="00E62D2F"/>
    <w:rsid w:val="00E64FB1"/>
    <w:rsid w:val="00E6527C"/>
    <w:rsid w:val="00E65753"/>
    <w:rsid w:val="00E657E3"/>
    <w:rsid w:val="00E66A3D"/>
    <w:rsid w:val="00E66F4B"/>
    <w:rsid w:val="00E672C7"/>
    <w:rsid w:val="00E677EB"/>
    <w:rsid w:val="00E70221"/>
    <w:rsid w:val="00E709D3"/>
    <w:rsid w:val="00E70AB3"/>
    <w:rsid w:val="00E716C9"/>
    <w:rsid w:val="00E71EA6"/>
    <w:rsid w:val="00E72368"/>
    <w:rsid w:val="00E725FC"/>
    <w:rsid w:val="00E72B98"/>
    <w:rsid w:val="00E74393"/>
    <w:rsid w:val="00E749D8"/>
    <w:rsid w:val="00E768E6"/>
    <w:rsid w:val="00E76CFC"/>
    <w:rsid w:val="00E77BD9"/>
    <w:rsid w:val="00E801C4"/>
    <w:rsid w:val="00E80FAB"/>
    <w:rsid w:val="00E81060"/>
    <w:rsid w:val="00E810DD"/>
    <w:rsid w:val="00E81987"/>
    <w:rsid w:val="00E81DE2"/>
    <w:rsid w:val="00E82256"/>
    <w:rsid w:val="00E82293"/>
    <w:rsid w:val="00E8274B"/>
    <w:rsid w:val="00E82A82"/>
    <w:rsid w:val="00E82FD1"/>
    <w:rsid w:val="00E83B5B"/>
    <w:rsid w:val="00E849C2"/>
    <w:rsid w:val="00E84E59"/>
    <w:rsid w:val="00E86118"/>
    <w:rsid w:val="00E9017C"/>
    <w:rsid w:val="00E90E8C"/>
    <w:rsid w:val="00E90EC2"/>
    <w:rsid w:val="00E914E9"/>
    <w:rsid w:val="00E91AA5"/>
    <w:rsid w:val="00E91C83"/>
    <w:rsid w:val="00E922BF"/>
    <w:rsid w:val="00E92668"/>
    <w:rsid w:val="00E932D4"/>
    <w:rsid w:val="00E932D7"/>
    <w:rsid w:val="00E95A4F"/>
    <w:rsid w:val="00E9747A"/>
    <w:rsid w:val="00E97B47"/>
    <w:rsid w:val="00EA1589"/>
    <w:rsid w:val="00EA19D0"/>
    <w:rsid w:val="00EA1F44"/>
    <w:rsid w:val="00EA31C7"/>
    <w:rsid w:val="00EA36C6"/>
    <w:rsid w:val="00EA3EF2"/>
    <w:rsid w:val="00EA3F51"/>
    <w:rsid w:val="00EA4640"/>
    <w:rsid w:val="00EA4C50"/>
    <w:rsid w:val="00EA4D16"/>
    <w:rsid w:val="00EA5823"/>
    <w:rsid w:val="00EA5AB9"/>
    <w:rsid w:val="00EA6640"/>
    <w:rsid w:val="00EB0276"/>
    <w:rsid w:val="00EB04B0"/>
    <w:rsid w:val="00EB08CA"/>
    <w:rsid w:val="00EB15C9"/>
    <w:rsid w:val="00EB1D37"/>
    <w:rsid w:val="00EB1D3F"/>
    <w:rsid w:val="00EB41F3"/>
    <w:rsid w:val="00EB4357"/>
    <w:rsid w:val="00EB4844"/>
    <w:rsid w:val="00EB4BC4"/>
    <w:rsid w:val="00EB55F7"/>
    <w:rsid w:val="00EB6B4B"/>
    <w:rsid w:val="00EB7412"/>
    <w:rsid w:val="00EB7C65"/>
    <w:rsid w:val="00EC09B9"/>
    <w:rsid w:val="00EC0DA0"/>
    <w:rsid w:val="00EC1408"/>
    <w:rsid w:val="00EC14A5"/>
    <w:rsid w:val="00EC2585"/>
    <w:rsid w:val="00EC27CC"/>
    <w:rsid w:val="00EC2ECB"/>
    <w:rsid w:val="00EC3060"/>
    <w:rsid w:val="00EC30F9"/>
    <w:rsid w:val="00EC36BF"/>
    <w:rsid w:val="00EC4570"/>
    <w:rsid w:val="00EC5488"/>
    <w:rsid w:val="00EC5F8A"/>
    <w:rsid w:val="00EC73ED"/>
    <w:rsid w:val="00EC753F"/>
    <w:rsid w:val="00EC7AC0"/>
    <w:rsid w:val="00EC7ADA"/>
    <w:rsid w:val="00ED0400"/>
    <w:rsid w:val="00ED059E"/>
    <w:rsid w:val="00ED1354"/>
    <w:rsid w:val="00ED1706"/>
    <w:rsid w:val="00ED17E4"/>
    <w:rsid w:val="00ED1AE9"/>
    <w:rsid w:val="00ED1B70"/>
    <w:rsid w:val="00ED1CC8"/>
    <w:rsid w:val="00ED1D25"/>
    <w:rsid w:val="00ED248E"/>
    <w:rsid w:val="00ED2E22"/>
    <w:rsid w:val="00ED371B"/>
    <w:rsid w:val="00ED3B7F"/>
    <w:rsid w:val="00ED4191"/>
    <w:rsid w:val="00ED4667"/>
    <w:rsid w:val="00ED5725"/>
    <w:rsid w:val="00ED5F05"/>
    <w:rsid w:val="00ED6474"/>
    <w:rsid w:val="00ED6C1D"/>
    <w:rsid w:val="00ED7031"/>
    <w:rsid w:val="00ED73BC"/>
    <w:rsid w:val="00ED73DB"/>
    <w:rsid w:val="00ED76E6"/>
    <w:rsid w:val="00ED7B46"/>
    <w:rsid w:val="00EE039B"/>
    <w:rsid w:val="00EE0A4F"/>
    <w:rsid w:val="00EE0EBD"/>
    <w:rsid w:val="00EE1212"/>
    <w:rsid w:val="00EE1BC4"/>
    <w:rsid w:val="00EE2321"/>
    <w:rsid w:val="00EE2876"/>
    <w:rsid w:val="00EE2ECB"/>
    <w:rsid w:val="00EE3060"/>
    <w:rsid w:val="00EE3263"/>
    <w:rsid w:val="00EE3324"/>
    <w:rsid w:val="00EE34F6"/>
    <w:rsid w:val="00EE3871"/>
    <w:rsid w:val="00EE38DC"/>
    <w:rsid w:val="00EE3CD7"/>
    <w:rsid w:val="00EE4315"/>
    <w:rsid w:val="00EE493A"/>
    <w:rsid w:val="00EE4ACD"/>
    <w:rsid w:val="00EE4BFA"/>
    <w:rsid w:val="00EE4E3C"/>
    <w:rsid w:val="00EE6027"/>
    <w:rsid w:val="00EE607C"/>
    <w:rsid w:val="00EE6403"/>
    <w:rsid w:val="00EE687D"/>
    <w:rsid w:val="00EE704D"/>
    <w:rsid w:val="00EE7D53"/>
    <w:rsid w:val="00EF099C"/>
    <w:rsid w:val="00EF250D"/>
    <w:rsid w:val="00EF2E06"/>
    <w:rsid w:val="00EF3195"/>
    <w:rsid w:val="00EF3792"/>
    <w:rsid w:val="00EF3924"/>
    <w:rsid w:val="00EF3AF4"/>
    <w:rsid w:val="00EF3DE2"/>
    <w:rsid w:val="00EF3DE5"/>
    <w:rsid w:val="00EF547E"/>
    <w:rsid w:val="00EF5C87"/>
    <w:rsid w:val="00EF6925"/>
    <w:rsid w:val="00EF6D0A"/>
    <w:rsid w:val="00EF6DCB"/>
    <w:rsid w:val="00EF715C"/>
    <w:rsid w:val="00EF7192"/>
    <w:rsid w:val="00EF74E8"/>
    <w:rsid w:val="00EF78D3"/>
    <w:rsid w:val="00F00B0A"/>
    <w:rsid w:val="00F01069"/>
    <w:rsid w:val="00F01639"/>
    <w:rsid w:val="00F01BA7"/>
    <w:rsid w:val="00F01F9D"/>
    <w:rsid w:val="00F033D1"/>
    <w:rsid w:val="00F04C0B"/>
    <w:rsid w:val="00F04F4D"/>
    <w:rsid w:val="00F050C3"/>
    <w:rsid w:val="00F0556E"/>
    <w:rsid w:val="00F05BB4"/>
    <w:rsid w:val="00F05F93"/>
    <w:rsid w:val="00F1124C"/>
    <w:rsid w:val="00F11258"/>
    <w:rsid w:val="00F11370"/>
    <w:rsid w:val="00F11428"/>
    <w:rsid w:val="00F11E00"/>
    <w:rsid w:val="00F11F36"/>
    <w:rsid w:val="00F12118"/>
    <w:rsid w:val="00F1260B"/>
    <w:rsid w:val="00F12627"/>
    <w:rsid w:val="00F130DA"/>
    <w:rsid w:val="00F133A7"/>
    <w:rsid w:val="00F142B3"/>
    <w:rsid w:val="00F14DA4"/>
    <w:rsid w:val="00F15116"/>
    <w:rsid w:val="00F151D0"/>
    <w:rsid w:val="00F15B67"/>
    <w:rsid w:val="00F15BC4"/>
    <w:rsid w:val="00F17745"/>
    <w:rsid w:val="00F17A07"/>
    <w:rsid w:val="00F20335"/>
    <w:rsid w:val="00F20628"/>
    <w:rsid w:val="00F2074D"/>
    <w:rsid w:val="00F2085E"/>
    <w:rsid w:val="00F20C77"/>
    <w:rsid w:val="00F20EA1"/>
    <w:rsid w:val="00F21241"/>
    <w:rsid w:val="00F21822"/>
    <w:rsid w:val="00F21B69"/>
    <w:rsid w:val="00F220A9"/>
    <w:rsid w:val="00F22715"/>
    <w:rsid w:val="00F23355"/>
    <w:rsid w:val="00F23B5F"/>
    <w:rsid w:val="00F25FD9"/>
    <w:rsid w:val="00F26D2F"/>
    <w:rsid w:val="00F26ED3"/>
    <w:rsid w:val="00F26F34"/>
    <w:rsid w:val="00F27603"/>
    <w:rsid w:val="00F276F6"/>
    <w:rsid w:val="00F27822"/>
    <w:rsid w:val="00F27FA7"/>
    <w:rsid w:val="00F307D0"/>
    <w:rsid w:val="00F309E7"/>
    <w:rsid w:val="00F30A25"/>
    <w:rsid w:val="00F312F6"/>
    <w:rsid w:val="00F314D2"/>
    <w:rsid w:val="00F320CD"/>
    <w:rsid w:val="00F32F4B"/>
    <w:rsid w:val="00F33CEE"/>
    <w:rsid w:val="00F3522A"/>
    <w:rsid w:val="00F35468"/>
    <w:rsid w:val="00F36035"/>
    <w:rsid w:val="00F362AB"/>
    <w:rsid w:val="00F36A9F"/>
    <w:rsid w:val="00F374FB"/>
    <w:rsid w:val="00F41D58"/>
    <w:rsid w:val="00F43481"/>
    <w:rsid w:val="00F43DF0"/>
    <w:rsid w:val="00F44259"/>
    <w:rsid w:val="00F44B59"/>
    <w:rsid w:val="00F451A7"/>
    <w:rsid w:val="00F45D00"/>
    <w:rsid w:val="00F46539"/>
    <w:rsid w:val="00F46E84"/>
    <w:rsid w:val="00F51153"/>
    <w:rsid w:val="00F51875"/>
    <w:rsid w:val="00F533D2"/>
    <w:rsid w:val="00F53820"/>
    <w:rsid w:val="00F53BC7"/>
    <w:rsid w:val="00F53FA4"/>
    <w:rsid w:val="00F549CE"/>
    <w:rsid w:val="00F552E4"/>
    <w:rsid w:val="00F55F9E"/>
    <w:rsid w:val="00F56390"/>
    <w:rsid w:val="00F57F73"/>
    <w:rsid w:val="00F600DD"/>
    <w:rsid w:val="00F613B0"/>
    <w:rsid w:val="00F62160"/>
    <w:rsid w:val="00F62B7A"/>
    <w:rsid w:val="00F62C38"/>
    <w:rsid w:val="00F6306B"/>
    <w:rsid w:val="00F6338F"/>
    <w:rsid w:val="00F6397D"/>
    <w:rsid w:val="00F64FB8"/>
    <w:rsid w:val="00F65E28"/>
    <w:rsid w:val="00F6612F"/>
    <w:rsid w:val="00F66574"/>
    <w:rsid w:val="00F66804"/>
    <w:rsid w:val="00F66889"/>
    <w:rsid w:val="00F66F5C"/>
    <w:rsid w:val="00F67FF9"/>
    <w:rsid w:val="00F7069C"/>
    <w:rsid w:val="00F70872"/>
    <w:rsid w:val="00F710B6"/>
    <w:rsid w:val="00F71A34"/>
    <w:rsid w:val="00F72267"/>
    <w:rsid w:val="00F724B2"/>
    <w:rsid w:val="00F72773"/>
    <w:rsid w:val="00F7293E"/>
    <w:rsid w:val="00F72DC2"/>
    <w:rsid w:val="00F741CF"/>
    <w:rsid w:val="00F748A5"/>
    <w:rsid w:val="00F76650"/>
    <w:rsid w:val="00F76943"/>
    <w:rsid w:val="00F77851"/>
    <w:rsid w:val="00F805EE"/>
    <w:rsid w:val="00F8104F"/>
    <w:rsid w:val="00F811F6"/>
    <w:rsid w:val="00F81666"/>
    <w:rsid w:val="00F82466"/>
    <w:rsid w:val="00F82764"/>
    <w:rsid w:val="00F83124"/>
    <w:rsid w:val="00F831C9"/>
    <w:rsid w:val="00F83775"/>
    <w:rsid w:val="00F83AAF"/>
    <w:rsid w:val="00F83AC4"/>
    <w:rsid w:val="00F8513A"/>
    <w:rsid w:val="00F85956"/>
    <w:rsid w:val="00F87047"/>
    <w:rsid w:val="00F9108B"/>
    <w:rsid w:val="00F912D7"/>
    <w:rsid w:val="00F914AD"/>
    <w:rsid w:val="00F9187B"/>
    <w:rsid w:val="00F92385"/>
    <w:rsid w:val="00F93E2F"/>
    <w:rsid w:val="00F944C3"/>
    <w:rsid w:val="00F95555"/>
    <w:rsid w:val="00F96AC8"/>
    <w:rsid w:val="00F96B5D"/>
    <w:rsid w:val="00F96F5A"/>
    <w:rsid w:val="00F979DD"/>
    <w:rsid w:val="00F97C81"/>
    <w:rsid w:val="00F97F25"/>
    <w:rsid w:val="00FA00F9"/>
    <w:rsid w:val="00FA0380"/>
    <w:rsid w:val="00FA0D3E"/>
    <w:rsid w:val="00FA17CA"/>
    <w:rsid w:val="00FA19E9"/>
    <w:rsid w:val="00FA1B01"/>
    <w:rsid w:val="00FA1B4F"/>
    <w:rsid w:val="00FA2B1C"/>
    <w:rsid w:val="00FA31F2"/>
    <w:rsid w:val="00FA32D5"/>
    <w:rsid w:val="00FA4A9F"/>
    <w:rsid w:val="00FA4C8B"/>
    <w:rsid w:val="00FA4CC8"/>
    <w:rsid w:val="00FA4FCD"/>
    <w:rsid w:val="00FA535A"/>
    <w:rsid w:val="00FA60EC"/>
    <w:rsid w:val="00FA6F17"/>
    <w:rsid w:val="00FA7190"/>
    <w:rsid w:val="00FA7227"/>
    <w:rsid w:val="00FA7F66"/>
    <w:rsid w:val="00FB08B9"/>
    <w:rsid w:val="00FB1457"/>
    <w:rsid w:val="00FB1618"/>
    <w:rsid w:val="00FB17AC"/>
    <w:rsid w:val="00FB2997"/>
    <w:rsid w:val="00FB2CB6"/>
    <w:rsid w:val="00FB2CCA"/>
    <w:rsid w:val="00FB3626"/>
    <w:rsid w:val="00FB372D"/>
    <w:rsid w:val="00FB3BED"/>
    <w:rsid w:val="00FB3F0A"/>
    <w:rsid w:val="00FB43F6"/>
    <w:rsid w:val="00FB469E"/>
    <w:rsid w:val="00FB4F47"/>
    <w:rsid w:val="00FB5421"/>
    <w:rsid w:val="00FB58CA"/>
    <w:rsid w:val="00FB5D1E"/>
    <w:rsid w:val="00FB5EEA"/>
    <w:rsid w:val="00FB6754"/>
    <w:rsid w:val="00FB6984"/>
    <w:rsid w:val="00FB79A2"/>
    <w:rsid w:val="00FC0E27"/>
    <w:rsid w:val="00FC1D31"/>
    <w:rsid w:val="00FC26DB"/>
    <w:rsid w:val="00FC29C4"/>
    <w:rsid w:val="00FC2A17"/>
    <w:rsid w:val="00FC3018"/>
    <w:rsid w:val="00FC3A0A"/>
    <w:rsid w:val="00FC3D46"/>
    <w:rsid w:val="00FC43E6"/>
    <w:rsid w:val="00FC4744"/>
    <w:rsid w:val="00FC47F9"/>
    <w:rsid w:val="00FC48BD"/>
    <w:rsid w:val="00FC5199"/>
    <w:rsid w:val="00FC5A1C"/>
    <w:rsid w:val="00FC6533"/>
    <w:rsid w:val="00FC7049"/>
    <w:rsid w:val="00FC7861"/>
    <w:rsid w:val="00FC7BD8"/>
    <w:rsid w:val="00FD0C67"/>
    <w:rsid w:val="00FD235E"/>
    <w:rsid w:val="00FD2C08"/>
    <w:rsid w:val="00FD3233"/>
    <w:rsid w:val="00FD4A9D"/>
    <w:rsid w:val="00FD5314"/>
    <w:rsid w:val="00FD5939"/>
    <w:rsid w:val="00FD66C6"/>
    <w:rsid w:val="00FD790C"/>
    <w:rsid w:val="00FD7C20"/>
    <w:rsid w:val="00FD7F4C"/>
    <w:rsid w:val="00FE04C7"/>
    <w:rsid w:val="00FE05CD"/>
    <w:rsid w:val="00FE1603"/>
    <w:rsid w:val="00FE196D"/>
    <w:rsid w:val="00FE1FD4"/>
    <w:rsid w:val="00FE20FE"/>
    <w:rsid w:val="00FE2351"/>
    <w:rsid w:val="00FE28BF"/>
    <w:rsid w:val="00FE31A1"/>
    <w:rsid w:val="00FE337D"/>
    <w:rsid w:val="00FE3B79"/>
    <w:rsid w:val="00FE4990"/>
    <w:rsid w:val="00FE4E77"/>
    <w:rsid w:val="00FE5580"/>
    <w:rsid w:val="00FE5659"/>
    <w:rsid w:val="00FE5D20"/>
    <w:rsid w:val="00FE607B"/>
    <w:rsid w:val="00FE6C18"/>
    <w:rsid w:val="00FE6D28"/>
    <w:rsid w:val="00FF0109"/>
    <w:rsid w:val="00FF05AB"/>
    <w:rsid w:val="00FF06A1"/>
    <w:rsid w:val="00FF110C"/>
    <w:rsid w:val="00FF1E8A"/>
    <w:rsid w:val="00FF2253"/>
    <w:rsid w:val="00FF37D2"/>
    <w:rsid w:val="00FF4616"/>
    <w:rsid w:val="00FF579E"/>
    <w:rsid w:val="00FF6973"/>
    <w:rsid w:val="00FF6A19"/>
    <w:rsid w:val="00FF709E"/>
    <w:rsid w:val="00FF712E"/>
    <w:rsid w:val="00FF7F06"/>
    <w:rsid w:val="01424270"/>
    <w:rsid w:val="01C65BA2"/>
    <w:rsid w:val="026EEC9A"/>
    <w:rsid w:val="02A534F4"/>
    <w:rsid w:val="0368EBCA"/>
    <w:rsid w:val="053CDCC5"/>
    <w:rsid w:val="063D81C3"/>
    <w:rsid w:val="06F4B20A"/>
    <w:rsid w:val="073550ED"/>
    <w:rsid w:val="07C4F13B"/>
    <w:rsid w:val="0913C798"/>
    <w:rsid w:val="098CCB92"/>
    <w:rsid w:val="09FBE1B8"/>
    <w:rsid w:val="0A18A4CB"/>
    <w:rsid w:val="0B458960"/>
    <w:rsid w:val="0B793D80"/>
    <w:rsid w:val="0BA74C99"/>
    <w:rsid w:val="0EDB149B"/>
    <w:rsid w:val="0F05F64C"/>
    <w:rsid w:val="10175FB2"/>
    <w:rsid w:val="102CB060"/>
    <w:rsid w:val="11972652"/>
    <w:rsid w:val="126987FB"/>
    <w:rsid w:val="12CF0610"/>
    <w:rsid w:val="1316D8DA"/>
    <w:rsid w:val="138C2B9C"/>
    <w:rsid w:val="14205513"/>
    <w:rsid w:val="14303FC6"/>
    <w:rsid w:val="14D486CF"/>
    <w:rsid w:val="1606553C"/>
    <w:rsid w:val="169C6207"/>
    <w:rsid w:val="16F02651"/>
    <w:rsid w:val="1741C099"/>
    <w:rsid w:val="19A8C7C0"/>
    <w:rsid w:val="19E626F3"/>
    <w:rsid w:val="19EFC1A0"/>
    <w:rsid w:val="19F8165C"/>
    <w:rsid w:val="1B3DE944"/>
    <w:rsid w:val="1C3923A1"/>
    <w:rsid w:val="1C8BFB8B"/>
    <w:rsid w:val="1CA836B7"/>
    <w:rsid w:val="1D0256F7"/>
    <w:rsid w:val="1DA46726"/>
    <w:rsid w:val="1DB73557"/>
    <w:rsid w:val="1F508956"/>
    <w:rsid w:val="200B7937"/>
    <w:rsid w:val="20C494CE"/>
    <w:rsid w:val="20F2B1E1"/>
    <w:rsid w:val="21513B46"/>
    <w:rsid w:val="2204ECB2"/>
    <w:rsid w:val="22CFCA21"/>
    <w:rsid w:val="232A2AD4"/>
    <w:rsid w:val="234B8EF2"/>
    <w:rsid w:val="24BD7154"/>
    <w:rsid w:val="24C00E7A"/>
    <w:rsid w:val="250ACC23"/>
    <w:rsid w:val="2578047B"/>
    <w:rsid w:val="2B548FCD"/>
    <w:rsid w:val="2C2BD06C"/>
    <w:rsid w:val="2CA26155"/>
    <w:rsid w:val="2DD94269"/>
    <w:rsid w:val="2DE733C1"/>
    <w:rsid w:val="2EB1FDB7"/>
    <w:rsid w:val="2F559049"/>
    <w:rsid w:val="2FDB06D3"/>
    <w:rsid w:val="2FEA6353"/>
    <w:rsid w:val="30040357"/>
    <w:rsid w:val="3009FC4C"/>
    <w:rsid w:val="3013292F"/>
    <w:rsid w:val="30A8FB66"/>
    <w:rsid w:val="31A78FD3"/>
    <w:rsid w:val="31CACAA3"/>
    <w:rsid w:val="31CEF33E"/>
    <w:rsid w:val="32AD10F7"/>
    <w:rsid w:val="32B80A0D"/>
    <w:rsid w:val="32EE99D7"/>
    <w:rsid w:val="34EA6797"/>
    <w:rsid w:val="34EC929F"/>
    <w:rsid w:val="37FF659D"/>
    <w:rsid w:val="38191EF4"/>
    <w:rsid w:val="386F807C"/>
    <w:rsid w:val="38A52EB3"/>
    <w:rsid w:val="3A1F5613"/>
    <w:rsid w:val="3A53B22E"/>
    <w:rsid w:val="3A5E6392"/>
    <w:rsid w:val="3A5F821D"/>
    <w:rsid w:val="3AF88455"/>
    <w:rsid w:val="3B7A0C65"/>
    <w:rsid w:val="3BA6854B"/>
    <w:rsid w:val="3C5765B6"/>
    <w:rsid w:val="3C66B6CC"/>
    <w:rsid w:val="3CA68981"/>
    <w:rsid w:val="3CD3BDE7"/>
    <w:rsid w:val="3DBC8FCC"/>
    <w:rsid w:val="3E116B46"/>
    <w:rsid w:val="3EBC3513"/>
    <w:rsid w:val="3ED849F2"/>
    <w:rsid w:val="3EE503E7"/>
    <w:rsid w:val="3F700391"/>
    <w:rsid w:val="3FA4F783"/>
    <w:rsid w:val="3FDC18E2"/>
    <w:rsid w:val="3FED4AE8"/>
    <w:rsid w:val="4115ADE4"/>
    <w:rsid w:val="41357245"/>
    <w:rsid w:val="41CDBEEC"/>
    <w:rsid w:val="42338726"/>
    <w:rsid w:val="423CB0C9"/>
    <w:rsid w:val="42632362"/>
    <w:rsid w:val="427E7286"/>
    <w:rsid w:val="42C4F04B"/>
    <w:rsid w:val="4317C5FF"/>
    <w:rsid w:val="435666AB"/>
    <w:rsid w:val="43F45AAE"/>
    <w:rsid w:val="44AD9A30"/>
    <w:rsid w:val="4592B1F7"/>
    <w:rsid w:val="4640605E"/>
    <w:rsid w:val="4656C029"/>
    <w:rsid w:val="4686EB55"/>
    <w:rsid w:val="470AEDC7"/>
    <w:rsid w:val="4726623A"/>
    <w:rsid w:val="477A9814"/>
    <w:rsid w:val="482BF6FE"/>
    <w:rsid w:val="48D85341"/>
    <w:rsid w:val="48DACF18"/>
    <w:rsid w:val="49343478"/>
    <w:rsid w:val="49499E27"/>
    <w:rsid w:val="4A4D5B8F"/>
    <w:rsid w:val="4ACD45BB"/>
    <w:rsid w:val="4B4913B5"/>
    <w:rsid w:val="4B4F3A05"/>
    <w:rsid w:val="4DF5FF0A"/>
    <w:rsid w:val="4DF81836"/>
    <w:rsid w:val="4E01094F"/>
    <w:rsid w:val="4E197A2C"/>
    <w:rsid w:val="4E6430DE"/>
    <w:rsid w:val="50B49B01"/>
    <w:rsid w:val="5134CCD4"/>
    <w:rsid w:val="51BB41A3"/>
    <w:rsid w:val="52AB432C"/>
    <w:rsid w:val="52BA0716"/>
    <w:rsid w:val="52F161DD"/>
    <w:rsid w:val="53E32192"/>
    <w:rsid w:val="554B03AC"/>
    <w:rsid w:val="55869CE3"/>
    <w:rsid w:val="55980125"/>
    <w:rsid w:val="55C365B0"/>
    <w:rsid w:val="57767D85"/>
    <w:rsid w:val="57B9A16F"/>
    <w:rsid w:val="58B05C65"/>
    <w:rsid w:val="590A0330"/>
    <w:rsid w:val="5940BA78"/>
    <w:rsid w:val="5A64CCB8"/>
    <w:rsid w:val="5A66D690"/>
    <w:rsid w:val="5B199578"/>
    <w:rsid w:val="5B594797"/>
    <w:rsid w:val="5B626206"/>
    <w:rsid w:val="5B8C56C6"/>
    <w:rsid w:val="5C385DCC"/>
    <w:rsid w:val="5C4F22CA"/>
    <w:rsid w:val="5CED5DA8"/>
    <w:rsid w:val="5ECE6546"/>
    <w:rsid w:val="5EFC8B26"/>
    <w:rsid w:val="5F3EE944"/>
    <w:rsid w:val="5F789D28"/>
    <w:rsid w:val="6058F048"/>
    <w:rsid w:val="61670C58"/>
    <w:rsid w:val="623DC24C"/>
    <w:rsid w:val="627E7033"/>
    <w:rsid w:val="63EF713D"/>
    <w:rsid w:val="6430C42D"/>
    <w:rsid w:val="643A69A5"/>
    <w:rsid w:val="64467576"/>
    <w:rsid w:val="64729775"/>
    <w:rsid w:val="64D86928"/>
    <w:rsid w:val="64F8A197"/>
    <w:rsid w:val="651E843F"/>
    <w:rsid w:val="65CB61B8"/>
    <w:rsid w:val="65EE7088"/>
    <w:rsid w:val="6708CE8E"/>
    <w:rsid w:val="689A1F60"/>
    <w:rsid w:val="68B67C16"/>
    <w:rsid w:val="693D2F10"/>
    <w:rsid w:val="6952B822"/>
    <w:rsid w:val="6B35A89E"/>
    <w:rsid w:val="6B7D1C0C"/>
    <w:rsid w:val="6C183CDB"/>
    <w:rsid w:val="6C3FE7AE"/>
    <w:rsid w:val="6C9BA6BF"/>
    <w:rsid w:val="6C9D601D"/>
    <w:rsid w:val="6D71D0D6"/>
    <w:rsid w:val="6E1F80D3"/>
    <w:rsid w:val="6EAD6933"/>
    <w:rsid w:val="6FBB8E6D"/>
    <w:rsid w:val="706C94E6"/>
    <w:rsid w:val="709C2462"/>
    <w:rsid w:val="70B45BBF"/>
    <w:rsid w:val="7111C8B2"/>
    <w:rsid w:val="71329749"/>
    <w:rsid w:val="71573724"/>
    <w:rsid w:val="71C1D3BA"/>
    <w:rsid w:val="72CD40CE"/>
    <w:rsid w:val="72F77532"/>
    <w:rsid w:val="73B7FD64"/>
    <w:rsid w:val="748F1017"/>
    <w:rsid w:val="75708625"/>
    <w:rsid w:val="75B6EB34"/>
    <w:rsid w:val="762804A6"/>
    <w:rsid w:val="76FC027A"/>
    <w:rsid w:val="77732647"/>
    <w:rsid w:val="77C7832C"/>
    <w:rsid w:val="78DABC7E"/>
    <w:rsid w:val="79296AE7"/>
    <w:rsid w:val="79674F33"/>
    <w:rsid w:val="7A07F5FA"/>
    <w:rsid w:val="7A3C40DD"/>
    <w:rsid w:val="7B41CA2B"/>
    <w:rsid w:val="7BBB3C7A"/>
    <w:rsid w:val="7C198B46"/>
    <w:rsid w:val="7C34C992"/>
    <w:rsid w:val="7D109B55"/>
    <w:rsid w:val="7D6BF024"/>
    <w:rsid w:val="7D8C23BE"/>
    <w:rsid w:val="7DA45480"/>
    <w:rsid w:val="7EBDF21F"/>
    <w:rsid w:val="7FC77F4E"/>
    <w:rsid w:val="7FCECA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4EA28"/>
  <w15:chartTrackingRefBased/>
  <w15:docId w15:val="{0974B094-1ECA-4E44-8754-59C0864CEF6B}"/>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5"/>
      </w:numPr>
      <w:ind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3873F5"/>
    <w:pPr>
      <w:spacing w:line="240" w:lineRule="auto"/>
      <w:jc w:val="center"/>
    </w:pPr>
    <w:rPr>
      <w:rFonts w:ascii="Book Antiqua" w:eastAsiaTheme="majorEastAsia" w:hAnsi="Book Antiqua"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545D63"/>
    <w:pPr>
      <w:spacing w:line="240" w:lineRule="auto"/>
      <w:ind w:left="1123" w:right="720" w:hanging="648"/>
    </w:pPr>
    <w:rPr>
      <w:rFonts w:eastAsiaTheme="minorEastAsia" w:cs="Times New Roman"/>
    </w:rPr>
  </w:style>
  <w:style w:type="paragraph" w:styleId="TOC1">
    <w:name w:val="toc 1"/>
    <w:basedOn w:val="Normal"/>
    <w:next w:val="Normal"/>
    <w:uiPriority w:val="39"/>
    <w:unhideWhenUsed/>
    <w:rsid w:val="00545D63"/>
    <w:pPr>
      <w:spacing w:line="240" w:lineRule="auto"/>
      <w:ind w:left="475" w:right="720" w:hanging="475"/>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character" w:styleId="CommentReference">
    <w:name w:val="annotation reference"/>
    <w:basedOn w:val="DefaultParagraphFont"/>
    <w:uiPriority w:val="99"/>
    <w:semiHidden/>
    <w:unhideWhenUsed/>
    <w:rsid w:val="00E9747A"/>
    <w:rPr>
      <w:sz w:val="16"/>
      <w:szCs w:val="16"/>
    </w:rPr>
  </w:style>
  <w:style w:type="paragraph" w:styleId="CommentText">
    <w:name w:val="annotation text"/>
    <w:basedOn w:val="Normal"/>
    <w:link w:val="CommentTextChar"/>
    <w:uiPriority w:val="99"/>
    <w:unhideWhenUsed/>
    <w:rsid w:val="00E9747A"/>
    <w:pPr>
      <w:spacing w:line="240" w:lineRule="auto"/>
    </w:pPr>
    <w:rPr>
      <w:sz w:val="20"/>
      <w:szCs w:val="20"/>
    </w:rPr>
  </w:style>
  <w:style w:type="character" w:customStyle="1" w:styleId="CommentTextChar">
    <w:name w:val="Comment Text Char"/>
    <w:basedOn w:val="DefaultParagraphFont"/>
    <w:link w:val="CommentText"/>
    <w:uiPriority w:val="99"/>
    <w:rsid w:val="00E9747A"/>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E9747A"/>
    <w:rPr>
      <w:b/>
      <w:bCs/>
    </w:rPr>
  </w:style>
  <w:style w:type="character" w:customStyle="1" w:styleId="CommentSubjectChar">
    <w:name w:val="Comment Subject Char"/>
    <w:basedOn w:val="CommentTextChar"/>
    <w:link w:val="CommentSubject"/>
    <w:uiPriority w:val="99"/>
    <w:semiHidden/>
    <w:rsid w:val="00E9747A"/>
    <w:rPr>
      <w:rFonts w:ascii="Book Antiqua" w:hAnsi="Book Antiqua"/>
      <w:b/>
      <w:bCs/>
      <w:sz w:val="20"/>
      <w:szCs w:val="20"/>
    </w:rPr>
  </w:style>
  <w:style w:type="paragraph" w:customStyle="1" w:styleId="xstandard">
    <w:name w:val="x_standard"/>
    <w:basedOn w:val="Normal"/>
    <w:rsid w:val="00D422F3"/>
    <w:rPr>
      <w:rFonts w:cs="Calibri"/>
      <w:szCs w:val="26"/>
    </w:rPr>
  </w:style>
  <w:style w:type="character" w:styleId="UnresolvedMention">
    <w:name w:val="Unresolved Mention"/>
    <w:basedOn w:val="DefaultParagraphFont"/>
    <w:uiPriority w:val="99"/>
    <w:semiHidden/>
    <w:unhideWhenUsed/>
    <w:rsid w:val="0061402E"/>
    <w:rPr>
      <w:color w:val="605E5C"/>
      <w:shd w:val="clear" w:color="auto" w:fill="E1DFDD"/>
    </w:rPr>
  </w:style>
  <w:style w:type="paragraph" w:styleId="Revision">
    <w:name w:val="Revision"/>
    <w:hidden/>
    <w:uiPriority w:val="99"/>
    <w:semiHidden/>
    <w:rsid w:val="004B1FC4"/>
    <w:pPr>
      <w:spacing w:after="0" w:line="240" w:lineRule="auto"/>
    </w:pPr>
    <w:rPr>
      <w:rFonts w:ascii="Book Antiqua" w:hAnsi="Book Antiqua"/>
      <w:sz w:val="26"/>
    </w:rPr>
  </w:style>
  <w:style w:type="character" w:styleId="Mention">
    <w:name w:val="Mention"/>
    <w:basedOn w:val="DefaultParagraphFont"/>
    <w:uiPriority w:val="99"/>
    <w:unhideWhenUsed/>
    <w:rsid w:val="00E81DE2"/>
    <w:rPr>
      <w:color w:val="2B579A"/>
      <w:shd w:val="clear" w:color="auto" w:fill="E1DFDD"/>
    </w:rPr>
  </w:style>
  <w:style w:type="paragraph" w:styleId="ListParagraph">
    <w:name w:val="List Paragraph"/>
    <w:basedOn w:val="Normal"/>
    <w:uiPriority w:val="34"/>
    <w:rsid w:val="00545D63"/>
    <w:pPr>
      <w:ind w:left="720"/>
      <w:contextualSpacing/>
    </w:pPr>
  </w:style>
  <w:style w:type="paragraph" w:customStyle="1" w:styleId="BlockQuoteH025">
    <w:name w:val="BlockQuoteH025"/>
    <w:basedOn w:val="Normal"/>
    <w:qFormat/>
    <w:rsid w:val="00D32F4B"/>
    <w:pPr>
      <w:spacing w:after="120" w:line="240" w:lineRule="auto"/>
      <w:ind w:left="1080" w:right="144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docs.cpuc.ca.gov/PublishedDocs/Published/G000/M605/K883/605883054.pdf" TargetMode="External" Id="R25fa1af95be04c2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0c2bee6-72d2-4c4b-bbf2-19a975248824">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ef7e321c-44a6-4cb5-81f0-0bfd95ece253">
      <Terms xmlns="http://schemas.microsoft.com/office/infopath/2007/PartnerControls"/>
    </lcf76f155ced4ddcb4097134ff3c332f>
    <TaxCatchAll xmlns="40c2bee6-72d2-4c4b-bbf2-19a975248824" xsi:nil="true"/>
    <ContentTagLIst xmlns="ef7e321c-44a6-4cb5-81f0-0bfd95ece25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6" ma:contentTypeDescription="Create a new document." ma:contentTypeScope="" ma:versionID="eea420ac1ba3dcd00acdf10f671c25ee">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654a2f02f20c70d75825c1ed89053b75"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ntentTag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ntentTagLIst" ma:index="23" nillable="true" ma:displayName="Content Tag" ma:format="Dropdown" ma:internalName="ContentTagLIst">
      <xsd:complexType>
        <xsd:complexContent>
          <xsd:extension base="dms:MultiChoice">
            <xsd:sequence>
              <xsd:element name="Value" maxOccurs="unbounded" minOccurs="0" nillable="true">
                <xsd:simpleType>
                  <xsd:restriction base="dms:Choice">
                    <xsd:enumeration value="ALJ Material"/>
                    <xsd:enumeration value="Support Material"/>
                    <xsd:enumeration value="Miscellaneou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40c2bee6-72d2-4c4b-bbf2-19a975248824"/>
    <ds:schemaRef ds:uri="ef7e321c-44a6-4cb5-81f0-0bfd95ece253"/>
  </ds:schemaRefs>
</ds:datastoreItem>
</file>

<file path=customXml/itemProps2.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3.xml><?xml version="1.0" encoding="utf-8"?>
<ds:datastoreItem xmlns:ds="http://schemas.openxmlformats.org/officeDocument/2006/customXml" ds:itemID="{62079FFE-0A8C-409C-9D2A-DF55C286F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30DE7C-9577-4EA8-AC89-8E2B6CC952CB}">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25</ap:Pages>
  <ap:Words>5472</ap:Words>
  <ap:Characters>31192</ap:Characters>
  <ap:Application>Microsoft Office Word</ap:Application>
  <ap:DocSecurity>0</ap:DocSecurity>
  <ap:Lines>259</ap:Lines>
  <ap:Paragraphs>73</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36591</ap:CharactersWithSpaces>
  <ap:SharedDoc>false</ap:SharedDoc>
  <ap:HLinks>
    <vt:vector baseType="variant" size="108">
      <vt:variant>
        <vt:i4>1114174</vt:i4>
      </vt:variant>
      <vt:variant>
        <vt:i4>101</vt:i4>
      </vt:variant>
      <vt:variant>
        <vt:i4>0</vt:i4>
      </vt:variant>
      <vt:variant>
        <vt:i4>5</vt:i4>
      </vt:variant>
      <vt:variant>
        <vt:lpwstr/>
      </vt:variant>
      <vt:variant>
        <vt:lpwstr>_Toc224898144</vt:lpwstr>
      </vt:variant>
      <vt:variant>
        <vt:i4>1114174</vt:i4>
      </vt:variant>
      <vt:variant>
        <vt:i4>95</vt:i4>
      </vt:variant>
      <vt:variant>
        <vt:i4>0</vt:i4>
      </vt:variant>
      <vt:variant>
        <vt:i4>5</vt:i4>
      </vt:variant>
      <vt:variant>
        <vt:lpwstr/>
      </vt:variant>
      <vt:variant>
        <vt:lpwstr>_Toc224898143</vt:lpwstr>
      </vt:variant>
      <vt:variant>
        <vt:i4>1114174</vt:i4>
      </vt:variant>
      <vt:variant>
        <vt:i4>89</vt:i4>
      </vt:variant>
      <vt:variant>
        <vt:i4>0</vt:i4>
      </vt:variant>
      <vt:variant>
        <vt:i4>5</vt:i4>
      </vt:variant>
      <vt:variant>
        <vt:lpwstr/>
      </vt:variant>
      <vt:variant>
        <vt:lpwstr>_Toc224898142</vt:lpwstr>
      </vt:variant>
      <vt:variant>
        <vt:i4>1114174</vt:i4>
      </vt:variant>
      <vt:variant>
        <vt:i4>83</vt:i4>
      </vt:variant>
      <vt:variant>
        <vt:i4>0</vt:i4>
      </vt:variant>
      <vt:variant>
        <vt:i4>5</vt:i4>
      </vt:variant>
      <vt:variant>
        <vt:lpwstr/>
      </vt:variant>
      <vt:variant>
        <vt:lpwstr>_Toc224898141</vt:lpwstr>
      </vt:variant>
      <vt:variant>
        <vt:i4>1114174</vt:i4>
      </vt:variant>
      <vt:variant>
        <vt:i4>77</vt:i4>
      </vt:variant>
      <vt:variant>
        <vt:i4>0</vt:i4>
      </vt:variant>
      <vt:variant>
        <vt:i4>5</vt:i4>
      </vt:variant>
      <vt:variant>
        <vt:lpwstr/>
      </vt:variant>
      <vt:variant>
        <vt:lpwstr>_Toc224898140</vt:lpwstr>
      </vt:variant>
      <vt:variant>
        <vt:i4>1441854</vt:i4>
      </vt:variant>
      <vt:variant>
        <vt:i4>71</vt:i4>
      </vt:variant>
      <vt:variant>
        <vt:i4>0</vt:i4>
      </vt:variant>
      <vt:variant>
        <vt:i4>5</vt:i4>
      </vt:variant>
      <vt:variant>
        <vt:lpwstr/>
      </vt:variant>
      <vt:variant>
        <vt:lpwstr>_Toc224898139</vt:lpwstr>
      </vt:variant>
      <vt:variant>
        <vt:i4>1441854</vt:i4>
      </vt:variant>
      <vt:variant>
        <vt:i4>65</vt:i4>
      </vt:variant>
      <vt:variant>
        <vt:i4>0</vt:i4>
      </vt:variant>
      <vt:variant>
        <vt:i4>5</vt:i4>
      </vt:variant>
      <vt:variant>
        <vt:lpwstr/>
      </vt:variant>
      <vt:variant>
        <vt:lpwstr>_Toc224898138</vt:lpwstr>
      </vt:variant>
      <vt:variant>
        <vt:i4>1441854</vt:i4>
      </vt:variant>
      <vt:variant>
        <vt:i4>59</vt:i4>
      </vt:variant>
      <vt:variant>
        <vt:i4>0</vt:i4>
      </vt:variant>
      <vt:variant>
        <vt:i4>5</vt:i4>
      </vt:variant>
      <vt:variant>
        <vt:lpwstr/>
      </vt:variant>
      <vt:variant>
        <vt:lpwstr>_Toc224898137</vt:lpwstr>
      </vt:variant>
      <vt:variant>
        <vt:i4>1441854</vt:i4>
      </vt:variant>
      <vt:variant>
        <vt:i4>53</vt:i4>
      </vt:variant>
      <vt:variant>
        <vt:i4>0</vt:i4>
      </vt:variant>
      <vt:variant>
        <vt:i4>5</vt:i4>
      </vt:variant>
      <vt:variant>
        <vt:lpwstr/>
      </vt:variant>
      <vt:variant>
        <vt:lpwstr>_Toc224898136</vt:lpwstr>
      </vt:variant>
      <vt:variant>
        <vt:i4>1441854</vt:i4>
      </vt:variant>
      <vt:variant>
        <vt:i4>47</vt:i4>
      </vt:variant>
      <vt:variant>
        <vt:i4>0</vt:i4>
      </vt:variant>
      <vt:variant>
        <vt:i4>5</vt:i4>
      </vt:variant>
      <vt:variant>
        <vt:lpwstr/>
      </vt:variant>
      <vt:variant>
        <vt:lpwstr>_Toc224898135</vt:lpwstr>
      </vt:variant>
      <vt:variant>
        <vt:i4>1441854</vt:i4>
      </vt:variant>
      <vt:variant>
        <vt:i4>41</vt:i4>
      </vt:variant>
      <vt:variant>
        <vt:i4>0</vt:i4>
      </vt:variant>
      <vt:variant>
        <vt:i4>5</vt:i4>
      </vt:variant>
      <vt:variant>
        <vt:lpwstr/>
      </vt:variant>
      <vt:variant>
        <vt:lpwstr>_Toc224898134</vt:lpwstr>
      </vt:variant>
      <vt:variant>
        <vt:i4>1441854</vt:i4>
      </vt:variant>
      <vt:variant>
        <vt:i4>35</vt:i4>
      </vt:variant>
      <vt:variant>
        <vt:i4>0</vt:i4>
      </vt:variant>
      <vt:variant>
        <vt:i4>5</vt:i4>
      </vt:variant>
      <vt:variant>
        <vt:lpwstr/>
      </vt:variant>
      <vt:variant>
        <vt:lpwstr>_Toc224898133</vt:lpwstr>
      </vt:variant>
      <vt:variant>
        <vt:i4>1441854</vt:i4>
      </vt:variant>
      <vt:variant>
        <vt:i4>29</vt:i4>
      </vt:variant>
      <vt:variant>
        <vt:i4>0</vt:i4>
      </vt:variant>
      <vt:variant>
        <vt:i4>5</vt:i4>
      </vt:variant>
      <vt:variant>
        <vt:lpwstr/>
      </vt:variant>
      <vt:variant>
        <vt:lpwstr>_Toc224898132</vt:lpwstr>
      </vt:variant>
      <vt:variant>
        <vt:i4>1441854</vt:i4>
      </vt:variant>
      <vt:variant>
        <vt:i4>23</vt:i4>
      </vt:variant>
      <vt:variant>
        <vt:i4>0</vt:i4>
      </vt:variant>
      <vt:variant>
        <vt:i4>5</vt:i4>
      </vt:variant>
      <vt:variant>
        <vt:lpwstr/>
      </vt:variant>
      <vt:variant>
        <vt:lpwstr>_Toc224898131</vt:lpwstr>
      </vt:variant>
      <vt:variant>
        <vt:i4>1441854</vt:i4>
      </vt:variant>
      <vt:variant>
        <vt:i4>17</vt:i4>
      </vt:variant>
      <vt:variant>
        <vt:i4>0</vt:i4>
      </vt:variant>
      <vt:variant>
        <vt:i4>5</vt:i4>
      </vt:variant>
      <vt:variant>
        <vt:lpwstr/>
      </vt:variant>
      <vt:variant>
        <vt:lpwstr>_Toc224898130</vt:lpwstr>
      </vt:variant>
      <vt:variant>
        <vt:i4>1507390</vt:i4>
      </vt:variant>
      <vt:variant>
        <vt:i4>11</vt:i4>
      </vt:variant>
      <vt:variant>
        <vt:i4>0</vt:i4>
      </vt:variant>
      <vt:variant>
        <vt:i4>5</vt:i4>
      </vt:variant>
      <vt:variant>
        <vt:lpwstr/>
      </vt:variant>
      <vt:variant>
        <vt:lpwstr>_Toc224898129</vt:lpwstr>
      </vt:variant>
      <vt:variant>
        <vt:i4>1507390</vt:i4>
      </vt:variant>
      <vt:variant>
        <vt:i4>5</vt:i4>
      </vt:variant>
      <vt:variant>
        <vt:i4>0</vt:i4>
      </vt:variant>
      <vt:variant>
        <vt:i4>5</vt:i4>
      </vt:variant>
      <vt:variant>
        <vt:lpwstr/>
      </vt:variant>
      <vt:variant>
        <vt:lpwstr>_Toc224898128</vt:lpwstr>
      </vt:variant>
      <vt:variant>
        <vt:i4>2555921</vt:i4>
      </vt:variant>
      <vt:variant>
        <vt:i4>0</vt:i4>
      </vt:variant>
      <vt:variant>
        <vt:i4>0</vt:i4>
      </vt:variant>
      <vt:variant>
        <vt:i4>5</vt:i4>
      </vt:variant>
      <vt:variant>
        <vt:lpwstr>mailto:Galen.Lemei@cpuc.ca.gov</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2026-04-28T20:24:36Z</dcterms:created>
  <dcterms:modified xsi:type="dcterms:W3CDTF">2026-04-28T20:24:36Z</dcterms:modified>
</cp:coreProperties>
</file>