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2D0" w:rsidR="00C77D9C" w:rsidP="00D4266B" w:rsidRDefault="00C77D9C" w14:paraId="75A36B45" w14:textId="77777777">
      <w:pPr>
        <w:spacing w:line="276" w:lineRule="auto"/>
        <w:ind w:left="720"/>
        <w:rPr>
          <w:rFonts w:ascii="Palatino Linotype" w:hAnsi="Palatino Linotype" w:eastAsia="Times New Roman" w:cs="Times New Roman"/>
          <w:sz w:val="26"/>
          <w:szCs w:val="20"/>
        </w:rPr>
      </w:pPr>
      <w:r w:rsidRPr="001942D0">
        <w:rPr>
          <w:rFonts w:ascii="Palatino Linotype" w:hAnsi="Palatino Linotype" w:eastAsia="Times New Roman" w:cs="Times New Roman"/>
          <w:sz w:val="26"/>
          <w:szCs w:val="20"/>
        </w:rPr>
        <w:t>PUBLIC UTILITIES COMMISSION OF THE STATE OF CALIFORNIA</w:t>
      </w:r>
    </w:p>
    <w:p w:rsidR="00BE531D" w:rsidP="00653039" w:rsidRDefault="00BE531D" w14:paraId="100FF215" w14:textId="77777777">
      <w:pPr>
        <w:tabs>
          <w:tab w:val="right" w:pos="8820"/>
        </w:tabs>
        <w:spacing w:line="276" w:lineRule="auto"/>
        <w:rPr>
          <w:rFonts w:ascii="Palatino" w:hAnsi="Palatino" w:eastAsia="Times New Roman" w:cs="Times New Roman"/>
          <w:sz w:val="26"/>
          <w:szCs w:val="20"/>
        </w:rPr>
      </w:pPr>
    </w:p>
    <w:p w:rsidRPr="00BE531D" w:rsidR="00C77D9C" w:rsidP="00653039" w:rsidRDefault="008C2EED" w14:paraId="5DD84551" w14:textId="0CB5784E">
      <w:pPr>
        <w:tabs>
          <w:tab w:val="right" w:pos="9360"/>
        </w:tabs>
        <w:spacing w:before="0" w:line="276" w:lineRule="auto"/>
        <w:rPr>
          <w:rFonts w:ascii="Palatino Linotype" w:hAnsi="Palatino Linotype" w:eastAsia="Palatino Linotype" w:cs="Times New Roman"/>
          <w:b/>
        </w:rPr>
      </w:pPr>
      <w:r w:rsidRPr="004969A3">
        <w:rPr>
          <w:rFonts w:ascii="Palatino Linotype" w:hAnsi="Palatino Linotype" w:eastAsia="Palatino Linotype" w:cs="Times New Roman"/>
          <w:b/>
        </w:rPr>
        <w:t>Communications Division</w:t>
      </w:r>
      <w:r w:rsidRPr="004969A3" w:rsidR="00C77D9C">
        <w:rPr>
          <w:rFonts w:ascii="Palatino Linotype" w:hAnsi="Palatino Linotype" w:eastAsia="Times New Roman" w:cs="Times New Roman"/>
          <w:b/>
        </w:rPr>
        <w:tab/>
      </w:r>
      <w:r w:rsidRPr="004969A3" w:rsidR="00C77D9C">
        <w:rPr>
          <w:rFonts w:ascii="Palatino Linotype" w:hAnsi="Palatino Linotype" w:eastAsia="Palatino Linotype" w:cs="Times New Roman"/>
          <w:b/>
        </w:rPr>
        <w:t xml:space="preserve">       </w:t>
      </w:r>
      <w:r w:rsidRPr="004969A3">
        <w:rPr>
          <w:rFonts w:ascii="Palatino Linotype" w:hAnsi="Palatino Linotype" w:eastAsia="Palatino Linotype" w:cs="Times New Roman"/>
          <w:b/>
        </w:rPr>
        <w:t xml:space="preserve">      </w:t>
      </w:r>
      <w:r w:rsidRPr="004969A3" w:rsidR="00C77D9C">
        <w:rPr>
          <w:rFonts w:ascii="Palatino Linotype" w:hAnsi="Palatino Linotype" w:eastAsia="Palatino Linotype" w:cs="Times New Roman"/>
          <w:b/>
        </w:rPr>
        <w:t xml:space="preserve">RESOLUTION </w:t>
      </w:r>
      <w:r w:rsidRPr="004969A3">
        <w:rPr>
          <w:rFonts w:ascii="Palatino Linotype" w:hAnsi="Palatino Linotype" w:eastAsia="Palatino Linotype" w:cs="Times New Roman"/>
          <w:b/>
        </w:rPr>
        <w:t>T-17894</w:t>
      </w:r>
    </w:p>
    <w:p w:rsidRPr="001942D0" w:rsidR="00C77D9C" w:rsidP="00653039" w:rsidRDefault="00B27392" w14:paraId="4CE81981" w14:textId="09923B9E">
      <w:pPr>
        <w:tabs>
          <w:tab w:val="right" w:pos="9360"/>
        </w:tabs>
        <w:spacing w:before="0" w:line="276" w:lineRule="auto"/>
        <w:rPr>
          <w:rFonts w:ascii="Palatino Linotype" w:hAnsi="Palatino Linotype" w:eastAsia="Times New Roman" w:cs="Times New Roman"/>
          <w:b/>
        </w:rPr>
      </w:pPr>
      <w:r>
        <w:rPr>
          <w:rFonts w:ascii="Palatino Linotype" w:hAnsi="Palatino Linotype" w:eastAsia="Times New Roman" w:cs="Times New Roman"/>
          <w:b/>
        </w:rPr>
        <w:t>Carrier Oversight and Program Branch</w:t>
      </w:r>
      <w:r w:rsidRPr="00BE531D" w:rsidR="00BE531D">
        <w:rPr>
          <w:rFonts w:ascii="Palatino Linotype" w:hAnsi="Palatino Linotype" w:eastAsia="Times New Roman" w:cs="Times New Roman"/>
          <w:b/>
        </w:rPr>
        <w:tab/>
      </w:r>
      <w:r w:rsidR="002B2D3A">
        <w:rPr>
          <w:rFonts w:ascii="Palatino Linotype" w:hAnsi="Palatino Linotype" w:eastAsia="Times New Roman" w:cs="Times New Roman"/>
          <w:b/>
        </w:rPr>
        <w:t>March</w:t>
      </w:r>
      <w:r w:rsidR="00804AB4">
        <w:rPr>
          <w:rFonts w:ascii="Palatino Linotype" w:hAnsi="Palatino Linotype" w:eastAsia="Times New Roman" w:cs="Times New Roman"/>
          <w:b/>
        </w:rPr>
        <w:t xml:space="preserve"> </w:t>
      </w:r>
      <w:r w:rsidR="002B2D3A">
        <w:rPr>
          <w:rFonts w:ascii="Palatino Linotype" w:hAnsi="Palatino Linotype" w:eastAsia="Times New Roman" w:cs="Times New Roman"/>
          <w:b/>
        </w:rPr>
        <w:t>19</w:t>
      </w:r>
      <w:r w:rsidR="00804AB4">
        <w:rPr>
          <w:rFonts w:ascii="Palatino Linotype" w:hAnsi="Palatino Linotype" w:eastAsia="Times New Roman" w:cs="Times New Roman"/>
          <w:b/>
        </w:rPr>
        <w:t>, 2026</w:t>
      </w:r>
    </w:p>
    <w:p w:rsidRPr="001942D0" w:rsidR="00C77D9C" w:rsidP="00653039" w:rsidRDefault="00C77D9C" w14:paraId="208DFFDE" w14:textId="77777777">
      <w:pPr>
        <w:tabs>
          <w:tab w:val="right" w:pos="8910"/>
        </w:tabs>
        <w:spacing w:line="276" w:lineRule="auto"/>
        <w:ind w:left="1440" w:firstLine="720"/>
        <w:rPr>
          <w:rFonts w:ascii="Palatino" w:hAnsi="Palatino" w:eastAsia="Times New Roman" w:cs="Times New Roman"/>
          <w:b/>
          <w:szCs w:val="20"/>
        </w:rPr>
      </w:pPr>
    </w:p>
    <w:p w:rsidRPr="003D6ED5" w:rsidR="00C77D9C" w:rsidP="00653039" w:rsidRDefault="00C77D9C" w14:paraId="029DA16C" w14:textId="77777777">
      <w:pPr>
        <w:keepNext/>
        <w:spacing w:line="276" w:lineRule="auto"/>
        <w:jc w:val="center"/>
        <w:rPr>
          <w:rFonts w:ascii="Helvetica" w:hAnsi="Helvetica" w:eastAsia="Times New Roman" w:cs="Times New Roman"/>
          <w:b/>
          <w:spacing w:val="120"/>
          <w:sz w:val="26"/>
          <w:szCs w:val="20"/>
          <w:u w:val="single"/>
        </w:rPr>
      </w:pPr>
      <w:bookmarkStart w:name="_Ref404993683" w:id="0"/>
      <w:r w:rsidRPr="003D6ED5">
        <w:rPr>
          <w:rFonts w:ascii="Helvetica" w:hAnsi="Helvetica" w:eastAsia="Times New Roman" w:cs="Times New Roman"/>
          <w:b/>
          <w:spacing w:val="120"/>
          <w:sz w:val="26"/>
          <w:szCs w:val="20"/>
          <w:u w:val="single"/>
        </w:rPr>
        <w:t>RESOLUTION</w:t>
      </w:r>
    </w:p>
    <w:p w:rsidR="003D6ED5" w:rsidP="003D6ED5" w:rsidRDefault="003D6ED5" w14:paraId="5BECBFC1" w14:textId="77777777">
      <w:pPr>
        <w:spacing w:before="0" w:line="240" w:lineRule="auto"/>
        <w:ind w:left="720"/>
        <w:jc w:val="both"/>
        <w:rPr>
          <w:rFonts w:ascii="Palatino Linotype" w:hAnsi="Palatino Linotype" w:eastAsia="Times New Roman" w:cs="Times New Roman"/>
          <w:b/>
          <w:bCs/>
        </w:rPr>
      </w:pPr>
    </w:p>
    <w:p w:rsidRPr="00653039" w:rsidR="00C77D9C" w:rsidP="0005769E" w:rsidRDefault="00C77D9C" w14:paraId="4B14B7D1" w14:textId="44D47FED">
      <w:pPr>
        <w:spacing w:before="0" w:line="240" w:lineRule="auto"/>
        <w:ind w:left="720" w:right="720"/>
        <w:jc w:val="both"/>
        <w:rPr>
          <w:rFonts w:ascii="Palatino Linotype" w:hAnsi="Palatino Linotype" w:eastAsia="Times New Roman" w:cs="Times New Roman"/>
          <w:b/>
          <w:bCs/>
        </w:rPr>
      </w:pPr>
      <w:r w:rsidRPr="00653039">
        <w:rPr>
          <w:rFonts w:ascii="Palatino Linotype" w:hAnsi="Palatino Linotype" w:eastAsia="Times New Roman" w:cs="Times New Roman"/>
          <w:b/>
          <w:bCs/>
        </w:rPr>
        <w:t>Resolution</w:t>
      </w:r>
      <w:r w:rsidRPr="00653039" w:rsidR="00BE531D">
        <w:rPr>
          <w:rFonts w:ascii="Palatino Linotype" w:hAnsi="Palatino Linotype" w:eastAsia="Times New Roman" w:cs="Times New Roman"/>
          <w:b/>
          <w:bCs/>
        </w:rPr>
        <w:t xml:space="preserve"> T-17894.</w:t>
      </w:r>
      <w:r w:rsidRPr="00653039">
        <w:rPr>
          <w:rFonts w:ascii="Palatino Linotype" w:hAnsi="Palatino Linotype" w:eastAsia="Times New Roman" w:cs="Times New Roman"/>
          <w:b/>
          <w:bCs/>
        </w:rPr>
        <w:t xml:space="preserve"> </w:t>
      </w:r>
      <w:r w:rsidRPr="00653039" w:rsidR="00BE531D">
        <w:rPr>
          <w:rFonts w:ascii="Palatino Linotype" w:hAnsi="Palatino Linotype" w:eastAsia="Times New Roman" w:cs="Times New Roman"/>
          <w:b/>
          <w:bCs/>
        </w:rPr>
        <w:t xml:space="preserve">This Resolution revokes the operating authority or registration of </w:t>
      </w:r>
      <w:r w:rsidR="00AF0F78">
        <w:rPr>
          <w:rFonts w:ascii="Palatino Linotype" w:hAnsi="Palatino Linotype" w:eastAsia="Times New Roman" w:cs="Times New Roman"/>
          <w:b/>
          <w:bCs/>
        </w:rPr>
        <w:t>eighteen</w:t>
      </w:r>
      <w:r w:rsidRPr="00653039" w:rsidR="00BE531D">
        <w:rPr>
          <w:rFonts w:ascii="Palatino Linotype" w:hAnsi="Palatino Linotype" w:eastAsia="Times New Roman" w:cs="Times New Roman"/>
          <w:b/>
          <w:bCs/>
        </w:rPr>
        <w:t xml:space="preserve"> (</w:t>
      </w:r>
      <w:r w:rsidR="005A72C1">
        <w:rPr>
          <w:rFonts w:ascii="Palatino Linotype" w:hAnsi="Palatino Linotype" w:eastAsia="Times New Roman" w:cs="Times New Roman"/>
          <w:b/>
          <w:bCs/>
        </w:rPr>
        <w:t>1</w:t>
      </w:r>
      <w:r w:rsidR="00AF0F78">
        <w:rPr>
          <w:rFonts w:ascii="Palatino Linotype" w:hAnsi="Palatino Linotype" w:eastAsia="Times New Roman" w:cs="Times New Roman"/>
          <w:b/>
          <w:bCs/>
        </w:rPr>
        <w:t>8</w:t>
      </w:r>
      <w:r w:rsidRPr="00653039" w:rsidR="00BE531D">
        <w:rPr>
          <w:rFonts w:ascii="Palatino Linotype" w:hAnsi="Palatino Linotype" w:eastAsia="Times New Roman" w:cs="Times New Roman"/>
          <w:b/>
          <w:bCs/>
        </w:rPr>
        <w:t xml:space="preserve">) telephone corporations for failing to comply with </w:t>
      </w:r>
      <w:bookmarkStart w:name="_Hlk211594967" w:id="1"/>
      <w:r w:rsidRPr="00653039" w:rsidR="00BE531D">
        <w:rPr>
          <w:rFonts w:ascii="Palatino Linotype" w:hAnsi="Palatino Linotype" w:eastAsia="Times New Roman" w:cs="Times New Roman"/>
          <w:b/>
          <w:bCs/>
        </w:rPr>
        <w:t>Commission-mandated Annual Reports and/or Annual Performance Bond requirements.</w:t>
      </w:r>
      <w:bookmarkEnd w:id="1"/>
    </w:p>
    <w:p w:rsidRPr="001942D0" w:rsidR="00C77D9C" w:rsidP="0005769E" w:rsidRDefault="00C77D9C" w14:paraId="36DBF85F" w14:textId="77777777">
      <w:pPr>
        <w:spacing w:before="0" w:line="240" w:lineRule="auto"/>
        <w:ind w:left="720" w:right="720"/>
        <w:jc w:val="both"/>
        <w:rPr>
          <w:rFonts w:ascii="Palatino Linotype" w:hAnsi="Palatino Linotype" w:eastAsia="Palatino Linotype" w:cs="Times New Roman"/>
        </w:rPr>
      </w:pPr>
    </w:p>
    <w:p w:rsidRPr="00EC244B" w:rsidR="00B510D9" w:rsidP="0005769E" w:rsidRDefault="00C77D9C" w14:paraId="25E39601" w14:textId="77777777">
      <w:pPr>
        <w:spacing w:before="0" w:line="240" w:lineRule="auto"/>
        <w:ind w:left="720" w:right="720"/>
        <w:jc w:val="both"/>
        <w:rPr>
          <w:rFonts w:ascii="Palatino Linotype" w:hAnsi="Palatino Linotype" w:eastAsia="Palatino Linotype" w:cs="Times New Roman"/>
          <w:b/>
          <w:bCs/>
        </w:rPr>
      </w:pPr>
      <w:r w:rsidRPr="00EC244B">
        <w:rPr>
          <w:rFonts w:ascii="Palatino Linotype" w:hAnsi="Palatino Linotype" w:eastAsia="Palatino Linotype" w:cs="Times New Roman"/>
          <w:b/>
          <w:bCs/>
        </w:rPr>
        <w:t xml:space="preserve">PROPOSED OUTCOME: </w:t>
      </w:r>
    </w:p>
    <w:p w:rsidRPr="00653039" w:rsidR="00BE531D" w:rsidP="0005769E" w:rsidRDefault="00BE531D" w14:paraId="7A227BE1" w14:textId="40EFCFF3">
      <w:pPr>
        <w:pStyle w:val="ListParagraph"/>
        <w:numPr>
          <w:ilvl w:val="0"/>
          <w:numId w:val="18"/>
        </w:numPr>
        <w:spacing w:before="0" w:line="240" w:lineRule="auto"/>
        <w:ind w:right="720"/>
        <w:jc w:val="both"/>
        <w:rPr>
          <w:rFonts w:ascii="Palatino Linotype" w:hAnsi="Palatino Linotype" w:eastAsia="Palatino Linotype" w:cs="Times New Roman"/>
        </w:rPr>
      </w:pPr>
      <w:r w:rsidRPr="00653039">
        <w:rPr>
          <w:rFonts w:ascii="Palatino Linotype" w:hAnsi="Palatino Linotype" w:eastAsia="Times New Roman" w:cs="Times New Roman"/>
        </w:rPr>
        <w:t xml:space="preserve">Effective 30 calendar days from approval of this resolution, the applicable operating authority or registration of </w:t>
      </w:r>
      <w:r w:rsidR="005A72C1">
        <w:rPr>
          <w:rFonts w:ascii="Palatino Linotype" w:hAnsi="Palatino Linotype" w:eastAsia="Times New Roman" w:cs="Times New Roman"/>
        </w:rPr>
        <w:t>e</w:t>
      </w:r>
      <w:r w:rsidR="00AF0F78">
        <w:rPr>
          <w:rFonts w:ascii="Palatino Linotype" w:hAnsi="Palatino Linotype" w:eastAsia="Times New Roman" w:cs="Times New Roman"/>
        </w:rPr>
        <w:t>igh</w:t>
      </w:r>
      <w:r w:rsidR="005A72C1">
        <w:rPr>
          <w:rFonts w:ascii="Palatino Linotype" w:hAnsi="Palatino Linotype" w:eastAsia="Times New Roman" w:cs="Times New Roman"/>
        </w:rPr>
        <w:t>teen</w:t>
      </w:r>
      <w:r w:rsidRPr="00653039">
        <w:rPr>
          <w:rFonts w:ascii="Palatino Linotype" w:hAnsi="Palatino Linotype" w:eastAsia="Times New Roman" w:cs="Times New Roman"/>
        </w:rPr>
        <w:t xml:space="preserve"> (</w:t>
      </w:r>
      <w:r w:rsidR="005A72C1">
        <w:rPr>
          <w:rFonts w:ascii="Palatino Linotype" w:hAnsi="Palatino Linotype" w:eastAsia="Times New Roman" w:cs="Times New Roman"/>
        </w:rPr>
        <w:t>1</w:t>
      </w:r>
      <w:r w:rsidR="00AF0F78">
        <w:rPr>
          <w:rFonts w:ascii="Palatino Linotype" w:hAnsi="Palatino Linotype" w:eastAsia="Times New Roman" w:cs="Times New Roman"/>
        </w:rPr>
        <w:t>8</w:t>
      </w:r>
      <w:r w:rsidRPr="00653039">
        <w:rPr>
          <w:rFonts w:ascii="Palatino Linotype" w:hAnsi="Palatino Linotype" w:eastAsia="Times New Roman" w:cs="Times New Roman"/>
        </w:rPr>
        <w:t xml:space="preserve">) telephone corporations listed herein will be revoked. </w:t>
      </w:r>
    </w:p>
    <w:p w:rsidRPr="001942D0" w:rsidR="00C77D9C" w:rsidP="0005769E" w:rsidRDefault="00C77D9C" w14:paraId="484CE9C4" w14:textId="17F75E40">
      <w:pPr>
        <w:spacing w:before="0" w:line="240" w:lineRule="auto"/>
        <w:ind w:left="720" w:right="720"/>
        <w:jc w:val="both"/>
        <w:rPr>
          <w:rFonts w:ascii="Palatino" w:hAnsi="Palatino" w:eastAsia="Palatino Linotype" w:cs="Times New Roman"/>
          <w:sz w:val="26"/>
          <w:szCs w:val="20"/>
        </w:rPr>
      </w:pPr>
    </w:p>
    <w:p w:rsidRPr="00EC244B" w:rsidR="00B510D9" w:rsidP="0005769E" w:rsidRDefault="00C77D9C" w14:paraId="1F7FF155" w14:textId="77777777">
      <w:pPr>
        <w:spacing w:before="0" w:line="240" w:lineRule="auto"/>
        <w:ind w:left="720" w:right="720"/>
        <w:jc w:val="both"/>
        <w:rPr>
          <w:rFonts w:ascii="Palatino Linotype" w:hAnsi="Palatino Linotype" w:eastAsia="Palatino Linotype" w:cs="Times New Roman"/>
          <w:b/>
          <w:bCs/>
        </w:rPr>
      </w:pPr>
      <w:r w:rsidRPr="00EC244B">
        <w:rPr>
          <w:rFonts w:ascii="Palatino Linotype" w:hAnsi="Palatino Linotype" w:eastAsia="Palatino Linotype" w:cs="Times New Roman"/>
          <w:b/>
          <w:bCs/>
        </w:rPr>
        <w:t>SAFETY CONSIDERATIONS:</w:t>
      </w:r>
      <w:r w:rsidRPr="00EC244B" w:rsidR="00B27392">
        <w:rPr>
          <w:rFonts w:ascii="Palatino Linotype" w:hAnsi="Palatino Linotype" w:eastAsia="Palatino Linotype" w:cs="Times New Roman"/>
          <w:b/>
          <w:bCs/>
        </w:rPr>
        <w:t xml:space="preserve"> </w:t>
      </w:r>
    </w:p>
    <w:p w:rsidRPr="00653039" w:rsidR="00BE531D" w:rsidP="0005769E" w:rsidRDefault="00BE531D" w14:paraId="1ED4199F" w14:textId="5FFCA723">
      <w:pPr>
        <w:pStyle w:val="ListParagraph"/>
        <w:numPr>
          <w:ilvl w:val="0"/>
          <w:numId w:val="18"/>
        </w:numPr>
        <w:spacing w:before="0" w:line="240" w:lineRule="auto"/>
        <w:ind w:right="720"/>
        <w:jc w:val="both"/>
        <w:rPr>
          <w:rFonts w:ascii="Palatino Linotype" w:hAnsi="Palatino Linotype" w:eastAsia="Palatino Linotype" w:cs="Times New Roman"/>
        </w:rPr>
      </w:pPr>
      <w:r w:rsidRPr="00653039">
        <w:rPr>
          <w:rFonts w:ascii="Palatino Linotype" w:hAnsi="Palatino Linotype" w:eastAsia="Times New Roman" w:cs="Times New Roman"/>
        </w:rPr>
        <w:t xml:space="preserve">Seeks to achieve telephone corporations’ compliance in submitting </w:t>
      </w:r>
      <w:r w:rsidRPr="00653039" w:rsidR="00BB1C5C">
        <w:rPr>
          <w:rFonts w:ascii="Palatino Linotype" w:hAnsi="Palatino Linotype" w:eastAsia="Times New Roman" w:cs="Times New Roman"/>
        </w:rPr>
        <w:t>Commission-mandated Annual Reports and/or Annual Performance Bond requirements.</w:t>
      </w:r>
    </w:p>
    <w:p w:rsidRPr="001942D0" w:rsidR="00C77D9C" w:rsidP="0005769E" w:rsidRDefault="00C77D9C" w14:paraId="3A755593" w14:textId="49E7B484">
      <w:pPr>
        <w:spacing w:before="0" w:line="240" w:lineRule="auto"/>
        <w:ind w:left="720" w:right="720"/>
        <w:jc w:val="both"/>
        <w:rPr>
          <w:rFonts w:ascii="Palatino Linotype" w:hAnsi="Palatino Linotype" w:eastAsia="Palatino Linotype" w:cs="Times New Roman"/>
        </w:rPr>
      </w:pPr>
    </w:p>
    <w:p w:rsidRPr="00EC244B" w:rsidR="00B510D9" w:rsidP="0005769E" w:rsidRDefault="00C77D9C" w14:paraId="5FE3638F" w14:textId="77777777">
      <w:pPr>
        <w:spacing w:before="0" w:line="240" w:lineRule="auto"/>
        <w:ind w:left="720" w:right="720"/>
        <w:jc w:val="both"/>
        <w:rPr>
          <w:rFonts w:ascii="Palatino Linotype" w:hAnsi="Palatino Linotype" w:eastAsia="Palatino Linotype" w:cs="Times New Roman"/>
          <w:b/>
          <w:bCs/>
        </w:rPr>
      </w:pPr>
      <w:r w:rsidRPr="00EC244B">
        <w:rPr>
          <w:rFonts w:ascii="Palatino Linotype" w:hAnsi="Palatino Linotype" w:eastAsia="Palatino Linotype" w:cs="Times New Roman"/>
          <w:b/>
          <w:bCs/>
        </w:rPr>
        <w:t xml:space="preserve">ESTIMATED COST: </w:t>
      </w:r>
    </w:p>
    <w:p w:rsidRPr="00653039" w:rsidR="00BB1C5C" w:rsidP="0005769E" w:rsidRDefault="00BB1C5C" w14:paraId="041D12A6" w14:textId="5A21D39D">
      <w:pPr>
        <w:pStyle w:val="ListParagraph"/>
        <w:numPr>
          <w:ilvl w:val="0"/>
          <w:numId w:val="18"/>
        </w:numPr>
        <w:spacing w:before="0" w:line="240" w:lineRule="auto"/>
        <w:ind w:right="720"/>
        <w:jc w:val="both"/>
        <w:rPr>
          <w:rFonts w:ascii="Palatino Linotype" w:hAnsi="Palatino Linotype" w:eastAsia="Palatino Linotype" w:cs="Times New Roman"/>
        </w:rPr>
      </w:pPr>
      <w:r w:rsidRPr="00653039">
        <w:rPr>
          <w:rFonts w:ascii="Palatino Linotype" w:hAnsi="Palatino Linotype" w:eastAsia="Times New Roman" w:cs="Times New Roman"/>
        </w:rPr>
        <w:t>There is no cost associated with this Resolution.</w:t>
      </w:r>
    </w:p>
    <w:p w:rsidRPr="001942D0" w:rsidR="00C77D9C" w:rsidP="00653039" w:rsidRDefault="00C77D9C" w14:paraId="087DF859" w14:textId="0D25DA48">
      <w:pPr>
        <w:spacing w:line="276" w:lineRule="auto"/>
        <w:jc w:val="center"/>
        <w:rPr>
          <w:rFonts w:ascii="Palatino Linotype" w:hAnsi="Palatino Linotype" w:eastAsia="Palatino Linotype" w:cs="Times New Roman"/>
        </w:rPr>
      </w:pPr>
      <w:r w:rsidRPr="001942D0">
        <w:rPr>
          <w:rFonts w:ascii="Palatino Linotype" w:hAnsi="Palatino Linotype" w:eastAsia="Palatino Linotype" w:cs="Times New Roman"/>
        </w:rPr>
        <w:t>________________________________________________________</w:t>
      </w:r>
    </w:p>
    <w:p w:rsidRPr="001942D0" w:rsidR="00C77D9C" w:rsidP="00653039" w:rsidRDefault="00C77D9C" w14:paraId="63AD1179" w14:textId="77777777">
      <w:pPr>
        <w:spacing w:before="0" w:line="276" w:lineRule="auto"/>
        <w:rPr>
          <w:rFonts w:ascii="Palatino Linotype" w:hAnsi="Palatino Linotype" w:eastAsia="Palatino Linotype" w:cs="Times New Roman"/>
          <w:b/>
        </w:rPr>
      </w:pPr>
    </w:p>
    <w:p w:rsidRPr="001942D0" w:rsidR="00C77D9C" w:rsidP="00653039" w:rsidRDefault="00C77D9C" w14:paraId="01843011" w14:textId="77777777">
      <w:pPr>
        <w:keepNext/>
        <w:spacing w:before="0" w:after="240" w:line="276" w:lineRule="auto"/>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t>Summary</w:t>
      </w:r>
      <w:bookmarkEnd w:id="0"/>
    </w:p>
    <w:p w:rsidR="00C77D9C" w:rsidP="00653039" w:rsidRDefault="00BB1C5C" w14:paraId="4D995071" w14:textId="1CA52009">
      <w:pPr>
        <w:spacing w:before="0" w:line="276" w:lineRule="auto"/>
        <w:jc w:val="both"/>
        <w:rPr>
          <w:rFonts w:ascii="Palatino Linotype" w:hAnsi="Palatino Linotype" w:eastAsia="Times New Roman" w:cs="Times New Roman"/>
        </w:rPr>
      </w:pPr>
      <w:r w:rsidRPr="00BB1C5C">
        <w:rPr>
          <w:rFonts w:ascii="Palatino Linotype" w:hAnsi="Palatino Linotype" w:eastAsia="Times New Roman" w:cs="Times New Roman"/>
        </w:rPr>
        <w:t xml:space="preserve">This Resolution approves the revocation of the operating authority </w:t>
      </w:r>
      <w:r>
        <w:rPr>
          <w:rFonts w:ascii="Palatino Linotype" w:hAnsi="Palatino Linotype" w:eastAsia="Times New Roman" w:cs="Times New Roman"/>
        </w:rPr>
        <w:t xml:space="preserve">or registration </w:t>
      </w:r>
      <w:r w:rsidRPr="00665CA8">
        <w:rPr>
          <w:rFonts w:ascii="Palatino Linotype" w:hAnsi="Palatino Linotype" w:eastAsia="Times New Roman" w:cs="Times New Roman"/>
        </w:rPr>
        <w:t xml:space="preserve">of </w:t>
      </w:r>
      <w:r w:rsidR="005A72C1">
        <w:rPr>
          <w:rFonts w:ascii="Palatino Linotype" w:hAnsi="Palatino Linotype" w:eastAsia="Times New Roman" w:cs="Times New Roman"/>
        </w:rPr>
        <w:t>e</w:t>
      </w:r>
      <w:r w:rsidR="00AF0F78">
        <w:rPr>
          <w:rFonts w:ascii="Palatino Linotype" w:hAnsi="Palatino Linotype" w:eastAsia="Times New Roman" w:cs="Times New Roman"/>
        </w:rPr>
        <w:t>igh</w:t>
      </w:r>
      <w:r w:rsidR="005A72C1">
        <w:rPr>
          <w:rFonts w:ascii="Palatino Linotype" w:hAnsi="Palatino Linotype" w:eastAsia="Times New Roman" w:cs="Times New Roman"/>
        </w:rPr>
        <w:t>teen</w:t>
      </w:r>
      <w:r w:rsidRPr="00665CA8">
        <w:rPr>
          <w:rFonts w:ascii="Palatino Linotype" w:hAnsi="Palatino Linotype" w:eastAsia="Times New Roman" w:cs="Times New Roman"/>
        </w:rPr>
        <w:t xml:space="preserve"> (</w:t>
      </w:r>
      <w:r w:rsidR="005A72C1">
        <w:rPr>
          <w:rFonts w:ascii="Palatino Linotype" w:hAnsi="Palatino Linotype" w:eastAsia="Times New Roman" w:cs="Times New Roman"/>
        </w:rPr>
        <w:t>1</w:t>
      </w:r>
      <w:r w:rsidR="00AF0F78">
        <w:rPr>
          <w:rFonts w:ascii="Palatino Linotype" w:hAnsi="Palatino Linotype" w:eastAsia="Times New Roman" w:cs="Times New Roman"/>
        </w:rPr>
        <w:t>8</w:t>
      </w:r>
      <w:r w:rsidRPr="00665CA8">
        <w:rPr>
          <w:rFonts w:ascii="Palatino Linotype" w:hAnsi="Palatino Linotype" w:eastAsia="Times New Roman" w:cs="Times New Roman"/>
        </w:rPr>
        <w:t xml:space="preserve">) telephone </w:t>
      </w:r>
      <w:r w:rsidRPr="00BB1C5C">
        <w:rPr>
          <w:rFonts w:ascii="Palatino Linotype" w:hAnsi="Palatino Linotype" w:eastAsia="Times New Roman" w:cs="Times New Roman"/>
        </w:rPr>
        <w:t>corporations (carriers) for failure to comply with one or more California Public Utilities Commission (Commission</w:t>
      </w:r>
      <w:r w:rsidR="002C7C9A">
        <w:rPr>
          <w:rFonts w:ascii="Palatino Linotype" w:hAnsi="Palatino Linotype" w:eastAsia="Times New Roman" w:cs="Times New Roman"/>
        </w:rPr>
        <w:t xml:space="preserve"> or CPUC</w:t>
      </w:r>
      <w:r w:rsidRPr="00BB1C5C">
        <w:rPr>
          <w:rFonts w:ascii="Palatino Linotype" w:hAnsi="Palatino Linotype" w:eastAsia="Times New Roman" w:cs="Times New Roman"/>
        </w:rPr>
        <w:t>) annual compliance requirements with respect to: a) Annual Operational and Financial Information report</w:t>
      </w:r>
      <w:r w:rsidR="000432EA">
        <w:rPr>
          <w:rFonts w:ascii="Palatino Linotype" w:hAnsi="Palatino Linotype" w:eastAsia="Times New Roman" w:cs="Times New Roman"/>
        </w:rPr>
        <w:t xml:space="preserve"> </w:t>
      </w:r>
      <w:r w:rsidRPr="00BB1C5C" w:rsidR="000432EA">
        <w:rPr>
          <w:rFonts w:ascii="Palatino Linotype" w:hAnsi="Palatino Linotype" w:eastAsia="Times New Roman" w:cs="Times New Roman"/>
        </w:rPr>
        <w:t xml:space="preserve">for calendar year (CY) </w:t>
      </w:r>
      <w:r w:rsidRPr="00665CA8" w:rsidR="000432EA">
        <w:rPr>
          <w:rFonts w:ascii="Palatino Linotype" w:hAnsi="Palatino Linotype" w:eastAsia="Times New Roman" w:cs="Times New Roman"/>
        </w:rPr>
        <w:t>2024</w:t>
      </w:r>
      <w:r w:rsidRPr="00BB1C5C">
        <w:rPr>
          <w:rFonts w:ascii="Palatino Linotype" w:hAnsi="Palatino Linotype" w:eastAsia="Times New Roman" w:cs="Times New Roman"/>
        </w:rPr>
        <w:t>; b) Annual Affiliate Transaction report</w:t>
      </w:r>
      <w:r w:rsidR="000432EA">
        <w:rPr>
          <w:rFonts w:ascii="Palatino Linotype" w:hAnsi="Palatino Linotype" w:eastAsia="Times New Roman" w:cs="Times New Roman"/>
        </w:rPr>
        <w:t xml:space="preserve"> </w:t>
      </w:r>
      <w:r w:rsidRPr="00BB1C5C" w:rsidR="000432EA">
        <w:rPr>
          <w:rFonts w:ascii="Palatino Linotype" w:hAnsi="Palatino Linotype" w:eastAsia="Times New Roman" w:cs="Times New Roman"/>
        </w:rPr>
        <w:t xml:space="preserve">for CY </w:t>
      </w:r>
      <w:r w:rsidRPr="00665CA8" w:rsidR="000432EA">
        <w:rPr>
          <w:rFonts w:ascii="Palatino Linotype" w:hAnsi="Palatino Linotype" w:eastAsia="Times New Roman" w:cs="Times New Roman"/>
        </w:rPr>
        <w:t>2024</w:t>
      </w:r>
      <w:r w:rsidR="000432EA">
        <w:rPr>
          <w:rFonts w:ascii="Palatino Linotype" w:hAnsi="Palatino Linotype" w:eastAsia="Times New Roman" w:cs="Times New Roman"/>
        </w:rPr>
        <w:t xml:space="preserve"> </w:t>
      </w:r>
      <w:r w:rsidRPr="00BB1C5C">
        <w:rPr>
          <w:rFonts w:ascii="Palatino Linotype" w:hAnsi="Palatino Linotype" w:eastAsia="Times New Roman" w:cs="Times New Roman"/>
        </w:rPr>
        <w:t xml:space="preserve">(collectively known as Annual Reports), and/or c) Annual Performance Bond requirement. The revocation of the operating authority </w:t>
      </w:r>
      <w:r w:rsidR="002C7C9A">
        <w:rPr>
          <w:rFonts w:ascii="Palatino Linotype" w:hAnsi="Palatino Linotype" w:eastAsia="Times New Roman" w:cs="Times New Roman"/>
        </w:rPr>
        <w:t>or registration</w:t>
      </w:r>
      <w:r w:rsidR="00C14A9E">
        <w:rPr>
          <w:rFonts w:ascii="Palatino Linotype" w:hAnsi="Palatino Linotype" w:eastAsia="Times New Roman" w:cs="Times New Roman"/>
        </w:rPr>
        <w:t xml:space="preserve"> </w:t>
      </w:r>
      <w:r w:rsidRPr="00BB1C5C">
        <w:rPr>
          <w:rFonts w:ascii="Palatino Linotype" w:hAnsi="Palatino Linotype" w:eastAsia="Times New Roman" w:cs="Times New Roman"/>
        </w:rPr>
        <w:t xml:space="preserve">is effective 30 calendar days from the </w:t>
      </w:r>
      <w:r w:rsidRPr="00BB1C5C">
        <w:rPr>
          <w:rFonts w:ascii="Palatino Linotype" w:hAnsi="Palatino Linotype" w:eastAsia="Times New Roman" w:cs="Times New Roman"/>
        </w:rPr>
        <w:lastRenderedPageBreak/>
        <w:t xml:space="preserve">Commission approval of this Resolution. This Resolution, however, allows any of the carriers subject to revocation of authority in Appendix A </w:t>
      </w:r>
      <w:r w:rsidR="004B1586">
        <w:rPr>
          <w:rFonts w:ascii="Palatino Linotype" w:hAnsi="Palatino Linotype" w:eastAsia="Times New Roman" w:cs="Times New Roman"/>
        </w:rPr>
        <w:t>o</w:t>
      </w:r>
      <w:r w:rsidRPr="00BB1C5C">
        <w:rPr>
          <w:rFonts w:ascii="Palatino Linotype" w:hAnsi="Palatino Linotype" w:eastAsia="Times New Roman" w:cs="Times New Roman"/>
        </w:rPr>
        <w:t xml:space="preserve">f </w:t>
      </w:r>
      <w:r w:rsidR="004B1586">
        <w:rPr>
          <w:rFonts w:ascii="Palatino Linotype" w:hAnsi="Palatino Linotype" w:eastAsia="Times New Roman" w:cs="Times New Roman"/>
        </w:rPr>
        <w:t>the R</w:t>
      </w:r>
      <w:r w:rsidRPr="00BB1C5C">
        <w:rPr>
          <w:rFonts w:ascii="Palatino Linotype" w:hAnsi="Palatino Linotype" w:eastAsia="Times New Roman" w:cs="Times New Roman"/>
        </w:rPr>
        <w:t>esolution to fully resolve their outstanding compliance obligations, including paying all penalties before the revocation becomes effective.</w:t>
      </w:r>
    </w:p>
    <w:p w:rsidRPr="001942D0" w:rsidR="00D3349C" w:rsidP="00653039" w:rsidRDefault="00D3349C" w14:paraId="1461455E" w14:textId="77777777">
      <w:pPr>
        <w:spacing w:before="0" w:line="276" w:lineRule="auto"/>
        <w:rPr>
          <w:rFonts w:ascii="Palatino Linotype" w:hAnsi="Palatino Linotype" w:eastAsia="Palatino Linotype" w:cs="Times New Roman"/>
        </w:rPr>
      </w:pPr>
    </w:p>
    <w:p w:rsidRPr="001942D0" w:rsidR="00C77D9C" w:rsidP="00653039" w:rsidRDefault="00C77D9C" w14:paraId="0DAFD6B8" w14:textId="77777777">
      <w:pPr>
        <w:keepNext/>
        <w:spacing w:before="0" w:after="240" w:line="276" w:lineRule="auto"/>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t>Background</w:t>
      </w:r>
    </w:p>
    <w:p w:rsidRPr="00D3349C" w:rsidR="00D3349C" w:rsidP="00653039" w:rsidRDefault="00D3349C" w14:paraId="1B4C7935" w14:textId="77777777">
      <w:pPr>
        <w:pStyle w:val="Heading2"/>
        <w:numPr>
          <w:ilvl w:val="0"/>
          <w:numId w:val="12"/>
        </w:numPr>
        <w:spacing w:before="0" w:line="276" w:lineRule="auto"/>
        <w:rPr>
          <w:rFonts w:ascii="Palatino Linotype" w:hAnsi="Palatino Linotype"/>
          <w:i w:val="0"/>
          <w:iCs w:val="0"/>
          <w:u w:val="single"/>
        </w:rPr>
      </w:pPr>
      <w:r w:rsidRPr="00D3349C">
        <w:rPr>
          <w:rFonts w:ascii="Palatino Linotype" w:hAnsi="Palatino Linotype"/>
          <w:i w:val="0"/>
          <w:iCs w:val="0"/>
          <w:u w:val="single"/>
        </w:rPr>
        <w:t>Jurisdiction over Telephone Corporations</w:t>
      </w:r>
    </w:p>
    <w:p w:rsidRPr="00636A69" w:rsidR="00D3349C" w:rsidP="00653039" w:rsidRDefault="00D3349C" w14:paraId="5FD2A68A" w14:textId="18E25FD2">
      <w:pPr>
        <w:pStyle w:val="NormalBody"/>
        <w:spacing w:line="276" w:lineRule="auto"/>
        <w:jc w:val="both"/>
      </w:pPr>
      <w:r w:rsidRPr="00636A69">
        <w:t>The Commission has broad regulatory authority over public utilities, including Telephone Corporations (carriers)</w:t>
      </w:r>
      <w:r>
        <w:t xml:space="preserve">, as defined in </w:t>
      </w:r>
      <w:r w:rsidR="000638D7">
        <w:t>Public (</w:t>
      </w:r>
      <w:r>
        <w:t>Pub.</w:t>
      </w:r>
      <w:r w:rsidR="000638D7">
        <w:t>) Utilities</w:t>
      </w:r>
      <w:r>
        <w:t xml:space="preserve"> </w:t>
      </w:r>
      <w:r w:rsidR="000638D7">
        <w:t>(</w:t>
      </w:r>
      <w:r>
        <w:t>Util.</w:t>
      </w:r>
      <w:r w:rsidR="000638D7">
        <w:t>)</w:t>
      </w:r>
      <w:r>
        <w:t xml:space="preserve"> Code </w:t>
      </w:r>
      <w:r w:rsidR="000638D7">
        <w:t>Section</w:t>
      </w:r>
      <w:r>
        <w:t xml:space="preserve"> 234</w:t>
      </w:r>
      <w:r w:rsidRPr="00636A69">
        <w:t>.</w:t>
      </w:r>
      <w:r>
        <w:rPr>
          <w:rStyle w:val="FootnoteReference"/>
        </w:rPr>
        <w:footnoteReference w:id="2"/>
      </w:r>
      <w:r w:rsidRPr="00636A69">
        <w:t xml:space="preserve"> As part of the Commission’s regulation of public utilities, the Legislature conferred upon the Commission the exclusive authority to issue a certificate of public convenience and necessity (CPCN) to a public utility seeking to operate in California.</w:t>
      </w:r>
      <w:r>
        <w:rPr>
          <w:rStyle w:val="FootnoteReference"/>
        </w:rPr>
        <w:footnoteReference w:id="3"/>
      </w:r>
      <w:r w:rsidRPr="00636A69">
        <w:t xml:space="preserve"> The Commission grants operating authority to traditional wireline telephone corporations</w:t>
      </w:r>
      <w:r>
        <w:t xml:space="preserve"> and Voice over Internet Protocol (VoIP) carriers providing fixed interconnected VoIP service.</w:t>
      </w:r>
      <w:r w:rsidRPr="00636A69">
        <w:t xml:space="preserve"> </w:t>
      </w:r>
      <w:r>
        <w:t>A</w:t>
      </w:r>
      <w:r w:rsidRPr="00636A69">
        <w:t xml:space="preserve">lternatively, </w:t>
      </w:r>
      <w:r>
        <w:t xml:space="preserve">the Commission approves </w:t>
      </w:r>
      <w:r w:rsidRPr="00636A69">
        <w:t>registration</w:t>
      </w:r>
      <w:r>
        <w:t>s</w:t>
      </w:r>
      <w:r w:rsidRPr="00636A69">
        <w:t xml:space="preserve"> for wireless </w:t>
      </w:r>
      <w:r>
        <w:t xml:space="preserve">carriers </w:t>
      </w:r>
      <w:r w:rsidRPr="00636A69">
        <w:t>and</w:t>
      </w:r>
      <w:r>
        <w:t xml:space="preserve"> VoIP carriers providing </w:t>
      </w:r>
      <w:r w:rsidRPr="00636A69">
        <w:t>nomadic-only interconnected VoIP</w:t>
      </w:r>
      <w:r>
        <w:t xml:space="preserve"> service</w:t>
      </w:r>
      <w:r w:rsidRPr="00636A69">
        <w:t>. Accordingly, all carriers operating in California must obtain operating authority from or register for approval with the Commission prior to doing business in California.</w:t>
      </w:r>
    </w:p>
    <w:p w:rsidRPr="00636A69" w:rsidR="00D3349C" w:rsidP="00653039" w:rsidRDefault="00D3349C" w14:paraId="2F4BF67E" w14:textId="1B9A57A6">
      <w:pPr>
        <w:pStyle w:val="NormalBody"/>
        <w:spacing w:line="276" w:lineRule="auto"/>
        <w:jc w:val="both"/>
      </w:pPr>
      <w:r w:rsidRPr="00636A69">
        <w:t>Wireline carriers</w:t>
      </w:r>
      <w:r>
        <w:t xml:space="preserve"> providing P</w:t>
      </w:r>
      <w:r w:rsidR="000638D7">
        <w:t xml:space="preserve">lain </w:t>
      </w:r>
      <w:r>
        <w:t>O</w:t>
      </w:r>
      <w:r w:rsidR="000638D7">
        <w:t xml:space="preserve">ld </w:t>
      </w:r>
      <w:r>
        <w:t>T</w:t>
      </w:r>
      <w:r w:rsidR="000638D7">
        <w:t xml:space="preserve">elephone </w:t>
      </w:r>
      <w:r w:rsidR="004B1586">
        <w:t xml:space="preserve">Service </w:t>
      </w:r>
      <w:r w:rsidR="000638D7">
        <w:t>(POT</w:t>
      </w:r>
      <w:r>
        <w:t>S</w:t>
      </w:r>
      <w:r w:rsidR="000638D7">
        <w:t>)</w:t>
      </w:r>
      <w:r>
        <w:t xml:space="preserve"> or fixed interconnected VoIP service</w:t>
      </w:r>
      <w:r w:rsidRPr="00636A69">
        <w:t xml:space="preserve"> may request authority to operate in California through a CPCN application pursuant to Pub. Util. Code § 1001 or a Simplified Registration application</w:t>
      </w:r>
      <w:r>
        <w:rPr>
          <w:rStyle w:val="FootnoteReference"/>
        </w:rPr>
        <w:footnoteReference w:id="4"/>
      </w:r>
      <w:r w:rsidRPr="00636A69">
        <w:t xml:space="preserve"> pursuant to § 1013, depending on the facilities they operate. </w:t>
      </w:r>
    </w:p>
    <w:p w:rsidRPr="005B2F50" w:rsidR="00D3349C" w:rsidP="00653039" w:rsidRDefault="00D3349C" w14:paraId="103C0B01" w14:textId="3306B9C9">
      <w:pPr>
        <w:pStyle w:val="NormalBody"/>
        <w:spacing w:line="276" w:lineRule="auto"/>
        <w:jc w:val="both"/>
      </w:pPr>
      <w:r w:rsidRPr="005B2F50">
        <w:t xml:space="preserve">Wireless carriers, defined as </w:t>
      </w:r>
      <w:r w:rsidR="004B1586">
        <w:t>C</w:t>
      </w:r>
      <w:r w:rsidRPr="005B2F50">
        <w:t xml:space="preserve">ommercial </w:t>
      </w:r>
      <w:r w:rsidR="004B1586">
        <w:t>M</w:t>
      </w:r>
      <w:r w:rsidRPr="005B2F50">
        <w:t xml:space="preserve">obile </w:t>
      </w:r>
      <w:r w:rsidR="004B1586">
        <w:t>R</w:t>
      </w:r>
      <w:r w:rsidRPr="005B2F50">
        <w:t xml:space="preserve">adio </w:t>
      </w:r>
      <w:r w:rsidR="004B1586">
        <w:t>S</w:t>
      </w:r>
      <w:r w:rsidRPr="005B2F50">
        <w:t xml:space="preserve">ervice (CMRS) providers pursuant to Pub. Util. Code § 247, are no longer required to obtain operating authority through a CPCN application pursuant to Pub. Util. Code § 1001. The federal Communications Act, 47 U.S.C.S § 332, subdivision (c)(3)(A), limits states’ authority over “the entry of or the rates charged by any commercial mobile service or any private mobile </w:t>
      </w:r>
      <w:r w:rsidRPr="005B2F50">
        <w:lastRenderedPageBreak/>
        <w:t>service.”</w:t>
      </w:r>
      <w:r>
        <w:rPr>
          <w:rStyle w:val="FootnoteReference"/>
        </w:rPr>
        <w:footnoteReference w:id="5"/>
      </w:r>
      <w:r w:rsidRPr="005B2F50">
        <w:t xml:space="preserve"> States may continue to regulate “other terms and conditions” of wireless service. For example, the Commission requires</w:t>
      </w:r>
      <w:r>
        <w:t xml:space="preserve"> that</w:t>
      </w:r>
      <w:r w:rsidRPr="005B2F50">
        <w:t xml:space="preserve"> wireless carriers </w:t>
      </w:r>
      <w:r>
        <w:t xml:space="preserve">register pursuant </w:t>
      </w:r>
      <w:r w:rsidRPr="005B2F50">
        <w:t xml:space="preserve">to the Wireless Identification Registration </w:t>
      </w:r>
      <w:r w:rsidR="000638D7">
        <w:t xml:space="preserve">(WIR) </w:t>
      </w:r>
      <w:r>
        <w:t>process</w:t>
      </w:r>
      <w:r w:rsidRPr="005B2F50">
        <w:t xml:space="preserve"> established in Commission Decision (D.)94-10-031</w:t>
      </w:r>
      <w:r>
        <w:t>, to collect</w:t>
      </w:r>
      <w:r w:rsidR="003D6ED5">
        <w:t>, report</w:t>
      </w:r>
      <w:r>
        <w:t xml:space="preserve"> and remit P</w:t>
      </w:r>
      <w:r w:rsidR="002C7C9A">
        <w:t xml:space="preserve">ublic </w:t>
      </w:r>
      <w:r>
        <w:t>P</w:t>
      </w:r>
      <w:r w:rsidR="002C7C9A">
        <w:t xml:space="preserve">urpose </w:t>
      </w:r>
      <w:r>
        <w:t>P</w:t>
      </w:r>
      <w:r w:rsidR="002C7C9A">
        <w:t>rogram (PPP)</w:t>
      </w:r>
      <w:r>
        <w:t xml:space="preserve"> surcharges and the </w:t>
      </w:r>
      <w:r w:rsidRPr="00636A69" w:rsidR="003D6ED5">
        <w:t>Public Utilities Commission Utilities Reimbursement Account Fee (user fees)</w:t>
      </w:r>
      <w:r>
        <w:t>, and to comply with</w:t>
      </w:r>
      <w:r w:rsidRPr="005B2F50">
        <w:t xml:space="preserve"> other consumer protection measures</w:t>
      </w:r>
      <w:r>
        <w:t xml:space="preserve"> applicable to telephone corporations</w:t>
      </w:r>
      <w:r w:rsidRPr="005B2F50">
        <w:t>.</w:t>
      </w:r>
      <w:r>
        <w:rPr>
          <w:rStyle w:val="FootnoteReference"/>
        </w:rPr>
        <w:footnoteReference w:id="6"/>
      </w:r>
    </w:p>
    <w:p w:rsidRPr="005B2F50" w:rsidR="00D3349C" w:rsidP="00653039" w:rsidRDefault="00D3349C" w14:paraId="6A7EE6EC" w14:textId="241218E1">
      <w:pPr>
        <w:pStyle w:val="NormalBody"/>
        <w:spacing w:after="240" w:line="276" w:lineRule="auto"/>
        <w:jc w:val="both"/>
      </w:pPr>
      <w:r>
        <w:t>Interconnected VoIP carriers, as defined in Pub. Util. Code § 239, must follow the licensing or registration processes set forth in</w:t>
      </w:r>
      <w:r w:rsidRPr="005B2F50">
        <w:t xml:space="preserve"> D.24-11-003</w:t>
      </w:r>
      <w:r>
        <w:t xml:space="preserve"> as telephone corporations providing voice service in California</w:t>
      </w:r>
      <w:r w:rsidRPr="005B2F50">
        <w:t>.</w:t>
      </w:r>
      <w:r>
        <w:rPr>
          <w:rStyle w:val="FootnoteReference"/>
        </w:rPr>
        <w:footnoteReference w:id="7"/>
      </w:r>
      <w:r w:rsidRPr="005B2F50">
        <w:t xml:space="preserve"> All fixed Interconnected VoIP carriers are required to request operating authority through a CPCN application pursuant to Pub. Util. Code § 1001 or a Simplified Registration application pursuant to § 1013, depending on the facilities they operate.  All VoIP carriers</w:t>
      </w:r>
      <w:r>
        <w:t xml:space="preserve"> providing nomadic-only interconnected VoIP service</w:t>
      </w:r>
      <w:r w:rsidRPr="005B2F50">
        <w:t xml:space="preserve"> are required to </w:t>
      </w:r>
      <w:r>
        <w:t xml:space="preserve">register pursuant to the </w:t>
      </w:r>
      <w:r w:rsidR="000638D7">
        <w:t>Nomadic</w:t>
      </w:r>
      <w:r w:rsidRPr="005B2F50">
        <w:t xml:space="preserve"> Registration proce</w:t>
      </w:r>
      <w:r>
        <w:t>ss outlined in D.24-11-003</w:t>
      </w:r>
      <w:r w:rsidRPr="005B2F50">
        <w:t xml:space="preserve">. </w:t>
      </w:r>
    </w:p>
    <w:p w:rsidRPr="00D3349C" w:rsidR="00D3349C" w:rsidP="00653039" w:rsidRDefault="00D3349C" w14:paraId="216DE977" w14:textId="4622A839">
      <w:pPr>
        <w:pStyle w:val="Heading2"/>
        <w:numPr>
          <w:ilvl w:val="0"/>
          <w:numId w:val="12"/>
        </w:numPr>
        <w:spacing w:line="276" w:lineRule="auto"/>
        <w:rPr>
          <w:rFonts w:ascii="Palatino Linotype" w:hAnsi="Palatino Linotype"/>
          <w:i w:val="0"/>
          <w:iCs w:val="0"/>
          <w:u w:val="single"/>
        </w:rPr>
      </w:pPr>
      <w:r>
        <w:rPr>
          <w:rFonts w:ascii="Palatino Linotype" w:hAnsi="Palatino Linotype"/>
          <w:i w:val="0"/>
          <w:iCs w:val="0"/>
          <w:u w:val="single"/>
        </w:rPr>
        <w:t xml:space="preserve">Annual Reporting Requirement </w:t>
      </w:r>
      <w:r w:rsidRPr="00D3349C">
        <w:rPr>
          <w:rFonts w:ascii="Palatino Linotype" w:hAnsi="Palatino Linotype"/>
          <w:i w:val="0"/>
          <w:iCs w:val="0"/>
          <w:u w:val="single"/>
        </w:rPr>
        <w:t>Obligations</w:t>
      </w:r>
    </w:p>
    <w:p w:rsidRPr="00DC0D09" w:rsidR="00D3349C" w:rsidP="00653039" w:rsidRDefault="00D3349C" w14:paraId="1A9963FF" w14:textId="4A52EBB8">
      <w:pPr>
        <w:pStyle w:val="NormalBody"/>
        <w:spacing w:after="240" w:line="276" w:lineRule="auto"/>
        <w:jc w:val="both"/>
      </w:pPr>
      <w:r w:rsidRPr="00DC0D09">
        <w:t>All carriers are subject to compliance filings attendant to their operating authority including, but not limited to, submission of various annual reporting obligations. Among the annual reporting obligations due from carriers are the following:</w:t>
      </w:r>
    </w:p>
    <w:p w:rsidRPr="00DC0D09" w:rsidR="00D3349C" w:rsidP="00653039" w:rsidRDefault="00D3349C" w14:paraId="099DF100" w14:textId="77777777">
      <w:pPr>
        <w:pStyle w:val="ListParagraph"/>
        <w:numPr>
          <w:ilvl w:val="0"/>
          <w:numId w:val="19"/>
        </w:numPr>
        <w:tabs>
          <w:tab w:val="right" w:pos="10080"/>
        </w:tabs>
        <w:spacing w:after="240" w:line="276" w:lineRule="auto"/>
        <w:jc w:val="both"/>
        <w:rPr>
          <w:rFonts w:ascii="Palatino Linotype" w:hAnsi="Palatino Linotype"/>
        </w:rPr>
      </w:pPr>
      <w:r w:rsidRPr="00DC0D09">
        <w:rPr>
          <w:rFonts w:ascii="Palatino Linotype" w:hAnsi="Palatino Linotype"/>
        </w:rPr>
        <w:t>Annual Report on Carrier’s Operations and Financials on a CY basis pursuant to General Order (GO) 104-A due March 31 of the following year.</w:t>
      </w:r>
    </w:p>
    <w:p w:rsidRPr="00DC0D09" w:rsidR="00D3349C" w:rsidP="00653039" w:rsidRDefault="00D3349C" w14:paraId="0B334BCB" w14:textId="77777777">
      <w:pPr>
        <w:pStyle w:val="ListParagraph"/>
        <w:numPr>
          <w:ilvl w:val="0"/>
          <w:numId w:val="19"/>
        </w:numPr>
        <w:tabs>
          <w:tab w:val="right" w:pos="10080"/>
        </w:tabs>
        <w:spacing w:after="240" w:line="276" w:lineRule="auto"/>
        <w:jc w:val="both"/>
        <w:rPr>
          <w:rFonts w:ascii="Palatino Linotype" w:hAnsi="Palatino Linotype"/>
        </w:rPr>
      </w:pPr>
      <w:r w:rsidRPr="00DC0D09">
        <w:rPr>
          <w:rFonts w:ascii="Palatino Linotype" w:hAnsi="Palatino Linotype"/>
        </w:rPr>
        <w:t>Annual Affiliate Transaction Reports on a CY basis pursuant to D.93-02-019 due May 1 of the following year.</w:t>
      </w:r>
    </w:p>
    <w:p w:rsidRPr="00DC0D09" w:rsidR="00D3349C" w:rsidP="00653039" w:rsidRDefault="00D3349C" w14:paraId="49EF6677" w14:textId="4C0A118C">
      <w:pPr>
        <w:pStyle w:val="ListParagraph"/>
        <w:numPr>
          <w:ilvl w:val="0"/>
          <w:numId w:val="19"/>
        </w:numPr>
        <w:tabs>
          <w:tab w:val="right" w:pos="10080"/>
        </w:tabs>
        <w:spacing w:after="240" w:line="276" w:lineRule="auto"/>
        <w:jc w:val="both"/>
        <w:rPr>
          <w:rFonts w:ascii="Palatino Linotype" w:hAnsi="Palatino Linotype"/>
        </w:rPr>
      </w:pPr>
      <w:r w:rsidRPr="00DC0D09">
        <w:rPr>
          <w:rFonts w:ascii="Palatino Linotype" w:hAnsi="Palatino Linotype"/>
        </w:rPr>
        <w:t>Annual Performance Bond requirement pursuant to</w:t>
      </w:r>
      <w:r>
        <w:rPr>
          <w:rFonts w:ascii="Palatino Linotype" w:hAnsi="Palatino Linotype"/>
        </w:rPr>
        <w:t xml:space="preserve"> D.24-11-003,</w:t>
      </w:r>
      <w:r w:rsidRPr="00DC0D09">
        <w:rPr>
          <w:rFonts w:ascii="Palatino Linotype" w:hAnsi="Palatino Linotype"/>
        </w:rPr>
        <w:t xml:space="preserve"> D.13-05-035 and/or</w:t>
      </w:r>
      <w:r w:rsidR="00B510D9">
        <w:rPr>
          <w:rFonts w:ascii="Palatino Linotype" w:hAnsi="Palatino Linotype"/>
        </w:rPr>
        <w:t xml:space="preserve"> </w:t>
      </w:r>
      <w:r w:rsidRPr="00B510D9" w:rsidR="00B510D9">
        <w:rPr>
          <w:rFonts w:ascii="Palatino Linotype" w:hAnsi="Palatino Linotype"/>
        </w:rPr>
        <w:t>D.10-09-017</w:t>
      </w:r>
      <w:r w:rsidR="00B510D9">
        <w:rPr>
          <w:rFonts w:ascii="Palatino Linotype" w:hAnsi="Palatino Linotype"/>
        </w:rPr>
        <w:t>/</w:t>
      </w:r>
      <w:r w:rsidRPr="00DC0D09">
        <w:rPr>
          <w:rFonts w:ascii="Palatino Linotype" w:hAnsi="Palatino Linotype"/>
        </w:rPr>
        <w:t>D.11-09-026 due on March 31 of each year.</w:t>
      </w:r>
    </w:p>
    <w:p w:rsidRPr="00D3349C" w:rsidR="00D3349C" w:rsidP="00653039" w:rsidRDefault="00D3349C" w14:paraId="191D21AF" w14:textId="395007C5">
      <w:pPr>
        <w:pStyle w:val="NormalBody"/>
        <w:spacing w:after="240" w:line="276" w:lineRule="auto"/>
        <w:jc w:val="both"/>
      </w:pPr>
      <w:r w:rsidRPr="00DC0D09">
        <w:lastRenderedPageBreak/>
        <w:t>These obligations are identified in the CPCN Decision</w:t>
      </w:r>
      <w:r>
        <w:rPr>
          <w:rStyle w:val="FootnoteReference"/>
        </w:rPr>
        <w:footnoteReference w:id="8"/>
      </w:r>
      <w:r w:rsidR="008D17D3">
        <w:t>,</w:t>
      </w:r>
      <w:r w:rsidRPr="00DC0D09">
        <w:t xml:space="preserve"> </w:t>
      </w:r>
      <w:r>
        <w:t>the</w:t>
      </w:r>
      <w:r w:rsidRPr="00DC0D09">
        <w:t xml:space="preserve"> WIR approval letter </w:t>
      </w:r>
      <w:r w:rsidR="008D17D3">
        <w:t xml:space="preserve">or the </w:t>
      </w:r>
      <w:r w:rsidR="000638D7">
        <w:t xml:space="preserve">Nomadic Registration </w:t>
      </w:r>
      <w:r w:rsidR="008D17D3">
        <w:t xml:space="preserve">approval letter, </w:t>
      </w:r>
      <w:r w:rsidRPr="00DC0D09">
        <w:t>that granted the carriers’ operating authority. The Commission may suspend or revoke the operating authority of telephone corporations that fail to make required annual compliance filings per D.93-05-010.</w:t>
      </w:r>
    </w:p>
    <w:p w:rsidRPr="00D3349C" w:rsidR="00D3349C" w:rsidP="00653039" w:rsidRDefault="00D3349C" w14:paraId="3EBE4DA2" w14:textId="77777777">
      <w:pPr>
        <w:pStyle w:val="Heading2"/>
        <w:numPr>
          <w:ilvl w:val="0"/>
          <w:numId w:val="12"/>
        </w:numPr>
        <w:spacing w:line="276" w:lineRule="auto"/>
        <w:rPr>
          <w:rFonts w:ascii="Palatino Linotype" w:hAnsi="Palatino Linotype"/>
          <w:i w:val="0"/>
          <w:iCs w:val="0"/>
          <w:u w:val="single"/>
        </w:rPr>
      </w:pPr>
      <w:r w:rsidRPr="00D3349C">
        <w:rPr>
          <w:rFonts w:ascii="Palatino Linotype" w:hAnsi="Palatino Linotype"/>
          <w:i w:val="0"/>
          <w:iCs w:val="0"/>
          <w:u w:val="single"/>
        </w:rPr>
        <w:t>Resolution</w:t>
      </w:r>
      <w:r w:rsidRPr="00D3349C">
        <w:rPr>
          <w:rFonts w:ascii="Palatino Linotype" w:hAnsi="Palatino Linotype"/>
          <w:i w:val="0"/>
          <w:iCs w:val="0"/>
          <w:spacing w:val="-1"/>
          <w:u w:val="single"/>
        </w:rPr>
        <w:t xml:space="preserve"> </w:t>
      </w:r>
      <w:r w:rsidRPr="00D3349C">
        <w:rPr>
          <w:rFonts w:ascii="Palatino Linotype" w:hAnsi="Palatino Linotype"/>
          <w:i w:val="0"/>
          <w:iCs w:val="0"/>
          <w:u w:val="single"/>
        </w:rPr>
        <w:t>T-17601 Communications Division Citation</w:t>
      </w:r>
      <w:r w:rsidRPr="00D3349C">
        <w:rPr>
          <w:rFonts w:ascii="Palatino Linotype" w:hAnsi="Palatino Linotype"/>
          <w:i w:val="0"/>
          <w:iCs w:val="0"/>
          <w:spacing w:val="-1"/>
          <w:u w:val="single"/>
        </w:rPr>
        <w:t xml:space="preserve"> </w:t>
      </w:r>
      <w:r w:rsidRPr="00D3349C">
        <w:rPr>
          <w:rFonts w:ascii="Palatino Linotype" w:hAnsi="Palatino Linotype"/>
          <w:i w:val="0"/>
          <w:iCs w:val="0"/>
          <w:spacing w:val="-2"/>
          <w:u w:val="single"/>
        </w:rPr>
        <w:t>Program</w:t>
      </w:r>
    </w:p>
    <w:p w:rsidRPr="002C7C9A" w:rsidR="00D3349C" w:rsidP="00653039" w:rsidRDefault="00B23A02" w14:paraId="25B51289" w14:textId="3C983655">
      <w:pPr>
        <w:pStyle w:val="NormalBody"/>
        <w:spacing w:after="240" w:line="276" w:lineRule="auto"/>
        <w:jc w:val="both"/>
      </w:pPr>
      <w:r w:rsidRPr="002C7C9A">
        <w:t>On June 21, 2018, the Commission adopted Resolution T-17601 authorizing Communications Division (CD) to implement a citation program for enforcing telecommunications carrier compliance with the Commission’s Resolutions, Decisions, Orders, and the Public Utilities Code. Resolution T-17601 adopted the citation procedure, a list of violations, and associated penalty amounts.</w:t>
      </w:r>
    </w:p>
    <w:p w:rsidRPr="001942D0" w:rsidR="00C77D9C" w:rsidP="00653039" w:rsidRDefault="00C77D9C" w14:paraId="7D8F3108" w14:textId="7C8B9E5B">
      <w:pPr>
        <w:keepNext/>
        <w:spacing w:after="240" w:line="276" w:lineRule="auto"/>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t>Discussion</w:t>
      </w:r>
    </w:p>
    <w:p w:rsidR="00BB2327" w:rsidP="00653039" w:rsidRDefault="00BB2327" w14:paraId="7B73B4F0" w14:textId="4BBF7C85">
      <w:pPr>
        <w:keepNext/>
        <w:tabs>
          <w:tab w:val="right" w:pos="10080"/>
        </w:tabs>
        <w:spacing w:after="240" w:line="276" w:lineRule="auto"/>
        <w:jc w:val="both"/>
        <w:rPr>
          <w:rFonts w:ascii="Palatino Linotype" w:hAnsi="Palatino Linotype"/>
        </w:rPr>
      </w:pPr>
      <w:r w:rsidRPr="00DC0D09">
        <w:rPr>
          <w:rFonts w:ascii="Palatino Linotype" w:hAnsi="Palatino Linotype"/>
        </w:rPr>
        <w:t xml:space="preserve">The Commission informs all carriers of their reporting obligations in one of </w:t>
      </w:r>
      <w:r w:rsidR="008D17D3">
        <w:rPr>
          <w:rFonts w:ascii="Palatino Linotype" w:hAnsi="Palatino Linotype"/>
        </w:rPr>
        <w:t>four</w:t>
      </w:r>
      <w:r w:rsidRPr="00DC0D09">
        <w:rPr>
          <w:rFonts w:ascii="Palatino Linotype" w:hAnsi="Palatino Linotype"/>
        </w:rPr>
        <w:t xml:space="preserve"> ways: (1) as part of the final Commission Decision granting a CPCN to operate as a telephone corporation in California; (2) through the Executive Director Decision granting a Registration License; (3) </w:t>
      </w:r>
      <w:r w:rsidR="000638D7">
        <w:rPr>
          <w:rFonts w:ascii="Palatino Linotype" w:hAnsi="Palatino Linotype"/>
        </w:rPr>
        <w:t>through</w:t>
      </w:r>
      <w:r w:rsidRPr="00DC0D09">
        <w:rPr>
          <w:rFonts w:ascii="Palatino Linotype" w:hAnsi="Palatino Linotype"/>
        </w:rPr>
        <w:t xml:space="preserve"> WIR approval letter from the Director of CD</w:t>
      </w:r>
      <w:r w:rsidR="008D17D3">
        <w:rPr>
          <w:rFonts w:ascii="Palatino Linotype" w:hAnsi="Palatino Linotype"/>
        </w:rPr>
        <w:t xml:space="preserve">; (4) or via a </w:t>
      </w:r>
      <w:r w:rsidR="000638D7">
        <w:rPr>
          <w:rFonts w:ascii="Palatino Linotype" w:hAnsi="Palatino Linotype"/>
        </w:rPr>
        <w:t xml:space="preserve">Nomadic Registration </w:t>
      </w:r>
      <w:r w:rsidR="008D17D3">
        <w:rPr>
          <w:rFonts w:ascii="Palatino Linotype" w:hAnsi="Palatino Linotype"/>
        </w:rPr>
        <w:t>approval letter from the Director of CD</w:t>
      </w:r>
      <w:r>
        <w:rPr>
          <w:rFonts w:ascii="Palatino Linotype" w:hAnsi="Palatino Linotype"/>
        </w:rPr>
        <w:t>.</w:t>
      </w:r>
      <w:r w:rsidRPr="00DC0D09">
        <w:rPr>
          <w:rFonts w:ascii="Palatino Linotype" w:hAnsi="Palatino Linotype"/>
        </w:rPr>
        <w:t xml:space="preserve"> Also, CD annually notifies all carriers of their reporting obligations by sending an email to each carrier’s primary regulatory contact person.</w:t>
      </w:r>
      <w:r>
        <w:rPr>
          <w:rStyle w:val="FootnoteReference"/>
          <w:rFonts w:ascii="Palatino Linotype" w:hAnsi="Palatino Linotype"/>
        </w:rPr>
        <w:footnoteReference w:id="9"/>
      </w:r>
      <w:r w:rsidRPr="00DC0D09">
        <w:rPr>
          <w:rFonts w:ascii="Palatino Linotype" w:hAnsi="Palatino Linotype"/>
        </w:rPr>
        <w:t xml:space="preserve"> A copy of the annual reminder notice to all</w:t>
      </w:r>
      <w:r>
        <w:rPr>
          <w:rFonts w:ascii="Palatino Linotype" w:hAnsi="Palatino Linotype"/>
        </w:rPr>
        <w:t xml:space="preserve"> </w:t>
      </w:r>
      <w:r w:rsidRPr="00DC0D09">
        <w:rPr>
          <w:rFonts w:ascii="Palatino Linotype" w:hAnsi="Palatino Linotype"/>
        </w:rPr>
        <w:t>carriers is posted on the Commission CD website.</w:t>
      </w:r>
      <w:r>
        <w:rPr>
          <w:rStyle w:val="FootnoteReference"/>
          <w:rFonts w:ascii="Palatino Linotype" w:hAnsi="Palatino Linotype"/>
        </w:rPr>
        <w:footnoteReference w:id="10"/>
      </w:r>
      <w:r w:rsidRPr="00DC0D09">
        <w:rPr>
          <w:rFonts w:ascii="Palatino Linotype" w:hAnsi="Palatino Linotype"/>
        </w:rPr>
        <w:t xml:space="preserve"> Additionally, CD sends an email notice to a carrier who fails to meet the deadlines associated with the reporting requirements.</w:t>
      </w:r>
    </w:p>
    <w:p w:rsidR="00BB2327" w:rsidP="00653039" w:rsidRDefault="00BB2327" w14:paraId="20F16103" w14:textId="21AAE420">
      <w:pPr>
        <w:tabs>
          <w:tab w:val="right" w:pos="10080"/>
        </w:tabs>
        <w:spacing w:after="240" w:line="276" w:lineRule="auto"/>
        <w:jc w:val="both"/>
        <w:rPr>
          <w:rFonts w:ascii="Palatino Linotype" w:hAnsi="Palatino Linotype"/>
        </w:rPr>
      </w:pPr>
      <w:r w:rsidRPr="00DC0D09">
        <w:rPr>
          <w:rFonts w:ascii="Palatino Linotype" w:hAnsi="Palatino Linotype"/>
        </w:rPr>
        <w:t xml:space="preserve">Communications Division issued citations to carriers that failed to comply with the Annual Reports and/or Annual Performance Bond requirements. Of the carriers cited, </w:t>
      </w:r>
      <w:r w:rsidR="005A72C1">
        <w:rPr>
          <w:rFonts w:ascii="Palatino Linotype" w:hAnsi="Palatino Linotype"/>
        </w:rPr>
        <w:t>e</w:t>
      </w:r>
      <w:r w:rsidR="00AF0F78">
        <w:rPr>
          <w:rFonts w:ascii="Palatino Linotype" w:hAnsi="Palatino Linotype"/>
        </w:rPr>
        <w:t>igh</w:t>
      </w:r>
      <w:r w:rsidR="005A72C1">
        <w:rPr>
          <w:rFonts w:ascii="Palatino Linotype" w:hAnsi="Palatino Linotype"/>
        </w:rPr>
        <w:t>teen</w:t>
      </w:r>
      <w:r w:rsidRPr="00665CA8">
        <w:rPr>
          <w:rFonts w:ascii="Palatino Linotype" w:hAnsi="Palatino Linotype"/>
        </w:rPr>
        <w:t xml:space="preserve"> (</w:t>
      </w:r>
      <w:r w:rsidR="005A72C1">
        <w:rPr>
          <w:rFonts w:ascii="Palatino Linotype" w:hAnsi="Palatino Linotype"/>
        </w:rPr>
        <w:t>1</w:t>
      </w:r>
      <w:r w:rsidR="00AF0F78">
        <w:rPr>
          <w:rFonts w:ascii="Palatino Linotype" w:hAnsi="Palatino Linotype"/>
        </w:rPr>
        <w:t>8</w:t>
      </w:r>
      <w:r w:rsidRPr="00DC0D09">
        <w:rPr>
          <w:rFonts w:ascii="Palatino Linotype" w:hAnsi="Palatino Linotype"/>
        </w:rPr>
        <w:t xml:space="preserve">) failed to resolve the citation issued. To resolve a citation, within 30 days </w:t>
      </w:r>
      <w:r w:rsidRPr="00DC0D09">
        <w:rPr>
          <w:rFonts w:ascii="Palatino Linotype" w:hAnsi="Palatino Linotype"/>
        </w:rPr>
        <w:lastRenderedPageBreak/>
        <w:t xml:space="preserve">from the issuance of the citation, the carrier must correct the outstanding violation (e.g., submit the outstanding reporting requirement) and pay the penalty amount or file an appeal pursuant to </w:t>
      </w:r>
      <w:r w:rsidR="000638D7">
        <w:rPr>
          <w:rFonts w:ascii="Palatino Linotype" w:hAnsi="Palatino Linotype"/>
        </w:rPr>
        <w:t xml:space="preserve">Resolution </w:t>
      </w:r>
      <w:r w:rsidRPr="00DC0D09">
        <w:rPr>
          <w:rFonts w:ascii="Palatino Linotype" w:hAnsi="Palatino Linotype"/>
        </w:rPr>
        <w:t xml:space="preserve">ALJ-377. Appendix A of this resolution provides the list of the carriers that failed to comply with citations. The list provides the carrier’s name, utility ID number, the citation number, violation, and total penalty amount owed </w:t>
      </w:r>
      <w:r w:rsidR="004B1586">
        <w:rPr>
          <w:rFonts w:ascii="Palatino Linotype" w:hAnsi="Palatino Linotype"/>
        </w:rPr>
        <w:t xml:space="preserve">including the </w:t>
      </w:r>
      <w:r w:rsidR="00CF2224">
        <w:rPr>
          <w:rFonts w:ascii="Palatino Linotype" w:hAnsi="Palatino Linotype"/>
        </w:rPr>
        <w:t>ten</w:t>
      </w:r>
      <w:r w:rsidR="004B1586">
        <w:rPr>
          <w:rFonts w:ascii="Palatino Linotype" w:hAnsi="Palatino Linotype"/>
        </w:rPr>
        <w:t xml:space="preserve"> percent</w:t>
      </w:r>
      <w:r w:rsidR="00CF2224">
        <w:rPr>
          <w:rFonts w:ascii="Palatino Linotype" w:hAnsi="Palatino Linotype"/>
        </w:rPr>
        <w:t xml:space="preserve"> (10%)</w:t>
      </w:r>
      <w:r w:rsidR="004B1586">
        <w:rPr>
          <w:rFonts w:ascii="Palatino Linotype" w:hAnsi="Palatino Linotype"/>
        </w:rPr>
        <w:t xml:space="preserve"> late payment fee </w:t>
      </w:r>
      <w:r w:rsidRPr="00DC0D09">
        <w:rPr>
          <w:rFonts w:ascii="Palatino Linotype" w:hAnsi="Palatino Linotype"/>
        </w:rPr>
        <w:t>to the Commission. The following is a summary information of the list by carrier type:</w:t>
      </w:r>
    </w:p>
    <w:p w:rsidRPr="00665CA8" w:rsidR="00BB2327" w:rsidP="0005769E" w:rsidRDefault="00AF0F78" w14:paraId="67237373" w14:textId="53C41465">
      <w:pPr>
        <w:pStyle w:val="ListParagraph"/>
        <w:numPr>
          <w:ilvl w:val="0"/>
          <w:numId w:val="20"/>
        </w:numPr>
        <w:tabs>
          <w:tab w:val="right" w:pos="10080"/>
        </w:tabs>
        <w:spacing w:before="0" w:line="276" w:lineRule="auto"/>
        <w:jc w:val="both"/>
        <w:rPr>
          <w:rFonts w:ascii="Palatino Linotype" w:hAnsi="Palatino Linotype"/>
        </w:rPr>
      </w:pPr>
      <w:r>
        <w:rPr>
          <w:rFonts w:ascii="Palatino Linotype" w:hAnsi="Palatino Linotype"/>
        </w:rPr>
        <w:t>Eleven</w:t>
      </w:r>
      <w:r w:rsidRPr="00665CA8" w:rsidR="00BB2327">
        <w:rPr>
          <w:rFonts w:ascii="Palatino Linotype" w:hAnsi="Palatino Linotype"/>
        </w:rPr>
        <w:t xml:space="preserve"> (1</w:t>
      </w:r>
      <w:r>
        <w:rPr>
          <w:rFonts w:ascii="Palatino Linotype" w:hAnsi="Palatino Linotype"/>
        </w:rPr>
        <w:t>1</w:t>
      </w:r>
      <w:r w:rsidRPr="00665CA8" w:rsidR="00BB2327">
        <w:rPr>
          <w:rFonts w:ascii="Palatino Linotype" w:hAnsi="Palatino Linotype"/>
        </w:rPr>
        <w:t>) wireless carriers failed to comply with two annual obligations, consisting of (a) Annual Performance Bond requirements due March 31, 2025, and (b) Annual Affiliate Transaction reports for CY 2024 due May 1, 2025.</w:t>
      </w:r>
    </w:p>
    <w:p w:rsidRPr="00665CA8" w:rsidR="00BB2327" w:rsidP="0005769E" w:rsidRDefault="00BB2327" w14:paraId="5610E7EE" w14:textId="77777777">
      <w:pPr>
        <w:pStyle w:val="ListParagraph"/>
        <w:numPr>
          <w:ilvl w:val="0"/>
          <w:numId w:val="20"/>
        </w:numPr>
        <w:tabs>
          <w:tab w:val="right" w:pos="10080"/>
        </w:tabs>
        <w:spacing w:before="0" w:line="276" w:lineRule="auto"/>
        <w:jc w:val="both"/>
        <w:rPr>
          <w:rFonts w:ascii="Palatino Linotype" w:hAnsi="Palatino Linotype"/>
        </w:rPr>
      </w:pPr>
      <w:r w:rsidRPr="00665CA8">
        <w:rPr>
          <w:rFonts w:ascii="Palatino Linotype" w:hAnsi="Palatino Linotype"/>
        </w:rPr>
        <w:t>Four (4) wireline carriers failed to comply with three annual obligations, consisting of (a) Annual Operational and Financial Information reports for CY 2024 due March 31, 2025, (b) Annual Performance Bond requirements due March 31, 2025, and (c) Annual Affiliate Transaction reports for CY 2024 due May 1, 2025.</w:t>
      </w:r>
    </w:p>
    <w:p w:rsidRPr="00665CA8" w:rsidR="00BB2327" w:rsidP="0005769E" w:rsidRDefault="00BB2327" w14:paraId="619E778A" w14:textId="77777777">
      <w:pPr>
        <w:pStyle w:val="ListParagraph"/>
        <w:numPr>
          <w:ilvl w:val="0"/>
          <w:numId w:val="20"/>
        </w:numPr>
        <w:tabs>
          <w:tab w:val="right" w:pos="10080"/>
        </w:tabs>
        <w:spacing w:before="0" w:line="276" w:lineRule="auto"/>
        <w:jc w:val="both"/>
        <w:rPr>
          <w:rFonts w:ascii="Palatino Linotype" w:hAnsi="Palatino Linotype"/>
        </w:rPr>
      </w:pPr>
      <w:r w:rsidRPr="00665CA8">
        <w:rPr>
          <w:rFonts w:ascii="Palatino Linotype" w:hAnsi="Palatino Linotype"/>
        </w:rPr>
        <w:t>One (1) wireline carrier failed to comply with two annual obligations, consisting of (a) Annual Operational and Financial Information reports for CY 2024 due March 31, 2025, and (b) Annual Affiliate Transaction reports for CY 2024 due May 1, 2025.</w:t>
      </w:r>
    </w:p>
    <w:p w:rsidRPr="00665CA8" w:rsidR="00BB2327" w:rsidP="0005769E" w:rsidRDefault="00064AA5" w14:paraId="175CE06C" w14:textId="65AC6FAD">
      <w:pPr>
        <w:pStyle w:val="ListParagraph"/>
        <w:numPr>
          <w:ilvl w:val="0"/>
          <w:numId w:val="20"/>
        </w:numPr>
        <w:tabs>
          <w:tab w:val="right" w:pos="10080"/>
        </w:tabs>
        <w:spacing w:before="0" w:line="276" w:lineRule="auto"/>
        <w:jc w:val="both"/>
        <w:rPr>
          <w:rFonts w:ascii="Palatino Linotype" w:hAnsi="Palatino Linotype"/>
        </w:rPr>
      </w:pPr>
      <w:r>
        <w:rPr>
          <w:rFonts w:ascii="Palatino Linotype" w:hAnsi="Palatino Linotype"/>
        </w:rPr>
        <w:t>One</w:t>
      </w:r>
      <w:r w:rsidRPr="00665CA8" w:rsidR="00BB2327">
        <w:rPr>
          <w:rFonts w:ascii="Palatino Linotype" w:hAnsi="Palatino Linotype"/>
        </w:rPr>
        <w:t xml:space="preserve"> (</w:t>
      </w:r>
      <w:r>
        <w:rPr>
          <w:rFonts w:ascii="Palatino Linotype" w:hAnsi="Palatino Linotype"/>
        </w:rPr>
        <w:t>1</w:t>
      </w:r>
      <w:r w:rsidRPr="00665CA8" w:rsidR="00BB2327">
        <w:rPr>
          <w:rFonts w:ascii="Palatino Linotype" w:hAnsi="Palatino Linotype"/>
        </w:rPr>
        <w:t>) wireline carrier failed to comply with the Annual Performance Bond requirement due March 31, 2025.</w:t>
      </w:r>
    </w:p>
    <w:p w:rsidRPr="00665CA8" w:rsidR="00BB2327" w:rsidP="0005769E" w:rsidRDefault="005C21D1" w14:paraId="611A494D" w14:textId="5E381569">
      <w:pPr>
        <w:pStyle w:val="ListParagraph"/>
        <w:numPr>
          <w:ilvl w:val="0"/>
          <w:numId w:val="20"/>
        </w:numPr>
        <w:tabs>
          <w:tab w:val="right" w:pos="10080"/>
        </w:tabs>
        <w:spacing w:before="0" w:line="276" w:lineRule="auto"/>
        <w:jc w:val="both"/>
        <w:rPr>
          <w:rFonts w:ascii="Palatino Linotype" w:hAnsi="Palatino Linotype"/>
        </w:rPr>
      </w:pPr>
      <w:r>
        <w:rPr>
          <w:rFonts w:ascii="Palatino Linotype" w:hAnsi="Palatino Linotype"/>
        </w:rPr>
        <w:t>One</w:t>
      </w:r>
      <w:r w:rsidRPr="00665CA8" w:rsidR="00BB2327">
        <w:rPr>
          <w:rFonts w:ascii="Palatino Linotype" w:hAnsi="Palatino Linotype"/>
        </w:rPr>
        <w:t xml:space="preserve"> (</w:t>
      </w:r>
      <w:r>
        <w:rPr>
          <w:rFonts w:ascii="Palatino Linotype" w:hAnsi="Palatino Linotype"/>
        </w:rPr>
        <w:t>1</w:t>
      </w:r>
      <w:r w:rsidRPr="00665CA8" w:rsidR="00BB2327">
        <w:rPr>
          <w:rFonts w:ascii="Palatino Linotype" w:hAnsi="Palatino Linotype"/>
        </w:rPr>
        <w:t>) wireline carrier failed to comply with the Annual Operational and Financial Information reports for CY 2024 due March 31, 2025.</w:t>
      </w:r>
    </w:p>
    <w:p w:rsidR="00BB2327" w:rsidP="00653039" w:rsidRDefault="00BB2327" w14:paraId="487B0668" w14:textId="77777777">
      <w:pPr>
        <w:tabs>
          <w:tab w:val="right" w:pos="10080"/>
        </w:tabs>
        <w:spacing w:after="240" w:line="276" w:lineRule="auto"/>
        <w:jc w:val="both"/>
        <w:rPr>
          <w:rFonts w:ascii="Palatino Linotype" w:hAnsi="Palatino Linotype"/>
        </w:rPr>
      </w:pPr>
      <w:r>
        <w:rPr>
          <w:rFonts w:ascii="Palatino Linotype" w:hAnsi="Palatino Linotype"/>
        </w:rPr>
        <w:t xml:space="preserve">The </w:t>
      </w:r>
      <w:r w:rsidRPr="008B685A">
        <w:rPr>
          <w:rFonts w:ascii="Palatino Linotype" w:hAnsi="Palatino Linotype"/>
        </w:rPr>
        <w:t xml:space="preserve">Communications Division took the following steps to communicate </w:t>
      </w:r>
      <w:proofErr w:type="gramStart"/>
      <w:r w:rsidRPr="008B685A">
        <w:rPr>
          <w:rFonts w:ascii="Palatino Linotype" w:hAnsi="Palatino Linotype"/>
        </w:rPr>
        <w:t>to</w:t>
      </w:r>
      <w:proofErr w:type="gramEnd"/>
      <w:r w:rsidRPr="008B685A">
        <w:rPr>
          <w:rFonts w:ascii="Palatino Linotype" w:hAnsi="Palatino Linotype"/>
        </w:rPr>
        <w:t xml:space="preserve"> and remind carriers about their annual reporting obligations:</w:t>
      </w:r>
    </w:p>
    <w:p w:rsidRPr="0026217A" w:rsidR="00BB2327" w:rsidP="0005769E" w:rsidRDefault="00BB2327" w14:paraId="32B1B227" w14:textId="77777777">
      <w:pPr>
        <w:pStyle w:val="ListParagraph"/>
        <w:numPr>
          <w:ilvl w:val="0"/>
          <w:numId w:val="15"/>
        </w:numPr>
        <w:tabs>
          <w:tab w:val="right" w:pos="10080"/>
        </w:tabs>
        <w:spacing w:before="0" w:line="276" w:lineRule="auto"/>
        <w:contextualSpacing w:val="0"/>
        <w:jc w:val="both"/>
        <w:rPr>
          <w:rFonts w:ascii="Palatino Linotype" w:hAnsi="Palatino Linotype"/>
          <w:color w:val="EE0000"/>
        </w:rPr>
      </w:pPr>
      <w:r w:rsidRPr="008B685A">
        <w:rPr>
          <w:rFonts w:ascii="Palatino Linotype" w:hAnsi="Palatino Linotype"/>
        </w:rPr>
        <w:t xml:space="preserve">On </w:t>
      </w:r>
      <w:r w:rsidRPr="00665CA8">
        <w:rPr>
          <w:rFonts w:ascii="Palatino Linotype" w:hAnsi="Palatino Linotype"/>
        </w:rPr>
        <w:t xml:space="preserve">January 10, 2025, </w:t>
      </w:r>
      <w:r w:rsidRPr="008B685A">
        <w:rPr>
          <w:rFonts w:ascii="Palatino Linotype" w:hAnsi="Palatino Linotype"/>
        </w:rPr>
        <w:t xml:space="preserve">CD emailed and posted on the Commission’s website notices to all telecommunications carriers to submit Annual reports and Annual Performance Bonds. The notice required that all Interexchange Carriers (Wholesale and Reseller) and all Competitive Local Carriers (Wholesale and Reseller) must submit an </w:t>
      </w:r>
      <w:r w:rsidRPr="00665CA8">
        <w:rPr>
          <w:rFonts w:ascii="Palatino Linotype" w:hAnsi="Palatino Linotype"/>
        </w:rPr>
        <w:t xml:space="preserve">Annual Operational and Financial Information report for CY 2024 (due March 31, 2025), an Annual Performance Bond (due March 31, 2025), and an Annual Affiliate Transaction report for CY 2024 (due May 1, 2025). Additionally, all Wireless carriers including Cellular Telephone Utilities </w:t>
      </w:r>
      <w:r w:rsidRPr="00665CA8">
        <w:rPr>
          <w:rFonts w:ascii="Palatino Linotype" w:hAnsi="Palatino Linotype"/>
        </w:rPr>
        <w:lastRenderedPageBreak/>
        <w:t>(Wholesale and Reseller), all Personal Communications Carriers, and all Radio Telephone Utilities must submit an Annual Performance Bond (due March 31, 2025), and an Annual Affiliate Transaction report for CY 2024 (due May 1, 2025).</w:t>
      </w:r>
    </w:p>
    <w:p w:rsidRPr="00670AD9" w:rsidR="00BB2327" w:rsidP="0005769E" w:rsidRDefault="00BB2327" w14:paraId="660C4AFF" w14:textId="77777777">
      <w:pPr>
        <w:pStyle w:val="ListParagraph"/>
        <w:numPr>
          <w:ilvl w:val="0"/>
          <w:numId w:val="15"/>
        </w:numPr>
        <w:tabs>
          <w:tab w:val="right" w:pos="10080"/>
        </w:tabs>
        <w:spacing w:before="0" w:line="276" w:lineRule="auto"/>
        <w:contextualSpacing w:val="0"/>
        <w:jc w:val="both"/>
        <w:rPr>
          <w:rFonts w:ascii="Palatino Linotype" w:hAnsi="Palatino Linotype"/>
        </w:rPr>
      </w:pPr>
      <w:r>
        <w:rPr>
          <w:rFonts w:ascii="Palatino Linotype" w:hAnsi="Palatino Linotype"/>
        </w:rPr>
        <w:t>O</w:t>
      </w:r>
      <w:r w:rsidRPr="00BB34B4">
        <w:rPr>
          <w:rFonts w:ascii="Palatino Linotype" w:hAnsi="Palatino Linotype"/>
        </w:rPr>
        <w:t xml:space="preserve">n </w:t>
      </w:r>
      <w:r w:rsidRPr="00665CA8">
        <w:rPr>
          <w:rFonts w:ascii="Palatino Linotype" w:hAnsi="Palatino Linotype"/>
        </w:rPr>
        <w:t xml:space="preserve">February 10, 2025, </w:t>
      </w:r>
      <w:r w:rsidRPr="00BB34B4">
        <w:rPr>
          <w:rFonts w:ascii="Palatino Linotype" w:hAnsi="Palatino Linotype"/>
        </w:rPr>
        <w:t>CD sent an e-mail reminder to all carriers about their</w:t>
      </w:r>
      <w:r>
        <w:rPr>
          <w:rFonts w:ascii="Palatino Linotype" w:hAnsi="Palatino Linotype"/>
        </w:rPr>
        <w:t xml:space="preserve"> </w:t>
      </w:r>
      <w:r w:rsidRPr="00BB34B4">
        <w:rPr>
          <w:rFonts w:ascii="Palatino Linotype" w:hAnsi="Palatino Linotype"/>
        </w:rPr>
        <w:t>reporting obligations including</w:t>
      </w:r>
      <w:r>
        <w:rPr>
          <w:rFonts w:ascii="Palatino Linotype" w:hAnsi="Palatino Linotype"/>
        </w:rPr>
        <w:t>,</w:t>
      </w:r>
      <w:r w:rsidRPr="00BB34B4">
        <w:rPr>
          <w:rFonts w:ascii="Palatino Linotype" w:hAnsi="Palatino Linotype"/>
        </w:rPr>
        <w:t xml:space="preserve"> but not limited to</w:t>
      </w:r>
      <w:r>
        <w:rPr>
          <w:rFonts w:ascii="Palatino Linotype" w:hAnsi="Palatino Linotype"/>
        </w:rPr>
        <w:t>,</w:t>
      </w:r>
      <w:r w:rsidRPr="00BB34B4">
        <w:rPr>
          <w:rFonts w:ascii="Palatino Linotype" w:hAnsi="Palatino Linotype"/>
        </w:rPr>
        <w:t xml:space="preserve"> submission of an </w:t>
      </w:r>
      <w:r w:rsidRPr="00665CA8">
        <w:rPr>
          <w:rFonts w:ascii="Palatino Linotype" w:hAnsi="Palatino Linotype"/>
        </w:rPr>
        <w:t>Annual Operational and Financial Information report for CY 2024 due March 31, 2025, and Annual Performance Bond due March 31, 2025, and an Annual Affiliate Transaction report for CY 2024 due May 1, 2025.</w:t>
      </w:r>
    </w:p>
    <w:p w:rsidRPr="00670AD9" w:rsidR="00BB2327" w:rsidP="0005769E" w:rsidRDefault="00BB2327" w14:paraId="00A607C2" w14:textId="77777777">
      <w:pPr>
        <w:pStyle w:val="ListParagraph"/>
        <w:numPr>
          <w:ilvl w:val="0"/>
          <w:numId w:val="15"/>
        </w:numPr>
        <w:tabs>
          <w:tab w:val="right" w:pos="10080"/>
        </w:tabs>
        <w:spacing w:before="0" w:line="276" w:lineRule="auto"/>
        <w:contextualSpacing w:val="0"/>
        <w:jc w:val="both"/>
        <w:rPr>
          <w:rFonts w:ascii="Palatino Linotype" w:hAnsi="Palatino Linotype"/>
        </w:rPr>
      </w:pPr>
      <w:r w:rsidRPr="00665CA8">
        <w:rPr>
          <w:rFonts w:ascii="Palatino Linotype" w:hAnsi="Palatino Linotype"/>
        </w:rPr>
        <w:t xml:space="preserve">On June 5, 2025, </w:t>
      </w:r>
      <w:r w:rsidRPr="0048301D">
        <w:rPr>
          <w:rFonts w:ascii="Palatino Linotype" w:hAnsi="Palatino Linotype"/>
        </w:rPr>
        <w:t>CD sent an e-mail notice of noncompliance to all carriers that</w:t>
      </w:r>
      <w:r>
        <w:rPr>
          <w:rFonts w:ascii="Palatino Linotype" w:hAnsi="Palatino Linotype"/>
        </w:rPr>
        <w:t xml:space="preserve"> </w:t>
      </w:r>
      <w:r w:rsidRPr="0048301D">
        <w:rPr>
          <w:rFonts w:ascii="Palatino Linotype" w:hAnsi="Palatino Linotype"/>
        </w:rPr>
        <w:t>failed to submit their Annual Reports and/or Annual Performance bond by the</w:t>
      </w:r>
      <w:r>
        <w:rPr>
          <w:rFonts w:ascii="Palatino Linotype" w:hAnsi="Palatino Linotype"/>
        </w:rPr>
        <w:t xml:space="preserve"> </w:t>
      </w:r>
      <w:r w:rsidRPr="0048301D">
        <w:rPr>
          <w:rFonts w:ascii="Palatino Linotype" w:hAnsi="Palatino Linotype"/>
        </w:rPr>
        <w:t xml:space="preserve">due dates established. </w:t>
      </w:r>
      <w:proofErr w:type="gramStart"/>
      <w:r w:rsidRPr="0048301D">
        <w:rPr>
          <w:rFonts w:ascii="Palatino Linotype" w:hAnsi="Palatino Linotype"/>
        </w:rPr>
        <w:t>Noncompliant</w:t>
      </w:r>
      <w:proofErr w:type="gramEnd"/>
      <w:r w:rsidRPr="0048301D">
        <w:rPr>
          <w:rFonts w:ascii="Palatino Linotype" w:hAnsi="Palatino Linotype"/>
        </w:rPr>
        <w:t xml:space="preserve"> carriers were informed of potential</w:t>
      </w:r>
      <w:r>
        <w:rPr>
          <w:rFonts w:ascii="Palatino Linotype" w:hAnsi="Palatino Linotype"/>
        </w:rPr>
        <w:t xml:space="preserve"> </w:t>
      </w:r>
      <w:r w:rsidRPr="0048301D">
        <w:rPr>
          <w:rFonts w:ascii="Palatino Linotype" w:hAnsi="Palatino Linotype"/>
        </w:rPr>
        <w:t>enforcement action by the Commission that includes penalties and/or fines.</w:t>
      </w:r>
    </w:p>
    <w:p w:rsidR="00BB2327" w:rsidP="0005769E" w:rsidRDefault="00BB2327" w14:paraId="7C845F43" w14:textId="65B43165">
      <w:pPr>
        <w:pStyle w:val="ListParagraph"/>
        <w:numPr>
          <w:ilvl w:val="0"/>
          <w:numId w:val="15"/>
        </w:numPr>
        <w:tabs>
          <w:tab w:val="right" w:pos="10080"/>
        </w:tabs>
        <w:spacing w:before="0" w:line="276" w:lineRule="auto"/>
        <w:contextualSpacing w:val="0"/>
        <w:jc w:val="both"/>
        <w:rPr>
          <w:rFonts w:ascii="Palatino Linotype" w:hAnsi="Palatino Linotype"/>
        </w:rPr>
      </w:pPr>
      <w:r w:rsidRPr="00732ACE">
        <w:rPr>
          <w:rFonts w:ascii="Palatino Linotype" w:hAnsi="Palatino Linotype"/>
        </w:rPr>
        <w:t xml:space="preserve">On </w:t>
      </w:r>
      <w:r w:rsidRPr="00665CA8">
        <w:rPr>
          <w:rFonts w:ascii="Palatino Linotype" w:hAnsi="Palatino Linotype"/>
        </w:rPr>
        <w:t xml:space="preserve">July 15, 2025, </w:t>
      </w:r>
      <w:r w:rsidRPr="00732ACE">
        <w:rPr>
          <w:rFonts w:ascii="Palatino Linotype" w:hAnsi="Palatino Linotype"/>
        </w:rPr>
        <w:t>CD issued first citation</w:t>
      </w:r>
      <w:r w:rsidR="00CF2224">
        <w:rPr>
          <w:rFonts w:ascii="Palatino Linotype" w:hAnsi="Palatino Linotype"/>
        </w:rPr>
        <w:t xml:space="preserve"> letters</w:t>
      </w:r>
      <w:r w:rsidRPr="00732ACE">
        <w:rPr>
          <w:rFonts w:ascii="Palatino Linotype" w:hAnsi="Palatino Linotype"/>
        </w:rPr>
        <w:t xml:space="preserve"> to </w:t>
      </w:r>
      <w:r>
        <w:rPr>
          <w:rFonts w:ascii="Palatino Linotype" w:hAnsi="Palatino Linotype"/>
        </w:rPr>
        <w:t xml:space="preserve">twenty-nine (29) </w:t>
      </w:r>
      <w:r w:rsidRPr="00732ACE">
        <w:rPr>
          <w:rFonts w:ascii="Palatino Linotype" w:hAnsi="Palatino Linotype"/>
        </w:rPr>
        <w:t>carriers</w:t>
      </w:r>
      <w:r w:rsidR="00A44D14">
        <w:rPr>
          <w:rStyle w:val="FootnoteReference"/>
          <w:rFonts w:ascii="Palatino Linotype" w:hAnsi="Palatino Linotype"/>
        </w:rPr>
        <w:footnoteReference w:id="11"/>
      </w:r>
      <w:r w:rsidRPr="00732ACE">
        <w:rPr>
          <w:rFonts w:ascii="Palatino Linotype" w:hAnsi="Palatino Linotype"/>
        </w:rPr>
        <w:t xml:space="preserve"> that were noncompliant</w:t>
      </w:r>
      <w:r>
        <w:rPr>
          <w:rFonts w:ascii="Palatino Linotype" w:hAnsi="Palatino Linotype"/>
        </w:rPr>
        <w:t xml:space="preserve"> </w:t>
      </w:r>
      <w:r w:rsidRPr="00732ACE">
        <w:rPr>
          <w:rFonts w:ascii="Palatino Linotype" w:hAnsi="Palatino Linotype"/>
        </w:rPr>
        <w:t>with submitting Annual Reports and/or Annual Performance bonds. Carriers were given 30 calendar days to address the citation. The</w:t>
      </w:r>
      <w:r>
        <w:rPr>
          <w:rFonts w:ascii="Palatino Linotype" w:hAnsi="Palatino Linotype"/>
        </w:rPr>
        <w:t xml:space="preserve"> </w:t>
      </w:r>
      <w:r w:rsidRPr="00732ACE">
        <w:rPr>
          <w:rFonts w:ascii="Palatino Linotype" w:hAnsi="Palatino Linotype"/>
        </w:rPr>
        <w:t xml:space="preserve">citation package </w:t>
      </w:r>
      <w:r>
        <w:rPr>
          <w:rFonts w:ascii="Palatino Linotype" w:hAnsi="Palatino Linotype"/>
        </w:rPr>
        <w:t xml:space="preserve">was </w:t>
      </w:r>
      <w:r w:rsidRPr="00732ACE">
        <w:rPr>
          <w:rFonts w:ascii="Palatino Linotype" w:hAnsi="Palatino Linotype"/>
        </w:rPr>
        <w:t>comprised</w:t>
      </w:r>
      <w:r>
        <w:rPr>
          <w:rFonts w:ascii="Palatino Linotype" w:hAnsi="Palatino Linotype"/>
        </w:rPr>
        <w:t xml:space="preserve"> of</w:t>
      </w:r>
      <w:r w:rsidRPr="00732ACE">
        <w:rPr>
          <w:rFonts w:ascii="Palatino Linotype" w:hAnsi="Palatino Linotype"/>
        </w:rPr>
        <w:t xml:space="preserve"> the citation letter with information on the</w:t>
      </w:r>
      <w:r>
        <w:rPr>
          <w:rFonts w:ascii="Palatino Linotype" w:hAnsi="Palatino Linotype"/>
        </w:rPr>
        <w:t xml:space="preserve"> </w:t>
      </w:r>
      <w:r w:rsidRPr="00732ACE">
        <w:rPr>
          <w:rFonts w:ascii="Palatino Linotype" w:hAnsi="Palatino Linotype"/>
        </w:rPr>
        <w:t>violation and the penalty amount of $1000 per violation, instructions on how to</w:t>
      </w:r>
      <w:r>
        <w:rPr>
          <w:rFonts w:ascii="Palatino Linotype" w:hAnsi="Palatino Linotype"/>
        </w:rPr>
        <w:t xml:space="preserve"> </w:t>
      </w:r>
      <w:r w:rsidRPr="00732ACE">
        <w:rPr>
          <w:rFonts w:ascii="Palatino Linotype" w:hAnsi="Palatino Linotype"/>
        </w:rPr>
        <w:t>pay the penalty, information on potential 10% late payment fees,</w:t>
      </w:r>
      <w:r>
        <w:rPr>
          <w:rFonts w:ascii="Palatino Linotype" w:hAnsi="Palatino Linotype"/>
        </w:rPr>
        <w:t xml:space="preserve"> </w:t>
      </w:r>
      <w:r w:rsidRPr="00732ACE">
        <w:rPr>
          <w:rFonts w:ascii="Palatino Linotype" w:hAnsi="Palatino Linotype"/>
        </w:rPr>
        <w:t>and instructions on how to submit an appeal of the citation. The citation package</w:t>
      </w:r>
      <w:r>
        <w:rPr>
          <w:rFonts w:ascii="Palatino Linotype" w:hAnsi="Palatino Linotype"/>
        </w:rPr>
        <w:t xml:space="preserve"> </w:t>
      </w:r>
      <w:r w:rsidRPr="00732ACE">
        <w:rPr>
          <w:rFonts w:ascii="Palatino Linotype" w:hAnsi="Palatino Linotype"/>
        </w:rPr>
        <w:t>for each carrier was delivered via United States Postal Service (USPS) certified</w:t>
      </w:r>
      <w:r>
        <w:rPr>
          <w:rFonts w:ascii="Palatino Linotype" w:hAnsi="Palatino Linotype"/>
        </w:rPr>
        <w:t xml:space="preserve"> </w:t>
      </w:r>
      <w:r w:rsidRPr="00732ACE">
        <w:rPr>
          <w:rFonts w:ascii="Palatino Linotype" w:hAnsi="Palatino Linotype"/>
        </w:rPr>
        <w:t>mail using the primary regulatory contact information. The same package was</w:t>
      </w:r>
      <w:r>
        <w:rPr>
          <w:rFonts w:ascii="Palatino Linotype" w:hAnsi="Palatino Linotype"/>
        </w:rPr>
        <w:t xml:space="preserve"> </w:t>
      </w:r>
      <w:r w:rsidRPr="00732ACE">
        <w:rPr>
          <w:rFonts w:ascii="Palatino Linotype" w:hAnsi="Palatino Linotype"/>
        </w:rPr>
        <w:t>sent in PDF format via email to the primary regulatory contact information.</w:t>
      </w:r>
      <w:r w:rsidR="00B534DD">
        <w:rPr>
          <w:rFonts w:ascii="Palatino Linotype" w:hAnsi="Palatino Linotype"/>
        </w:rPr>
        <w:t xml:space="preserve">  </w:t>
      </w:r>
    </w:p>
    <w:p w:rsidRPr="00CC26C3" w:rsidR="00BB2327" w:rsidP="0005769E" w:rsidRDefault="00BB2327" w14:paraId="7D47799C" w14:textId="449114C7">
      <w:pPr>
        <w:pStyle w:val="ListParagraph"/>
        <w:numPr>
          <w:ilvl w:val="0"/>
          <w:numId w:val="15"/>
        </w:numPr>
        <w:tabs>
          <w:tab w:val="right" w:pos="10080"/>
        </w:tabs>
        <w:spacing w:before="0" w:line="276" w:lineRule="auto"/>
        <w:contextualSpacing w:val="0"/>
        <w:jc w:val="both"/>
        <w:rPr>
          <w:rFonts w:ascii="Palatino Linotype" w:hAnsi="Palatino Linotype"/>
        </w:rPr>
      </w:pPr>
      <w:r w:rsidRPr="00732ACE">
        <w:rPr>
          <w:rFonts w:ascii="Palatino Linotype" w:hAnsi="Palatino Linotype"/>
        </w:rPr>
        <w:t xml:space="preserve">On </w:t>
      </w:r>
      <w:r w:rsidRPr="00665CA8">
        <w:rPr>
          <w:rFonts w:ascii="Palatino Linotype" w:hAnsi="Palatino Linotype"/>
        </w:rPr>
        <w:t xml:space="preserve">August 1, 2025, CD </w:t>
      </w:r>
      <w:r w:rsidRPr="00732ACE">
        <w:rPr>
          <w:rFonts w:ascii="Palatino Linotype" w:hAnsi="Palatino Linotype"/>
        </w:rPr>
        <w:t>issued first citation</w:t>
      </w:r>
      <w:r w:rsidR="00CF2224">
        <w:rPr>
          <w:rFonts w:ascii="Palatino Linotype" w:hAnsi="Palatino Linotype"/>
        </w:rPr>
        <w:t xml:space="preserve"> letters</w:t>
      </w:r>
      <w:r w:rsidRPr="00732ACE">
        <w:rPr>
          <w:rFonts w:ascii="Palatino Linotype" w:hAnsi="Palatino Linotype"/>
        </w:rPr>
        <w:t xml:space="preserve"> to </w:t>
      </w:r>
      <w:r>
        <w:rPr>
          <w:rFonts w:ascii="Palatino Linotype" w:hAnsi="Palatino Linotype"/>
        </w:rPr>
        <w:t>four (4)</w:t>
      </w:r>
      <w:r w:rsidR="00A44D14">
        <w:rPr>
          <w:rStyle w:val="FootnoteReference"/>
          <w:rFonts w:ascii="Palatino Linotype" w:hAnsi="Palatino Linotype"/>
        </w:rPr>
        <w:footnoteReference w:id="12"/>
      </w:r>
      <w:r>
        <w:rPr>
          <w:rFonts w:ascii="Palatino Linotype" w:hAnsi="Palatino Linotype"/>
        </w:rPr>
        <w:t xml:space="preserve"> additional </w:t>
      </w:r>
      <w:r w:rsidRPr="00732ACE">
        <w:rPr>
          <w:rFonts w:ascii="Palatino Linotype" w:hAnsi="Palatino Linotype"/>
        </w:rPr>
        <w:t>carriers that were noncompliant</w:t>
      </w:r>
      <w:r>
        <w:rPr>
          <w:rFonts w:ascii="Palatino Linotype" w:hAnsi="Palatino Linotype"/>
        </w:rPr>
        <w:t xml:space="preserve"> </w:t>
      </w:r>
      <w:r w:rsidRPr="00732ACE">
        <w:rPr>
          <w:rFonts w:ascii="Palatino Linotype" w:hAnsi="Palatino Linotype"/>
        </w:rPr>
        <w:t>with submitting Annual Reports and/or Annual Performance bonds. Carriers were given 30 calendar days to address the citation. The</w:t>
      </w:r>
      <w:r>
        <w:rPr>
          <w:rFonts w:ascii="Palatino Linotype" w:hAnsi="Palatino Linotype"/>
        </w:rPr>
        <w:t xml:space="preserve"> </w:t>
      </w:r>
      <w:r w:rsidRPr="00732ACE">
        <w:rPr>
          <w:rFonts w:ascii="Palatino Linotype" w:hAnsi="Palatino Linotype"/>
        </w:rPr>
        <w:t xml:space="preserve">citation package </w:t>
      </w:r>
      <w:r>
        <w:rPr>
          <w:rFonts w:ascii="Palatino Linotype" w:hAnsi="Palatino Linotype"/>
        </w:rPr>
        <w:t xml:space="preserve">was </w:t>
      </w:r>
      <w:r w:rsidRPr="00732ACE">
        <w:rPr>
          <w:rFonts w:ascii="Palatino Linotype" w:hAnsi="Palatino Linotype"/>
        </w:rPr>
        <w:t>comprised</w:t>
      </w:r>
      <w:r>
        <w:rPr>
          <w:rFonts w:ascii="Palatino Linotype" w:hAnsi="Palatino Linotype"/>
        </w:rPr>
        <w:t xml:space="preserve"> of</w:t>
      </w:r>
      <w:r w:rsidRPr="00732ACE">
        <w:rPr>
          <w:rFonts w:ascii="Palatino Linotype" w:hAnsi="Palatino Linotype"/>
        </w:rPr>
        <w:t xml:space="preserve"> the citation letter with information on the</w:t>
      </w:r>
      <w:r>
        <w:rPr>
          <w:rFonts w:ascii="Palatino Linotype" w:hAnsi="Palatino Linotype"/>
        </w:rPr>
        <w:t xml:space="preserve"> </w:t>
      </w:r>
      <w:r w:rsidRPr="00732ACE">
        <w:rPr>
          <w:rFonts w:ascii="Palatino Linotype" w:hAnsi="Palatino Linotype"/>
        </w:rPr>
        <w:t>violation and the penalty amount of $1000 per violation, instructions on how to</w:t>
      </w:r>
      <w:r>
        <w:rPr>
          <w:rFonts w:ascii="Palatino Linotype" w:hAnsi="Palatino Linotype"/>
        </w:rPr>
        <w:t xml:space="preserve"> </w:t>
      </w:r>
      <w:r w:rsidRPr="00732ACE">
        <w:rPr>
          <w:rFonts w:ascii="Palatino Linotype" w:hAnsi="Palatino Linotype"/>
        </w:rPr>
        <w:t>pay the penalty, information on potential 10% late payment fees,</w:t>
      </w:r>
      <w:r>
        <w:rPr>
          <w:rFonts w:ascii="Palatino Linotype" w:hAnsi="Palatino Linotype"/>
        </w:rPr>
        <w:t xml:space="preserve"> </w:t>
      </w:r>
      <w:r w:rsidRPr="00732ACE">
        <w:rPr>
          <w:rFonts w:ascii="Palatino Linotype" w:hAnsi="Palatino Linotype"/>
        </w:rPr>
        <w:t xml:space="preserve">and instructions </w:t>
      </w:r>
      <w:r w:rsidRPr="00732ACE">
        <w:rPr>
          <w:rFonts w:ascii="Palatino Linotype" w:hAnsi="Palatino Linotype"/>
        </w:rPr>
        <w:lastRenderedPageBreak/>
        <w:t>on how to submit an appeal of the citation. The citation package</w:t>
      </w:r>
      <w:r>
        <w:rPr>
          <w:rFonts w:ascii="Palatino Linotype" w:hAnsi="Palatino Linotype"/>
        </w:rPr>
        <w:t xml:space="preserve"> </w:t>
      </w:r>
      <w:r w:rsidRPr="00732ACE">
        <w:rPr>
          <w:rFonts w:ascii="Palatino Linotype" w:hAnsi="Palatino Linotype"/>
        </w:rPr>
        <w:t>for each carrier was delivered via United States Postal Service (USPS) certified</w:t>
      </w:r>
      <w:r>
        <w:rPr>
          <w:rFonts w:ascii="Palatino Linotype" w:hAnsi="Palatino Linotype"/>
        </w:rPr>
        <w:t xml:space="preserve"> </w:t>
      </w:r>
      <w:r w:rsidRPr="00732ACE">
        <w:rPr>
          <w:rFonts w:ascii="Palatino Linotype" w:hAnsi="Palatino Linotype"/>
        </w:rPr>
        <w:t>mail using the primary regulatory contact information. The same package was</w:t>
      </w:r>
      <w:r>
        <w:rPr>
          <w:rFonts w:ascii="Palatino Linotype" w:hAnsi="Palatino Linotype"/>
        </w:rPr>
        <w:t xml:space="preserve"> </w:t>
      </w:r>
      <w:r w:rsidRPr="00732ACE">
        <w:rPr>
          <w:rFonts w:ascii="Palatino Linotype" w:hAnsi="Palatino Linotype"/>
        </w:rPr>
        <w:t>sent in PDF format via email to the primary regulatory contact information.</w:t>
      </w:r>
    </w:p>
    <w:p w:rsidRPr="00AF0F78" w:rsidR="00724B85" w:rsidP="00AF0F78" w:rsidRDefault="00BB2327" w14:paraId="471AA4B5" w14:textId="42A9BF8D">
      <w:pPr>
        <w:pStyle w:val="ListParagraph"/>
        <w:numPr>
          <w:ilvl w:val="0"/>
          <w:numId w:val="15"/>
        </w:numPr>
        <w:tabs>
          <w:tab w:val="right" w:pos="10080"/>
        </w:tabs>
        <w:spacing w:before="0" w:line="276" w:lineRule="auto"/>
        <w:jc w:val="both"/>
        <w:rPr>
          <w:rFonts w:ascii="Palatino Linotype" w:hAnsi="Palatino Linotype"/>
        </w:rPr>
      </w:pPr>
      <w:r w:rsidRPr="00AF0F78">
        <w:rPr>
          <w:rFonts w:ascii="Palatino Linotype" w:hAnsi="Palatino Linotype"/>
        </w:rPr>
        <w:t>On September 5, 2025, CD issued second citation</w:t>
      </w:r>
      <w:r w:rsidRPr="00AF0F78" w:rsidR="00CF2224">
        <w:rPr>
          <w:rFonts w:ascii="Palatino Linotype" w:hAnsi="Palatino Linotype"/>
        </w:rPr>
        <w:t xml:space="preserve"> letters</w:t>
      </w:r>
      <w:r w:rsidRPr="00AF0F78">
        <w:rPr>
          <w:rFonts w:ascii="Palatino Linotype" w:hAnsi="Palatino Linotype"/>
        </w:rPr>
        <w:t xml:space="preserve"> to </w:t>
      </w:r>
      <w:r w:rsidRPr="00AF0F78" w:rsidR="00861A09">
        <w:rPr>
          <w:rFonts w:ascii="Palatino Linotype" w:hAnsi="Palatino Linotype"/>
        </w:rPr>
        <w:t>twenty-two (22)</w:t>
      </w:r>
      <w:r w:rsidR="00A44D14">
        <w:rPr>
          <w:rStyle w:val="FootnoteReference"/>
          <w:rFonts w:ascii="Palatino Linotype" w:hAnsi="Palatino Linotype"/>
        </w:rPr>
        <w:footnoteReference w:id="13"/>
      </w:r>
      <w:r w:rsidRPr="00AF0F78" w:rsidR="00861A09">
        <w:rPr>
          <w:rFonts w:ascii="Palatino Linotype" w:hAnsi="Palatino Linotype"/>
        </w:rPr>
        <w:t xml:space="preserve"> </w:t>
      </w:r>
      <w:r w:rsidRPr="00AF0F78">
        <w:rPr>
          <w:rFonts w:ascii="Palatino Linotype" w:hAnsi="Palatino Linotype"/>
        </w:rPr>
        <w:t>carriers that continued to be noncompliant with submitting Annual Reports and/or Annual Performance Bonds. Carriers were given 30 calendar days to address the citation. The citation package contained the citation letter with information on the violation and an increased penalty amount by $200 per violation from the original amount, instructions on how to pay the penalty, information on potential 10% late payment fees, and instructions on how to submit an appeal of the citation. The citation package for each carrier was delivered via USPS certified mail using the primary regulatory contact information. The same package was sent in PDF format via email to the primary regulatory contact information.</w:t>
      </w:r>
      <w:r w:rsidRPr="00AF0F78" w:rsidR="00AA0E3B">
        <w:rPr>
          <w:rFonts w:ascii="Palatino Linotype" w:hAnsi="Palatino Linotype"/>
        </w:rPr>
        <w:t xml:space="preserve"> 7. </w:t>
      </w:r>
      <w:r w:rsidRPr="00AF0F78">
        <w:rPr>
          <w:rFonts w:ascii="Palatino Linotype" w:hAnsi="Palatino Linotype"/>
        </w:rPr>
        <w:t>The draft Resolution and associated Notice of Availability for a 30-day comment period constitutes the final notice to carriers who have not complied with submitting Annual Reports and Annual Performance Bond requirements.</w:t>
      </w:r>
    </w:p>
    <w:p w:rsidR="00AF0F78" w:rsidP="00653039" w:rsidRDefault="00BB2327" w14:paraId="3B989C7A" w14:textId="77777777">
      <w:pPr>
        <w:pStyle w:val="NormalBody"/>
        <w:keepNext/>
        <w:spacing w:line="276" w:lineRule="auto"/>
      </w:pPr>
      <w:r w:rsidRPr="00CA7864">
        <w:t>CD undertook the necessary measures to notify and remind carriers of the obligation to</w:t>
      </w:r>
      <w:r>
        <w:t xml:space="preserve"> </w:t>
      </w:r>
      <w:r w:rsidRPr="00CA7864">
        <w:t>comply with the Commission’s Annual Reports and/or Annual Performance Bond</w:t>
      </w:r>
      <w:r>
        <w:t xml:space="preserve"> </w:t>
      </w:r>
      <w:r w:rsidRPr="00CA7864">
        <w:t>requirements for carriers and provided ample time and opportunity for these carriers to</w:t>
      </w:r>
      <w:r>
        <w:t xml:space="preserve"> </w:t>
      </w:r>
      <w:r w:rsidRPr="00CA7864">
        <w:t xml:space="preserve">comply. Despite all these efforts, </w:t>
      </w:r>
      <w:r w:rsidR="00AF0F78">
        <w:t>eighteen (</w:t>
      </w:r>
      <w:r w:rsidR="00FC3AB5">
        <w:t>1</w:t>
      </w:r>
      <w:r w:rsidR="00AF0F78">
        <w:t>8)</w:t>
      </w:r>
      <w:r w:rsidRPr="00CA7864" w:rsidR="00B534DD">
        <w:t xml:space="preserve"> </w:t>
      </w:r>
      <w:r w:rsidRPr="00CA7864">
        <w:t>carriers failed to address and/or comply with the</w:t>
      </w:r>
      <w:r>
        <w:t xml:space="preserve"> citation issued.</w:t>
      </w:r>
    </w:p>
    <w:p w:rsidRPr="0005769E" w:rsidR="007D4BAD" w:rsidP="00653039" w:rsidRDefault="007D4BAD" w14:paraId="3EE8735B" w14:textId="3722580C">
      <w:pPr>
        <w:pStyle w:val="NormalBody"/>
        <w:keepNext/>
        <w:spacing w:line="276" w:lineRule="auto"/>
        <w:rPr>
          <w:b/>
          <w:bCs/>
          <w:u w:val="single"/>
        </w:rPr>
      </w:pPr>
      <w:r w:rsidRPr="0005769E">
        <w:rPr>
          <w:b/>
          <w:bCs/>
          <w:u w:val="single"/>
        </w:rPr>
        <w:t>SAFETY IMPACT</w:t>
      </w:r>
    </w:p>
    <w:p w:rsidR="00C77D9C" w:rsidP="00653039" w:rsidRDefault="007D4BAD" w14:paraId="156D7D93" w14:textId="31100901">
      <w:pPr>
        <w:tabs>
          <w:tab w:val="right" w:pos="10080"/>
        </w:tabs>
        <w:spacing w:after="240" w:line="276" w:lineRule="auto"/>
        <w:jc w:val="both"/>
        <w:rPr>
          <w:rFonts w:ascii="Palatino Linotype" w:hAnsi="Palatino Linotype" w:eastAsia="Palatino Linotype" w:cs="Times New Roman"/>
        </w:rPr>
      </w:pPr>
      <w:r w:rsidRPr="007D4BAD">
        <w:rPr>
          <w:rFonts w:ascii="Palatino Linotype" w:hAnsi="Palatino Linotype" w:eastAsia="Palatino Linotype" w:cs="Times New Roman"/>
        </w:rPr>
        <w:t xml:space="preserve">This Resolution seeks to </w:t>
      </w:r>
      <w:r w:rsidRPr="00653039">
        <w:rPr>
          <w:rFonts w:ascii="Palatino Linotype" w:hAnsi="Palatino Linotype"/>
        </w:rPr>
        <w:t>achieve</w:t>
      </w:r>
      <w:r w:rsidRPr="007D4BAD">
        <w:rPr>
          <w:rFonts w:ascii="Palatino Linotype" w:hAnsi="Palatino Linotype" w:eastAsia="Palatino Linotype" w:cs="Times New Roman"/>
        </w:rPr>
        <w:t xml:space="preserve"> carrier compliance </w:t>
      </w:r>
      <w:proofErr w:type="gramStart"/>
      <w:r w:rsidRPr="007D4BAD">
        <w:rPr>
          <w:rFonts w:ascii="Palatino Linotype" w:hAnsi="Palatino Linotype" w:eastAsia="Palatino Linotype" w:cs="Times New Roman"/>
        </w:rPr>
        <w:t>in</w:t>
      </w:r>
      <w:proofErr w:type="gramEnd"/>
      <w:r w:rsidRPr="007D4BAD">
        <w:rPr>
          <w:rFonts w:ascii="Palatino Linotype" w:hAnsi="Palatino Linotype" w:eastAsia="Palatino Linotype" w:cs="Times New Roman"/>
        </w:rPr>
        <w:t xml:space="preserve"> submitting required annual compliance filings. This promotes transparency and reduces the risk of financial harm to California customers, thereby promoting public safety.</w:t>
      </w:r>
    </w:p>
    <w:p w:rsidRPr="001942D0" w:rsidR="00BC6EC7" w:rsidP="00653039" w:rsidRDefault="00BC6EC7" w14:paraId="08EE7619" w14:textId="217990D7">
      <w:pPr>
        <w:keepNext/>
        <w:spacing w:after="240" w:line="276" w:lineRule="auto"/>
        <w:jc w:val="both"/>
        <w:outlineLvl w:val="0"/>
        <w:rPr>
          <w:rFonts w:ascii="Palatino Linotype" w:hAnsi="Palatino Linotype" w:eastAsia="Palatino Linotype" w:cs="Times New Roman"/>
          <w:b/>
          <w:caps/>
          <w:kern w:val="28"/>
          <w:u w:val="single"/>
        </w:rPr>
      </w:pPr>
      <w:r>
        <w:rPr>
          <w:rFonts w:ascii="Palatino Linotype" w:hAnsi="Palatino Linotype" w:eastAsia="Palatino Linotype" w:cs="Times New Roman"/>
          <w:b/>
          <w:caps/>
          <w:kern w:val="28"/>
          <w:u w:val="single"/>
        </w:rPr>
        <w:t>CONCLUSI</w:t>
      </w:r>
      <w:r w:rsidRPr="001942D0">
        <w:rPr>
          <w:rFonts w:ascii="Palatino Linotype" w:hAnsi="Palatino Linotype" w:eastAsia="Palatino Linotype" w:cs="Times New Roman"/>
          <w:b/>
          <w:caps/>
          <w:kern w:val="28"/>
          <w:u w:val="single"/>
        </w:rPr>
        <w:t>on</w:t>
      </w:r>
    </w:p>
    <w:p w:rsidRPr="00670AD9" w:rsidR="00BC6EC7" w:rsidP="00653039" w:rsidRDefault="00BC6EC7" w14:paraId="7E81DBDA" w14:textId="2236915C">
      <w:pPr>
        <w:tabs>
          <w:tab w:val="right" w:pos="10080"/>
        </w:tabs>
        <w:spacing w:after="240" w:line="276" w:lineRule="auto"/>
        <w:jc w:val="both"/>
        <w:rPr>
          <w:rFonts w:ascii="Palatino Linotype" w:hAnsi="Palatino Linotype"/>
        </w:rPr>
      </w:pPr>
      <w:r w:rsidRPr="00670AD9">
        <w:rPr>
          <w:rFonts w:ascii="Palatino Linotype" w:hAnsi="Palatino Linotype"/>
        </w:rPr>
        <w:t xml:space="preserve">The carriers listed in Appendix A </w:t>
      </w:r>
      <w:r w:rsidR="00CF2224">
        <w:rPr>
          <w:rFonts w:ascii="Palatino Linotype" w:hAnsi="Palatino Linotype"/>
        </w:rPr>
        <w:t xml:space="preserve">of this Resolution </w:t>
      </w:r>
      <w:r w:rsidRPr="00670AD9">
        <w:rPr>
          <w:rFonts w:ascii="Palatino Linotype" w:hAnsi="Palatino Linotype"/>
        </w:rPr>
        <w:t>failed to resolve the outstanding citation issued. For</w:t>
      </w:r>
      <w:r>
        <w:rPr>
          <w:rFonts w:ascii="Palatino Linotype" w:hAnsi="Palatino Linotype"/>
        </w:rPr>
        <w:t xml:space="preserve"> </w:t>
      </w:r>
      <w:r w:rsidRPr="00670AD9">
        <w:rPr>
          <w:rFonts w:ascii="Palatino Linotype" w:hAnsi="Palatino Linotype"/>
        </w:rPr>
        <w:t xml:space="preserve">any carrier listed in Appendix A </w:t>
      </w:r>
      <w:r w:rsidR="00CF2224">
        <w:rPr>
          <w:rFonts w:ascii="Palatino Linotype" w:hAnsi="Palatino Linotype"/>
        </w:rPr>
        <w:t xml:space="preserve">of this Resolution </w:t>
      </w:r>
      <w:r w:rsidRPr="00670AD9">
        <w:rPr>
          <w:rFonts w:ascii="Palatino Linotype" w:hAnsi="Palatino Linotype"/>
        </w:rPr>
        <w:t xml:space="preserve">to retain its </w:t>
      </w:r>
      <w:r w:rsidRPr="00670AD9">
        <w:rPr>
          <w:rFonts w:ascii="Palatino Linotype" w:hAnsi="Palatino Linotype"/>
        </w:rPr>
        <w:lastRenderedPageBreak/>
        <w:t>operating authority or registration</w:t>
      </w:r>
      <w:r>
        <w:rPr>
          <w:rFonts w:ascii="Palatino Linotype" w:hAnsi="Palatino Linotype"/>
        </w:rPr>
        <w:t>,</w:t>
      </w:r>
      <w:r w:rsidRPr="00670AD9">
        <w:rPr>
          <w:rFonts w:ascii="Palatino Linotype" w:hAnsi="Palatino Linotype"/>
        </w:rPr>
        <w:t xml:space="preserve"> it must</w:t>
      </w:r>
      <w:r>
        <w:rPr>
          <w:rFonts w:ascii="Palatino Linotype" w:hAnsi="Palatino Linotype"/>
        </w:rPr>
        <w:t xml:space="preserve"> </w:t>
      </w:r>
      <w:r w:rsidRPr="00670AD9">
        <w:rPr>
          <w:rFonts w:ascii="Palatino Linotype" w:hAnsi="Palatino Linotype"/>
        </w:rPr>
        <w:t>resolve the citation within thirty (30) calendar days from the effective date of this</w:t>
      </w:r>
      <w:r>
        <w:rPr>
          <w:rFonts w:ascii="Palatino Linotype" w:hAnsi="Palatino Linotype"/>
        </w:rPr>
        <w:t xml:space="preserve"> </w:t>
      </w:r>
      <w:r w:rsidRPr="00670AD9">
        <w:rPr>
          <w:rFonts w:ascii="Palatino Linotype" w:hAnsi="Palatino Linotype"/>
        </w:rPr>
        <w:t>resolution by submitting the outstanding Annual Reports and/or Annual Performance</w:t>
      </w:r>
      <w:r>
        <w:rPr>
          <w:rFonts w:ascii="Palatino Linotype" w:hAnsi="Palatino Linotype"/>
        </w:rPr>
        <w:t xml:space="preserve"> </w:t>
      </w:r>
      <w:r w:rsidRPr="00670AD9">
        <w:rPr>
          <w:rFonts w:ascii="Palatino Linotype" w:hAnsi="Palatino Linotype"/>
        </w:rPr>
        <w:t>Bonds and</w:t>
      </w:r>
      <w:r>
        <w:rPr>
          <w:rFonts w:ascii="Palatino Linotype" w:hAnsi="Palatino Linotype"/>
        </w:rPr>
        <w:t xml:space="preserve"> by</w:t>
      </w:r>
      <w:r w:rsidRPr="00670AD9">
        <w:rPr>
          <w:rFonts w:ascii="Palatino Linotype" w:hAnsi="Palatino Linotype"/>
        </w:rPr>
        <w:t xml:space="preserve"> paying the outstanding penalty. If a carrier continues to be in</w:t>
      </w:r>
      <w:r>
        <w:rPr>
          <w:rFonts w:ascii="Palatino Linotype" w:hAnsi="Palatino Linotype"/>
        </w:rPr>
        <w:t xml:space="preserve"> </w:t>
      </w:r>
      <w:r w:rsidRPr="00670AD9">
        <w:rPr>
          <w:rFonts w:ascii="Palatino Linotype" w:hAnsi="Palatino Linotype"/>
        </w:rPr>
        <w:t>default beyond 30 calendar days from the effective date of this Resolution, the carrier’s</w:t>
      </w:r>
      <w:r>
        <w:rPr>
          <w:rFonts w:ascii="Palatino Linotype" w:hAnsi="Palatino Linotype"/>
        </w:rPr>
        <w:t xml:space="preserve"> </w:t>
      </w:r>
      <w:r w:rsidRPr="00670AD9">
        <w:rPr>
          <w:rFonts w:ascii="Palatino Linotype" w:hAnsi="Palatino Linotype"/>
        </w:rPr>
        <w:t>CPCN and/or registration license will be revoked.</w:t>
      </w:r>
    </w:p>
    <w:p w:rsidRPr="00670AD9" w:rsidR="00BC6EC7" w:rsidP="0041398F" w:rsidRDefault="00BC6EC7" w14:paraId="59B92CCD" w14:textId="4064909D">
      <w:pPr>
        <w:tabs>
          <w:tab w:val="right" w:pos="10080"/>
        </w:tabs>
        <w:spacing w:before="0" w:after="240" w:line="276" w:lineRule="auto"/>
        <w:jc w:val="both"/>
        <w:rPr>
          <w:rFonts w:ascii="Palatino Linotype" w:hAnsi="Palatino Linotype"/>
        </w:rPr>
      </w:pPr>
      <w:r w:rsidRPr="00670AD9">
        <w:rPr>
          <w:rFonts w:ascii="Palatino Linotype" w:hAnsi="Palatino Linotype"/>
        </w:rPr>
        <w:t>We also hereby direct telephone corporations to notify CD staff via email to</w:t>
      </w:r>
      <w:r>
        <w:rPr>
          <w:rFonts w:ascii="Palatino Linotype" w:hAnsi="Palatino Linotype"/>
        </w:rPr>
        <w:t xml:space="preserve"> </w:t>
      </w:r>
      <w:hyperlink w:history="1" r:id="rId11">
        <w:r w:rsidRPr="00FF5462">
          <w:rPr>
            <w:rStyle w:val="Hyperlink"/>
            <w:rFonts w:ascii="Palatino Linotype" w:hAnsi="Palatino Linotype"/>
          </w:rPr>
          <w:t>cdcompliance@cpuc.ca.gov</w:t>
        </w:r>
      </w:hyperlink>
      <w:r>
        <w:rPr>
          <w:rFonts w:ascii="Palatino Linotype" w:hAnsi="Palatino Linotype"/>
        </w:rPr>
        <w:t xml:space="preserve"> </w:t>
      </w:r>
      <w:r w:rsidRPr="00670AD9">
        <w:rPr>
          <w:rFonts w:ascii="Palatino Linotype" w:hAnsi="Palatino Linotype"/>
        </w:rPr>
        <w:t>if they provide services to any of the carriers listed in</w:t>
      </w:r>
      <w:r>
        <w:rPr>
          <w:rFonts w:ascii="Palatino Linotype" w:hAnsi="Palatino Linotype"/>
        </w:rPr>
        <w:t xml:space="preserve"> </w:t>
      </w:r>
      <w:r w:rsidRPr="00670AD9">
        <w:rPr>
          <w:rFonts w:ascii="Palatino Linotype" w:hAnsi="Palatino Linotype"/>
        </w:rPr>
        <w:t>Appendix A and to cease from conducting business with any carrier that has had its</w:t>
      </w:r>
      <w:r>
        <w:rPr>
          <w:rFonts w:ascii="Palatino Linotype" w:hAnsi="Palatino Linotype"/>
        </w:rPr>
        <w:t xml:space="preserve"> </w:t>
      </w:r>
      <w:r w:rsidRPr="00670AD9">
        <w:rPr>
          <w:rFonts w:ascii="Palatino Linotype" w:hAnsi="Palatino Linotype"/>
        </w:rPr>
        <w:t>license or registration revoked by this Resolution</w:t>
      </w:r>
      <w:r w:rsidR="006C5DFC">
        <w:rPr>
          <w:rFonts w:ascii="Palatino Linotype" w:hAnsi="Palatino Linotype"/>
        </w:rPr>
        <w:t>.</w:t>
      </w:r>
      <w:r w:rsidR="00FC3AB5">
        <w:rPr>
          <w:rFonts w:ascii="Palatino Linotype" w:hAnsi="Palatino Linotype"/>
        </w:rPr>
        <w:t xml:space="preserve"> </w:t>
      </w:r>
      <w:r w:rsidRPr="00670AD9">
        <w:rPr>
          <w:rFonts w:ascii="Palatino Linotype" w:hAnsi="Palatino Linotype"/>
        </w:rPr>
        <w:t>After revocation of its operating authority, a wireline carrier seeking to continue</w:t>
      </w:r>
      <w:r>
        <w:rPr>
          <w:rFonts w:ascii="Palatino Linotype" w:hAnsi="Palatino Linotype"/>
        </w:rPr>
        <w:t xml:space="preserve"> </w:t>
      </w:r>
      <w:r w:rsidRPr="00670AD9">
        <w:rPr>
          <w:rFonts w:ascii="Palatino Linotype" w:hAnsi="Palatino Linotype"/>
        </w:rPr>
        <w:t>operating in California must file a Pub. Util. Code § 1001 application for a new</w:t>
      </w:r>
      <w:r>
        <w:rPr>
          <w:rFonts w:ascii="Palatino Linotype" w:hAnsi="Palatino Linotype"/>
        </w:rPr>
        <w:t xml:space="preserve"> </w:t>
      </w:r>
      <w:r w:rsidRPr="00670AD9">
        <w:rPr>
          <w:rFonts w:ascii="Palatino Linotype" w:hAnsi="Palatino Linotype"/>
        </w:rPr>
        <w:t>operating authority, even if the Commission previously granted a carrier operating</w:t>
      </w:r>
      <w:r>
        <w:rPr>
          <w:rFonts w:ascii="Palatino Linotype" w:hAnsi="Palatino Linotype"/>
        </w:rPr>
        <w:t xml:space="preserve"> </w:t>
      </w:r>
      <w:r w:rsidRPr="00670AD9">
        <w:rPr>
          <w:rFonts w:ascii="Palatino Linotype" w:hAnsi="Palatino Linotype"/>
        </w:rPr>
        <w:t>authority under the Simplified registration process pursuant to Pub. Util. Code § 1013.</w:t>
      </w:r>
      <w:r>
        <w:rPr>
          <w:rFonts w:ascii="Palatino Linotype" w:hAnsi="Palatino Linotype"/>
        </w:rPr>
        <w:t xml:space="preserve"> </w:t>
      </w:r>
      <w:r w:rsidRPr="00670AD9">
        <w:rPr>
          <w:rFonts w:ascii="Palatino Linotype" w:hAnsi="Palatino Linotype"/>
        </w:rPr>
        <w:t xml:space="preserve">In its application, the carrier must disclose the previous revocation via </w:t>
      </w:r>
      <w:proofErr w:type="gramStart"/>
      <w:r w:rsidRPr="00670AD9">
        <w:rPr>
          <w:rFonts w:ascii="Palatino Linotype" w:hAnsi="Palatino Linotype"/>
        </w:rPr>
        <w:t>a sworn</w:t>
      </w:r>
      <w:r>
        <w:rPr>
          <w:rFonts w:ascii="Palatino Linotype" w:hAnsi="Palatino Linotype"/>
        </w:rPr>
        <w:t xml:space="preserve"> </w:t>
      </w:r>
      <w:r w:rsidRPr="00670AD9">
        <w:rPr>
          <w:rFonts w:ascii="Palatino Linotype" w:hAnsi="Palatino Linotype"/>
        </w:rPr>
        <w:t>affidavit</w:t>
      </w:r>
      <w:proofErr w:type="gramEnd"/>
      <w:r w:rsidRPr="00670AD9">
        <w:rPr>
          <w:rFonts w:ascii="Palatino Linotype" w:hAnsi="Palatino Linotype"/>
        </w:rPr>
        <w:t>. Similarly, a wireless carrier seeking to comply with the Commission’s</w:t>
      </w:r>
      <w:r>
        <w:rPr>
          <w:rFonts w:ascii="Palatino Linotype" w:hAnsi="Palatino Linotype"/>
        </w:rPr>
        <w:t xml:space="preserve"> </w:t>
      </w:r>
      <w:r w:rsidRPr="00670AD9">
        <w:rPr>
          <w:rFonts w:ascii="Palatino Linotype" w:hAnsi="Palatino Linotype"/>
        </w:rPr>
        <w:t>registration requirements must apply for a new WIR and disclose the previous</w:t>
      </w:r>
      <w:r>
        <w:rPr>
          <w:rFonts w:ascii="Palatino Linotype" w:hAnsi="Palatino Linotype"/>
        </w:rPr>
        <w:t xml:space="preserve"> </w:t>
      </w:r>
      <w:r w:rsidRPr="00670AD9">
        <w:rPr>
          <w:rFonts w:ascii="Palatino Linotype" w:hAnsi="Palatino Linotype"/>
        </w:rPr>
        <w:t xml:space="preserve">revocation via </w:t>
      </w:r>
      <w:proofErr w:type="gramStart"/>
      <w:r w:rsidRPr="00670AD9">
        <w:rPr>
          <w:rFonts w:ascii="Palatino Linotype" w:hAnsi="Palatino Linotype"/>
        </w:rPr>
        <w:t>a sworn affidavit</w:t>
      </w:r>
      <w:proofErr w:type="gramEnd"/>
      <w:r w:rsidRPr="00670AD9">
        <w:rPr>
          <w:rFonts w:ascii="Palatino Linotype" w:hAnsi="Palatino Linotype"/>
        </w:rPr>
        <w:t xml:space="preserve">. </w:t>
      </w:r>
      <w:r w:rsidR="008D17D3">
        <w:rPr>
          <w:rFonts w:ascii="Palatino Linotype" w:hAnsi="Palatino Linotype"/>
        </w:rPr>
        <w:t>A</w:t>
      </w:r>
      <w:r w:rsidRPr="00670AD9" w:rsidR="008D17D3">
        <w:rPr>
          <w:rFonts w:ascii="Palatino Linotype" w:hAnsi="Palatino Linotype"/>
        </w:rPr>
        <w:t xml:space="preserve"> </w:t>
      </w:r>
      <w:r w:rsidR="000638D7">
        <w:rPr>
          <w:rFonts w:ascii="Palatino Linotype" w:hAnsi="Palatino Linotype"/>
        </w:rPr>
        <w:t xml:space="preserve">nomadic-only interconnected VoIP </w:t>
      </w:r>
      <w:r w:rsidRPr="00670AD9" w:rsidR="008D17D3">
        <w:rPr>
          <w:rFonts w:ascii="Palatino Linotype" w:hAnsi="Palatino Linotype"/>
        </w:rPr>
        <w:t>carrier seeking to comply with the Commission’s</w:t>
      </w:r>
      <w:r w:rsidR="008D17D3">
        <w:rPr>
          <w:rFonts w:ascii="Palatino Linotype" w:hAnsi="Palatino Linotype"/>
        </w:rPr>
        <w:t xml:space="preserve"> </w:t>
      </w:r>
      <w:r w:rsidRPr="00670AD9" w:rsidR="008D17D3">
        <w:rPr>
          <w:rFonts w:ascii="Palatino Linotype" w:hAnsi="Palatino Linotype"/>
        </w:rPr>
        <w:t xml:space="preserve">registration requirements must apply for a new </w:t>
      </w:r>
      <w:r w:rsidR="000638D7">
        <w:rPr>
          <w:rFonts w:ascii="Palatino Linotype" w:hAnsi="Palatino Linotype"/>
        </w:rPr>
        <w:t xml:space="preserve">Nomadic Registration </w:t>
      </w:r>
      <w:r w:rsidRPr="00670AD9" w:rsidR="008D17D3">
        <w:rPr>
          <w:rFonts w:ascii="Palatino Linotype" w:hAnsi="Palatino Linotype"/>
        </w:rPr>
        <w:t>and disclose the previous</w:t>
      </w:r>
      <w:r w:rsidR="008D17D3">
        <w:rPr>
          <w:rFonts w:ascii="Palatino Linotype" w:hAnsi="Palatino Linotype"/>
        </w:rPr>
        <w:t xml:space="preserve"> </w:t>
      </w:r>
      <w:r w:rsidRPr="00670AD9" w:rsidR="008D17D3">
        <w:rPr>
          <w:rFonts w:ascii="Palatino Linotype" w:hAnsi="Palatino Linotype"/>
        </w:rPr>
        <w:t xml:space="preserve">revocation via </w:t>
      </w:r>
      <w:proofErr w:type="gramStart"/>
      <w:r w:rsidRPr="00670AD9" w:rsidR="008D17D3">
        <w:rPr>
          <w:rFonts w:ascii="Palatino Linotype" w:hAnsi="Palatino Linotype"/>
        </w:rPr>
        <w:t>a sworn affidavit</w:t>
      </w:r>
      <w:proofErr w:type="gramEnd"/>
      <w:r w:rsidRPr="00670AD9" w:rsidR="008D17D3">
        <w:rPr>
          <w:rFonts w:ascii="Palatino Linotype" w:hAnsi="Palatino Linotype"/>
        </w:rPr>
        <w:t xml:space="preserve">. </w:t>
      </w:r>
      <w:r w:rsidRPr="00670AD9">
        <w:rPr>
          <w:rFonts w:ascii="Palatino Linotype" w:hAnsi="Palatino Linotype"/>
        </w:rPr>
        <w:t>All outstanding penalties, interest, surcharges, and</w:t>
      </w:r>
      <w:r>
        <w:rPr>
          <w:rFonts w:ascii="Palatino Linotype" w:hAnsi="Palatino Linotype"/>
        </w:rPr>
        <w:t xml:space="preserve"> </w:t>
      </w:r>
      <w:r w:rsidRPr="00670AD9">
        <w:rPr>
          <w:rFonts w:ascii="Palatino Linotype" w:hAnsi="Palatino Linotype"/>
        </w:rPr>
        <w:t>user fees owed to the Commission shall be paid before any new CPCN or registration is</w:t>
      </w:r>
      <w:r>
        <w:rPr>
          <w:rFonts w:ascii="Palatino Linotype" w:hAnsi="Palatino Linotype"/>
        </w:rPr>
        <w:t xml:space="preserve"> </w:t>
      </w:r>
      <w:r w:rsidRPr="00670AD9">
        <w:rPr>
          <w:rFonts w:ascii="Palatino Linotype" w:hAnsi="Palatino Linotype"/>
        </w:rPr>
        <w:t>approved.</w:t>
      </w:r>
    </w:p>
    <w:p w:rsidRPr="00BC6EC7" w:rsidR="00FC3AB5" w:rsidP="00653039" w:rsidRDefault="00BC6EC7" w14:paraId="462C3969" w14:textId="02C363FB">
      <w:pPr>
        <w:tabs>
          <w:tab w:val="right" w:pos="10080"/>
        </w:tabs>
        <w:spacing w:after="240" w:line="276" w:lineRule="auto"/>
        <w:jc w:val="both"/>
        <w:rPr>
          <w:rFonts w:ascii="Palatino Linotype" w:hAnsi="Palatino Linotype"/>
        </w:rPr>
      </w:pPr>
      <w:r w:rsidRPr="00670AD9">
        <w:rPr>
          <w:rFonts w:ascii="Palatino Linotype" w:hAnsi="Palatino Linotype"/>
        </w:rPr>
        <w:t>Carriers that continue to operate after revocation of their operating authority or</w:t>
      </w:r>
      <w:r>
        <w:rPr>
          <w:rFonts w:ascii="Palatino Linotype" w:hAnsi="Palatino Linotype"/>
        </w:rPr>
        <w:t xml:space="preserve"> </w:t>
      </w:r>
      <w:r w:rsidRPr="00670AD9">
        <w:rPr>
          <w:rFonts w:ascii="Palatino Linotype" w:hAnsi="Palatino Linotype"/>
        </w:rPr>
        <w:t>registration and fail to obtain the requisite operating authority or registration will be</w:t>
      </w:r>
      <w:r>
        <w:rPr>
          <w:rFonts w:ascii="Palatino Linotype" w:hAnsi="Palatino Linotype"/>
        </w:rPr>
        <w:t xml:space="preserve"> </w:t>
      </w:r>
      <w:r w:rsidRPr="00670AD9">
        <w:rPr>
          <w:rFonts w:ascii="Palatino Linotype" w:hAnsi="Palatino Linotype"/>
        </w:rPr>
        <w:t>subject to enforcement action by the Commission, including possible fines or other</w:t>
      </w:r>
      <w:r>
        <w:rPr>
          <w:rFonts w:ascii="Palatino Linotype" w:hAnsi="Palatino Linotype"/>
        </w:rPr>
        <w:t xml:space="preserve"> </w:t>
      </w:r>
      <w:r w:rsidRPr="00670AD9">
        <w:rPr>
          <w:rFonts w:ascii="Palatino Linotype" w:hAnsi="Palatino Linotype"/>
        </w:rPr>
        <w:t>sanctions.</w:t>
      </w:r>
    </w:p>
    <w:p w:rsidRPr="001942D0" w:rsidR="00C77D9C" w:rsidP="00653039" w:rsidRDefault="00C77D9C" w14:paraId="24771FE9" w14:textId="77777777">
      <w:pPr>
        <w:keepNext/>
        <w:spacing w:after="240" w:line="276" w:lineRule="auto"/>
        <w:jc w:val="both"/>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t>Comments</w:t>
      </w:r>
    </w:p>
    <w:p w:rsidR="00C77D9C" w:rsidP="00653039" w:rsidRDefault="00FC15D9" w14:paraId="7D86E773" w14:textId="3921CC32">
      <w:pPr>
        <w:spacing w:after="240" w:line="276" w:lineRule="auto"/>
        <w:jc w:val="both"/>
        <w:rPr>
          <w:rFonts w:ascii="Palatino Linotype" w:hAnsi="Palatino Linotype" w:eastAsia="Palatino Linotype" w:cs="Times New Roman"/>
        </w:rPr>
      </w:pPr>
      <w:r w:rsidRPr="00FC15D9">
        <w:rPr>
          <w:rFonts w:ascii="Palatino Linotype" w:hAnsi="Palatino Linotype" w:eastAsia="Palatino Linotype" w:cs="Times New Roman"/>
        </w:rPr>
        <w:t xml:space="preserve">In compliance with Pub. Util. Code § 311 (g), a Notice of Availability was e-mailed on </w:t>
      </w:r>
      <w:r w:rsidRPr="00F130A9" w:rsidR="008D0A63">
        <w:rPr>
          <w:rFonts w:ascii="Palatino Linotype" w:hAnsi="Palatino Linotype" w:eastAsia="Palatino Linotype" w:cs="Times New Roman"/>
        </w:rPr>
        <w:t>February 17, 2026</w:t>
      </w:r>
      <w:r w:rsidRPr="00FC15D9">
        <w:rPr>
          <w:rFonts w:ascii="Palatino Linotype" w:hAnsi="Palatino Linotype" w:eastAsia="Palatino Linotype" w:cs="Times New Roman"/>
        </w:rPr>
        <w:t xml:space="preserve">, to all telephone carriers informing these parties that the draft of this Resolution is available at the Commission’s website </w:t>
      </w:r>
      <w:hyperlink w:history="1" r:id="rId12">
        <w:r w:rsidRPr="008F07E4" w:rsidR="002C7C9A">
          <w:rPr>
            <w:rStyle w:val="Hyperlink"/>
            <w:rFonts w:ascii="Palatino Linotype" w:hAnsi="Palatino Linotype" w:eastAsia="Palatino Linotype" w:cs="Times New Roman"/>
          </w:rPr>
          <w:t>http://www.cpuc.ca.gov/</w:t>
        </w:r>
      </w:hyperlink>
      <w:r w:rsidR="002C7C9A">
        <w:rPr>
          <w:rFonts w:ascii="Palatino Linotype" w:hAnsi="Palatino Linotype" w:eastAsia="Palatino Linotype" w:cs="Times New Roman"/>
        </w:rPr>
        <w:t xml:space="preserve"> </w:t>
      </w:r>
      <w:r w:rsidRPr="00FC15D9">
        <w:rPr>
          <w:rFonts w:ascii="Palatino Linotype" w:hAnsi="Palatino Linotype" w:eastAsia="Palatino Linotype" w:cs="Times New Roman"/>
        </w:rPr>
        <w:t xml:space="preserve">and is available for public comments. </w:t>
      </w:r>
      <w:r w:rsidR="008D0A63">
        <w:rPr>
          <w:rFonts w:ascii="Palatino Linotype" w:hAnsi="Palatino Linotype" w:eastAsia="Palatino Linotype" w:cs="Times New Roman"/>
        </w:rPr>
        <w:t>The Commission received no public comments.</w:t>
      </w:r>
    </w:p>
    <w:p w:rsidRPr="001942D0" w:rsidR="00C77D9C" w:rsidP="00653039" w:rsidRDefault="00C77D9C" w14:paraId="3B6A1CCA" w14:textId="77777777">
      <w:pPr>
        <w:keepNext/>
        <w:spacing w:after="240" w:line="276" w:lineRule="auto"/>
        <w:jc w:val="both"/>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lastRenderedPageBreak/>
        <w:t>Findings</w:t>
      </w:r>
      <w:r>
        <w:rPr>
          <w:rFonts w:ascii="Palatino Linotype" w:hAnsi="Palatino Linotype" w:eastAsia="Palatino Linotype" w:cs="Times New Roman"/>
          <w:b/>
          <w:caps/>
          <w:kern w:val="28"/>
          <w:u w:val="single"/>
        </w:rPr>
        <w:t xml:space="preserve"> AND CONCLUSIONS</w:t>
      </w:r>
    </w:p>
    <w:p w:rsidRPr="009A1B81" w:rsidR="00B27392" w:rsidP="0005769E" w:rsidRDefault="00B27392" w14:paraId="2B54B384" w14:textId="42F802EF">
      <w:pPr>
        <w:pStyle w:val="ListParagraph"/>
        <w:numPr>
          <w:ilvl w:val="0"/>
          <w:numId w:val="16"/>
        </w:numPr>
        <w:spacing w:before="0" w:line="276" w:lineRule="auto"/>
        <w:contextualSpacing w:val="0"/>
        <w:jc w:val="both"/>
        <w:rPr>
          <w:rFonts w:ascii="Palatino Linotype" w:hAnsi="Palatino Linotype"/>
        </w:rPr>
      </w:pPr>
      <w:r w:rsidRPr="009A1B81">
        <w:rPr>
          <w:rFonts w:ascii="Palatino Linotype" w:hAnsi="Palatino Linotype"/>
        </w:rPr>
        <w:t>The Commission has broad regulatory authority and grants operating authority to telephone corporations via the Certificate of Public Convenience and Necessity Application pursuant to Pub. Util. Code § 1001, the Simplified Registration pursuant to Pub. Util. Code § 1013, or</w:t>
      </w:r>
      <w:r w:rsidR="00C14A9E">
        <w:rPr>
          <w:rFonts w:ascii="Palatino Linotype" w:hAnsi="Palatino Linotype"/>
        </w:rPr>
        <w:t xml:space="preserve"> registration approval to telephone corporations via </w:t>
      </w:r>
      <w:r w:rsidRPr="009A1B81">
        <w:rPr>
          <w:rFonts w:ascii="Palatino Linotype" w:hAnsi="Palatino Linotype"/>
        </w:rPr>
        <w:t>the Wireless Identification Registration pursuant to D.94-10-031</w:t>
      </w:r>
      <w:r w:rsidR="00C14A9E">
        <w:rPr>
          <w:rFonts w:ascii="Palatino Linotype" w:hAnsi="Palatino Linotype"/>
        </w:rPr>
        <w:t xml:space="preserve"> and the Nomadic Registration pursuant to D.24-11-003</w:t>
      </w:r>
      <w:r w:rsidRPr="009A1B81">
        <w:rPr>
          <w:rFonts w:ascii="Palatino Linotype" w:hAnsi="Palatino Linotype"/>
        </w:rPr>
        <w:t xml:space="preserve">. </w:t>
      </w:r>
    </w:p>
    <w:p w:rsidRPr="009A1B81" w:rsidR="00B27392" w:rsidP="0005769E" w:rsidRDefault="00B27392" w14:paraId="6B77ABA3" w14:textId="77777777">
      <w:pPr>
        <w:pStyle w:val="ListParagraph"/>
        <w:numPr>
          <w:ilvl w:val="0"/>
          <w:numId w:val="16"/>
        </w:numPr>
        <w:spacing w:before="0" w:line="276" w:lineRule="auto"/>
        <w:contextualSpacing w:val="0"/>
        <w:jc w:val="both"/>
        <w:rPr>
          <w:rFonts w:ascii="Palatino Linotype" w:hAnsi="Palatino Linotype"/>
        </w:rPr>
      </w:pPr>
      <w:r w:rsidRPr="009A1B81">
        <w:rPr>
          <w:rFonts w:ascii="Palatino Linotype" w:hAnsi="Palatino Linotype"/>
        </w:rPr>
        <w:t xml:space="preserve">On June 21, 2018, the Commission adopted Resolution T-17601 that authorized CD Staff to implement a citation program for enforcing compliance by telecommunications carriers with the Commission’s Resolutions, Decisions, Orders, and the Public Utilities Code. Resolution T-17601 adopted the citation procedure, a list of violations and associated penalty amounts. </w:t>
      </w:r>
    </w:p>
    <w:p w:rsidRPr="006C5029" w:rsidR="00B27392" w:rsidP="0005769E" w:rsidRDefault="00B27392" w14:paraId="69008080" w14:textId="5547A91B">
      <w:pPr>
        <w:pStyle w:val="ListParagraph"/>
        <w:numPr>
          <w:ilvl w:val="0"/>
          <w:numId w:val="16"/>
        </w:numPr>
        <w:spacing w:before="0" w:line="276" w:lineRule="auto"/>
        <w:contextualSpacing w:val="0"/>
        <w:jc w:val="both"/>
        <w:rPr>
          <w:rFonts w:ascii="Palatino Linotype" w:hAnsi="Palatino Linotype"/>
        </w:rPr>
      </w:pPr>
      <w:r w:rsidRPr="009A1B81">
        <w:rPr>
          <w:rFonts w:ascii="Palatino Linotype" w:hAnsi="Palatino Linotype"/>
        </w:rPr>
        <w:t>Carriers are subject to compliance filings attendant to their operating authority</w:t>
      </w:r>
      <w:r w:rsidR="00C14A9E">
        <w:rPr>
          <w:rFonts w:ascii="Palatino Linotype" w:hAnsi="Palatino Linotype"/>
        </w:rPr>
        <w:t xml:space="preserve"> or registration</w:t>
      </w:r>
      <w:r w:rsidRPr="009A1B81">
        <w:rPr>
          <w:rFonts w:ascii="Palatino Linotype" w:hAnsi="Palatino Linotype"/>
        </w:rPr>
        <w:t xml:space="preserve">. </w:t>
      </w:r>
    </w:p>
    <w:p w:rsidRPr="006C5029" w:rsidR="00B27392" w:rsidP="0005769E" w:rsidRDefault="00B27392" w14:paraId="534EAB1B" w14:textId="1E139E38">
      <w:pPr>
        <w:pStyle w:val="ListParagraph"/>
        <w:numPr>
          <w:ilvl w:val="0"/>
          <w:numId w:val="16"/>
        </w:numPr>
        <w:spacing w:before="0" w:line="276" w:lineRule="auto"/>
        <w:contextualSpacing w:val="0"/>
        <w:jc w:val="both"/>
        <w:rPr>
          <w:rFonts w:ascii="Palatino Linotype" w:hAnsi="Palatino Linotype"/>
        </w:rPr>
      </w:pPr>
      <w:r w:rsidRPr="009A1B81">
        <w:rPr>
          <w:rFonts w:ascii="Palatino Linotype" w:hAnsi="Palatino Linotype"/>
        </w:rPr>
        <w:t>All Interexchange Carriers (Wholesale and Reseller)</w:t>
      </w:r>
      <w:r w:rsidR="007D4BAD">
        <w:rPr>
          <w:rFonts w:ascii="Palatino Linotype" w:hAnsi="Palatino Linotype"/>
        </w:rPr>
        <w:t>,</w:t>
      </w:r>
      <w:r>
        <w:rPr>
          <w:rFonts w:ascii="Palatino Linotype" w:hAnsi="Palatino Linotype"/>
        </w:rPr>
        <w:t xml:space="preserve"> </w:t>
      </w:r>
      <w:r w:rsidRPr="009A1B81">
        <w:rPr>
          <w:rFonts w:ascii="Palatino Linotype" w:hAnsi="Palatino Linotype"/>
        </w:rPr>
        <w:t>all Competitive Local</w:t>
      </w:r>
      <w:r>
        <w:rPr>
          <w:rFonts w:ascii="Palatino Linotype" w:hAnsi="Palatino Linotype"/>
        </w:rPr>
        <w:t xml:space="preserve"> </w:t>
      </w:r>
      <w:r w:rsidRPr="009A1B81">
        <w:rPr>
          <w:rFonts w:ascii="Palatino Linotype" w:hAnsi="Palatino Linotype"/>
        </w:rPr>
        <w:t>Carriers (Wholesale and Reseller)</w:t>
      </w:r>
      <w:r w:rsidR="00C14A9E">
        <w:rPr>
          <w:rFonts w:ascii="Palatino Linotype" w:hAnsi="Palatino Linotype"/>
        </w:rPr>
        <w:t xml:space="preserve"> </w:t>
      </w:r>
      <w:r w:rsidRPr="009A1B81">
        <w:rPr>
          <w:rFonts w:ascii="Palatino Linotype" w:hAnsi="Palatino Linotype"/>
        </w:rPr>
        <w:t xml:space="preserve">are obligated to submit an </w:t>
      </w:r>
      <w:r w:rsidRPr="00665CA8">
        <w:rPr>
          <w:rFonts w:ascii="Palatino Linotype" w:hAnsi="Palatino Linotype"/>
        </w:rPr>
        <w:t xml:space="preserve">Annual Operational and Financial Information report for CY 2024 (due March 31, 2025), and Annual Performance Bond (due March 31, 2025), and must submit an Annual Affiliate Transaction report for CY 2024 (due May 1, 2025), pursuant to General Order (GO) 104-A, D.93-02-019, D.24-11-003, D.13-05-035 and/or </w:t>
      </w:r>
      <w:r w:rsidRPr="00B510D9" w:rsidR="000432EA">
        <w:rPr>
          <w:rFonts w:ascii="Palatino Linotype" w:hAnsi="Palatino Linotype"/>
        </w:rPr>
        <w:t>D.10-09-017</w:t>
      </w:r>
      <w:r w:rsidR="000432EA">
        <w:rPr>
          <w:rFonts w:ascii="Palatino Linotype" w:hAnsi="Palatino Linotype"/>
        </w:rPr>
        <w:t>/</w:t>
      </w:r>
      <w:r w:rsidRPr="00665CA8">
        <w:rPr>
          <w:rFonts w:ascii="Palatino Linotype" w:hAnsi="Palatino Linotype"/>
        </w:rPr>
        <w:t xml:space="preserve">D.11-09-026. </w:t>
      </w:r>
    </w:p>
    <w:p w:rsidRPr="0026217A" w:rsidR="00B27392" w:rsidP="0005769E" w:rsidRDefault="00B27392" w14:paraId="0C070746" w14:textId="71A99798">
      <w:pPr>
        <w:pStyle w:val="ListParagraph"/>
        <w:numPr>
          <w:ilvl w:val="0"/>
          <w:numId w:val="16"/>
        </w:numPr>
        <w:spacing w:before="0" w:line="276" w:lineRule="auto"/>
        <w:contextualSpacing w:val="0"/>
        <w:jc w:val="both"/>
        <w:rPr>
          <w:rFonts w:ascii="Palatino Linotype" w:hAnsi="Palatino Linotype"/>
        </w:rPr>
      </w:pPr>
      <w:r w:rsidRPr="009A1B81">
        <w:rPr>
          <w:rFonts w:ascii="Palatino Linotype" w:hAnsi="Palatino Linotype"/>
        </w:rPr>
        <w:t>All Wireless carriers including all Cellular Telephone Utilities (Wholesale and</w:t>
      </w:r>
      <w:r>
        <w:rPr>
          <w:rFonts w:ascii="Palatino Linotype" w:hAnsi="Palatino Linotype"/>
        </w:rPr>
        <w:t xml:space="preserve"> </w:t>
      </w:r>
      <w:r w:rsidRPr="009A1B81">
        <w:rPr>
          <w:rFonts w:ascii="Palatino Linotype" w:hAnsi="Palatino Linotype"/>
        </w:rPr>
        <w:t>Reseller), all Personal Communications Carriers and all Radio Telephone Utilities</w:t>
      </w:r>
      <w:r w:rsidR="007D4BAD">
        <w:rPr>
          <w:rFonts w:ascii="Palatino Linotype" w:hAnsi="Palatino Linotype"/>
        </w:rPr>
        <w:t xml:space="preserve">; </w:t>
      </w:r>
      <w:r w:rsidRPr="009A1B81">
        <w:rPr>
          <w:rFonts w:ascii="Palatino Linotype" w:hAnsi="Palatino Linotype"/>
        </w:rPr>
        <w:t xml:space="preserve">are obligated to file an </w:t>
      </w:r>
      <w:r w:rsidRPr="00665CA8">
        <w:rPr>
          <w:rFonts w:ascii="Palatino Linotype" w:hAnsi="Palatino Linotype"/>
        </w:rPr>
        <w:t xml:space="preserve">Annual Performance Bond (due March 31, 2025), and to submit an Annual Affiliate Transaction report for CY 2024 (due May 1, 2025), pursuant to General Order (GO) 104-A, D.93-02-019, D.24-11-003, D.13-05-035 and/or </w:t>
      </w:r>
      <w:r w:rsidRPr="00B510D9" w:rsidR="000432EA">
        <w:rPr>
          <w:rFonts w:ascii="Palatino Linotype" w:hAnsi="Palatino Linotype"/>
        </w:rPr>
        <w:t>D.10-09-017</w:t>
      </w:r>
      <w:r w:rsidR="000432EA">
        <w:rPr>
          <w:rFonts w:ascii="Palatino Linotype" w:hAnsi="Palatino Linotype"/>
        </w:rPr>
        <w:t>/</w:t>
      </w:r>
      <w:r w:rsidRPr="00665CA8">
        <w:rPr>
          <w:rFonts w:ascii="Palatino Linotype" w:hAnsi="Palatino Linotype"/>
        </w:rPr>
        <w:t>D.11-09-026.</w:t>
      </w:r>
    </w:p>
    <w:p w:rsidRPr="006C5029" w:rsidR="00B27392" w:rsidP="0005769E" w:rsidRDefault="00B27392" w14:paraId="04AEC174" w14:textId="77777777">
      <w:pPr>
        <w:pStyle w:val="ListParagraph"/>
        <w:numPr>
          <w:ilvl w:val="0"/>
          <w:numId w:val="16"/>
        </w:numPr>
        <w:spacing w:before="0" w:line="276" w:lineRule="auto"/>
        <w:contextualSpacing w:val="0"/>
        <w:jc w:val="both"/>
        <w:rPr>
          <w:rFonts w:ascii="Palatino Linotype" w:hAnsi="Palatino Linotype"/>
        </w:rPr>
      </w:pPr>
      <w:r w:rsidRPr="00EA0FA6">
        <w:rPr>
          <w:rFonts w:ascii="Palatino Linotype" w:hAnsi="Palatino Linotype"/>
        </w:rPr>
        <w:t xml:space="preserve">The Commission may suspend or revoke the operating authority of telephone carriers that fail to make required annual reports, </w:t>
      </w:r>
      <w:proofErr w:type="gramStart"/>
      <w:r w:rsidRPr="00EA0FA6">
        <w:rPr>
          <w:rFonts w:ascii="Palatino Linotype" w:hAnsi="Palatino Linotype"/>
        </w:rPr>
        <w:t>per</w:t>
      </w:r>
      <w:proofErr w:type="gramEnd"/>
      <w:r w:rsidRPr="00EA0FA6">
        <w:rPr>
          <w:rFonts w:ascii="Palatino Linotype" w:hAnsi="Palatino Linotype"/>
        </w:rPr>
        <w:t xml:space="preserve"> D.93-05-010.</w:t>
      </w:r>
    </w:p>
    <w:p w:rsidRPr="006C5029" w:rsidR="00B27392" w:rsidP="0005769E" w:rsidRDefault="00B27392" w14:paraId="3F403B62" w14:textId="5A2C615D">
      <w:pPr>
        <w:pStyle w:val="ListParagraph"/>
        <w:numPr>
          <w:ilvl w:val="0"/>
          <w:numId w:val="16"/>
        </w:numPr>
        <w:spacing w:before="0" w:line="276" w:lineRule="auto"/>
        <w:contextualSpacing w:val="0"/>
        <w:jc w:val="both"/>
        <w:rPr>
          <w:rFonts w:ascii="Palatino Linotype" w:hAnsi="Palatino Linotype"/>
        </w:rPr>
      </w:pPr>
      <w:r w:rsidRPr="00EA0FA6">
        <w:rPr>
          <w:rFonts w:ascii="Palatino Linotype" w:hAnsi="Palatino Linotype"/>
        </w:rPr>
        <w:t>Communications Division staff undertook proper and reasonable measures to inform and remind the carriers listed in Appendix A of</w:t>
      </w:r>
      <w:r w:rsidR="00C14A9E">
        <w:rPr>
          <w:rFonts w:ascii="Palatino Linotype" w:hAnsi="Palatino Linotype"/>
        </w:rPr>
        <w:t xml:space="preserve"> this Resolution of</w:t>
      </w:r>
      <w:r w:rsidRPr="00EA0FA6">
        <w:rPr>
          <w:rFonts w:ascii="Palatino Linotype" w:hAnsi="Palatino Linotype"/>
        </w:rPr>
        <w:t xml:space="preserve"> their obligations to comply with Commission Annual Reports and Annual Performance Bond requirements for telecommunication carriers.</w:t>
      </w:r>
    </w:p>
    <w:p w:rsidR="00B27392" w:rsidP="0005769E" w:rsidRDefault="00B27392" w14:paraId="1E32F9F1" w14:textId="77777777">
      <w:pPr>
        <w:pStyle w:val="ListParagraph"/>
        <w:numPr>
          <w:ilvl w:val="0"/>
          <w:numId w:val="16"/>
        </w:numPr>
        <w:spacing w:before="0" w:line="276" w:lineRule="auto"/>
        <w:contextualSpacing w:val="0"/>
        <w:jc w:val="both"/>
        <w:rPr>
          <w:rFonts w:ascii="Palatino Linotype" w:hAnsi="Palatino Linotype"/>
        </w:rPr>
      </w:pPr>
      <w:r w:rsidRPr="00EA0FA6">
        <w:rPr>
          <w:rFonts w:ascii="Palatino Linotype" w:hAnsi="Palatino Linotype"/>
        </w:rPr>
        <w:lastRenderedPageBreak/>
        <w:t>If the carriers listed in Appendix A continue to be in noncompliance beyond thirty (30) calendar days from the effective date of this Resolution, it is reasonable to revoke each carrier’s CPCN or registrations.</w:t>
      </w:r>
    </w:p>
    <w:p w:rsidR="00B27392" w:rsidP="0005769E" w:rsidRDefault="00B27392" w14:paraId="24AB5623" w14:textId="33F11F0C">
      <w:pPr>
        <w:pStyle w:val="ListParagraph"/>
        <w:numPr>
          <w:ilvl w:val="0"/>
          <w:numId w:val="16"/>
        </w:numPr>
        <w:spacing w:before="0" w:line="276" w:lineRule="auto"/>
        <w:contextualSpacing w:val="0"/>
        <w:jc w:val="both"/>
        <w:rPr>
          <w:rFonts w:ascii="Palatino Linotype" w:hAnsi="Palatino Linotype"/>
        </w:rPr>
      </w:pPr>
      <w:r w:rsidRPr="00EA0FA6">
        <w:rPr>
          <w:rFonts w:ascii="Palatino Linotype" w:hAnsi="Palatino Linotype"/>
        </w:rPr>
        <w:t xml:space="preserve">All telephone corporations must notify CD staff via email to </w:t>
      </w:r>
      <w:hyperlink w:history="1" r:id="rId13">
        <w:r w:rsidRPr="00FF5462">
          <w:rPr>
            <w:rStyle w:val="Hyperlink"/>
            <w:rFonts w:ascii="Palatino Linotype" w:hAnsi="Palatino Linotype"/>
          </w:rPr>
          <w:t>cdcompliance@cpuc.ca.gov</w:t>
        </w:r>
      </w:hyperlink>
      <w:r>
        <w:rPr>
          <w:rFonts w:ascii="Palatino Linotype" w:hAnsi="Palatino Linotype"/>
        </w:rPr>
        <w:t xml:space="preserve"> </w:t>
      </w:r>
      <w:r w:rsidRPr="00EA0FA6">
        <w:rPr>
          <w:rFonts w:ascii="Palatino Linotype" w:hAnsi="Palatino Linotype"/>
        </w:rPr>
        <w:t>if they provide services to any of the carriers listed in Appendix A</w:t>
      </w:r>
      <w:r w:rsidR="00C14A9E">
        <w:rPr>
          <w:rFonts w:ascii="Palatino Linotype" w:hAnsi="Palatino Linotype"/>
        </w:rPr>
        <w:t xml:space="preserve"> of this Resolution</w:t>
      </w:r>
      <w:r w:rsidRPr="00EA0FA6">
        <w:rPr>
          <w:rFonts w:ascii="Palatino Linotype" w:hAnsi="Palatino Linotype"/>
        </w:rPr>
        <w:t xml:space="preserve"> and to cease from conducting business with the carriers whose licenses or registration have been revoked by this Resolution.</w:t>
      </w:r>
    </w:p>
    <w:p w:rsidRPr="006C5029" w:rsidR="00B27392" w:rsidP="0005769E" w:rsidRDefault="00B27392" w14:paraId="5C145069" w14:textId="5E18AB4B">
      <w:pPr>
        <w:pStyle w:val="ListParagraph"/>
        <w:numPr>
          <w:ilvl w:val="0"/>
          <w:numId w:val="16"/>
        </w:numPr>
        <w:spacing w:before="0" w:line="276" w:lineRule="auto"/>
        <w:contextualSpacing w:val="0"/>
        <w:jc w:val="both"/>
        <w:rPr>
          <w:rFonts w:ascii="Palatino Linotype" w:hAnsi="Palatino Linotype"/>
        </w:rPr>
      </w:pPr>
      <w:r w:rsidRPr="006C5029">
        <w:rPr>
          <w:rFonts w:ascii="Palatino Linotype" w:hAnsi="Palatino Linotype"/>
        </w:rPr>
        <w:t>If a carrier’s operating authority or registration is revoked, the carrier seeking to continue operating in the State of California must file a request with the CPUC via a CPCN application</w:t>
      </w:r>
      <w:r w:rsidR="00C14A9E">
        <w:rPr>
          <w:rFonts w:ascii="Palatino Linotype" w:hAnsi="Palatino Linotype"/>
        </w:rPr>
        <w:t xml:space="preserve">, </w:t>
      </w:r>
      <w:r w:rsidRPr="006C5029">
        <w:rPr>
          <w:rFonts w:ascii="Palatino Linotype" w:hAnsi="Palatino Linotype"/>
        </w:rPr>
        <w:t xml:space="preserve">a new WIR </w:t>
      </w:r>
      <w:r w:rsidR="008D17D3">
        <w:rPr>
          <w:rFonts w:ascii="Palatino Linotype" w:hAnsi="Palatino Linotype"/>
        </w:rPr>
        <w:t>or</w:t>
      </w:r>
      <w:r w:rsidR="00C14A9E">
        <w:rPr>
          <w:rFonts w:ascii="Palatino Linotype" w:hAnsi="Palatino Linotype"/>
        </w:rPr>
        <w:t xml:space="preserve"> a</w:t>
      </w:r>
      <w:r w:rsidR="008D17D3">
        <w:rPr>
          <w:rFonts w:ascii="Palatino Linotype" w:hAnsi="Palatino Linotype"/>
        </w:rPr>
        <w:t xml:space="preserve"> </w:t>
      </w:r>
      <w:r w:rsidR="000C201E">
        <w:rPr>
          <w:rFonts w:ascii="Palatino Linotype" w:hAnsi="Palatino Linotype"/>
        </w:rPr>
        <w:t xml:space="preserve">Nomadic Registration </w:t>
      </w:r>
      <w:r w:rsidRPr="006C5029">
        <w:rPr>
          <w:rFonts w:ascii="Palatino Linotype" w:hAnsi="Palatino Linotype"/>
        </w:rPr>
        <w:t xml:space="preserve">request. If the CPUC has revoked a carrier’s operating authority, the carrier cannot use the Simplified Registration process pursuant to Pub. Util. Code § 1013. All carriers shall disclose the previous revocation via </w:t>
      </w:r>
      <w:proofErr w:type="gramStart"/>
      <w:r w:rsidRPr="006C5029">
        <w:rPr>
          <w:rFonts w:ascii="Palatino Linotype" w:hAnsi="Palatino Linotype"/>
        </w:rPr>
        <w:t>a sworn affidavit</w:t>
      </w:r>
      <w:proofErr w:type="gramEnd"/>
      <w:r w:rsidRPr="006C5029">
        <w:rPr>
          <w:rFonts w:ascii="Palatino Linotype" w:hAnsi="Palatino Linotype"/>
        </w:rPr>
        <w:t xml:space="preserve"> and pay all outstanding penalties, interest or fines owed to the Commission </w:t>
      </w:r>
      <w:proofErr w:type="gramStart"/>
      <w:r w:rsidRPr="006C5029">
        <w:rPr>
          <w:rFonts w:ascii="Palatino Linotype" w:hAnsi="Palatino Linotype"/>
        </w:rPr>
        <w:t>in order to</w:t>
      </w:r>
      <w:proofErr w:type="gramEnd"/>
      <w:r w:rsidRPr="006C5029">
        <w:rPr>
          <w:rFonts w:ascii="Palatino Linotype" w:hAnsi="Palatino Linotype"/>
        </w:rPr>
        <w:t xml:space="preserve"> be granted authority</w:t>
      </w:r>
      <w:r w:rsidR="00C14A9E">
        <w:rPr>
          <w:rFonts w:ascii="Palatino Linotype" w:hAnsi="Palatino Linotype"/>
        </w:rPr>
        <w:t xml:space="preserve"> or registration approval</w:t>
      </w:r>
      <w:r w:rsidRPr="006C5029">
        <w:rPr>
          <w:rFonts w:ascii="Palatino Linotype" w:hAnsi="Palatino Linotype"/>
        </w:rPr>
        <w:t xml:space="preserve"> to operate in California.</w:t>
      </w:r>
    </w:p>
    <w:p w:rsidRPr="00C76B64" w:rsidR="00B27392" w:rsidP="0005769E" w:rsidRDefault="00B27392" w14:paraId="06CABFC6" w14:textId="0F136F27">
      <w:pPr>
        <w:pStyle w:val="ListParagraph"/>
        <w:numPr>
          <w:ilvl w:val="0"/>
          <w:numId w:val="16"/>
        </w:numPr>
        <w:spacing w:before="0" w:line="276" w:lineRule="auto"/>
        <w:contextualSpacing w:val="0"/>
        <w:jc w:val="both"/>
        <w:rPr>
          <w:rFonts w:ascii="Palatino Linotype" w:hAnsi="Palatino Linotype"/>
        </w:rPr>
      </w:pPr>
      <w:r w:rsidRPr="006C5029">
        <w:rPr>
          <w:rFonts w:ascii="Palatino Linotype" w:hAnsi="Palatino Linotype"/>
          <w:bCs/>
        </w:rPr>
        <w:t>Carriers that continue to operate after revocation of their operating authority or</w:t>
      </w:r>
      <w:r>
        <w:rPr>
          <w:rFonts w:ascii="Palatino Linotype" w:hAnsi="Palatino Linotype"/>
          <w:bCs/>
        </w:rPr>
        <w:t xml:space="preserve"> </w:t>
      </w:r>
      <w:r w:rsidRPr="006C5029">
        <w:rPr>
          <w:rFonts w:ascii="Palatino Linotype" w:hAnsi="Palatino Linotype"/>
          <w:bCs/>
        </w:rPr>
        <w:t>registration and fail to obtain the requisite operating authority or registration</w:t>
      </w:r>
      <w:r>
        <w:rPr>
          <w:rFonts w:ascii="Palatino Linotype" w:hAnsi="Palatino Linotype"/>
          <w:bCs/>
        </w:rPr>
        <w:t xml:space="preserve"> </w:t>
      </w:r>
      <w:r w:rsidRPr="006C5029">
        <w:rPr>
          <w:rFonts w:ascii="Palatino Linotype" w:hAnsi="Palatino Linotype"/>
          <w:bCs/>
        </w:rPr>
        <w:t>should be subject to enforcement action by the Commission, including possible</w:t>
      </w:r>
      <w:r>
        <w:rPr>
          <w:rFonts w:ascii="Palatino Linotype" w:hAnsi="Palatino Linotype"/>
          <w:bCs/>
        </w:rPr>
        <w:t xml:space="preserve"> </w:t>
      </w:r>
      <w:r w:rsidRPr="006C5029">
        <w:rPr>
          <w:rFonts w:ascii="Palatino Linotype" w:hAnsi="Palatino Linotype"/>
          <w:bCs/>
        </w:rPr>
        <w:t>fines or other sanctions.</w:t>
      </w:r>
    </w:p>
    <w:p w:rsidRPr="00F130A9" w:rsidR="00C77D9C" w:rsidP="00510150" w:rsidRDefault="00B27392" w14:paraId="79B67F40" w14:textId="75D7A7E0">
      <w:pPr>
        <w:pStyle w:val="ListParagraph"/>
        <w:numPr>
          <w:ilvl w:val="0"/>
          <w:numId w:val="16"/>
        </w:numPr>
        <w:spacing w:before="0" w:line="276" w:lineRule="auto"/>
        <w:contextualSpacing w:val="0"/>
        <w:jc w:val="both"/>
        <w:rPr>
          <w:rFonts w:ascii="Palatino Linotype" w:hAnsi="Palatino Linotype" w:eastAsia="Palatino Linotype" w:cs="Times New Roman"/>
        </w:rPr>
      </w:pPr>
      <w:r w:rsidRPr="00B27392">
        <w:rPr>
          <w:rFonts w:ascii="Palatino Linotype" w:hAnsi="Palatino Linotype"/>
          <w:bCs/>
        </w:rPr>
        <w:t xml:space="preserve">The Commission e-mailed a Notice of Availability of this Resolution on </w:t>
      </w:r>
      <w:r w:rsidRPr="00F130A9" w:rsidR="008D0A63">
        <w:rPr>
          <w:rFonts w:ascii="Palatino Linotype" w:hAnsi="Palatino Linotype"/>
          <w:bCs/>
        </w:rPr>
        <w:t>February 17, 2026</w:t>
      </w:r>
      <w:r w:rsidRPr="00F130A9">
        <w:rPr>
          <w:rFonts w:ascii="Palatino Linotype" w:hAnsi="Palatino Linotype"/>
          <w:bCs/>
        </w:rPr>
        <w:t>,</w:t>
      </w:r>
      <w:r w:rsidRPr="00B27392">
        <w:rPr>
          <w:rFonts w:ascii="Palatino Linotype" w:hAnsi="Palatino Linotype"/>
          <w:bCs/>
        </w:rPr>
        <w:t xml:space="preserve"> to all telephone carriers informing these parties that the draft of this Resolution is available at the Commission’s website </w:t>
      </w:r>
      <w:hyperlink w:history="1" r:id="rId14">
        <w:r w:rsidRPr="00B27392">
          <w:rPr>
            <w:rStyle w:val="Hyperlink"/>
            <w:rFonts w:ascii="Palatino Linotype" w:hAnsi="Palatino Linotype"/>
            <w:bCs/>
          </w:rPr>
          <w:t>http://www.cpuc.ca.gov/</w:t>
        </w:r>
      </w:hyperlink>
      <w:r w:rsidRPr="00B27392">
        <w:rPr>
          <w:rFonts w:ascii="Palatino Linotype" w:hAnsi="Palatino Linotype"/>
          <w:bCs/>
        </w:rPr>
        <w:t xml:space="preserve"> and is available for public comments. </w:t>
      </w:r>
      <w:r w:rsidR="00510150">
        <w:rPr>
          <w:rFonts w:ascii="Palatino Linotype" w:hAnsi="Palatino Linotype" w:eastAsia="Palatino Linotype" w:cs="Times New Roman"/>
        </w:rPr>
        <w:t>The Commission received no public comments.</w:t>
      </w:r>
    </w:p>
    <w:p w:rsidRPr="001942D0" w:rsidR="00C77D9C" w:rsidP="00653039" w:rsidRDefault="00C77D9C" w14:paraId="6E459984" w14:textId="46ADF5D1">
      <w:pPr>
        <w:keepNext/>
        <w:spacing w:after="240" w:line="276" w:lineRule="auto"/>
        <w:jc w:val="both"/>
        <w:outlineLvl w:val="0"/>
        <w:rPr>
          <w:rFonts w:ascii="Palatino Linotype" w:hAnsi="Palatino Linotype" w:eastAsia="Palatino Linotype" w:cs="Times New Roman"/>
          <w:b/>
          <w:caps/>
          <w:kern w:val="28"/>
          <w:u w:val="single"/>
        </w:rPr>
      </w:pPr>
      <w:r w:rsidRPr="001942D0">
        <w:rPr>
          <w:rFonts w:ascii="Palatino Linotype" w:hAnsi="Palatino Linotype" w:eastAsia="Palatino Linotype" w:cs="Times New Roman"/>
          <w:b/>
          <w:caps/>
          <w:kern w:val="28"/>
          <w:u w:val="single"/>
        </w:rPr>
        <w:t>Therefore</w:t>
      </w:r>
      <w:r w:rsidR="008D17D3">
        <w:rPr>
          <w:rFonts w:ascii="Palatino Linotype" w:hAnsi="Palatino Linotype" w:eastAsia="Palatino Linotype" w:cs="Times New Roman"/>
          <w:b/>
          <w:caps/>
          <w:kern w:val="28"/>
          <w:u w:val="single"/>
        </w:rPr>
        <w:t>,</w:t>
      </w:r>
      <w:r w:rsidRPr="001942D0">
        <w:rPr>
          <w:rFonts w:ascii="Palatino Linotype" w:hAnsi="Palatino Linotype" w:eastAsia="Palatino Linotype" w:cs="Times New Roman"/>
          <w:b/>
          <w:caps/>
          <w:kern w:val="28"/>
          <w:u w:val="single"/>
        </w:rPr>
        <w:t xml:space="preserve"> it is ordered that:</w:t>
      </w:r>
    </w:p>
    <w:p w:rsidRPr="006C5029" w:rsidR="00B27392" w:rsidP="0005769E" w:rsidRDefault="00B27392" w14:paraId="108CE92D" w14:textId="3F956650">
      <w:pPr>
        <w:pStyle w:val="ListParagraph"/>
        <w:numPr>
          <w:ilvl w:val="0"/>
          <w:numId w:val="17"/>
        </w:numPr>
        <w:spacing w:before="0" w:line="276" w:lineRule="auto"/>
        <w:contextualSpacing w:val="0"/>
        <w:jc w:val="both"/>
        <w:rPr>
          <w:rFonts w:ascii="Palatino Linotype" w:hAnsi="Palatino Linotype"/>
        </w:rPr>
      </w:pPr>
      <w:r w:rsidRPr="006C5029">
        <w:rPr>
          <w:rFonts w:ascii="Palatino Linotype" w:hAnsi="Palatino Linotype"/>
        </w:rPr>
        <w:t xml:space="preserve">Within thirty (30) days of the effective date of this Resolution, each of the carriers listed in Appendix A shall fully comply with the citation issued by submitting the outstanding Annual Reports </w:t>
      </w:r>
      <w:r w:rsidR="0041398F">
        <w:rPr>
          <w:rFonts w:ascii="Palatino Linotype" w:hAnsi="Palatino Linotype"/>
        </w:rPr>
        <w:t xml:space="preserve">for Calendar Year 2024 </w:t>
      </w:r>
      <w:r w:rsidRPr="006C5029">
        <w:rPr>
          <w:rFonts w:ascii="Palatino Linotype" w:hAnsi="Palatino Linotype"/>
        </w:rPr>
        <w:t>and/or Annual Performance Bonds and paying the outstanding penalty.</w:t>
      </w:r>
    </w:p>
    <w:p w:rsidRPr="006C5029" w:rsidR="00B27392" w:rsidP="0005769E" w:rsidRDefault="00B27392" w14:paraId="08DA25E3" w14:textId="4EF4DC05">
      <w:pPr>
        <w:pStyle w:val="ListParagraph"/>
        <w:numPr>
          <w:ilvl w:val="0"/>
          <w:numId w:val="17"/>
        </w:numPr>
        <w:spacing w:before="0" w:line="276" w:lineRule="auto"/>
        <w:contextualSpacing w:val="0"/>
        <w:jc w:val="both"/>
        <w:rPr>
          <w:rFonts w:ascii="Palatino Linotype" w:hAnsi="Palatino Linotype"/>
        </w:rPr>
      </w:pPr>
      <w:r w:rsidRPr="006C5029">
        <w:rPr>
          <w:rFonts w:ascii="Palatino Linotype" w:hAnsi="Palatino Linotype"/>
        </w:rPr>
        <w:t xml:space="preserve">Failure by any carrier listed in Appendix A to comply with Ordering </w:t>
      </w:r>
      <w:r>
        <w:rPr>
          <w:rFonts w:ascii="Palatino Linotype" w:hAnsi="Palatino Linotype"/>
        </w:rPr>
        <w:t>P</w:t>
      </w:r>
      <w:r w:rsidRPr="006C5029">
        <w:rPr>
          <w:rFonts w:ascii="Palatino Linotype" w:hAnsi="Palatino Linotype"/>
        </w:rPr>
        <w:t>aragraph 1</w:t>
      </w:r>
      <w:r>
        <w:rPr>
          <w:rFonts w:ascii="Palatino Linotype" w:hAnsi="Palatino Linotype"/>
        </w:rPr>
        <w:t xml:space="preserve"> </w:t>
      </w:r>
      <w:r w:rsidRPr="006C5029">
        <w:rPr>
          <w:rFonts w:ascii="Palatino Linotype" w:hAnsi="Palatino Linotype"/>
        </w:rPr>
        <w:t>of this Resolution shall result in immediate revocation of its operating authority</w:t>
      </w:r>
      <w:r>
        <w:rPr>
          <w:rFonts w:ascii="Palatino Linotype" w:hAnsi="Palatino Linotype"/>
        </w:rPr>
        <w:t xml:space="preserve"> </w:t>
      </w:r>
      <w:r w:rsidRPr="006C5029">
        <w:rPr>
          <w:rFonts w:ascii="Palatino Linotype" w:hAnsi="Palatino Linotype"/>
        </w:rPr>
        <w:t>or registration</w:t>
      </w:r>
      <w:r w:rsidR="0041398F">
        <w:rPr>
          <w:rFonts w:ascii="Palatino Linotype" w:hAnsi="Palatino Linotype"/>
        </w:rPr>
        <w:t xml:space="preserve"> approval</w:t>
      </w:r>
      <w:r w:rsidRPr="006C5029">
        <w:rPr>
          <w:rFonts w:ascii="Palatino Linotype" w:hAnsi="Palatino Linotype"/>
        </w:rPr>
        <w:t xml:space="preserve"> from the Commission and it no longer will be authorized to</w:t>
      </w:r>
      <w:r>
        <w:rPr>
          <w:rFonts w:ascii="Palatino Linotype" w:hAnsi="Palatino Linotype"/>
        </w:rPr>
        <w:t xml:space="preserve"> </w:t>
      </w:r>
      <w:r w:rsidRPr="006C5029">
        <w:rPr>
          <w:rFonts w:ascii="Palatino Linotype" w:hAnsi="Palatino Linotype"/>
        </w:rPr>
        <w:t>provide service in California.</w:t>
      </w:r>
    </w:p>
    <w:p w:rsidR="00B27392" w:rsidP="0005769E" w:rsidRDefault="00B27392" w14:paraId="33EC3455" w14:textId="500BA1CB">
      <w:pPr>
        <w:pStyle w:val="ListParagraph"/>
        <w:numPr>
          <w:ilvl w:val="0"/>
          <w:numId w:val="17"/>
        </w:numPr>
        <w:spacing w:before="0" w:line="276" w:lineRule="auto"/>
        <w:contextualSpacing w:val="0"/>
        <w:jc w:val="both"/>
        <w:rPr>
          <w:rFonts w:ascii="Palatino Linotype" w:hAnsi="Palatino Linotype"/>
        </w:rPr>
      </w:pPr>
      <w:r w:rsidRPr="006C5029">
        <w:rPr>
          <w:rFonts w:ascii="Palatino Linotype" w:hAnsi="Palatino Linotype"/>
        </w:rPr>
        <w:lastRenderedPageBreak/>
        <w:t>All telephone corporations shall notify CD staff via email to</w:t>
      </w:r>
      <w:r>
        <w:rPr>
          <w:rFonts w:ascii="Palatino Linotype" w:hAnsi="Palatino Linotype"/>
        </w:rPr>
        <w:t xml:space="preserve"> </w:t>
      </w:r>
      <w:hyperlink w:history="1" r:id="rId15">
        <w:r w:rsidRPr="00FF5462">
          <w:rPr>
            <w:rStyle w:val="Hyperlink"/>
            <w:rFonts w:ascii="Palatino Linotype" w:hAnsi="Palatino Linotype"/>
          </w:rPr>
          <w:t>cdcompliance@cpuc.ca.gov</w:t>
        </w:r>
      </w:hyperlink>
      <w:r>
        <w:rPr>
          <w:rFonts w:ascii="Palatino Linotype" w:hAnsi="Palatino Linotype"/>
        </w:rPr>
        <w:t xml:space="preserve"> </w:t>
      </w:r>
      <w:r w:rsidRPr="006C5029">
        <w:rPr>
          <w:rFonts w:ascii="Palatino Linotype" w:hAnsi="Palatino Linotype"/>
        </w:rPr>
        <w:t>if they provide services to any of the carriers listed in</w:t>
      </w:r>
      <w:r>
        <w:rPr>
          <w:rFonts w:ascii="Palatino Linotype" w:hAnsi="Palatino Linotype"/>
        </w:rPr>
        <w:t xml:space="preserve"> </w:t>
      </w:r>
      <w:r w:rsidRPr="006C5029">
        <w:rPr>
          <w:rFonts w:ascii="Palatino Linotype" w:hAnsi="Palatino Linotype"/>
        </w:rPr>
        <w:t xml:space="preserve">Appendix A </w:t>
      </w:r>
      <w:r w:rsidR="0041398F">
        <w:rPr>
          <w:rFonts w:ascii="Palatino Linotype" w:hAnsi="Palatino Linotype"/>
        </w:rPr>
        <w:t xml:space="preserve">of this Resolution </w:t>
      </w:r>
      <w:r w:rsidRPr="006C5029">
        <w:rPr>
          <w:rFonts w:ascii="Palatino Linotype" w:hAnsi="Palatino Linotype"/>
        </w:rPr>
        <w:t>and cease from conducting business with the carriers whose licenses</w:t>
      </w:r>
      <w:r>
        <w:rPr>
          <w:rFonts w:ascii="Palatino Linotype" w:hAnsi="Palatino Linotype"/>
        </w:rPr>
        <w:t xml:space="preserve"> </w:t>
      </w:r>
      <w:r w:rsidRPr="006C5029">
        <w:rPr>
          <w:rFonts w:ascii="Palatino Linotype" w:hAnsi="Palatino Linotype"/>
        </w:rPr>
        <w:t>have been revoked by this Resolution.</w:t>
      </w:r>
      <w:r w:rsidR="000F12F1">
        <w:rPr>
          <w:rFonts w:ascii="Palatino Linotype" w:hAnsi="Palatino Linotype"/>
        </w:rPr>
        <w:t xml:space="preserve"> </w:t>
      </w:r>
    </w:p>
    <w:p w:rsidRPr="006C5029" w:rsidR="00B27392" w:rsidP="0005769E" w:rsidRDefault="00B27392" w14:paraId="07A06392" w14:textId="366A30B7">
      <w:pPr>
        <w:pStyle w:val="ListParagraph"/>
        <w:numPr>
          <w:ilvl w:val="0"/>
          <w:numId w:val="17"/>
        </w:numPr>
        <w:spacing w:before="0" w:line="276" w:lineRule="auto"/>
        <w:contextualSpacing w:val="0"/>
        <w:jc w:val="both"/>
        <w:rPr>
          <w:rFonts w:ascii="Palatino Linotype" w:hAnsi="Palatino Linotype"/>
        </w:rPr>
      </w:pPr>
      <w:r w:rsidRPr="006C5029">
        <w:rPr>
          <w:rFonts w:ascii="Palatino Linotype" w:hAnsi="Palatino Linotype"/>
        </w:rPr>
        <w:t>Carriers seeking to continue operations in the State of California must file a new</w:t>
      </w:r>
      <w:r>
        <w:rPr>
          <w:rFonts w:ascii="Palatino Linotype" w:hAnsi="Palatino Linotype"/>
        </w:rPr>
        <w:t xml:space="preserve"> </w:t>
      </w:r>
      <w:r w:rsidRPr="006C5029">
        <w:rPr>
          <w:rFonts w:ascii="Palatino Linotype" w:hAnsi="Palatino Linotype"/>
        </w:rPr>
        <w:t>request for operating authority or registration with the Commission. Wireline</w:t>
      </w:r>
      <w:r>
        <w:rPr>
          <w:rFonts w:ascii="Palatino Linotype" w:hAnsi="Palatino Linotype"/>
        </w:rPr>
        <w:t xml:space="preserve"> </w:t>
      </w:r>
      <w:r w:rsidRPr="006C5029">
        <w:rPr>
          <w:rFonts w:ascii="Palatino Linotype" w:hAnsi="Palatino Linotype"/>
        </w:rPr>
        <w:t>carriers shall file a CPCN application and cannot use the Simplified Registration</w:t>
      </w:r>
      <w:r>
        <w:rPr>
          <w:rFonts w:ascii="Palatino Linotype" w:hAnsi="Palatino Linotype"/>
        </w:rPr>
        <w:t xml:space="preserve"> </w:t>
      </w:r>
      <w:r w:rsidRPr="006C5029">
        <w:rPr>
          <w:rFonts w:ascii="Palatino Linotype" w:hAnsi="Palatino Linotype"/>
        </w:rPr>
        <w:t>process pursuant to Pub. Util. Code § 1013. Wireless carriers shall file a new WIR</w:t>
      </w:r>
      <w:r>
        <w:rPr>
          <w:rFonts w:ascii="Palatino Linotype" w:hAnsi="Palatino Linotype"/>
        </w:rPr>
        <w:t xml:space="preserve"> registration</w:t>
      </w:r>
      <w:r w:rsidRPr="006C5029">
        <w:rPr>
          <w:rFonts w:ascii="Palatino Linotype" w:hAnsi="Palatino Linotype"/>
        </w:rPr>
        <w:t xml:space="preserve">. </w:t>
      </w:r>
      <w:r w:rsidR="008D17D3">
        <w:rPr>
          <w:rFonts w:ascii="Palatino Linotype" w:hAnsi="Palatino Linotype"/>
        </w:rPr>
        <w:t>Nomadic-only VoIP</w:t>
      </w:r>
      <w:r w:rsidRPr="006C5029" w:rsidR="008D17D3">
        <w:rPr>
          <w:rFonts w:ascii="Palatino Linotype" w:hAnsi="Palatino Linotype"/>
        </w:rPr>
        <w:t xml:space="preserve"> carriers shall file a new </w:t>
      </w:r>
      <w:r w:rsidR="000C201E">
        <w:rPr>
          <w:rFonts w:ascii="Palatino Linotype" w:hAnsi="Palatino Linotype"/>
        </w:rPr>
        <w:t xml:space="preserve">Nomadic </w:t>
      </w:r>
      <w:r w:rsidR="008D17D3">
        <w:rPr>
          <w:rFonts w:ascii="Palatino Linotype" w:hAnsi="Palatino Linotype"/>
        </w:rPr>
        <w:t>registration</w:t>
      </w:r>
      <w:r w:rsidRPr="006C5029" w:rsidR="008D17D3">
        <w:rPr>
          <w:rFonts w:ascii="Palatino Linotype" w:hAnsi="Palatino Linotype"/>
        </w:rPr>
        <w:t xml:space="preserve">. </w:t>
      </w:r>
      <w:r w:rsidRPr="006C5029">
        <w:rPr>
          <w:rFonts w:ascii="Palatino Linotype" w:hAnsi="Palatino Linotype"/>
        </w:rPr>
        <w:t xml:space="preserve">All carriers shall disclose the previous revocation via </w:t>
      </w:r>
      <w:proofErr w:type="gramStart"/>
      <w:r w:rsidRPr="006C5029">
        <w:rPr>
          <w:rFonts w:ascii="Palatino Linotype" w:hAnsi="Palatino Linotype"/>
        </w:rPr>
        <w:t>a sworn affidavit</w:t>
      </w:r>
      <w:proofErr w:type="gramEnd"/>
      <w:r>
        <w:rPr>
          <w:rFonts w:ascii="Palatino Linotype" w:hAnsi="Palatino Linotype"/>
        </w:rPr>
        <w:t xml:space="preserve"> </w:t>
      </w:r>
      <w:r w:rsidRPr="006C5029">
        <w:rPr>
          <w:rFonts w:ascii="Palatino Linotype" w:hAnsi="Palatino Linotype"/>
        </w:rPr>
        <w:t>and pay all outstanding penalties, interest or fines owed to the Commission to be</w:t>
      </w:r>
      <w:r>
        <w:rPr>
          <w:rFonts w:ascii="Palatino Linotype" w:hAnsi="Palatino Linotype"/>
        </w:rPr>
        <w:t xml:space="preserve"> </w:t>
      </w:r>
      <w:r w:rsidRPr="006C5029">
        <w:rPr>
          <w:rFonts w:ascii="Palatino Linotype" w:hAnsi="Palatino Linotype"/>
        </w:rPr>
        <w:t>granted a registration or authority to operate in California.</w:t>
      </w:r>
    </w:p>
    <w:p w:rsidRPr="006C5029" w:rsidR="00B27392" w:rsidP="0005769E" w:rsidRDefault="00B27392" w14:paraId="2F187E7B" w14:textId="77777777">
      <w:pPr>
        <w:pStyle w:val="ListParagraph"/>
        <w:numPr>
          <w:ilvl w:val="0"/>
          <w:numId w:val="17"/>
        </w:numPr>
        <w:spacing w:before="0" w:line="276" w:lineRule="auto"/>
        <w:contextualSpacing w:val="0"/>
        <w:jc w:val="both"/>
        <w:rPr>
          <w:rFonts w:ascii="Palatino Linotype" w:hAnsi="Palatino Linotype"/>
        </w:rPr>
      </w:pPr>
      <w:r w:rsidRPr="006C5029">
        <w:rPr>
          <w:rFonts w:ascii="Palatino Linotype" w:hAnsi="Palatino Linotype"/>
        </w:rPr>
        <w:t>Carriers that continue to operate after revocation of their operating authority or</w:t>
      </w:r>
      <w:r>
        <w:rPr>
          <w:rFonts w:ascii="Palatino Linotype" w:hAnsi="Palatino Linotype"/>
        </w:rPr>
        <w:t xml:space="preserve"> </w:t>
      </w:r>
      <w:r w:rsidRPr="006C5029">
        <w:rPr>
          <w:rFonts w:ascii="Palatino Linotype" w:hAnsi="Palatino Linotype"/>
        </w:rPr>
        <w:t>registration and fail to obtain the requisite operating authority or registration</w:t>
      </w:r>
      <w:r>
        <w:rPr>
          <w:rFonts w:ascii="Palatino Linotype" w:hAnsi="Palatino Linotype"/>
        </w:rPr>
        <w:t xml:space="preserve"> </w:t>
      </w:r>
      <w:r w:rsidRPr="006C5029">
        <w:rPr>
          <w:rFonts w:ascii="Palatino Linotype" w:hAnsi="Palatino Linotype"/>
        </w:rPr>
        <w:t>shall be subject to enforcement action by the Commission, including possible</w:t>
      </w:r>
      <w:r>
        <w:rPr>
          <w:rFonts w:ascii="Palatino Linotype" w:hAnsi="Palatino Linotype"/>
        </w:rPr>
        <w:t xml:space="preserve"> </w:t>
      </w:r>
      <w:r w:rsidRPr="006C5029">
        <w:rPr>
          <w:rFonts w:ascii="Palatino Linotype" w:hAnsi="Palatino Linotype"/>
        </w:rPr>
        <w:t>fines or other sanctions.</w:t>
      </w:r>
    </w:p>
    <w:p w:rsidRPr="001942D0" w:rsidR="00C77D9C" w:rsidP="00653039" w:rsidRDefault="00C77D9C" w14:paraId="753E7F7D" w14:textId="77777777">
      <w:pPr>
        <w:keepNext/>
        <w:tabs>
          <w:tab w:val="left" w:pos="720"/>
          <w:tab w:val="left" w:pos="1296"/>
          <w:tab w:val="left" w:pos="2016"/>
          <w:tab w:val="left" w:pos="2736"/>
          <w:tab w:val="left" w:pos="3456"/>
          <w:tab w:val="left" w:pos="4176"/>
          <w:tab w:val="left" w:pos="5760"/>
        </w:tabs>
        <w:spacing w:line="276" w:lineRule="auto"/>
        <w:rPr>
          <w:rFonts w:ascii="Palatino Linotype" w:hAnsi="Palatino Linotype" w:eastAsia="Palatino Linotype" w:cs="Times New Roman"/>
        </w:rPr>
      </w:pPr>
      <w:r w:rsidRPr="001942D0">
        <w:rPr>
          <w:rFonts w:ascii="Palatino Linotype" w:hAnsi="Palatino Linotype" w:eastAsia="Palatino Linotype" w:cs="Times New Roman"/>
        </w:rPr>
        <w:t>This Resolution is effective today.</w:t>
      </w:r>
    </w:p>
    <w:p w:rsidR="00FC3AB5" w:rsidP="00613C4C" w:rsidRDefault="00C77D9C" w14:paraId="423F3174" w14:textId="3AB75782">
      <w:pPr>
        <w:tabs>
          <w:tab w:val="right" w:pos="8640"/>
        </w:tabs>
        <w:ind w:left="5760"/>
        <w:jc w:val="both"/>
        <w:rPr>
          <w:rFonts w:ascii="Palatino Linotype" w:hAnsi="Palatino Linotype"/>
        </w:rPr>
      </w:pPr>
      <w:r>
        <w:rPr>
          <w:rFonts w:ascii="Palatino Linotype" w:hAnsi="Palatino Linotype" w:eastAsia="Palatino Linotype" w:cs="Times New Roman"/>
        </w:rPr>
        <w:tab/>
      </w:r>
      <w:r>
        <w:rPr>
          <w:rFonts w:ascii="Palatino Linotype" w:hAnsi="Palatino Linotype" w:eastAsia="Palatino Linotype" w:cs="Times New Roman"/>
        </w:rPr>
        <w:tab/>
      </w:r>
      <w:r w:rsidRPr="00B365CE" w:rsidR="0035713F">
        <w:rPr>
          <w:rFonts w:ascii="Palatino Linotype" w:hAnsi="Palatino Linotype"/>
        </w:rPr>
        <w:t xml:space="preserve">                                                                                      </w:t>
      </w:r>
      <w:r w:rsidR="0035713F">
        <w:rPr>
          <w:rFonts w:ascii="Palatino Linotype" w:hAnsi="Palatino Linotype"/>
        </w:rPr>
        <w:t xml:space="preserve">       </w:t>
      </w:r>
      <w:r w:rsidRPr="00B365CE" w:rsidR="0035713F">
        <w:rPr>
          <w:rFonts w:ascii="Palatino Linotype" w:hAnsi="Palatino Linotype"/>
        </w:rPr>
        <w:t xml:space="preserve"> </w:t>
      </w:r>
      <w:r w:rsidR="0035713F">
        <w:rPr>
          <w:rFonts w:ascii="Palatino Linotype" w:hAnsi="Palatino Linotype"/>
        </w:rPr>
        <w:t xml:space="preserve">           </w:t>
      </w:r>
    </w:p>
    <w:p w:rsidR="00FC3AB5" w:rsidP="00FC3AB5" w:rsidRDefault="00C77D9C" w14:paraId="2F995661" w14:textId="52741FF4">
      <w:pPr>
        <w:pStyle w:val="10sp0"/>
        <w:spacing w:after="480" w:line="276" w:lineRule="auto"/>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1C5DE4">
        <w:rPr>
          <w:rFonts w:ascii="Palatino Linotype" w:hAnsi="Palatino Linotype"/>
        </w:rPr>
        <w:t xml:space="preserve">on </w:t>
      </w:r>
      <w:r w:rsidR="0035713F">
        <w:rPr>
          <w:rFonts w:ascii="Palatino Linotype" w:hAnsi="Palatino Linotype"/>
        </w:rPr>
        <w:t>March 19, 202</w:t>
      </w:r>
      <w:r w:rsidR="007E46E3">
        <w:rPr>
          <w:rFonts w:ascii="Palatino Linotype" w:hAnsi="Palatino Linotype"/>
        </w:rPr>
        <w:t>6</w:t>
      </w:r>
      <w:r w:rsidRPr="001C5DE4">
        <w:rPr>
          <w:rFonts w:ascii="Palatino Linotype" w:hAnsi="Palatino Linotype"/>
        </w:rPr>
        <w:t>;</w:t>
      </w:r>
      <w:r w:rsidRPr="0051493D">
        <w:rPr>
          <w:rFonts w:ascii="Palatino Linotype" w:hAnsi="Palatino Linotype"/>
        </w:rPr>
        <w:t xml:space="preserve"> the following Commissioners voting favorably thereon:</w:t>
      </w:r>
    </w:p>
    <w:p w:rsidRPr="002A166A" w:rsidR="00613C4C" w:rsidP="00613C4C" w:rsidRDefault="00613C4C" w14:paraId="2AE8B572" w14:textId="77777777">
      <w:pPr>
        <w:tabs>
          <w:tab w:val="right" w:pos="8640"/>
        </w:tabs>
        <w:ind w:left="5760"/>
        <w:jc w:val="both"/>
        <w:rPr>
          <w:rFonts w:ascii="Palatino Linotype" w:hAnsi="Palatino Linotype"/>
          <w:u w:val="single"/>
        </w:rPr>
      </w:pPr>
      <w:r w:rsidRPr="002A166A">
        <w:rPr>
          <w:rFonts w:ascii="Palatino Linotype" w:hAnsi="Palatino Linotype"/>
          <w:u w:val="single"/>
        </w:rPr>
        <w:t xml:space="preserve">/s/ </w:t>
      </w:r>
      <w:r>
        <w:rPr>
          <w:rFonts w:ascii="Palatino Linotype" w:hAnsi="Palatino Linotype"/>
          <w:u w:val="single"/>
        </w:rPr>
        <w:t>LEUWAM TESFAI</w:t>
      </w:r>
      <w:r w:rsidRPr="002A166A">
        <w:rPr>
          <w:rFonts w:ascii="Palatino Linotype" w:hAnsi="Palatino Linotype"/>
          <w:u w:val="single"/>
        </w:rPr>
        <w:t xml:space="preserve">         </w:t>
      </w:r>
    </w:p>
    <w:p w:rsidRPr="002A166A" w:rsidR="00613C4C" w:rsidP="00613C4C" w:rsidRDefault="00613C4C" w14:paraId="3C85AD7B" w14:textId="77777777">
      <w:pPr>
        <w:tabs>
          <w:tab w:val="right" w:pos="7800"/>
        </w:tabs>
        <w:jc w:val="both"/>
        <w:rPr>
          <w:rFonts w:ascii="Palatino Linotype" w:hAnsi="Palatino Linotype"/>
        </w:rPr>
      </w:pPr>
      <w:r w:rsidRPr="002A166A">
        <w:rPr>
          <w:rFonts w:ascii="Palatino Linotype" w:hAnsi="Palatino Linotype"/>
        </w:rPr>
        <w:t xml:space="preserve">                                                                                             </w:t>
      </w:r>
      <w:r>
        <w:rPr>
          <w:rFonts w:ascii="Palatino Linotype" w:hAnsi="Palatino Linotype"/>
        </w:rPr>
        <w:t xml:space="preserve">       </w:t>
      </w:r>
      <w:proofErr w:type="spellStart"/>
      <w:r w:rsidRPr="008045B7">
        <w:rPr>
          <w:rFonts w:ascii="Palatino Linotype" w:hAnsi="Palatino Linotype"/>
        </w:rPr>
        <w:t>Leuwam</w:t>
      </w:r>
      <w:proofErr w:type="spellEnd"/>
      <w:r w:rsidRPr="008045B7">
        <w:t> </w:t>
      </w:r>
      <w:r w:rsidRPr="008045B7">
        <w:rPr>
          <w:rFonts w:ascii="Palatino Linotype" w:hAnsi="Palatino Linotype"/>
        </w:rPr>
        <w:t>Tesfai</w:t>
      </w:r>
    </w:p>
    <w:p w:rsidRPr="002A166A" w:rsidR="00613C4C" w:rsidP="00613C4C" w:rsidRDefault="00613C4C" w14:paraId="6F5D2411" w14:textId="77777777">
      <w:pPr>
        <w:ind w:right="177"/>
        <w:rPr>
          <w:rFonts w:ascii="Palatino Linotype" w:hAnsi="Palatino Linotype"/>
        </w:rPr>
      </w:pP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t xml:space="preserve">       </w:t>
      </w:r>
      <w:r>
        <w:rPr>
          <w:rFonts w:ascii="Palatino Linotype" w:hAnsi="Palatino Linotype"/>
        </w:rPr>
        <w:t xml:space="preserve">      </w:t>
      </w:r>
      <w:r w:rsidRPr="002A166A">
        <w:rPr>
          <w:rFonts w:ascii="Palatino Linotype" w:hAnsi="Palatino Linotype"/>
        </w:rPr>
        <w:t>Executive Director</w:t>
      </w:r>
    </w:p>
    <w:p w:rsidRPr="002A166A" w:rsidR="00613C4C" w:rsidP="00613C4C" w:rsidRDefault="00613C4C" w14:paraId="633D9EF4" w14:textId="77777777">
      <w:pPr>
        <w:ind w:right="177"/>
        <w:rPr>
          <w:rFonts w:ascii="Palatino Linotype" w:hAnsi="Palatino Linotype"/>
        </w:rPr>
      </w:pPr>
    </w:p>
    <w:p w:rsidRPr="002A166A" w:rsidR="00613C4C" w:rsidP="00613C4C" w:rsidRDefault="00613C4C" w14:paraId="4E07DD5E" w14:textId="77777777">
      <w:pPr>
        <w:ind w:left="5760" w:right="177"/>
        <w:rPr>
          <w:rFonts w:ascii="Palatino Linotype" w:hAnsi="Palatino Linotype"/>
        </w:rPr>
      </w:pPr>
      <w:r w:rsidRPr="002A166A">
        <w:rPr>
          <w:rFonts w:ascii="Palatino Linotype" w:hAnsi="Palatino Linotype"/>
        </w:rPr>
        <w:t>ALICE REYNOLDS</w:t>
      </w:r>
    </w:p>
    <w:p w:rsidRPr="002A166A" w:rsidR="00613C4C" w:rsidP="00613C4C" w:rsidRDefault="00613C4C" w14:paraId="1EC43A1D" w14:textId="77777777">
      <w:pPr>
        <w:ind w:left="5760" w:right="177"/>
        <w:rPr>
          <w:rFonts w:ascii="Palatino Linotype" w:hAnsi="Palatino Linotype"/>
        </w:rPr>
      </w:pPr>
      <w:r>
        <w:rPr>
          <w:rFonts w:ascii="Palatino Linotype" w:hAnsi="Palatino Linotype"/>
        </w:rPr>
        <w:t xml:space="preserve">         </w:t>
      </w:r>
      <w:r w:rsidRPr="002A166A">
        <w:rPr>
          <w:rFonts w:ascii="Palatino Linotype" w:hAnsi="Palatino Linotype"/>
        </w:rPr>
        <w:t>President</w:t>
      </w:r>
    </w:p>
    <w:p w:rsidRPr="002A166A" w:rsidR="00613C4C" w:rsidP="00613C4C" w:rsidRDefault="00613C4C" w14:paraId="68F631A4" w14:textId="77777777">
      <w:pPr>
        <w:ind w:left="5760" w:right="177"/>
        <w:rPr>
          <w:rFonts w:ascii="Palatino Linotype" w:hAnsi="Palatino Linotype"/>
        </w:rPr>
      </w:pPr>
      <w:r w:rsidRPr="002A166A">
        <w:rPr>
          <w:rFonts w:ascii="Palatino Linotype" w:hAnsi="Palatino Linotype"/>
        </w:rPr>
        <w:t>DARCIE L. HOUCK</w:t>
      </w:r>
    </w:p>
    <w:p w:rsidRPr="002A166A" w:rsidR="00613C4C" w:rsidP="00613C4C" w:rsidRDefault="00613C4C" w14:paraId="47DB48E1" w14:textId="77777777">
      <w:pPr>
        <w:ind w:left="5760" w:right="177"/>
        <w:rPr>
          <w:rFonts w:ascii="Palatino Linotype" w:hAnsi="Palatino Linotype"/>
        </w:rPr>
      </w:pPr>
      <w:r w:rsidRPr="002A166A">
        <w:rPr>
          <w:rFonts w:ascii="Palatino Linotype" w:hAnsi="Palatino Linotype"/>
        </w:rPr>
        <w:t>JOHN REYNOLDS</w:t>
      </w:r>
    </w:p>
    <w:p w:rsidRPr="002A166A" w:rsidR="00613C4C" w:rsidP="00613C4C" w:rsidRDefault="00613C4C" w14:paraId="4287B395" w14:textId="77777777">
      <w:pPr>
        <w:ind w:left="5760" w:right="177"/>
        <w:rPr>
          <w:rFonts w:ascii="Palatino Linotype" w:hAnsi="Palatino Linotype"/>
        </w:rPr>
      </w:pPr>
      <w:r w:rsidRPr="002A166A">
        <w:rPr>
          <w:rFonts w:ascii="Palatino Linotype" w:hAnsi="Palatino Linotype"/>
        </w:rPr>
        <w:lastRenderedPageBreak/>
        <w:t>KAREN DOUGLAS</w:t>
      </w:r>
    </w:p>
    <w:p w:rsidRPr="002A166A" w:rsidR="00613C4C" w:rsidP="00613C4C" w:rsidRDefault="00613C4C" w14:paraId="6B013EC8" w14:textId="77777777">
      <w:pPr>
        <w:ind w:left="5760" w:right="177"/>
        <w:rPr>
          <w:rFonts w:ascii="Palatino Linotype" w:hAnsi="Palatino Linotype"/>
        </w:rPr>
      </w:pPr>
      <w:r w:rsidRPr="002A166A">
        <w:rPr>
          <w:rFonts w:ascii="Palatino Linotype" w:hAnsi="Palatino Linotype"/>
        </w:rPr>
        <w:t>MATTHEW BAKER</w:t>
      </w:r>
    </w:p>
    <w:p w:rsidR="00613C4C" w:rsidP="00613C4C" w:rsidRDefault="00613C4C" w14:paraId="29D26ED3" w14:textId="77777777">
      <w:pPr>
        <w:ind w:left="5760" w:right="177"/>
        <w:rPr>
          <w:rFonts w:ascii="Palatino Linotype" w:hAnsi="Palatino Linotype"/>
        </w:rPr>
      </w:pPr>
      <w:r>
        <w:rPr>
          <w:rFonts w:ascii="Palatino Linotype" w:hAnsi="Palatino Linotype"/>
        </w:rPr>
        <w:t xml:space="preserve">    </w:t>
      </w:r>
      <w:r w:rsidRPr="002A166A">
        <w:rPr>
          <w:rFonts w:ascii="Palatino Linotype" w:hAnsi="Palatino Linotype"/>
        </w:rPr>
        <w:t>Commissioners</w:t>
      </w:r>
    </w:p>
    <w:p w:rsidR="00613C4C" w:rsidP="00FC3AB5" w:rsidRDefault="00613C4C" w14:paraId="2204BD8E" w14:textId="77777777">
      <w:pPr>
        <w:pStyle w:val="10sp0"/>
        <w:spacing w:after="480" w:line="276" w:lineRule="auto"/>
        <w:rPr>
          <w:rFonts w:ascii="Palatino Linotype" w:hAnsi="Palatino Linotype" w:eastAsia="Palatino Linotype"/>
        </w:rPr>
      </w:pPr>
    </w:p>
    <w:p w:rsidR="0041398F" w:rsidP="00A538BC" w:rsidRDefault="00C77D9C" w14:paraId="4A087815" w14:textId="646655FF">
      <w:pPr>
        <w:pStyle w:val="10sp0"/>
        <w:spacing w:after="480" w:line="276" w:lineRule="auto"/>
        <w:rPr>
          <w:rFonts w:ascii="Palatino Linotype" w:hAnsi="Palatino Linotype" w:eastAsia="Palatino Linotype"/>
        </w:rPr>
      </w:pPr>
      <w:r w:rsidRPr="00921E87">
        <w:rPr>
          <w:rFonts w:ascii="Palatino Linotype" w:hAnsi="Palatino Linotype" w:eastAsia="Palatino Linotype"/>
        </w:rPr>
        <w:t xml:space="preserve">Dated </w:t>
      </w:r>
      <w:r w:rsidR="0035713F">
        <w:rPr>
          <w:rFonts w:ascii="Palatino Linotype" w:hAnsi="Palatino Linotype" w:eastAsia="Palatino Linotype"/>
        </w:rPr>
        <w:t>March 19, 2026</w:t>
      </w:r>
      <w:r w:rsidRPr="00921E87">
        <w:rPr>
          <w:rFonts w:ascii="Palatino Linotype" w:hAnsi="Palatino Linotype" w:eastAsia="Palatino Linotype"/>
        </w:rPr>
        <w:t xml:space="preserve">, </w:t>
      </w:r>
      <w:proofErr w:type="gramStart"/>
      <w:r w:rsidRPr="00921E87">
        <w:rPr>
          <w:rFonts w:ascii="Palatino Linotype" w:hAnsi="Palatino Linotype" w:eastAsia="Palatino Linotype"/>
        </w:rPr>
        <w:t>at</w:t>
      </w:r>
      <w:proofErr w:type="gramEnd"/>
      <w:r w:rsidRPr="00921E87">
        <w:rPr>
          <w:rFonts w:ascii="Palatino Linotype" w:hAnsi="Palatino Linotype" w:eastAsia="Palatino Linotype"/>
        </w:rPr>
        <w:t xml:space="preserve"> </w:t>
      </w:r>
      <w:r w:rsidR="0035713F">
        <w:rPr>
          <w:rFonts w:ascii="Palatino Linotype" w:hAnsi="Palatino Linotype" w:eastAsia="Palatino Linotype"/>
        </w:rPr>
        <w:t>Sacramento,</w:t>
      </w:r>
      <w:r w:rsidRPr="00921E87">
        <w:rPr>
          <w:rFonts w:ascii="Palatino Linotype" w:hAnsi="Palatino Linotype" w:eastAsia="Palatino Linotype"/>
        </w:rPr>
        <w:t xml:space="preserve"> California</w:t>
      </w:r>
      <w:r w:rsidR="0035713F">
        <w:rPr>
          <w:rFonts w:ascii="Palatino Linotype" w:hAnsi="Palatino Linotype" w:eastAsia="Palatino Linotype"/>
        </w:rPr>
        <w:t>.</w:t>
      </w:r>
      <w:r w:rsidR="0041398F">
        <w:rPr>
          <w:rFonts w:ascii="Palatino Linotype" w:hAnsi="Palatino Linotype" w:eastAsia="Palatino Linotype"/>
        </w:rPr>
        <w:br w:type="page"/>
      </w:r>
    </w:p>
    <w:p w:rsidR="009243C9" w:rsidP="00653039" w:rsidRDefault="009243C9" w14:paraId="552249FA" w14:textId="77777777">
      <w:pPr>
        <w:spacing w:after="240" w:line="276" w:lineRule="auto"/>
        <w:contextualSpacing/>
        <w:jc w:val="center"/>
        <w:rPr>
          <w:rFonts w:ascii="Palatino Linotype" w:hAnsi="Palatino Linotype"/>
          <w:b/>
          <w:bCs/>
        </w:rPr>
      </w:pPr>
    </w:p>
    <w:p w:rsidR="00B27392" w:rsidP="00653039" w:rsidRDefault="00B27392" w14:paraId="386E1631" w14:textId="2767D34F">
      <w:pPr>
        <w:spacing w:after="240" w:line="276" w:lineRule="auto"/>
        <w:contextualSpacing/>
        <w:jc w:val="center"/>
        <w:rPr>
          <w:rFonts w:ascii="Palatino Linotype" w:hAnsi="Palatino Linotype"/>
          <w:b/>
          <w:bCs/>
        </w:rPr>
      </w:pPr>
      <w:r w:rsidRPr="00653039">
        <w:rPr>
          <w:rFonts w:ascii="Palatino Linotype" w:hAnsi="Palatino Linotype"/>
          <w:b/>
          <w:bCs/>
        </w:rPr>
        <w:t>Appendix A</w:t>
      </w:r>
    </w:p>
    <w:p w:rsidRPr="00EC244B" w:rsidR="00B27392" w:rsidP="00653039" w:rsidRDefault="00B27392" w14:paraId="72562DC4" w14:textId="77777777">
      <w:pPr>
        <w:spacing w:after="240" w:line="276" w:lineRule="auto"/>
        <w:contextualSpacing/>
        <w:jc w:val="center"/>
        <w:rPr>
          <w:rFonts w:ascii="Palatino Linotype" w:hAnsi="Palatino Linotype"/>
          <w:b/>
          <w:bCs/>
        </w:rPr>
      </w:pPr>
      <w:r w:rsidRPr="00EC244B">
        <w:rPr>
          <w:rFonts w:ascii="Palatino Linotype" w:hAnsi="Palatino Linotype"/>
          <w:b/>
          <w:bCs/>
        </w:rPr>
        <w:t>List of Carriers for Revocation of Operating Authority</w:t>
      </w:r>
    </w:p>
    <w:tbl>
      <w:tblPr>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
        <w:gridCol w:w="1777"/>
        <w:gridCol w:w="1201"/>
        <w:gridCol w:w="4469"/>
        <w:gridCol w:w="1224"/>
      </w:tblGrid>
      <w:tr w:rsidRPr="0005769E" w:rsidR="0005769E" w:rsidTr="00A538BC" w14:paraId="6434E90E" w14:textId="77777777">
        <w:trPr>
          <w:trHeight w:val="980"/>
          <w:jc w:val="center"/>
        </w:trPr>
        <w:tc>
          <w:tcPr>
            <w:tcW w:w="918" w:type="dxa"/>
            <w:vAlign w:val="center"/>
          </w:tcPr>
          <w:p w:rsidRPr="0005769E" w:rsidR="00B27392" w:rsidP="0005769E" w:rsidRDefault="00B27392" w14:paraId="3727B173" w14:textId="77777777">
            <w:pPr>
              <w:pStyle w:val="NoSpacing"/>
              <w:jc w:val="center"/>
              <w:rPr>
                <w:rFonts w:ascii="Palatino Linotype" w:hAnsi="Palatino Linotype"/>
                <w:b/>
                <w:bCs/>
                <w:sz w:val="22"/>
                <w:szCs w:val="22"/>
              </w:rPr>
            </w:pPr>
            <w:r w:rsidRPr="0005769E">
              <w:rPr>
                <w:rFonts w:ascii="Palatino Linotype" w:hAnsi="Palatino Linotype"/>
                <w:b/>
                <w:bCs/>
                <w:sz w:val="22"/>
                <w:szCs w:val="22"/>
              </w:rPr>
              <w:t>Count</w:t>
            </w:r>
          </w:p>
        </w:tc>
        <w:tc>
          <w:tcPr>
            <w:tcW w:w="1777" w:type="dxa"/>
            <w:vAlign w:val="center"/>
          </w:tcPr>
          <w:p w:rsidRPr="0005769E" w:rsidR="00B27392" w:rsidP="0005769E" w:rsidRDefault="00B27392" w14:paraId="08CF54AF" w14:textId="77777777">
            <w:pPr>
              <w:pStyle w:val="NoSpacing"/>
              <w:jc w:val="center"/>
              <w:rPr>
                <w:rFonts w:ascii="Palatino Linotype" w:hAnsi="Palatino Linotype"/>
                <w:b/>
                <w:bCs/>
                <w:sz w:val="22"/>
                <w:szCs w:val="22"/>
              </w:rPr>
            </w:pPr>
            <w:r w:rsidRPr="0005769E">
              <w:rPr>
                <w:rFonts w:ascii="Palatino Linotype" w:hAnsi="Palatino Linotype"/>
                <w:b/>
                <w:bCs/>
                <w:sz w:val="22"/>
                <w:szCs w:val="22"/>
              </w:rPr>
              <w:t>Citation Number</w:t>
            </w:r>
          </w:p>
        </w:tc>
        <w:tc>
          <w:tcPr>
            <w:tcW w:w="1201" w:type="dxa"/>
            <w:vAlign w:val="center"/>
          </w:tcPr>
          <w:p w:rsidRPr="0005769E" w:rsidR="00B27392" w:rsidP="0005769E" w:rsidRDefault="00CC4D2C" w14:paraId="14F07121" w14:textId="5665E495">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Utility </w:t>
            </w:r>
            <w:r w:rsidRPr="0005769E" w:rsidR="00B27392">
              <w:rPr>
                <w:rFonts w:ascii="Palatino Linotype" w:hAnsi="Palatino Linotype"/>
                <w:b/>
                <w:bCs/>
                <w:sz w:val="22"/>
                <w:szCs w:val="22"/>
              </w:rPr>
              <w:t>ID Number</w:t>
            </w:r>
          </w:p>
        </w:tc>
        <w:tc>
          <w:tcPr>
            <w:tcW w:w="4469" w:type="dxa"/>
            <w:vAlign w:val="center"/>
          </w:tcPr>
          <w:p w:rsidRPr="0005769E" w:rsidR="00B27392" w:rsidP="0005769E" w:rsidRDefault="00B27392" w14:paraId="6730B143" w14:textId="54252066">
            <w:pPr>
              <w:pStyle w:val="NoSpacing"/>
              <w:jc w:val="center"/>
              <w:rPr>
                <w:rFonts w:ascii="Palatino Linotype" w:hAnsi="Palatino Linotype"/>
                <w:b/>
                <w:bCs/>
                <w:sz w:val="22"/>
                <w:szCs w:val="22"/>
              </w:rPr>
            </w:pPr>
            <w:r w:rsidRPr="0005769E">
              <w:rPr>
                <w:rFonts w:ascii="Palatino Linotype" w:hAnsi="Palatino Linotype"/>
                <w:b/>
                <w:bCs/>
                <w:sz w:val="22"/>
                <w:szCs w:val="22"/>
              </w:rPr>
              <w:t>Utility Name</w:t>
            </w:r>
          </w:p>
        </w:tc>
        <w:tc>
          <w:tcPr>
            <w:tcW w:w="1224" w:type="dxa"/>
            <w:vAlign w:val="center"/>
          </w:tcPr>
          <w:p w:rsidRPr="0005769E" w:rsidR="00B27392" w:rsidP="0005769E" w:rsidRDefault="00B27392" w14:paraId="520D52F9" w14:textId="4ABDD79F">
            <w:pPr>
              <w:pStyle w:val="NoSpacing"/>
              <w:jc w:val="center"/>
              <w:rPr>
                <w:rFonts w:ascii="Palatino Linotype" w:hAnsi="Palatino Linotype"/>
                <w:b/>
                <w:bCs/>
                <w:sz w:val="22"/>
                <w:szCs w:val="22"/>
              </w:rPr>
            </w:pPr>
            <w:r w:rsidRPr="0005769E">
              <w:rPr>
                <w:rFonts w:ascii="Palatino Linotype" w:hAnsi="Palatino Linotype"/>
                <w:b/>
                <w:bCs/>
                <w:sz w:val="22"/>
                <w:szCs w:val="22"/>
              </w:rPr>
              <w:t>Total Penalty Amount</w:t>
            </w:r>
            <w:r w:rsidRPr="0005769E" w:rsidR="003D6ED5">
              <w:rPr>
                <w:rStyle w:val="FootnoteReference"/>
                <w:rFonts w:ascii="Palatino Linotype" w:hAnsi="Palatino Linotype"/>
                <w:b/>
                <w:bCs/>
                <w:sz w:val="22"/>
                <w:szCs w:val="22"/>
              </w:rPr>
              <w:footnoteReference w:id="14"/>
            </w:r>
          </w:p>
        </w:tc>
      </w:tr>
      <w:tr w:rsidRPr="0005769E" w:rsidR="005918E0" w:rsidTr="0005769E" w14:paraId="3F366CF2" w14:textId="77777777">
        <w:trPr>
          <w:trHeight w:val="485"/>
          <w:jc w:val="center"/>
        </w:trPr>
        <w:tc>
          <w:tcPr>
            <w:tcW w:w="9589" w:type="dxa"/>
            <w:gridSpan w:val="5"/>
          </w:tcPr>
          <w:p w:rsidRPr="0005769E" w:rsidR="00B27392" w:rsidP="0005769E" w:rsidRDefault="00B27392" w14:paraId="5CDDACAE" w14:textId="745531F1">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Wireless Carrier </w:t>
            </w:r>
            <w:r w:rsidR="0005769E">
              <w:rPr>
                <w:rFonts w:ascii="Palatino Linotype" w:hAnsi="Palatino Linotype"/>
                <w:b/>
                <w:bCs/>
                <w:sz w:val="22"/>
                <w:szCs w:val="22"/>
              </w:rPr>
              <w:t xml:space="preserve">Failed to Comply with </w:t>
            </w:r>
            <w:r w:rsidRPr="0005769E">
              <w:rPr>
                <w:rFonts w:ascii="Palatino Linotype" w:hAnsi="Palatino Linotype"/>
                <w:b/>
                <w:bCs/>
                <w:sz w:val="22"/>
                <w:szCs w:val="22"/>
              </w:rPr>
              <w:t>(a) Annual Performance Bond and (b) Annual Affiliate Transaction Report for CY 2024</w:t>
            </w:r>
          </w:p>
        </w:tc>
      </w:tr>
      <w:tr w:rsidRPr="0005769E" w:rsidR="0005769E" w:rsidTr="0005769E" w14:paraId="7D78C26A" w14:textId="77777777">
        <w:trPr>
          <w:trHeight w:val="322"/>
          <w:jc w:val="center"/>
        </w:trPr>
        <w:tc>
          <w:tcPr>
            <w:tcW w:w="918" w:type="dxa"/>
          </w:tcPr>
          <w:p w:rsidRPr="0005769E" w:rsidR="00B27392" w:rsidP="0005769E" w:rsidRDefault="00B27392" w14:paraId="25FE62AC" w14:textId="77777777">
            <w:pPr>
              <w:pStyle w:val="NoSpacing"/>
              <w:jc w:val="center"/>
              <w:rPr>
                <w:rFonts w:ascii="Palatino Linotype" w:hAnsi="Palatino Linotype"/>
                <w:sz w:val="22"/>
                <w:szCs w:val="22"/>
              </w:rPr>
            </w:pPr>
            <w:r w:rsidRPr="0005769E">
              <w:rPr>
                <w:rFonts w:ascii="Palatino Linotype" w:hAnsi="Palatino Linotype"/>
                <w:sz w:val="22"/>
                <w:szCs w:val="22"/>
              </w:rPr>
              <w:t>1</w:t>
            </w:r>
          </w:p>
        </w:tc>
        <w:tc>
          <w:tcPr>
            <w:tcW w:w="1777" w:type="dxa"/>
          </w:tcPr>
          <w:p w:rsidRPr="0005769E" w:rsidR="00B27392" w:rsidP="0005769E" w:rsidRDefault="00B27392" w14:paraId="2B1C2366" w14:textId="77777777">
            <w:pPr>
              <w:pStyle w:val="NoSpacing"/>
              <w:rPr>
                <w:rFonts w:ascii="Palatino Linotype" w:hAnsi="Palatino Linotype"/>
                <w:sz w:val="22"/>
                <w:szCs w:val="22"/>
              </w:rPr>
            </w:pPr>
            <w:r w:rsidRPr="0005769E">
              <w:rPr>
                <w:rFonts w:ascii="Palatino Linotype" w:hAnsi="Palatino Linotype"/>
                <w:sz w:val="22"/>
                <w:szCs w:val="22"/>
              </w:rPr>
              <w:t>CD-2025-07-002</w:t>
            </w:r>
          </w:p>
        </w:tc>
        <w:tc>
          <w:tcPr>
            <w:tcW w:w="1201" w:type="dxa"/>
          </w:tcPr>
          <w:p w:rsidRPr="0005769E" w:rsidR="00B27392" w:rsidP="0005769E" w:rsidRDefault="00B27392" w14:paraId="7186BB65" w14:textId="77777777">
            <w:pPr>
              <w:pStyle w:val="NoSpacing"/>
              <w:rPr>
                <w:rFonts w:ascii="Palatino Linotype" w:hAnsi="Palatino Linotype"/>
                <w:sz w:val="22"/>
                <w:szCs w:val="22"/>
              </w:rPr>
            </w:pPr>
            <w:r w:rsidRPr="0005769E">
              <w:rPr>
                <w:rFonts w:ascii="Palatino Linotype" w:hAnsi="Palatino Linotype"/>
                <w:sz w:val="22"/>
                <w:szCs w:val="22"/>
              </w:rPr>
              <w:t>U-4419-C</w:t>
            </w:r>
          </w:p>
        </w:tc>
        <w:tc>
          <w:tcPr>
            <w:tcW w:w="4469" w:type="dxa"/>
          </w:tcPr>
          <w:p w:rsidRPr="0005769E" w:rsidR="00B27392" w:rsidP="0005769E" w:rsidRDefault="00B27392" w14:paraId="58D00C7F" w14:textId="77777777">
            <w:pPr>
              <w:pStyle w:val="NoSpacing"/>
              <w:rPr>
                <w:rFonts w:ascii="Palatino Linotype" w:hAnsi="Palatino Linotype"/>
                <w:sz w:val="22"/>
                <w:szCs w:val="22"/>
              </w:rPr>
            </w:pPr>
            <w:r w:rsidRPr="0005769E">
              <w:rPr>
                <w:rFonts w:ascii="Palatino Linotype" w:hAnsi="Palatino Linotype"/>
                <w:sz w:val="22"/>
                <w:szCs w:val="22"/>
              </w:rPr>
              <w:t>Q Link Wireless LLC.</w:t>
            </w:r>
          </w:p>
        </w:tc>
        <w:tc>
          <w:tcPr>
            <w:tcW w:w="1224" w:type="dxa"/>
          </w:tcPr>
          <w:p w:rsidRPr="0005769E" w:rsidR="00B27392" w:rsidP="0005769E" w:rsidRDefault="00B27392" w14:paraId="407C5940"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366E84F3" w14:textId="77777777">
        <w:trPr>
          <w:trHeight w:val="160"/>
          <w:jc w:val="center"/>
        </w:trPr>
        <w:tc>
          <w:tcPr>
            <w:tcW w:w="918" w:type="dxa"/>
          </w:tcPr>
          <w:p w:rsidRPr="0005769E" w:rsidR="00B27392" w:rsidP="0005769E" w:rsidRDefault="00B27392" w14:paraId="5BA797FC" w14:textId="2C7E48FF">
            <w:pPr>
              <w:pStyle w:val="NoSpacing"/>
              <w:jc w:val="center"/>
              <w:rPr>
                <w:rFonts w:ascii="Palatino Linotype" w:hAnsi="Palatino Linotype"/>
                <w:sz w:val="22"/>
                <w:szCs w:val="22"/>
              </w:rPr>
            </w:pPr>
            <w:r w:rsidRPr="0005769E">
              <w:rPr>
                <w:rFonts w:ascii="Palatino Linotype" w:hAnsi="Palatino Linotype"/>
                <w:sz w:val="22"/>
                <w:szCs w:val="22"/>
              </w:rPr>
              <w:t>2</w:t>
            </w:r>
          </w:p>
        </w:tc>
        <w:tc>
          <w:tcPr>
            <w:tcW w:w="1777" w:type="dxa"/>
          </w:tcPr>
          <w:p w:rsidRPr="0005769E" w:rsidR="00B27392" w:rsidP="0005769E" w:rsidRDefault="00B27392" w14:paraId="477E7949" w14:textId="77777777">
            <w:pPr>
              <w:pStyle w:val="NoSpacing"/>
              <w:rPr>
                <w:rFonts w:ascii="Palatino Linotype" w:hAnsi="Palatino Linotype"/>
                <w:sz w:val="22"/>
                <w:szCs w:val="22"/>
              </w:rPr>
            </w:pPr>
            <w:r w:rsidRPr="0005769E">
              <w:rPr>
                <w:rFonts w:ascii="Palatino Linotype" w:hAnsi="Palatino Linotype"/>
                <w:sz w:val="22"/>
                <w:szCs w:val="22"/>
              </w:rPr>
              <w:t>CD-2025-07-005</w:t>
            </w:r>
          </w:p>
        </w:tc>
        <w:tc>
          <w:tcPr>
            <w:tcW w:w="1201" w:type="dxa"/>
          </w:tcPr>
          <w:p w:rsidRPr="0005769E" w:rsidR="00B27392" w:rsidP="0005769E" w:rsidRDefault="00B27392" w14:paraId="59FFBE15" w14:textId="77777777">
            <w:pPr>
              <w:pStyle w:val="NoSpacing"/>
              <w:rPr>
                <w:rFonts w:ascii="Palatino Linotype" w:hAnsi="Palatino Linotype"/>
                <w:sz w:val="22"/>
                <w:szCs w:val="22"/>
              </w:rPr>
            </w:pPr>
            <w:r w:rsidRPr="0005769E">
              <w:rPr>
                <w:rFonts w:ascii="Palatino Linotype" w:hAnsi="Palatino Linotype"/>
                <w:sz w:val="22"/>
                <w:szCs w:val="22"/>
              </w:rPr>
              <w:t>U-4540-C</w:t>
            </w:r>
          </w:p>
        </w:tc>
        <w:tc>
          <w:tcPr>
            <w:tcW w:w="4469" w:type="dxa"/>
          </w:tcPr>
          <w:p w:rsidRPr="0005769E" w:rsidR="00B27392" w:rsidP="0005769E" w:rsidRDefault="00B27392" w14:paraId="432C204B" w14:textId="5689BA9D">
            <w:pPr>
              <w:pStyle w:val="NoSpacing"/>
              <w:rPr>
                <w:rFonts w:ascii="Palatino Linotype" w:hAnsi="Palatino Linotype"/>
                <w:sz w:val="22"/>
                <w:szCs w:val="22"/>
              </w:rPr>
            </w:pPr>
            <w:r w:rsidRPr="0005769E">
              <w:rPr>
                <w:rFonts w:ascii="Palatino Linotype" w:hAnsi="Palatino Linotype"/>
                <w:sz w:val="22"/>
                <w:szCs w:val="22"/>
              </w:rPr>
              <w:t>2825 Ultimate Wireless, Inc.</w:t>
            </w:r>
            <w:r w:rsidRPr="0005769E" w:rsidR="00D5445F">
              <w:rPr>
                <w:rStyle w:val="FootnoteReference"/>
                <w:rFonts w:ascii="Palatino Linotype" w:hAnsi="Palatino Linotype"/>
                <w:sz w:val="22"/>
                <w:szCs w:val="22"/>
              </w:rPr>
              <w:t xml:space="preserve"> </w:t>
            </w:r>
            <w:r w:rsidRPr="0005769E" w:rsidR="00D5445F">
              <w:rPr>
                <w:rStyle w:val="FootnoteReference"/>
                <w:rFonts w:ascii="Palatino Linotype" w:hAnsi="Palatino Linotype"/>
                <w:sz w:val="22"/>
                <w:szCs w:val="22"/>
              </w:rPr>
              <w:footnoteReference w:id="15"/>
            </w:r>
          </w:p>
        </w:tc>
        <w:tc>
          <w:tcPr>
            <w:tcW w:w="1224" w:type="dxa"/>
          </w:tcPr>
          <w:p w:rsidRPr="0005769E" w:rsidR="00B27392" w:rsidP="0005769E" w:rsidRDefault="00B27392" w14:paraId="0EDFAFF8"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0BF0E942" w14:textId="77777777">
        <w:trPr>
          <w:trHeight w:val="160"/>
          <w:jc w:val="center"/>
        </w:trPr>
        <w:tc>
          <w:tcPr>
            <w:tcW w:w="918" w:type="dxa"/>
          </w:tcPr>
          <w:p w:rsidRPr="0005769E" w:rsidR="00B27392" w:rsidP="0005769E" w:rsidRDefault="00B27392" w14:paraId="4FB2B59B" w14:textId="03C32200">
            <w:pPr>
              <w:pStyle w:val="NoSpacing"/>
              <w:jc w:val="center"/>
              <w:rPr>
                <w:rFonts w:ascii="Palatino Linotype" w:hAnsi="Palatino Linotype"/>
                <w:sz w:val="22"/>
                <w:szCs w:val="22"/>
              </w:rPr>
            </w:pPr>
            <w:r w:rsidRPr="0005769E">
              <w:rPr>
                <w:rFonts w:ascii="Palatino Linotype" w:hAnsi="Palatino Linotype"/>
                <w:sz w:val="22"/>
                <w:szCs w:val="22"/>
              </w:rPr>
              <w:t>3</w:t>
            </w:r>
          </w:p>
        </w:tc>
        <w:tc>
          <w:tcPr>
            <w:tcW w:w="1777" w:type="dxa"/>
          </w:tcPr>
          <w:p w:rsidRPr="0005769E" w:rsidR="00B27392" w:rsidP="0005769E" w:rsidRDefault="00B27392" w14:paraId="15EDC843" w14:textId="77777777">
            <w:pPr>
              <w:pStyle w:val="NoSpacing"/>
              <w:rPr>
                <w:rFonts w:ascii="Palatino Linotype" w:hAnsi="Palatino Linotype"/>
                <w:sz w:val="22"/>
                <w:szCs w:val="22"/>
              </w:rPr>
            </w:pPr>
            <w:r w:rsidRPr="0005769E">
              <w:rPr>
                <w:rFonts w:ascii="Palatino Linotype" w:hAnsi="Palatino Linotype"/>
                <w:sz w:val="22"/>
                <w:szCs w:val="22"/>
              </w:rPr>
              <w:t>CD-2025-07-007</w:t>
            </w:r>
          </w:p>
        </w:tc>
        <w:tc>
          <w:tcPr>
            <w:tcW w:w="1201" w:type="dxa"/>
          </w:tcPr>
          <w:p w:rsidRPr="0005769E" w:rsidR="00B27392" w:rsidP="0005769E" w:rsidRDefault="00B27392" w14:paraId="5E287AB8" w14:textId="73CEA03D">
            <w:pPr>
              <w:pStyle w:val="NoSpacing"/>
              <w:rPr>
                <w:rFonts w:ascii="Palatino Linotype" w:hAnsi="Palatino Linotype"/>
                <w:sz w:val="22"/>
                <w:szCs w:val="22"/>
              </w:rPr>
            </w:pPr>
            <w:r w:rsidRPr="0005769E">
              <w:rPr>
                <w:rFonts w:ascii="Palatino Linotype" w:hAnsi="Palatino Linotype"/>
                <w:sz w:val="22"/>
                <w:szCs w:val="22"/>
              </w:rPr>
              <w:t>U-4548-C</w:t>
            </w:r>
          </w:p>
        </w:tc>
        <w:tc>
          <w:tcPr>
            <w:tcW w:w="4469" w:type="dxa"/>
          </w:tcPr>
          <w:p w:rsidRPr="0005769E" w:rsidR="00B27392" w:rsidP="0005769E" w:rsidRDefault="00B27392" w14:paraId="51F8D084" w14:textId="0ED66259">
            <w:pPr>
              <w:pStyle w:val="NoSpacing"/>
              <w:rPr>
                <w:rFonts w:ascii="Palatino Linotype" w:hAnsi="Palatino Linotype"/>
                <w:sz w:val="22"/>
                <w:szCs w:val="22"/>
              </w:rPr>
            </w:pPr>
            <w:r w:rsidRPr="0005769E">
              <w:rPr>
                <w:rFonts w:ascii="Palatino Linotype" w:hAnsi="Palatino Linotype"/>
                <w:sz w:val="22"/>
                <w:szCs w:val="22"/>
              </w:rPr>
              <w:t xml:space="preserve">Bright Packet, Inc. dba </w:t>
            </w:r>
            <w:proofErr w:type="spellStart"/>
            <w:r w:rsidRPr="0005769E">
              <w:rPr>
                <w:rFonts w:ascii="Palatino Linotype" w:hAnsi="Palatino Linotype"/>
                <w:sz w:val="22"/>
                <w:szCs w:val="22"/>
              </w:rPr>
              <w:t>DooClu</w:t>
            </w:r>
            <w:proofErr w:type="spellEnd"/>
            <w:r w:rsidRPr="0005769E" w:rsidR="00D5445F">
              <w:rPr>
                <w:rStyle w:val="FootnoteReference"/>
                <w:rFonts w:ascii="Palatino Linotype" w:hAnsi="Palatino Linotype"/>
                <w:sz w:val="22"/>
                <w:szCs w:val="22"/>
              </w:rPr>
              <w:footnoteReference w:id="16"/>
            </w:r>
          </w:p>
        </w:tc>
        <w:tc>
          <w:tcPr>
            <w:tcW w:w="1224" w:type="dxa"/>
          </w:tcPr>
          <w:p w:rsidRPr="0005769E" w:rsidR="00B27392" w:rsidP="0005769E" w:rsidRDefault="00B27392" w14:paraId="51643277"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5B513D05" w14:textId="77777777">
        <w:trPr>
          <w:trHeight w:val="160"/>
          <w:jc w:val="center"/>
        </w:trPr>
        <w:tc>
          <w:tcPr>
            <w:tcW w:w="918" w:type="dxa"/>
          </w:tcPr>
          <w:p w:rsidRPr="0005769E" w:rsidR="00B27392" w:rsidP="0005769E" w:rsidRDefault="00B27392" w14:paraId="45B134C0" w14:textId="77777777">
            <w:pPr>
              <w:pStyle w:val="NoSpacing"/>
              <w:jc w:val="center"/>
              <w:rPr>
                <w:rFonts w:ascii="Palatino Linotype" w:hAnsi="Palatino Linotype"/>
                <w:sz w:val="22"/>
                <w:szCs w:val="22"/>
              </w:rPr>
            </w:pPr>
            <w:r w:rsidRPr="0005769E">
              <w:rPr>
                <w:rFonts w:ascii="Palatino Linotype" w:hAnsi="Palatino Linotype"/>
                <w:sz w:val="22"/>
                <w:szCs w:val="22"/>
              </w:rPr>
              <w:t>4</w:t>
            </w:r>
          </w:p>
        </w:tc>
        <w:tc>
          <w:tcPr>
            <w:tcW w:w="1777" w:type="dxa"/>
          </w:tcPr>
          <w:p w:rsidRPr="0005769E" w:rsidR="00B27392" w:rsidP="0005769E" w:rsidRDefault="00B27392" w14:paraId="3A417C19" w14:textId="77777777">
            <w:pPr>
              <w:pStyle w:val="NoSpacing"/>
              <w:rPr>
                <w:rFonts w:ascii="Palatino Linotype" w:hAnsi="Palatino Linotype"/>
                <w:sz w:val="22"/>
                <w:szCs w:val="22"/>
              </w:rPr>
            </w:pPr>
            <w:r w:rsidRPr="0005769E">
              <w:rPr>
                <w:rFonts w:ascii="Palatino Linotype" w:hAnsi="Palatino Linotype"/>
                <w:sz w:val="22"/>
                <w:szCs w:val="22"/>
              </w:rPr>
              <w:t>CD-2025-07-008</w:t>
            </w:r>
          </w:p>
        </w:tc>
        <w:tc>
          <w:tcPr>
            <w:tcW w:w="1201" w:type="dxa"/>
          </w:tcPr>
          <w:p w:rsidRPr="0005769E" w:rsidR="00B27392" w:rsidP="0005769E" w:rsidRDefault="00B27392" w14:paraId="7D429675" w14:textId="77777777">
            <w:pPr>
              <w:pStyle w:val="NoSpacing"/>
              <w:rPr>
                <w:rFonts w:ascii="Palatino Linotype" w:hAnsi="Palatino Linotype"/>
                <w:sz w:val="22"/>
                <w:szCs w:val="22"/>
              </w:rPr>
            </w:pPr>
            <w:r w:rsidRPr="0005769E">
              <w:rPr>
                <w:rFonts w:ascii="Palatino Linotype" w:hAnsi="Palatino Linotype"/>
                <w:sz w:val="22"/>
                <w:szCs w:val="22"/>
              </w:rPr>
              <w:t>U-4549-C</w:t>
            </w:r>
          </w:p>
        </w:tc>
        <w:tc>
          <w:tcPr>
            <w:tcW w:w="4469" w:type="dxa"/>
          </w:tcPr>
          <w:p w:rsidRPr="0005769E" w:rsidR="00B27392" w:rsidP="0005769E" w:rsidRDefault="00B27392" w14:paraId="7E92FC5D" w14:textId="77777777">
            <w:pPr>
              <w:pStyle w:val="NoSpacing"/>
              <w:rPr>
                <w:rFonts w:ascii="Palatino Linotype" w:hAnsi="Palatino Linotype"/>
                <w:sz w:val="22"/>
                <w:szCs w:val="22"/>
              </w:rPr>
            </w:pPr>
            <w:proofErr w:type="spellStart"/>
            <w:r w:rsidRPr="0005769E">
              <w:rPr>
                <w:rFonts w:ascii="Palatino Linotype" w:hAnsi="Palatino Linotype"/>
                <w:sz w:val="22"/>
                <w:szCs w:val="22"/>
              </w:rPr>
              <w:t>Hadodo</w:t>
            </w:r>
            <w:proofErr w:type="spellEnd"/>
            <w:r w:rsidRPr="0005769E">
              <w:rPr>
                <w:rFonts w:ascii="Palatino Linotype" w:hAnsi="Palatino Linotype"/>
                <w:sz w:val="22"/>
                <w:szCs w:val="22"/>
              </w:rPr>
              <w:t xml:space="preserve"> Wireless Inc</w:t>
            </w:r>
          </w:p>
        </w:tc>
        <w:tc>
          <w:tcPr>
            <w:tcW w:w="1224" w:type="dxa"/>
          </w:tcPr>
          <w:p w:rsidRPr="0005769E" w:rsidR="00B27392" w:rsidP="0005769E" w:rsidRDefault="00B27392" w14:paraId="67E87158"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4F5191A6" w14:textId="77777777">
        <w:trPr>
          <w:trHeight w:val="160"/>
          <w:jc w:val="center"/>
        </w:trPr>
        <w:tc>
          <w:tcPr>
            <w:tcW w:w="918" w:type="dxa"/>
          </w:tcPr>
          <w:p w:rsidRPr="0005769E" w:rsidR="00B27392" w:rsidP="0005769E" w:rsidRDefault="00B27392" w14:paraId="0B392D0F" w14:textId="6FFC18CA">
            <w:pPr>
              <w:pStyle w:val="NoSpacing"/>
              <w:jc w:val="center"/>
              <w:rPr>
                <w:rFonts w:ascii="Palatino Linotype" w:hAnsi="Palatino Linotype"/>
                <w:sz w:val="22"/>
                <w:szCs w:val="22"/>
              </w:rPr>
            </w:pPr>
            <w:r w:rsidRPr="0005769E">
              <w:rPr>
                <w:rFonts w:ascii="Palatino Linotype" w:hAnsi="Palatino Linotype"/>
                <w:sz w:val="22"/>
                <w:szCs w:val="22"/>
              </w:rPr>
              <w:t>5</w:t>
            </w:r>
          </w:p>
        </w:tc>
        <w:tc>
          <w:tcPr>
            <w:tcW w:w="1777" w:type="dxa"/>
          </w:tcPr>
          <w:p w:rsidRPr="0005769E" w:rsidR="00B27392" w:rsidP="0005769E" w:rsidRDefault="00B27392" w14:paraId="2B8244E2" w14:textId="77777777">
            <w:pPr>
              <w:pStyle w:val="NoSpacing"/>
              <w:rPr>
                <w:rFonts w:ascii="Palatino Linotype" w:hAnsi="Palatino Linotype"/>
                <w:sz w:val="22"/>
                <w:szCs w:val="22"/>
              </w:rPr>
            </w:pPr>
            <w:r w:rsidRPr="0005769E">
              <w:rPr>
                <w:rFonts w:ascii="Palatino Linotype" w:hAnsi="Palatino Linotype"/>
                <w:sz w:val="22"/>
                <w:szCs w:val="22"/>
              </w:rPr>
              <w:t>CD-2025-07-010</w:t>
            </w:r>
          </w:p>
        </w:tc>
        <w:tc>
          <w:tcPr>
            <w:tcW w:w="1201" w:type="dxa"/>
          </w:tcPr>
          <w:p w:rsidRPr="0005769E" w:rsidR="00B27392" w:rsidP="0005769E" w:rsidRDefault="00B27392" w14:paraId="3F9960ED" w14:textId="77777777">
            <w:pPr>
              <w:pStyle w:val="NoSpacing"/>
              <w:rPr>
                <w:rFonts w:ascii="Palatino Linotype" w:hAnsi="Palatino Linotype"/>
                <w:sz w:val="22"/>
                <w:szCs w:val="22"/>
              </w:rPr>
            </w:pPr>
            <w:r w:rsidRPr="0005769E">
              <w:rPr>
                <w:rFonts w:ascii="Palatino Linotype" w:hAnsi="Palatino Linotype"/>
                <w:sz w:val="22"/>
                <w:szCs w:val="22"/>
              </w:rPr>
              <w:t>U-4551-C</w:t>
            </w:r>
          </w:p>
        </w:tc>
        <w:tc>
          <w:tcPr>
            <w:tcW w:w="4469" w:type="dxa"/>
          </w:tcPr>
          <w:p w:rsidRPr="0005769E" w:rsidR="00B27392" w:rsidP="0005769E" w:rsidRDefault="00B27392" w14:paraId="7A28413B" w14:textId="37A4E04B">
            <w:pPr>
              <w:pStyle w:val="NoSpacing"/>
              <w:rPr>
                <w:rFonts w:ascii="Palatino Linotype" w:hAnsi="Palatino Linotype"/>
                <w:sz w:val="22"/>
                <w:szCs w:val="22"/>
              </w:rPr>
            </w:pPr>
            <w:r w:rsidRPr="0005769E">
              <w:rPr>
                <w:rFonts w:ascii="Palatino Linotype" w:hAnsi="Palatino Linotype"/>
                <w:sz w:val="22"/>
                <w:szCs w:val="22"/>
              </w:rPr>
              <w:t>Aozora Devices, Inc.</w:t>
            </w:r>
            <w:r w:rsidRPr="0005769E" w:rsidR="00D5445F">
              <w:rPr>
                <w:rStyle w:val="FootnoteReference"/>
                <w:rFonts w:ascii="Palatino Linotype" w:hAnsi="Palatino Linotype"/>
                <w:sz w:val="22"/>
                <w:szCs w:val="22"/>
              </w:rPr>
              <w:t xml:space="preserve"> </w:t>
            </w:r>
            <w:r w:rsidRPr="0005769E" w:rsidR="00D5445F">
              <w:rPr>
                <w:rStyle w:val="FootnoteReference"/>
                <w:rFonts w:ascii="Palatino Linotype" w:hAnsi="Palatino Linotype"/>
                <w:sz w:val="22"/>
                <w:szCs w:val="22"/>
              </w:rPr>
              <w:footnoteReference w:id="17"/>
            </w:r>
          </w:p>
        </w:tc>
        <w:tc>
          <w:tcPr>
            <w:tcW w:w="1224" w:type="dxa"/>
          </w:tcPr>
          <w:p w:rsidRPr="0005769E" w:rsidR="00B27392" w:rsidP="0005769E" w:rsidRDefault="00B27392" w14:paraId="755B6C2B"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2752B0F5" w14:textId="77777777">
        <w:trPr>
          <w:trHeight w:val="305"/>
          <w:jc w:val="center"/>
        </w:trPr>
        <w:tc>
          <w:tcPr>
            <w:tcW w:w="918" w:type="dxa"/>
          </w:tcPr>
          <w:p w:rsidRPr="0005769E" w:rsidR="00B27392" w:rsidP="0005769E" w:rsidRDefault="00B27392" w14:paraId="71AC165E" w14:textId="77777777">
            <w:pPr>
              <w:pStyle w:val="NoSpacing"/>
              <w:jc w:val="center"/>
              <w:rPr>
                <w:rFonts w:ascii="Palatino Linotype" w:hAnsi="Palatino Linotype"/>
                <w:sz w:val="22"/>
                <w:szCs w:val="22"/>
              </w:rPr>
            </w:pPr>
            <w:r w:rsidRPr="0005769E">
              <w:rPr>
                <w:rFonts w:ascii="Palatino Linotype" w:hAnsi="Palatino Linotype"/>
                <w:sz w:val="22"/>
                <w:szCs w:val="22"/>
              </w:rPr>
              <w:t>6</w:t>
            </w:r>
          </w:p>
        </w:tc>
        <w:tc>
          <w:tcPr>
            <w:tcW w:w="1777" w:type="dxa"/>
          </w:tcPr>
          <w:p w:rsidRPr="0005769E" w:rsidR="00B27392" w:rsidP="0005769E" w:rsidRDefault="00B27392" w14:paraId="71E31A6B" w14:textId="77777777">
            <w:pPr>
              <w:pStyle w:val="NoSpacing"/>
              <w:rPr>
                <w:rFonts w:ascii="Palatino Linotype" w:hAnsi="Palatino Linotype"/>
                <w:sz w:val="22"/>
                <w:szCs w:val="22"/>
              </w:rPr>
            </w:pPr>
            <w:r w:rsidRPr="0005769E">
              <w:rPr>
                <w:rFonts w:ascii="Palatino Linotype" w:hAnsi="Palatino Linotype"/>
                <w:sz w:val="22"/>
                <w:szCs w:val="22"/>
              </w:rPr>
              <w:t>CD-2025-07-011</w:t>
            </w:r>
          </w:p>
        </w:tc>
        <w:tc>
          <w:tcPr>
            <w:tcW w:w="1201" w:type="dxa"/>
          </w:tcPr>
          <w:p w:rsidRPr="0005769E" w:rsidR="00B27392" w:rsidP="0005769E" w:rsidRDefault="00B27392" w14:paraId="307967E5" w14:textId="77777777">
            <w:pPr>
              <w:pStyle w:val="NoSpacing"/>
              <w:rPr>
                <w:rFonts w:ascii="Palatino Linotype" w:hAnsi="Palatino Linotype"/>
                <w:sz w:val="22"/>
                <w:szCs w:val="22"/>
              </w:rPr>
            </w:pPr>
            <w:r w:rsidRPr="0005769E">
              <w:rPr>
                <w:rFonts w:ascii="Palatino Linotype" w:hAnsi="Palatino Linotype"/>
                <w:sz w:val="22"/>
                <w:szCs w:val="22"/>
              </w:rPr>
              <w:t>U-4558-C</w:t>
            </w:r>
          </w:p>
        </w:tc>
        <w:tc>
          <w:tcPr>
            <w:tcW w:w="4469" w:type="dxa"/>
          </w:tcPr>
          <w:p w:rsidRPr="0005769E" w:rsidR="00B27392" w:rsidP="0005769E" w:rsidRDefault="00B27392" w14:paraId="3C937AC2" w14:textId="77777777">
            <w:pPr>
              <w:pStyle w:val="NoSpacing"/>
              <w:rPr>
                <w:rFonts w:ascii="Palatino Linotype" w:hAnsi="Palatino Linotype"/>
                <w:sz w:val="22"/>
                <w:szCs w:val="22"/>
              </w:rPr>
            </w:pPr>
            <w:r w:rsidRPr="0005769E">
              <w:rPr>
                <w:rFonts w:ascii="Palatino Linotype" w:hAnsi="Palatino Linotype"/>
                <w:sz w:val="22"/>
                <w:szCs w:val="22"/>
              </w:rPr>
              <w:t>Sarver Corporation</w:t>
            </w:r>
          </w:p>
        </w:tc>
        <w:tc>
          <w:tcPr>
            <w:tcW w:w="1224" w:type="dxa"/>
          </w:tcPr>
          <w:p w:rsidRPr="0005769E" w:rsidR="00B27392" w:rsidP="0005769E" w:rsidRDefault="00B27392" w14:paraId="00D931A8"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6AEA3DB1" w14:textId="77777777">
        <w:trPr>
          <w:trHeight w:val="224"/>
          <w:jc w:val="center"/>
        </w:trPr>
        <w:tc>
          <w:tcPr>
            <w:tcW w:w="918" w:type="dxa"/>
          </w:tcPr>
          <w:p w:rsidRPr="0005769E" w:rsidR="00B27392" w:rsidP="0005769E" w:rsidRDefault="00B27392" w14:paraId="65EDD49D" w14:textId="77777777">
            <w:pPr>
              <w:pStyle w:val="NoSpacing"/>
              <w:jc w:val="center"/>
              <w:rPr>
                <w:rFonts w:ascii="Palatino Linotype" w:hAnsi="Palatino Linotype"/>
                <w:sz w:val="22"/>
                <w:szCs w:val="22"/>
              </w:rPr>
            </w:pPr>
            <w:r w:rsidRPr="0005769E">
              <w:rPr>
                <w:rFonts w:ascii="Palatino Linotype" w:hAnsi="Palatino Linotype"/>
                <w:sz w:val="22"/>
                <w:szCs w:val="22"/>
              </w:rPr>
              <w:t>7</w:t>
            </w:r>
          </w:p>
        </w:tc>
        <w:tc>
          <w:tcPr>
            <w:tcW w:w="1777" w:type="dxa"/>
          </w:tcPr>
          <w:p w:rsidRPr="0005769E" w:rsidR="00B27392" w:rsidP="0005769E" w:rsidRDefault="00B27392" w14:paraId="70027505" w14:textId="77777777">
            <w:pPr>
              <w:pStyle w:val="NoSpacing"/>
              <w:rPr>
                <w:rFonts w:ascii="Palatino Linotype" w:hAnsi="Palatino Linotype"/>
                <w:sz w:val="22"/>
                <w:szCs w:val="22"/>
              </w:rPr>
            </w:pPr>
            <w:r w:rsidRPr="0005769E">
              <w:rPr>
                <w:rFonts w:ascii="Palatino Linotype" w:hAnsi="Palatino Linotype"/>
                <w:sz w:val="22"/>
                <w:szCs w:val="22"/>
              </w:rPr>
              <w:t>CD-2025-07-012</w:t>
            </w:r>
          </w:p>
        </w:tc>
        <w:tc>
          <w:tcPr>
            <w:tcW w:w="1201" w:type="dxa"/>
          </w:tcPr>
          <w:p w:rsidRPr="0005769E" w:rsidR="00B27392" w:rsidP="0005769E" w:rsidRDefault="00B27392" w14:paraId="29502B37" w14:textId="77777777">
            <w:pPr>
              <w:pStyle w:val="NoSpacing"/>
              <w:rPr>
                <w:rFonts w:ascii="Palatino Linotype" w:hAnsi="Palatino Linotype"/>
                <w:sz w:val="22"/>
                <w:szCs w:val="22"/>
              </w:rPr>
            </w:pPr>
            <w:r w:rsidRPr="0005769E">
              <w:rPr>
                <w:rFonts w:ascii="Palatino Linotype" w:hAnsi="Palatino Linotype"/>
                <w:sz w:val="22"/>
                <w:szCs w:val="22"/>
              </w:rPr>
              <w:t>U-4568-C</w:t>
            </w:r>
          </w:p>
        </w:tc>
        <w:tc>
          <w:tcPr>
            <w:tcW w:w="4469" w:type="dxa"/>
          </w:tcPr>
          <w:p w:rsidRPr="0005769E" w:rsidR="00B27392" w:rsidP="0005769E" w:rsidRDefault="00B27392" w14:paraId="0396B420" w14:textId="77777777">
            <w:pPr>
              <w:pStyle w:val="NoSpacing"/>
              <w:rPr>
                <w:rFonts w:ascii="Palatino Linotype" w:hAnsi="Palatino Linotype"/>
                <w:sz w:val="22"/>
                <w:szCs w:val="22"/>
              </w:rPr>
            </w:pPr>
            <w:proofErr w:type="spellStart"/>
            <w:r w:rsidRPr="0005769E">
              <w:rPr>
                <w:rFonts w:ascii="Palatino Linotype" w:hAnsi="Palatino Linotype"/>
                <w:sz w:val="22"/>
                <w:szCs w:val="22"/>
              </w:rPr>
              <w:t>Wrazzle</w:t>
            </w:r>
            <w:proofErr w:type="spellEnd"/>
            <w:r w:rsidRPr="0005769E">
              <w:rPr>
                <w:rFonts w:ascii="Palatino Linotype" w:hAnsi="Palatino Linotype"/>
                <w:sz w:val="22"/>
                <w:szCs w:val="22"/>
              </w:rPr>
              <w:t>, Inc.</w:t>
            </w:r>
          </w:p>
        </w:tc>
        <w:tc>
          <w:tcPr>
            <w:tcW w:w="1224" w:type="dxa"/>
          </w:tcPr>
          <w:p w:rsidRPr="0005769E" w:rsidR="00B27392" w:rsidP="0005769E" w:rsidRDefault="00B27392" w14:paraId="4788EC9E"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0C7518C0" w14:textId="77777777">
        <w:trPr>
          <w:trHeight w:val="143"/>
          <w:jc w:val="center"/>
        </w:trPr>
        <w:tc>
          <w:tcPr>
            <w:tcW w:w="918" w:type="dxa"/>
          </w:tcPr>
          <w:p w:rsidRPr="0005769E" w:rsidR="00B27392" w:rsidP="0005769E" w:rsidRDefault="00B27392" w14:paraId="448004C9" w14:textId="77777777">
            <w:pPr>
              <w:pStyle w:val="NoSpacing"/>
              <w:jc w:val="center"/>
              <w:rPr>
                <w:rFonts w:ascii="Palatino Linotype" w:hAnsi="Palatino Linotype"/>
                <w:sz w:val="22"/>
                <w:szCs w:val="22"/>
              </w:rPr>
            </w:pPr>
            <w:r w:rsidRPr="0005769E">
              <w:rPr>
                <w:rFonts w:ascii="Palatino Linotype" w:hAnsi="Palatino Linotype"/>
                <w:sz w:val="22"/>
                <w:szCs w:val="22"/>
              </w:rPr>
              <w:t>8</w:t>
            </w:r>
          </w:p>
        </w:tc>
        <w:tc>
          <w:tcPr>
            <w:tcW w:w="1777" w:type="dxa"/>
          </w:tcPr>
          <w:p w:rsidRPr="0005769E" w:rsidR="00B27392" w:rsidP="0005769E" w:rsidRDefault="00B27392" w14:paraId="7E447D30" w14:textId="77777777">
            <w:pPr>
              <w:pStyle w:val="NoSpacing"/>
              <w:rPr>
                <w:rFonts w:ascii="Palatino Linotype" w:hAnsi="Palatino Linotype"/>
                <w:sz w:val="22"/>
                <w:szCs w:val="22"/>
              </w:rPr>
            </w:pPr>
            <w:r w:rsidRPr="0005769E">
              <w:rPr>
                <w:rFonts w:ascii="Palatino Linotype" w:hAnsi="Palatino Linotype"/>
                <w:sz w:val="22"/>
                <w:szCs w:val="22"/>
              </w:rPr>
              <w:t>CD-2025-07-013</w:t>
            </w:r>
          </w:p>
        </w:tc>
        <w:tc>
          <w:tcPr>
            <w:tcW w:w="1201" w:type="dxa"/>
          </w:tcPr>
          <w:p w:rsidRPr="0005769E" w:rsidR="00B27392" w:rsidP="0005769E" w:rsidRDefault="00B27392" w14:paraId="2483A967" w14:textId="77777777">
            <w:pPr>
              <w:pStyle w:val="NoSpacing"/>
              <w:rPr>
                <w:rFonts w:ascii="Palatino Linotype" w:hAnsi="Palatino Linotype"/>
                <w:sz w:val="22"/>
                <w:szCs w:val="22"/>
              </w:rPr>
            </w:pPr>
            <w:r w:rsidRPr="0005769E">
              <w:rPr>
                <w:rFonts w:ascii="Palatino Linotype" w:hAnsi="Palatino Linotype"/>
                <w:sz w:val="22"/>
                <w:szCs w:val="22"/>
              </w:rPr>
              <w:t>U-4576-C</w:t>
            </w:r>
          </w:p>
        </w:tc>
        <w:tc>
          <w:tcPr>
            <w:tcW w:w="4469" w:type="dxa"/>
          </w:tcPr>
          <w:p w:rsidRPr="0005769E" w:rsidR="00B27392" w:rsidP="0005769E" w:rsidRDefault="00B27392" w14:paraId="6A069DC5" w14:textId="77777777">
            <w:pPr>
              <w:pStyle w:val="NoSpacing"/>
              <w:rPr>
                <w:rFonts w:ascii="Palatino Linotype" w:hAnsi="Palatino Linotype"/>
                <w:sz w:val="22"/>
                <w:szCs w:val="22"/>
              </w:rPr>
            </w:pPr>
            <w:r w:rsidRPr="0005769E">
              <w:rPr>
                <w:rFonts w:ascii="Palatino Linotype" w:hAnsi="Palatino Linotype"/>
                <w:sz w:val="22"/>
                <w:szCs w:val="22"/>
              </w:rPr>
              <w:t>GO MD USA LLC</w:t>
            </w:r>
          </w:p>
        </w:tc>
        <w:tc>
          <w:tcPr>
            <w:tcW w:w="1224" w:type="dxa"/>
          </w:tcPr>
          <w:p w:rsidRPr="0005769E" w:rsidR="00B27392" w:rsidP="0005769E" w:rsidRDefault="00B27392" w14:paraId="1ADF881A"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6E01378D" w14:textId="77777777">
        <w:trPr>
          <w:trHeight w:val="60"/>
          <w:jc w:val="center"/>
        </w:trPr>
        <w:tc>
          <w:tcPr>
            <w:tcW w:w="918" w:type="dxa"/>
          </w:tcPr>
          <w:p w:rsidRPr="0005769E" w:rsidR="00B27392" w:rsidP="0005769E" w:rsidRDefault="00AF0F78" w14:paraId="36859BBF" w14:textId="49C2E9A7">
            <w:pPr>
              <w:pStyle w:val="NoSpacing"/>
              <w:jc w:val="center"/>
              <w:rPr>
                <w:rFonts w:ascii="Palatino Linotype" w:hAnsi="Palatino Linotype"/>
                <w:sz w:val="22"/>
                <w:szCs w:val="22"/>
              </w:rPr>
            </w:pPr>
            <w:r>
              <w:rPr>
                <w:rFonts w:ascii="Palatino Linotype" w:hAnsi="Palatino Linotype"/>
                <w:sz w:val="22"/>
                <w:szCs w:val="22"/>
              </w:rPr>
              <w:t>9</w:t>
            </w:r>
          </w:p>
        </w:tc>
        <w:tc>
          <w:tcPr>
            <w:tcW w:w="1777" w:type="dxa"/>
          </w:tcPr>
          <w:p w:rsidRPr="0005769E" w:rsidR="00B27392" w:rsidP="0005769E" w:rsidRDefault="00B27392" w14:paraId="3EB4B4D2" w14:textId="77777777">
            <w:pPr>
              <w:pStyle w:val="NoSpacing"/>
              <w:rPr>
                <w:rFonts w:ascii="Palatino Linotype" w:hAnsi="Palatino Linotype"/>
                <w:sz w:val="22"/>
                <w:szCs w:val="22"/>
              </w:rPr>
            </w:pPr>
            <w:r w:rsidRPr="0005769E">
              <w:rPr>
                <w:rFonts w:ascii="Palatino Linotype" w:hAnsi="Palatino Linotype"/>
                <w:sz w:val="22"/>
                <w:szCs w:val="22"/>
              </w:rPr>
              <w:t>CD-2025-07-015</w:t>
            </w:r>
          </w:p>
        </w:tc>
        <w:tc>
          <w:tcPr>
            <w:tcW w:w="1201" w:type="dxa"/>
          </w:tcPr>
          <w:p w:rsidRPr="0005769E" w:rsidR="00B27392" w:rsidP="0005769E" w:rsidRDefault="00B27392" w14:paraId="3589AC3D" w14:textId="77777777">
            <w:pPr>
              <w:pStyle w:val="NoSpacing"/>
              <w:rPr>
                <w:rFonts w:ascii="Palatino Linotype" w:hAnsi="Palatino Linotype"/>
                <w:sz w:val="22"/>
                <w:szCs w:val="22"/>
              </w:rPr>
            </w:pPr>
            <w:r w:rsidRPr="0005769E">
              <w:rPr>
                <w:rFonts w:ascii="Palatino Linotype" w:hAnsi="Palatino Linotype"/>
                <w:sz w:val="22"/>
                <w:szCs w:val="22"/>
              </w:rPr>
              <w:t>U-4580-C</w:t>
            </w:r>
          </w:p>
        </w:tc>
        <w:tc>
          <w:tcPr>
            <w:tcW w:w="4469" w:type="dxa"/>
          </w:tcPr>
          <w:p w:rsidRPr="0005769E" w:rsidR="00B27392" w:rsidP="0005769E" w:rsidRDefault="00B27392" w14:paraId="7DA172BA" w14:textId="77777777">
            <w:pPr>
              <w:pStyle w:val="NoSpacing"/>
              <w:rPr>
                <w:rFonts w:ascii="Palatino Linotype" w:hAnsi="Palatino Linotype"/>
                <w:sz w:val="22"/>
                <w:szCs w:val="22"/>
              </w:rPr>
            </w:pPr>
            <w:r w:rsidRPr="0005769E">
              <w:rPr>
                <w:rFonts w:ascii="Palatino Linotype" w:hAnsi="Palatino Linotype"/>
                <w:sz w:val="22"/>
                <w:szCs w:val="22"/>
              </w:rPr>
              <w:t>Hello Mobile Telecom LLC</w:t>
            </w:r>
          </w:p>
        </w:tc>
        <w:tc>
          <w:tcPr>
            <w:tcW w:w="1224" w:type="dxa"/>
          </w:tcPr>
          <w:p w:rsidRPr="0005769E" w:rsidR="00B27392" w:rsidP="0005769E" w:rsidRDefault="00B27392" w14:paraId="35BB5038"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5894810A" w14:textId="77777777">
        <w:trPr>
          <w:trHeight w:val="60"/>
          <w:jc w:val="center"/>
        </w:trPr>
        <w:tc>
          <w:tcPr>
            <w:tcW w:w="918" w:type="dxa"/>
          </w:tcPr>
          <w:p w:rsidRPr="0005769E" w:rsidR="00B27392" w:rsidP="0005769E" w:rsidRDefault="00B27392" w14:paraId="41FEDD48" w14:textId="3F69EFCD">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0</w:t>
            </w:r>
          </w:p>
        </w:tc>
        <w:tc>
          <w:tcPr>
            <w:tcW w:w="1777" w:type="dxa"/>
          </w:tcPr>
          <w:p w:rsidRPr="0005769E" w:rsidR="00B27392" w:rsidP="0005769E" w:rsidRDefault="00B27392" w14:paraId="697BFAA1" w14:textId="77777777">
            <w:pPr>
              <w:pStyle w:val="NoSpacing"/>
              <w:rPr>
                <w:rFonts w:ascii="Palatino Linotype" w:hAnsi="Palatino Linotype"/>
                <w:sz w:val="22"/>
                <w:szCs w:val="22"/>
              </w:rPr>
            </w:pPr>
            <w:r w:rsidRPr="0005769E">
              <w:rPr>
                <w:rFonts w:ascii="Palatino Linotype" w:hAnsi="Palatino Linotype"/>
                <w:sz w:val="22"/>
                <w:szCs w:val="22"/>
              </w:rPr>
              <w:t>CD-2025-07-016</w:t>
            </w:r>
          </w:p>
        </w:tc>
        <w:tc>
          <w:tcPr>
            <w:tcW w:w="1201" w:type="dxa"/>
          </w:tcPr>
          <w:p w:rsidRPr="0005769E" w:rsidR="00B27392" w:rsidP="0005769E" w:rsidRDefault="00B27392" w14:paraId="544AECC5" w14:textId="77777777">
            <w:pPr>
              <w:pStyle w:val="NoSpacing"/>
              <w:rPr>
                <w:rFonts w:ascii="Palatino Linotype" w:hAnsi="Palatino Linotype"/>
                <w:sz w:val="22"/>
                <w:szCs w:val="22"/>
              </w:rPr>
            </w:pPr>
            <w:r w:rsidRPr="0005769E">
              <w:rPr>
                <w:rFonts w:ascii="Palatino Linotype" w:hAnsi="Palatino Linotype"/>
                <w:sz w:val="22"/>
                <w:szCs w:val="22"/>
              </w:rPr>
              <w:t>U-4593-C</w:t>
            </w:r>
          </w:p>
        </w:tc>
        <w:tc>
          <w:tcPr>
            <w:tcW w:w="4469" w:type="dxa"/>
          </w:tcPr>
          <w:p w:rsidRPr="0005769E" w:rsidR="00B27392" w:rsidP="0005769E" w:rsidRDefault="00B27392" w14:paraId="596A2C30" w14:textId="77777777">
            <w:pPr>
              <w:pStyle w:val="NoSpacing"/>
              <w:rPr>
                <w:rFonts w:ascii="Palatino Linotype" w:hAnsi="Palatino Linotype"/>
                <w:sz w:val="22"/>
                <w:szCs w:val="22"/>
              </w:rPr>
            </w:pPr>
            <w:r w:rsidRPr="0005769E">
              <w:rPr>
                <w:rFonts w:ascii="Palatino Linotype" w:hAnsi="Palatino Linotype"/>
                <w:sz w:val="22"/>
                <w:szCs w:val="22"/>
              </w:rPr>
              <w:t>Lux Mobile USA, Inc.</w:t>
            </w:r>
          </w:p>
        </w:tc>
        <w:tc>
          <w:tcPr>
            <w:tcW w:w="1224" w:type="dxa"/>
          </w:tcPr>
          <w:p w:rsidRPr="0005769E" w:rsidR="00B27392" w:rsidP="0005769E" w:rsidRDefault="00B27392" w14:paraId="592E197C"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05769E" w:rsidTr="0005769E" w14:paraId="2AB16AA6" w14:textId="77777777">
        <w:trPr>
          <w:trHeight w:val="80"/>
          <w:jc w:val="center"/>
        </w:trPr>
        <w:tc>
          <w:tcPr>
            <w:tcW w:w="918" w:type="dxa"/>
          </w:tcPr>
          <w:p w:rsidRPr="0005769E" w:rsidR="00B27392" w:rsidP="0005769E" w:rsidRDefault="00B27392" w14:paraId="72E23F53" w14:textId="43D38D3E">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1</w:t>
            </w:r>
          </w:p>
        </w:tc>
        <w:tc>
          <w:tcPr>
            <w:tcW w:w="1777" w:type="dxa"/>
          </w:tcPr>
          <w:p w:rsidRPr="0005769E" w:rsidR="00B27392" w:rsidP="0005769E" w:rsidRDefault="00B27392" w14:paraId="6CA45826" w14:textId="77777777">
            <w:pPr>
              <w:pStyle w:val="NoSpacing"/>
              <w:rPr>
                <w:rFonts w:ascii="Palatino Linotype" w:hAnsi="Palatino Linotype"/>
                <w:sz w:val="22"/>
                <w:szCs w:val="22"/>
              </w:rPr>
            </w:pPr>
            <w:r w:rsidRPr="0005769E">
              <w:rPr>
                <w:rFonts w:ascii="Palatino Linotype" w:hAnsi="Palatino Linotype"/>
                <w:sz w:val="22"/>
                <w:szCs w:val="22"/>
              </w:rPr>
              <w:t>CD-2025-07-017</w:t>
            </w:r>
          </w:p>
        </w:tc>
        <w:tc>
          <w:tcPr>
            <w:tcW w:w="1201" w:type="dxa"/>
          </w:tcPr>
          <w:p w:rsidRPr="0005769E" w:rsidR="00B27392" w:rsidP="0005769E" w:rsidRDefault="00B27392" w14:paraId="77D69387" w14:textId="77777777">
            <w:pPr>
              <w:pStyle w:val="NoSpacing"/>
              <w:rPr>
                <w:rFonts w:ascii="Palatino Linotype" w:hAnsi="Palatino Linotype"/>
                <w:sz w:val="22"/>
                <w:szCs w:val="22"/>
              </w:rPr>
            </w:pPr>
            <w:r w:rsidRPr="0005769E">
              <w:rPr>
                <w:rFonts w:ascii="Palatino Linotype" w:hAnsi="Palatino Linotype"/>
                <w:sz w:val="22"/>
                <w:szCs w:val="22"/>
              </w:rPr>
              <w:t>U-4595-C</w:t>
            </w:r>
          </w:p>
        </w:tc>
        <w:tc>
          <w:tcPr>
            <w:tcW w:w="4469" w:type="dxa"/>
          </w:tcPr>
          <w:p w:rsidRPr="0005769E" w:rsidR="00B27392" w:rsidP="0005769E" w:rsidRDefault="00B27392" w14:paraId="7DE68745" w14:textId="77777777">
            <w:pPr>
              <w:pStyle w:val="NoSpacing"/>
              <w:rPr>
                <w:rFonts w:ascii="Palatino Linotype" w:hAnsi="Palatino Linotype"/>
                <w:sz w:val="22"/>
                <w:szCs w:val="22"/>
              </w:rPr>
            </w:pPr>
            <w:r w:rsidRPr="0005769E">
              <w:rPr>
                <w:rFonts w:ascii="Palatino Linotype" w:hAnsi="Palatino Linotype"/>
                <w:sz w:val="22"/>
                <w:szCs w:val="22"/>
              </w:rPr>
              <w:t>Rocket Mobile, LLC</w:t>
            </w:r>
          </w:p>
        </w:tc>
        <w:tc>
          <w:tcPr>
            <w:tcW w:w="1224" w:type="dxa"/>
          </w:tcPr>
          <w:p w:rsidRPr="0005769E" w:rsidR="00B27392" w:rsidP="0005769E" w:rsidRDefault="00B27392" w14:paraId="0FE04B32" w14:textId="77777777">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5918E0" w:rsidTr="0005769E" w14:paraId="23A9FA63" w14:textId="77777777">
        <w:trPr>
          <w:trHeight w:val="620"/>
          <w:jc w:val="center"/>
        </w:trPr>
        <w:tc>
          <w:tcPr>
            <w:tcW w:w="9589" w:type="dxa"/>
            <w:gridSpan w:val="5"/>
          </w:tcPr>
          <w:p w:rsidRPr="0005769E" w:rsidR="00B27392" w:rsidP="0005769E" w:rsidRDefault="00B27392" w14:paraId="73551F98" w14:textId="0369E763">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Wireline Carrier </w:t>
            </w:r>
            <w:r w:rsidR="0005769E">
              <w:rPr>
                <w:rFonts w:ascii="Palatino Linotype" w:hAnsi="Palatino Linotype"/>
                <w:b/>
                <w:bCs/>
                <w:sz w:val="22"/>
                <w:szCs w:val="22"/>
              </w:rPr>
              <w:t xml:space="preserve">Failed to Comply with </w:t>
            </w:r>
            <w:r w:rsidRPr="0005769E">
              <w:rPr>
                <w:rFonts w:ascii="Palatino Linotype" w:hAnsi="Palatino Linotype"/>
                <w:b/>
                <w:bCs/>
                <w:sz w:val="22"/>
                <w:szCs w:val="22"/>
              </w:rPr>
              <w:t>(a) Annual Operational and Financial Information Report for CY 2024, (b) Annual Performance Bond and (c) Annual Affiliate Transaction Report for CY 2024</w:t>
            </w:r>
          </w:p>
        </w:tc>
      </w:tr>
      <w:tr w:rsidRPr="0005769E" w:rsidR="0005769E" w:rsidTr="0005769E" w14:paraId="2F0F6EA5" w14:textId="77777777">
        <w:trPr>
          <w:trHeight w:val="143"/>
          <w:jc w:val="center"/>
        </w:trPr>
        <w:tc>
          <w:tcPr>
            <w:tcW w:w="918" w:type="dxa"/>
          </w:tcPr>
          <w:p w:rsidRPr="0005769E" w:rsidR="00B27392" w:rsidP="0005769E" w:rsidRDefault="00B27392" w14:paraId="4AF77EA8" w14:textId="5C8B8328">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2</w:t>
            </w:r>
          </w:p>
        </w:tc>
        <w:tc>
          <w:tcPr>
            <w:tcW w:w="1777" w:type="dxa"/>
          </w:tcPr>
          <w:p w:rsidRPr="0005769E" w:rsidR="00B27392" w:rsidP="0005769E" w:rsidRDefault="00B27392" w14:paraId="13C2D2F1" w14:textId="77777777">
            <w:pPr>
              <w:pStyle w:val="NoSpacing"/>
              <w:rPr>
                <w:rFonts w:ascii="Palatino Linotype" w:hAnsi="Palatino Linotype"/>
                <w:sz w:val="22"/>
                <w:szCs w:val="22"/>
              </w:rPr>
            </w:pPr>
            <w:r w:rsidRPr="0005769E">
              <w:rPr>
                <w:rFonts w:ascii="Palatino Linotype" w:hAnsi="Palatino Linotype"/>
                <w:sz w:val="22"/>
                <w:szCs w:val="22"/>
              </w:rPr>
              <w:t>CD-2025-07-019</w:t>
            </w:r>
          </w:p>
        </w:tc>
        <w:tc>
          <w:tcPr>
            <w:tcW w:w="1201" w:type="dxa"/>
          </w:tcPr>
          <w:p w:rsidRPr="0005769E" w:rsidR="00B27392" w:rsidP="0005769E" w:rsidRDefault="00B27392" w14:paraId="34232E36" w14:textId="77777777">
            <w:pPr>
              <w:pStyle w:val="NoSpacing"/>
              <w:rPr>
                <w:rFonts w:ascii="Palatino Linotype" w:hAnsi="Palatino Linotype"/>
                <w:sz w:val="22"/>
                <w:szCs w:val="22"/>
              </w:rPr>
            </w:pPr>
            <w:r w:rsidRPr="0005769E">
              <w:rPr>
                <w:rFonts w:ascii="Palatino Linotype" w:hAnsi="Palatino Linotype"/>
                <w:sz w:val="22"/>
                <w:szCs w:val="22"/>
              </w:rPr>
              <w:t>U-5233-C</w:t>
            </w:r>
          </w:p>
        </w:tc>
        <w:tc>
          <w:tcPr>
            <w:tcW w:w="4469" w:type="dxa"/>
          </w:tcPr>
          <w:p w:rsidRPr="0005769E" w:rsidR="00B27392" w:rsidP="0005769E" w:rsidRDefault="00B27392" w14:paraId="44B08C1C" w14:textId="77777777">
            <w:pPr>
              <w:pStyle w:val="NoSpacing"/>
              <w:rPr>
                <w:rFonts w:ascii="Palatino Linotype" w:hAnsi="Palatino Linotype"/>
                <w:sz w:val="22"/>
                <w:szCs w:val="22"/>
              </w:rPr>
            </w:pPr>
            <w:r w:rsidRPr="0005769E">
              <w:rPr>
                <w:rFonts w:ascii="Palatino Linotype" w:hAnsi="Palatino Linotype"/>
                <w:sz w:val="22"/>
                <w:szCs w:val="22"/>
              </w:rPr>
              <w:t>Working Assets Funding Service, Inc.</w:t>
            </w:r>
          </w:p>
        </w:tc>
        <w:tc>
          <w:tcPr>
            <w:tcW w:w="1224" w:type="dxa"/>
          </w:tcPr>
          <w:p w:rsidRPr="0005769E" w:rsidR="00B27392" w:rsidP="0005769E" w:rsidRDefault="00B27392" w14:paraId="43FBD461" w14:textId="77777777">
            <w:pPr>
              <w:pStyle w:val="NoSpacing"/>
              <w:jc w:val="center"/>
              <w:rPr>
                <w:rFonts w:ascii="Palatino Linotype" w:hAnsi="Palatino Linotype"/>
                <w:sz w:val="22"/>
                <w:szCs w:val="22"/>
              </w:rPr>
            </w:pPr>
            <w:r w:rsidRPr="0005769E">
              <w:rPr>
                <w:rFonts w:ascii="Palatino Linotype" w:hAnsi="Palatino Linotype"/>
                <w:sz w:val="22"/>
                <w:szCs w:val="22"/>
              </w:rPr>
              <w:t>$3,960</w:t>
            </w:r>
          </w:p>
        </w:tc>
      </w:tr>
      <w:tr w:rsidRPr="0005769E" w:rsidR="0005769E" w:rsidTr="0005769E" w14:paraId="3BA39E41" w14:textId="77777777">
        <w:trPr>
          <w:trHeight w:val="60"/>
          <w:jc w:val="center"/>
        </w:trPr>
        <w:tc>
          <w:tcPr>
            <w:tcW w:w="918" w:type="dxa"/>
          </w:tcPr>
          <w:p w:rsidRPr="0005769E" w:rsidR="00BF2EE2" w:rsidP="0005769E" w:rsidRDefault="00BF2EE2" w14:paraId="57D017F1" w14:textId="262CDFB1">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3</w:t>
            </w:r>
          </w:p>
        </w:tc>
        <w:tc>
          <w:tcPr>
            <w:tcW w:w="1777" w:type="dxa"/>
          </w:tcPr>
          <w:p w:rsidRPr="0005769E" w:rsidR="00BF2EE2" w:rsidP="0005769E" w:rsidRDefault="00BF2EE2" w14:paraId="65335815" w14:textId="516F46C4">
            <w:pPr>
              <w:pStyle w:val="NoSpacing"/>
              <w:rPr>
                <w:rFonts w:ascii="Palatino Linotype" w:hAnsi="Palatino Linotype"/>
                <w:sz w:val="22"/>
                <w:szCs w:val="22"/>
              </w:rPr>
            </w:pPr>
            <w:r w:rsidRPr="0005769E">
              <w:rPr>
                <w:rFonts w:ascii="Palatino Linotype" w:hAnsi="Palatino Linotype"/>
                <w:sz w:val="22"/>
                <w:szCs w:val="22"/>
              </w:rPr>
              <w:t>CD-2025-07-025</w:t>
            </w:r>
          </w:p>
        </w:tc>
        <w:tc>
          <w:tcPr>
            <w:tcW w:w="1201" w:type="dxa"/>
          </w:tcPr>
          <w:p w:rsidRPr="0005769E" w:rsidR="00BF2EE2" w:rsidP="0005769E" w:rsidRDefault="00BF2EE2" w14:paraId="7DC70E2B" w14:textId="6C25C896">
            <w:pPr>
              <w:pStyle w:val="NoSpacing"/>
              <w:rPr>
                <w:rFonts w:ascii="Palatino Linotype" w:hAnsi="Palatino Linotype"/>
                <w:sz w:val="22"/>
                <w:szCs w:val="22"/>
              </w:rPr>
            </w:pPr>
            <w:r w:rsidRPr="0005769E">
              <w:rPr>
                <w:rFonts w:ascii="Palatino Linotype" w:hAnsi="Palatino Linotype"/>
                <w:sz w:val="22"/>
                <w:szCs w:val="22"/>
              </w:rPr>
              <w:t>U-7078-C</w:t>
            </w:r>
          </w:p>
        </w:tc>
        <w:tc>
          <w:tcPr>
            <w:tcW w:w="4469" w:type="dxa"/>
          </w:tcPr>
          <w:p w:rsidRPr="0005769E" w:rsidR="00BF2EE2" w:rsidP="0005769E" w:rsidRDefault="00BF2EE2" w14:paraId="58778114" w14:textId="081AC9AB">
            <w:pPr>
              <w:pStyle w:val="NoSpacing"/>
              <w:rPr>
                <w:rFonts w:ascii="Palatino Linotype" w:hAnsi="Palatino Linotype"/>
                <w:sz w:val="22"/>
                <w:szCs w:val="22"/>
              </w:rPr>
            </w:pPr>
            <w:r w:rsidRPr="0005769E">
              <w:rPr>
                <w:rFonts w:ascii="Palatino Linotype" w:hAnsi="Palatino Linotype"/>
                <w:sz w:val="22"/>
                <w:szCs w:val="22"/>
              </w:rPr>
              <w:t>Super Prepaid Inc.</w:t>
            </w:r>
          </w:p>
        </w:tc>
        <w:tc>
          <w:tcPr>
            <w:tcW w:w="1224" w:type="dxa"/>
          </w:tcPr>
          <w:p w:rsidRPr="0005769E" w:rsidR="00BF2EE2" w:rsidP="0005769E" w:rsidRDefault="00BF2EE2" w14:paraId="7B9FC709" w14:textId="5115E2ED">
            <w:pPr>
              <w:pStyle w:val="NoSpacing"/>
              <w:jc w:val="center"/>
              <w:rPr>
                <w:rFonts w:ascii="Palatino Linotype" w:hAnsi="Palatino Linotype"/>
                <w:sz w:val="22"/>
                <w:szCs w:val="22"/>
              </w:rPr>
            </w:pPr>
            <w:r w:rsidRPr="0005769E">
              <w:rPr>
                <w:rFonts w:ascii="Palatino Linotype" w:hAnsi="Palatino Linotype"/>
                <w:sz w:val="22"/>
                <w:szCs w:val="22"/>
              </w:rPr>
              <w:t>$3,960</w:t>
            </w:r>
          </w:p>
        </w:tc>
      </w:tr>
      <w:tr w:rsidRPr="0005769E" w:rsidR="0005769E" w:rsidTr="0005769E" w14:paraId="42313EEB" w14:textId="77777777">
        <w:trPr>
          <w:trHeight w:val="233"/>
          <w:jc w:val="center"/>
        </w:trPr>
        <w:tc>
          <w:tcPr>
            <w:tcW w:w="918" w:type="dxa"/>
          </w:tcPr>
          <w:p w:rsidRPr="0005769E" w:rsidR="00617618" w:rsidP="0005769E" w:rsidRDefault="00617618" w14:paraId="1694F5BE" w14:textId="46B5A4D8">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4</w:t>
            </w:r>
          </w:p>
        </w:tc>
        <w:tc>
          <w:tcPr>
            <w:tcW w:w="1777" w:type="dxa"/>
          </w:tcPr>
          <w:p w:rsidRPr="0005769E" w:rsidR="00617618" w:rsidP="0005769E" w:rsidRDefault="00617618" w14:paraId="6BA4470C" w14:textId="0ED365C1">
            <w:pPr>
              <w:pStyle w:val="NoSpacing"/>
              <w:rPr>
                <w:rFonts w:ascii="Palatino Linotype" w:hAnsi="Palatino Linotype"/>
                <w:sz w:val="22"/>
                <w:szCs w:val="22"/>
              </w:rPr>
            </w:pPr>
            <w:r w:rsidRPr="0005769E">
              <w:rPr>
                <w:rFonts w:ascii="Palatino Linotype" w:hAnsi="Palatino Linotype"/>
                <w:sz w:val="22"/>
                <w:szCs w:val="22"/>
              </w:rPr>
              <w:t>CD-2025-08-001</w:t>
            </w:r>
          </w:p>
        </w:tc>
        <w:tc>
          <w:tcPr>
            <w:tcW w:w="1201" w:type="dxa"/>
          </w:tcPr>
          <w:p w:rsidRPr="0005769E" w:rsidR="00617618" w:rsidP="0005769E" w:rsidRDefault="00617618" w14:paraId="18468D13" w14:textId="5EF36485">
            <w:pPr>
              <w:pStyle w:val="NoSpacing"/>
              <w:rPr>
                <w:rFonts w:ascii="Palatino Linotype" w:hAnsi="Palatino Linotype"/>
                <w:sz w:val="22"/>
                <w:szCs w:val="22"/>
              </w:rPr>
            </w:pPr>
            <w:r w:rsidRPr="0005769E">
              <w:rPr>
                <w:rFonts w:ascii="Palatino Linotype" w:hAnsi="Palatino Linotype"/>
                <w:sz w:val="22"/>
                <w:szCs w:val="22"/>
              </w:rPr>
              <w:t>U-6549-C</w:t>
            </w:r>
          </w:p>
        </w:tc>
        <w:tc>
          <w:tcPr>
            <w:tcW w:w="4469" w:type="dxa"/>
          </w:tcPr>
          <w:p w:rsidRPr="0005769E" w:rsidR="00617618" w:rsidP="0005769E" w:rsidRDefault="00617618" w14:paraId="659ED32A" w14:textId="3A642021">
            <w:pPr>
              <w:pStyle w:val="NoSpacing"/>
              <w:rPr>
                <w:rFonts w:ascii="Palatino Linotype" w:hAnsi="Palatino Linotype"/>
                <w:sz w:val="22"/>
                <w:szCs w:val="22"/>
              </w:rPr>
            </w:pPr>
            <w:r w:rsidRPr="0005769E">
              <w:rPr>
                <w:rFonts w:ascii="Palatino Linotype" w:hAnsi="Palatino Linotype"/>
                <w:sz w:val="22"/>
                <w:szCs w:val="22"/>
              </w:rPr>
              <w:t>Reduced Rate Long Distance, Inc.</w:t>
            </w:r>
          </w:p>
        </w:tc>
        <w:tc>
          <w:tcPr>
            <w:tcW w:w="1224" w:type="dxa"/>
          </w:tcPr>
          <w:p w:rsidRPr="0005769E" w:rsidR="00617618" w:rsidP="0005769E" w:rsidRDefault="00617618" w14:paraId="1917D41E" w14:textId="2E31555A">
            <w:pPr>
              <w:pStyle w:val="NoSpacing"/>
              <w:jc w:val="center"/>
              <w:rPr>
                <w:rFonts w:ascii="Palatino Linotype" w:hAnsi="Palatino Linotype"/>
                <w:sz w:val="22"/>
                <w:szCs w:val="22"/>
              </w:rPr>
            </w:pPr>
            <w:r w:rsidRPr="0005769E">
              <w:rPr>
                <w:rFonts w:ascii="Palatino Linotype" w:hAnsi="Palatino Linotype"/>
                <w:sz w:val="22"/>
                <w:szCs w:val="22"/>
              </w:rPr>
              <w:t>$3,960</w:t>
            </w:r>
          </w:p>
        </w:tc>
      </w:tr>
      <w:tr w:rsidRPr="0005769E" w:rsidR="0005769E" w:rsidTr="0005769E" w14:paraId="54B55632" w14:textId="77777777">
        <w:trPr>
          <w:trHeight w:val="125"/>
          <w:jc w:val="center"/>
        </w:trPr>
        <w:tc>
          <w:tcPr>
            <w:tcW w:w="918" w:type="dxa"/>
          </w:tcPr>
          <w:p w:rsidRPr="0005769E" w:rsidR="00617618" w:rsidP="0005769E" w:rsidRDefault="00617618" w14:paraId="47684706" w14:textId="2A17D4ED">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5</w:t>
            </w:r>
          </w:p>
        </w:tc>
        <w:tc>
          <w:tcPr>
            <w:tcW w:w="1777" w:type="dxa"/>
          </w:tcPr>
          <w:p w:rsidRPr="0005769E" w:rsidR="00617618" w:rsidP="0005769E" w:rsidRDefault="00617618" w14:paraId="06799882" w14:textId="3B19DB1E">
            <w:pPr>
              <w:pStyle w:val="NoSpacing"/>
              <w:rPr>
                <w:rFonts w:ascii="Palatino Linotype" w:hAnsi="Palatino Linotype"/>
                <w:sz w:val="22"/>
                <w:szCs w:val="22"/>
              </w:rPr>
            </w:pPr>
            <w:r w:rsidRPr="0005769E">
              <w:rPr>
                <w:rFonts w:ascii="Palatino Linotype" w:hAnsi="Palatino Linotype"/>
                <w:sz w:val="22"/>
                <w:szCs w:val="22"/>
              </w:rPr>
              <w:t>CD-2025-08-004</w:t>
            </w:r>
          </w:p>
        </w:tc>
        <w:tc>
          <w:tcPr>
            <w:tcW w:w="1201" w:type="dxa"/>
          </w:tcPr>
          <w:p w:rsidRPr="0005769E" w:rsidR="00617618" w:rsidP="0005769E" w:rsidRDefault="00617618" w14:paraId="01DC7937" w14:textId="69F7E51D">
            <w:pPr>
              <w:pStyle w:val="NoSpacing"/>
              <w:rPr>
                <w:rFonts w:ascii="Palatino Linotype" w:hAnsi="Palatino Linotype"/>
                <w:sz w:val="22"/>
                <w:szCs w:val="22"/>
              </w:rPr>
            </w:pPr>
            <w:r w:rsidRPr="0005769E">
              <w:rPr>
                <w:rFonts w:ascii="Palatino Linotype" w:hAnsi="Palatino Linotype"/>
                <w:sz w:val="22"/>
                <w:szCs w:val="22"/>
              </w:rPr>
              <w:t>U-7073-C</w:t>
            </w:r>
          </w:p>
        </w:tc>
        <w:tc>
          <w:tcPr>
            <w:tcW w:w="4469" w:type="dxa"/>
          </w:tcPr>
          <w:p w:rsidRPr="0005769E" w:rsidR="00617618" w:rsidP="0005769E" w:rsidRDefault="00617618" w14:paraId="0222D920" w14:textId="661D73DB">
            <w:pPr>
              <w:pStyle w:val="NoSpacing"/>
              <w:rPr>
                <w:rFonts w:ascii="Palatino Linotype" w:hAnsi="Palatino Linotype"/>
                <w:sz w:val="22"/>
                <w:szCs w:val="22"/>
              </w:rPr>
            </w:pPr>
            <w:r w:rsidRPr="0005769E">
              <w:rPr>
                <w:rFonts w:ascii="Palatino Linotype" w:hAnsi="Palatino Linotype"/>
                <w:sz w:val="22"/>
                <w:szCs w:val="22"/>
              </w:rPr>
              <w:t>Rural Broadband Now! LLC</w:t>
            </w:r>
          </w:p>
        </w:tc>
        <w:tc>
          <w:tcPr>
            <w:tcW w:w="1224" w:type="dxa"/>
          </w:tcPr>
          <w:p w:rsidRPr="0005769E" w:rsidR="00617618" w:rsidP="0005769E" w:rsidRDefault="00617618" w14:paraId="0DF03F34" w14:textId="12F28F19">
            <w:pPr>
              <w:pStyle w:val="NoSpacing"/>
              <w:jc w:val="center"/>
              <w:rPr>
                <w:rFonts w:ascii="Palatino Linotype" w:hAnsi="Palatino Linotype"/>
                <w:sz w:val="22"/>
                <w:szCs w:val="22"/>
              </w:rPr>
            </w:pPr>
            <w:r w:rsidRPr="0005769E">
              <w:rPr>
                <w:rFonts w:ascii="Palatino Linotype" w:hAnsi="Palatino Linotype"/>
                <w:sz w:val="22"/>
                <w:szCs w:val="22"/>
              </w:rPr>
              <w:t>$3,960</w:t>
            </w:r>
          </w:p>
        </w:tc>
      </w:tr>
      <w:tr w:rsidRPr="0005769E" w:rsidR="005918E0" w:rsidTr="0005769E" w14:paraId="75BA0688" w14:textId="77777777">
        <w:trPr>
          <w:trHeight w:val="485"/>
          <w:jc w:val="center"/>
        </w:trPr>
        <w:tc>
          <w:tcPr>
            <w:tcW w:w="9589" w:type="dxa"/>
            <w:gridSpan w:val="5"/>
          </w:tcPr>
          <w:p w:rsidRPr="0005769E" w:rsidR="00B27392" w:rsidP="0005769E" w:rsidRDefault="00617618" w14:paraId="7E148EDF" w14:textId="10DE65C2">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Wireline Carrier </w:t>
            </w:r>
            <w:r w:rsidR="0005769E">
              <w:rPr>
                <w:rFonts w:ascii="Palatino Linotype" w:hAnsi="Palatino Linotype"/>
                <w:b/>
                <w:bCs/>
                <w:sz w:val="22"/>
                <w:szCs w:val="22"/>
              </w:rPr>
              <w:t xml:space="preserve">Failed to Comply with </w:t>
            </w:r>
            <w:r w:rsidRPr="0005769E">
              <w:rPr>
                <w:rFonts w:ascii="Palatino Linotype" w:hAnsi="Palatino Linotype"/>
                <w:b/>
                <w:bCs/>
                <w:sz w:val="22"/>
                <w:szCs w:val="22"/>
              </w:rPr>
              <w:t>(a) Annual Operational and Financial Information Report for CY 2024 and (b) Annual Affiliate Transaction Report for CY 2024</w:t>
            </w:r>
          </w:p>
        </w:tc>
      </w:tr>
      <w:tr w:rsidRPr="0005769E" w:rsidR="0005769E" w:rsidTr="0005769E" w14:paraId="23B0FDE5" w14:textId="77777777">
        <w:trPr>
          <w:trHeight w:val="224"/>
          <w:jc w:val="center"/>
        </w:trPr>
        <w:tc>
          <w:tcPr>
            <w:tcW w:w="918" w:type="dxa"/>
          </w:tcPr>
          <w:p w:rsidRPr="0005769E" w:rsidR="00617618" w:rsidP="0005769E" w:rsidRDefault="00617618" w14:paraId="214B6283" w14:textId="7848D730">
            <w:pPr>
              <w:pStyle w:val="NoSpacing"/>
              <w:jc w:val="center"/>
              <w:rPr>
                <w:rFonts w:ascii="Palatino Linotype" w:hAnsi="Palatino Linotype"/>
                <w:sz w:val="22"/>
                <w:szCs w:val="22"/>
              </w:rPr>
            </w:pPr>
            <w:r w:rsidRPr="0005769E">
              <w:rPr>
                <w:rFonts w:ascii="Palatino Linotype" w:hAnsi="Palatino Linotype"/>
                <w:sz w:val="22"/>
                <w:szCs w:val="22"/>
              </w:rPr>
              <w:lastRenderedPageBreak/>
              <w:t>1</w:t>
            </w:r>
            <w:r w:rsidR="00AF0F78">
              <w:rPr>
                <w:rFonts w:ascii="Palatino Linotype" w:hAnsi="Palatino Linotype"/>
                <w:sz w:val="22"/>
                <w:szCs w:val="22"/>
              </w:rPr>
              <w:t>6</w:t>
            </w:r>
          </w:p>
        </w:tc>
        <w:tc>
          <w:tcPr>
            <w:tcW w:w="1777" w:type="dxa"/>
          </w:tcPr>
          <w:p w:rsidRPr="0005769E" w:rsidR="00617618" w:rsidP="0005769E" w:rsidRDefault="00617618" w14:paraId="640EFA14" w14:textId="18795729">
            <w:pPr>
              <w:pStyle w:val="NoSpacing"/>
              <w:rPr>
                <w:rFonts w:ascii="Palatino Linotype" w:hAnsi="Palatino Linotype"/>
                <w:sz w:val="22"/>
                <w:szCs w:val="22"/>
              </w:rPr>
            </w:pPr>
            <w:r w:rsidRPr="0005769E">
              <w:rPr>
                <w:rFonts w:ascii="Palatino Linotype" w:hAnsi="Palatino Linotype"/>
                <w:sz w:val="22"/>
                <w:szCs w:val="22"/>
              </w:rPr>
              <w:t>CD-2025-07-032</w:t>
            </w:r>
          </w:p>
        </w:tc>
        <w:tc>
          <w:tcPr>
            <w:tcW w:w="1201" w:type="dxa"/>
          </w:tcPr>
          <w:p w:rsidRPr="0005769E" w:rsidR="00617618" w:rsidP="0005769E" w:rsidRDefault="00617618" w14:paraId="2D9CBDD7" w14:textId="02118176">
            <w:pPr>
              <w:pStyle w:val="NoSpacing"/>
              <w:rPr>
                <w:rFonts w:ascii="Palatino Linotype" w:hAnsi="Palatino Linotype"/>
                <w:sz w:val="22"/>
                <w:szCs w:val="22"/>
              </w:rPr>
            </w:pPr>
            <w:r w:rsidRPr="0005769E">
              <w:rPr>
                <w:rFonts w:ascii="Palatino Linotype" w:hAnsi="Palatino Linotype"/>
                <w:sz w:val="22"/>
                <w:szCs w:val="22"/>
              </w:rPr>
              <w:t>U-7400-C</w:t>
            </w:r>
          </w:p>
        </w:tc>
        <w:tc>
          <w:tcPr>
            <w:tcW w:w="4469" w:type="dxa"/>
          </w:tcPr>
          <w:p w:rsidRPr="0005769E" w:rsidR="00617618" w:rsidP="0005769E" w:rsidRDefault="00617618" w14:paraId="712B9C25" w14:textId="3DDA00BC">
            <w:pPr>
              <w:pStyle w:val="NoSpacing"/>
              <w:rPr>
                <w:rFonts w:ascii="Palatino Linotype" w:hAnsi="Palatino Linotype"/>
                <w:sz w:val="22"/>
                <w:szCs w:val="22"/>
              </w:rPr>
            </w:pPr>
            <w:r w:rsidRPr="0005769E">
              <w:rPr>
                <w:rFonts w:ascii="Palatino Linotype" w:hAnsi="Palatino Linotype"/>
                <w:sz w:val="22"/>
                <w:szCs w:val="22"/>
              </w:rPr>
              <w:t>Innovative Communication Systems, Inc.</w:t>
            </w:r>
            <w:r w:rsidRPr="0005769E" w:rsidR="005918E0">
              <w:rPr>
                <w:rStyle w:val="FootnoteReference"/>
                <w:rFonts w:ascii="Palatino Linotype" w:hAnsi="Palatino Linotype"/>
                <w:sz w:val="22"/>
                <w:szCs w:val="22"/>
              </w:rPr>
              <w:t xml:space="preserve"> </w:t>
            </w:r>
            <w:r w:rsidRPr="0005769E" w:rsidR="005918E0">
              <w:rPr>
                <w:rStyle w:val="FootnoteReference"/>
                <w:rFonts w:ascii="Palatino Linotype" w:hAnsi="Palatino Linotype"/>
                <w:sz w:val="22"/>
                <w:szCs w:val="22"/>
              </w:rPr>
              <w:footnoteReference w:id="18"/>
            </w:r>
          </w:p>
        </w:tc>
        <w:tc>
          <w:tcPr>
            <w:tcW w:w="1224" w:type="dxa"/>
          </w:tcPr>
          <w:p w:rsidRPr="0005769E" w:rsidR="00617618" w:rsidP="0005769E" w:rsidRDefault="00617618" w14:paraId="31123CBD" w14:textId="424C08E9">
            <w:pPr>
              <w:pStyle w:val="NoSpacing"/>
              <w:jc w:val="center"/>
              <w:rPr>
                <w:rFonts w:ascii="Palatino Linotype" w:hAnsi="Palatino Linotype"/>
                <w:sz w:val="22"/>
                <w:szCs w:val="22"/>
              </w:rPr>
            </w:pPr>
            <w:r w:rsidRPr="0005769E">
              <w:rPr>
                <w:rFonts w:ascii="Palatino Linotype" w:hAnsi="Palatino Linotype"/>
                <w:sz w:val="22"/>
                <w:szCs w:val="22"/>
              </w:rPr>
              <w:t>$2,640</w:t>
            </w:r>
          </w:p>
        </w:tc>
      </w:tr>
      <w:tr w:rsidRPr="0005769E" w:rsidR="005918E0" w:rsidTr="0005769E" w14:paraId="198908A5" w14:textId="77777777">
        <w:trPr>
          <w:trHeight w:val="269"/>
          <w:jc w:val="center"/>
        </w:trPr>
        <w:tc>
          <w:tcPr>
            <w:tcW w:w="9589" w:type="dxa"/>
            <w:gridSpan w:val="5"/>
          </w:tcPr>
          <w:p w:rsidRPr="0005769E" w:rsidR="00617618" w:rsidP="0005769E" w:rsidRDefault="00617618" w14:paraId="699BD00A" w14:textId="3EF27E12">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Wireline Carrier </w:t>
            </w:r>
            <w:r w:rsidR="0005769E">
              <w:rPr>
                <w:rFonts w:ascii="Palatino Linotype" w:hAnsi="Palatino Linotype"/>
                <w:b/>
                <w:bCs/>
                <w:sz w:val="22"/>
                <w:szCs w:val="22"/>
              </w:rPr>
              <w:t xml:space="preserve">Failed to Comply with </w:t>
            </w:r>
            <w:r w:rsidRPr="0005769E">
              <w:rPr>
                <w:rFonts w:ascii="Palatino Linotype" w:hAnsi="Palatino Linotype"/>
                <w:b/>
                <w:bCs/>
                <w:sz w:val="22"/>
                <w:szCs w:val="22"/>
              </w:rPr>
              <w:t>(a) Annual Performance Bond</w:t>
            </w:r>
          </w:p>
        </w:tc>
      </w:tr>
      <w:tr w:rsidRPr="0005769E" w:rsidR="0005769E" w:rsidTr="0005769E" w14:paraId="0C8DCD13" w14:textId="77777777">
        <w:trPr>
          <w:trHeight w:val="260"/>
          <w:jc w:val="center"/>
        </w:trPr>
        <w:tc>
          <w:tcPr>
            <w:tcW w:w="918" w:type="dxa"/>
          </w:tcPr>
          <w:p w:rsidRPr="0005769E" w:rsidR="00617618" w:rsidP="0005769E" w:rsidRDefault="00617618" w14:paraId="54803A6C" w14:textId="0E20AA32">
            <w:pPr>
              <w:pStyle w:val="NoSpacing"/>
              <w:jc w:val="center"/>
              <w:rPr>
                <w:rFonts w:ascii="Palatino Linotype" w:hAnsi="Palatino Linotype"/>
                <w:sz w:val="22"/>
                <w:szCs w:val="22"/>
              </w:rPr>
            </w:pPr>
            <w:r w:rsidRPr="0005769E">
              <w:rPr>
                <w:rFonts w:ascii="Palatino Linotype" w:hAnsi="Palatino Linotype"/>
                <w:sz w:val="22"/>
                <w:szCs w:val="22"/>
              </w:rPr>
              <w:t>1</w:t>
            </w:r>
            <w:r w:rsidR="00AF0F78">
              <w:rPr>
                <w:rFonts w:ascii="Palatino Linotype" w:hAnsi="Palatino Linotype"/>
                <w:sz w:val="22"/>
                <w:szCs w:val="22"/>
              </w:rPr>
              <w:t>7</w:t>
            </w:r>
          </w:p>
        </w:tc>
        <w:tc>
          <w:tcPr>
            <w:tcW w:w="1777" w:type="dxa"/>
          </w:tcPr>
          <w:p w:rsidRPr="0005769E" w:rsidR="00617618" w:rsidP="0005769E" w:rsidRDefault="00617618" w14:paraId="564E327D" w14:textId="5A54888F">
            <w:pPr>
              <w:pStyle w:val="NoSpacing"/>
              <w:rPr>
                <w:rFonts w:ascii="Palatino Linotype" w:hAnsi="Palatino Linotype"/>
                <w:sz w:val="22"/>
                <w:szCs w:val="22"/>
              </w:rPr>
            </w:pPr>
            <w:r w:rsidRPr="0005769E">
              <w:rPr>
                <w:rFonts w:ascii="Palatino Linotype" w:hAnsi="Palatino Linotype"/>
                <w:sz w:val="22"/>
                <w:szCs w:val="22"/>
              </w:rPr>
              <w:t>CD-2025-08-002</w:t>
            </w:r>
          </w:p>
        </w:tc>
        <w:tc>
          <w:tcPr>
            <w:tcW w:w="1201" w:type="dxa"/>
          </w:tcPr>
          <w:p w:rsidRPr="0005769E" w:rsidR="00617618" w:rsidP="0005769E" w:rsidRDefault="00617618" w14:paraId="10F3C120" w14:textId="7807AD63">
            <w:pPr>
              <w:pStyle w:val="NoSpacing"/>
              <w:rPr>
                <w:rFonts w:ascii="Palatino Linotype" w:hAnsi="Palatino Linotype"/>
                <w:sz w:val="22"/>
                <w:szCs w:val="22"/>
              </w:rPr>
            </w:pPr>
            <w:r w:rsidRPr="0005769E">
              <w:rPr>
                <w:rFonts w:ascii="Palatino Linotype" w:hAnsi="Palatino Linotype"/>
                <w:sz w:val="22"/>
                <w:szCs w:val="22"/>
              </w:rPr>
              <w:t>U-6651-C</w:t>
            </w:r>
          </w:p>
        </w:tc>
        <w:tc>
          <w:tcPr>
            <w:tcW w:w="4469" w:type="dxa"/>
          </w:tcPr>
          <w:p w:rsidRPr="0005769E" w:rsidR="00617618" w:rsidP="0005769E" w:rsidRDefault="00617618" w14:paraId="7244A8B0" w14:textId="719C7034">
            <w:pPr>
              <w:pStyle w:val="NoSpacing"/>
              <w:rPr>
                <w:rFonts w:ascii="Palatino Linotype" w:hAnsi="Palatino Linotype"/>
                <w:sz w:val="22"/>
                <w:szCs w:val="22"/>
              </w:rPr>
            </w:pPr>
            <w:proofErr w:type="spellStart"/>
            <w:r w:rsidRPr="0005769E">
              <w:rPr>
                <w:rFonts w:ascii="Palatino Linotype" w:hAnsi="Palatino Linotype"/>
                <w:sz w:val="22"/>
                <w:szCs w:val="22"/>
              </w:rPr>
              <w:t>Ztg</w:t>
            </w:r>
            <w:proofErr w:type="spellEnd"/>
            <w:r w:rsidRPr="0005769E">
              <w:rPr>
                <w:rFonts w:ascii="Palatino Linotype" w:hAnsi="Palatino Linotype"/>
                <w:sz w:val="22"/>
                <w:szCs w:val="22"/>
              </w:rPr>
              <w:t>, Inc.</w:t>
            </w:r>
            <w:r w:rsidR="00515D3C">
              <w:rPr>
                <w:rStyle w:val="FootnoteReference"/>
                <w:rFonts w:ascii="Palatino Linotype" w:hAnsi="Palatino Linotype"/>
                <w:sz w:val="22"/>
                <w:szCs w:val="22"/>
              </w:rPr>
              <w:footnoteReference w:id="19"/>
            </w:r>
          </w:p>
        </w:tc>
        <w:tc>
          <w:tcPr>
            <w:tcW w:w="1224" w:type="dxa"/>
          </w:tcPr>
          <w:p w:rsidRPr="0005769E" w:rsidR="00617618" w:rsidP="0005769E" w:rsidRDefault="00617618" w14:paraId="4F084D64" w14:textId="118E7821">
            <w:pPr>
              <w:pStyle w:val="NoSpacing"/>
              <w:jc w:val="center"/>
              <w:rPr>
                <w:rFonts w:ascii="Palatino Linotype" w:hAnsi="Palatino Linotype"/>
                <w:sz w:val="22"/>
                <w:szCs w:val="22"/>
              </w:rPr>
            </w:pPr>
            <w:r w:rsidRPr="0005769E">
              <w:rPr>
                <w:rFonts w:ascii="Palatino Linotype" w:hAnsi="Palatino Linotype"/>
                <w:sz w:val="22"/>
                <w:szCs w:val="22"/>
              </w:rPr>
              <w:t>$1,320</w:t>
            </w:r>
          </w:p>
        </w:tc>
      </w:tr>
      <w:tr w:rsidRPr="0005769E" w:rsidR="005918E0" w:rsidTr="0005769E" w14:paraId="6B2A1D6B" w14:textId="77777777">
        <w:trPr>
          <w:trHeight w:val="620"/>
          <w:jc w:val="center"/>
        </w:trPr>
        <w:tc>
          <w:tcPr>
            <w:tcW w:w="9589" w:type="dxa"/>
            <w:gridSpan w:val="5"/>
          </w:tcPr>
          <w:p w:rsidRPr="0005769E" w:rsidR="00617618" w:rsidP="0005769E" w:rsidRDefault="00617618" w14:paraId="4930AB58" w14:textId="77DB5406">
            <w:pPr>
              <w:pStyle w:val="NoSpacing"/>
              <w:jc w:val="center"/>
              <w:rPr>
                <w:rFonts w:ascii="Palatino Linotype" w:hAnsi="Palatino Linotype"/>
                <w:b/>
                <w:bCs/>
                <w:sz w:val="22"/>
                <w:szCs w:val="22"/>
              </w:rPr>
            </w:pPr>
            <w:r w:rsidRPr="0005769E">
              <w:rPr>
                <w:rFonts w:ascii="Palatino Linotype" w:hAnsi="Palatino Linotype"/>
                <w:b/>
                <w:bCs/>
                <w:sz w:val="22"/>
                <w:szCs w:val="22"/>
              </w:rPr>
              <w:t xml:space="preserve">Wireline Carrier </w:t>
            </w:r>
            <w:r w:rsidR="0005769E">
              <w:rPr>
                <w:rFonts w:ascii="Palatino Linotype" w:hAnsi="Palatino Linotype"/>
                <w:b/>
                <w:bCs/>
                <w:sz w:val="22"/>
                <w:szCs w:val="22"/>
              </w:rPr>
              <w:t>Failed to Comply with</w:t>
            </w:r>
            <w:r w:rsidRPr="0005769E">
              <w:rPr>
                <w:rFonts w:ascii="Palatino Linotype" w:hAnsi="Palatino Linotype"/>
                <w:b/>
                <w:bCs/>
                <w:sz w:val="22"/>
                <w:szCs w:val="22"/>
              </w:rPr>
              <w:t xml:space="preserve"> (a) Annual Operational and Financial Information Report for CY 2024</w:t>
            </w:r>
          </w:p>
        </w:tc>
      </w:tr>
      <w:tr w:rsidRPr="0005769E" w:rsidR="0005769E" w:rsidTr="0005769E" w14:paraId="7830E3CA" w14:textId="77777777">
        <w:trPr>
          <w:trHeight w:val="143"/>
          <w:jc w:val="center"/>
        </w:trPr>
        <w:tc>
          <w:tcPr>
            <w:tcW w:w="918" w:type="dxa"/>
          </w:tcPr>
          <w:p w:rsidRPr="0005769E" w:rsidR="00617618" w:rsidP="0005769E" w:rsidRDefault="005A72C1" w14:paraId="78381488" w14:textId="7C92449E">
            <w:pPr>
              <w:pStyle w:val="NoSpacing"/>
              <w:jc w:val="center"/>
              <w:rPr>
                <w:rFonts w:ascii="Palatino Linotype" w:hAnsi="Palatino Linotype"/>
                <w:sz w:val="22"/>
                <w:szCs w:val="22"/>
              </w:rPr>
            </w:pPr>
            <w:r>
              <w:rPr>
                <w:rFonts w:ascii="Palatino Linotype" w:hAnsi="Palatino Linotype"/>
                <w:sz w:val="22"/>
                <w:szCs w:val="22"/>
              </w:rPr>
              <w:t>1</w:t>
            </w:r>
            <w:r w:rsidR="00AF0F78">
              <w:rPr>
                <w:rFonts w:ascii="Palatino Linotype" w:hAnsi="Palatino Linotype"/>
                <w:sz w:val="22"/>
                <w:szCs w:val="22"/>
              </w:rPr>
              <w:t>8</w:t>
            </w:r>
          </w:p>
        </w:tc>
        <w:tc>
          <w:tcPr>
            <w:tcW w:w="1777" w:type="dxa"/>
          </w:tcPr>
          <w:p w:rsidRPr="0005769E" w:rsidR="00617618" w:rsidP="0005769E" w:rsidRDefault="00617618" w14:paraId="1A7898B9" w14:textId="77777777">
            <w:pPr>
              <w:pStyle w:val="NoSpacing"/>
              <w:rPr>
                <w:rFonts w:ascii="Palatino Linotype" w:hAnsi="Palatino Linotype"/>
                <w:sz w:val="22"/>
                <w:szCs w:val="22"/>
              </w:rPr>
            </w:pPr>
            <w:r w:rsidRPr="0005769E">
              <w:rPr>
                <w:rFonts w:ascii="Palatino Linotype" w:hAnsi="Palatino Linotype"/>
                <w:sz w:val="22"/>
                <w:szCs w:val="22"/>
              </w:rPr>
              <w:t>CD-2025-07-030</w:t>
            </w:r>
          </w:p>
        </w:tc>
        <w:tc>
          <w:tcPr>
            <w:tcW w:w="1201" w:type="dxa"/>
          </w:tcPr>
          <w:p w:rsidRPr="0005769E" w:rsidR="00617618" w:rsidP="0005769E" w:rsidRDefault="00617618" w14:paraId="1F87B9AA" w14:textId="77777777">
            <w:pPr>
              <w:pStyle w:val="NoSpacing"/>
              <w:rPr>
                <w:rFonts w:ascii="Palatino Linotype" w:hAnsi="Palatino Linotype"/>
                <w:sz w:val="22"/>
                <w:szCs w:val="22"/>
              </w:rPr>
            </w:pPr>
            <w:r w:rsidRPr="0005769E">
              <w:rPr>
                <w:rFonts w:ascii="Palatino Linotype" w:hAnsi="Palatino Linotype"/>
                <w:sz w:val="22"/>
                <w:szCs w:val="22"/>
              </w:rPr>
              <w:t>U-7398-C</w:t>
            </w:r>
          </w:p>
        </w:tc>
        <w:tc>
          <w:tcPr>
            <w:tcW w:w="4469" w:type="dxa"/>
          </w:tcPr>
          <w:p w:rsidRPr="0005769E" w:rsidR="00617618" w:rsidP="0005769E" w:rsidRDefault="00617618" w14:paraId="34EA7B09" w14:textId="77777777">
            <w:pPr>
              <w:pStyle w:val="NoSpacing"/>
              <w:rPr>
                <w:rFonts w:ascii="Palatino Linotype" w:hAnsi="Palatino Linotype"/>
                <w:sz w:val="22"/>
                <w:szCs w:val="22"/>
              </w:rPr>
            </w:pPr>
            <w:proofErr w:type="spellStart"/>
            <w:r w:rsidRPr="0005769E">
              <w:rPr>
                <w:rFonts w:ascii="Palatino Linotype" w:hAnsi="Palatino Linotype"/>
                <w:sz w:val="22"/>
                <w:szCs w:val="22"/>
              </w:rPr>
              <w:t>Maxsip</w:t>
            </w:r>
            <w:proofErr w:type="spellEnd"/>
            <w:r w:rsidRPr="0005769E">
              <w:rPr>
                <w:rFonts w:ascii="Palatino Linotype" w:hAnsi="Palatino Linotype"/>
                <w:sz w:val="22"/>
                <w:szCs w:val="22"/>
              </w:rPr>
              <w:t xml:space="preserve"> Telecom Corporation</w:t>
            </w:r>
          </w:p>
        </w:tc>
        <w:tc>
          <w:tcPr>
            <w:tcW w:w="1224" w:type="dxa"/>
          </w:tcPr>
          <w:p w:rsidRPr="0005769E" w:rsidR="00617618" w:rsidP="0005769E" w:rsidRDefault="00617618" w14:paraId="227EDEAA" w14:textId="77777777">
            <w:pPr>
              <w:pStyle w:val="NoSpacing"/>
              <w:jc w:val="center"/>
              <w:rPr>
                <w:rFonts w:ascii="Palatino Linotype" w:hAnsi="Palatino Linotype"/>
                <w:sz w:val="22"/>
                <w:szCs w:val="22"/>
              </w:rPr>
            </w:pPr>
            <w:r w:rsidRPr="0005769E">
              <w:rPr>
                <w:rFonts w:ascii="Palatino Linotype" w:hAnsi="Palatino Linotype"/>
                <w:sz w:val="22"/>
                <w:szCs w:val="22"/>
              </w:rPr>
              <w:t>$1,320</w:t>
            </w:r>
          </w:p>
        </w:tc>
      </w:tr>
    </w:tbl>
    <w:p w:rsidR="00D5445F" w:rsidP="00653039" w:rsidRDefault="00D5445F" w14:paraId="0CDDE360" w14:textId="77777777">
      <w:pPr>
        <w:spacing w:after="240" w:line="276" w:lineRule="auto"/>
        <w:contextualSpacing/>
        <w:jc w:val="center"/>
        <w:rPr>
          <w:rFonts w:ascii="Palatino Linotype" w:hAnsi="Palatino Linotype"/>
          <w:b/>
          <w:bCs/>
        </w:rPr>
      </w:pPr>
    </w:p>
    <w:p w:rsidRPr="00653039" w:rsidR="0002091D" w:rsidP="00653039" w:rsidRDefault="00B27392" w14:paraId="454FA0CE" w14:textId="7974B202">
      <w:pPr>
        <w:spacing w:after="240" w:line="276" w:lineRule="auto"/>
        <w:contextualSpacing/>
        <w:jc w:val="center"/>
        <w:rPr>
          <w:rFonts w:ascii="Palatino Linotype" w:hAnsi="Palatino Linotype"/>
        </w:rPr>
      </w:pPr>
      <w:r w:rsidRPr="00653039">
        <w:rPr>
          <w:rFonts w:ascii="Palatino Linotype" w:hAnsi="Palatino Linotype"/>
          <w:b/>
          <w:bCs/>
        </w:rPr>
        <w:t>End of Appendix A</w:t>
      </w:r>
    </w:p>
    <w:sectPr w:rsidRPr="00653039" w:rsidR="0002091D" w:rsidSect="008C2EED">
      <w:headerReference w:type="default" r:id="rId16"/>
      <w:footerReference w:type="default" r:id="rId17"/>
      <w:headerReference w:type="first" r:id="rId18"/>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0FB0" w14:textId="77777777" w:rsidR="00A3494D" w:rsidRDefault="00A3494D" w:rsidP="004D3124">
      <w:r>
        <w:separator/>
      </w:r>
    </w:p>
  </w:endnote>
  <w:endnote w:type="continuationSeparator" w:id="0">
    <w:p w14:paraId="32AA17E5" w14:textId="77777777" w:rsidR="00A3494D" w:rsidRDefault="00A3494D" w:rsidP="004D3124">
      <w:r>
        <w:continuationSeparator/>
      </w:r>
    </w:p>
  </w:endnote>
  <w:endnote w:type="continuationNotice" w:id="1">
    <w:p w14:paraId="7EC65653" w14:textId="77777777" w:rsidR="00A3494D" w:rsidRDefault="00A3494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80D3" w14:textId="42738D3D" w:rsidR="00C77D9C" w:rsidRPr="00AC4CE4" w:rsidRDefault="004D48AD" w:rsidP="00FE0386">
    <w:pPr>
      <w:pStyle w:val="Footer"/>
      <w:jc w:val="center"/>
    </w:pPr>
    <w:sdt>
      <w:sdtPr>
        <w:id w:val="-1863279727"/>
        <w:docPartObj>
          <w:docPartGallery w:val="Page Numbers (Bottom of Page)"/>
          <w:docPartUnique/>
        </w:docPartObj>
      </w:sdtPr>
      <w:sdtEndPr>
        <w:rPr>
          <w:noProof/>
        </w:rPr>
      </w:sdtEndPr>
      <w:sdtContent>
        <w:r w:rsidR="00C77D9C" w:rsidRPr="002E7FAB">
          <w:rPr>
            <w:rFonts w:ascii="Garamond" w:hAnsi="Garamond"/>
            <w:sz w:val="20"/>
            <w:szCs w:val="20"/>
          </w:rPr>
          <w:fldChar w:fldCharType="begin"/>
        </w:r>
        <w:r w:rsidR="00C77D9C" w:rsidRPr="002E7FAB">
          <w:rPr>
            <w:rFonts w:ascii="Garamond" w:hAnsi="Garamond"/>
            <w:sz w:val="20"/>
            <w:szCs w:val="20"/>
          </w:rPr>
          <w:instrText xml:space="preserve"> PAGE   \* MERGEFORMAT </w:instrText>
        </w:r>
        <w:r w:rsidR="00C77D9C" w:rsidRPr="002E7FAB">
          <w:rPr>
            <w:rFonts w:ascii="Garamond" w:hAnsi="Garamond"/>
            <w:sz w:val="20"/>
            <w:szCs w:val="20"/>
          </w:rPr>
          <w:fldChar w:fldCharType="separate"/>
        </w:r>
        <w:r w:rsidR="00C77D9C" w:rsidRPr="002E7FAB">
          <w:rPr>
            <w:rFonts w:ascii="Garamond" w:hAnsi="Garamond"/>
            <w:noProof/>
            <w:sz w:val="20"/>
            <w:szCs w:val="20"/>
          </w:rPr>
          <w:t>2</w:t>
        </w:r>
        <w:r w:rsidR="00C77D9C" w:rsidRPr="002E7FAB">
          <w:rPr>
            <w:rFonts w:ascii="Garamond" w:hAnsi="Garamond"/>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AC82" w14:textId="1AF387CD" w:rsidR="000A4CC4" w:rsidRPr="008A030D" w:rsidRDefault="004D48AD" w:rsidP="008A030D">
    <w:pPr>
      <w:pStyle w:val="Footer"/>
    </w:pPr>
    <w:proofErr w:type="gramStart"/>
    <w:r w:rsidRPr="004D48AD">
      <w:rPr>
        <w:rFonts w:ascii="Palatino Linotype" w:hAnsi="Palatino Linotype"/>
        <w:sz w:val="20"/>
        <w:szCs w:val="20"/>
      </w:rPr>
      <w:t xml:space="preserve">605851724  </w:t>
    </w:r>
    <w:r w:rsidR="00FE0386">
      <w:rPr>
        <w:rFonts w:ascii="Palatino Linotype" w:hAnsi="Palatino Linotype"/>
        <w:sz w:val="20"/>
        <w:szCs w:val="20"/>
      </w:rPr>
      <w:tab/>
    </w:r>
    <w:proofErr w:type="gramEnd"/>
    <w:r w:rsidR="00D4266B">
      <w:rPr>
        <w:rFonts w:ascii="Palatino Linotype" w:hAnsi="Palatino Linotype"/>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01AB" w14:textId="77777777" w:rsidR="00A3494D" w:rsidRDefault="00A3494D" w:rsidP="004D3124">
      <w:r>
        <w:separator/>
      </w:r>
    </w:p>
  </w:footnote>
  <w:footnote w:type="continuationSeparator" w:id="0">
    <w:p w14:paraId="2C173415" w14:textId="77777777" w:rsidR="00A3494D" w:rsidRDefault="00A3494D" w:rsidP="004D3124">
      <w:r>
        <w:continuationSeparator/>
      </w:r>
    </w:p>
  </w:footnote>
  <w:footnote w:type="continuationNotice" w:id="1">
    <w:p w14:paraId="571D158A" w14:textId="77777777" w:rsidR="00A3494D" w:rsidRDefault="00A3494D">
      <w:pPr>
        <w:spacing w:before="0" w:line="240" w:lineRule="auto"/>
      </w:pPr>
    </w:p>
  </w:footnote>
  <w:footnote w:id="2">
    <w:p w14:paraId="4FAC691A" w14:textId="77777777" w:rsidR="00D3349C" w:rsidRPr="003D6ED5" w:rsidRDefault="00D3349C" w:rsidP="00B27392">
      <w:pPr>
        <w:pStyle w:val="FootnoteText"/>
        <w:spacing w:before="0" w:after="0"/>
        <w:rPr>
          <w:szCs w:val="20"/>
        </w:rPr>
      </w:pPr>
      <w:r w:rsidRPr="003D6ED5">
        <w:rPr>
          <w:rStyle w:val="FootnoteReference"/>
          <w:szCs w:val="20"/>
        </w:rPr>
        <w:footnoteRef/>
      </w:r>
      <w:r w:rsidRPr="003D6ED5">
        <w:rPr>
          <w:szCs w:val="20"/>
        </w:rPr>
        <w:t xml:space="preserve"> </w:t>
      </w:r>
      <w:r w:rsidRPr="00653039">
        <w:rPr>
          <w:szCs w:val="20"/>
        </w:rPr>
        <w:t xml:space="preserve">See e.g., Cal. Const., art. XII, §§ 1-6; Pub. Util. Code, §§ 216,233, 234, 451, &amp; </w:t>
      </w:r>
      <w:r w:rsidRPr="00653039">
        <w:rPr>
          <w:spacing w:val="-4"/>
          <w:szCs w:val="20"/>
        </w:rPr>
        <w:t>701.</w:t>
      </w:r>
    </w:p>
  </w:footnote>
  <w:footnote w:id="3">
    <w:p w14:paraId="2448FBBD" w14:textId="77777777" w:rsidR="00D3349C" w:rsidRPr="003D6ED5" w:rsidRDefault="00D3349C" w:rsidP="00B27392">
      <w:pPr>
        <w:pStyle w:val="FootnoteText"/>
        <w:spacing w:before="0" w:after="0"/>
        <w:rPr>
          <w:szCs w:val="20"/>
        </w:rPr>
      </w:pPr>
      <w:r w:rsidRPr="003D6ED5">
        <w:rPr>
          <w:rStyle w:val="FootnoteReference"/>
          <w:szCs w:val="20"/>
        </w:rPr>
        <w:footnoteRef/>
      </w:r>
      <w:r w:rsidRPr="003D6ED5">
        <w:rPr>
          <w:szCs w:val="20"/>
        </w:rPr>
        <w:t xml:space="preserve"> </w:t>
      </w:r>
      <w:r w:rsidRPr="00653039">
        <w:rPr>
          <w:szCs w:val="20"/>
        </w:rPr>
        <w:t xml:space="preserve">See Pub. Util. Code § </w:t>
      </w:r>
      <w:r w:rsidRPr="00653039">
        <w:rPr>
          <w:spacing w:val="-4"/>
          <w:szCs w:val="20"/>
        </w:rPr>
        <w:t>1001.</w:t>
      </w:r>
    </w:p>
  </w:footnote>
  <w:footnote w:id="4">
    <w:p w14:paraId="1EEE4DB7" w14:textId="77777777" w:rsidR="00D3349C" w:rsidRDefault="00D3349C" w:rsidP="00B27392">
      <w:pPr>
        <w:pStyle w:val="FootnoteText"/>
        <w:spacing w:before="0" w:after="0"/>
      </w:pPr>
      <w:r w:rsidRPr="003D6ED5">
        <w:rPr>
          <w:rStyle w:val="FootnoteReference"/>
          <w:szCs w:val="20"/>
        </w:rPr>
        <w:footnoteRef/>
      </w:r>
      <w:r w:rsidRPr="003D6ED5">
        <w:rPr>
          <w:szCs w:val="20"/>
        </w:rPr>
        <w:t xml:space="preserve"> </w:t>
      </w:r>
      <w:r w:rsidRPr="00653039">
        <w:rPr>
          <w:szCs w:val="20"/>
        </w:rPr>
        <w:t>The Section 1013 Simplified</w:t>
      </w:r>
      <w:r w:rsidRPr="00653039">
        <w:rPr>
          <w:spacing w:val="-1"/>
          <w:szCs w:val="20"/>
        </w:rPr>
        <w:t xml:space="preserve"> </w:t>
      </w:r>
      <w:r w:rsidRPr="00653039">
        <w:rPr>
          <w:szCs w:val="20"/>
        </w:rPr>
        <w:t>Registration Form</w:t>
      </w:r>
      <w:r w:rsidRPr="00653039">
        <w:rPr>
          <w:spacing w:val="-1"/>
          <w:szCs w:val="20"/>
        </w:rPr>
        <w:t xml:space="preserve"> </w:t>
      </w:r>
      <w:r w:rsidRPr="00653039">
        <w:rPr>
          <w:szCs w:val="20"/>
        </w:rPr>
        <w:t>are available from the CPUC website</w:t>
      </w:r>
      <w:r w:rsidRPr="00653039">
        <w:rPr>
          <w:spacing w:val="-1"/>
          <w:szCs w:val="20"/>
        </w:rPr>
        <w:t xml:space="preserve"> </w:t>
      </w:r>
      <w:r w:rsidRPr="00653039">
        <w:rPr>
          <w:szCs w:val="20"/>
        </w:rPr>
        <w:t>at:</w:t>
      </w:r>
      <w:r w:rsidRPr="00653039">
        <w:rPr>
          <w:spacing w:val="-2"/>
          <w:szCs w:val="20"/>
        </w:rPr>
        <w:t xml:space="preserve"> </w:t>
      </w:r>
      <w:hyperlink r:id="rId1" w:history="1">
        <w:r w:rsidRPr="00653039">
          <w:rPr>
            <w:rStyle w:val="Hyperlink"/>
            <w:spacing w:val="-2"/>
            <w:szCs w:val="20"/>
          </w:rPr>
          <w:t>https://www.cpuc.ca.gov/industries-and-topics/internet-and-phone/information-for-telecommunications-applicants-and-registrants-in-california</w:t>
        </w:r>
      </w:hyperlink>
      <w:r w:rsidRPr="003D6ED5">
        <w:rPr>
          <w:szCs w:val="20"/>
        </w:rPr>
        <w:t>.</w:t>
      </w:r>
    </w:p>
  </w:footnote>
  <w:footnote w:id="5">
    <w:p w14:paraId="372826F8" w14:textId="77777777" w:rsidR="00D3349C" w:rsidRPr="003D6ED5" w:rsidRDefault="00D3349C" w:rsidP="00B27392">
      <w:pPr>
        <w:pStyle w:val="FootnoteText"/>
        <w:spacing w:before="0" w:after="0"/>
        <w:rPr>
          <w:szCs w:val="20"/>
        </w:rPr>
      </w:pPr>
      <w:r w:rsidRPr="003D6ED5">
        <w:rPr>
          <w:rStyle w:val="FootnoteReference"/>
          <w:szCs w:val="20"/>
        </w:rPr>
        <w:footnoteRef/>
      </w:r>
      <w:r w:rsidRPr="003D6ED5">
        <w:rPr>
          <w:szCs w:val="20"/>
        </w:rPr>
        <w:t xml:space="preserve"> </w:t>
      </w:r>
      <w:r w:rsidRPr="00653039">
        <w:rPr>
          <w:szCs w:val="20"/>
        </w:rPr>
        <w:t>47 U.S.C.S. § 332, subd.(c)(3)</w:t>
      </w:r>
      <w:r w:rsidRPr="00653039">
        <w:rPr>
          <w:spacing w:val="-5"/>
          <w:szCs w:val="20"/>
        </w:rPr>
        <w:t>A.</w:t>
      </w:r>
    </w:p>
  </w:footnote>
  <w:footnote w:id="6">
    <w:p w14:paraId="1A6BC87F" w14:textId="77777777" w:rsidR="00D3349C" w:rsidRPr="003D6ED5" w:rsidRDefault="00D3349C" w:rsidP="00653039">
      <w:pPr>
        <w:pStyle w:val="FootnoteText"/>
        <w:spacing w:before="0" w:after="0"/>
        <w:rPr>
          <w:szCs w:val="20"/>
        </w:rPr>
      </w:pPr>
      <w:r w:rsidRPr="003D6ED5">
        <w:rPr>
          <w:rStyle w:val="FootnoteReference"/>
          <w:szCs w:val="20"/>
        </w:rPr>
        <w:footnoteRef/>
      </w:r>
      <w:r w:rsidRPr="003D6ED5">
        <w:rPr>
          <w:szCs w:val="20"/>
        </w:rPr>
        <w:t xml:space="preserve"> </w:t>
      </w:r>
      <w:r w:rsidRPr="00653039">
        <w:rPr>
          <w:szCs w:val="20"/>
        </w:rPr>
        <w:t>See</w:t>
      </w:r>
      <w:r w:rsidRPr="00653039">
        <w:rPr>
          <w:spacing w:val="-3"/>
          <w:szCs w:val="20"/>
        </w:rPr>
        <w:t xml:space="preserve"> </w:t>
      </w:r>
      <w:r w:rsidRPr="00653039">
        <w:rPr>
          <w:szCs w:val="20"/>
        </w:rPr>
        <w:t>re</w:t>
      </w:r>
      <w:r w:rsidRPr="00653039">
        <w:rPr>
          <w:spacing w:val="-3"/>
          <w:szCs w:val="20"/>
        </w:rPr>
        <w:t xml:space="preserve"> </w:t>
      </w:r>
      <w:r w:rsidRPr="00653039">
        <w:rPr>
          <w:szCs w:val="20"/>
        </w:rPr>
        <w:t>Mobile</w:t>
      </w:r>
      <w:r w:rsidRPr="00653039">
        <w:rPr>
          <w:spacing w:val="-3"/>
          <w:szCs w:val="20"/>
        </w:rPr>
        <w:t xml:space="preserve"> </w:t>
      </w:r>
      <w:r w:rsidRPr="00653039">
        <w:rPr>
          <w:szCs w:val="20"/>
        </w:rPr>
        <w:t>Telephone</w:t>
      </w:r>
      <w:r w:rsidRPr="00653039">
        <w:rPr>
          <w:spacing w:val="-3"/>
          <w:szCs w:val="20"/>
        </w:rPr>
        <w:t xml:space="preserve"> </w:t>
      </w:r>
      <w:r w:rsidRPr="00653039">
        <w:rPr>
          <w:szCs w:val="20"/>
        </w:rPr>
        <w:t>Service</w:t>
      </w:r>
      <w:r w:rsidRPr="00653039">
        <w:rPr>
          <w:spacing w:val="-3"/>
          <w:szCs w:val="20"/>
        </w:rPr>
        <w:t xml:space="preserve"> </w:t>
      </w:r>
      <w:r w:rsidRPr="00653039">
        <w:rPr>
          <w:szCs w:val="20"/>
        </w:rPr>
        <w:t>and</w:t>
      </w:r>
      <w:r w:rsidRPr="00653039">
        <w:rPr>
          <w:spacing w:val="-4"/>
          <w:szCs w:val="20"/>
        </w:rPr>
        <w:t xml:space="preserve"> </w:t>
      </w:r>
      <w:r w:rsidRPr="00653039">
        <w:rPr>
          <w:szCs w:val="20"/>
        </w:rPr>
        <w:t>Wireless</w:t>
      </w:r>
      <w:r w:rsidRPr="00653039">
        <w:rPr>
          <w:spacing w:val="-4"/>
          <w:szCs w:val="20"/>
        </w:rPr>
        <w:t xml:space="preserve"> </w:t>
      </w:r>
      <w:r w:rsidRPr="00653039">
        <w:rPr>
          <w:szCs w:val="20"/>
        </w:rPr>
        <w:t>Communications</w:t>
      </w:r>
      <w:r w:rsidRPr="00653039">
        <w:rPr>
          <w:spacing w:val="-4"/>
          <w:szCs w:val="20"/>
        </w:rPr>
        <w:t xml:space="preserve"> </w:t>
      </w:r>
      <w:r w:rsidRPr="00653039">
        <w:rPr>
          <w:szCs w:val="20"/>
        </w:rPr>
        <w:t>[D.98-07-037],</w:t>
      </w:r>
      <w:r w:rsidRPr="00653039">
        <w:rPr>
          <w:spacing w:val="-3"/>
          <w:szCs w:val="20"/>
        </w:rPr>
        <w:t xml:space="preserve"> </w:t>
      </w:r>
      <w:r w:rsidRPr="00653039">
        <w:rPr>
          <w:szCs w:val="20"/>
        </w:rPr>
        <w:t>(1998)1998</w:t>
      </w:r>
      <w:r w:rsidRPr="00653039">
        <w:rPr>
          <w:spacing w:val="-3"/>
          <w:szCs w:val="20"/>
        </w:rPr>
        <w:t xml:space="preserve"> </w:t>
      </w:r>
      <w:r w:rsidRPr="00653039">
        <w:rPr>
          <w:szCs w:val="20"/>
        </w:rPr>
        <w:t>Cal.</w:t>
      </w:r>
      <w:r w:rsidRPr="00653039">
        <w:rPr>
          <w:spacing w:val="-3"/>
          <w:szCs w:val="20"/>
        </w:rPr>
        <w:t xml:space="preserve"> </w:t>
      </w:r>
      <w:r w:rsidRPr="00653039">
        <w:rPr>
          <w:szCs w:val="20"/>
        </w:rPr>
        <w:t>PUC LEXIS 339.</w:t>
      </w:r>
    </w:p>
  </w:footnote>
  <w:footnote w:id="7">
    <w:p w14:paraId="33F75FCB" w14:textId="77777777" w:rsidR="00D3349C" w:rsidRDefault="00D3349C" w:rsidP="00D3349C">
      <w:pPr>
        <w:pStyle w:val="FootnoteText"/>
        <w:spacing w:before="0"/>
      </w:pPr>
      <w:r w:rsidRPr="003D6ED5">
        <w:rPr>
          <w:rStyle w:val="FootnoteReference"/>
          <w:szCs w:val="20"/>
        </w:rPr>
        <w:footnoteRef/>
      </w:r>
      <w:r w:rsidRPr="003D6ED5">
        <w:rPr>
          <w:szCs w:val="20"/>
        </w:rPr>
        <w:t xml:space="preserve"> </w:t>
      </w:r>
      <w:r w:rsidRPr="00653039">
        <w:rPr>
          <w:szCs w:val="20"/>
        </w:rPr>
        <w:t>Pursuant to D.24-11-003, Interconnected VoIP carriers that previously held an informal registration and assigned a utility type: DVS or Digital Voice Service were migrated to either a Fixed Interconnected VoIP or Nomadic-only Interconnected VoIP, DVF or DVN, respectively.</w:t>
      </w:r>
    </w:p>
  </w:footnote>
  <w:footnote w:id="8">
    <w:p w14:paraId="093C1106" w14:textId="77777777" w:rsidR="00D3349C" w:rsidRDefault="00D3349C" w:rsidP="00653039">
      <w:pPr>
        <w:pStyle w:val="FootnoteText"/>
        <w:spacing w:before="0" w:after="0"/>
      </w:pPr>
      <w:r>
        <w:rPr>
          <w:rStyle w:val="FootnoteReference"/>
        </w:rPr>
        <w:footnoteRef/>
      </w:r>
      <w:r>
        <w:t xml:space="preserve"> </w:t>
      </w:r>
      <w:r w:rsidRPr="00DC0D09">
        <w:t>Registration Licenses are obtained through a Simplified Registration process pursuant to Pub. Util. Code § 1013 and issued via an Executive Director decision.</w:t>
      </w:r>
    </w:p>
  </w:footnote>
  <w:footnote w:id="9">
    <w:p w14:paraId="3AECFB58" w14:textId="2E5FD95A" w:rsidR="00BB2327" w:rsidRDefault="00BB2327" w:rsidP="00653039">
      <w:pPr>
        <w:pStyle w:val="FootnoteText"/>
        <w:spacing w:before="0" w:after="0"/>
      </w:pPr>
      <w:r>
        <w:rPr>
          <w:rStyle w:val="FootnoteReference"/>
        </w:rPr>
        <w:footnoteRef/>
      </w:r>
      <w:r>
        <w:t xml:space="preserve"> </w:t>
      </w:r>
      <w:r w:rsidRPr="00DC0D09">
        <w:t>Carriers are obligated to provide the Commission’s Communications Division with the name(s), address(es), and telephone number(s) of their designated regulatory/official contact person(s). This information must be provided electronically, using the “Communications Utility Contact Update Form”</w:t>
      </w:r>
      <w:r>
        <w:t xml:space="preserve"> </w:t>
      </w:r>
      <w:r w:rsidRPr="008B685A">
        <w:t xml:space="preserve">found at </w:t>
      </w:r>
      <w:hyperlink r:id="rId2" w:history="1">
        <w:r w:rsidR="002C7C9A" w:rsidRPr="008F07E4">
          <w:rPr>
            <w:rStyle w:val="Hyperlink"/>
          </w:rPr>
          <w:t>https://www.cpuc.ca.gov/-/media/cpuc-website/divisions/communications-division/documents/licensing-compliance/contact-information-update-request-form.pdf</w:t>
        </w:r>
      </w:hyperlink>
      <w:r w:rsidRPr="008B685A">
        <w:t>. This information must be updated if the name(s), address(es), and telephone number(s) change, or at least annually by June 1 of each calendar year.</w:t>
      </w:r>
    </w:p>
  </w:footnote>
  <w:footnote w:id="10">
    <w:p w14:paraId="307343F9" w14:textId="3FDB1045" w:rsidR="00BB2327" w:rsidRDefault="00BB2327" w:rsidP="00653039">
      <w:pPr>
        <w:pStyle w:val="FootnoteText"/>
        <w:spacing w:before="0" w:after="0"/>
      </w:pPr>
      <w:r>
        <w:rPr>
          <w:rStyle w:val="FootnoteReference"/>
        </w:rPr>
        <w:footnoteRef/>
      </w:r>
      <w:r>
        <w:t xml:space="preserve"> </w:t>
      </w:r>
      <w:r w:rsidRPr="008B685A">
        <w:t xml:space="preserve">The annual reminder notice to all carriers posted and available at the Commission website at </w:t>
      </w:r>
      <w:hyperlink r:id="rId3" w:history="1">
        <w:r w:rsidR="003D6ED5" w:rsidRPr="008F07E4">
          <w:rPr>
            <w:rStyle w:val="Hyperlink"/>
          </w:rPr>
          <w:t>https://www.cpuc.ca.gov/industries-and-topics/internet-and-phone/carrier-reporting-requirements</w:t>
        </w:r>
      </w:hyperlink>
      <w:r w:rsidR="003D6ED5">
        <w:t xml:space="preserve"> </w:t>
      </w:r>
    </w:p>
  </w:footnote>
  <w:footnote w:id="11">
    <w:p w14:paraId="4CD7D5E5" w14:textId="64A2F757" w:rsidR="00A44D14" w:rsidRDefault="00A44D14">
      <w:pPr>
        <w:pStyle w:val="FootnoteText"/>
      </w:pPr>
      <w:r>
        <w:rPr>
          <w:rStyle w:val="FootnoteReference"/>
        </w:rPr>
        <w:footnoteRef/>
      </w:r>
      <w:r>
        <w:t xml:space="preserve"> Two (2) of the twenty-nine (29) carriers complied to the reporting requirements and removed from the list of noncompliant carriers.</w:t>
      </w:r>
    </w:p>
  </w:footnote>
  <w:footnote w:id="12">
    <w:p w14:paraId="0CD6E20D" w14:textId="184D9491" w:rsidR="00A44D14" w:rsidRDefault="00A44D14">
      <w:pPr>
        <w:pStyle w:val="FootnoteText"/>
      </w:pPr>
      <w:r>
        <w:rPr>
          <w:rStyle w:val="FootnoteReference"/>
        </w:rPr>
        <w:footnoteRef/>
      </w:r>
      <w:r>
        <w:t xml:space="preserve"> Two (2) of the four (4) carriers complied to the reporting requirements and</w:t>
      </w:r>
      <w:r w:rsidR="000264AA">
        <w:t xml:space="preserve"> </w:t>
      </w:r>
      <w:r>
        <w:t>removed from the list of noncompliant carriers.</w:t>
      </w:r>
    </w:p>
  </w:footnote>
  <w:footnote w:id="13">
    <w:p w14:paraId="1D9C5773" w14:textId="673A37DF" w:rsidR="00A44D14" w:rsidRDefault="00A44D14">
      <w:pPr>
        <w:pStyle w:val="FootnoteText"/>
      </w:pPr>
      <w:r>
        <w:rPr>
          <w:rStyle w:val="FootnoteReference"/>
        </w:rPr>
        <w:footnoteRef/>
      </w:r>
      <w:r>
        <w:t xml:space="preserve"> </w:t>
      </w:r>
      <w:r w:rsidR="001E183F">
        <w:t>Four</w:t>
      </w:r>
      <w:r w:rsidR="00434ECF">
        <w:t xml:space="preserve"> </w:t>
      </w:r>
      <w:r>
        <w:t>(</w:t>
      </w:r>
      <w:r w:rsidR="001E183F">
        <w:t>4</w:t>
      </w:r>
      <w:r>
        <w:t>) carrier</w:t>
      </w:r>
      <w:r w:rsidR="00434ECF">
        <w:t>s</w:t>
      </w:r>
      <w:r>
        <w:t xml:space="preserve"> </w:t>
      </w:r>
      <w:r w:rsidR="001E183F">
        <w:t>were</w:t>
      </w:r>
      <w:r w:rsidR="000264AA">
        <w:t xml:space="preserve"> </w:t>
      </w:r>
      <w:r>
        <w:t>removed from the list of noncompliance carriers.</w:t>
      </w:r>
      <w:r w:rsidR="00A34F70">
        <w:t xml:space="preserve"> </w:t>
      </w:r>
    </w:p>
  </w:footnote>
  <w:footnote w:id="14">
    <w:p w14:paraId="0BDD5694" w14:textId="20219D80" w:rsidR="003D6ED5" w:rsidRPr="003D6ED5" w:rsidRDefault="003D6ED5" w:rsidP="00653039">
      <w:pPr>
        <w:pStyle w:val="FootnoteText"/>
        <w:spacing w:before="0" w:after="0"/>
        <w:rPr>
          <w:szCs w:val="20"/>
        </w:rPr>
      </w:pPr>
      <w:r w:rsidRPr="003D6ED5">
        <w:rPr>
          <w:rStyle w:val="FootnoteReference"/>
          <w:szCs w:val="20"/>
        </w:rPr>
        <w:footnoteRef/>
      </w:r>
      <w:r w:rsidRPr="003D6ED5">
        <w:rPr>
          <w:szCs w:val="20"/>
        </w:rPr>
        <w:t xml:space="preserve"> </w:t>
      </w:r>
      <w:r w:rsidRPr="00653039">
        <w:rPr>
          <w:szCs w:val="20"/>
        </w:rPr>
        <w:t xml:space="preserve">Total Penalty amount includes the 10% </w:t>
      </w:r>
      <w:r w:rsidR="00845460">
        <w:rPr>
          <w:szCs w:val="20"/>
        </w:rPr>
        <w:t>l</w:t>
      </w:r>
      <w:r w:rsidRPr="00653039">
        <w:rPr>
          <w:szCs w:val="20"/>
        </w:rPr>
        <w:t xml:space="preserve">ate </w:t>
      </w:r>
      <w:r w:rsidR="00845460">
        <w:rPr>
          <w:szCs w:val="20"/>
        </w:rPr>
        <w:t>p</w:t>
      </w:r>
      <w:r w:rsidRPr="00653039">
        <w:rPr>
          <w:szCs w:val="20"/>
        </w:rPr>
        <w:t>aymen</w:t>
      </w:r>
      <w:r>
        <w:rPr>
          <w:szCs w:val="20"/>
        </w:rPr>
        <w:t>t</w:t>
      </w:r>
      <w:r w:rsidR="00845460">
        <w:rPr>
          <w:szCs w:val="20"/>
        </w:rPr>
        <w:t xml:space="preserve"> </w:t>
      </w:r>
      <w:r>
        <w:rPr>
          <w:szCs w:val="20"/>
        </w:rPr>
        <w:t>pursuant to Resolution T-17601.</w:t>
      </w:r>
    </w:p>
  </w:footnote>
  <w:footnote w:id="15">
    <w:p w14:paraId="675582D9" w14:textId="770B95CE" w:rsidR="00D5445F" w:rsidRDefault="00D5445F" w:rsidP="0005769E">
      <w:pPr>
        <w:pStyle w:val="FootnoteText"/>
        <w:spacing w:before="0" w:after="0"/>
      </w:pPr>
      <w:r>
        <w:rPr>
          <w:rStyle w:val="FootnoteReference"/>
        </w:rPr>
        <w:footnoteRef/>
      </w:r>
      <w:r>
        <w:t xml:space="preserve"> On</w:t>
      </w:r>
      <w:r w:rsidR="00861A09">
        <w:t xml:space="preserve"> January 24, 2025</w:t>
      </w:r>
      <w:r>
        <w:t xml:space="preserve">, </w:t>
      </w:r>
      <w:r w:rsidRPr="00617618">
        <w:t>2825 Ultimate Wireless, Inc.</w:t>
      </w:r>
      <w:r>
        <w:t xml:space="preserve"> (U-4540-C) </w:t>
      </w:r>
      <w:r w:rsidRPr="00D5445F">
        <w:rPr>
          <w:szCs w:val="20"/>
        </w:rPr>
        <w:t>submitted</w:t>
      </w:r>
      <w:r>
        <w:t xml:space="preserve"> Advice Letter (AL) 4 to </w:t>
      </w:r>
      <w:r w:rsidR="00C164C2">
        <w:t xml:space="preserve">notify the Commission that it is closing its </w:t>
      </w:r>
      <w:r w:rsidR="00C164C2" w:rsidRPr="00A60FA5">
        <w:t>account.</w:t>
      </w:r>
      <w:r w:rsidRPr="00A60FA5">
        <w:t xml:space="preserve"> CD staff rejected this AL due to </w:t>
      </w:r>
      <w:r w:rsidR="00066610" w:rsidRPr="00A60FA5">
        <w:t xml:space="preserve">non-compliance to </w:t>
      </w:r>
      <w:r w:rsidR="00061A03" w:rsidRPr="00A60FA5">
        <w:t xml:space="preserve">Surcharge </w:t>
      </w:r>
      <w:r w:rsidRPr="00A60FA5">
        <w:t>requirements.</w:t>
      </w:r>
      <w:r w:rsidR="00AC36E3" w:rsidRPr="00A60FA5">
        <w:t xml:space="preserve"> </w:t>
      </w:r>
    </w:p>
  </w:footnote>
  <w:footnote w:id="16">
    <w:p w14:paraId="518799C4" w14:textId="092451E8" w:rsidR="00D5445F" w:rsidRPr="00653039" w:rsidRDefault="00D5445F" w:rsidP="00D5445F">
      <w:pPr>
        <w:pStyle w:val="FootnoteText"/>
        <w:spacing w:before="0" w:after="0"/>
        <w:rPr>
          <w:szCs w:val="20"/>
        </w:rPr>
      </w:pPr>
      <w:r w:rsidRPr="00AF0F78">
        <w:rPr>
          <w:rStyle w:val="FootnoteReference"/>
          <w:szCs w:val="20"/>
        </w:rPr>
        <w:footnoteRef/>
      </w:r>
      <w:r w:rsidRPr="00AF0F78">
        <w:rPr>
          <w:szCs w:val="20"/>
        </w:rPr>
        <w:t xml:space="preserve"> On </w:t>
      </w:r>
      <w:r w:rsidR="00E14473" w:rsidRPr="00AF0F78">
        <w:rPr>
          <w:szCs w:val="20"/>
        </w:rPr>
        <w:t>Dec</w:t>
      </w:r>
      <w:r w:rsidR="00515D3C" w:rsidRPr="00AF0F78">
        <w:rPr>
          <w:szCs w:val="20"/>
        </w:rPr>
        <w:t>ember</w:t>
      </w:r>
      <w:r w:rsidR="00861A09" w:rsidRPr="00AF0F78">
        <w:rPr>
          <w:szCs w:val="20"/>
        </w:rPr>
        <w:t xml:space="preserve"> </w:t>
      </w:r>
      <w:r w:rsidR="00E14473" w:rsidRPr="00AF0F78">
        <w:rPr>
          <w:szCs w:val="20"/>
        </w:rPr>
        <w:t>4</w:t>
      </w:r>
      <w:r w:rsidR="00861A09" w:rsidRPr="00AF0F78">
        <w:rPr>
          <w:szCs w:val="20"/>
        </w:rPr>
        <w:t>, 2025</w:t>
      </w:r>
      <w:r w:rsidRPr="00AF0F78">
        <w:rPr>
          <w:szCs w:val="20"/>
        </w:rPr>
        <w:t xml:space="preserve">, the Commission </w:t>
      </w:r>
      <w:r w:rsidR="00515D3C" w:rsidRPr="00AF0F78">
        <w:rPr>
          <w:szCs w:val="20"/>
        </w:rPr>
        <w:t xml:space="preserve">adopted </w:t>
      </w:r>
      <w:r w:rsidRPr="00AF0F78">
        <w:rPr>
          <w:szCs w:val="20"/>
        </w:rPr>
        <w:t>Resolution T-17890 to revoke the operating authority or registration of 12 telephone corporations for failure to comply with reporting and remittance requirements concerning California Public Purpose Program Surcharges and User Fees. Appendix A of Resolution T-17890 included Bright Packet, Inc. dba DooClu (U-4548-C) (CD-2025-03-015).</w:t>
      </w:r>
      <w:r w:rsidR="003C4282" w:rsidRPr="00AF0F78">
        <w:rPr>
          <w:szCs w:val="20"/>
        </w:rPr>
        <w:t xml:space="preserve"> </w:t>
      </w:r>
      <w:r w:rsidR="00FC1DA5" w:rsidRPr="00AF0F78">
        <w:rPr>
          <w:szCs w:val="20"/>
        </w:rPr>
        <w:t>Effective January 4, 2026, this carrier was archived</w:t>
      </w:r>
      <w:r w:rsidR="00FC3AB5" w:rsidRPr="00AF0F78">
        <w:t xml:space="preserve"> and this</w:t>
      </w:r>
      <w:r w:rsidR="003C4282" w:rsidRPr="00AF0F78">
        <w:t xml:space="preserve"> citation remains unresolved.</w:t>
      </w:r>
    </w:p>
  </w:footnote>
  <w:footnote w:id="17">
    <w:p w14:paraId="307C9D22" w14:textId="2D204617" w:rsidR="00D5445F" w:rsidRDefault="00D5445F" w:rsidP="00D5445F">
      <w:pPr>
        <w:pStyle w:val="FootnoteText"/>
        <w:spacing w:before="0" w:after="0"/>
      </w:pPr>
      <w:r w:rsidRPr="00653039">
        <w:rPr>
          <w:rStyle w:val="FootnoteReference"/>
          <w:szCs w:val="20"/>
        </w:rPr>
        <w:footnoteRef/>
      </w:r>
      <w:r w:rsidRPr="00653039">
        <w:rPr>
          <w:szCs w:val="20"/>
        </w:rPr>
        <w:t xml:space="preserve"> </w:t>
      </w:r>
      <w:r>
        <w:rPr>
          <w:szCs w:val="20"/>
        </w:rPr>
        <w:t xml:space="preserve">On </w:t>
      </w:r>
      <w:r w:rsidR="00E14473">
        <w:rPr>
          <w:szCs w:val="20"/>
        </w:rPr>
        <w:t>Dec</w:t>
      </w:r>
      <w:r w:rsidR="00515D3C">
        <w:rPr>
          <w:szCs w:val="20"/>
        </w:rPr>
        <w:t xml:space="preserve">ember </w:t>
      </w:r>
      <w:r w:rsidR="00E14473">
        <w:rPr>
          <w:szCs w:val="20"/>
        </w:rPr>
        <w:t>4</w:t>
      </w:r>
      <w:r w:rsidR="00515D3C">
        <w:rPr>
          <w:szCs w:val="20"/>
        </w:rPr>
        <w:t xml:space="preserve">, 2025, the Commission adopted </w:t>
      </w:r>
      <w:r w:rsidR="00515D3C" w:rsidRPr="00653039">
        <w:rPr>
          <w:szCs w:val="20"/>
        </w:rPr>
        <w:t>Resolution T-</w:t>
      </w:r>
      <w:r w:rsidR="00515D3C">
        <w:rPr>
          <w:szCs w:val="20"/>
        </w:rPr>
        <w:t xml:space="preserve">17890 </w:t>
      </w:r>
      <w:r>
        <w:rPr>
          <w:szCs w:val="20"/>
        </w:rPr>
        <w:t xml:space="preserve">to </w:t>
      </w:r>
      <w:r w:rsidRPr="00653039">
        <w:rPr>
          <w:szCs w:val="20"/>
        </w:rPr>
        <w:t>revok</w:t>
      </w:r>
      <w:r>
        <w:rPr>
          <w:szCs w:val="20"/>
        </w:rPr>
        <w:t>e</w:t>
      </w:r>
      <w:r w:rsidRPr="00653039">
        <w:rPr>
          <w:szCs w:val="20"/>
        </w:rPr>
        <w:t xml:space="preserve"> the operating authority or registration of 12 telephone corporations for failure to comply with reporting and remittance requirements concerning California Public Purpose Program Surcharges and User Fees.</w:t>
      </w:r>
      <w:r>
        <w:rPr>
          <w:szCs w:val="20"/>
        </w:rPr>
        <w:t xml:space="preserve"> </w:t>
      </w:r>
      <w:r w:rsidRPr="00653039">
        <w:rPr>
          <w:szCs w:val="20"/>
        </w:rPr>
        <w:t>Appendix A of Resolution T-17890</w:t>
      </w:r>
      <w:r>
        <w:rPr>
          <w:szCs w:val="20"/>
        </w:rPr>
        <w:t xml:space="preserve"> included </w:t>
      </w:r>
      <w:r w:rsidRPr="00653039">
        <w:rPr>
          <w:szCs w:val="20"/>
        </w:rPr>
        <w:t>Aozora Devices, Inc.</w:t>
      </w:r>
      <w:r>
        <w:rPr>
          <w:szCs w:val="20"/>
        </w:rPr>
        <w:t xml:space="preserve"> (</w:t>
      </w:r>
      <w:r w:rsidRPr="00653039">
        <w:rPr>
          <w:szCs w:val="20"/>
        </w:rPr>
        <w:t>U4551-C</w:t>
      </w:r>
      <w:r>
        <w:rPr>
          <w:szCs w:val="20"/>
        </w:rPr>
        <w:t>) (</w:t>
      </w:r>
      <w:r w:rsidRPr="00653039">
        <w:rPr>
          <w:szCs w:val="20"/>
        </w:rPr>
        <w:t>CD-2025-03-016</w:t>
      </w:r>
      <w:r>
        <w:rPr>
          <w:szCs w:val="20"/>
        </w:rPr>
        <w:t>).</w:t>
      </w:r>
      <w:r w:rsidR="003C4282">
        <w:rPr>
          <w:szCs w:val="20"/>
        </w:rPr>
        <w:t xml:space="preserve"> </w:t>
      </w:r>
      <w:r w:rsidR="002E297F" w:rsidRPr="00AF0F78">
        <w:rPr>
          <w:szCs w:val="20"/>
        </w:rPr>
        <w:t>Effective January 4, 2026, this carrier was archived</w:t>
      </w:r>
      <w:r w:rsidR="00FC3AB5">
        <w:rPr>
          <w:szCs w:val="20"/>
        </w:rPr>
        <w:t xml:space="preserve"> and</w:t>
      </w:r>
      <w:r w:rsidR="00FC3AB5">
        <w:t xml:space="preserve"> t</w:t>
      </w:r>
      <w:r w:rsidR="003C4282">
        <w:t>his citation remains unresolved.</w:t>
      </w:r>
    </w:p>
  </w:footnote>
  <w:footnote w:id="18">
    <w:p w14:paraId="002245BC" w14:textId="0E41EFEF" w:rsidR="005918E0" w:rsidRPr="0005769E" w:rsidRDefault="005918E0" w:rsidP="005918E0">
      <w:pPr>
        <w:pStyle w:val="FootnoteText"/>
        <w:spacing w:before="0" w:after="0"/>
      </w:pPr>
      <w:r w:rsidRPr="0005769E">
        <w:rPr>
          <w:rStyle w:val="FootnoteReference"/>
        </w:rPr>
        <w:footnoteRef/>
      </w:r>
      <w:r w:rsidRPr="0005769E">
        <w:t xml:space="preserve"> </w:t>
      </w:r>
      <w:r w:rsidRPr="005918E0">
        <w:rPr>
          <w:szCs w:val="20"/>
        </w:rPr>
        <w:t>On</w:t>
      </w:r>
      <w:r w:rsidR="00515D3C">
        <w:rPr>
          <w:szCs w:val="20"/>
        </w:rPr>
        <w:t xml:space="preserve"> </w:t>
      </w:r>
      <w:r w:rsidR="00E14473">
        <w:rPr>
          <w:szCs w:val="20"/>
        </w:rPr>
        <w:t>Dec</w:t>
      </w:r>
      <w:r w:rsidR="00515D3C">
        <w:rPr>
          <w:szCs w:val="20"/>
        </w:rPr>
        <w:t>em</w:t>
      </w:r>
      <w:r w:rsidR="00861A09">
        <w:rPr>
          <w:szCs w:val="20"/>
        </w:rPr>
        <w:t xml:space="preserve">ber </w:t>
      </w:r>
      <w:r w:rsidR="00E14473">
        <w:rPr>
          <w:szCs w:val="20"/>
        </w:rPr>
        <w:t>4</w:t>
      </w:r>
      <w:r w:rsidR="00861A09">
        <w:rPr>
          <w:szCs w:val="20"/>
        </w:rPr>
        <w:t xml:space="preserve">, </w:t>
      </w:r>
      <w:r w:rsidR="00C47B6B">
        <w:rPr>
          <w:szCs w:val="20"/>
        </w:rPr>
        <w:t>2025,</w:t>
      </w:r>
      <w:r w:rsidRPr="005918E0">
        <w:rPr>
          <w:szCs w:val="20"/>
        </w:rPr>
        <w:t xml:space="preserve"> the Commission </w:t>
      </w:r>
      <w:r w:rsidR="00515D3C">
        <w:rPr>
          <w:szCs w:val="20"/>
        </w:rPr>
        <w:t>adopted</w:t>
      </w:r>
      <w:r w:rsidRPr="005918E0">
        <w:rPr>
          <w:szCs w:val="20"/>
        </w:rPr>
        <w:t xml:space="preserve"> Resolution T-17890 to revoke the operating authority or registration of 12 telephone corporations for failure to comply with reporting and remittance requirements concerning California Public Purpose Program Surcharges and User Fees. Appendix A of Resolution T-17890 included </w:t>
      </w:r>
      <w:r w:rsidRPr="0005769E">
        <w:t xml:space="preserve">Innovative Communication Systems, Inc. (U-7400-C) (CD-2025-03-021). </w:t>
      </w:r>
      <w:r w:rsidR="003C4282">
        <w:t>This citation remains unresolved.</w:t>
      </w:r>
    </w:p>
  </w:footnote>
  <w:footnote w:id="19">
    <w:p w14:paraId="19895E53" w14:textId="0319F15C" w:rsidR="00515D3C" w:rsidRDefault="00515D3C" w:rsidP="002E2739">
      <w:pPr>
        <w:pStyle w:val="FootnoteText"/>
        <w:spacing w:before="0" w:after="0"/>
      </w:pPr>
      <w:r>
        <w:rPr>
          <w:rStyle w:val="FootnoteReference"/>
        </w:rPr>
        <w:footnoteRef/>
      </w:r>
      <w:r>
        <w:t xml:space="preserve"> </w:t>
      </w:r>
      <w:r w:rsidR="002E2739">
        <w:t>On February 7, 2024</w:t>
      </w:r>
      <w:r w:rsidR="00A57125">
        <w:t xml:space="preserve">, </w:t>
      </w:r>
      <w:r>
        <w:t>Ztg</w:t>
      </w:r>
      <w:r w:rsidR="002E2739">
        <w:t>,</w:t>
      </w:r>
      <w:r>
        <w:t xml:space="preserve"> Inc. (U</w:t>
      </w:r>
      <w:r w:rsidR="00A57125">
        <w:t>-</w:t>
      </w:r>
      <w:r>
        <w:t xml:space="preserve">6651-C) was issued citation for </w:t>
      </w:r>
      <w:r w:rsidR="00192A5C">
        <w:t>failure</w:t>
      </w:r>
      <w:r>
        <w:t xml:space="preserve"> to comply with surcharge reporting (CD-202</w:t>
      </w:r>
      <w:r w:rsidR="002E2739">
        <w:t>4</w:t>
      </w:r>
      <w:r>
        <w:t>-02-031)</w:t>
      </w:r>
      <w:r w:rsidR="00192A5C">
        <w:t xml:space="preserve">. </w:t>
      </w:r>
      <w:r w:rsidR="00A57125">
        <w:t xml:space="preserve">On </w:t>
      </w:r>
      <w:r w:rsidR="002E2739">
        <w:t>May 6, 202</w:t>
      </w:r>
      <w:r w:rsidR="00286C0E">
        <w:t>4</w:t>
      </w:r>
      <w:r w:rsidR="002E2739">
        <w:t>,</w:t>
      </w:r>
      <w:r w:rsidR="00A57125">
        <w:t xml:space="preserve"> </w:t>
      </w:r>
      <w:r w:rsidR="00192A5C">
        <w:t>Ztg</w:t>
      </w:r>
      <w:r w:rsidR="002E2739">
        <w:t>,</w:t>
      </w:r>
      <w:r w:rsidR="00192A5C">
        <w:t xml:space="preserve"> Inc. </w:t>
      </w:r>
      <w:r>
        <w:t>submitted an appeal (K</w:t>
      </w:r>
      <w:r w:rsidR="00192A5C">
        <w:t>.</w:t>
      </w:r>
      <w:r>
        <w:t>24</w:t>
      </w:r>
      <w:r w:rsidR="00192A5C">
        <w:t>-0</w:t>
      </w:r>
      <w:r>
        <w:t>5</w:t>
      </w:r>
      <w:r w:rsidR="00192A5C">
        <w:t>-</w:t>
      </w:r>
      <w:r>
        <w:t>003)</w:t>
      </w:r>
      <w:r w:rsidR="00A57125">
        <w:t xml:space="preserve"> to the citation</w:t>
      </w:r>
      <w:r w:rsidR="00431AE0">
        <w:t>.</w:t>
      </w:r>
      <w:r w:rsidR="00845453">
        <w:t xml:space="preserve"> </w:t>
      </w:r>
      <w:r w:rsidR="00A57125">
        <w:t>On</w:t>
      </w:r>
      <w:r w:rsidR="002E2739">
        <w:t xml:space="preserve"> March 20, 2025</w:t>
      </w:r>
      <w:r w:rsidR="00A57125">
        <w:t xml:space="preserve">, </w:t>
      </w:r>
      <w:r w:rsidR="00845453">
        <w:t>Resolution ALJ-471</w:t>
      </w:r>
      <w:r w:rsidR="00A57125">
        <w:t xml:space="preserve"> was adopted, </w:t>
      </w:r>
      <w:r w:rsidR="00845453">
        <w:t>denied the appeal</w:t>
      </w:r>
      <w:r w:rsidR="00A57125">
        <w:t xml:space="preserve"> and directed </w:t>
      </w:r>
      <w:r w:rsidR="00431AE0">
        <w:t>Ztg Inc.</w:t>
      </w:r>
      <w:r w:rsidR="00845453">
        <w:t xml:space="preserve"> </w:t>
      </w:r>
      <w:r w:rsidR="00A57125">
        <w:t xml:space="preserve">to </w:t>
      </w:r>
      <w:r w:rsidR="00431AE0">
        <w:t>pay the penalty of $1,000.</w:t>
      </w:r>
      <w:r w:rsidR="00A57125">
        <w:t xml:space="preserve"> At this time, Ztg</w:t>
      </w:r>
      <w:r w:rsidR="002E2739">
        <w:t xml:space="preserve">, Inc. </w:t>
      </w:r>
      <w:r w:rsidR="00A57125">
        <w:t>has not paid the outstanding penalty amount.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741B" w14:textId="13B8091E" w:rsidR="00CC4D2C" w:rsidRPr="00CC4D2C" w:rsidRDefault="00CC4D2C" w:rsidP="00CC4D2C">
    <w:pPr>
      <w:tabs>
        <w:tab w:val="right" w:pos="9360"/>
      </w:tabs>
      <w:spacing w:line="240" w:lineRule="auto"/>
      <w:rPr>
        <w:rFonts w:ascii="Palatino Linotype" w:eastAsia="Times New Roman" w:hAnsi="Palatino Linotype" w:cs="Times New Roman"/>
        <w:b/>
        <w:bCs/>
      </w:rPr>
    </w:pPr>
    <w:r w:rsidRPr="00653039">
      <w:rPr>
        <w:rFonts w:ascii="Palatino Linotype" w:hAnsi="Palatino Linotype"/>
        <w:b/>
        <w:bCs/>
      </w:rPr>
      <w:t xml:space="preserve">Resolution T-17894                                    </w:t>
    </w:r>
  </w:p>
  <w:p w14:paraId="121C24F6" w14:textId="4F421194" w:rsidR="0028139E" w:rsidRPr="00653039" w:rsidRDefault="0028139E" w:rsidP="00653039">
    <w:pPr>
      <w:pStyle w:val="NoSpacing"/>
      <w:rPr>
        <w:rFonts w:ascii="Palatino Linotype" w:hAnsi="Palatino Linotype"/>
        <w:b/>
        <w:bCs/>
      </w:rPr>
    </w:pPr>
    <w:r w:rsidRPr="00653039">
      <w:rPr>
        <w:rFonts w:ascii="Palatino Linotype" w:hAnsi="Palatino Linotype"/>
        <w:b/>
        <w:bCs/>
      </w:rPr>
      <w:t>CD/JT7</w:t>
    </w:r>
  </w:p>
  <w:p w14:paraId="770EF9C6" w14:textId="77777777" w:rsidR="0028139E" w:rsidRPr="00653039" w:rsidRDefault="0028139E" w:rsidP="0005769E">
    <w:pPr>
      <w:pStyle w:val="Header"/>
      <w:spacing w:before="0"/>
      <w:rPr>
        <w:rFonts w:ascii="Palatino Linotype" w:hAnsi="Palatino Linotype"/>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51FE" w14:textId="35A6EB55" w:rsidR="00B510D9" w:rsidRPr="00BE531D" w:rsidRDefault="00B510D9" w:rsidP="00B510D9">
    <w:pPr>
      <w:tabs>
        <w:tab w:val="right" w:pos="9360"/>
      </w:tabs>
      <w:spacing w:line="240" w:lineRule="auto"/>
      <w:rPr>
        <w:rFonts w:ascii="Palatino Linotype" w:eastAsia="Times New Roman" w:hAnsi="Palatino Linotype" w:cs="Times New Roman"/>
        <w:b/>
        <w:bCs/>
      </w:rPr>
    </w:pPr>
    <w:r w:rsidRPr="00653039">
      <w:rPr>
        <w:rFonts w:ascii="Palatino Linotype" w:hAnsi="Palatino Linotype"/>
      </w:rPr>
      <w:t>Resolution T-17894</w:t>
    </w:r>
    <w:r w:rsidR="00CC4D2C">
      <w:rPr>
        <w:rFonts w:ascii="Palatino Linotype" w:hAnsi="Palatino Linotype"/>
      </w:rPr>
      <w:t xml:space="preserve">                                    </w:t>
    </w:r>
    <w:r w:rsidR="0035713F">
      <w:rPr>
        <w:rFonts w:ascii="Palatino Linotype" w:hAnsi="Palatino Linotype"/>
      </w:rPr>
      <w:tab/>
      <w:t xml:space="preserve">Date of Issuance: </w:t>
    </w:r>
    <w:r w:rsidR="00D4266B">
      <w:rPr>
        <w:rFonts w:ascii="Palatino Linotype" w:hAnsi="Palatino Linotype"/>
      </w:rPr>
      <w:t>April</w:t>
    </w:r>
    <w:r w:rsidR="0035713F">
      <w:rPr>
        <w:rFonts w:ascii="Palatino Linotype" w:hAnsi="Palatino Linotype"/>
      </w:rPr>
      <w:t xml:space="preserve"> 2</w:t>
    </w:r>
    <w:r w:rsidR="00D4266B">
      <w:rPr>
        <w:rFonts w:ascii="Palatino Linotype" w:hAnsi="Palatino Linotype"/>
      </w:rPr>
      <w:t>9</w:t>
    </w:r>
    <w:r w:rsidR="0035713F">
      <w:rPr>
        <w:rFonts w:ascii="Palatino Linotype" w:hAnsi="Palatino Linotype"/>
      </w:rPr>
      <w:t>, 2026</w:t>
    </w:r>
  </w:p>
  <w:p w14:paraId="45767A7A" w14:textId="5D2FF432" w:rsidR="000A4CC4" w:rsidRPr="00FE0386" w:rsidRDefault="00B510D9" w:rsidP="00653039">
    <w:pPr>
      <w:pStyle w:val="Header"/>
      <w:tabs>
        <w:tab w:val="clear" w:pos="4680"/>
        <w:tab w:val="clear" w:pos="9360"/>
        <w:tab w:val="left" w:pos="7280"/>
      </w:tabs>
      <w:spacing w:before="0"/>
      <w:rPr>
        <w:rFonts w:ascii="Palatino Linotype" w:hAnsi="Palatino Linotype"/>
      </w:rPr>
    </w:pPr>
    <w:r w:rsidRPr="00653039">
      <w:rPr>
        <w:rFonts w:ascii="Palatino Linotype" w:hAnsi="Palatino Linotype"/>
      </w:rPr>
      <w:t>CD/JT7</w:t>
    </w:r>
    <w:r w:rsidR="00FE038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713D"/>
    <w:multiLevelType w:val="hybridMultilevel"/>
    <w:tmpl w:val="19BA4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CF84128"/>
    <w:multiLevelType w:val="hybridMultilevel"/>
    <w:tmpl w:val="E378F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D7863"/>
    <w:multiLevelType w:val="hybridMultilevel"/>
    <w:tmpl w:val="CBF045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9C095A"/>
    <w:multiLevelType w:val="hybridMultilevel"/>
    <w:tmpl w:val="CAC0A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11538"/>
    <w:multiLevelType w:val="hybridMultilevel"/>
    <w:tmpl w:val="3E524478"/>
    <w:lvl w:ilvl="0" w:tplc="06C4FE7A">
      <w:start w:val="1"/>
      <w:numFmt w:val="lowerLetter"/>
      <w:lvlText w:val="%1)"/>
      <w:lvlJc w:val="left"/>
      <w:pPr>
        <w:ind w:left="1080" w:hanging="360"/>
      </w:pPr>
      <w:rPr>
        <w:b w:val="0"/>
        <w:bCs/>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4E6E52"/>
    <w:multiLevelType w:val="hybridMultilevel"/>
    <w:tmpl w:val="2CC4D3C4"/>
    <w:lvl w:ilvl="0" w:tplc="8C9EEF0C">
      <w:numFmt w:val="bullet"/>
      <w:lvlText w:val=""/>
      <w:lvlJc w:val="left"/>
      <w:pPr>
        <w:ind w:left="1080" w:hanging="360"/>
      </w:pPr>
      <w:rPr>
        <w:rFonts w:ascii="Symbol" w:eastAsia="Palatino Linotype"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972092"/>
    <w:multiLevelType w:val="hybridMultilevel"/>
    <w:tmpl w:val="800C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9E6BB7"/>
    <w:multiLevelType w:val="multilevel"/>
    <w:tmpl w:val="95E05A64"/>
    <w:styleLink w:val="Style1"/>
    <w:lvl w:ilvl="0">
      <w:start w:val="1"/>
      <w:numFmt w:val="decimal"/>
      <w:lvlText w:val="%1"/>
      <w:lvlJc w:val="left"/>
      <w:pPr>
        <w:ind w:left="432" w:hanging="432"/>
      </w:pPr>
      <w:rPr>
        <w:rFonts w:ascii="Century Gothic" w:hAnsi="Century Gothic" w:hint="default"/>
        <w:b/>
        <w:color w:val="3D5B63"/>
        <w:sz w:val="26"/>
      </w:rPr>
    </w:lvl>
    <w:lvl w:ilvl="1">
      <w:start w:val="1"/>
      <w:numFmt w:val="decimal"/>
      <w:lvlText w:val="%1.%2"/>
      <w:lvlJc w:val="left"/>
      <w:pPr>
        <w:ind w:left="84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963AC6"/>
    <w:multiLevelType w:val="hybridMultilevel"/>
    <w:tmpl w:val="D77082E6"/>
    <w:lvl w:ilvl="0" w:tplc="168EACF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30B10"/>
    <w:multiLevelType w:val="hybridMultilevel"/>
    <w:tmpl w:val="2E26F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C6066C"/>
    <w:multiLevelType w:val="hybridMultilevel"/>
    <w:tmpl w:val="FACE6C94"/>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4" w15:restartNumberingAfterBreak="0">
    <w:nsid w:val="586B5A4D"/>
    <w:multiLevelType w:val="hybridMultilevel"/>
    <w:tmpl w:val="D26AE4E4"/>
    <w:lvl w:ilvl="0" w:tplc="B84CEB48">
      <w:start w:val="1"/>
      <w:numFmt w:val="decimal"/>
      <w:lvlText w:val="%1."/>
      <w:lvlJc w:val="left"/>
      <w:pPr>
        <w:ind w:left="720" w:hanging="360"/>
      </w:pPr>
      <w:rPr>
        <w:b/>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E6B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9" w15:restartNumberingAfterBreak="0">
    <w:nsid w:val="7E6074B2"/>
    <w:multiLevelType w:val="hybridMultilevel"/>
    <w:tmpl w:val="D206D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645416">
    <w:abstractNumId w:val="9"/>
  </w:num>
  <w:num w:numId="2" w16cid:durableId="770468782">
    <w:abstractNumId w:val="14"/>
  </w:num>
  <w:num w:numId="3" w16cid:durableId="770200951">
    <w:abstractNumId w:val="5"/>
  </w:num>
  <w:num w:numId="4" w16cid:durableId="888496461">
    <w:abstractNumId w:val="16"/>
  </w:num>
  <w:num w:numId="5" w16cid:durableId="282735757">
    <w:abstractNumId w:val="11"/>
  </w:num>
  <w:num w:numId="6" w16cid:durableId="944842790">
    <w:abstractNumId w:val="13"/>
  </w:num>
  <w:num w:numId="7" w16cid:durableId="1991593136">
    <w:abstractNumId w:val="1"/>
  </w:num>
  <w:num w:numId="8" w16cid:durableId="1754620235">
    <w:abstractNumId w:val="8"/>
  </w:num>
  <w:num w:numId="9" w16cid:durableId="969365539">
    <w:abstractNumId w:val="17"/>
  </w:num>
  <w:num w:numId="10" w16cid:durableId="468133998">
    <w:abstractNumId w:val="15"/>
  </w:num>
  <w:num w:numId="11" w16cid:durableId="426273653">
    <w:abstractNumId w:val="18"/>
  </w:num>
  <w:num w:numId="12" w16cid:durableId="1114982477">
    <w:abstractNumId w:val="0"/>
  </w:num>
  <w:num w:numId="13" w16cid:durableId="1473910331">
    <w:abstractNumId w:val="4"/>
  </w:num>
  <w:num w:numId="14" w16cid:durableId="1648896162">
    <w:abstractNumId w:val="7"/>
  </w:num>
  <w:num w:numId="15" w16cid:durableId="1117723784">
    <w:abstractNumId w:val="10"/>
  </w:num>
  <w:num w:numId="16" w16cid:durableId="1454984589">
    <w:abstractNumId w:val="2"/>
  </w:num>
  <w:num w:numId="17" w16cid:durableId="1002274326">
    <w:abstractNumId w:val="19"/>
  </w:num>
  <w:num w:numId="18" w16cid:durableId="605043273">
    <w:abstractNumId w:val="6"/>
  </w:num>
  <w:num w:numId="19" w16cid:durableId="217716493">
    <w:abstractNumId w:val="12"/>
  </w:num>
  <w:num w:numId="20" w16cid:durableId="1291857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AC"/>
    <w:rsid w:val="00001441"/>
    <w:rsid w:val="000145B7"/>
    <w:rsid w:val="0002091D"/>
    <w:rsid w:val="000264AA"/>
    <w:rsid w:val="00033665"/>
    <w:rsid w:val="00041165"/>
    <w:rsid w:val="000432EA"/>
    <w:rsid w:val="000445F0"/>
    <w:rsid w:val="00051952"/>
    <w:rsid w:val="0005769E"/>
    <w:rsid w:val="00060E01"/>
    <w:rsid w:val="00061A03"/>
    <w:rsid w:val="00063036"/>
    <w:rsid w:val="000638D7"/>
    <w:rsid w:val="00064AA5"/>
    <w:rsid w:val="00066610"/>
    <w:rsid w:val="00081A61"/>
    <w:rsid w:val="00082C04"/>
    <w:rsid w:val="0008428B"/>
    <w:rsid w:val="000966F2"/>
    <w:rsid w:val="000A0208"/>
    <w:rsid w:val="000A1499"/>
    <w:rsid w:val="000A2135"/>
    <w:rsid w:val="000A496E"/>
    <w:rsid w:val="000A4CC4"/>
    <w:rsid w:val="000A5781"/>
    <w:rsid w:val="000A7EEB"/>
    <w:rsid w:val="000B4297"/>
    <w:rsid w:val="000C201E"/>
    <w:rsid w:val="000C2F8C"/>
    <w:rsid w:val="000C4F2B"/>
    <w:rsid w:val="000C7E3E"/>
    <w:rsid w:val="000D06FF"/>
    <w:rsid w:val="000E311D"/>
    <w:rsid w:val="000E4833"/>
    <w:rsid w:val="000F12F1"/>
    <w:rsid w:val="000F1ECA"/>
    <w:rsid w:val="000F22E1"/>
    <w:rsid w:val="000F3D75"/>
    <w:rsid w:val="000F42EC"/>
    <w:rsid w:val="00114467"/>
    <w:rsid w:val="00115A32"/>
    <w:rsid w:val="00115C08"/>
    <w:rsid w:val="00122869"/>
    <w:rsid w:val="001230F4"/>
    <w:rsid w:val="001234C6"/>
    <w:rsid w:val="0015723A"/>
    <w:rsid w:val="00157E2C"/>
    <w:rsid w:val="00167698"/>
    <w:rsid w:val="001766DA"/>
    <w:rsid w:val="001835CA"/>
    <w:rsid w:val="0019189B"/>
    <w:rsid w:val="00192A5C"/>
    <w:rsid w:val="00192FB1"/>
    <w:rsid w:val="001976DD"/>
    <w:rsid w:val="001B1D25"/>
    <w:rsid w:val="001B427B"/>
    <w:rsid w:val="001C3EB9"/>
    <w:rsid w:val="001C4E09"/>
    <w:rsid w:val="001C5DE4"/>
    <w:rsid w:val="001D1C95"/>
    <w:rsid w:val="001D2ABA"/>
    <w:rsid w:val="001D712D"/>
    <w:rsid w:val="001D741B"/>
    <w:rsid w:val="001E183F"/>
    <w:rsid w:val="001F308A"/>
    <w:rsid w:val="001F3B59"/>
    <w:rsid w:val="001F7A40"/>
    <w:rsid w:val="00201278"/>
    <w:rsid w:val="00204864"/>
    <w:rsid w:val="00210C33"/>
    <w:rsid w:val="0021239C"/>
    <w:rsid w:val="00216A19"/>
    <w:rsid w:val="0022656B"/>
    <w:rsid w:val="00231C32"/>
    <w:rsid w:val="00235E8C"/>
    <w:rsid w:val="0024230A"/>
    <w:rsid w:val="00243730"/>
    <w:rsid w:val="002459D3"/>
    <w:rsid w:val="00247688"/>
    <w:rsid w:val="002509B6"/>
    <w:rsid w:val="00253A8A"/>
    <w:rsid w:val="00253C32"/>
    <w:rsid w:val="002545A1"/>
    <w:rsid w:val="00260225"/>
    <w:rsid w:val="0026038E"/>
    <w:rsid w:val="002609AC"/>
    <w:rsid w:val="00265ED6"/>
    <w:rsid w:val="00280373"/>
    <w:rsid w:val="0028139E"/>
    <w:rsid w:val="00286C0E"/>
    <w:rsid w:val="00294F79"/>
    <w:rsid w:val="002A1100"/>
    <w:rsid w:val="002A4CB3"/>
    <w:rsid w:val="002A7330"/>
    <w:rsid w:val="002B01F4"/>
    <w:rsid w:val="002B1104"/>
    <w:rsid w:val="002B17FB"/>
    <w:rsid w:val="002B2D3A"/>
    <w:rsid w:val="002B3F57"/>
    <w:rsid w:val="002B5F55"/>
    <w:rsid w:val="002C7C9A"/>
    <w:rsid w:val="002E0BF0"/>
    <w:rsid w:val="002E2739"/>
    <w:rsid w:val="002E297F"/>
    <w:rsid w:val="002E7FAB"/>
    <w:rsid w:val="002F3DD1"/>
    <w:rsid w:val="002F79D9"/>
    <w:rsid w:val="00305D97"/>
    <w:rsid w:val="0030659A"/>
    <w:rsid w:val="00306A38"/>
    <w:rsid w:val="00315120"/>
    <w:rsid w:val="00327C57"/>
    <w:rsid w:val="003403D9"/>
    <w:rsid w:val="003436EC"/>
    <w:rsid w:val="00353F16"/>
    <w:rsid w:val="0035713F"/>
    <w:rsid w:val="00357973"/>
    <w:rsid w:val="00367181"/>
    <w:rsid w:val="003679B0"/>
    <w:rsid w:val="00382A16"/>
    <w:rsid w:val="00382DC3"/>
    <w:rsid w:val="00385720"/>
    <w:rsid w:val="00390057"/>
    <w:rsid w:val="00391FF4"/>
    <w:rsid w:val="0039214C"/>
    <w:rsid w:val="003953B0"/>
    <w:rsid w:val="00396F2C"/>
    <w:rsid w:val="003A183A"/>
    <w:rsid w:val="003A5A36"/>
    <w:rsid w:val="003A5A3B"/>
    <w:rsid w:val="003B5B85"/>
    <w:rsid w:val="003C4282"/>
    <w:rsid w:val="003C43BB"/>
    <w:rsid w:val="003C5C1B"/>
    <w:rsid w:val="003C6DF2"/>
    <w:rsid w:val="003D3451"/>
    <w:rsid w:val="003D5EC0"/>
    <w:rsid w:val="003D64E1"/>
    <w:rsid w:val="003D6ED5"/>
    <w:rsid w:val="003E3EEB"/>
    <w:rsid w:val="003E5932"/>
    <w:rsid w:val="003F72B3"/>
    <w:rsid w:val="00405487"/>
    <w:rsid w:val="004058C6"/>
    <w:rsid w:val="00410163"/>
    <w:rsid w:val="00412739"/>
    <w:rsid w:val="00413743"/>
    <w:rsid w:val="0041398F"/>
    <w:rsid w:val="00417E0F"/>
    <w:rsid w:val="004302C9"/>
    <w:rsid w:val="00431AE0"/>
    <w:rsid w:val="004334F4"/>
    <w:rsid w:val="00434ECF"/>
    <w:rsid w:val="00440E60"/>
    <w:rsid w:val="00442121"/>
    <w:rsid w:val="00444E05"/>
    <w:rsid w:val="00447A9E"/>
    <w:rsid w:val="004554E2"/>
    <w:rsid w:val="00457404"/>
    <w:rsid w:val="00457C05"/>
    <w:rsid w:val="00460B94"/>
    <w:rsid w:val="00462AC5"/>
    <w:rsid w:val="0046320E"/>
    <w:rsid w:val="004676A3"/>
    <w:rsid w:val="00476B0E"/>
    <w:rsid w:val="00480E5F"/>
    <w:rsid w:val="00480FAD"/>
    <w:rsid w:val="00490813"/>
    <w:rsid w:val="00492456"/>
    <w:rsid w:val="00493ED9"/>
    <w:rsid w:val="00495AD6"/>
    <w:rsid w:val="004962FB"/>
    <w:rsid w:val="004969A3"/>
    <w:rsid w:val="004A3B7F"/>
    <w:rsid w:val="004B1586"/>
    <w:rsid w:val="004B3CB6"/>
    <w:rsid w:val="004C5BA1"/>
    <w:rsid w:val="004D0155"/>
    <w:rsid w:val="004D1893"/>
    <w:rsid w:val="004D3124"/>
    <w:rsid w:val="004D48AD"/>
    <w:rsid w:val="004D5BB0"/>
    <w:rsid w:val="004D5E27"/>
    <w:rsid w:val="004E1F46"/>
    <w:rsid w:val="004E6828"/>
    <w:rsid w:val="004F1B59"/>
    <w:rsid w:val="004F1BEE"/>
    <w:rsid w:val="004F5252"/>
    <w:rsid w:val="004F7D3F"/>
    <w:rsid w:val="00510150"/>
    <w:rsid w:val="00515D3C"/>
    <w:rsid w:val="00516245"/>
    <w:rsid w:val="00526F27"/>
    <w:rsid w:val="005318D2"/>
    <w:rsid w:val="0053230C"/>
    <w:rsid w:val="00534AD2"/>
    <w:rsid w:val="005361E1"/>
    <w:rsid w:val="00544955"/>
    <w:rsid w:val="0055586F"/>
    <w:rsid w:val="00556288"/>
    <w:rsid w:val="005601D3"/>
    <w:rsid w:val="005641CD"/>
    <w:rsid w:val="00567424"/>
    <w:rsid w:val="00570DA4"/>
    <w:rsid w:val="00572C74"/>
    <w:rsid w:val="0057614E"/>
    <w:rsid w:val="0057695F"/>
    <w:rsid w:val="00577EB6"/>
    <w:rsid w:val="00580B79"/>
    <w:rsid w:val="00580FAB"/>
    <w:rsid w:val="00587684"/>
    <w:rsid w:val="00587C85"/>
    <w:rsid w:val="005918E0"/>
    <w:rsid w:val="00592CD2"/>
    <w:rsid w:val="0059631D"/>
    <w:rsid w:val="0059660D"/>
    <w:rsid w:val="005A087C"/>
    <w:rsid w:val="005A250A"/>
    <w:rsid w:val="005A2CC9"/>
    <w:rsid w:val="005A72C1"/>
    <w:rsid w:val="005B7CA1"/>
    <w:rsid w:val="005C1D03"/>
    <w:rsid w:val="005C21D1"/>
    <w:rsid w:val="005C5D30"/>
    <w:rsid w:val="005D3D16"/>
    <w:rsid w:val="005D7847"/>
    <w:rsid w:val="005E562B"/>
    <w:rsid w:val="005E6015"/>
    <w:rsid w:val="005F3149"/>
    <w:rsid w:val="005F435A"/>
    <w:rsid w:val="005F7C3B"/>
    <w:rsid w:val="00613C4C"/>
    <w:rsid w:val="00617618"/>
    <w:rsid w:val="0062200E"/>
    <w:rsid w:val="00623006"/>
    <w:rsid w:val="00626665"/>
    <w:rsid w:val="00626AAD"/>
    <w:rsid w:val="0063239B"/>
    <w:rsid w:val="006338B9"/>
    <w:rsid w:val="00636121"/>
    <w:rsid w:val="0064645B"/>
    <w:rsid w:val="00647E8C"/>
    <w:rsid w:val="00653039"/>
    <w:rsid w:val="006617BA"/>
    <w:rsid w:val="00661A79"/>
    <w:rsid w:val="00661CBB"/>
    <w:rsid w:val="006625DB"/>
    <w:rsid w:val="00662C58"/>
    <w:rsid w:val="00665CA8"/>
    <w:rsid w:val="00665D66"/>
    <w:rsid w:val="00670044"/>
    <w:rsid w:val="006827C6"/>
    <w:rsid w:val="00691A58"/>
    <w:rsid w:val="006932D6"/>
    <w:rsid w:val="006A1491"/>
    <w:rsid w:val="006A55CA"/>
    <w:rsid w:val="006B3607"/>
    <w:rsid w:val="006B3EF7"/>
    <w:rsid w:val="006B5606"/>
    <w:rsid w:val="006B56BC"/>
    <w:rsid w:val="006C003E"/>
    <w:rsid w:val="006C5B05"/>
    <w:rsid w:val="006C5DFC"/>
    <w:rsid w:val="006D6050"/>
    <w:rsid w:val="006D6C99"/>
    <w:rsid w:val="006E6935"/>
    <w:rsid w:val="006F199B"/>
    <w:rsid w:val="006F4B04"/>
    <w:rsid w:val="00706BEE"/>
    <w:rsid w:val="00711352"/>
    <w:rsid w:val="00711EFE"/>
    <w:rsid w:val="00714AAB"/>
    <w:rsid w:val="00717B7E"/>
    <w:rsid w:val="00721FF2"/>
    <w:rsid w:val="00724B85"/>
    <w:rsid w:val="00727B21"/>
    <w:rsid w:val="0075004C"/>
    <w:rsid w:val="0075756F"/>
    <w:rsid w:val="00760563"/>
    <w:rsid w:val="007630F4"/>
    <w:rsid w:val="00772BED"/>
    <w:rsid w:val="00777670"/>
    <w:rsid w:val="00782DC5"/>
    <w:rsid w:val="007838CB"/>
    <w:rsid w:val="0078601C"/>
    <w:rsid w:val="007921AC"/>
    <w:rsid w:val="00792D25"/>
    <w:rsid w:val="00792F89"/>
    <w:rsid w:val="0079548A"/>
    <w:rsid w:val="007A0ADD"/>
    <w:rsid w:val="007A1EF4"/>
    <w:rsid w:val="007B39AC"/>
    <w:rsid w:val="007C63DF"/>
    <w:rsid w:val="007D19EE"/>
    <w:rsid w:val="007D4BAD"/>
    <w:rsid w:val="007E46E3"/>
    <w:rsid w:val="007E7762"/>
    <w:rsid w:val="007F31D2"/>
    <w:rsid w:val="007F76D6"/>
    <w:rsid w:val="00801765"/>
    <w:rsid w:val="00804AB4"/>
    <w:rsid w:val="00805EBC"/>
    <w:rsid w:val="0081012D"/>
    <w:rsid w:val="0081141E"/>
    <w:rsid w:val="008145D9"/>
    <w:rsid w:val="00825957"/>
    <w:rsid w:val="00825D06"/>
    <w:rsid w:val="00830DF7"/>
    <w:rsid w:val="00832848"/>
    <w:rsid w:val="0084114E"/>
    <w:rsid w:val="008420C2"/>
    <w:rsid w:val="00845453"/>
    <w:rsid w:val="00845460"/>
    <w:rsid w:val="008474FE"/>
    <w:rsid w:val="00851999"/>
    <w:rsid w:val="00857CFE"/>
    <w:rsid w:val="00861A09"/>
    <w:rsid w:val="00863AAE"/>
    <w:rsid w:val="008670BA"/>
    <w:rsid w:val="00867361"/>
    <w:rsid w:val="00872F5A"/>
    <w:rsid w:val="0088750B"/>
    <w:rsid w:val="008959C5"/>
    <w:rsid w:val="008A030D"/>
    <w:rsid w:val="008A08B3"/>
    <w:rsid w:val="008A50E2"/>
    <w:rsid w:val="008B05E7"/>
    <w:rsid w:val="008C052D"/>
    <w:rsid w:val="008C2EED"/>
    <w:rsid w:val="008C4A57"/>
    <w:rsid w:val="008C6F11"/>
    <w:rsid w:val="008D0A63"/>
    <w:rsid w:val="008D17D3"/>
    <w:rsid w:val="008D6112"/>
    <w:rsid w:val="008E478E"/>
    <w:rsid w:val="008F2D6B"/>
    <w:rsid w:val="009102B0"/>
    <w:rsid w:val="009130B8"/>
    <w:rsid w:val="009172FE"/>
    <w:rsid w:val="009243C9"/>
    <w:rsid w:val="00924B53"/>
    <w:rsid w:val="00925015"/>
    <w:rsid w:val="009270EE"/>
    <w:rsid w:val="009341A7"/>
    <w:rsid w:val="00935EC1"/>
    <w:rsid w:val="009370A7"/>
    <w:rsid w:val="00951941"/>
    <w:rsid w:val="0095670D"/>
    <w:rsid w:val="00957E82"/>
    <w:rsid w:val="0096074E"/>
    <w:rsid w:val="009712DD"/>
    <w:rsid w:val="00972845"/>
    <w:rsid w:val="00983F27"/>
    <w:rsid w:val="009938F4"/>
    <w:rsid w:val="009A016F"/>
    <w:rsid w:val="009A2EA4"/>
    <w:rsid w:val="009A5C28"/>
    <w:rsid w:val="009B3DA9"/>
    <w:rsid w:val="009C1C52"/>
    <w:rsid w:val="009C3750"/>
    <w:rsid w:val="009C4B27"/>
    <w:rsid w:val="009C5DB1"/>
    <w:rsid w:val="009D28C4"/>
    <w:rsid w:val="009D3009"/>
    <w:rsid w:val="009E19D5"/>
    <w:rsid w:val="009F2350"/>
    <w:rsid w:val="009F51C8"/>
    <w:rsid w:val="009F5E90"/>
    <w:rsid w:val="00A01A84"/>
    <w:rsid w:val="00A03AF2"/>
    <w:rsid w:val="00A104AA"/>
    <w:rsid w:val="00A14BA1"/>
    <w:rsid w:val="00A16586"/>
    <w:rsid w:val="00A3482E"/>
    <w:rsid w:val="00A3494D"/>
    <w:rsid w:val="00A34F70"/>
    <w:rsid w:val="00A35FB0"/>
    <w:rsid w:val="00A3739B"/>
    <w:rsid w:val="00A419F4"/>
    <w:rsid w:val="00A42B1D"/>
    <w:rsid w:val="00A44D14"/>
    <w:rsid w:val="00A538BC"/>
    <w:rsid w:val="00A57125"/>
    <w:rsid w:val="00A57DC7"/>
    <w:rsid w:val="00A60FA5"/>
    <w:rsid w:val="00A67645"/>
    <w:rsid w:val="00A7005C"/>
    <w:rsid w:val="00A70B51"/>
    <w:rsid w:val="00A77267"/>
    <w:rsid w:val="00A7737B"/>
    <w:rsid w:val="00A77C9A"/>
    <w:rsid w:val="00A80EC2"/>
    <w:rsid w:val="00A86FAD"/>
    <w:rsid w:val="00A87872"/>
    <w:rsid w:val="00A91A3C"/>
    <w:rsid w:val="00A925AE"/>
    <w:rsid w:val="00A93BE5"/>
    <w:rsid w:val="00AA0E3B"/>
    <w:rsid w:val="00AA1FCF"/>
    <w:rsid w:val="00AA31FB"/>
    <w:rsid w:val="00AB14A4"/>
    <w:rsid w:val="00AB3B19"/>
    <w:rsid w:val="00AB77C7"/>
    <w:rsid w:val="00AB7B2D"/>
    <w:rsid w:val="00AC1BE5"/>
    <w:rsid w:val="00AC36E3"/>
    <w:rsid w:val="00AC4CE4"/>
    <w:rsid w:val="00AC69A3"/>
    <w:rsid w:val="00AD26C1"/>
    <w:rsid w:val="00AE5074"/>
    <w:rsid w:val="00AE542F"/>
    <w:rsid w:val="00AF0F78"/>
    <w:rsid w:val="00AF5455"/>
    <w:rsid w:val="00AF7091"/>
    <w:rsid w:val="00AF7878"/>
    <w:rsid w:val="00B00B47"/>
    <w:rsid w:val="00B05C97"/>
    <w:rsid w:val="00B07705"/>
    <w:rsid w:val="00B11E78"/>
    <w:rsid w:val="00B21D5E"/>
    <w:rsid w:val="00B23A02"/>
    <w:rsid w:val="00B25239"/>
    <w:rsid w:val="00B27392"/>
    <w:rsid w:val="00B438CC"/>
    <w:rsid w:val="00B510D9"/>
    <w:rsid w:val="00B534DD"/>
    <w:rsid w:val="00B553C1"/>
    <w:rsid w:val="00B55C56"/>
    <w:rsid w:val="00B56518"/>
    <w:rsid w:val="00B64240"/>
    <w:rsid w:val="00B771E8"/>
    <w:rsid w:val="00B848EF"/>
    <w:rsid w:val="00B8491B"/>
    <w:rsid w:val="00B86F2B"/>
    <w:rsid w:val="00B96662"/>
    <w:rsid w:val="00BA5720"/>
    <w:rsid w:val="00BB1C5C"/>
    <w:rsid w:val="00BB2327"/>
    <w:rsid w:val="00BB2BBD"/>
    <w:rsid w:val="00BB6F56"/>
    <w:rsid w:val="00BC6EC7"/>
    <w:rsid w:val="00BD00BC"/>
    <w:rsid w:val="00BD1660"/>
    <w:rsid w:val="00BE531D"/>
    <w:rsid w:val="00BE7AAA"/>
    <w:rsid w:val="00BF173A"/>
    <w:rsid w:val="00BF2EE2"/>
    <w:rsid w:val="00C127C0"/>
    <w:rsid w:val="00C14A9E"/>
    <w:rsid w:val="00C164C2"/>
    <w:rsid w:val="00C2206F"/>
    <w:rsid w:val="00C23B4C"/>
    <w:rsid w:val="00C337EE"/>
    <w:rsid w:val="00C36E33"/>
    <w:rsid w:val="00C42741"/>
    <w:rsid w:val="00C46BDC"/>
    <w:rsid w:val="00C47B6B"/>
    <w:rsid w:val="00C53990"/>
    <w:rsid w:val="00C54425"/>
    <w:rsid w:val="00C57FE7"/>
    <w:rsid w:val="00C70B4E"/>
    <w:rsid w:val="00C76B64"/>
    <w:rsid w:val="00C77D9C"/>
    <w:rsid w:val="00C8402D"/>
    <w:rsid w:val="00C87376"/>
    <w:rsid w:val="00C907F4"/>
    <w:rsid w:val="00C93927"/>
    <w:rsid w:val="00C940E9"/>
    <w:rsid w:val="00CA080B"/>
    <w:rsid w:val="00CB78E8"/>
    <w:rsid w:val="00CB7AD6"/>
    <w:rsid w:val="00CC4516"/>
    <w:rsid w:val="00CC4D2C"/>
    <w:rsid w:val="00CD1B88"/>
    <w:rsid w:val="00CD7542"/>
    <w:rsid w:val="00CE19A3"/>
    <w:rsid w:val="00CE3E5A"/>
    <w:rsid w:val="00CE54EF"/>
    <w:rsid w:val="00CE6A06"/>
    <w:rsid w:val="00CE6F19"/>
    <w:rsid w:val="00CF0E34"/>
    <w:rsid w:val="00CF2224"/>
    <w:rsid w:val="00CF7FFA"/>
    <w:rsid w:val="00D0144C"/>
    <w:rsid w:val="00D05034"/>
    <w:rsid w:val="00D0739B"/>
    <w:rsid w:val="00D114DB"/>
    <w:rsid w:val="00D1188F"/>
    <w:rsid w:val="00D122EF"/>
    <w:rsid w:val="00D12656"/>
    <w:rsid w:val="00D266B5"/>
    <w:rsid w:val="00D31F73"/>
    <w:rsid w:val="00D3349C"/>
    <w:rsid w:val="00D33E77"/>
    <w:rsid w:val="00D41E7A"/>
    <w:rsid w:val="00D4266B"/>
    <w:rsid w:val="00D4535A"/>
    <w:rsid w:val="00D50070"/>
    <w:rsid w:val="00D542A4"/>
    <w:rsid w:val="00D5445F"/>
    <w:rsid w:val="00D552A6"/>
    <w:rsid w:val="00D5530A"/>
    <w:rsid w:val="00D562C2"/>
    <w:rsid w:val="00D56905"/>
    <w:rsid w:val="00D60B33"/>
    <w:rsid w:val="00D63AAE"/>
    <w:rsid w:val="00D64C0E"/>
    <w:rsid w:val="00D64F85"/>
    <w:rsid w:val="00D75B90"/>
    <w:rsid w:val="00D81EE2"/>
    <w:rsid w:val="00D85D42"/>
    <w:rsid w:val="00D9118F"/>
    <w:rsid w:val="00D9230F"/>
    <w:rsid w:val="00D9319D"/>
    <w:rsid w:val="00D96D7F"/>
    <w:rsid w:val="00D975BD"/>
    <w:rsid w:val="00D9760A"/>
    <w:rsid w:val="00DA5641"/>
    <w:rsid w:val="00DB72E2"/>
    <w:rsid w:val="00DC38C7"/>
    <w:rsid w:val="00DC396B"/>
    <w:rsid w:val="00DC4B81"/>
    <w:rsid w:val="00DC5F57"/>
    <w:rsid w:val="00DC7144"/>
    <w:rsid w:val="00DD23F9"/>
    <w:rsid w:val="00DE1DA5"/>
    <w:rsid w:val="00DE551C"/>
    <w:rsid w:val="00DE6997"/>
    <w:rsid w:val="00DF396E"/>
    <w:rsid w:val="00DF5F12"/>
    <w:rsid w:val="00E0190E"/>
    <w:rsid w:val="00E10FB8"/>
    <w:rsid w:val="00E14473"/>
    <w:rsid w:val="00E15558"/>
    <w:rsid w:val="00E17E95"/>
    <w:rsid w:val="00E2024E"/>
    <w:rsid w:val="00E224F2"/>
    <w:rsid w:val="00E22BED"/>
    <w:rsid w:val="00E24542"/>
    <w:rsid w:val="00E27F84"/>
    <w:rsid w:val="00E53DB1"/>
    <w:rsid w:val="00E6416C"/>
    <w:rsid w:val="00E657C1"/>
    <w:rsid w:val="00E872E3"/>
    <w:rsid w:val="00E94FE9"/>
    <w:rsid w:val="00EA2B74"/>
    <w:rsid w:val="00EA60C6"/>
    <w:rsid w:val="00EB2F3C"/>
    <w:rsid w:val="00EC0D68"/>
    <w:rsid w:val="00EC244B"/>
    <w:rsid w:val="00EC70B5"/>
    <w:rsid w:val="00ED0DB4"/>
    <w:rsid w:val="00ED3A71"/>
    <w:rsid w:val="00EE6035"/>
    <w:rsid w:val="00EF2C7D"/>
    <w:rsid w:val="00EF374E"/>
    <w:rsid w:val="00EF4CDA"/>
    <w:rsid w:val="00EF698D"/>
    <w:rsid w:val="00EF6C30"/>
    <w:rsid w:val="00F006AF"/>
    <w:rsid w:val="00F00F46"/>
    <w:rsid w:val="00F0210E"/>
    <w:rsid w:val="00F130A9"/>
    <w:rsid w:val="00F21A20"/>
    <w:rsid w:val="00F2558D"/>
    <w:rsid w:val="00F33047"/>
    <w:rsid w:val="00F3373C"/>
    <w:rsid w:val="00F347F8"/>
    <w:rsid w:val="00F40F14"/>
    <w:rsid w:val="00F42832"/>
    <w:rsid w:val="00F42E9A"/>
    <w:rsid w:val="00F44D41"/>
    <w:rsid w:val="00F56D77"/>
    <w:rsid w:val="00F61E26"/>
    <w:rsid w:val="00F65DF2"/>
    <w:rsid w:val="00F665D5"/>
    <w:rsid w:val="00F66B2D"/>
    <w:rsid w:val="00F70A03"/>
    <w:rsid w:val="00F72737"/>
    <w:rsid w:val="00F733BB"/>
    <w:rsid w:val="00F74B2C"/>
    <w:rsid w:val="00F81FFA"/>
    <w:rsid w:val="00F83123"/>
    <w:rsid w:val="00F911C9"/>
    <w:rsid w:val="00F92A0F"/>
    <w:rsid w:val="00F95D77"/>
    <w:rsid w:val="00FB56EA"/>
    <w:rsid w:val="00FC026C"/>
    <w:rsid w:val="00FC15D4"/>
    <w:rsid w:val="00FC15D9"/>
    <w:rsid w:val="00FC18CB"/>
    <w:rsid w:val="00FC1D63"/>
    <w:rsid w:val="00FC1DA5"/>
    <w:rsid w:val="00FC3AB5"/>
    <w:rsid w:val="00FD52E6"/>
    <w:rsid w:val="00FD6970"/>
    <w:rsid w:val="00FD746B"/>
    <w:rsid w:val="00FD7984"/>
    <w:rsid w:val="00FD7FE7"/>
    <w:rsid w:val="00FE0386"/>
    <w:rsid w:val="00FE04E7"/>
    <w:rsid w:val="00FE0622"/>
    <w:rsid w:val="00FE1556"/>
    <w:rsid w:val="00FE27FD"/>
    <w:rsid w:val="00FE39BD"/>
    <w:rsid w:val="00FE7665"/>
    <w:rsid w:val="00FE7770"/>
    <w:rsid w:val="00FE78BB"/>
    <w:rsid w:val="00FF2AE4"/>
    <w:rsid w:val="00FF30E2"/>
    <w:rsid w:val="00FF3604"/>
    <w:rsid w:val="16CB6D0C"/>
    <w:rsid w:val="27BBF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FB6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AC"/>
    <w:pPr>
      <w:spacing w:before="120" w:line="264" w:lineRule="auto"/>
    </w:pPr>
    <w:rPr>
      <w:rFonts w:ascii="Garamond" w:hAnsi="Garamond"/>
    </w:rPr>
  </w:style>
  <w:style w:type="paragraph" w:styleId="Heading1">
    <w:name w:val="heading 1"/>
    <w:basedOn w:val="Normal"/>
    <w:next w:val="Normal"/>
    <w:link w:val="Heading1Char"/>
    <w:uiPriority w:val="9"/>
    <w:qFormat/>
    <w:rsid w:val="0026038E"/>
    <w:pPr>
      <w:keepNext/>
      <w:keepLines/>
      <w:spacing w:before="240"/>
      <w:outlineLvl w:val="0"/>
    </w:pPr>
    <w:rPr>
      <w:rFonts w:ascii="Century Gothic" w:eastAsiaTheme="majorEastAsia" w:hAnsi="Century Gothic" w:cstheme="majorBidi"/>
      <w:color w:val="000000" w:themeColor="text1"/>
      <w:sz w:val="28"/>
      <w:szCs w:val="32"/>
    </w:rPr>
  </w:style>
  <w:style w:type="paragraph" w:styleId="Heading2">
    <w:name w:val="heading 2"/>
    <w:basedOn w:val="Normal"/>
    <w:next w:val="Normal"/>
    <w:link w:val="Heading2Char"/>
    <w:uiPriority w:val="9"/>
    <w:unhideWhenUsed/>
    <w:qFormat/>
    <w:rsid w:val="0026038E"/>
    <w:pPr>
      <w:keepNext/>
      <w:keepLines/>
      <w:spacing w:before="40"/>
      <w:outlineLvl w:val="1"/>
    </w:pPr>
    <w:rPr>
      <w:rFonts w:ascii="Century Gothic" w:eastAsiaTheme="majorEastAsia" w:hAnsi="Century Gothic"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9189B"/>
    <w:pPr>
      <w:numPr>
        <w:numId w:val="1"/>
      </w:numPr>
    </w:pPr>
  </w:style>
  <w:style w:type="paragraph" w:styleId="Header">
    <w:name w:val="header"/>
    <w:basedOn w:val="Normal"/>
    <w:link w:val="HeaderChar"/>
    <w:uiPriority w:val="99"/>
    <w:unhideWhenUsed/>
    <w:rsid w:val="0026038E"/>
    <w:pPr>
      <w:tabs>
        <w:tab w:val="center" w:pos="4680"/>
        <w:tab w:val="right" w:pos="9360"/>
      </w:tabs>
      <w:spacing w:line="240" w:lineRule="auto"/>
    </w:pPr>
    <w:rPr>
      <w:rFonts w:asciiTheme="minorHAnsi" w:hAnsiTheme="minorHAnsi"/>
    </w:rPr>
  </w:style>
  <w:style w:type="character" w:customStyle="1" w:styleId="HeaderChar">
    <w:name w:val="Header Char"/>
    <w:basedOn w:val="DefaultParagraphFont"/>
    <w:link w:val="Header"/>
    <w:uiPriority w:val="99"/>
    <w:rsid w:val="0026038E"/>
  </w:style>
  <w:style w:type="paragraph" w:styleId="Footer">
    <w:name w:val="footer"/>
    <w:basedOn w:val="Normal"/>
    <w:link w:val="FooterChar"/>
    <w:uiPriority w:val="99"/>
    <w:unhideWhenUsed/>
    <w:rsid w:val="0026038E"/>
    <w:pPr>
      <w:tabs>
        <w:tab w:val="center" w:pos="4680"/>
        <w:tab w:val="right" w:pos="9360"/>
      </w:tabs>
      <w:spacing w:line="240" w:lineRule="auto"/>
    </w:pPr>
    <w:rPr>
      <w:rFonts w:asciiTheme="minorHAnsi" w:hAnsiTheme="minorHAnsi"/>
    </w:rPr>
  </w:style>
  <w:style w:type="character" w:customStyle="1" w:styleId="FooterChar">
    <w:name w:val="Footer Char"/>
    <w:basedOn w:val="DefaultParagraphFont"/>
    <w:link w:val="Footer"/>
    <w:uiPriority w:val="99"/>
    <w:rsid w:val="0026038E"/>
  </w:style>
  <w:style w:type="character" w:customStyle="1" w:styleId="Heading1Char">
    <w:name w:val="Heading 1 Char"/>
    <w:basedOn w:val="DefaultParagraphFont"/>
    <w:link w:val="Heading1"/>
    <w:uiPriority w:val="9"/>
    <w:rsid w:val="0026038E"/>
    <w:rPr>
      <w:rFonts w:ascii="Century Gothic" w:eastAsiaTheme="majorEastAsia" w:hAnsi="Century Gothic" w:cstheme="majorBidi"/>
      <w:color w:val="000000" w:themeColor="text1"/>
      <w:spacing w:val="4"/>
      <w:sz w:val="28"/>
      <w:szCs w:val="32"/>
    </w:rPr>
  </w:style>
  <w:style w:type="character" w:customStyle="1" w:styleId="Heading2Char">
    <w:name w:val="Heading 2 Char"/>
    <w:basedOn w:val="DefaultParagraphFont"/>
    <w:link w:val="Heading2"/>
    <w:uiPriority w:val="9"/>
    <w:rsid w:val="0026038E"/>
    <w:rPr>
      <w:rFonts w:ascii="Century Gothic" w:eastAsiaTheme="majorEastAsia" w:hAnsi="Century Gothic" w:cstheme="majorBidi"/>
      <w:i/>
      <w:iCs/>
      <w:color w:val="000000" w:themeColor="text1"/>
      <w:spacing w:val="4"/>
    </w:rPr>
  </w:style>
  <w:style w:type="character" w:styleId="PageNumber">
    <w:name w:val="page number"/>
    <w:basedOn w:val="DefaultParagraphFont"/>
    <w:uiPriority w:val="99"/>
    <w:semiHidden/>
    <w:unhideWhenUsed/>
    <w:rsid w:val="003A183A"/>
    <w:rPr>
      <w:rFonts w:ascii="Garamond" w:hAnsi="Garamond"/>
      <w:b w:val="0"/>
      <w:i w:val="0"/>
      <w:sz w:val="21"/>
    </w:rPr>
  </w:style>
  <w:style w:type="character" w:styleId="Hyperlink">
    <w:name w:val="Hyperlink"/>
    <w:basedOn w:val="DefaultParagraphFont"/>
    <w:uiPriority w:val="99"/>
    <w:unhideWhenUsed/>
    <w:rsid w:val="002609AC"/>
    <w:rPr>
      <w:color w:val="385623" w:themeColor="accent6" w:themeShade="80"/>
      <w:u w:val="single" w:color="3B3838" w:themeColor="background2" w:themeShade="40"/>
    </w:rPr>
  </w:style>
  <w:style w:type="character" w:styleId="FootnoteReference">
    <w:name w:val="footnote reference"/>
    <w:basedOn w:val="DefaultParagraphFont"/>
    <w:unhideWhenUsed/>
    <w:rsid w:val="002609AC"/>
    <w:rPr>
      <w:vertAlign w:val="superscript"/>
    </w:rPr>
  </w:style>
  <w:style w:type="paragraph" w:styleId="FootnoteText">
    <w:name w:val="footnote text"/>
    <w:basedOn w:val="Normal"/>
    <w:link w:val="FootnoteTextChar"/>
    <w:unhideWhenUsed/>
    <w:qFormat/>
    <w:rsid w:val="002609AC"/>
    <w:pPr>
      <w:spacing w:after="160"/>
    </w:pPr>
    <w:rPr>
      <w:rFonts w:cstheme="majorBidi"/>
      <w:kern w:val="24"/>
      <w:sz w:val="20"/>
      <w14:ligatures w14:val="standardContextual"/>
    </w:rPr>
  </w:style>
  <w:style w:type="character" w:customStyle="1" w:styleId="FootnoteTextChar">
    <w:name w:val="Footnote Text Char"/>
    <w:basedOn w:val="DefaultParagraphFont"/>
    <w:link w:val="FootnoteText"/>
    <w:rsid w:val="002609AC"/>
    <w:rPr>
      <w:rFonts w:ascii="Garamond" w:hAnsi="Garamond" w:cstheme="majorBidi"/>
      <w:kern w:val="24"/>
      <w:sz w:val="20"/>
      <w14:ligatures w14:val="standardContextual"/>
    </w:rPr>
  </w:style>
  <w:style w:type="paragraph" w:styleId="NoSpacing">
    <w:name w:val="No Spacing"/>
    <w:uiPriority w:val="1"/>
    <w:qFormat/>
    <w:rsid w:val="00253C32"/>
    <w:rPr>
      <w:rFonts w:ascii="Garamond" w:hAnsi="Garamond"/>
    </w:rPr>
  </w:style>
  <w:style w:type="paragraph" w:styleId="ListParagraph">
    <w:name w:val="List Paragraph"/>
    <w:basedOn w:val="Normal"/>
    <w:uiPriority w:val="34"/>
    <w:qFormat/>
    <w:rsid w:val="002B3F57"/>
    <w:pPr>
      <w:ind w:left="720"/>
      <w:contextualSpacing/>
    </w:pPr>
  </w:style>
  <w:style w:type="character" w:styleId="CommentReference">
    <w:name w:val="annotation reference"/>
    <w:basedOn w:val="DefaultParagraphFont"/>
    <w:uiPriority w:val="99"/>
    <w:unhideWhenUsed/>
    <w:rsid w:val="003D3451"/>
    <w:rPr>
      <w:sz w:val="16"/>
      <w:szCs w:val="16"/>
    </w:rPr>
  </w:style>
  <w:style w:type="paragraph" w:styleId="CommentText">
    <w:name w:val="annotation text"/>
    <w:basedOn w:val="Normal"/>
    <w:link w:val="CommentTextChar"/>
    <w:uiPriority w:val="99"/>
    <w:unhideWhenUsed/>
    <w:rsid w:val="003D3451"/>
    <w:pPr>
      <w:spacing w:line="240" w:lineRule="auto"/>
    </w:pPr>
    <w:rPr>
      <w:sz w:val="20"/>
      <w:szCs w:val="20"/>
    </w:rPr>
  </w:style>
  <w:style w:type="character" w:customStyle="1" w:styleId="CommentTextChar">
    <w:name w:val="Comment Text Char"/>
    <w:basedOn w:val="DefaultParagraphFont"/>
    <w:link w:val="CommentText"/>
    <w:uiPriority w:val="99"/>
    <w:rsid w:val="003D3451"/>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3D3451"/>
    <w:rPr>
      <w:b/>
      <w:bCs/>
    </w:rPr>
  </w:style>
  <w:style w:type="character" w:customStyle="1" w:styleId="CommentSubjectChar">
    <w:name w:val="Comment Subject Char"/>
    <w:basedOn w:val="CommentTextChar"/>
    <w:link w:val="CommentSubject"/>
    <w:uiPriority w:val="99"/>
    <w:semiHidden/>
    <w:rsid w:val="003D3451"/>
    <w:rPr>
      <w:rFonts w:ascii="Garamond" w:hAnsi="Garamond"/>
      <w:b/>
      <w:bCs/>
      <w:sz w:val="20"/>
      <w:szCs w:val="20"/>
    </w:rPr>
  </w:style>
  <w:style w:type="paragraph" w:styleId="Revision">
    <w:name w:val="Revision"/>
    <w:hidden/>
    <w:uiPriority w:val="99"/>
    <w:semiHidden/>
    <w:rsid w:val="00A7737B"/>
    <w:rPr>
      <w:rFonts w:ascii="Garamond" w:hAnsi="Garamond"/>
    </w:rPr>
  </w:style>
  <w:style w:type="character" w:styleId="FollowedHyperlink">
    <w:name w:val="FollowedHyperlink"/>
    <w:basedOn w:val="DefaultParagraphFont"/>
    <w:uiPriority w:val="99"/>
    <w:semiHidden/>
    <w:unhideWhenUsed/>
    <w:rsid w:val="00DC396B"/>
    <w:rPr>
      <w:color w:val="954F72" w:themeColor="followedHyperlink"/>
      <w:u w:val="single"/>
    </w:rPr>
  </w:style>
  <w:style w:type="character" w:styleId="UnresolvedMention">
    <w:name w:val="Unresolved Mention"/>
    <w:basedOn w:val="DefaultParagraphFont"/>
    <w:uiPriority w:val="99"/>
    <w:semiHidden/>
    <w:unhideWhenUsed/>
    <w:rsid w:val="00DC396B"/>
    <w:rPr>
      <w:color w:val="605E5C"/>
      <w:shd w:val="clear" w:color="auto" w:fill="E1DFDD"/>
    </w:rPr>
  </w:style>
  <w:style w:type="table" w:styleId="TableGrid">
    <w:name w:val="Table Grid"/>
    <w:basedOn w:val="TableNormal"/>
    <w:uiPriority w:val="39"/>
    <w:rsid w:val="000B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link w:val="num1Char"/>
    <w:rsid w:val="009270EE"/>
    <w:pPr>
      <w:tabs>
        <w:tab w:val="left" w:pos="-720"/>
      </w:tabs>
      <w:suppressAutoHyphens/>
      <w:spacing w:before="0" w:line="360" w:lineRule="auto"/>
      <w:ind w:firstLine="450"/>
    </w:pPr>
    <w:rPr>
      <w:rFonts w:ascii="Palatino" w:eastAsia="Times New Roman" w:hAnsi="Palatino" w:cs="Times New Roman"/>
      <w:szCs w:val="20"/>
    </w:rPr>
  </w:style>
  <w:style w:type="character" w:customStyle="1" w:styleId="num1Char">
    <w:name w:val="num1 Char"/>
    <w:link w:val="num1"/>
    <w:rsid w:val="009270EE"/>
    <w:rPr>
      <w:rFonts w:ascii="Palatino" w:eastAsia="Times New Roman" w:hAnsi="Palatino" w:cs="Times New Roman"/>
      <w:szCs w:val="20"/>
    </w:rPr>
  </w:style>
  <w:style w:type="paragraph" w:customStyle="1" w:styleId="10sp0">
    <w:name w:val="_1.0sp 0&quot;"/>
    <w:basedOn w:val="Normal"/>
    <w:rsid w:val="00C77D9C"/>
    <w:pPr>
      <w:suppressAutoHyphens/>
      <w:spacing w:before="0" w:after="240" w:line="240" w:lineRule="auto"/>
    </w:pPr>
    <w:rPr>
      <w:rFonts w:ascii="Times New Roman" w:eastAsia="SimSun" w:hAnsi="Times New Roman" w:cs="Times New Roman"/>
      <w:szCs w:val="20"/>
    </w:rPr>
  </w:style>
  <w:style w:type="paragraph" w:customStyle="1" w:styleId="SimpleNumberedList">
    <w:name w:val="_Simple Numbered List"/>
    <w:basedOn w:val="Normal"/>
    <w:rsid w:val="00C77D9C"/>
    <w:pPr>
      <w:numPr>
        <w:numId w:val="11"/>
      </w:numPr>
      <w:suppressAutoHyphens/>
      <w:spacing w:before="0" w:after="240" w:line="240" w:lineRule="auto"/>
    </w:pPr>
    <w:rPr>
      <w:rFonts w:ascii="Times New Roman" w:eastAsia="SimSun" w:hAnsi="Times New Roman" w:cs="Times New Roman"/>
      <w:szCs w:val="20"/>
    </w:rPr>
  </w:style>
  <w:style w:type="paragraph" w:customStyle="1" w:styleId="10spHanging05">
    <w:name w:val="_1.0sp Hanging 0.5&quot;"/>
    <w:basedOn w:val="Normal"/>
    <w:rsid w:val="00C77D9C"/>
    <w:pPr>
      <w:suppressAutoHyphens/>
      <w:spacing w:before="0" w:after="240" w:line="240" w:lineRule="auto"/>
      <w:ind w:left="720" w:hanging="720"/>
    </w:pPr>
    <w:rPr>
      <w:rFonts w:ascii="Times New Roman" w:eastAsia="SimSun" w:hAnsi="Times New Roman" w:cs="Times New Roman"/>
      <w:szCs w:val="20"/>
    </w:rPr>
  </w:style>
  <w:style w:type="paragraph" w:customStyle="1" w:styleId="NormalBody">
    <w:name w:val="Normal Body"/>
    <w:basedOn w:val="Normal"/>
    <w:qFormat/>
    <w:rsid w:val="00D3349C"/>
    <w:pPr>
      <w:spacing w:line="240" w:lineRule="auto"/>
    </w:pPr>
    <w:rPr>
      <w:rFonts w:ascii="Palatino Linotype" w:eastAsia="Palatino Linotype"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96602">
      <w:bodyDiv w:val="1"/>
      <w:marLeft w:val="0"/>
      <w:marRight w:val="0"/>
      <w:marTop w:val="0"/>
      <w:marBottom w:val="0"/>
      <w:divBdr>
        <w:top w:val="none" w:sz="0" w:space="0" w:color="auto"/>
        <w:left w:val="none" w:sz="0" w:space="0" w:color="auto"/>
        <w:bottom w:val="none" w:sz="0" w:space="0" w:color="auto"/>
        <w:right w:val="none" w:sz="0" w:space="0" w:color="auto"/>
      </w:divBdr>
    </w:div>
    <w:div w:id="189812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compliance@cpuc.c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puc.c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ompliance@cpuc.ca.gov" TargetMode="External"/><Relationship Id="rId5" Type="http://schemas.openxmlformats.org/officeDocument/2006/relationships/numbering" Target="numbering.xml"/><Relationship Id="rId15" Type="http://schemas.openxmlformats.org/officeDocument/2006/relationships/hyperlink" Target="mailto:cdcompliance@cpuc.c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c.c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industries-and-topics/internet-and-phone/carrier-reporting-requirements" TargetMode="External"/><Relationship Id="rId2" Type="http://schemas.openxmlformats.org/officeDocument/2006/relationships/hyperlink" Target="https://www.cpuc.ca.gov/-/media/cpuc-website/divisions/communications-division/documents/licensing-compliance/contact-information-update-request-form.pdf" TargetMode="External"/><Relationship Id="rId1" Type="http://schemas.openxmlformats.org/officeDocument/2006/relationships/hyperlink" Target="https://www.cpuc.ca.gov/industries-and-topics/internet-and-phone/information-for-telecommunications-applicants-and-registrants-in-califo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5015F-7895-40AB-B00E-4FBA26940299}">
  <ds:schemaRefs>
    <ds:schemaRef ds:uri="http://schemas.openxmlformats.org/officeDocument/2006/bibliography"/>
  </ds:schemaRefs>
</ds:datastoreItem>
</file>

<file path=customXml/itemProps2.xml><?xml version="1.0" encoding="utf-8"?>
<ds:datastoreItem xmlns:ds="http://schemas.openxmlformats.org/officeDocument/2006/customXml" ds:itemID="{2830CC5E-CDD1-4EA2-BE8B-AC9380020AA7}">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3.xml><?xml version="1.0" encoding="utf-8"?>
<ds:datastoreItem xmlns:ds="http://schemas.openxmlformats.org/officeDocument/2006/customXml" ds:itemID="{7519A24C-777E-4110-B82C-21C3A3FA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08C32-7FC6-4412-9DCA-124B8069A644}">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3668</ap:Words>
  <ap:Characters>20913</ap:Characters>
  <ap:Application>Microsoft Office Word</ap:Application>
  <ap:DocSecurity>0</ap:DocSecurity>
  <ap:Lines>174</ap:Lines>
  <ap:Paragraphs>49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24532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2026-04-28T17:46:29Z</dcterms:created>
  <dcterms:modified xsi:type="dcterms:W3CDTF">2026-04-28T17:46:29Z</dcterms:modified>
</cp:coreProperties>
</file>