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D50" w:rsidP="00537046" w:rsidRDefault="00F04B30" w14:paraId="283C9D8F" w14:textId="07CB6E01">
      <w:pPr>
        <w:pStyle w:val="Header"/>
        <w:tabs>
          <w:tab w:val="clear" w:pos="8640"/>
          <w:tab w:val="left" w:pos="2880"/>
        </w:tabs>
        <w:jc w:val="center"/>
        <w:rPr>
          <w:rFonts w:ascii="Book Antiqua" w:hAnsi="Book Antiqua"/>
        </w:rPr>
      </w:pPr>
      <w:r w:rsidRPr="00824E46">
        <w:rPr>
          <w:rFonts w:ascii="Book Antiqua" w:hAnsi="Book Antiqua"/>
        </w:rPr>
        <w:t>ALJ/</w:t>
      </w:r>
      <w:r w:rsidR="00EA1C00">
        <w:rPr>
          <w:rFonts w:ascii="Book Antiqua" w:hAnsi="Book Antiqua"/>
        </w:rPr>
        <w:t>MLC</w:t>
      </w:r>
      <w:r w:rsidRPr="00824E46" w:rsidR="00642538">
        <w:rPr>
          <w:rFonts w:ascii="Book Antiqua" w:hAnsi="Book Antiqua"/>
        </w:rPr>
        <w:t>/</w:t>
      </w:r>
      <w:proofErr w:type="spellStart"/>
      <w:proofErr w:type="gramStart"/>
      <w:r w:rsidRPr="00824E46" w:rsidR="00317304">
        <w:rPr>
          <w:rFonts w:ascii="Book Antiqua" w:hAnsi="Book Antiqua"/>
        </w:rPr>
        <w:t>asf</w:t>
      </w:r>
      <w:proofErr w:type="spellEnd"/>
      <w:r w:rsidR="00A77D50">
        <w:rPr>
          <w:rFonts w:ascii="Book Antiqua" w:hAnsi="Book Antiqua"/>
        </w:rPr>
        <w:t xml:space="preserve">  </w:t>
      </w:r>
      <w:r w:rsidR="00690614">
        <w:rPr>
          <w:rFonts w:ascii="Book Antiqua" w:hAnsi="Book Antiqua"/>
        </w:rPr>
        <w:tab/>
      </w:r>
      <w:proofErr w:type="gramEnd"/>
      <w:r w:rsidR="004A7861">
        <w:rPr>
          <w:rFonts w:ascii="Book Antiqua" w:hAnsi="Book Antiqua"/>
        </w:rPr>
        <w:tab/>
      </w:r>
      <w:r w:rsidR="004A7861">
        <w:rPr>
          <w:rFonts w:ascii="Book Antiqua" w:hAnsi="Book Antiqua"/>
        </w:rPr>
        <w:tab/>
      </w:r>
      <w:r w:rsidR="004A7861">
        <w:rPr>
          <w:rFonts w:ascii="Book Antiqua" w:hAnsi="Book Antiqua"/>
        </w:rPr>
        <w:tab/>
      </w:r>
      <w:r w:rsidR="004A7861">
        <w:rPr>
          <w:rFonts w:ascii="Book Antiqua" w:hAnsi="Book Antiqua"/>
        </w:rPr>
        <w:tab/>
      </w:r>
      <w:r w:rsidR="004A7861">
        <w:rPr>
          <w:rFonts w:ascii="Book Antiqua" w:hAnsi="Book Antiqua"/>
        </w:rPr>
        <w:tab/>
      </w:r>
      <w:r w:rsidR="008D7B0E">
        <w:rPr>
          <w:rFonts w:ascii="Book Antiqua" w:hAnsi="Book Antiqua"/>
        </w:rPr>
        <w:tab/>
      </w:r>
      <w:r w:rsidRPr="004A7861" w:rsidR="00690614">
        <w:rPr>
          <w:rFonts w:ascii="Book Antiqua" w:hAnsi="Book Antiqua"/>
          <w:b/>
          <w:bCs/>
        </w:rPr>
        <w:t>DRAFT</w:t>
      </w:r>
      <w:r w:rsidRPr="004A7861" w:rsidR="00690614">
        <w:rPr>
          <w:rFonts w:ascii="Book Antiqua" w:hAnsi="Book Antiqua"/>
          <w:b/>
          <w:bCs/>
        </w:rPr>
        <w:tab/>
      </w:r>
      <w:r w:rsidR="004A7861">
        <w:rPr>
          <w:rFonts w:ascii="Book Antiqua" w:hAnsi="Book Antiqua"/>
        </w:rPr>
        <w:tab/>
      </w:r>
    </w:p>
    <w:p w:rsidRPr="001648F0" w:rsidR="005B113F" w:rsidP="00A77D50" w:rsidRDefault="005D2F39" w14:paraId="6F6E57ED" w14:textId="2653F86D">
      <w:pPr>
        <w:pStyle w:val="Header"/>
        <w:tabs>
          <w:tab w:val="clear" w:pos="8640"/>
          <w:tab w:val="left" w:pos="2880"/>
        </w:tabs>
        <w:rPr>
          <w:rFonts w:ascii="Book Antiqua" w:hAnsi="Book Antiqua"/>
          <w:b/>
          <w:bCs/>
        </w:rPr>
      </w:pPr>
      <w:r w:rsidRPr="001648F0">
        <w:rPr>
          <w:rFonts w:ascii="Book Antiqua" w:hAnsi="Book Antiqua"/>
          <w:b/>
        </w:rPr>
        <w:tab/>
      </w:r>
      <w:r w:rsidRPr="001648F0" w:rsidR="00043B8E">
        <w:rPr>
          <w:rFonts w:ascii="Book Antiqua" w:hAnsi="Book Antiqua"/>
          <w:b/>
        </w:rPr>
        <w:t xml:space="preserve"> </w:t>
      </w:r>
      <w:r w:rsidR="00A77D50">
        <w:rPr>
          <w:rFonts w:ascii="Book Antiqua" w:hAnsi="Book Antiqua"/>
          <w:b/>
        </w:rPr>
        <w:t xml:space="preserve">                                                           </w:t>
      </w:r>
    </w:p>
    <w:p w:rsidRPr="001648F0" w:rsidR="00043B8E" w:rsidP="00043B8E" w:rsidRDefault="00043B8E" w14:paraId="5230D684" w14:textId="28BAE3E4">
      <w:pPr>
        <w:pStyle w:val="Header"/>
        <w:tabs>
          <w:tab w:val="clear" w:pos="8640"/>
          <w:tab w:val="left" w:pos="7110"/>
          <w:tab w:val="right" w:pos="9360"/>
        </w:tabs>
        <w:jc w:val="center"/>
        <w:rPr>
          <w:rFonts w:ascii="Book Antiqua" w:hAnsi="Book Antiqua"/>
          <w:bCs/>
          <w:u w:val="single"/>
        </w:rPr>
      </w:pPr>
      <w:r w:rsidRPr="001648F0">
        <w:rPr>
          <w:rFonts w:ascii="Book Antiqua" w:hAnsi="Book Antiqua"/>
          <w:bCs/>
        </w:rPr>
        <w:tab/>
      </w:r>
    </w:p>
    <w:p w:rsidRPr="001648F0" w:rsidR="005B113F" w:rsidRDefault="005B113F" w14:paraId="7730182E" w14:textId="77777777">
      <w:pPr>
        <w:pStyle w:val="Title"/>
        <w:rPr>
          <w:rFonts w:ascii="Book Antiqua" w:hAnsi="Book Antiqua"/>
          <w:b w:val="0"/>
        </w:rPr>
      </w:pPr>
    </w:p>
    <w:p w:rsidR="005B113F" w:rsidRDefault="00F04B30" w14:paraId="0B1C8AEF" w14:textId="77777777">
      <w:pPr>
        <w:pStyle w:val="Title"/>
      </w:pPr>
      <w:r>
        <w:t xml:space="preserve">PUBLIC UTILITIES COMMISSION OF THE STATE OF </w:t>
      </w:r>
      <w:smartTag w:uri="urn:schemas-microsoft-com:office:smarttags" w:element="State">
        <w:smartTag w:uri="urn:schemas-microsoft-com:office:smarttags" w:element="place">
          <w:r>
            <w:t>CALIFORNIA</w:t>
          </w:r>
        </w:smartTag>
      </w:smartTag>
    </w:p>
    <w:p w:rsidR="005B113F" w:rsidRDefault="005B113F" w14:paraId="610AADCB" w14:textId="77777777"/>
    <w:p w:rsidRPr="009755A5" w:rsidR="005B113F" w:rsidP="009755A5" w:rsidRDefault="00F04B30" w14:paraId="71BA1CB6" w14:textId="3A3919C6">
      <w:pPr>
        <w:tabs>
          <w:tab w:val="left" w:pos="3600"/>
        </w:tabs>
        <w:rPr>
          <w:rFonts w:ascii="Book Antiqua" w:hAnsi="Book Antiqua"/>
          <w:szCs w:val="24"/>
        </w:rPr>
      </w:pPr>
      <w:r>
        <w:tab/>
      </w:r>
      <w:r w:rsidRPr="009755A5">
        <w:rPr>
          <w:rFonts w:ascii="Book Antiqua" w:hAnsi="Book Antiqua"/>
          <w:szCs w:val="24"/>
        </w:rPr>
        <w:t xml:space="preserve">Resolution ALJ </w:t>
      </w:r>
      <w:r w:rsidRPr="00EA1C00" w:rsidR="00EA1C00">
        <w:rPr>
          <w:rFonts w:ascii="Book Antiqua" w:hAnsi="Book Antiqua"/>
          <w:szCs w:val="24"/>
        </w:rPr>
        <w:t>176-3580</w:t>
      </w:r>
    </w:p>
    <w:p w:rsidRPr="009755A5" w:rsidR="005B113F" w:rsidP="009755A5" w:rsidRDefault="00F04B30" w14:paraId="0BEC5567" w14:textId="40EF86A7">
      <w:pPr>
        <w:tabs>
          <w:tab w:val="left" w:pos="3600"/>
        </w:tabs>
        <w:rPr>
          <w:rFonts w:ascii="Book Antiqua" w:hAnsi="Book Antiqua"/>
          <w:szCs w:val="24"/>
        </w:rPr>
      </w:pPr>
      <w:r w:rsidRPr="009755A5">
        <w:rPr>
          <w:rFonts w:ascii="Book Antiqua" w:hAnsi="Book Antiqua"/>
          <w:szCs w:val="24"/>
        </w:rPr>
        <w:tab/>
        <w:t>Administrative Law Judge Division</w:t>
      </w:r>
    </w:p>
    <w:p w:rsidRPr="009755A5" w:rsidR="00BE1D69" w:rsidP="009755A5" w:rsidRDefault="00F04B30" w14:paraId="62AD9F6D" w14:textId="4F4C1E73">
      <w:pPr>
        <w:tabs>
          <w:tab w:val="left" w:pos="3600"/>
        </w:tabs>
        <w:rPr>
          <w:rFonts w:ascii="Book Antiqua" w:hAnsi="Book Antiqua"/>
          <w:szCs w:val="24"/>
        </w:rPr>
      </w:pPr>
      <w:r w:rsidRPr="009755A5">
        <w:rPr>
          <w:rFonts w:ascii="Book Antiqua" w:hAnsi="Book Antiqua"/>
          <w:szCs w:val="24"/>
        </w:rPr>
        <w:tab/>
      </w:r>
      <w:r w:rsidR="00317304">
        <w:rPr>
          <w:rFonts w:ascii="Book Antiqua" w:hAnsi="Book Antiqua"/>
          <w:szCs w:val="24"/>
        </w:rPr>
        <w:t>Date</w:t>
      </w:r>
      <w:r w:rsidR="00EA1C00">
        <w:rPr>
          <w:rFonts w:ascii="Book Antiqua" w:hAnsi="Book Antiqua"/>
          <w:szCs w:val="24"/>
        </w:rPr>
        <w:t>: April 30, 2026</w:t>
      </w:r>
    </w:p>
    <w:p w:rsidR="00B878E8" w:rsidRDefault="00B878E8" w14:paraId="0BB60DE9" w14:textId="77777777"/>
    <w:p w:rsidR="005B113F" w:rsidRDefault="00F04B30" w14:paraId="2664356A" w14:textId="77777777">
      <w:pPr>
        <w:jc w:val="center"/>
        <w:rPr>
          <w:rFonts w:ascii="Helvetica" w:hAnsi="Helvetica"/>
          <w:b/>
          <w:u w:val="single"/>
        </w:rPr>
      </w:pPr>
      <w:r>
        <w:rPr>
          <w:rFonts w:ascii="Helvetica" w:hAnsi="Helvetica"/>
          <w:b/>
          <w:u w:val="single"/>
        </w:rPr>
        <w:t>R</w:t>
      </w:r>
      <w:r>
        <w:rPr>
          <w:rFonts w:ascii="Helvetica" w:hAnsi="Helvetica"/>
          <w:b/>
        </w:rPr>
        <w:t xml:space="preserve"> </w:t>
      </w:r>
      <w:r>
        <w:rPr>
          <w:rFonts w:ascii="Helvetica" w:hAnsi="Helvetica"/>
          <w:b/>
          <w:u w:val="single"/>
        </w:rPr>
        <w:t>E</w:t>
      </w:r>
      <w:r>
        <w:rPr>
          <w:rFonts w:ascii="Helvetica" w:hAnsi="Helvetica"/>
          <w:b/>
        </w:rPr>
        <w:t xml:space="preserve"> </w:t>
      </w:r>
      <w:r>
        <w:rPr>
          <w:rFonts w:ascii="Helvetica" w:hAnsi="Helvetica"/>
          <w:b/>
          <w:u w:val="single"/>
        </w:rPr>
        <w:t>S</w:t>
      </w:r>
      <w:r>
        <w:rPr>
          <w:rFonts w:ascii="Helvetica" w:hAnsi="Helvetica"/>
          <w:b/>
        </w:rPr>
        <w:t xml:space="preserve"> </w:t>
      </w:r>
      <w:r>
        <w:rPr>
          <w:rFonts w:ascii="Helvetica" w:hAnsi="Helvetica"/>
          <w:b/>
          <w:u w:val="single"/>
        </w:rPr>
        <w:t>O</w:t>
      </w:r>
      <w:r>
        <w:rPr>
          <w:rFonts w:ascii="Helvetica" w:hAnsi="Helvetica"/>
          <w:b/>
        </w:rPr>
        <w:t xml:space="preserve"> </w:t>
      </w:r>
      <w:r>
        <w:rPr>
          <w:rFonts w:ascii="Helvetica" w:hAnsi="Helvetica"/>
          <w:b/>
          <w:u w:val="single"/>
        </w:rPr>
        <w:t>L</w:t>
      </w:r>
      <w:r>
        <w:rPr>
          <w:rFonts w:ascii="Helvetica" w:hAnsi="Helvetica"/>
          <w:b/>
        </w:rPr>
        <w:t xml:space="preserve"> </w:t>
      </w:r>
      <w:r>
        <w:rPr>
          <w:rFonts w:ascii="Helvetica" w:hAnsi="Helvetica"/>
          <w:b/>
          <w:u w:val="single"/>
        </w:rPr>
        <w:t>U</w:t>
      </w:r>
      <w:r>
        <w:rPr>
          <w:rFonts w:ascii="Helvetica" w:hAnsi="Helvetica"/>
          <w:b/>
        </w:rPr>
        <w:t xml:space="preserve"> </w:t>
      </w:r>
      <w:r>
        <w:rPr>
          <w:rFonts w:ascii="Helvetica" w:hAnsi="Helvetica"/>
          <w:b/>
          <w:u w:val="single"/>
        </w:rPr>
        <w:t>T</w:t>
      </w:r>
      <w:r>
        <w:rPr>
          <w:rFonts w:ascii="Helvetica" w:hAnsi="Helvetica"/>
          <w:b/>
        </w:rPr>
        <w:t xml:space="preserve"> </w:t>
      </w:r>
      <w:r>
        <w:rPr>
          <w:rFonts w:ascii="Helvetica" w:hAnsi="Helvetica"/>
          <w:b/>
          <w:u w:val="single"/>
        </w:rPr>
        <w:t>I</w:t>
      </w:r>
      <w:r>
        <w:rPr>
          <w:rFonts w:ascii="Helvetica" w:hAnsi="Helvetica"/>
          <w:b/>
        </w:rPr>
        <w:t xml:space="preserve"> </w:t>
      </w:r>
      <w:r>
        <w:rPr>
          <w:rFonts w:ascii="Helvetica" w:hAnsi="Helvetica"/>
          <w:b/>
          <w:u w:val="single"/>
        </w:rPr>
        <w:t>O</w:t>
      </w:r>
      <w:r>
        <w:rPr>
          <w:rFonts w:ascii="Helvetica" w:hAnsi="Helvetica"/>
          <w:b/>
        </w:rPr>
        <w:t xml:space="preserve"> </w:t>
      </w:r>
      <w:r>
        <w:rPr>
          <w:rFonts w:ascii="Helvetica" w:hAnsi="Helvetica"/>
          <w:b/>
          <w:u w:val="single"/>
        </w:rPr>
        <w:t>N</w:t>
      </w:r>
    </w:p>
    <w:p w:rsidR="005B113F" w:rsidRDefault="005B113F" w14:paraId="6D61F866" w14:textId="77777777">
      <w:pPr>
        <w:jc w:val="center"/>
      </w:pPr>
    </w:p>
    <w:p w:rsidR="005B113F" w:rsidRDefault="005B113F" w14:paraId="6283598A" w14:textId="77777777"/>
    <w:p w:rsidRPr="00A14B76" w:rsidR="005B113F" w:rsidRDefault="00F04B30" w14:paraId="640EDFF8" w14:textId="38C3415B">
      <w:pPr>
        <w:pStyle w:val="BlockText"/>
        <w:rPr>
          <w:rFonts w:ascii="Book Antiqua" w:hAnsi="Book Antiqua"/>
        </w:rPr>
      </w:pPr>
      <w:r w:rsidRPr="00A14B76">
        <w:rPr>
          <w:rFonts w:ascii="Book Antiqua" w:hAnsi="Book Antiqua"/>
        </w:rPr>
        <w:t>RESOLUTION ALJ</w:t>
      </w:r>
      <w:r w:rsidR="00EA1C00">
        <w:rPr>
          <w:rFonts w:ascii="Book Antiqua" w:hAnsi="Book Antiqua"/>
        </w:rPr>
        <w:t xml:space="preserve"> </w:t>
      </w:r>
      <w:r w:rsidRPr="00EA1C00" w:rsidR="00EA1C00">
        <w:rPr>
          <w:rFonts w:ascii="Book Antiqua" w:hAnsi="Book Antiqua"/>
        </w:rPr>
        <w:t>176-3580</w:t>
      </w:r>
      <w:r w:rsidRPr="00A14B76">
        <w:rPr>
          <w:rFonts w:ascii="Book Antiqua" w:hAnsi="Book Antiqua"/>
        </w:rPr>
        <w:t>.  Preliminary determinations of category for proceedings initiated by application pursuant to Rule 7.1 of the Commission’s Rules of Practice and Procedure.</w:t>
      </w:r>
    </w:p>
    <w:p w:rsidR="005B113F" w:rsidRDefault="00F04B30" w14:paraId="546B6D01" w14:textId="77777777">
      <w:pPr>
        <w:tabs>
          <w:tab w:val="right" w:pos="8550"/>
        </w:tabs>
        <w:ind w:left="720" w:right="720"/>
      </w:pPr>
      <w:r>
        <w:rPr>
          <w:u w:val="single"/>
        </w:rPr>
        <w:tab/>
      </w:r>
    </w:p>
    <w:p w:rsidR="005B113F" w:rsidRDefault="005B113F" w14:paraId="38419C93" w14:textId="77777777"/>
    <w:p w:rsidR="005B113F" w:rsidRDefault="005B113F" w14:paraId="48208BBE" w14:textId="77777777"/>
    <w:p w:rsidRPr="00A14B76" w:rsidR="005B113F" w:rsidRDefault="00F04B30" w14:paraId="239DD7C9" w14:textId="27DB68FA">
      <w:pPr>
        <w:rPr>
          <w:rFonts w:ascii="Book Antiqua" w:hAnsi="Book Antiqua"/>
        </w:rPr>
      </w:pPr>
      <w:r w:rsidRPr="00A14B76">
        <w:rPr>
          <w:rFonts w:ascii="Book Antiqua" w:hAnsi="Book Antiqua"/>
        </w:rPr>
        <w:t xml:space="preserve">Senate Bill (SB) 960 (Leonard, </w:t>
      </w:r>
      <w:proofErr w:type="spellStart"/>
      <w:r w:rsidRPr="00A14B76">
        <w:rPr>
          <w:rFonts w:ascii="Book Antiqua" w:hAnsi="Book Antiqua"/>
        </w:rPr>
        <w:t>ch.</w:t>
      </w:r>
      <w:proofErr w:type="spellEnd"/>
      <w:r w:rsidRPr="00A14B76">
        <w:rPr>
          <w:rFonts w:ascii="Book Antiqua" w:hAnsi="Book Antiqua"/>
        </w:rPr>
        <w:t xml:space="preserve"> 96-0856) requires, among other things, that the Commission categorize proceedings for purposes of determining the applicable restrictions on ex </w:t>
      </w:r>
      <w:proofErr w:type="spellStart"/>
      <w:r w:rsidRPr="00A14B76">
        <w:rPr>
          <w:rFonts w:ascii="Book Antiqua" w:hAnsi="Book Antiqua"/>
        </w:rPr>
        <w:t>parte</w:t>
      </w:r>
      <w:proofErr w:type="spellEnd"/>
      <w:r w:rsidRPr="00A14B76">
        <w:rPr>
          <w:rFonts w:ascii="Book Antiqua" w:hAnsi="Book Antiqua"/>
        </w:rPr>
        <w:t xml:space="preserve"> communications and other applicable rules.  The rules implementing these requirements are found, for the most part, in Articles 7 and 8 of the Commission’s Rules of Practice and Procedure.</w:t>
      </w:r>
    </w:p>
    <w:p w:rsidRPr="00A14B76" w:rsidR="005B113F" w:rsidRDefault="005B113F" w14:paraId="796BF2BD" w14:textId="77777777">
      <w:pPr>
        <w:rPr>
          <w:rFonts w:ascii="Book Antiqua" w:hAnsi="Book Antiqua"/>
        </w:rPr>
      </w:pPr>
    </w:p>
    <w:p w:rsidRPr="00A14B76" w:rsidR="005B113F" w:rsidRDefault="00F04B30" w14:paraId="3D4C29C2" w14:textId="33CE0260">
      <w:pPr>
        <w:rPr>
          <w:rFonts w:ascii="Book Antiqua" w:hAnsi="Book Antiqua"/>
        </w:rPr>
      </w:pPr>
      <w:r w:rsidRPr="00A14B76">
        <w:rPr>
          <w:rFonts w:ascii="Book Antiqua" w:hAnsi="Book Antiqua"/>
        </w:rPr>
        <w:t>Rule 7.1 requires the Commission to preliminarily determine, for a proceeding initiated by application, the proceeding’s category</w:t>
      </w:r>
      <w:r w:rsidRPr="00A14B76" w:rsidR="001B116D">
        <w:rPr>
          <w:rFonts w:ascii="Book Antiqua" w:hAnsi="Book Antiqua"/>
        </w:rPr>
        <w:t>.</w:t>
      </w:r>
      <w:r w:rsidRPr="00A14B76">
        <w:rPr>
          <w:rFonts w:ascii="Book Antiqua" w:hAnsi="Book Antiqua"/>
        </w:rPr>
        <w:t xml:space="preserve">  The Commission has reviewed the initial pleading of the utility applicants and makes the preliminary determinations of category as shown in the attached Preliminary Determination Schedule, consistent with the requirements of Rule 7.1.</w:t>
      </w:r>
    </w:p>
    <w:p w:rsidRPr="00A14B76" w:rsidR="005B113F" w:rsidRDefault="005B113F" w14:paraId="2DEABCF0" w14:textId="77777777">
      <w:pPr>
        <w:rPr>
          <w:rFonts w:ascii="Book Antiqua" w:hAnsi="Book Antiqua"/>
        </w:rPr>
      </w:pPr>
    </w:p>
    <w:p w:rsidRPr="00A14B76" w:rsidR="005B113F" w:rsidRDefault="00F04B30" w14:paraId="215F0547" w14:textId="77777777">
      <w:pPr>
        <w:rPr>
          <w:rFonts w:ascii="Book Antiqua" w:hAnsi="Book Antiqua"/>
        </w:rPr>
      </w:pPr>
      <w:r w:rsidRPr="00A14B76">
        <w:rPr>
          <w:rFonts w:ascii="Book Antiqua" w:hAnsi="Book Antiqua"/>
        </w:rPr>
        <w:t>No public review or comment is required for this resolution pursuant to Rule 14.7.</w:t>
      </w:r>
    </w:p>
    <w:p w:rsidRPr="00A14B76" w:rsidR="005B113F" w:rsidRDefault="005B113F" w14:paraId="555A3036" w14:textId="77777777">
      <w:pPr>
        <w:rPr>
          <w:rFonts w:ascii="Book Antiqua" w:hAnsi="Book Antiqua"/>
        </w:rPr>
      </w:pPr>
    </w:p>
    <w:p w:rsidRPr="00A14B76" w:rsidR="005B113F" w:rsidRDefault="00F04B30" w14:paraId="7FF86307" w14:textId="77777777">
      <w:pPr>
        <w:rPr>
          <w:rFonts w:ascii="Book Antiqua" w:hAnsi="Book Antiqua"/>
        </w:rPr>
      </w:pPr>
      <w:r w:rsidRPr="00A14B76">
        <w:rPr>
          <w:rFonts w:ascii="Book Antiqua" w:hAnsi="Book Antiqua"/>
          <w:b/>
        </w:rPr>
        <w:t>IT IS ORDERED</w:t>
      </w:r>
      <w:r w:rsidRPr="00A14B76">
        <w:rPr>
          <w:rFonts w:ascii="Book Antiqua" w:hAnsi="Book Antiqua"/>
        </w:rPr>
        <w:t xml:space="preserve"> that:</w:t>
      </w:r>
    </w:p>
    <w:p w:rsidRPr="00A14B76" w:rsidR="005B113F" w:rsidRDefault="005B113F" w14:paraId="76FBF475" w14:textId="77777777">
      <w:pPr>
        <w:rPr>
          <w:rFonts w:ascii="Book Antiqua" w:hAnsi="Book Antiqua"/>
        </w:rPr>
      </w:pPr>
    </w:p>
    <w:p w:rsidRPr="00A14B76" w:rsidR="005B113F" w:rsidRDefault="00F04B30" w14:paraId="3ADE2284" w14:textId="013DE902">
      <w:pPr>
        <w:pStyle w:val="num1"/>
        <w:numPr>
          <w:ilvl w:val="0"/>
          <w:numId w:val="2"/>
        </w:numPr>
        <w:tabs>
          <w:tab w:val="left" w:pos="360"/>
        </w:tabs>
        <w:spacing w:after="120" w:line="240" w:lineRule="auto"/>
        <w:ind w:left="0" w:firstLine="0"/>
        <w:rPr>
          <w:rFonts w:ascii="Book Antiqua" w:hAnsi="Book Antiqua"/>
          <w:sz w:val="24"/>
          <w:szCs w:val="24"/>
        </w:rPr>
      </w:pPr>
      <w:r w:rsidRPr="00A14B76">
        <w:rPr>
          <w:rFonts w:ascii="Book Antiqua" w:hAnsi="Book Antiqua"/>
          <w:sz w:val="24"/>
          <w:szCs w:val="24"/>
        </w:rPr>
        <w:t>The category for each proceeding initiated by application listed in the attached Schedule of Preliminary Determinations are preliminarily determined, as noted.</w:t>
      </w:r>
    </w:p>
    <w:p w:rsidRPr="00A14B76" w:rsidR="005B113F" w:rsidRDefault="00F04B30" w14:paraId="76DEFF16" w14:textId="77777777">
      <w:pPr>
        <w:pStyle w:val="num1"/>
        <w:keepNext/>
        <w:numPr>
          <w:ilvl w:val="0"/>
          <w:numId w:val="2"/>
        </w:numPr>
        <w:tabs>
          <w:tab w:val="left" w:pos="360"/>
        </w:tabs>
        <w:spacing w:after="120" w:line="240" w:lineRule="auto"/>
        <w:ind w:left="0" w:firstLine="0"/>
        <w:rPr>
          <w:rFonts w:ascii="Book Antiqua" w:hAnsi="Book Antiqua"/>
          <w:sz w:val="24"/>
          <w:szCs w:val="24"/>
        </w:rPr>
      </w:pPr>
      <w:r w:rsidRPr="00A14B76">
        <w:rPr>
          <w:rFonts w:ascii="Book Antiqua" w:hAnsi="Book Antiqua"/>
          <w:sz w:val="24"/>
          <w:szCs w:val="24"/>
        </w:rPr>
        <w:lastRenderedPageBreak/>
        <w:t>This resolution is effective today.</w:t>
      </w:r>
    </w:p>
    <w:p w:rsidRPr="00A14B76" w:rsidR="005B113F" w:rsidRDefault="005B113F" w14:paraId="63ECE6BA" w14:textId="77777777">
      <w:pPr>
        <w:keepNext/>
        <w:rPr>
          <w:rFonts w:ascii="Book Antiqua" w:hAnsi="Book Antiqua"/>
        </w:rPr>
      </w:pPr>
    </w:p>
    <w:p w:rsidRPr="008C1693" w:rsidR="005B113F" w:rsidRDefault="00F04B30" w14:paraId="125C5174" w14:textId="306A2F42">
      <w:pPr>
        <w:keepNext/>
        <w:rPr>
          <w:rFonts w:ascii="Book Antiqua" w:hAnsi="Book Antiqua"/>
        </w:rPr>
      </w:pPr>
      <w:r w:rsidRPr="00A14B76">
        <w:rPr>
          <w:rFonts w:ascii="Book Antiqua" w:hAnsi="Book Antiqua"/>
        </w:rPr>
        <w:t xml:space="preserve">I </w:t>
      </w:r>
      <w:r w:rsidRPr="008C1693">
        <w:rPr>
          <w:rFonts w:ascii="Book Antiqua" w:hAnsi="Book Antiqua"/>
        </w:rPr>
        <w:t xml:space="preserve">certify that the foregoing resolution was duly introduced, passed, and adopted at a conference of the Public Utilities Commission of the State of California held on </w:t>
      </w:r>
      <w:r w:rsidR="006B4128">
        <w:rPr>
          <w:rFonts w:ascii="Book Antiqua" w:hAnsi="Book Antiqua"/>
        </w:rPr>
        <w:t>April 30</w:t>
      </w:r>
      <w:r w:rsidR="00840228">
        <w:rPr>
          <w:rFonts w:ascii="Book Antiqua" w:hAnsi="Book Antiqua"/>
        </w:rPr>
        <w:t>, 2026</w:t>
      </w:r>
      <w:r w:rsidRPr="00AC3D70">
        <w:rPr>
          <w:rFonts w:ascii="Book Antiqua" w:hAnsi="Book Antiqua"/>
        </w:rPr>
        <w:t>, the</w:t>
      </w:r>
      <w:r w:rsidRPr="008C1693">
        <w:rPr>
          <w:rFonts w:ascii="Book Antiqua" w:hAnsi="Book Antiqua"/>
        </w:rPr>
        <w:t xml:space="preserve"> following Commissioners voting favorably thereon:</w:t>
      </w:r>
    </w:p>
    <w:p w:rsidRPr="008C1693" w:rsidR="00FD3B90" w:rsidP="008C1693" w:rsidRDefault="00FD3B90" w14:paraId="610A3B38" w14:textId="77777777">
      <w:pPr>
        <w:spacing w:line="360" w:lineRule="auto"/>
        <w:rPr>
          <w:rFonts w:ascii="Book Antiqua" w:hAnsi="Book Antiqua"/>
        </w:rPr>
      </w:pPr>
    </w:p>
    <w:p w:rsidRPr="006B4128" w:rsidR="006B4128" w:rsidP="006B4128" w:rsidRDefault="00840228" w14:paraId="13079033" w14:textId="77777777">
      <w:pPr>
        <w:autoSpaceDE w:val="0"/>
        <w:autoSpaceDN w:val="0"/>
        <w:adjustRightInd w:val="0"/>
        <w:ind w:left="3600" w:firstLine="720"/>
        <w:jc w:val="both"/>
        <w:rPr>
          <w:rFonts w:ascii="Book Antiqua" w:hAnsi="Book Antiqua" w:eastAsia="Calibri"/>
          <w:sz w:val="26"/>
        </w:rPr>
      </w:pPr>
      <w:r>
        <w:rPr>
          <w:rFonts w:ascii="Book Antiqua" w:hAnsi="Book Antiqua"/>
          <w:szCs w:val="24"/>
        </w:rPr>
        <w:tab/>
      </w:r>
      <w:r w:rsidRPr="006B4128" w:rsidR="006B4128">
        <w:rPr>
          <w:rFonts w:ascii="Book Antiqua" w:hAnsi="Book Antiqua" w:eastAsia="Calibri"/>
          <w:sz w:val="26"/>
        </w:rPr>
        <w:t>JOHN REYNOLDS</w:t>
      </w:r>
    </w:p>
    <w:p w:rsidRPr="006B4128" w:rsidR="006B4128" w:rsidP="006B4128" w:rsidRDefault="006B4128" w14:paraId="24339F9D" w14:textId="3DDADD1E">
      <w:pPr>
        <w:autoSpaceDE w:val="0"/>
        <w:autoSpaceDN w:val="0"/>
        <w:adjustRightInd w:val="0"/>
        <w:ind w:firstLine="720"/>
        <w:jc w:val="both"/>
        <w:rPr>
          <w:rFonts w:ascii="Book Antiqua" w:hAnsi="Book Antiqua" w:eastAsia="Calibri"/>
          <w:sz w:val="26"/>
        </w:rPr>
      </w:pPr>
      <w:r w:rsidRPr="006B4128">
        <w:rPr>
          <w:rFonts w:ascii="Book Antiqua" w:hAnsi="Book Antiqua" w:eastAsia="Calibri"/>
          <w:sz w:val="26"/>
        </w:rPr>
        <w:tab/>
      </w:r>
      <w:r w:rsidRPr="006B4128">
        <w:rPr>
          <w:rFonts w:ascii="Book Antiqua" w:hAnsi="Book Antiqua" w:eastAsia="Calibri"/>
          <w:sz w:val="26"/>
        </w:rPr>
        <w:tab/>
      </w:r>
      <w:r w:rsidRPr="006B4128">
        <w:rPr>
          <w:rFonts w:ascii="Book Antiqua" w:hAnsi="Book Antiqua" w:eastAsia="Calibri"/>
          <w:sz w:val="26"/>
        </w:rPr>
        <w:tab/>
      </w:r>
      <w:r w:rsidRPr="006B4128">
        <w:rPr>
          <w:rFonts w:ascii="Book Antiqua" w:hAnsi="Book Antiqua" w:eastAsia="Calibri"/>
          <w:sz w:val="26"/>
        </w:rPr>
        <w:tab/>
      </w:r>
      <w:r w:rsidRPr="006B4128">
        <w:rPr>
          <w:rFonts w:ascii="Book Antiqua" w:hAnsi="Book Antiqua" w:eastAsia="Calibri"/>
          <w:sz w:val="26"/>
        </w:rPr>
        <w:tab/>
        <w:t xml:space="preserve">                       </w:t>
      </w:r>
      <w:r>
        <w:rPr>
          <w:rFonts w:ascii="Book Antiqua" w:hAnsi="Book Antiqua" w:eastAsia="Calibri"/>
          <w:sz w:val="26"/>
        </w:rPr>
        <w:tab/>
      </w:r>
      <w:r w:rsidRPr="006B4128">
        <w:rPr>
          <w:rFonts w:ascii="Book Antiqua" w:hAnsi="Book Antiqua" w:eastAsia="Calibri"/>
          <w:sz w:val="26"/>
        </w:rPr>
        <w:t>President</w:t>
      </w:r>
    </w:p>
    <w:p w:rsidRPr="006B4128" w:rsidR="006B4128" w:rsidP="006B4128" w:rsidRDefault="006B4128" w14:paraId="6B7F0E84" w14:textId="77777777">
      <w:pPr>
        <w:autoSpaceDE w:val="0"/>
        <w:autoSpaceDN w:val="0"/>
        <w:adjustRightInd w:val="0"/>
        <w:ind w:left="4320" w:firstLine="720"/>
        <w:jc w:val="both"/>
        <w:rPr>
          <w:rFonts w:ascii="Book Antiqua" w:hAnsi="Book Antiqua" w:eastAsia="Calibri"/>
          <w:sz w:val="26"/>
        </w:rPr>
      </w:pPr>
      <w:r w:rsidRPr="006B4128">
        <w:rPr>
          <w:rFonts w:ascii="Book Antiqua" w:hAnsi="Book Antiqua" w:eastAsia="Calibri"/>
          <w:sz w:val="26"/>
        </w:rPr>
        <w:t>DARCIE L. HOUCK</w:t>
      </w:r>
    </w:p>
    <w:p w:rsidRPr="006B4128" w:rsidR="006B4128" w:rsidP="006B4128" w:rsidRDefault="006B4128" w14:paraId="045CDEE9" w14:textId="77777777">
      <w:pPr>
        <w:autoSpaceDE w:val="0"/>
        <w:autoSpaceDN w:val="0"/>
        <w:adjustRightInd w:val="0"/>
        <w:ind w:left="4320" w:firstLine="720"/>
        <w:jc w:val="both"/>
        <w:rPr>
          <w:rFonts w:ascii="Book Antiqua" w:hAnsi="Book Antiqua" w:cs="Calibri"/>
          <w:color w:val="000000"/>
          <w:sz w:val="26"/>
          <w:szCs w:val="26"/>
        </w:rPr>
      </w:pPr>
      <w:r w:rsidRPr="006B4128">
        <w:rPr>
          <w:rFonts w:ascii="Book Antiqua" w:hAnsi="Book Antiqua" w:cs="Calibri"/>
          <w:color w:val="000000"/>
          <w:sz w:val="26"/>
          <w:szCs w:val="26"/>
        </w:rPr>
        <w:t>KAREN DOUGLAS</w:t>
      </w:r>
    </w:p>
    <w:p w:rsidRPr="006B4128" w:rsidR="006B4128" w:rsidP="006B4128" w:rsidRDefault="006B4128" w14:paraId="79E034FB" w14:textId="77777777">
      <w:pPr>
        <w:autoSpaceDE w:val="0"/>
        <w:autoSpaceDN w:val="0"/>
        <w:adjustRightInd w:val="0"/>
        <w:ind w:left="4320" w:firstLine="720"/>
        <w:jc w:val="both"/>
        <w:rPr>
          <w:rFonts w:ascii="Book Antiqua" w:hAnsi="Book Antiqua" w:cs="Calibri"/>
          <w:color w:val="000000"/>
          <w:sz w:val="26"/>
          <w:szCs w:val="26"/>
        </w:rPr>
      </w:pPr>
      <w:r w:rsidRPr="006B4128">
        <w:rPr>
          <w:rFonts w:ascii="Book Antiqua" w:hAnsi="Book Antiqua" w:cs="Calibri"/>
          <w:color w:val="000000"/>
          <w:sz w:val="26"/>
          <w:szCs w:val="26"/>
        </w:rPr>
        <w:t>MATTHEW BAKER</w:t>
      </w:r>
    </w:p>
    <w:p w:rsidRPr="006B4128" w:rsidR="006B4128" w:rsidP="006B4128" w:rsidRDefault="006B4128" w14:paraId="295D850F" w14:textId="77777777">
      <w:pPr>
        <w:autoSpaceDE w:val="0"/>
        <w:autoSpaceDN w:val="0"/>
        <w:adjustRightInd w:val="0"/>
        <w:ind w:left="4320" w:firstLine="720"/>
        <w:jc w:val="both"/>
        <w:rPr>
          <w:rFonts w:ascii="Book Antiqua" w:hAnsi="Book Antiqua" w:eastAsia="Calibri"/>
          <w:sz w:val="26"/>
        </w:rPr>
      </w:pPr>
      <w:r w:rsidRPr="006B4128">
        <w:rPr>
          <w:rFonts w:ascii="Book Antiqua" w:hAnsi="Book Antiqua" w:eastAsia="Calibri"/>
          <w:sz w:val="26"/>
        </w:rPr>
        <w:t>CHRISTINE HARADA</w:t>
      </w:r>
    </w:p>
    <w:p w:rsidRPr="006B4128" w:rsidR="006B4128" w:rsidP="006B4128" w:rsidRDefault="006B4128" w14:paraId="03C65E4E" w14:textId="1061A6C3">
      <w:pPr>
        <w:autoSpaceDE w:val="0"/>
        <w:autoSpaceDN w:val="0"/>
        <w:adjustRightInd w:val="0"/>
        <w:ind w:left="4320" w:firstLine="720"/>
        <w:jc w:val="both"/>
        <w:rPr>
          <w:rFonts w:ascii="Book Antiqua" w:hAnsi="Book Antiqua" w:eastAsia="Calibri"/>
          <w:sz w:val="26"/>
        </w:rPr>
      </w:pPr>
      <w:r w:rsidRPr="006B4128">
        <w:rPr>
          <w:rFonts w:ascii="Book Antiqua" w:hAnsi="Book Antiqua" w:eastAsia="Calibri"/>
          <w:sz w:val="26"/>
        </w:rPr>
        <w:t xml:space="preserve">            </w:t>
      </w:r>
      <w:r>
        <w:rPr>
          <w:rFonts w:ascii="Book Antiqua" w:hAnsi="Book Antiqua" w:eastAsia="Calibri"/>
          <w:sz w:val="26"/>
        </w:rPr>
        <w:tab/>
      </w:r>
      <w:r w:rsidRPr="006B4128">
        <w:rPr>
          <w:rFonts w:ascii="Book Antiqua" w:hAnsi="Book Antiqua" w:eastAsia="Calibri"/>
          <w:sz w:val="26"/>
        </w:rPr>
        <w:t>Commissioners</w:t>
      </w:r>
    </w:p>
    <w:p w:rsidRPr="00A77D50" w:rsidR="00A77D50" w:rsidP="006B4128" w:rsidRDefault="00A77D50" w14:paraId="29C6DB3F" w14:textId="6C1C7F3F">
      <w:pPr>
        <w:pStyle w:val="standard"/>
        <w:tabs>
          <w:tab w:val="left" w:pos="3510"/>
        </w:tabs>
        <w:spacing w:line="240" w:lineRule="auto"/>
        <w:ind w:left="3690"/>
        <w:rPr>
          <w:rFonts w:ascii="Book Antiqua" w:hAnsi="Book Antiqua"/>
          <w:szCs w:val="24"/>
        </w:rPr>
      </w:pPr>
    </w:p>
    <w:p w:rsidRPr="008C1693" w:rsidR="003417D7" w:rsidP="00A77D50" w:rsidRDefault="003417D7" w14:paraId="560044A7" w14:textId="77777777">
      <w:pPr>
        <w:pStyle w:val="standard"/>
        <w:tabs>
          <w:tab w:val="left" w:pos="3510"/>
        </w:tabs>
        <w:spacing w:line="240" w:lineRule="auto"/>
        <w:ind w:left="3690" w:firstLine="0"/>
        <w:rPr>
          <w:rFonts w:ascii="Book Antiqua" w:hAnsi="Book Antiqua"/>
          <w:sz w:val="26"/>
          <w:szCs w:val="26"/>
        </w:rPr>
      </w:pPr>
    </w:p>
    <w:p w:rsidRPr="008C1693" w:rsidR="003E6E4C" w:rsidP="008C1693" w:rsidRDefault="003E6E4C" w14:paraId="338E8781" w14:textId="77777777">
      <w:pPr>
        <w:spacing w:line="360" w:lineRule="auto"/>
        <w:rPr>
          <w:rFonts w:ascii="Book Antiqua" w:hAnsi="Book Antiqua"/>
        </w:rPr>
      </w:pPr>
    </w:p>
    <w:p w:rsidRPr="00D041B0" w:rsidR="00EB4757" w:rsidP="00D041B0" w:rsidRDefault="00EB4757" w14:paraId="2CF54E3B" w14:textId="77777777">
      <w:pPr>
        <w:sectPr w:rsidRPr="00D041B0" w:rsidR="00EB4757" w:rsidSect="009755A5">
          <w:headerReference w:type="default" r:id="rId7"/>
          <w:footerReference w:type="default" r:id="rId8"/>
          <w:footerReference w:type="first" r:id="rId9"/>
          <w:type w:val="continuous"/>
          <w:pgSz w:w="12240" w:h="15840" w:code="1"/>
          <w:pgMar w:top="1440" w:right="1440" w:bottom="1440" w:left="1440" w:header="720" w:footer="720" w:gutter="0"/>
          <w:cols w:space="720"/>
          <w:titlePg/>
          <w:docGrid w:linePitch="326"/>
        </w:sectPr>
      </w:pPr>
    </w:p>
    <w:tbl>
      <w:tblPr>
        <w:tblW w:w="0" w:type="auto"/>
        <w:tblInd w:w="-8" w:type="dxa"/>
        <w:tblLayout w:type="fixed"/>
        <w:tblCellMar>
          <w:left w:w="115" w:type="dxa"/>
          <w:right w:w="115" w:type="dxa"/>
        </w:tblCellMar>
        <w:tblLook w:val="0000" w:firstRow="0" w:lastRow="0" w:firstColumn="0" w:lastColumn="0" w:noHBand="0" w:noVBand="0"/>
      </w:tblPr>
      <w:tblGrid>
        <w:gridCol w:w="4860"/>
        <w:gridCol w:w="2430"/>
        <w:gridCol w:w="1890"/>
      </w:tblGrid>
      <w:tr w:rsidRPr="006B4128" w:rsidR="006B4128" w:rsidTr="006B4128" w14:paraId="50D82F1C" w14:textId="77777777">
        <w:tc>
          <w:tcPr>
            <w:tcW w:w="486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673D50B6" w14:textId="77777777">
            <w:pPr>
              <w:autoSpaceDE w:val="0"/>
              <w:autoSpaceDN w:val="0"/>
              <w:adjustRightInd w:val="0"/>
              <w:rPr>
                <w:rFonts w:ascii="Times New Roman" w:hAnsi="Times New Roman"/>
                <w:sz w:val="20"/>
                <w14:ligatures w14:val="standardContextual"/>
              </w:rPr>
            </w:pPr>
            <w:r w:rsidRPr="006B4128">
              <w:rPr>
                <w:rFonts w:ascii="Times New Roman" w:hAnsi="Times New Roman"/>
                <w:b/>
                <w:bCs/>
                <w:sz w:val="20"/>
                <w14:ligatures w14:val="standardContextual"/>
              </w:rPr>
              <w:lastRenderedPageBreak/>
              <w:t xml:space="preserve">A26-03-026 </w:t>
            </w:r>
            <w:r w:rsidRPr="006B4128">
              <w:rPr>
                <w:rFonts w:ascii="Times New Roman" w:hAnsi="Times New Roman"/>
                <w:sz w:val="20"/>
                <w14:ligatures w14:val="standardContextual"/>
              </w:rPr>
              <w:br/>
              <w:t>North American Numbering Plan Administrator, Application of the North American Numbering Plan Administrator on Behalf of the California Telecommunications Industry for Relief of the 657/714 Numbering Plan Area.</w:t>
            </w:r>
          </w:p>
        </w:tc>
        <w:tc>
          <w:tcPr>
            <w:tcW w:w="243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364E51D3" w14:textId="77777777">
            <w:pPr>
              <w:autoSpaceDE w:val="0"/>
              <w:autoSpaceDN w:val="0"/>
              <w:adjustRightInd w:val="0"/>
              <w:jc w:val="center"/>
              <w:rPr>
                <w:rFonts w:ascii="Times New Roman" w:hAnsi="Times New Roman"/>
                <w:sz w:val="20"/>
                <w14:ligatures w14:val="standardContextual"/>
              </w:rPr>
            </w:pPr>
            <w:proofErr w:type="spellStart"/>
            <w:r w:rsidRPr="006B4128">
              <w:rPr>
                <w:rFonts w:ascii="Times New Roman" w:hAnsi="Times New Roman"/>
                <w:sz w:val="20"/>
                <w14:ligatures w14:val="standardContextual"/>
              </w:rPr>
              <w:t>Ratesetting</w:t>
            </w:r>
            <w:proofErr w:type="spellEnd"/>
            <w:r w:rsidRPr="006B4128">
              <w:rPr>
                <w:rFonts w:ascii="Times New Roman" w:hAnsi="Times New Roman"/>
                <w:sz w:val="20"/>
                <w14:ligatures w14:val="standardContextual"/>
              </w:rPr>
              <w:t xml:space="preserve"> </w:t>
            </w:r>
          </w:p>
        </w:tc>
        <w:tc>
          <w:tcPr>
            <w:tcW w:w="189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75A5E138" w14:textId="77777777">
            <w:pPr>
              <w:autoSpaceDE w:val="0"/>
              <w:autoSpaceDN w:val="0"/>
              <w:adjustRightInd w:val="0"/>
              <w:jc w:val="center"/>
              <w:rPr>
                <w:rFonts w:ascii="Times New Roman" w:hAnsi="Times New Roman"/>
                <w:sz w:val="20"/>
                <w14:ligatures w14:val="standardContextual"/>
              </w:rPr>
            </w:pPr>
            <w:proofErr w:type="spellStart"/>
            <w:r w:rsidRPr="006B4128">
              <w:rPr>
                <w:rFonts w:ascii="Times New Roman" w:hAnsi="Times New Roman"/>
                <w:sz w:val="20"/>
                <w14:ligatures w14:val="standardContextual"/>
              </w:rPr>
              <w:t>Ratesetting</w:t>
            </w:r>
            <w:proofErr w:type="spellEnd"/>
          </w:p>
        </w:tc>
      </w:tr>
      <w:tr w:rsidRPr="006B4128" w:rsidR="006B4128" w:rsidTr="006B4128" w14:paraId="7380192D" w14:textId="77777777">
        <w:tc>
          <w:tcPr>
            <w:tcW w:w="486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68EBC714" w14:textId="77777777">
            <w:pPr>
              <w:autoSpaceDE w:val="0"/>
              <w:autoSpaceDN w:val="0"/>
              <w:adjustRightInd w:val="0"/>
              <w:rPr>
                <w:rFonts w:ascii="Times New Roman" w:hAnsi="Times New Roman"/>
                <w:sz w:val="20"/>
                <w14:ligatures w14:val="standardContextual"/>
              </w:rPr>
            </w:pPr>
            <w:r w:rsidRPr="006B4128">
              <w:rPr>
                <w:rFonts w:ascii="Times New Roman" w:hAnsi="Times New Roman"/>
                <w:b/>
                <w:bCs/>
                <w:sz w:val="20"/>
                <w14:ligatures w14:val="standardContextual"/>
              </w:rPr>
              <w:t xml:space="preserve">A26-03-027 </w:t>
            </w:r>
            <w:r w:rsidRPr="006B4128">
              <w:rPr>
                <w:rFonts w:ascii="Times New Roman" w:hAnsi="Times New Roman"/>
                <w:sz w:val="20"/>
                <w14:ligatures w14:val="standardContextual"/>
              </w:rPr>
              <w:br/>
              <w:t>The Landline Company, Application of The Landline Company, for authority to operate as a scheduled passenger stage corporation between points to Charles M. Schulz-Sonoma County Airport and San Francisco International Airport and to establish a Zone of Rate Freedom (ZORF) fare structure.</w:t>
            </w:r>
          </w:p>
        </w:tc>
        <w:tc>
          <w:tcPr>
            <w:tcW w:w="243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38413052" w14:textId="77777777">
            <w:pPr>
              <w:autoSpaceDE w:val="0"/>
              <w:autoSpaceDN w:val="0"/>
              <w:adjustRightInd w:val="0"/>
              <w:jc w:val="center"/>
              <w:rPr>
                <w:rFonts w:ascii="Times New Roman" w:hAnsi="Times New Roman"/>
                <w:sz w:val="20"/>
                <w14:ligatures w14:val="standardContextual"/>
              </w:rPr>
            </w:pPr>
            <w:proofErr w:type="spellStart"/>
            <w:r w:rsidRPr="006B4128">
              <w:rPr>
                <w:rFonts w:ascii="Times New Roman" w:hAnsi="Times New Roman"/>
                <w:sz w:val="20"/>
                <w14:ligatures w14:val="standardContextual"/>
              </w:rPr>
              <w:t>Ratesetting</w:t>
            </w:r>
            <w:proofErr w:type="spellEnd"/>
            <w:r w:rsidRPr="006B4128">
              <w:rPr>
                <w:rFonts w:ascii="Times New Roman" w:hAnsi="Times New Roman"/>
                <w:sz w:val="20"/>
                <w14:ligatures w14:val="standardContextual"/>
              </w:rPr>
              <w:t xml:space="preserve"> </w:t>
            </w:r>
          </w:p>
        </w:tc>
        <w:tc>
          <w:tcPr>
            <w:tcW w:w="189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37E77C67" w14:textId="77777777">
            <w:pPr>
              <w:autoSpaceDE w:val="0"/>
              <w:autoSpaceDN w:val="0"/>
              <w:adjustRightInd w:val="0"/>
              <w:jc w:val="center"/>
              <w:rPr>
                <w:rFonts w:ascii="Times New Roman" w:hAnsi="Times New Roman"/>
                <w:sz w:val="20"/>
                <w14:ligatures w14:val="standardContextual"/>
              </w:rPr>
            </w:pPr>
            <w:r w:rsidRPr="006B4128">
              <w:rPr>
                <w:rFonts w:ascii="Times New Roman" w:hAnsi="Times New Roman"/>
                <w:sz w:val="20"/>
                <w14:ligatures w14:val="standardContextual"/>
              </w:rPr>
              <w:t>Not Applicable</w:t>
            </w:r>
          </w:p>
        </w:tc>
      </w:tr>
      <w:tr w:rsidRPr="006B4128" w:rsidR="006B4128" w:rsidTr="006B4128" w14:paraId="0826ECBA" w14:textId="77777777">
        <w:tc>
          <w:tcPr>
            <w:tcW w:w="486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3BC897CD" w14:textId="77777777">
            <w:pPr>
              <w:autoSpaceDE w:val="0"/>
              <w:autoSpaceDN w:val="0"/>
              <w:adjustRightInd w:val="0"/>
              <w:rPr>
                <w:rFonts w:ascii="Times New Roman" w:hAnsi="Times New Roman"/>
                <w:sz w:val="20"/>
                <w14:ligatures w14:val="standardContextual"/>
              </w:rPr>
            </w:pPr>
            <w:r w:rsidRPr="006B4128">
              <w:rPr>
                <w:rFonts w:ascii="Times New Roman" w:hAnsi="Times New Roman"/>
                <w:b/>
                <w:bCs/>
                <w:sz w:val="20"/>
                <w14:ligatures w14:val="standardContextual"/>
              </w:rPr>
              <w:t xml:space="preserve">A26-03-028 </w:t>
            </w:r>
            <w:r w:rsidRPr="006B4128">
              <w:rPr>
                <w:rFonts w:ascii="Times New Roman" w:hAnsi="Times New Roman"/>
                <w:sz w:val="20"/>
                <w14:ligatures w14:val="standardContextual"/>
              </w:rPr>
              <w:br/>
              <w:t>Western Riverside Council of Governments, Application of the Western Riverside Council of Governments for Approval of the Inland Regional Energy Network (CPUC ID 246) 2028-2031 Portfolio Plan and 2032-2035 Business Plan.</w:t>
            </w:r>
          </w:p>
        </w:tc>
        <w:tc>
          <w:tcPr>
            <w:tcW w:w="243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197466DF" w14:textId="77777777">
            <w:pPr>
              <w:autoSpaceDE w:val="0"/>
              <w:autoSpaceDN w:val="0"/>
              <w:adjustRightInd w:val="0"/>
              <w:jc w:val="center"/>
              <w:rPr>
                <w:rFonts w:ascii="Times New Roman" w:hAnsi="Times New Roman"/>
                <w:sz w:val="20"/>
                <w14:ligatures w14:val="standardContextual"/>
              </w:rPr>
            </w:pPr>
            <w:proofErr w:type="spellStart"/>
            <w:r w:rsidRPr="006B4128">
              <w:rPr>
                <w:rFonts w:ascii="Times New Roman" w:hAnsi="Times New Roman"/>
                <w:sz w:val="20"/>
                <w14:ligatures w14:val="standardContextual"/>
              </w:rPr>
              <w:t>Ratesetting</w:t>
            </w:r>
            <w:proofErr w:type="spellEnd"/>
            <w:r w:rsidRPr="006B4128">
              <w:rPr>
                <w:rFonts w:ascii="Times New Roman" w:hAnsi="Times New Roman"/>
                <w:sz w:val="20"/>
                <w14:ligatures w14:val="standardContextual"/>
              </w:rPr>
              <w:t xml:space="preserve"> </w:t>
            </w:r>
          </w:p>
        </w:tc>
        <w:tc>
          <w:tcPr>
            <w:tcW w:w="189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219B32DC" w14:textId="77777777">
            <w:pPr>
              <w:autoSpaceDE w:val="0"/>
              <w:autoSpaceDN w:val="0"/>
              <w:adjustRightInd w:val="0"/>
              <w:jc w:val="center"/>
              <w:rPr>
                <w:rFonts w:ascii="Times New Roman" w:hAnsi="Times New Roman"/>
                <w:sz w:val="20"/>
                <w14:ligatures w14:val="standardContextual"/>
              </w:rPr>
            </w:pPr>
            <w:proofErr w:type="spellStart"/>
            <w:r w:rsidRPr="006B4128">
              <w:rPr>
                <w:rFonts w:ascii="Times New Roman" w:hAnsi="Times New Roman"/>
                <w:sz w:val="20"/>
                <w14:ligatures w14:val="standardContextual"/>
              </w:rPr>
              <w:t>Ratesetting</w:t>
            </w:r>
            <w:proofErr w:type="spellEnd"/>
          </w:p>
        </w:tc>
      </w:tr>
      <w:tr w:rsidRPr="006B4128" w:rsidR="006B4128" w:rsidTr="006B4128" w14:paraId="19F3FDE8" w14:textId="77777777">
        <w:tc>
          <w:tcPr>
            <w:tcW w:w="486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729A27C6" w14:textId="77777777">
            <w:pPr>
              <w:autoSpaceDE w:val="0"/>
              <w:autoSpaceDN w:val="0"/>
              <w:adjustRightInd w:val="0"/>
              <w:rPr>
                <w:rFonts w:ascii="Times New Roman" w:hAnsi="Times New Roman"/>
                <w:sz w:val="20"/>
                <w14:ligatures w14:val="standardContextual"/>
              </w:rPr>
            </w:pPr>
            <w:r w:rsidRPr="006B4128">
              <w:rPr>
                <w:rFonts w:ascii="Times New Roman" w:hAnsi="Times New Roman"/>
                <w:b/>
                <w:bCs/>
                <w:sz w:val="20"/>
                <w14:ligatures w14:val="standardContextual"/>
              </w:rPr>
              <w:t xml:space="preserve">A26-03-030 </w:t>
            </w:r>
            <w:r w:rsidRPr="006B4128">
              <w:rPr>
                <w:rFonts w:ascii="Times New Roman" w:hAnsi="Times New Roman"/>
                <w:sz w:val="20"/>
                <w14:ligatures w14:val="standardContextual"/>
              </w:rPr>
              <w:br/>
              <w:t>Southern California Edison Company, Application of Southern California Edison Company (U338E) for Authorization to Deploy Advanced Metering Infrastructure 2.0 and for Associated Cost Recovery.</w:t>
            </w:r>
          </w:p>
        </w:tc>
        <w:tc>
          <w:tcPr>
            <w:tcW w:w="243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1EF4BD95" w14:textId="77777777">
            <w:pPr>
              <w:autoSpaceDE w:val="0"/>
              <w:autoSpaceDN w:val="0"/>
              <w:adjustRightInd w:val="0"/>
              <w:jc w:val="center"/>
              <w:rPr>
                <w:rFonts w:ascii="Times New Roman" w:hAnsi="Times New Roman"/>
                <w:sz w:val="20"/>
                <w14:ligatures w14:val="standardContextual"/>
              </w:rPr>
            </w:pPr>
            <w:proofErr w:type="spellStart"/>
            <w:r w:rsidRPr="006B4128">
              <w:rPr>
                <w:rFonts w:ascii="Times New Roman" w:hAnsi="Times New Roman"/>
                <w:sz w:val="20"/>
                <w14:ligatures w14:val="standardContextual"/>
              </w:rPr>
              <w:t>Ratesetting</w:t>
            </w:r>
            <w:proofErr w:type="spellEnd"/>
            <w:r w:rsidRPr="006B4128">
              <w:rPr>
                <w:rFonts w:ascii="Times New Roman" w:hAnsi="Times New Roman"/>
                <w:sz w:val="20"/>
                <w14:ligatures w14:val="standardContextual"/>
              </w:rPr>
              <w:t xml:space="preserve"> </w:t>
            </w:r>
          </w:p>
        </w:tc>
        <w:tc>
          <w:tcPr>
            <w:tcW w:w="189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2E19D146" w14:textId="77777777">
            <w:pPr>
              <w:autoSpaceDE w:val="0"/>
              <w:autoSpaceDN w:val="0"/>
              <w:adjustRightInd w:val="0"/>
              <w:jc w:val="center"/>
              <w:rPr>
                <w:rFonts w:ascii="Times New Roman" w:hAnsi="Times New Roman"/>
                <w:sz w:val="20"/>
                <w14:ligatures w14:val="standardContextual"/>
              </w:rPr>
            </w:pPr>
            <w:proofErr w:type="spellStart"/>
            <w:r w:rsidRPr="006B4128">
              <w:rPr>
                <w:rFonts w:ascii="Times New Roman" w:hAnsi="Times New Roman"/>
                <w:sz w:val="20"/>
                <w14:ligatures w14:val="standardContextual"/>
              </w:rPr>
              <w:t>Ratesetting</w:t>
            </w:r>
            <w:proofErr w:type="spellEnd"/>
          </w:p>
        </w:tc>
      </w:tr>
      <w:tr w:rsidRPr="006B4128" w:rsidR="006B4128" w:rsidTr="006B4128" w14:paraId="11C6D7A4" w14:textId="77777777">
        <w:tc>
          <w:tcPr>
            <w:tcW w:w="486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1B5A3BB6" w14:textId="77777777">
            <w:pPr>
              <w:autoSpaceDE w:val="0"/>
              <w:autoSpaceDN w:val="0"/>
              <w:adjustRightInd w:val="0"/>
              <w:rPr>
                <w:rFonts w:ascii="Times New Roman" w:hAnsi="Times New Roman"/>
                <w:sz w:val="20"/>
                <w14:ligatures w14:val="standardContextual"/>
              </w:rPr>
            </w:pPr>
            <w:r w:rsidRPr="006B4128">
              <w:rPr>
                <w:rFonts w:ascii="Times New Roman" w:hAnsi="Times New Roman"/>
                <w:b/>
                <w:bCs/>
                <w:sz w:val="20"/>
                <w14:ligatures w14:val="standardContextual"/>
              </w:rPr>
              <w:t xml:space="preserve">A26-03-031 </w:t>
            </w:r>
            <w:r w:rsidRPr="006B4128">
              <w:rPr>
                <w:rFonts w:ascii="Times New Roman" w:hAnsi="Times New Roman"/>
                <w:sz w:val="20"/>
                <w14:ligatures w14:val="standardContextual"/>
              </w:rPr>
              <w:br/>
              <w:t>Pacific Gas and Electric Company, Application of Pacific Gas and Electric Company to Recover in Customer Rates the Costs to Support Extended Operation of Diablo Canyon Power Plant from January 1 through December 31, 2027, and for Approval of Planned Expenditures of 2027 Volumetric Performance Fee (U39E).</w:t>
            </w:r>
          </w:p>
        </w:tc>
        <w:tc>
          <w:tcPr>
            <w:tcW w:w="243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6FB17AB9" w14:textId="77777777">
            <w:pPr>
              <w:autoSpaceDE w:val="0"/>
              <w:autoSpaceDN w:val="0"/>
              <w:adjustRightInd w:val="0"/>
              <w:jc w:val="center"/>
              <w:rPr>
                <w:rFonts w:ascii="Times New Roman" w:hAnsi="Times New Roman"/>
                <w:sz w:val="20"/>
                <w14:ligatures w14:val="standardContextual"/>
              </w:rPr>
            </w:pPr>
            <w:proofErr w:type="spellStart"/>
            <w:r w:rsidRPr="006B4128">
              <w:rPr>
                <w:rFonts w:ascii="Times New Roman" w:hAnsi="Times New Roman"/>
                <w:sz w:val="20"/>
                <w14:ligatures w14:val="standardContextual"/>
              </w:rPr>
              <w:t>Ratesetting</w:t>
            </w:r>
            <w:proofErr w:type="spellEnd"/>
            <w:r w:rsidRPr="006B4128">
              <w:rPr>
                <w:rFonts w:ascii="Times New Roman" w:hAnsi="Times New Roman"/>
                <w:sz w:val="20"/>
                <w14:ligatures w14:val="standardContextual"/>
              </w:rPr>
              <w:t xml:space="preserve"> </w:t>
            </w:r>
          </w:p>
        </w:tc>
        <w:tc>
          <w:tcPr>
            <w:tcW w:w="189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06BE0199" w14:textId="77777777">
            <w:pPr>
              <w:autoSpaceDE w:val="0"/>
              <w:autoSpaceDN w:val="0"/>
              <w:adjustRightInd w:val="0"/>
              <w:jc w:val="center"/>
              <w:rPr>
                <w:rFonts w:ascii="Times New Roman" w:hAnsi="Times New Roman"/>
                <w:sz w:val="20"/>
                <w14:ligatures w14:val="standardContextual"/>
              </w:rPr>
            </w:pPr>
            <w:proofErr w:type="spellStart"/>
            <w:r w:rsidRPr="006B4128">
              <w:rPr>
                <w:rFonts w:ascii="Times New Roman" w:hAnsi="Times New Roman"/>
                <w:sz w:val="20"/>
                <w14:ligatures w14:val="standardContextual"/>
              </w:rPr>
              <w:t>Ratesetting</w:t>
            </w:r>
            <w:proofErr w:type="spellEnd"/>
          </w:p>
        </w:tc>
      </w:tr>
      <w:tr w:rsidRPr="006B4128" w:rsidR="006B4128" w:rsidTr="006B4128" w14:paraId="63799CAA" w14:textId="77777777">
        <w:tc>
          <w:tcPr>
            <w:tcW w:w="486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09B76479" w14:textId="77777777">
            <w:pPr>
              <w:autoSpaceDE w:val="0"/>
              <w:autoSpaceDN w:val="0"/>
              <w:adjustRightInd w:val="0"/>
              <w:rPr>
                <w:rFonts w:ascii="Times New Roman" w:hAnsi="Times New Roman"/>
                <w:sz w:val="20"/>
                <w14:ligatures w14:val="standardContextual"/>
              </w:rPr>
            </w:pPr>
            <w:r w:rsidRPr="006B4128">
              <w:rPr>
                <w:rFonts w:ascii="Times New Roman" w:hAnsi="Times New Roman"/>
                <w:b/>
                <w:bCs/>
                <w:sz w:val="20"/>
                <w14:ligatures w14:val="standardContextual"/>
              </w:rPr>
              <w:t xml:space="preserve">A26-03-032 </w:t>
            </w:r>
            <w:r w:rsidRPr="006B4128">
              <w:rPr>
                <w:rFonts w:ascii="Times New Roman" w:hAnsi="Times New Roman"/>
                <w:sz w:val="20"/>
                <w14:ligatures w14:val="standardContextual"/>
              </w:rPr>
              <w:br/>
            </w:r>
            <w:proofErr w:type="spellStart"/>
            <w:r w:rsidRPr="006B4128">
              <w:rPr>
                <w:rFonts w:ascii="Times New Roman" w:hAnsi="Times New Roman"/>
                <w:sz w:val="20"/>
                <w14:ligatures w14:val="standardContextual"/>
              </w:rPr>
              <w:t>VoxSierra</w:t>
            </w:r>
            <w:proofErr w:type="spellEnd"/>
            <w:r w:rsidRPr="006B4128">
              <w:rPr>
                <w:rFonts w:ascii="Times New Roman" w:hAnsi="Times New Roman"/>
                <w:sz w:val="20"/>
                <w14:ligatures w14:val="standardContextual"/>
              </w:rPr>
              <w:t xml:space="preserve"> LLC, Application of </w:t>
            </w:r>
            <w:proofErr w:type="spellStart"/>
            <w:r w:rsidRPr="006B4128">
              <w:rPr>
                <w:rFonts w:ascii="Times New Roman" w:hAnsi="Times New Roman"/>
                <w:sz w:val="20"/>
                <w14:ligatures w14:val="standardContextual"/>
              </w:rPr>
              <w:t>VoxSierra</w:t>
            </w:r>
            <w:proofErr w:type="spellEnd"/>
            <w:r w:rsidRPr="006B4128">
              <w:rPr>
                <w:rFonts w:ascii="Times New Roman" w:hAnsi="Times New Roman"/>
                <w:sz w:val="20"/>
                <w14:ligatures w14:val="standardContextual"/>
              </w:rPr>
              <w:t xml:space="preserve"> LLC for Registration as a Telephone Corporation Pursuant to Public Utilities Code Section 1013.</w:t>
            </w:r>
          </w:p>
        </w:tc>
        <w:tc>
          <w:tcPr>
            <w:tcW w:w="243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5B962144" w14:textId="77777777">
            <w:pPr>
              <w:autoSpaceDE w:val="0"/>
              <w:autoSpaceDN w:val="0"/>
              <w:adjustRightInd w:val="0"/>
              <w:jc w:val="center"/>
              <w:rPr>
                <w:rFonts w:ascii="Times New Roman" w:hAnsi="Times New Roman"/>
                <w:sz w:val="20"/>
                <w14:ligatures w14:val="standardContextual"/>
              </w:rPr>
            </w:pPr>
            <w:r w:rsidRPr="006B4128">
              <w:rPr>
                <w:rFonts w:ascii="Times New Roman" w:hAnsi="Times New Roman"/>
                <w:sz w:val="20"/>
                <w14:ligatures w14:val="standardContextual"/>
              </w:rPr>
              <w:t xml:space="preserve">Quasi-legislative </w:t>
            </w:r>
          </w:p>
        </w:tc>
        <w:tc>
          <w:tcPr>
            <w:tcW w:w="189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29870718" w14:textId="77777777">
            <w:pPr>
              <w:autoSpaceDE w:val="0"/>
              <w:autoSpaceDN w:val="0"/>
              <w:adjustRightInd w:val="0"/>
              <w:jc w:val="center"/>
              <w:rPr>
                <w:rFonts w:ascii="Times New Roman" w:hAnsi="Times New Roman"/>
                <w:sz w:val="20"/>
                <w14:ligatures w14:val="standardContextual"/>
              </w:rPr>
            </w:pPr>
            <w:r w:rsidRPr="006B4128">
              <w:rPr>
                <w:rFonts w:ascii="Times New Roman" w:hAnsi="Times New Roman"/>
                <w:sz w:val="20"/>
                <w14:ligatures w14:val="standardContextual"/>
              </w:rPr>
              <w:t>Not Applicable</w:t>
            </w:r>
          </w:p>
        </w:tc>
      </w:tr>
      <w:tr w:rsidRPr="006B4128" w:rsidR="006B4128" w:rsidTr="006B4128" w14:paraId="4FBEE78C" w14:textId="77777777">
        <w:tc>
          <w:tcPr>
            <w:tcW w:w="486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5093EFB8" w14:textId="77777777">
            <w:pPr>
              <w:autoSpaceDE w:val="0"/>
              <w:autoSpaceDN w:val="0"/>
              <w:adjustRightInd w:val="0"/>
              <w:rPr>
                <w:rFonts w:ascii="Times New Roman" w:hAnsi="Times New Roman"/>
                <w:sz w:val="20"/>
                <w14:ligatures w14:val="standardContextual"/>
              </w:rPr>
            </w:pPr>
            <w:r w:rsidRPr="006B4128">
              <w:rPr>
                <w:rFonts w:ascii="Times New Roman" w:hAnsi="Times New Roman"/>
                <w:b/>
                <w:bCs/>
                <w:sz w:val="20"/>
                <w14:ligatures w14:val="standardContextual"/>
              </w:rPr>
              <w:t xml:space="preserve">A26-04-001 </w:t>
            </w:r>
            <w:r w:rsidRPr="006B4128">
              <w:rPr>
                <w:rFonts w:ascii="Times New Roman" w:hAnsi="Times New Roman"/>
                <w:sz w:val="20"/>
                <w14:ligatures w14:val="standardContextual"/>
              </w:rPr>
              <w:br/>
              <w:t xml:space="preserve">Google Fiber Inc., Radiate Holdings, L.P., </w:t>
            </w:r>
            <w:proofErr w:type="spellStart"/>
            <w:r w:rsidRPr="006B4128">
              <w:rPr>
                <w:rFonts w:ascii="Times New Roman" w:hAnsi="Times New Roman"/>
                <w:sz w:val="20"/>
                <w14:ligatures w14:val="standardContextual"/>
              </w:rPr>
              <w:t>Stonepeak</w:t>
            </w:r>
            <w:proofErr w:type="spellEnd"/>
            <w:r w:rsidRPr="006B4128">
              <w:rPr>
                <w:rFonts w:ascii="Times New Roman" w:hAnsi="Times New Roman"/>
                <w:sz w:val="20"/>
                <w14:ligatures w14:val="standardContextual"/>
              </w:rPr>
              <w:t xml:space="preserve"> Associates IV LLC, In the Matter of the Joint Application of </w:t>
            </w:r>
            <w:proofErr w:type="spellStart"/>
            <w:r w:rsidRPr="006B4128">
              <w:rPr>
                <w:rFonts w:ascii="Times New Roman" w:hAnsi="Times New Roman"/>
                <w:sz w:val="20"/>
                <w14:ligatures w14:val="standardContextual"/>
              </w:rPr>
              <w:t>Stonepeak</w:t>
            </w:r>
            <w:proofErr w:type="spellEnd"/>
            <w:r w:rsidRPr="006B4128">
              <w:rPr>
                <w:rFonts w:ascii="Times New Roman" w:hAnsi="Times New Roman"/>
                <w:sz w:val="20"/>
                <w14:ligatures w14:val="standardContextual"/>
              </w:rPr>
              <w:t xml:space="preserve"> Associates IV LLC, Radiate Holdings, L.P., and Google Fiber Inc., for Approval to Transfer Indirect Control of </w:t>
            </w:r>
            <w:proofErr w:type="spellStart"/>
            <w:r w:rsidRPr="006B4128">
              <w:rPr>
                <w:rFonts w:ascii="Times New Roman" w:hAnsi="Times New Roman"/>
                <w:sz w:val="20"/>
                <w14:ligatures w14:val="standardContextual"/>
              </w:rPr>
              <w:t>Webpass</w:t>
            </w:r>
            <w:proofErr w:type="spellEnd"/>
            <w:r w:rsidRPr="006B4128">
              <w:rPr>
                <w:rFonts w:ascii="Times New Roman" w:hAnsi="Times New Roman"/>
                <w:sz w:val="20"/>
                <w14:ligatures w14:val="standardContextual"/>
              </w:rPr>
              <w:t xml:space="preserve"> Telecommunications, LLC (U-7278-C) and of Google Fiber North America Inc. (U-1487-C); Approval for Conversion of Google Fiber North America Inc. (U-1487-C) to </w:t>
            </w:r>
            <w:proofErr w:type="spellStart"/>
            <w:r w:rsidRPr="006B4128">
              <w:rPr>
                <w:rFonts w:ascii="Times New Roman" w:hAnsi="Times New Roman"/>
                <w:sz w:val="20"/>
                <w14:ligatures w14:val="standardContextual"/>
              </w:rPr>
              <w:t>GFiber</w:t>
            </w:r>
            <w:proofErr w:type="spellEnd"/>
            <w:r w:rsidRPr="006B4128">
              <w:rPr>
                <w:rFonts w:ascii="Times New Roman" w:hAnsi="Times New Roman"/>
                <w:sz w:val="20"/>
                <w14:ligatures w14:val="standardContextual"/>
              </w:rPr>
              <w:t xml:space="preserve"> North America LLC; and Approval of </w:t>
            </w:r>
            <w:r w:rsidRPr="006B4128">
              <w:rPr>
                <w:rFonts w:ascii="Times New Roman" w:hAnsi="Times New Roman"/>
                <w:sz w:val="20"/>
                <w14:ligatures w14:val="standardContextual"/>
              </w:rPr>
              <w:lastRenderedPageBreak/>
              <w:t xml:space="preserve">Pro Forma Change in Control of Astound Broadband, LLC (U-6184-C, U-1587-C), Astound Networks California, LLC (U-7472-C), Astound II, LLC (U-7473-C), Digital West Networks, Inc. (U-7184-C, U-1576-C), </w:t>
            </w:r>
            <w:proofErr w:type="spellStart"/>
            <w:r w:rsidRPr="006B4128">
              <w:rPr>
                <w:rFonts w:ascii="Times New Roman" w:hAnsi="Times New Roman"/>
                <w:sz w:val="20"/>
                <w14:ligatures w14:val="standardContextual"/>
              </w:rPr>
              <w:t>Norcast</w:t>
            </w:r>
            <w:proofErr w:type="spellEnd"/>
            <w:r w:rsidRPr="006B4128">
              <w:rPr>
                <w:rFonts w:ascii="Times New Roman" w:hAnsi="Times New Roman"/>
                <w:sz w:val="20"/>
                <w14:ligatures w14:val="standardContextual"/>
              </w:rPr>
              <w:t xml:space="preserve"> Communications Corporation(U-6640-C), and Blue Rooster Telecom, Inc. (U-7169-C).</w:t>
            </w:r>
          </w:p>
        </w:tc>
        <w:tc>
          <w:tcPr>
            <w:tcW w:w="243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56605376" w14:textId="77777777">
            <w:pPr>
              <w:autoSpaceDE w:val="0"/>
              <w:autoSpaceDN w:val="0"/>
              <w:adjustRightInd w:val="0"/>
              <w:jc w:val="center"/>
              <w:rPr>
                <w:rFonts w:ascii="Times New Roman" w:hAnsi="Times New Roman"/>
                <w:sz w:val="20"/>
                <w14:ligatures w14:val="standardContextual"/>
              </w:rPr>
            </w:pPr>
            <w:proofErr w:type="spellStart"/>
            <w:r w:rsidRPr="006B4128">
              <w:rPr>
                <w:rFonts w:ascii="Times New Roman" w:hAnsi="Times New Roman"/>
                <w:sz w:val="20"/>
                <w14:ligatures w14:val="standardContextual"/>
              </w:rPr>
              <w:lastRenderedPageBreak/>
              <w:t>Ratesetting</w:t>
            </w:r>
            <w:proofErr w:type="spellEnd"/>
            <w:r w:rsidRPr="006B4128">
              <w:rPr>
                <w:rFonts w:ascii="Times New Roman" w:hAnsi="Times New Roman"/>
                <w:sz w:val="20"/>
                <w14:ligatures w14:val="standardContextual"/>
              </w:rPr>
              <w:t xml:space="preserve"> </w:t>
            </w:r>
          </w:p>
        </w:tc>
        <w:tc>
          <w:tcPr>
            <w:tcW w:w="189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486ECC1B" w14:textId="77777777">
            <w:pPr>
              <w:autoSpaceDE w:val="0"/>
              <w:autoSpaceDN w:val="0"/>
              <w:adjustRightInd w:val="0"/>
              <w:jc w:val="center"/>
              <w:rPr>
                <w:rFonts w:ascii="Times New Roman" w:hAnsi="Times New Roman"/>
                <w:sz w:val="20"/>
                <w14:ligatures w14:val="standardContextual"/>
              </w:rPr>
            </w:pPr>
            <w:proofErr w:type="spellStart"/>
            <w:r w:rsidRPr="006B4128">
              <w:rPr>
                <w:rFonts w:ascii="Times New Roman" w:hAnsi="Times New Roman"/>
                <w:sz w:val="20"/>
                <w14:ligatures w14:val="standardContextual"/>
              </w:rPr>
              <w:t>Ratesetting</w:t>
            </w:r>
            <w:proofErr w:type="spellEnd"/>
          </w:p>
        </w:tc>
      </w:tr>
      <w:tr w:rsidRPr="006B4128" w:rsidR="006B4128" w:rsidTr="006B4128" w14:paraId="7C6C5062" w14:textId="77777777">
        <w:tc>
          <w:tcPr>
            <w:tcW w:w="486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4648991D" w14:textId="77777777">
            <w:pPr>
              <w:autoSpaceDE w:val="0"/>
              <w:autoSpaceDN w:val="0"/>
              <w:adjustRightInd w:val="0"/>
              <w:rPr>
                <w:rFonts w:ascii="Times New Roman" w:hAnsi="Times New Roman"/>
                <w:sz w:val="20"/>
                <w14:ligatures w14:val="standardContextual"/>
              </w:rPr>
            </w:pPr>
            <w:r w:rsidRPr="006B4128">
              <w:rPr>
                <w:rFonts w:ascii="Times New Roman" w:hAnsi="Times New Roman"/>
                <w:b/>
                <w:bCs/>
                <w:sz w:val="20"/>
                <w14:ligatures w14:val="standardContextual"/>
              </w:rPr>
              <w:t xml:space="preserve">A26-04-002 </w:t>
            </w:r>
            <w:r w:rsidRPr="006B4128">
              <w:rPr>
                <w:rFonts w:ascii="Times New Roman" w:hAnsi="Times New Roman"/>
                <w:sz w:val="20"/>
                <w14:ligatures w14:val="standardContextual"/>
              </w:rPr>
              <w:br/>
              <w:t>Southern California Edison Company, Application of Southern California Edison Company (U 338-E) for a Commission Finding that its Procurement-Related and Other Operations for the Record Period January 1 Through December 31, 2025 Complied with its Adopted Procurement Plan; for Verification of its Entries in the Energy Resource Recovery Account and Other Regulatory Accounts; and for an increase of  $11.531 million in revenue requirement due to a net under collection recorded in fourteen accounts.</w:t>
            </w:r>
          </w:p>
        </w:tc>
        <w:tc>
          <w:tcPr>
            <w:tcW w:w="243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6A26BB75" w14:textId="77777777">
            <w:pPr>
              <w:autoSpaceDE w:val="0"/>
              <w:autoSpaceDN w:val="0"/>
              <w:adjustRightInd w:val="0"/>
              <w:jc w:val="center"/>
              <w:rPr>
                <w:rFonts w:ascii="Times New Roman" w:hAnsi="Times New Roman"/>
                <w:sz w:val="20"/>
                <w14:ligatures w14:val="standardContextual"/>
              </w:rPr>
            </w:pPr>
            <w:proofErr w:type="spellStart"/>
            <w:r w:rsidRPr="006B4128">
              <w:rPr>
                <w:rFonts w:ascii="Times New Roman" w:hAnsi="Times New Roman"/>
                <w:sz w:val="20"/>
                <w14:ligatures w14:val="standardContextual"/>
              </w:rPr>
              <w:t>Ratesetting</w:t>
            </w:r>
            <w:proofErr w:type="spellEnd"/>
            <w:r w:rsidRPr="006B4128">
              <w:rPr>
                <w:rFonts w:ascii="Times New Roman" w:hAnsi="Times New Roman"/>
                <w:sz w:val="20"/>
                <w14:ligatures w14:val="standardContextual"/>
              </w:rPr>
              <w:t xml:space="preserve"> </w:t>
            </w:r>
          </w:p>
        </w:tc>
        <w:tc>
          <w:tcPr>
            <w:tcW w:w="189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6AF2741B" w14:textId="77777777">
            <w:pPr>
              <w:autoSpaceDE w:val="0"/>
              <w:autoSpaceDN w:val="0"/>
              <w:adjustRightInd w:val="0"/>
              <w:jc w:val="center"/>
              <w:rPr>
                <w:rFonts w:ascii="Times New Roman" w:hAnsi="Times New Roman"/>
                <w:sz w:val="20"/>
                <w14:ligatures w14:val="standardContextual"/>
              </w:rPr>
            </w:pPr>
            <w:proofErr w:type="spellStart"/>
            <w:r w:rsidRPr="006B4128">
              <w:rPr>
                <w:rFonts w:ascii="Times New Roman" w:hAnsi="Times New Roman"/>
                <w:sz w:val="20"/>
                <w14:ligatures w14:val="standardContextual"/>
              </w:rPr>
              <w:t>Ratesetting</w:t>
            </w:r>
            <w:proofErr w:type="spellEnd"/>
          </w:p>
        </w:tc>
      </w:tr>
      <w:tr w:rsidRPr="006B4128" w:rsidR="006B4128" w:rsidTr="006B4128" w14:paraId="37814625" w14:textId="77777777">
        <w:tc>
          <w:tcPr>
            <w:tcW w:w="486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2379123B" w14:textId="77777777">
            <w:pPr>
              <w:autoSpaceDE w:val="0"/>
              <w:autoSpaceDN w:val="0"/>
              <w:adjustRightInd w:val="0"/>
              <w:rPr>
                <w:rFonts w:ascii="Times New Roman" w:hAnsi="Times New Roman"/>
                <w:sz w:val="20"/>
                <w14:ligatures w14:val="standardContextual"/>
              </w:rPr>
            </w:pPr>
            <w:r w:rsidRPr="006B4128">
              <w:rPr>
                <w:rFonts w:ascii="Times New Roman" w:hAnsi="Times New Roman"/>
                <w:b/>
                <w:bCs/>
                <w:sz w:val="20"/>
                <w14:ligatures w14:val="standardContextual"/>
              </w:rPr>
              <w:t xml:space="preserve">A26-04-004 </w:t>
            </w:r>
            <w:r w:rsidRPr="006B4128">
              <w:rPr>
                <w:rFonts w:ascii="Times New Roman" w:hAnsi="Times New Roman"/>
                <w:sz w:val="20"/>
                <w14:ligatures w14:val="standardContextual"/>
              </w:rPr>
              <w:br/>
              <w:t xml:space="preserve">Roy H. Halim Machmur, Application of Roy H. Halim </w:t>
            </w:r>
            <w:proofErr w:type="gramStart"/>
            <w:r w:rsidRPr="006B4128">
              <w:rPr>
                <w:rFonts w:ascii="Times New Roman" w:hAnsi="Times New Roman"/>
                <w:sz w:val="20"/>
                <w14:ligatures w14:val="standardContextual"/>
              </w:rPr>
              <w:t>Machmur,  Sole</w:t>
            </w:r>
            <w:proofErr w:type="gramEnd"/>
            <w:r w:rsidRPr="006B4128">
              <w:rPr>
                <w:rFonts w:ascii="Times New Roman" w:hAnsi="Times New Roman"/>
                <w:sz w:val="20"/>
                <w14:ligatures w14:val="standardContextual"/>
              </w:rPr>
              <w:t xml:space="preserve"> Proprietor, doing business as Liberty Day Express, for </w:t>
            </w:r>
            <w:proofErr w:type="gramStart"/>
            <w:r w:rsidRPr="006B4128">
              <w:rPr>
                <w:rFonts w:ascii="Times New Roman" w:hAnsi="Times New Roman"/>
                <w:sz w:val="20"/>
                <w14:ligatures w14:val="standardContextual"/>
              </w:rPr>
              <w:t>authority</w:t>
            </w:r>
            <w:proofErr w:type="gramEnd"/>
            <w:r w:rsidRPr="006B4128">
              <w:rPr>
                <w:rFonts w:ascii="Times New Roman" w:hAnsi="Times New Roman"/>
                <w:sz w:val="20"/>
                <w14:ligatures w14:val="standardContextual"/>
              </w:rPr>
              <w:t xml:space="preserve"> to operate as an on-call Passenger Stage Corporation between points in Orange County and Los Angeles County and to establish a Zone of Rate Freedom (ZORF) fare structure.</w:t>
            </w:r>
          </w:p>
        </w:tc>
        <w:tc>
          <w:tcPr>
            <w:tcW w:w="243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76BD2A56" w14:textId="77777777">
            <w:pPr>
              <w:autoSpaceDE w:val="0"/>
              <w:autoSpaceDN w:val="0"/>
              <w:adjustRightInd w:val="0"/>
              <w:jc w:val="center"/>
              <w:rPr>
                <w:rFonts w:ascii="Times New Roman" w:hAnsi="Times New Roman"/>
                <w:sz w:val="20"/>
                <w14:ligatures w14:val="standardContextual"/>
              </w:rPr>
            </w:pPr>
            <w:proofErr w:type="spellStart"/>
            <w:r w:rsidRPr="006B4128">
              <w:rPr>
                <w:rFonts w:ascii="Times New Roman" w:hAnsi="Times New Roman"/>
                <w:sz w:val="20"/>
                <w14:ligatures w14:val="standardContextual"/>
              </w:rPr>
              <w:t>Ratesetting</w:t>
            </w:r>
            <w:proofErr w:type="spellEnd"/>
            <w:r w:rsidRPr="006B4128">
              <w:rPr>
                <w:rFonts w:ascii="Times New Roman" w:hAnsi="Times New Roman"/>
                <w:sz w:val="20"/>
                <w14:ligatures w14:val="standardContextual"/>
              </w:rPr>
              <w:t xml:space="preserve"> </w:t>
            </w:r>
          </w:p>
        </w:tc>
        <w:tc>
          <w:tcPr>
            <w:tcW w:w="189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520E1B54" w14:textId="77777777">
            <w:pPr>
              <w:autoSpaceDE w:val="0"/>
              <w:autoSpaceDN w:val="0"/>
              <w:adjustRightInd w:val="0"/>
              <w:jc w:val="center"/>
              <w:rPr>
                <w:rFonts w:ascii="Times New Roman" w:hAnsi="Times New Roman"/>
                <w:sz w:val="20"/>
                <w14:ligatures w14:val="standardContextual"/>
              </w:rPr>
            </w:pPr>
            <w:r w:rsidRPr="006B4128">
              <w:rPr>
                <w:rFonts w:ascii="Times New Roman" w:hAnsi="Times New Roman"/>
                <w:sz w:val="20"/>
                <w14:ligatures w14:val="standardContextual"/>
              </w:rPr>
              <w:t>Not Applicable</w:t>
            </w:r>
          </w:p>
        </w:tc>
      </w:tr>
      <w:tr w:rsidRPr="006B4128" w:rsidR="006B4128" w:rsidTr="006B4128" w14:paraId="058F6097" w14:textId="77777777">
        <w:tc>
          <w:tcPr>
            <w:tcW w:w="486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72F5878B" w14:textId="77777777">
            <w:pPr>
              <w:autoSpaceDE w:val="0"/>
              <w:autoSpaceDN w:val="0"/>
              <w:adjustRightInd w:val="0"/>
              <w:rPr>
                <w:rFonts w:ascii="Times New Roman" w:hAnsi="Times New Roman"/>
                <w:sz w:val="20"/>
                <w14:ligatures w14:val="standardContextual"/>
              </w:rPr>
            </w:pPr>
            <w:r w:rsidRPr="006B4128">
              <w:rPr>
                <w:rFonts w:ascii="Times New Roman" w:hAnsi="Times New Roman"/>
                <w:b/>
                <w:bCs/>
                <w:sz w:val="20"/>
                <w14:ligatures w14:val="standardContextual"/>
              </w:rPr>
              <w:t xml:space="preserve">A26-04-005 </w:t>
            </w:r>
            <w:r w:rsidRPr="006B4128">
              <w:rPr>
                <w:rFonts w:ascii="Times New Roman" w:hAnsi="Times New Roman"/>
                <w:sz w:val="20"/>
                <w14:ligatures w14:val="standardContextual"/>
              </w:rPr>
              <w:br/>
              <w:t xml:space="preserve">PacifiCorp, </w:t>
            </w:r>
            <w:proofErr w:type="gramStart"/>
            <w:r w:rsidRPr="006B4128">
              <w:rPr>
                <w:rFonts w:ascii="Times New Roman" w:hAnsi="Times New Roman"/>
                <w:sz w:val="20"/>
                <w14:ligatures w14:val="standardContextual"/>
              </w:rPr>
              <w:t>dba</w:t>
            </w:r>
            <w:proofErr w:type="gramEnd"/>
            <w:r w:rsidRPr="006B4128">
              <w:rPr>
                <w:rFonts w:ascii="Times New Roman" w:hAnsi="Times New Roman"/>
                <w:sz w:val="20"/>
                <w14:ligatures w14:val="standardContextual"/>
              </w:rPr>
              <w:t xml:space="preserve"> Pacific Power, Application of PacifiCorp d/b/a Pacific Power (U 901 E) for Approval of Sale of Washington-Based Assets and Establishment of a Washington Asset Transfer Memorandum Account.</w:t>
            </w:r>
          </w:p>
        </w:tc>
        <w:tc>
          <w:tcPr>
            <w:tcW w:w="243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505DD7D5" w14:textId="77777777">
            <w:pPr>
              <w:autoSpaceDE w:val="0"/>
              <w:autoSpaceDN w:val="0"/>
              <w:adjustRightInd w:val="0"/>
              <w:jc w:val="center"/>
              <w:rPr>
                <w:rFonts w:ascii="Times New Roman" w:hAnsi="Times New Roman"/>
                <w:sz w:val="20"/>
                <w14:ligatures w14:val="standardContextual"/>
              </w:rPr>
            </w:pPr>
            <w:proofErr w:type="spellStart"/>
            <w:r w:rsidRPr="006B4128">
              <w:rPr>
                <w:rFonts w:ascii="Times New Roman" w:hAnsi="Times New Roman"/>
                <w:sz w:val="20"/>
                <w14:ligatures w14:val="standardContextual"/>
              </w:rPr>
              <w:t>Ratesetting</w:t>
            </w:r>
            <w:proofErr w:type="spellEnd"/>
            <w:r w:rsidRPr="006B4128">
              <w:rPr>
                <w:rFonts w:ascii="Times New Roman" w:hAnsi="Times New Roman"/>
                <w:sz w:val="20"/>
                <w14:ligatures w14:val="standardContextual"/>
              </w:rPr>
              <w:t xml:space="preserve"> </w:t>
            </w:r>
          </w:p>
        </w:tc>
        <w:tc>
          <w:tcPr>
            <w:tcW w:w="189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3B2DD56E" w14:textId="77777777">
            <w:pPr>
              <w:autoSpaceDE w:val="0"/>
              <w:autoSpaceDN w:val="0"/>
              <w:adjustRightInd w:val="0"/>
              <w:jc w:val="center"/>
              <w:rPr>
                <w:rFonts w:ascii="Times New Roman" w:hAnsi="Times New Roman"/>
                <w:sz w:val="20"/>
                <w14:ligatures w14:val="standardContextual"/>
              </w:rPr>
            </w:pPr>
            <w:proofErr w:type="spellStart"/>
            <w:r w:rsidRPr="006B4128">
              <w:rPr>
                <w:rFonts w:ascii="Times New Roman" w:hAnsi="Times New Roman"/>
                <w:sz w:val="20"/>
                <w14:ligatures w14:val="standardContextual"/>
              </w:rPr>
              <w:t>Ratesetting</w:t>
            </w:r>
            <w:proofErr w:type="spellEnd"/>
          </w:p>
        </w:tc>
      </w:tr>
      <w:tr w:rsidRPr="006B4128" w:rsidR="006B4128" w:rsidTr="006B4128" w14:paraId="52ABF70F" w14:textId="77777777">
        <w:tc>
          <w:tcPr>
            <w:tcW w:w="486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4AA758EC" w14:textId="77777777">
            <w:pPr>
              <w:autoSpaceDE w:val="0"/>
              <w:autoSpaceDN w:val="0"/>
              <w:adjustRightInd w:val="0"/>
              <w:rPr>
                <w:rFonts w:ascii="Times New Roman" w:hAnsi="Times New Roman"/>
                <w:sz w:val="20"/>
                <w14:ligatures w14:val="standardContextual"/>
              </w:rPr>
            </w:pPr>
            <w:r w:rsidRPr="006B4128">
              <w:rPr>
                <w:rFonts w:ascii="Times New Roman" w:hAnsi="Times New Roman"/>
                <w:b/>
                <w:bCs/>
                <w:sz w:val="20"/>
                <w14:ligatures w14:val="standardContextual"/>
              </w:rPr>
              <w:t xml:space="preserve">A26-04-010 </w:t>
            </w:r>
            <w:r w:rsidRPr="006B4128">
              <w:rPr>
                <w:rFonts w:ascii="Times New Roman" w:hAnsi="Times New Roman"/>
                <w:sz w:val="20"/>
                <w14:ligatures w14:val="standardContextual"/>
              </w:rPr>
              <w:br/>
              <w:t>San Jose Water Company, Application of San Jose Water Company (U168W) for Approval of Cost Recovery for PFAS Remediation.</w:t>
            </w:r>
          </w:p>
        </w:tc>
        <w:tc>
          <w:tcPr>
            <w:tcW w:w="243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110B25C3" w14:textId="77777777">
            <w:pPr>
              <w:autoSpaceDE w:val="0"/>
              <w:autoSpaceDN w:val="0"/>
              <w:adjustRightInd w:val="0"/>
              <w:jc w:val="center"/>
              <w:rPr>
                <w:rFonts w:ascii="Times New Roman" w:hAnsi="Times New Roman"/>
                <w:sz w:val="20"/>
                <w14:ligatures w14:val="standardContextual"/>
              </w:rPr>
            </w:pPr>
            <w:proofErr w:type="spellStart"/>
            <w:r w:rsidRPr="006B4128">
              <w:rPr>
                <w:rFonts w:ascii="Times New Roman" w:hAnsi="Times New Roman"/>
                <w:sz w:val="20"/>
                <w14:ligatures w14:val="standardContextual"/>
              </w:rPr>
              <w:t>Ratesetting</w:t>
            </w:r>
            <w:proofErr w:type="spellEnd"/>
            <w:r w:rsidRPr="006B4128">
              <w:rPr>
                <w:rFonts w:ascii="Times New Roman" w:hAnsi="Times New Roman"/>
                <w:sz w:val="20"/>
                <w14:ligatures w14:val="standardContextual"/>
              </w:rPr>
              <w:t xml:space="preserve"> </w:t>
            </w:r>
          </w:p>
        </w:tc>
        <w:tc>
          <w:tcPr>
            <w:tcW w:w="1890" w:type="dxa"/>
            <w:tcBorders>
              <w:top w:val="single" w:color="auto" w:sz="6" w:space="0"/>
              <w:left w:val="single" w:color="auto" w:sz="6" w:space="0"/>
              <w:bottom w:val="single" w:color="auto" w:sz="6" w:space="0"/>
              <w:right w:val="single" w:color="auto" w:sz="6" w:space="0"/>
            </w:tcBorders>
          </w:tcPr>
          <w:p w:rsidRPr="006B4128" w:rsidR="006B4128" w:rsidP="006B4128" w:rsidRDefault="006B4128" w14:paraId="73B45D03" w14:textId="77777777">
            <w:pPr>
              <w:autoSpaceDE w:val="0"/>
              <w:autoSpaceDN w:val="0"/>
              <w:adjustRightInd w:val="0"/>
              <w:jc w:val="center"/>
              <w:rPr>
                <w:rFonts w:ascii="Times New Roman" w:hAnsi="Times New Roman"/>
                <w:sz w:val="20"/>
                <w14:ligatures w14:val="standardContextual"/>
              </w:rPr>
            </w:pPr>
            <w:proofErr w:type="spellStart"/>
            <w:r w:rsidRPr="006B4128">
              <w:rPr>
                <w:rFonts w:ascii="Times New Roman" w:hAnsi="Times New Roman"/>
                <w:sz w:val="20"/>
                <w14:ligatures w14:val="standardContextual"/>
              </w:rPr>
              <w:t>Ratesetting</w:t>
            </w:r>
            <w:proofErr w:type="spellEnd"/>
          </w:p>
        </w:tc>
      </w:tr>
    </w:tbl>
    <w:p w:rsidR="000B39E3" w:rsidP="000B39E3" w:rsidRDefault="000B39E3" w14:paraId="48F2C620" w14:textId="77777777"/>
    <w:p w:rsidR="008005AF" w:rsidP="008005AF" w:rsidRDefault="008005AF" w14:paraId="74F8971F" w14:textId="6EFCC36D">
      <w:pPr>
        <w:rPr>
          <w:rFonts w:ascii="Book Antiqua" w:hAnsi="Book Antiqua"/>
        </w:rPr>
      </w:pPr>
    </w:p>
    <w:p w:rsidR="001648F0" w:rsidP="001648F0" w:rsidRDefault="001648F0" w14:paraId="71E22E39" w14:textId="0D1423D7">
      <w:pPr>
        <w:rPr>
          <w:rFonts w:ascii="Book Antiqua" w:hAnsi="Book Antiqua"/>
        </w:rPr>
      </w:pPr>
    </w:p>
    <w:p w:rsidRPr="001648F0" w:rsidR="001648F0" w:rsidP="001648F0" w:rsidRDefault="001648F0" w14:paraId="58AFAE92" w14:textId="66C8EB1B">
      <w:pPr>
        <w:tabs>
          <w:tab w:val="left" w:pos="3585"/>
        </w:tabs>
      </w:pPr>
      <w:r>
        <w:tab/>
      </w:r>
    </w:p>
    <w:sectPr w:rsidRPr="001648F0" w:rsidR="001648F0" w:rsidSect="007E3378">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8CABA" w14:textId="77777777" w:rsidR="002724A0" w:rsidRDefault="002724A0">
      <w:r>
        <w:separator/>
      </w:r>
    </w:p>
  </w:endnote>
  <w:endnote w:type="continuationSeparator" w:id="0">
    <w:p w14:paraId="76E88891" w14:textId="77777777" w:rsidR="002724A0" w:rsidRDefault="0027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7ADC" w14:textId="170659D5" w:rsidR="00591E1E" w:rsidRPr="00591E1E" w:rsidRDefault="00591E1E" w:rsidP="00591E1E">
    <w:pPr>
      <w:pStyle w:val="Footer"/>
      <w:tabs>
        <w:tab w:val="clear" w:pos="4320"/>
        <w:tab w:val="center" w:pos="4680"/>
      </w:tabs>
      <w:jc w:val="center"/>
      <w:rPr>
        <w:rFonts w:ascii="Book Antiqua" w:hAnsi="Book Antiqua"/>
      </w:rPr>
    </w:pPr>
    <w:r w:rsidRPr="001648F0">
      <w:rPr>
        <w:rFonts w:ascii="Book Antiqua" w:hAnsi="Book Antiqua"/>
      </w:rPr>
      <w:t xml:space="preserve">- </w:t>
    </w:r>
    <w:r w:rsidRPr="001648F0">
      <w:rPr>
        <w:rStyle w:val="PageNumber"/>
        <w:rFonts w:ascii="Book Antiqua" w:hAnsi="Book Antiqua"/>
      </w:rPr>
      <w:fldChar w:fldCharType="begin"/>
    </w:r>
    <w:r w:rsidRPr="001648F0">
      <w:rPr>
        <w:rStyle w:val="PageNumber"/>
        <w:rFonts w:ascii="Book Antiqua" w:hAnsi="Book Antiqua"/>
      </w:rPr>
      <w:instrText xml:space="preserve"> PAGE </w:instrText>
    </w:r>
    <w:r w:rsidRPr="001648F0">
      <w:rPr>
        <w:rStyle w:val="PageNumber"/>
        <w:rFonts w:ascii="Book Antiqua" w:hAnsi="Book Antiqua"/>
      </w:rPr>
      <w:fldChar w:fldCharType="separate"/>
    </w:r>
    <w:r>
      <w:rPr>
        <w:rStyle w:val="PageNumber"/>
        <w:rFonts w:ascii="Book Antiqua" w:hAnsi="Book Antiqua"/>
      </w:rPr>
      <w:t>1</w:t>
    </w:r>
    <w:r w:rsidRPr="001648F0">
      <w:rPr>
        <w:rStyle w:val="PageNumber"/>
        <w:rFonts w:ascii="Book Antiqua" w:hAnsi="Book Antiqua"/>
      </w:rPr>
      <w:fldChar w:fldCharType="end"/>
    </w:r>
    <w:r w:rsidRPr="001648F0">
      <w:rPr>
        <w:rStyle w:val="PageNumber"/>
        <w:rFonts w:ascii="Book Antiqua" w:hAnsi="Book Antiqu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FC6C" w14:textId="006B475E" w:rsidR="00591E1E" w:rsidRPr="00591E1E" w:rsidRDefault="00856428" w:rsidP="00642538">
    <w:pPr>
      <w:pStyle w:val="Footer"/>
      <w:tabs>
        <w:tab w:val="clear" w:pos="4320"/>
        <w:tab w:val="center" w:pos="4680"/>
      </w:tabs>
      <w:rPr>
        <w:rFonts w:ascii="Book Antiqua" w:hAnsi="Book Antiqua"/>
      </w:rPr>
    </w:pPr>
    <w:r w:rsidRPr="00856428">
      <w:rPr>
        <w:rFonts w:ascii="Book Antiqua" w:hAnsi="Book Antiqua"/>
        <w:sz w:val="16"/>
        <w:szCs w:val="16"/>
      </w:rPr>
      <w:t>605883561</w:t>
    </w:r>
    <w:r w:rsidR="00642538">
      <w:rPr>
        <w:rFonts w:ascii="Book Antiqua" w:hAnsi="Book Antiqua"/>
      </w:rPr>
      <w:tab/>
    </w:r>
    <w:r w:rsidR="00591E1E" w:rsidRPr="001648F0">
      <w:rPr>
        <w:rFonts w:ascii="Book Antiqua" w:hAnsi="Book Antiqua"/>
      </w:rPr>
      <w:t xml:space="preserve">- </w:t>
    </w:r>
    <w:r w:rsidR="00591E1E" w:rsidRPr="001648F0">
      <w:rPr>
        <w:rStyle w:val="PageNumber"/>
        <w:rFonts w:ascii="Book Antiqua" w:hAnsi="Book Antiqua"/>
      </w:rPr>
      <w:fldChar w:fldCharType="begin"/>
    </w:r>
    <w:r w:rsidR="00591E1E" w:rsidRPr="001648F0">
      <w:rPr>
        <w:rStyle w:val="PageNumber"/>
        <w:rFonts w:ascii="Book Antiqua" w:hAnsi="Book Antiqua"/>
      </w:rPr>
      <w:instrText xml:space="preserve"> PAGE </w:instrText>
    </w:r>
    <w:r w:rsidR="00591E1E" w:rsidRPr="001648F0">
      <w:rPr>
        <w:rStyle w:val="PageNumber"/>
        <w:rFonts w:ascii="Book Antiqua" w:hAnsi="Book Antiqua"/>
      </w:rPr>
      <w:fldChar w:fldCharType="separate"/>
    </w:r>
    <w:r w:rsidR="00591E1E">
      <w:rPr>
        <w:rStyle w:val="PageNumber"/>
        <w:rFonts w:ascii="Book Antiqua" w:hAnsi="Book Antiqua"/>
      </w:rPr>
      <w:t>1</w:t>
    </w:r>
    <w:r w:rsidR="00591E1E" w:rsidRPr="001648F0">
      <w:rPr>
        <w:rStyle w:val="PageNumber"/>
        <w:rFonts w:ascii="Book Antiqua" w:hAnsi="Book Antiqua"/>
      </w:rPr>
      <w:fldChar w:fldCharType="end"/>
    </w:r>
    <w:r w:rsidR="00591E1E" w:rsidRPr="001648F0">
      <w:rPr>
        <w:rStyle w:val="PageNumber"/>
        <w:rFonts w:ascii="Book Antiqua" w:hAnsi="Book Antiqu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66FD" w14:textId="3825F0C4" w:rsidR="00445D10" w:rsidRPr="008C1693" w:rsidRDefault="007E3378" w:rsidP="00F86487">
    <w:pPr>
      <w:pStyle w:val="Footer"/>
      <w:jc w:val="center"/>
      <w:rPr>
        <w:rFonts w:ascii="Book Antiqua" w:hAnsi="Book Antiqua"/>
      </w:rPr>
    </w:pPr>
    <w:r w:rsidRPr="008C1693">
      <w:rPr>
        <w:rFonts w:ascii="Book Antiqua" w:hAnsi="Book Antiqua"/>
      </w:rPr>
      <w:t xml:space="preserve">- </w:t>
    </w:r>
    <w:r w:rsidRPr="008C1693">
      <w:rPr>
        <w:rFonts w:ascii="Book Antiqua" w:hAnsi="Book Antiqua"/>
      </w:rPr>
      <w:fldChar w:fldCharType="begin"/>
    </w:r>
    <w:r w:rsidRPr="008C1693">
      <w:rPr>
        <w:rFonts w:ascii="Book Antiqua" w:hAnsi="Book Antiqua"/>
      </w:rPr>
      <w:instrText xml:space="preserve"> PAGE   \* MERGEFORMAT </w:instrText>
    </w:r>
    <w:r w:rsidRPr="008C1693">
      <w:rPr>
        <w:rFonts w:ascii="Book Antiqua" w:hAnsi="Book Antiqua"/>
      </w:rPr>
      <w:fldChar w:fldCharType="separate"/>
    </w:r>
    <w:r w:rsidRPr="008C1693">
      <w:rPr>
        <w:rFonts w:ascii="Book Antiqua" w:hAnsi="Book Antiqua"/>
        <w:noProof/>
      </w:rPr>
      <w:t>1</w:t>
    </w:r>
    <w:r w:rsidRPr="008C1693">
      <w:rPr>
        <w:rFonts w:ascii="Book Antiqua" w:hAnsi="Book Antiqua"/>
        <w:noProof/>
      </w:rPr>
      <w:fldChar w:fldCharType="end"/>
    </w:r>
    <w:r w:rsidRPr="008C1693">
      <w:rPr>
        <w:rFonts w:ascii="Book Antiqua" w:hAnsi="Book Antiqua"/>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6E091" w14:textId="77777777" w:rsidR="002724A0" w:rsidRDefault="002724A0">
      <w:r>
        <w:separator/>
      </w:r>
    </w:p>
  </w:footnote>
  <w:footnote w:type="continuationSeparator" w:id="0">
    <w:p w14:paraId="55DD23C2" w14:textId="77777777" w:rsidR="002724A0" w:rsidRDefault="00272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9E1E" w14:textId="31BC32E0" w:rsidR="00642538" w:rsidRDefault="00EA1C00" w:rsidP="004A7861">
    <w:pPr>
      <w:pStyle w:val="Header"/>
      <w:tabs>
        <w:tab w:val="clear" w:pos="4320"/>
        <w:tab w:val="clear" w:pos="8640"/>
        <w:tab w:val="right" w:pos="9180"/>
      </w:tabs>
      <w:jc w:val="right"/>
      <w:rPr>
        <w:rFonts w:ascii="Book Antiqua" w:hAnsi="Book Antiqua"/>
        <w:b/>
      </w:rPr>
    </w:pPr>
    <w:r w:rsidRPr="00EA1C00">
      <w:rPr>
        <w:rFonts w:ascii="Book Antiqua" w:hAnsi="Book Antiqua"/>
      </w:rPr>
      <w:t>Resolution</w:t>
    </w:r>
    <w:r>
      <w:rPr>
        <w:rFonts w:ascii="Book Antiqua" w:hAnsi="Book Antiqua"/>
      </w:rPr>
      <w:t xml:space="preserve"> - </w:t>
    </w:r>
    <w:r w:rsidRPr="00EA1C00">
      <w:rPr>
        <w:rFonts w:ascii="Book Antiqua" w:hAnsi="Book Antiqua"/>
      </w:rPr>
      <w:t>ALJ 176-</w:t>
    </w:r>
    <w:proofErr w:type="gramStart"/>
    <w:r w:rsidRPr="00EA1C00">
      <w:rPr>
        <w:rFonts w:ascii="Book Antiqua" w:hAnsi="Book Antiqua"/>
      </w:rPr>
      <w:t>3580</w:t>
    </w:r>
    <w:r>
      <w:rPr>
        <w:rFonts w:ascii="Book Antiqua" w:hAnsi="Book Antiqua"/>
      </w:rPr>
      <w:t xml:space="preserve">  </w:t>
    </w:r>
    <w:r w:rsidR="00C95FDE" w:rsidRPr="00824E46">
      <w:rPr>
        <w:rFonts w:ascii="Book Antiqua" w:hAnsi="Book Antiqua"/>
      </w:rPr>
      <w:t>ALJ</w:t>
    </w:r>
    <w:proofErr w:type="gramEnd"/>
    <w:r w:rsidR="00C95FDE" w:rsidRPr="00824E46">
      <w:rPr>
        <w:rFonts w:ascii="Book Antiqua" w:hAnsi="Book Antiqua"/>
      </w:rPr>
      <w:t>/</w:t>
    </w:r>
    <w:r>
      <w:rPr>
        <w:rFonts w:ascii="Book Antiqua" w:hAnsi="Book Antiqua"/>
      </w:rPr>
      <w:t>MLC</w:t>
    </w:r>
    <w:r w:rsidR="00642538" w:rsidRPr="00824E46">
      <w:rPr>
        <w:rFonts w:ascii="Book Antiqua" w:hAnsi="Book Antiqua"/>
      </w:rPr>
      <w:t>/</w:t>
    </w:r>
    <w:proofErr w:type="spellStart"/>
    <w:r w:rsidR="00317304" w:rsidRPr="00824E46">
      <w:rPr>
        <w:rFonts w:ascii="Book Antiqua" w:hAnsi="Book Antiqua"/>
      </w:rPr>
      <w:t>asf</w:t>
    </w:r>
    <w:proofErr w:type="spellEnd"/>
    <w:r w:rsidR="004A7861">
      <w:rPr>
        <w:rFonts w:ascii="Book Antiqua" w:hAnsi="Book Antiqua"/>
      </w:rPr>
      <w:tab/>
    </w:r>
    <w:r w:rsidR="00690614" w:rsidRPr="004A7861">
      <w:rPr>
        <w:rFonts w:ascii="Book Antiqua" w:hAnsi="Book Antiqua"/>
        <w:b/>
        <w:bCs/>
      </w:rPr>
      <w:t>DRAFT</w:t>
    </w:r>
    <w:r w:rsidR="00690614" w:rsidRPr="004A7861">
      <w:rPr>
        <w:rFonts w:ascii="Book Antiqua" w:hAnsi="Book Antiqua"/>
        <w:b/>
        <w:bCs/>
      </w:rPr>
      <w:tab/>
    </w:r>
  </w:p>
  <w:p w14:paraId="5A833EA5" w14:textId="77777777" w:rsidR="00642538" w:rsidRDefault="00642538" w:rsidP="00FD3B90">
    <w:pPr>
      <w:pStyle w:val="Header"/>
      <w:tabs>
        <w:tab w:val="clear" w:pos="4320"/>
        <w:tab w:val="clear" w:pos="8640"/>
        <w:tab w:val="right" w:pos="9180"/>
      </w:tabs>
      <w:rPr>
        <w:rFonts w:ascii="Book Antiqua" w:hAnsi="Book Antiqua"/>
        <w:b/>
      </w:rPr>
    </w:pPr>
  </w:p>
  <w:p w14:paraId="46AAFA57" w14:textId="77777777" w:rsidR="00642538" w:rsidRPr="00FD3B90" w:rsidRDefault="00642538" w:rsidP="00FD3B90">
    <w:pPr>
      <w:pStyle w:val="Header"/>
      <w:tabs>
        <w:tab w:val="clear" w:pos="4320"/>
        <w:tab w:val="clear" w:pos="8640"/>
        <w:tab w:val="right" w:pos="9180"/>
      </w:tabs>
      <w:rPr>
        <w:rFonts w:ascii="Book Antiqua" w:hAnsi="Book Antiqua"/>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2459" w14:textId="2A44D35F" w:rsidR="00B55F34" w:rsidRDefault="00EA1C00" w:rsidP="00B55F34">
    <w:pPr>
      <w:pStyle w:val="Header"/>
      <w:tabs>
        <w:tab w:val="clear" w:pos="4320"/>
        <w:tab w:val="clear" w:pos="8640"/>
        <w:tab w:val="right" w:pos="9180"/>
      </w:tabs>
      <w:rPr>
        <w:rFonts w:ascii="Book Antiqua" w:hAnsi="Book Antiqua"/>
        <w:b/>
      </w:rPr>
    </w:pPr>
    <w:r w:rsidRPr="00EA1C00">
      <w:rPr>
        <w:rFonts w:ascii="Book Antiqua" w:hAnsi="Book Antiqua"/>
      </w:rPr>
      <w:t>Resolution - ALJ 176-</w:t>
    </w:r>
    <w:proofErr w:type="gramStart"/>
    <w:r w:rsidRPr="00EA1C00">
      <w:rPr>
        <w:rFonts w:ascii="Book Antiqua" w:hAnsi="Book Antiqua"/>
      </w:rPr>
      <w:t>3580</w:t>
    </w:r>
    <w:r w:rsidR="00B55F34" w:rsidRPr="00824E46">
      <w:rPr>
        <w:rFonts w:ascii="Book Antiqua" w:hAnsi="Book Antiqua"/>
      </w:rPr>
      <w:t xml:space="preserve">  ALJ</w:t>
    </w:r>
    <w:proofErr w:type="gramEnd"/>
    <w:r w:rsidR="00B55F34" w:rsidRPr="00824E46">
      <w:rPr>
        <w:rFonts w:ascii="Book Antiqua" w:hAnsi="Book Antiqua"/>
      </w:rPr>
      <w:t>/</w:t>
    </w:r>
    <w:r>
      <w:rPr>
        <w:rFonts w:ascii="Book Antiqua" w:hAnsi="Book Antiqua"/>
      </w:rPr>
      <w:t>MLC</w:t>
    </w:r>
    <w:r w:rsidR="00B55F34" w:rsidRPr="00824E46">
      <w:rPr>
        <w:rFonts w:ascii="Book Antiqua" w:hAnsi="Book Antiqua"/>
      </w:rPr>
      <w:t>/</w:t>
    </w:r>
    <w:proofErr w:type="spellStart"/>
    <w:r w:rsidR="00B55F34" w:rsidRPr="00824E46">
      <w:rPr>
        <w:rFonts w:ascii="Book Antiqua" w:hAnsi="Book Antiqua"/>
      </w:rPr>
      <w:t>asf</w:t>
    </w:r>
    <w:proofErr w:type="spellEnd"/>
    <w:r w:rsidR="00B55F34" w:rsidRPr="00824E46">
      <w:rPr>
        <w:rFonts w:ascii="Book Antiqua" w:hAnsi="Book Antiqua"/>
      </w:rPr>
      <w:tab/>
    </w:r>
    <w:r w:rsidR="00690614" w:rsidRPr="004A7861">
      <w:rPr>
        <w:rFonts w:ascii="Book Antiqua" w:hAnsi="Book Antiqua"/>
        <w:b/>
        <w:bCs/>
      </w:rPr>
      <w:t xml:space="preserve">DRAFT </w:t>
    </w:r>
  </w:p>
  <w:p w14:paraId="67E59363" w14:textId="52C5A750" w:rsidR="008005AF" w:rsidRPr="009755A5" w:rsidRDefault="008005AF">
    <w:pPr>
      <w:pStyle w:val="Header"/>
      <w:rPr>
        <w:sz w:val="28"/>
        <w:szCs w:val="28"/>
      </w:rPr>
    </w:pPr>
  </w:p>
  <w:p w14:paraId="03B08534" w14:textId="463D3A0A" w:rsidR="008005AF" w:rsidRPr="009755A5" w:rsidRDefault="003F6A7F" w:rsidP="004D54D0">
    <w:pPr>
      <w:pStyle w:val="Header"/>
      <w:tabs>
        <w:tab w:val="center" w:pos="4680"/>
        <w:tab w:val="left" w:pos="8290"/>
      </w:tabs>
      <w:jc w:val="center"/>
      <w:rPr>
        <w:rFonts w:ascii="Book Antiqua" w:hAnsi="Book Antiqua"/>
        <w:sz w:val="28"/>
        <w:szCs w:val="28"/>
      </w:rPr>
    </w:pPr>
    <w:r w:rsidRPr="009755A5">
      <w:rPr>
        <w:rFonts w:ascii="Book Antiqua" w:hAnsi="Book Antiqua"/>
        <w:b/>
        <w:bCs/>
        <w:sz w:val="28"/>
        <w:szCs w:val="28"/>
      </w:rPr>
      <w:t>PRELIMINARY DETERMINATION</w:t>
    </w:r>
    <w:r w:rsidRPr="009755A5">
      <w:rPr>
        <w:rFonts w:ascii="Book Antiqua" w:hAnsi="Book Antiqua"/>
        <w:b/>
        <w:bCs/>
        <w:sz w:val="28"/>
        <w:szCs w:val="28"/>
      </w:rPr>
      <w:br/>
      <w:t xml:space="preserve">SCHEDULE </w:t>
    </w:r>
    <w:r w:rsidRPr="009755A5">
      <w:rPr>
        <w:rFonts w:ascii="Book Antiqua" w:hAnsi="Book Antiqua"/>
        <w:sz w:val="28"/>
        <w:szCs w:val="28"/>
      </w:rPr>
      <w:br/>
    </w:r>
    <w:r w:rsidRPr="009755A5">
      <w:rPr>
        <w:rFonts w:ascii="Book Antiqua" w:hAnsi="Book Antiqua"/>
        <w:sz w:val="28"/>
        <w:szCs w:val="28"/>
      </w:rPr>
      <w:br/>
      <w:t>Resolution ALJ 176-</w:t>
    </w:r>
    <w:r w:rsidR="00AC3D70">
      <w:rPr>
        <w:rFonts w:ascii="Book Antiqua" w:hAnsi="Book Antiqua"/>
        <w:sz w:val="28"/>
        <w:szCs w:val="28"/>
      </w:rPr>
      <w:t>3</w:t>
    </w:r>
    <w:r w:rsidR="00840228">
      <w:rPr>
        <w:rFonts w:ascii="Book Antiqua" w:hAnsi="Book Antiqua"/>
        <w:sz w:val="28"/>
        <w:szCs w:val="28"/>
      </w:rPr>
      <w:t>5</w:t>
    </w:r>
    <w:r w:rsidR="00EA1C00">
      <w:rPr>
        <w:rFonts w:ascii="Book Antiqua" w:hAnsi="Book Antiqua"/>
        <w:sz w:val="28"/>
        <w:szCs w:val="28"/>
      </w:rPr>
      <w:t>80</w:t>
    </w:r>
    <w:r w:rsidRPr="009755A5">
      <w:rPr>
        <w:rFonts w:ascii="Book Antiqua" w:hAnsi="Book Antiqua"/>
        <w:sz w:val="28"/>
        <w:szCs w:val="28"/>
      </w:rPr>
      <w:t xml:space="preserve"> (</w:t>
    </w:r>
    <w:r w:rsidR="00EA1C00">
      <w:rPr>
        <w:rFonts w:ascii="Book Antiqua" w:hAnsi="Book Antiqua"/>
        <w:sz w:val="28"/>
        <w:szCs w:val="28"/>
      </w:rPr>
      <w:t>4</w:t>
    </w:r>
    <w:r w:rsidR="00840228">
      <w:rPr>
        <w:rFonts w:ascii="Book Antiqua" w:hAnsi="Book Antiqua"/>
        <w:sz w:val="28"/>
        <w:szCs w:val="28"/>
      </w:rPr>
      <w:t>/</w:t>
    </w:r>
    <w:r w:rsidR="00EA1C00">
      <w:rPr>
        <w:rFonts w:ascii="Book Antiqua" w:hAnsi="Book Antiqua"/>
        <w:sz w:val="28"/>
        <w:szCs w:val="28"/>
      </w:rPr>
      <w:t>30</w:t>
    </w:r>
    <w:r w:rsidR="00840228">
      <w:rPr>
        <w:rFonts w:ascii="Book Antiqua" w:hAnsi="Book Antiqua"/>
        <w:sz w:val="28"/>
        <w:szCs w:val="28"/>
      </w:rPr>
      <w:t>/2026</w:t>
    </w:r>
    <w:r w:rsidRPr="00AC3D70">
      <w:rPr>
        <w:rFonts w:ascii="Book Antiqua" w:hAnsi="Book Antiqua"/>
        <w:sz w:val="28"/>
        <w:szCs w:val="28"/>
      </w:rPr>
      <w:t>)</w:t>
    </w:r>
    <w:r w:rsidR="008005AF" w:rsidRPr="009755A5">
      <w:rPr>
        <w:rFonts w:ascii="Book Antiqua" w:hAnsi="Book Antiqua"/>
        <w:sz w:val="28"/>
        <w:szCs w:val="28"/>
      </w:rPr>
      <w:br/>
    </w:r>
  </w:p>
  <w:tbl>
    <w:tblPr>
      <w:tblW w:w="0" w:type="auto"/>
      <w:tblInd w:w="-8" w:type="dxa"/>
      <w:tblLayout w:type="fixed"/>
      <w:tblCellMar>
        <w:left w:w="115" w:type="dxa"/>
        <w:right w:w="115" w:type="dxa"/>
      </w:tblCellMar>
      <w:tblLook w:val="0000" w:firstRow="0" w:lastRow="0" w:firstColumn="0" w:lastColumn="0" w:noHBand="0" w:noVBand="0"/>
    </w:tblPr>
    <w:tblGrid>
      <w:gridCol w:w="4843"/>
      <w:gridCol w:w="2430"/>
      <w:gridCol w:w="1907"/>
    </w:tblGrid>
    <w:tr w:rsidR="00715CD0" w:rsidRPr="009755A5" w14:paraId="3C685637" w14:textId="77777777" w:rsidTr="00C62466">
      <w:tc>
        <w:tcPr>
          <w:tcW w:w="4843" w:type="dxa"/>
          <w:tcBorders>
            <w:top w:val="single" w:sz="6" w:space="0" w:color="auto"/>
            <w:left w:val="single" w:sz="6" w:space="0" w:color="auto"/>
            <w:bottom w:val="single" w:sz="6" w:space="0" w:color="auto"/>
            <w:right w:val="single" w:sz="6" w:space="0" w:color="auto"/>
          </w:tcBorders>
          <w:shd w:val="pct10" w:color="auto" w:fill="auto"/>
        </w:tcPr>
        <w:p w14:paraId="42A1F4EC" w14:textId="77777777" w:rsidR="00715CD0" w:rsidRPr="009755A5" w:rsidRDefault="00715CD0" w:rsidP="00715CD0">
          <w:pPr>
            <w:rPr>
              <w:rFonts w:ascii="Book Antiqua" w:hAnsi="Book Antiqua"/>
              <w:szCs w:val="24"/>
            </w:rPr>
          </w:pPr>
          <w:r w:rsidRPr="009755A5">
            <w:rPr>
              <w:rFonts w:ascii="Book Antiqua" w:hAnsi="Book Antiqua"/>
              <w:b/>
              <w:bCs/>
              <w:szCs w:val="24"/>
            </w:rPr>
            <w:t xml:space="preserve">NUMBER </w:t>
          </w:r>
          <w:r w:rsidRPr="009755A5">
            <w:rPr>
              <w:rFonts w:ascii="Book Antiqua" w:hAnsi="Book Antiqua"/>
              <w:szCs w:val="24"/>
            </w:rPr>
            <w:br/>
          </w:r>
          <w:r w:rsidRPr="009755A5">
            <w:rPr>
              <w:rFonts w:ascii="Book Antiqua" w:hAnsi="Book Antiqua"/>
              <w:b/>
              <w:bCs/>
              <w:szCs w:val="24"/>
            </w:rPr>
            <w:t xml:space="preserve">TITLE </w:t>
          </w:r>
        </w:p>
      </w:tc>
      <w:tc>
        <w:tcPr>
          <w:tcW w:w="2430" w:type="dxa"/>
          <w:tcBorders>
            <w:top w:val="single" w:sz="6" w:space="0" w:color="auto"/>
            <w:left w:val="single" w:sz="6" w:space="0" w:color="auto"/>
            <w:bottom w:val="single" w:sz="6" w:space="0" w:color="auto"/>
            <w:right w:val="single" w:sz="6" w:space="0" w:color="auto"/>
          </w:tcBorders>
          <w:shd w:val="pct10" w:color="auto" w:fill="auto"/>
        </w:tcPr>
        <w:p w14:paraId="5A3DDCFF" w14:textId="77777777" w:rsidR="00715CD0" w:rsidRPr="009755A5" w:rsidRDefault="00715CD0" w:rsidP="00715CD0">
          <w:pPr>
            <w:jc w:val="center"/>
            <w:rPr>
              <w:rFonts w:ascii="Book Antiqua" w:hAnsi="Book Antiqua"/>
              <w:szCs w:val="24"/>
            </w:rPr>
          </w:pPr>
          <w:r w:rsidRPr="009755A5">
            <w:rPr>
              <w:rFonts w:ascii="Book Antiqua" w:hAnsi="Book Antiqua"/>
              <w:b/>
              <w:bCs/>
              <w:szCs w:val="24"/>
            </w:rPr>
            <w:t xml:space="preserve">PROPOSED CATEGORY </w:t>
          </w:r>
        </w:p>
      </w:tc>
      <w:tc>
        <w:tcPr>
          <w:tcW w:w="1907" w:type="dxa"/>
          <w:tcBorders>
            <w:top w:val="single" w:sz="6" w:space="0" w:color="auto"/>
            <w:left w:val="single" w:sz="6" w:space="0" w:color="auto"/>
            <w:bottom w:val="single" w:sz="6" w:space="0" w:color="auto"/>
            <w:right w:val="single" w:sz="6" w:space="0" w:color="auto"/>
          </w:tcBorders>
          <w:shd w:val="pct10" w:color="auto" w:fill="auto"/>
        </w:tcPr>
        <w:p w14:paraId="1254059F" w14:textId="77777777" w:rsidR="00715CD0" w:rsidRPr="009755A5" w:rsidRDefault="00715CD0" w:rsidP="00715CD0">
          <w:pPr>
            <w:jc w:val="center"/>
            <w:rPr>
              <w:rFonts w:ascii="Book Antiqua" w:hAnsi="Book Antiqua"/>
              <w:szCs w:val="24"/>
            </w:rPr>
          </w:pPr>
          <w:r w:rsidRPr="009755A5">
            <w:rPr>
              <w:rFonts w:ascii="Book Antiqua" w:hAnsi="Book Antiqua"/>
              <w:b/>
              <w:bCs/>
              <w:szCs w:val="24"/>
            </w:rPr>
            <w:t xml:space="preserve">PRELIM. CATEGORY </w:t>
          </w:r>
        </w:p>
      </w:tc>
    </w:tr>
  </w:tbl>
  <w:p w14:paraId="6D5436C2" w14:textId="77777777" w:rsidR="008005AF" w:rsidRPr="006F55C2" w:rsidRDefault="008005AF" w:rsidP="009755A5">
    <w:pPr>
      <w:pStyle w:val="Header"/>
      <w:rPr>
        <w:rFonts w:ascii="Times New Roman" w:hAnsi="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4DDE"/>
    <w:multiLevelType w:val="hybridMultilevel"/>
    <w:tmpl w:val="1EC8387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8E4F88"/>
    <w:multiLevelType w:val="hybridMultilevel"/>
    <w:tmpl w:val="92065E66"/>
    <w:lvl w:ilvl="0" w:tplc="E6AA93F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FD39E3"/>
    <w:multiLevelType w:val="hybridMultilevel"/>
    <w:tmpl w:val="7C1A6AAA"/>
    <w:lvl w:ilvl="0" w:tplc="12F251D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B13AFA"/>
    <w:multiLevelType w:val="hybridMultilevel"/>
    <w:tmpl w:val="348E8EFC"/>
    <w:lvl w:ilvl="0" w:tplc="73A4D0A8">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36230E"/>
    <w:multiLevelType w:val="hybridMultilevel"/>
    <w:tmpl w:val="76D2D728"/>
    <w:lvl w:ilvl="0" w:tplc="2760FF36">
      <w:numFmt w:val="bullet"/>
      <w:lvlText w:val="-"/>
      <w:lvlJc w:val="left"/>
      <w:pPr>
        <w:ind w:left="1080" w:hanging="360"/>
      </w:pPr>
      <w:rPr>
        <w:rFonts w:ascii="Palatino" w:eastAsia="Times New Roman" w:hAnsi="Palatin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4487489">
    <w:abstractNumId w:val="1"/>
  </w:num>
  <w:num w:numId="2" w16cid:durableId="281810531">
    <w:abstractNumId w:val="0"/>
  </w:num>
  <w:num w:numId="3" w16cid:durableId="382603836">
    <w:abstractNumId w:val="3"/>
  </w:num>
  <w:num w:numId="4" w16cid:durableId="816385477">
    <w:abstractNumId w:val="4"/>
  </w:num>
  <w:num w:numId="5" w16cid:durableId="52657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1B"/>
    <w:rsid w:val="00003114"/>
    <w:rsid w:val="00011B96"/>
    <w:rsid w:val="000150E2"/>
    <w:rsid w:val="000231AF"/>
    <w:rsid w:val="0003776E"/>
    <w:rsid w:val="00043B8E"/>
    <w:rsid w:val="00050DF2"/>
    <w:rsid w:val="00062F36"/>
    <w:rsid w:val="00062F81"/>
    <w:rsid w:val="000640B2"/>
    <w:rsid w:val="000667EB"/>
    <w:rsid w:val="00085B4C"/>
    <w:rsid w:val="000A1E1E"/>
    <w:rsid w:val="000A46C7"/>
    <w:rsid w:val="000B39E3"/>
    <w:rsid w:val="000B3BF5"/>
    <w:rsid w:val="000B55B2"/>
    <w:rsid w:val="000E3F65"/>
    <w:rsid w:val="00126B14"/>
    <w:rsid w:val="001648F0"/>
    <w:rsid w:val="00165C26"/>
    <w:rsid w:val="00191D02"/>
    <w:rsid w:val="001A2BF6"/>
    <w:rsid w:val="001B116D"/>
    <w:rsid w:val="001B59CD"/>
    <w:rsid w:val="00201200"/>
    <w:rsid w:val="002074C4"/>
    <w:rsid w:val="002164F0"/>
    <w:rsid w:val="00221CDE"/>
    <w:rsid w:val="00243042"/>
    <w:rsid w:val="002558F3"/>
    <w:rsid w:val="00264FBC"/>
    <w:rsid w:val="002724A0"/>
    <w:rsid w:val="002731E5"/>
    <w:rsid w:val="0029303E"/>
    <w:rsid w:val="002C2658"/>
    <w:rsid w:val="002C7E5A"/>
    <w:rsid w:val="0030720C"/>
    <w:rsid w:val="00310303"/>
    <w:rsid w:val="00317304"/>
    <w:rsid w:val="003417D7"/>
    <w:rsid w:val="00342E16"/>
    <w:rsid w:val="0034501A"/>
    <w:rsid w:val="00364C10"/>
    <w:rsid w:val="00384A75"/>
    <w:rsid w:val="0039281B"/>
    <w:rsid w:val="00395187"/>
    <w:rsid w:val="0039743F"/>
    <w:rsid w:val="003975B3"/>
    <w:rsid w:val="003B6828"/>
    <w:rsid w:val="003C2335"/>
    <w:rsid w:val="003D18FB"/>
    <w:rsid w:val="003E6E4C"/>
    <w:rsid w:val="003F6A7F"/>
    <w:rsid w:val="003F7DB4"/>
    <w:rsid w:val="0040118E"/>
    <w:rsid w:val="00413177"/>
    <w:rsid w:val="00420910"/>
    <w:rsid w:val="00420912"/>
    <w:rsid w:val="0042710E"/>
    <w:rsid w:val="00436CF7"/>
    <w:rsid w:val="00445431"/>
    <w:rsid w:val="00445D10"/>
    <w:rsid w:val="004A6B6C"/>
    <w:rsid w:val="004A7861"/>
    <w:rsid w:val="004C5C3F"/>
    <w:rsid w:val="004D4D31"/>
    <w:rsid w:val="004D54D0"/>
    <w:rsid w:val="004E18B3"/>
    <w:rsid w:val="004E5ED1"/>
    <w:rsid w:val="004E7F26"/>
    <w:rsid w:val="004F6AFD"/>
    <w:rsid w:val="00537046"/>
    <w:rsid w:val="005478A5"/>
    <w:rsid w:val="00591E1E"/>
    <w:rsid w:val="0059231A"/>
    <w:rsid w:val="00594907"/>
    <w:rsid w:val="005B113F"/>
    <w:rsid w:val="005D2F39"/>
    <w:rsid w:val="005E4B19"/>
    <w:rsid w:val="00604E24"/>
    <w:rsid w:val="0061466C"/>
    <w:rsid w:val="00642538"/>
    <w:rsid w:val="006439D8"/>
    <w:rsid w:val="006468E1"/>
    <w:rsid w:val="00675C7A"/>
    <w:rsid w:val="00690614"/>
    <w:rsid w:val="006972C8"/>
    <w:rsid w:val="006B0BF8"/>
    <w:rsid w:val="006B4128"/>
    <w:rsid w:val="006B4E6D"/>
    <w:rsid w:val="006D0E48"/>
    <w:rsid w:val="006E4526"/>
    <w:rsid w:val="006F422F"/>
    <w:rsid w:val="006F455A"/>
    <w:rsid w:val="006F55C2"/>
    <w:rsid w:val="006F69A6"/>
    <w:rsid w:val="00703E5C"/>
    <w:rsid w:val="00704DA7"/>
    <w:rsid w:val="00713D28"/>
    <w:rsid w:val="00715CD0"/>
    <w:rsid w:val="007252F3"/>
    <w:rsid w:val="00736CE1"/>
    <w:rsid w:val="0074719A"/>
    <w:rsid w:val="00774234"/>
    <w:rsid w:val="007A1CE2"/>
    <w:rsid w:val="007A588D"/>
    <w:rsid w:val="007B0604"/>
    <w:rsid w:val="007C0F7B"/>
    <w:rsid w:val="007C39D3"/>
    <w:rsid w:val="007C3DC4"/>
    <w:rsid w:val="007D35A2"/>
    <w:rsid w:val="007E3378"/>
    <w:rsid w:val="007E52E6"/>
    <w:rsid w:val="007E76E5"/>
    <w:rsid w:val="008005AF"/>
    <w:rsid w:val="00806579"/>
    <w:rsid w:val="00813EB5"/>
    <w:rsid w:val="00824E46"/>
    <w:rsid w:val="00827C37"/>
    <w:rsid w:val="00840228"/>
    <w:rsid w:val="008402B8"/>
    <w:rsid w:val="00852A3E"/>
    <w:rsid w:val="00856428"/>
    <w:rsid w:val="00861EFB"/>
    <w:rsid w:val="008A44BA"/>
    <w:rsid w:val="008A4E0E"/>
    <w:rsid w:val="008B3D79"/>
    <w:rsid w:val="008B7F1B"/>
    <w:rsid w:val="008C0812"/>
    <w:rsid w:val="008C1693"/>
    <w:rsid w:val="008C6482"/>
    <w:rsid w:val="008D5221"/>
    <w:rsid w:val="008D7B0E"/>
    <w:rsid w:val="00912D1D"/>
    <w:rsid w:val="0096330F"/>
    <w:rsid w:val="0097038C"/>
    <w:rsid w:val="009755A5"/>
    <w:rsid w:val="009A6078"/>
    <w:rsid w:val="009B1A5B"/>
    <w:rsid w:val="009B3969"/>
    <w:rsid w:val="009E07EB"/>
    <w:rsid w:val="00A14B76"/>
    <w:rsid w:val="00A33F11"/>
    <w:rsid w:val="00A45F8C"/>
    <w:rsid w:val="00A60751"/>
    <w:rsid w:val="00A756B4"/>
    <w:rsid w:val="00A77D50"/>
    <w:rsid w:val="00AC3D70"/>
    <w:rsid w:val="00B27713"/>
    <w:rsid w:val="00B465E5"/>
    <w:rsid w:val="00B5250D"/>
    <w:rsid w:val="00B55F34"/>
    <w:rsid w:val="00B75139"/>
    <w:rsid w:val="00B878E8"/>
    <w:rsid w:val="00BD6E3A"/>
    <w:rsid w:val="00BE1D69"/>
    <w:rsid w:val="00BF529C"/>
    <w:rsid w:val="00C0135F"/>
    <w:rsid w:val="00C10CCA"/>
    <w:rsid w:val="00C257D9"/>
    <w:rsid w:val="00C26D8F"/>
    <w:rsid w:val="00C301A7"/>
    <w:rsid w:val="00C62466"/>
    <w:rsid w:val="00C62EEB"/>
    <w:rsid w:val="00C77032"/>
    <w:rsid w:val="00C91B94"/>
    <w:rsid w:val="00C92A44"/>
    <w:rsid w:val="00C95FDE"/>
    <w:rsid w:val="00CA21DB"/>
    <w:rsid w:val="00CD36D9"/>
    <w:rsid w:val="00CD529F"/>
    <w:rsid w:val="00CF4AB3"/>
    <w:rsid w:val="00D041B0"/>
    <w:rsid w:val="00D12A5B"/>
    <w:rsid w:val="00D5495C"/>
    <w:rsid w:val="00D62372"/>
    <w:rsid w:val="00D71AC7"/>
    <w:rsid w:val="00DA5721"/>
    <w:rsid w:val="00DA7B95"/>
    <w:rsid w:val="00DC4540"/>
    <w:rsid w:val="00DD25CD"/>
    <w:rsid w:val="00DD4B11"/>
    <w:rsid w:val="00DE5655"/>
    <w:rsid w:val="00DE57DB"/>
    <w:rsid w:val="00DF2DD7"/>
    <w:rsid w:val="00DF5183"/>
    <w:rsid w:val="00E04BF9"/>
    <w:rsid w:val="00E90A2B"/>
    <w:rsid w:val="00E94361"/>
    <w:rsid w:val="00EA1C00"/>
    <w:rsid w:val="00EB4757"/>
    <w:rsid w:val="00EC7DE8"/>
    <w:rsid w:val="00ED53F1"/>
    <w:rsid w:val="00ED6639"/>
    <w:rsid w:val="00F02E14"/>
    <w:rsid w:val="00F036E4"/>
    <w:rsid w:val="00F04B30"/>
    <w:rsid w:val="00F40109"/>
    <w:rsid w:val="00F511C0"/>
    <w:rsid w:val="00F62B1C"/>
    <w:rsid w:val="00F70AD9"/>
    <w:rsid w:val="00F86487"/>
    <w:rsid w:val="00FB0213"/>
    <w:rsid w:val="00FD0FF4"/>
    <w:rsid w:val="00FD3B90"/>
    <w:rsid w:val="00FD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3621C76"/>
  <w15:docId w15:val="{93BCC8C6-8988-42AA-94EE-121027B6930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
    <w:name w:val="standard"/>
    <w:basedOn w:val="Normal"/>
    <w:link w:val="standardChar"/>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paragraph" w:customStyle="1" w:styleId="num1">
    <w:name w:val="num1"/>
    <w:basedOn w:val="Normal"/>
    <w:pPr>
      <w:tabs>
        <w:tab w:val="left" w:pos="-720"/>
      </w:tabs>
      <w:suppressAutoHyphens/>
      <w:spacing w:line="360" w:lineRule="auto"/>
      <w:ind w:firstLine="360"/>
    </w:pPr>
    <w:rPr>
      <w:sz w:val="26"/>
    </w:rPr>
  </w:style>
  <w:style w:type="character" w:customStyle="1" w:styleId="FooterChar">
    <w:name w:val="Footer Char"/>
    <w:link w:val="Footer"/>
    <w:uiPriority w:val="99"/>
    <w:rsid w:val="003E6E4C"/>
    <w:rPr>
      <w:rFonts w:ascii="Palatino" w:hAnsi="Palatino"/>
      <w:sz w:val="24"/>
    </w:rPr>
  </w:style>
  <w:style w:type="character" w:customStyle="1" w:styleId="standardChar">
    <w:name w:val="standard Char"/>
    <w:link w:val="standard"/>
    <w:locked/>
    <w:rsid w:val="00C95FDE"/>
    <w:rPr>
      <w:rFonts w:ascii="Palatino" w:hAnsi="Palatino"/>
      <w:sz w:val="24"/>
    </w:rPr>
  </w:style>
  <w:style w:type="paragraph" w:styleId="BalloonText">
    <w:name w:val="Balloon Text"/>
    <w:basedOn w:val="Normal"/>
    <w:link w:val="BalloonTextChar"/>
    <w:rsid w:val="00C95FDE"/>
    <w:rPr>
      <w:rFonts w:ascii="Tahoma" w:hAnsi="Tahoma" w:cs="Tahoma"/>
      <w:sz w:val="16"/>
      <w:szCs w:val="16"/>
    </w:rPr>
  </w:style>
  <w:style w:type="character" w:customStyle="1" w:styleId="BalloonTextChar">
    <w:name w:val="Balloon Text Char"/>
    <w:link w:val="BalloonText"/>
    <w:rsid w:val="00C95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2972">
      <w:bodyDiv w:val="1"/>
      <w:marLeft w:val="0"/>
      <w:marRight w:val="0"/>
      <w:marTop w:val="0"/>
      <w:marBottom w:val="0"/>
      <w:divBdr>
        <w:top w:val="none" w:sz="0" w:space="0" w:color="auto"/>
        <w:left w:val="none" w:sz="0" w:space="0" w:color="auto"/>
        <w:bottom w:val="none" w:sz="0" w:space="0" w:color="auto"/>
        <w:right w:val="none" w:sz="0" w:space="0" w:color="auto"/>
      </w:divBdr>
    </w:div>
    <w:div w:id="253368292">
      <w:bodyDiv w:val="1"/>
      <w:marLeft w:val="0"/>
      <w:marRight w:val="0"/>
      <w:marTop w:val="0"/>
      <w:marBottom w:val="0"/>
      <w:divBdr>
        <w:top w:val="none" w:sz="0" w:space="0" w:color="auto"/>
        <w:left w:val="none" w:sz="0" w:space="0" w:color="auto"/>
        <w:bottom w:val="none" w:sz="0" w:space="0" w:color="auto"/>
        <w:right w:val="none" w:sz="0" w:space="0" w:color="auto"/>
      </w:divBdr>
    </w:div>
    <w:div w:id="527639632">
      <w:bodyDiv w:val="1"/>
      <w:marLeft w:val="0"/>
      <w:marRight w:val="0"/>
      <w:marTop w:val="0"/>
      <w:marBottom w:val="0"/>
      <w:divBdr>
        <w:top w:val="none" w:sz="0" w:space="0" w:color="auto"/>
        <w:left w:val="none" w:sz="0" w:space="0" w:color="auto"/>
        <w:bottom w:val="none" w:sz="0" w:space="0" w:color="auto"/>
        <w:right w:val="none" w:sz="0" w:space="0" w:color="auto"/>
      </w:divBdr>
    </w:div>
    <w:div w:id="852453157">
      <w:bodyDiv w:val="1"/>
      <w:marLeft w:val="0"/>
      <w:marRight w:val="0"/>
      <w:marTop w:val="0"/>
      <w:marBottom w:val="0"/>
      <w:divBdr>
        <w:top w:val="none" w:sz="0" w:space="0" w:color="auto"/>
        <w:left w:val="none" w:sz="0" w:space="0" w:color="auto"/>
        <w:bottom w:val="none" w:sz="0" w:space="0" w:color="auto"/>
        <w:right w:val="none" w:sz="0" w:space="0" w:color="auto"/>
      </w:divBdr>
      <w:divsChild>
        <w:div w:id="1219586754">
          <w:marLeft w:val="0"/>
          <w:marRight w:val="0"/>
          <w:marTop w:val="0"/>
          <w:marBottom w:val="0"/>
          <w:divBdr>
            <w:top w:val="none" w:sz="0" w:space="0" w:color="auto"/>
            <w:left w:val="none" w:sz="0" w:space="0" w:color="auto"/>
            <w:bottom w:val="none" w:sz="0" w:space="0" w:color="auto"/>
            <w:right w:val="none" w:sz="0" w:space="0" w:color="auto"/>
          </w:divBdr>
        </w:div>
      </w:divsChild>
    </w:div>
    <w:div w:id="1072921991">
      <w:bodyDiv w:val="1"/>
      <w:marLeft w:val="0"/>
      <w:marRight w:val="0"/>
      <w:marTop w:val="0"/>
      <w:marBottom w:val="0"/>
      <w:divBdr>
        <w:top w:val="none" w:sz="0" w:space="0" w:color="auto"/>
        <w:left w:val="none" w:sz="0" w:space="0" w:color="auto"/>
        <w:bottom w:val="none" w:sz="0" w:space="0" w:color="auto"/>
        <w:right w:val="none" w:sz="0" w:space="0" w:color="auto"/>
      </w:divBdr>
    </w:div>
    <w:div w:id="15142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823</ap:Words>
  <ap:Characters>4696</ap:Characters>
  <ap:Application>Microsoft Office Word</ap:Application>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_</vt:lpstr>
    </vt:vector>
  </ap:TitlesOfParts>
  <ap:Company/>
  <ap:LinksUpToDate>false</ap:LinksUpToDate>
  <ap:CharactersWithSpaces>5508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2007-03-27T17:20:00Z</cp:lastPrinted>
  <dcterms:created xsi:type="dcterms:W3CDTF">2026-04-29T11:31:18Z</dcterms:created>
  <dcterms:modified xsi:type="dcterms:W3CDTF">2026-04-29T11:31:18Z</dcterms:modified>
</cp:coreProperties>
</file>