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13769B" w:rsidRDefault="00E74ACF" w14:paraId="73AA69B6" w14:textId="10E8C129">
      <w:pPr>
        <w:tabs>
          <w:tab w:val="center" w:pos="4680"/>
          <w:tab w:val="right" w:pos="9360"/>
        </w:tabs>
        <w:spacing w:line="240" w:lineRule="auto"/>
        <w:ind w:firstLine="0"/>
      </w:pPr>
      <w:r>
        <w:t>CPED/TCU/</w:t>
      </w:r>
      <w:r w:rsidR="00134295">
        <w:t>CN1</w:t>
      </w:r>
      <w:r w:rsidR="007E0FEE">
        <w:tab/>
      </w:r>
      <w:r w:rsidR="009003C6">
        <w:tab/>
      </w:r>
      <w:r w:rsidR="00B00D0F">
        <w:rPr>
          <w:b/>
        </w:rPr>
        <w:t>Date of Issuance:</w:t>
      </w:r>
      <w:r w:rsidR="009C2764">
        <w:rPr>
          <w:b/>
        </w:rPr>
        <w:t xml:space="preserve"> </w:t>
      </w:r>
      <w:r w:rsidR="00BA2912">
        <w:rPr>
          <w:bCs/>
        </w:rPr>
        <w:t>April 29</w:t>
      </w:r>
      <w:r w:rsidR="00C87D8D">
        <w:rPr>
          <w:bCs/>
        </w:rPr>
        <w:t>,</w:t>
      </w:r>
      <w:r w:rsidR="00BA2912">
        <w:rPr>
          <w:bCs/>
        </w:rPr>
        <w:t xml:space="preserve"> 2026</w:t>
      </w:r>
    </w:p>
    <w:p w:rsidR="00674059" w:rsidP="0098655A" w:rsidRDefault="00674059" w14:paraId="3385A66F" w14:textId="77777777">
      <w:pPr>
        <w:ind w:left="1080" w:hanging="1080"/>
      </w:pPr>
    </w:p>
    <w:p w:rsidRPr="00EE3060" w:rsidR="00DA7B5D" w:rsidP="0098655A" w:rsidRDefault="00DA7B5D" w14:paraId="6BA65164" w14:textId="00692E20">
      <w:pPr>
        <w:ind w:left="1080" w:hanging="1080"/>
      </w:pPr>
      <w:r>
        <w:t>Decision</w:t>
      </w:r>
      <w:r w:rsidR="006D1E04">
        <w:t xml:space="preserve"> </w:t>
      </w:r>
      <w:r w:rsidR="00131600">
        <w:t>26-04-025</w:t>
      </w:r>
    </w:p>
    <w:p w:rsidR="00DA7B5D" w:rsidP="00BB0243" w:rsidRDefault="00DA7B5D" w14:paraId="668D6748" w14:textId="77777777">
      <w:pPr>
        <w:spacing w:line="240" w:lineRule="auto"/>
        <w:jc w:val="center"/>
        <w:rPr>
          <w:u w:val="single"/>
        </w:rPr>
      </w:pPr>
    </w:p>
    <w:p w:rsidR="00DA7B5D" w:rsidP="00BB0243" w:rsidRDefault="00DA7B5D" w14:paraId="59C01C0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9003C6" w:rsidP="008F0116" w:rsidRDefault="009003C6" w14:paraId="73AC081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3178FF58" w14:paraId="74DB8815" w14:textId="77777777">
        <w:tc>
          <w:tcPr>
            <w:tcW w:w="4675" w:type="dxa"/>
            <w:tcBorders>
              <w:top w:val="nil"/>
              <w:left w:val="nil"/>
              <w:bottom w:val="single" w:color="auto" w:sz="4" w:space="0"/>
              <w:right w:val="single" w:color="auto" w:sz="4" w:space="0"/>
            </w:tcBorders>
          </w:tcPr>
          <w:p w:rsidRPr="00E74ACF" w:rsidR="00DA7B5D" w:rsidP="00747453" w:rsidRDefault="004E1189" w14:paraId="37CF8F11" w14:textId="6D6BA2D9">
            <w:pPr>
              <w:spacing w:line="240" w:lineRule="auto"/>
              <w:ind w:firstLine="0"/>
              <w:jc w:val="both"/>
              <w:rPr>
                <w:rFonts w:ascii="Arial" w:hAnsi="Arial" w:cs="Arial"/>
                <w:color w:val="000000"/>
                <w:sz w:val="18"/>
                <w:szCs w:val="18"/>
              </w:rPr>
            </w:pPr>
            <w:r w:rsidRPr="004E1189">
              <w:rPr>
                <w:rStyle w:val="displayonly"/>
                <w:rFonts w:cs="Arial"/>
                <w:color w:val="000000" w:themeColor="text1"/>
              </w:rPr>
              <w:t>In the Matter of the Application of Santa Barbara Airbus, Inc. d/b/a Santa Barbara Airbus (PSC-1262) for Authority to Increase Base Fares and Continue to Maintain a Zone of Rate Freedom.</w:t>
            </w:r>
          </w:p>
        </w:tc>
        <w:tc>
          <w:tcPr>
            <w:tcW w:w="4675" w:type="dxa"/>
            <w:tcBorders>
              <w:top w:val="nil"/>
              <w:left w:val="single" w:color="auto" w:sz="4" w:space="0"/>
              <w:bottom w:val="nil"/>
              <w:right w:val="nil"/>
            </w:tcBorders>
            <w:vAlign w:val="center"/>
          </w:tcPr>
          <w:p w:rsidR="00A46852" w:rsidP="00A46852" w:rsidRDefault="002F141E" w14:paraId="4BF7E97A" w14:textId="2B805136">
            <w:pPr>
              <w:spacing w:line="276" w:lineRule="auto"/>
              <w:ind w:firstLine="0"/>
            </w:pPr>
            <w:r>
              <w:t xml:space="preserve">       </w:t>
            </w:r>
            <w:r w:rsidR="00A46852">
              <w:t xml:space="preserve"> Application </w:t>
            </w:r>
            <w:r w:rsidR="00A2357F">
              <w:t>25</w:t>
            </w:r>
            <w:r w:rsidR="00986BC6">
              <w:t>-</w:t>
            </w:r>
            <w:r w:rsidR="00A2357F">
              <w:t>10</w:t>
            </w:r>
            <w:r w:rsidR="00986BC6">
              <w:t>-</w:t>
            </w:r>
            <w:r w:rsidR="00CE4426">
              <w:t>0</w:t>
            </w:r>
            <w:r w:rsidR="00DE61D8">
              <w:t>0</w:t>
            </w:r>
            <w:r w:rsidR="00A2357F">
              <w:t>2</w:t>
            </w:r>
          </w:p>
          <w:p w:rsidRPr="00DA7B5D" w:rsidR="00DA7B5D" w:rsidP="00A46852" w:rsidRDefault="00A46852" w14:paraId="30B041DD" w14:textId="1AD0E043">
            <w:pPr>
              <w:spacing w:line="276" w:lineRule="auto"/>
              <w:ind w:firstLine="0"/>
              <w:jc w:val="center"/>
              <w:rPr>
                <w:rFonts w:cs="Arial"/>
                <w:szCs w:val="26"/>
              </w:rPr>
            </w:pPr>
            <w:r>
              <w:t xml:space="preserve">(Filed </w:t>
            </w:r>
            <w:r w:rsidR="00A2357F">
              <w:t>October</w:t>
            </w:r>
            <w:r w:rsidR="00DE61D8">
              <w:t xml:space="preserve"> </w:t>
            </w:r>
            <w:r w:rsidR="00A2357F">
              <w:t>6</w:t>
            </w:r>
            <w:r w:rsidR="00986BC6">
              <w:t>, 202</w:t>
            </w:r>
            <w:r w:rsidR="00A2357F">
              <w:t>5</w:t>
            </w:r>
            <w:r>
              <w:t>)</w:t>
            </w:r>
          </w:p>
        </w:tc>
      </w:tr>
    </w:tbl>
    <w:p w:rsidR="00AC575F" w:rsidP="00591B23" w:rsidRDefault="00AC575F" w14:paraId="5B04F562" w14:textId="77777777">
      <w:pPr>
        <w:pStyle w:val="Dummy"/>
        <w:spacing w:after="240"/>
        <w:jc w:val="center"/>
      </w:pPr>
    </w:p>
    <w:p w:rsidR="0098655A" w:rsidP="00591B23" w:rsidRDefault="00E74ACF" w14:paraId="13468B9F" w14:textId="6E9E1E46">
      <w:pPr>
        <w:pStyle w:val="Dummy"/>
        <w:spacing w:after="240"/>
        <w:jc w:val="center"/>
      </w:pPr>
      <w:r>
        <w:t>EXECUTIVE DIRECTOR’S ORDER</w:t>
      </w:r>
    </w:p>
    <w:p w:rsidR="005A148C" w:rsidP="005A148C" w:rsidRDefault="005A148C" w14:paraId="146709E9" w14:textId="38B81F6D">
      <w:pPr>
        <w:pStyle w:val="Dummy"/>
      </w:pPr>
      <w:bookmarkStart w:name="_Toc8123714" w:id="0"/>
      <w:bookmarkStart w:name="_Toc12866683" w:id="1"/>
      <w:r>
        <w:t>Summary</w:t>
      </w:r>
      <w:bookmarkEnd w:id="0"/>
      <w:bookmarkEnd w:id="1"/>
    </w:p>
    <w:p w:rsidR="00285446" w:rsidP="00DE61D8" w:rsidRDefault="005A148C" w14:paraId="7DFF1D26" w14:textId="58FB88E5">
      <w:pPr>
        <w:pStyle w:val="Standard"/>
        <w:jc w:val="both"/>
      </w:pPr>
      <w:r>
        <w:t>T</w:t>
      </w:r>
      <w:r w:rsidR="00481FF2">
        <w:t xml:space="preserve">his decision grants the application of </w:t>
      </w:r>
      <w:r w:rsidR="004142F0">
        <w:t>Santa Barbara Airbus</w:t>
      </w:r>
      <w:r w:rsidR="00DE61D8">
        <w:t>, Inc.</w:t>
      </w:r>
      <w:r w:rsidR="00BA45A6">
        <w:t xml:space="preserve"> (</w:t>
      </w:r>
      <w:r w:rsidRPr="722B42A9" w:rsidR="00BA45A6">
        <w:rPr>
          <w:rStyle w:val="displayonly"/>
          <w:rFonts w:cs="Arial"/>
          <w:color w:val="000000" w:themeColor="text1"/>
        </w:rPr>
        <w:t>PSC</w:t>
      </w:r>
      <w:r w:rsidR="00071197">
        <w:rPr>
          <w:rStyle w:val="displayonly"/>
          <w:rFonts w:cs="Arial"/>
          <w:color w:val="000000" w:themeColor="text1"/>
        </w:rPr>
        <w:t>-</w:t>
      </w:r>
      <w:r w:rsidR="004142F0">
        <w:rPr>
          <w:rStyle w:val="displayonly"/>
          <w:rFonts w:cs="Arial"/>
          <w:color w:val="000000" w:themeColor="text1"/>
        </w:rPr>
        <w:t>1262</w:t>
      </w:r>
      <w:r w:rsidRPr="722B42A9" w:rsidR="00BA45A6">
        <w:rPr>
          <w:rStyle w:val="displayonly"/>
          <w:rFonts w:cs="Arial"/>
          <w:color w:val="000000" w:themeColor="text1"/>
        </w:rPr>
        <w:t>)</w:t>
      </w:r>
      <w:r w:rsidR="00986BC6">
        <w:t>,</w:t>
      </w:r>
      <w:r w:rsidR="00481FF2">
        <w:t xml:space="preserve"> </w:t>
      </w:r>
      <w:r w:rsidR="2C8F528B">
        <w:t xml:space="preserve">doing business as </w:t>
      </w:r>
      <w:r w:rsidR="004142F0">
        <w:t xml:space="preserve">Santa Barbara Airbus, </w:t>
      </w:r>
      <w:r w:rsidR="00481FF2">
        <w:t>a California</w:t>
      </w:r>
      <w:r w:rsidR="00DE61D8">
        <w:t xml:space="preserve"> corporation</w:t>
      </w:r>
      <w:r w:rsidR="00BA45A6">
        <w:t xml:space="preserve">, </w:t>
      </w:r>
      <w:r w:rsidR="00DE61D8">
        <w:t xml:space="preserve">to increase its current fares and to maintain a Zone of Rate Freedom pursuant to </w:t>
      </w:r>
      <w:r w:rsidR="00E31268">
        <w:t xml:space="preserve">Public Utilities </w:t>
      </w:r>
      <w:r w:rsidR="00DE61D8">
        <w:t xml:space="preserve">Code § 454.2. This application was filed pursuant to the procedures adopted in Decision 15-05-029. </w:t>
      </w:r>
    </w:p>
    <w:p w:rsidR="00285446" w:rsidP="00DE61D8" w:rsidRDefault="00285446" w14:paraId="1E17A334" w14:textId="3ED7744C">
      <w:pPr>
        <w:pStyle w:val="Standard"/>
        <w:jc w:val="both"/>
      </w:pPr>
      <w:r>
        <w:t xml:space="preserve">The </w:t>
      </w:r>
      <w:r w:rsidR="001A352D">
        <w:t>a</w:t>
      </w:r>
      <w:r>
        <w:t>pplication is granted.</w:t>
      </w:r>
    </w:p>
    <w:p w:rsidR="00DE61D8" w:rsidP="00DE61D8" w:rsidRDefault="00DE61D8" w14:paraId="72D098EA" w14:textId="6BC1FF8A">
      <w:pPr>
        <w:pStyle w:val="Standard"/>
        <w:jc w:val="both"/>
      </w:pPr>
      <w:r>
        <w:t>Th</w:t>
      </w:r>
      <w:r w:rsidR="00374752">
        <w:t>e</w:t>
      </w:r>
      <w:r>
        <w:t xml:space="preserve"> proceeding is closed.</w:t>
      </w:r>
    </w:p>
    <w:p w:rsidR="0063491C" w:rsidP="0063491C" w:rsidRDefault="0063491C" w14:paraId="479DFBC5" w14:textId="77777777">
      <w:pPr>
        <w:pStyle w:val="Heading2"/>
      </w:pPr>
      <w:bookmarkStart w:name="_Toc8123716" w:id="2"/>
      <w:bookmarkStart w:name="_Toc12866685" w:id="3"/>
      <w:r>
        <w:t>Factual Background</w:t>
      </w:r>
      <w:bookmarkEnd w:id="2"/>
      <w:bookmarkEnd w:id="3"/>
    </w:p>
    <w:p w:rsidR="006B53E4" w:rsidP="009051EB" w:rsidRDefault="00374752" w14:paraId="57207579" w14:textId="0110CA3F">
      <w:pPr>
        <w:pStyle w:val="Standard"/>
        <w:jc w:val="both"/>
      </w:pPr>
      <w:bookmarkStart w:name="_Toc8123717" w:id="4"/>
      <w:bookmarkStart w:name="_Toc12866686" w:id="5"/>
      <w:r>
        <w:t>Santa Barbara Airbus, Inc.</w:t>
      </w:r>
      <w:r w:rsidRPr="00CBC1E9">
        <w:rPr>
          <w:rStyle w:val="displayonly"/>
          <w:rFonts w:cs="Arial"/>
          <w:color w:val="000000" w:themeColor="text1"/>
        </w:rPr>
        <w:t xml:space="preserve"> </w:t>
      </w:r>
      <w:r w:rsidRPr="00CBC1E9" w:rsidR="00291F07">
        <w:rPr>
          <w:rStyle w:val="displayonly"/>
          <w:rFonts w:cs="Arial"/>
          <w:color w:val="000000" w:themeColor="text1"/>
        </w:rPr>
        <w:t>(Applicant)</w:t>
      </w:r>
      <w:r w:rsidR="00CE4426">
        <w:t xml:space="preserve">, </w:t>
      </w:r>
      <w:r w:rsidR="001A352D">
        <w:t xml:space="preserve">doing business as </w:t>
      </w:r>
      <w:r>
        <w:t>Santa Barbara Airbus</w:t>
      </w:r>
      <w:r w:rsidR="30ED2CC0">
        <w:t xml:space="preserve">, </w:t>
      </w:r>
      <w:r w:rsidR="00CE4426">
        <w:t xml:space="preserve">a California </w:t>
      </w:r>
      <w:r w:rsidR="00CF18BE">
        <w:t>c</w:t>
      </w:r>
      <w:r w:rsidR="00DE61D8">
        <w:t>orporation</w:t>
      </w:r>
      <w:r w:rsidR="00CE4426">
        <w:t>,</w:t>
      </w:r>
      <w:r w:rsidR="00E2512C">
        <w:t xml:space="preserve"> currently holds a Passenger Stage Corporation (PSC) Certificate of Public Convenience and Necessity (CPCN)</w:t>
      </w:r>
      <w:r w:rsidR="007B4EF4">
        <w:t xml:space="preserve"> (PSC-1262)</w:t>
      </w:r>
      <w:r w:rsidR="00312DF0">
        <w:t xml:space="preserve"> and a Transportation Charter-Party Carrier (TCP) “A” Certi</w:t>
      </w:r>
      <w:r w:rsidR="00E205B9">
        <w:t>ficate (TCP</w:t>
      </w:r>
      <w:r w:rsidR="007B4EF4">
        <w:t>-</w:t>
      </w:r>
      <w:r w:rsidR="00E205B9">
        <w:t>1262A).</w:t>
      </w:r>
      <w:r w:rsidR="00DF4770">
        <w:t xml:space="preserve"> </w:t>
      </w:r>
    </w:p>
    <w:p w:rsidR="00C63334" w:rsidP="00315ABF" w:rsidRDefault="006B1819" w14:paraId="7C3DDBFA" w14:textId="19539163">
      <w:pPr>
        <w:pStyle w:val="Standard"/>
        <w:jc w:val="both"/>
      </w:pPr>
      <w:r>
        <w:t>Applicant is</w:t>
      </w:r>
      <w:r w:rsidR="001B3153">
        <w:t xml:space="preserve"> currently</w:t>
      </w:r>
      <w:r>
        <w:t xml:space="preserve"> au</w:t>
      </w:r>
      <w:r w:rsidR="000F7136">
        <w:t>thorized to transport passengers</w:t>
      </w:r>
      <w:r w:rsidR="00F411FA">
        <w:t xml:space="preserve"> and baggage on a scheduled and “on-call” basis </w:t>
      </w:r>
      <w:r w:rsidR="00235EEA">
        <w:t>from points in</w:t>
      </w:r>
      <w:r w:rsidR="009032F4">
        <w:t xml:space="preserve"> Los Angeles,</w:t>
      </w:r>
      <w:r w:rsidR="00235EEA">
        <w:t xml:space="preserve"> San Luis Obispo, Santa Barbara, and Ventura Counties </w:t>
      </w:r>
      <w:r w:rsidR="004232F6">
        <w:t xml:space="preserve">and Los Angeles International Airport (LAX), </w:t>
      </w:r>
      <w:r w:rsidR="004232F6">
        <w:lastRenderedPageBreak/>
        <w:t>Burbank-Glendale-Pasadena</w:t>
      </w:r>
      <w:r w:rsidR="0044035F">
        <w:t xml:space="preserve"> </w:t>
      </w:r>
      <w:r w:rsidR="004232F6">
        <w:t>Airport (BUR)</w:t>
      </w:r>
      <w:r w:rsidR="00945247">
        <w:t>,</w:t>
      </w:r>
      <w:r w:rsidR="00B13047">
        <w:t xml:space="preserve"> Santa Barbara Municipal Airport (SBA),</w:t>
      </w:r>
      <w:r w:rsidR="00945247">
        <w:t xml:space="preserve"> and San Luis Obispo Airport (SLO)</w:t>
      </w:r>
      <w:r w:rsidR="00B13047">
        <w:t>.</w:t>
      </w:r>
      <w:r w:rsidR="00315ABF">
        <w:t xml:space="preserve"> </w:t>
      </w:r>
      <w:r w:rsidR="006B53E4">
        <w:t xml:space="preserve">The current CPCN </w:t>
      </w:r>
      <w:r w:rsidR="00695B57">
        <w:t xml:space="preserve">was </w:t>
      </w:r>
      <w:r w:rsidR="00071197">
        <w:t>last</w:t>
      </w:r>
      <w:r w:rsidR="00695B57">
        <w:t xml:space="preserve"> amended by</w:t>
      </w:r>
      <w:r w:rsidR="00C83131">
        <w:t xml:space="preserve"> Decision (D.)</w:t>
      </w:r>
      <w:r w:rsidR="00695B57">
        <w:t xml:space="preserve"> 04-04-057 in which the Commission </w:t>
      </w:r>
      <w:r w:rsidR="00693FB0">
        <w:t>granted</w:t>
      </w:r>
      <w:r w:rsidR="00695B57">
        <w:t xml:space="preserve"> </w:t>
      </w:r>
      <w:r w:rsidR="009E6EB9">
        <w:t xml:space="preserve">the transfer of the </w:t>
      </w:r>
      <w:r w:rsidR="00855FD8">
        <w:t xml:space="preserve">PSC Certificate </w:t>
      </w:r>
      <w:r w:rsidR="008041BD">
        <w:t xml:space="preserve">of the former Great American </w:t>
      </w:r>
      <w:proofErr w:type="spellStart"/>
      <w:r w:rsidR="008041BD">
        <w:t>Stageline</w:t>
      </w:r>
      <w:proofErr w:type="spellEnd"/>
      <w:r w:rsidR="008041BD">
        <w:t>, Inc.</w:t>
      </w:r>
      <w:r w:rsidR="00FD5E9D">
        <w:t xml:space="preserve"> (PSC-962)</w:t>
      </w:r>
      <w:r w:rsidR="008041BD">
        <w:t xml:space="preserve"> to Applicant</w:t>
      </w:r>
      <w:r w:rsidR="000F7F7B">
        <w:t>, establishing the current</w:t>
      </w:r>
      <w:r w:rsidR="00315ABF">
        <w:t>ly</w:t>
      </w:r>
      <w:r w:rsidR="00693FB0">
        <w:t xml:space="preserve"> authorized</w:t>
      </w:r>
      <w:r w:rsidR="000F7F7B">
        <w:t xml:space="preserve"> routes and service area</w:t>
      </w:r>
      <w:r w:rsidR="00315ABF">
        <w:t>s</w:t>
      </w:r>
      <w:r w:rsidR="000F7F7B">
        <w:t xml:space="preserve">. </w:t>
      </w:r>
      <w:r w:rsidR="00DF4770">
        <w:t>Applicant’s CPCN was originally</w:t>
      </w:r>
      <w:r w:rsidR="00E31268">
        <w:t xml:space="preserve"> granted</w:t>
      </w:r>
      <w:r w:rsidR="008A4887">
        <w:t xml:space="preserve"> </w:t>
      </w:r>
      <w:r w:rsidR="00DE61D8">
        <w:t xml:space="preserve">by </w:t>
      </w:r>
      <w:r w:rsidR="006B4BB4">
        <w:t>D.</w:t>
      </w:r>
      <w:r w:rsidR="0032776E">
        <w:t>8</w:t>
      </w:r>
      <w:r w:rsidR="0014616A">
        <w:t>2</w:t>
      </w:r>
      <w:r w:rsidR="006B4BB4">
        <w:t>-</w:t>
      </w:r>
      <w:r w:rsidR="0014616A">
        <w:t>10-067</w:t>
      </w:r>
      <w:r w:rsidR="006B4BB4">
        <w:t>.</w:t>
      </w:r>
      <w:r w:rsidR="00E31268">
        <w:t xml:space="preserve"> </w:t>
      </w:r>
    </w:p>
    <w:p w:rsidR="00A10971" w:rsidP="00A10971" w:rsidRDefault="009D7CE1" w14:paraId="16055FDB" w14:textId="6155D0C9">
      <w:pPr>
        <w:pStyle w:val="Standard"/>
        <w:jc w:val="both"/>
      </w:pPr>
      <w:r>
        <w:t>Applicant</w:t>
      </w:r>
      <w:r w:rsidRPr="00DE61D8" w:rsidR="00DE61D8">
        <w:t xml:space="preserve"> requests</w:t>
      </w:r>
      <w:r w:rsidR="00A10971">
        <w:t xml:space="preserve"> to</w:t>
      </w:r>
      <w:r w:rsidRPr="00DE61D8" w:rsidR="00DE61D8">
        <w:t xml:space="preserve"> </w:t>
      </w:r>
      <w:r w:rsidR="0013230E">
        <w:t>increase</w:t>
      </w:r>
      <w:r w:rsidR="00234228">
        <w:t xml:space="preserve"> its prepaid and non-prepaid</w:t>
      </w:r>
      <w:r w:rsidR="0013230E">
        <w:t xml:space="preserve"> fares</w:t>
      </w:r>
      <w:r w:rsidR="004F7AA8">
        <w:t xml:space="preserve"> </w:t>
      </w:r>
      <w:r w:rsidR="001B51D4">
        <w:t>for</w:t>
      </w:r>
      <w:r w:rsidR="00991356">
        <w:t xml:space="preserve"> its Route 1 service</w:t>
      </w:r>
      <w:r w:rsidR="001B51D4">
        <w:t xml:space="preserve"> </w:t>
      </w:r>
      <w:r w:rsidR="002E715D">
        <w:t>(</w:t>
      </w:r>
      <w:r w:rsidR="001B51D4">
        <w:t>to and from LAX</w:t>
      </w:r>
      <w:r w:rsidR="002E715D">
        <w:t>)</w:t>
      </w:r>
      <w:r w:rsidR="0013230E">
        <w:t xml:space="preserve"> and </w:t>
      </w:r>
      <w:r w:rsidR="00991356">
        <w:t xml:space="preserve">its Route 2 service </w:t>
      </w:r>
      <w:r w:rsidR="002E715D">
        <w:t>(</w:t>
      </w:r>
      <w:r w:rsidR="00991356">
        <w:t>to and from SB</w:t>
      </w:r>
      <w:r w:rsidR="0069135A">
        <w:t>A</w:t>
      </w:r>
      <w:r w:rsidR="002E715D">
        <w:t>)</w:t>
      </w:r>
      <w:r w:rsidR="0069135A">
        <w:t xml:space="preserve">, to </w:t>
      </w:r>
      <w:r w:rsidR="0079120A">
        <w:t xml:space="preserve">remove </w:t>
      </w:r>
      <w:r w:rsidR="00A226BF">
        <w:t xml:space="preserve">certain discounts </w:t>
      </w:r>
      <w:r w:rsidR="0061419B">
        <w:t xml:space="preserve">on those routes </w:t>
      </w:r>
      <w:r w:rsidR="00A226BF">
        <w:t>for multiple passengers and round-trip fares</w:t>
      </w:r>
      <w:r w:rsidR="0069135A">
        <w:t xml:space="preserve">, and to modify the </w:t>
      </w:r>
      <w:r w:rsidR="00DA20A0">
        <w:t>design</w:t>
      </w:r>
      <w:r w:rsidR="00B6729B">
        <w:t xml:space="preserve"> of its Commuter Program Fares and Bulk Purchase Discount</w:t>
      </w:r>
      <w:r w:rsidR="00FB2E9A">
        <w:t>.</w:t>
      </w:r>
      <w:r w:rsidR="00B6729B">
        <w:t xml:space="preserve"> </w:t>
      </w:r>
      <w:r w:rsidR="00814F56">
        <w:t>In addition, Applicant requests to maintain its current Zone of Rate Freedom</w:t>
      </w:r>
      <w:r w:rsidR="00AE3971">
        <w:t xml:space="preserve"> (ZORF)</w:t>
      </w:r>
      <w:r w:rsidR="00814F56">
        <w:t xml:space="preserve"> </w:t>
      </w:r>
      <w:r w:rsidR="00046A9F">
        <w:t>to adjust fares up to</w:t>
      </w:r>
      <w:r w:rsidR="00AE3971">
        <w:t xml:space="preserve"> fifteen percent (15%) above </w:t>
      </w:r>
      <w:r w:rsidR="00046A9F">
        <w:t>or</w:t>
      </w:r>
      <w:r w:rsidR="00AE3971">
        <w:t xml:space="preserve"> below the proposed base fares.</w:t>
      </w:r>
    </w:p>
    <w:p w:rsidR="0063491C" w:rsidP="00AC3F58" w:rsidRDefault="0063491C" w14:paraId="681BE49F" w14:textId="77777777">
      <w:pPr>
        <w:pStyle w:val="Heading2"/>
        <w:jc w:val="both"/>
      </w:pPr>
      <w:r>
        <w:t>Procedural Background</w:t>
      </w:r>
      <w:bookmarkEnd w:id="4"/>
      <w:bookmarkEnd w:id="5"/>
    </w:p>
    <w:p w:rsidRPr="0061553D" w:rsidR="00EE3060" w:rsidP="00AC3F58" w:rsidRDefault="00D34FAB" w14:paraId="111E8F8A" w14:textId="4EB9DD62">
      <w:pPr>
        <w:pStyle w:val="Standard"/>
        <w:jc w:val="both"/>
      </w:pPr>
      <w:r w:rsidRPr="0061553D">
        <w:t xml:space="preserve">This application is </w:t>
      </w:r>
      <w:r w:rsidRPr="0061553D" w:rsidR="005A5FA1">
        <w:t>granted</w:t>
      </w:r>
      <w:r w:rsidRPr="0061553D">
        <w:t xml:space="preserve"> pursuant to the procedures adopted </w:t>
      </w:r>
      <w:proofErr w:type="gramStart"/>
      <w:r w:rsidRPr="0061553D">
        <w:t>in</w:t>
      </w:r>
      <w:proofErr w:type="gramEnd"/>
      <w:r w:rsidRPr="0061553D">
        <w:t xml:space="preserve"> </w:t>
      </w:r>
      <w:r w:rsidR="007D6C8C">
        <w:t>D.</w:t>
      </w:r>
      <w:r w:rsidRPr="0061553D">
        <w:t>15-05-029.</w:t>
      </w:r>
    </w:p>
    <w:p w:rsidR="00641550" w:rsidP="00AC3F58" w:rsidRDefault="00641550" w14:paraId="5C756A90" w14:textId="77777777">
      <w:pPr>
        <w:pStyle w:val="Heading2"/>
        <w:jc w:val="both"/>
      </w:pPr>
      <w:r>
        <w:t>Submission Date</w:t>
      </w:r>
    </w:p>
    <w:p w:rsidRPr="0061553D" w:rsidR="00641550" w:rsidP="00AC3F58" w:rsidRDefault="00641550" w14:paraId="1F85F074" w14:textId="69D76C77">
      <w:pPr>
        <w:pStyle w:val="Standard"/>
        <w:jc w:val="both"/>
      </w:pPr>
      <w:r w:rsidRPr="0061553D">
        <w:t xml:space="preserve">This matter was submitted on </w:t>
      </w:r>
      <w:r w:rsidR="00B04FBC">
        <w:t>October 6</w:t>
      </w:r>
      <w:r w:rsidR="00025AE8">
        <w:t>, 202</w:t>
      </w:r>
      <w:r w:rsidR="00B04FBC">
        <w:t>5</w:t>
      </w:r>
      <w:r w:rsidRPr="0061553D">
        <w:t>.</w:t>
      </w:r>
    </w:p>
    <w:p w:rsidR="005A148C" w:rsidP="00AC3F58" w:rsidRDefault="0063491C" w14:paraId="70665952" w14:textId="1E9CD9A9">
      <w:pPr>
        <w:pStyle w:val="Heading1"/>
        <w:ind w:left="720" w:hanging="720"/>
        <w:jc w:val="both"/>
      </w:pPr>
      <w:bookmarkStart w:name="_Toc8123718" w:id="6"/>
      <w:bookmarkStart w:name="_Toc12866687" w:id="7"/>
      <w:r>
        <w:t>Jurisdiction</w:t>
      </w:r>
      <w:bookmarkEnd w:id="6"/>
      <w:bookmarkEnd w:id="7"/>
    </w:p>
    <w:p w:rsidRPr="0061553D" w:rsidR="0063491C" w:rsidP="00AC3F58" w:rsidRDefault="00D34FAB" w14:paraId="217D8E0F" w14:textId="39EFC251">
      <w:pPr>
        <w:pStyle w:val="Standard"/>
        <w:jc w:val="both"/>
      </w:pPr>
      <w:r w:rsidRPr="0061553D">
        <w:t>The CPUC regulate</w:t>
      </w:r>
      <w:r w:rsidRPr="0061553D" w:rsidR="007A7696">
        <w:t>s</w:t>
      </w:r>
      <w:r w:rsidRPr="0061553D">
        <w:t xml:space="preserve"> PSCs pursuant to California Public Utilities</w:t>
      </w:r>
      <w:r w:rsidRPr="0061553D" w:rsidR="007A7696">
        <w:t xml:space="preserve"> (Pub. Util.)</w:t>
      </w:r>
      <w:r w:rsidRPr="0061553D">
        <w:t xml:space="preserve"> Code §</w:t>
      </w:r>
      <w:r w:rsidR="00653E51">
        <w:t xml:space="preserve"> </w:t>
      </w:r>
      <w:r w:rsidRPr="0061553D">
        <w:t>1031 et seq.</w:t>
      </w:r>
      <w:r w:rsidR="00175FE5">
        <w:t xml:space="preserve"> A</w:t>
      </w:r>
      <w:r w:rsidRPr="0061553D" w:rsidR="007A7696">
        <w:t xml:space="preserve">pplications </w:t>
      </w:r>
      <w:r w:rsidR="004E5C8C">
        <w:t>to increase fares</w:t>
      </w:r>
      <w:r w:rsidR="00025AE8">
        <w:t xml:space="preserve"> </w:t>
      </w:r>
      <w:r w:rsidRPr="0061553D" w:rsidR="007A7696">
        <w:t>are governed by</w:t>
      </w:r>
      <w:r w:rsidR="004E5C8C">
        <w:t xml:space="preserve"> Pub. Util. Code §§ 454 and</w:t>
      </w:r>
      <w:r w:rsidRPr="0061553D" w:rsidR="004E5C8C">
        <w:t xml:space="preserve"> </w:t>
      </w:r>
      <w:r w:rsidR="004E5C8C">
        <w:t xml:space="preserve">454.2 and </w:t>
      </w:r>
      <w:r w:rsidRPr="0061553D">
        <w:t xml:space="preserve">the Commission’s Rules of Practice and </w:t>
      </w:r>
      <w:r w:rsidRPr="0061553D" w:rsidR="007A7696">
        <w:t>Procedure</w:t>
      </w:r>
      <w:r w:rsidR="00621059">
        <w:t xml:space="preserve"> </w:t>
      </w:r>
      <w:r w:rsidR="007D6C8C">
        <w:t>(Rules)</w:t>
      </w:r>
      <w:r w:rsidRPr="0061553D" w:rsidR="007A7696">
        <w:t>, Rule 3.</w:t>
      </w:r>
      <w:r w:rsidR="004E5C8C">
        <w:t>2</w:t>
      </w:r>
      <w:r w:rsidRPr="0061553D" w:rsidR="007A7696">
        <w:t>.</w:t>
      </w:r>
    </w:p>
    <w:p w:rsidR="005A148C" w:rsidP="00AC3F58" w:rsidRDefault="005939A5" w14:paraId="68BFA53F" w14:textId="77777777">
      <w:pPr>
        <w:pStyle w:val="Heading1"/>
        <w:ind w:left="720" w:hanging="720"/>
        <w:jc w:val="both"/>
      </w:pPr>
      <w:bookmarkStart w:name="_Toc8123719" w:id="8"/>
      <w:bookmarkStart w:name="_Toc12866688" w:id="9"/>
      <w:r>
        <w:t>Issues Before the Commission</w:t>
      </w:r>
      <w:bookmarkEnd w:id="8"/>
      <w:bookmarkEnd w:id="9"/>
    </w:p>
    <w:p w:rsidRPr="0061553D" w:rsidR="005A5FA1" w:rsidP="00AC3F58" w:rsidRDefault="005A5FA1" w14:paraId="200DEE0D" w14:textId="758E3E24">
      <w:pPr>
        <w:pStyle w:val="Standard"/>
        <w:jc w:val="both"/>
      </w:pPr>
      <w:r w:rsidRPr="0061553D">
        <w:t>The issues to be determined or otherwise considered are:</w:t>
      </w:r>
    </w:p>
    <w:p w:rsidRPr="0061553D" w:rsidR="005A5FA1" w:rsidP="00AC3F58" w:rsidRDefault="005A5FA1" w14:paraId="4FDB2238" w14:textId="76376097">
      <w:pPr>
        <w:pStyle w:val="Standard"/>
        <w:numPr>
          <w:ilvl w:val="0"/>
          <w:numId w:val="14"/>
        </w:numPr>
        <w:jc w:val="both"/>
      </w:pPr>
      <w:r w:rsidRPr="0061553D">
        <w:t xml:space="preserve">Whether </w:t>
      </w:r>
      <w:r w:rsidRPr="0061553D" w:rsidR="00707A5B">
        <w:rPr>
          <w:rStyle w:val="displayonly"/>
          <w:rFonts w:cs="Arial"/>
          <w:color w:val="000000" w:themeColor="text1"/>
        </w:rPr>
        <w:t>Applicant</w:t>
      </w:r>
      <w:r w:rsidRPr="0061553D">
        <w:t xml:space="preserve">’s request for a </w:t>
      </w:r>
      <w:r w:rsidR="004E5C8C">
        <w:t xml:space="preserve">fare increase and to </w:t>
      </w:r>
      <w:r w:rsidR="00EC2AF2">
        <w:t>maintain a</w:t>
      </w:r>
      <w:r w:rsidR="004E5C8C">
        <w:t xml:space="preserve"> ZORF</w:t>
      </w:r>
      <w:r w:rsidRPr="0061553D">
        <w:t xml:space="preserve"> meets all Commission requirements </w:t>
      </w:r>
      <w:r w:rsidR="00654AD3">
        <w:t xml:space="preserve">of </w:t>
      </w:r>
      <w:r w:rsidR="004E5C8C">
        <w:t>D.15-05-029 and</w:t>
      </w:r>
      <w:r w:rsidR="00654AD3">
        <w:rPr>
          <w:rStyle w:val="displayonly"/>
          <w:rFonts w:cs="Arial"/>
          <w:color w:val="000000" w:themeColor="text1"/>
        </w:rPr>
        <w:t xml:space="preserve"> the </w:t>
      </w:r>
      <w:r w:rsidR="00654AD3">
        <w:rPr>
          <w:rStyle w:val="displayonly"/>
          <w:rFonts w:cs="Arial"/>
          <w:color w:val="000000" w:themeColor="text1"/>
        </w:rPr>
        <w:lastRenderedPageBreak/>
        <w:t>Commission’s Rules of Practice and Procedures (RPP) Rule 3.</w:t>
      </w:r>
      <w:r w:rsidR="00653E51">
        <w:rPr>
          <w:rStyle w:val="displayonly"/>
          <w:rFonts w:cs="Arial"/>
          <w:color w:val="000000" w:themeColor="text1"/>
        </w:rPr>
        <w:t>2</w:t>
      </w:r>
      <w:r w:rsidR="00654AD3">
        <w:rPr>
          <w:rStyle w:val="displayonly"/>
          <w:rFonts w:cs="Arial"/>
          <w:color w:val="000000" w:themeColor="text1"/>
        </w:rPr>
        <w:t xml:space="preserve"> </w:t>
      </w:r>
      <w:r w:rsidR="00AC1B55">
        <w:rPr>
          <w:rStyle w:val="displayonly"/>
          <w:rFonts w:cs="Arial"/>
          <w:color w:val="000000" w:themeColor="text1"/>
        </w:rPr>
        <w:t>(</w:t>
      </w:r>
      <w:r w:rsidR="00653E51">
        <w:rPr>
          <w:rStyle w:val="displayonly"/>
          <w:rFonts w:cs="Arial"/>
          <w:color w:val="000000" w:themeColor="text1"/>
        </w:rPr>
        <w:t>Authority to Increase Rates</w:t>
      </w:r>
      <w:r w:rsidR="00AC1B55">
        <w:rPr>
          <w:rStyle w:val="displayonly"/>
          <w:rFonts w:cs="Arial"/>
          <w:color w:val="000000" w:themeColor="text1"/>
        </w:rPr>
        <w:t>)</w:t>
      </w:r>
      <w:r w:rsidR="00653E51">
        <w:rPr>
          <w:rStyle w:val="displayonly"/>
          <w:rFonts w:cs="Arial"/>
          <w:color w:val="000000" w:themeColor="text1"/>
        </w:rPr>
        <w:t>;</w:t>
      </w:r>
    </w:p>
    <w:p w:rsidRPr="00A07D8C" w:rsidR="005A5FA1" w:rsidP="00AC3F58" w:rsidRDefault="6F6B05A7" w14:paraId="39F7785E" w14:textId="22CF40F7">
      <w:pPr>
        <w:pStyle w:val="Standard"/>
        <w:numPr>
          <w:ilvl w:val="0"/>
          <w:numId w:val="14"/>
        </w:numPr>
        <w:jc w:val="both"/>
      </w:pPr>
      <w:r w:rsidRPr="00A07D8C">
        <w:t xml:space="preserve">Whether </w:t>
      </w:r>
      <w:r w:rsidRPr="00A07D8C" w:rsidR="00707A5B">
        <w:rPr>
          <w:rStyle w:val="displayonly"/>
          <w:rFonts w:cs="Arial"/>
        </w:rPr>
        <w:t>Applicant</w:t>
      </w:r>
      <w:r w:rsidRPr="00A07D8C" w:rsidR="00707A5B">
        <w:t xml:space="preserve">’s </w:t>
      </w:r>
      <w:r w:rsidRPr="00A07D8C" w:rsidR="005A5FA1">
        <w:t xml:space="preserve">proposed </w:t>
      </w:r>
      <w:r w:rsidR="006862B5">
        <w:t>transportation service</w:t>
      </w:r>
      <w:r w:rsidR="00A35575">
        <w:t>s</w:t>
      </w:r>
      <w:r w:rsidRPr="00A07D8C" w:rsidR="005A5FA1">
        <w:t xml:space="preserve"> </w:t>
      </w:r>
      <w:r w:rsidR="00A35575">
        <w:t>comply</w:t>
      </w:r>
      <w:r w:rsidRPr="00A07D8C" w:rsidR="00A35575">
        <w:t xml:space="preserve"> </w:t>
      </w:r>
      <w:r w:rsidRPr="00A07D8C" w:rsidR="005A5FA1">
        <w:t>with the California Environmental Quality Act (CEQA); and</w:t>
      </w:r>
    </w:p>
    <w:p w:rsidRPr="00A07D8C" w:rsidR="005939A5" w:rsidP="00AC3F58" w:rsidRDefault="0CDE2B50" w14:paraId="1B334CE3" w14:textId="3D09DC8B">
      <w:pPr>
        <w:pStyle w:val="Standard"/>
        <w:numPr>
          <w:ilvl w:val="0"/>
          <w:numId w:val="14"/>
        </w:numPr>
        <w:jc w:val="both"/>
      </w:pPr>
      <w:r w:rsidRPr="00A07D8C">
        <w:t xml:space="preserve">Whether Applicant’s proposed </w:t>
      </w:r>
      <w:r w:rsidR="006862B5">
        <w:t>transportation services</w:t>
      </w:r>
      <w:r w:rsidRPr="00A07D8C">
        <w:t xml:space="preserve"> </w:t>
      </w:r>
      <w:r w:rsidRPr="00A07D8C" w:rsidR="6BDF257C">
        <w:t>i</w:t>
      </w:r>
      <w:r w:rsidRPr="00A07D8C" w:rsidR="005A5FA1">
        <w:t xml:space="preserve">mpact environmental and social justice communities, including the extent to which </w:t>
      </w:r>
      <w:r w:rsidRPr="00A07D8C" w:rsidR="00707A5B">
        <w:rPr>
          <w:rStyle w:val="displayonly"/>
          <w:rFonts w:cs="Arial"/>
        </w:rPr>
        <w:t>Applicant</w:t>
      </w:r>
      <w:r w:rsidRPr="00A07D8C" w:rsidR="005A5FA1">
        <w:t>’s operation in California impact</w:t>
      </w:r>
      <w:r w:rsidRPr="00A07D8C" w:rsidR="207840D4">
        <w:t>s</w:t>
      </w:r>
      <w:r w:rsidRPr="00A07D8C" w:rsidR="005A5FA1">
        <w:t xml:space="preserve"> achievement of any of the nine goals of the Commission’s Environmental and Social Justice Action Plan. </w:t>
      </w:r>
    </w:p>
    <w:p w:rsidR="005939A5" w:rsidP="000642A6" w:rsidRDefault="005939A5" w14:paraId="1A1962A1" w14:textId="578B2BA8">
      <w:pPr>
        <w:pStyle w:val="Heading1"/>
        <w:ind w:left="720" w:hanging="720"/>
      </w:pPr>
      <w:bookmarkStart w:name="_Toc8123720" w:id="10"/>
      <w:bookmarkStart w:name="_Toc12866689" w:id="11"/>
      <w:r>
        <w:t>Discussion</w:t>
      </w:r>
      <w:bookmarkEnd w:id="10"/>
      <w:bookmarkEnd w:id="11"/>
    </w:p>
    <w:p w:rsidR="00732FE6" w:rsidP="00DD463C" w:rsidRDefault="00582008" w14:paraId="58DE40CB" w14:textId="5A650054">
      <w:pPr>
        <w:pStyle w:val="Standard"/>
        <w:jc w:val="both"/>
      </w:pPr>
      <w:r w:rsidRPr="00582008">
        <w:t>Applicant request</w:t>
      </w:r>
      <w:r w:rsidR="00831FEE">
        <w:t>s</w:t>
      </w:r>
      <w:r w:rsidRPr="00582008">
        <w:t xml:space="preserve"> that the California Public Utilities Commission (Commission) grant </w:t>
      </w:r>
      <w:r w:rsidR="0063668C">
        <w:t xml:space="preserve">it </w:t>
      </w:r>
      <w:r w:rsidR="00B760BA">
        <w:t>authority to increase its fares</w:t>
      </w:r>
      <w:r w:rsidR="00C27550">
        <w:t xml:space="preserve"> and to </w:t>
      </w:r>
      <w:r w:rsidR="007F5B64">
        <w:t>“s</w:t>
      </w:r>
      <w:r w:rsidR="004F348D">
        <w:t>treamline its</w:t>
      </w:r>
      <w:r w:rsidR="008335E1">
        <w:t xml:space="preserve"> fares</w:t>
      </w:r>
      <w:r w:rsidR="004F348D">
        <w:t xml:space="preserve"> by removing </w:t>
      </w:r>
      <w:r w:rsidR="00732FE6">
        <w:t>certain discounts for multiple passengers and round-trip fares</w:t>
      </w:r>
      <w:r w:rsidR="00B760BA">
        <w:t>.</w:t>
      </w:r>
      <w:r w:rsidR="00732FE6">
        <w:t>”</w:t>
      </w:r>
      <w:r w:rsidR="00732FE6">
        <w:rPr>
          <w:rStyle w:val="FootnoteReference"/>
        </w:rPr>
        <w:footnoteReference w:id="2"/>
      </w:r>
    </w:p>
    <w:p w:rsidR="00732FE6" w:rsidP="005A2CDB" w:rsidRDefault="00F20095" w14:paraId="02CDF22D" w14:textId="0DFFC85B">
      <w:pPr>
        <w:pStyle w:val="Standard"/>
        <w:jc w:val="both"/>
      </w:pPr>
      <w:r>
        <w:t xml:space="preserve">Applicant last obtained Commission authority to increase its base fares and to continue its ZORF </w:t>
      </w:r>
      <w:r w:rsidR="003065AE">
        <w:t>through issuance of D.20-06-066</w:t>
      </w:r>
      <w:r w:rsidR="0019266B">
        <w:t>.  Applicant subsequently amended its tariffs</w:t>
      </w:r>
      <w:r w:rsidR="00B674B4">
        <w:t xml:space="preserve"> to adopt the </w:t>
      </w:r>
      <w:r w:rsidR="000153FE">
        <w:t>authorized</w:t>
      </w:r>
      <w:r w:rsidR="00B674B4">
        <w:t xml:space="preserve"> </w:t>
      </w:r>
      <w:r w:rsidR="00B77DFC">
        <w:t>fares</w:t>
      </w:r>
      <w:r w:rsidR="00854CF3">
        <w:t xml:space="preserve">, effective March 17, 2025, </w:t>
      </w:r>
      <w:r w:rsidR="003C69C6">
        <w:t>which Applicant</w:t>
      </w:r>
      <w:r w:rsidR="002C62A3">
        <w:t xml:space="preserve"> now</w:t>
      </w:r>
      <w:r w:rsidR="003C69C6">
        <w:t xml:space="preserve"> seeks to increase in the instant application. </w:t>
      </w:r>
      <w:r w:rsidR="00102B9F">
        <w:t xml:space="preserve">The </w:t>
      </w:r>
      <w:r w:rsidR="00AC42DB">
        <w:t>relevant current tariff pages</w:t>
      </w:r>
      <w:r w:rsidR="00102B9F">
        <w:t xml:space="preserve"> are presented in Attachment B of the application.</w:t>
      </w:r>
      <w:r w:rsidR="00614868">
        <w:t xml:space="preserve"> Since </w:t>
      </w:r>
      <w:r w:rsidR="00FE694A">
        <w:t>the</w:t>
      </w:r>
      <w:r w:rsidR="00614868">
        <w:t xml:space="preserve"> last base fare increase, Applicant states that there have been “tremendous increases to many aspects of [its] operating costs” and cites increased wages to retain skilled commercial drivers and costs to maintain its vehicle fleet (including automobile insurance) as well as high inflation over the past five years and changes in the </w:t>
      </w:r>
      <w:r w:rsidR="00614868">
        <w:lastRenderedPageBreak/>
        <w:t>manner in which people travel and do business following the COVID-19 pandemic.</w:t>
      </w:r>
      <w:r w:rsidR="00614868">
        <w:rPr>
          <w:rStyle w:val="FootnoteReference"/>
        </w:rPr>
        <w:footnoteReference w:id="3"/>
      </w:r>
    </w:p>
    <w:p w:rsidR="00531BF3" w:rsidP="005A2CDB" w:rsidRDefault="007904CF" w14:paraId="78F8E941" w14:textId="1604F995">
      <w:pPr>
        <w:pStyle w:val="Standard"/>
        <w:jc w:val="both"/>
      </w:pPr>
      <w:r>
        <w:t xml:space="preserve">In </w:t>
      </w:r>
      <w:r w:rsidR="006B764C">
        <w:t>Attachment</w:t>
      </w:r>
      <w:r>
        <w:t xml:space="preserve"> C, Applicant presents </w:t>
      </w:r>
      <w:r w:rsidR="001F4A58">
        <w:t xml:space="preserve">the proposed </w:t>
      </w:r>
      <w:r w:rsidR="00662BCF">
        <w:t xml:space="preserve">prepaid and non-prepaid </w:t>
      </w:r>
      <w:r w:rsidR="001F4A58">
        <w:t xml:space="preserve">fares for </w:t>
      </w:r>
      <w:r w:rsidR="007B129E">
        <w:t>its Route 1 and Route 2 services</w:t>
      </w:r>
      <w:r w:rsidR="00BF05B9">
        <w:t xml:space="preserve">. Table 1 </w:t>
      </w:r>
      <w:r w:rsidR="00724EB3">
        <w:t>compares the current fares in Attachment B</w:t>
      </w:r>
      <w:r w:rsidR="00BF05B9">
        <w:t xml:space="preserve"> </w:t>
      </w:r>
      <w:r w:rsidR="00724EB3">
        <w:t xml:space="preserve">to the proposed fares in Attachment C </w:t>
      </w:r>
      <w:r w:rsidR="00B133C1">
        <w:t>for</w:t>
      </w:r>
      <w:r w:rsidR="002B2DFB">
        <w:t xml:space="preserve"> Route 1</w:t>
      </w:r>
      <w:r w:rsidR="00B133C1">
        <w:t xml:space="preserve"> </w:t>
      </w:r>
      <w:r w:rsidR="00724EB3">
        <w:t xml:space="preserve">and identifies the </w:t>
      </w:r>
      <w:r w:rsidR="00657732">
        <w:t xml:space="preserve">percentage increase </w:t>
      </w:r>
      <w:r w:rsidR="00F60A99">
        <w:t xml:space="preserve">between them.  For its service along Route 1, the </w:t>
      </w:r>
      <w:r w:rsidR="00BD3B70">
        <w:t xml:space="preserve">base </w:t>
      </w:r>
      <w:r w:rsidR="00F60A99">
        <w:t>fare increases range fro</w:t>
      </w:r>
      <w:r w:rsidR="00BD3B70">
        <w:t>m 11%</w:t>
      </w:r>
      <w:r w:rsidR="00253FD2">
        <w:t xml:space="preserve"> to 22%.  </w:t>
      </w:r>
      <w:r w:rsidR="00BD3B70">
        <w:t xml:space="preserve"> </w:t>
      </w:r>
    </w:p>
    <w:tbl>
      <w:tblPr>
        <w:tblW w:w="9355" w:type="dxa"/>
        <w:jc w:val="center"/>
        <w:tblLook w:val="04A0" w:firstRow="1" w:lastRow="0" w:firstColumn="1" w:lastColumn="0" w:noHBand="0" w:noVBand="1"/>
      </w:tblPr>
      <w:tblGrid>
        <w:gridCol w:w="3325"/>
        <w:gridCol w:w="3510"/>
        <w:gridCol w:w="2520"/>
      </w:tblGrid>
      <w:tr w:rsidRPr="004F44E4" w:rsidR="00814F56" w:rsidTr="00531BF3" w14:paraId="521993B5" w14:textId="77777777">
        <w:trPr>
          <w:trHeight w:val="300"/>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6B0FA428"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Table 1: Route 1 (To/From Los Angeles International Airport</w:t>
            </w:r>
            <w:r w:rsidRPr="00C32ECF">
              <w:rPr>
                <w:rFonts w:eastAsia="Times New Roman" w:cs="Times New Roman"/>
                <w:b/>
                <w:bCs/>
                <w:color w:val="242424"/>
                <w:szCs w:val="26"/>
              </w:rPr>
              <w:t>)</w:t>
            </w:r>
          </w:p>
        </w:tc>
      </w:tr>
      <w:tr w:rsidRPr="004F44E4" w:rsidR="00814F56" w:rsidTr="00531BF3" w14:paraId="6D14EF0F" w14:textId="77777777">
        <w:trPr>
          <w:trHeight w:val="300"/>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3A44664A"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San Luis Obispo, Pismo Beach, Nipomo</w:t>
            </w:r>
          </w:p>
        </w:tc>
      </w:tr>
      <w:tr w:rsidRPr="00C32ECF" w:rsidR="00814F56" w:rsidTr="00531BF3" w14:paraId="318B4881"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57240BE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1CE9AE0E"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4BC722B5"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4BB9332E"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4769530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$80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2EA32F6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$95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455E3F8F"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18.75% increase</w:t>
            </w:r>
          </w:p>
        </w:tc>
      </w:tr>
      <w:tr w:rsidRPr="00C32ECF" w:rsidR="00814F56" w:rsidTr="00531BF3" w14:paraId="0755BCF1"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1AED4A93"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Non-Prepaid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1C529B3B"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Non-Prepaid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2819F842"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487A86B1"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7F3E2F8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$86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0FB26746"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$105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4A30AD70"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22.09% increase</w:t>
            </w:r>
          </w:p>
        </w:tc>
      </w:tr>
      <w:tr w:rsidRPr="004F44E4" w:rsidR="00814F56" w:rsidTr="00531BF3" w14:paraId="26E6D695" w14:textId="77777777">
        <w:trPr>
          <w:trHeight w:val="300"/>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1F8E0873"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Santa Maria, Lompoc, and Buellton</w:t>
            </w:r>
          </w:p>
        </w:tc>
      </w:tr>
      <w:tr w:rsidRPr="00C32ECF" w:rsidR="00814F56" w:rsidTr="00531BF3" w14:paraId="285DAAE9"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00C2CB74"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4C03D2E5"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49BE660C"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7A4C9F93"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2C726A3D"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$74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3C62657A"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$85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25DBBF75"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14.86% increase</w:t>
            </w:r>
          </w:p>
        </w:tc>
      </w:tr>
      <w:tr w:rsidRPr="00C32ECF" w:rsidR="00814F56" w:rsidTr="00531BF3" w14:paraId="434CA559"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6892D3D2"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Non-Prepaid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63D4FE3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Non-Prepaid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7D29AFDD"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64FE872C"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6E702F1B"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$80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60CC0E9A"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$95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0F590416"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18.75 % increase</w:t>
            </w:r>
          </w:p>
        </w:tc>
      </w:tr>
      <w:tr w:rsidRPr="004F44E4" w:rsidR="00814F56" w:rsidTr="00531BF3" w14:paraId="45BB9756" w14:textId="77777777">
        <w:trPr>
          <w:trHeight w:val="315"/>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13949242"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Goleta, Santa Barbara, Carpinteria</w:t>
            </w:r>
          </w:p>
        </w:tc>
      </w:tr>
      <w:tr w:rsidRPr="00C32ECF" w:rsidR="00814F56" w:rsidTr="00531BF3" w14:paraId="56273796"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48A9A245"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2EC31DB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0E57B77F"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6D9BFFAB"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398C550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$60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57A6B7B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$70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31E3074E"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16.67% increase</w:t>
            </w:r>
          </w:p>
        </w:tc>
      </w:tr>
      <w:tr w:rsidRPr="00C32ECF" w:rsidR="00814F56" w:rsidTr="00531BF3" w14:paraId="5D5BAA6C"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14AC3624"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Non-Prepaid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2DA5AFA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Non-Prepaid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4850C328"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09A62DE8"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20A5E9B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$69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180414AF"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$81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6F9A3312"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17.39% increase</w:t>
            </w:r>
          </w:p>
        </w:tc>
      </w:tr>
      <w:tr w:rsidRPr="004F44E4" w:rsidR="00814F56" w:rsidTr="00531BF3" w14:paraId="5D48AE33" w14:textId="77777777">
        <w:trPr>
          <w:trHeight w:val="300"/>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473BD434"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Ventura and Oxnard</w:t>
            </w:r>
          </w:p>
        </w:tc>
      </w:tr>
      <w:tr w:rsidRPr="00C32ECF" w:rsidR="00814F56" w:rsidTr="00531BF3" w14:paraId="6546B64D"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484FB62A"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350C48B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334E7E0E"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279B3146"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64CC924B"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$51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17153DC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$60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24F00922"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17.65% increase</w:t>
            </w:r>
          </w:p>
        </w:tc>
      </w:tr>
      <w:tr w:rsidRPr="00C32ECF" w:rsidR="00814F56" w:rsidTr="00531BF3" w14:paraId="743E9E8C"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07BE0EB1"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Non-Prepaid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214661FC"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Non-Prepaid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2429D78A"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55DE521A"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215563C3"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$63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63E0EFE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$70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4760565F"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11.11% increase</w:t>
            </w:r>
          </w:p>
        </w:tc>
      </w:tr>
      <w:tr w:rsidRPr="004F44E4" w:rsidR="00814F56" w:rsidTr="00531BF3" w14:paraId="2A90D0D2" w14:textId="77777777">
        <w:trPr>
          <w:trHeight w:val="300"/>
          <w:jc w:val="center"/>
        </w:trPr>
        <w:tc>
          <w:tcPr>
            <w:tcW w:w="9355" w:type="dxa"/>
            <w:gridSpan w:val="3"/>
            <w:tcBorders>
              <w:top w:val="single" w:color="auto" w:sz="4" w:space="0"/>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4D00963F" w14:textId="77777777">
            <w:pPr>
              <w:spacing w:line="240" w:lineRule="auto"/>
              <w:ind w:firstLine="0"/>
              <w:jc w:val="center"/>
              <w:rPr>
                <w:rFonts w:eastAsia="Times New Roman" w:cs="Times New Roman"/>
                <w:b/>
                <w:bCs/>
                <w:color w:val="242424"/>
                <w:szCs w:val="26"/>
              </w:rPr>
            </w:pPr>
            <w:r w:rsidRPr="004F44E4">
              <w:rPr>
                <w:rFonts w:eastAsia="Times New Roman" w:cs="Times New Roman"/>
                <w:b/>
                <w:bCs/>
                <w:color w:val="242424"/>
                <w:szCs w:val="26"/>
              </w:rPr>
              <w:t>Camarillo and Thousand Oaks</w:t>
            </w:r>
          </w:p>
        </w:tc>
      </w:tr>
      <w:tr w:rsidRPr="00C32ECF" w:rsidR="00814F56" w:rsidTr="00531BF3" w14:paraId="5165E066"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10A7CB4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102E251C"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55524D21"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7250E390"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4C5E9B1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$46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6470D317"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$52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575EFE5C"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13.04% increase</w:t>
            </w:r>
          </w:p>
        </w:tc>
      </w:tr>
      <w:tr w:rsidRPr="00C32ECF" w:rsidR="00814F56" w:rsidTr="009B61FE" w14:paraId="78E99748" w14:textId="77777777">
        <w:trPr>
          <w:trHeight w:val="60"/>
          <w:jc w:val="center"/>
        </w:trPr>
        <w:tc>
          <w:tcPr>
            <w:tcW w:w="3325" w:type="dxa"/>
            <w:tcBorders>
              <w:top w:val="nil"/>
              <w:left w:val="single" w:color="auto" w:sz="4" w:space="0"/>
              <w:bottom w:val="single" w:color="auto" w:sz="4" w:space="0"/>
              <w:right w:val="single" w:color="auto" w:sz="4" w:space="0"/>
            </w:tcBorders>
            <w:shd w:val="clear" w:color="000000" w:fill="E8E8E8"/>
            <w:vAlign w:val="center"/>
            <w:hideMark/>
          </w:tcPr>
          <w:p w:rsidRPr="004F44E4" w:rsidR="00814F56" w:rsidP="004B2F75" w:rsidRDefault="00814F56" w14:paraId="24370AD8"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Current Non-Prepaid Fare</w:t>
            </w:r>
          </w:p>
        </w:tc>
        <w:tc>
          <w:tcPr>
            <w:tcW w:w="351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6EA7B9F0"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Proposed Non-Prepaid Fare</w:t>
            </w:r>
          </w:p>
        </w:tc>
        <w:tc>
          <w:tcPr>
            <w:tcW w:w="2520" w:type="dxa"/>
            <w:tcBorders>
              <w:top w:val="nil"/>
              <w:left w:val="nil"/>
              <w:bottom w:val="single" w:color="auto" w:sz="4" w:space="0"/>
              <w:right w:val="single" w:color="auto" w:sz="4" w:space="0"/>
            </w:tcBorders>
            <w:shd w:val="clear" w:color="000000" w:fill="E8E8E8"/>
            <w:vAlign w:val="center"/>
            <w:hideMark/>
          </w:tcPr>
          <w:p w:rsidRPr="004F44E4" w:rsidR="00814F56" w:rsidP="004B2F75" w:rsidRDefault="00814F56" w14:paraId="3395123E"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Percentage Increase</w:t>
            </w:r>
          </w:p>
        </w:tc>
      </w:tr>
      <w:tr w:rsidRPr="00C32ECF" w:rsidR="00814F56" w:rsidTr="00531BF3" w14:paraId="716CC9C0" w14:textId="77777777">
        <w:trPr>
          <w:trHeight w:val="300"/>
          <w:jc w:val="center"/>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4F44E4" w:rsidR="00814F56" w:rsidP="004B2F75" w:rsidRDefault="00814F56" w14:paraId="345D9F4A"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lastRenderedPageBreak/>
              <w:t xml:space="preserve">$51 </w:t>
            </w:r>
          </w:p>
        </w:tc>
        <w:tc>
          <w:tcPr>
            <w:tcW w:w="3510" w:type="dxa"/>
            <w:tcBorders>
              <w:top w:val="nil"/>
              <w:left w:val="nil"/>
              <w:bottom w:val="single" w:color="auto" w:sz="4" w:space="0"/>
              <w:right w:val="single" w:color="auto" w:sz="4" w:space="0"/>
            </w:tcBorders>
            <w:shd w:val="clear" w:color="000000" w:fill="FFFFFF"/>
            <w:vAlign w:val="center"/>
            <w:hideMark/>
          </w:tcPr>
          <w:p w:rsidRPr="004F44E4" w:rsidR="00814F56" w:rsidP="004B2F75" w:rsidRDefault="00814F56" w14:paraId="06B4B6B9" w14:textId="77777777">
            <w:pPr>
              <w:spacing w:line="240" w:lineRule="auto"/>
              <w:ind w:firstLine="0"/>
              <w:jc w:val="center"/>
              <w:rPr>
                <w:rFonts w:eastAsia="Times New Roman" w:cs="Times New Roman"/>
                <w:color w:val="242424"/>
                <w:szCs w:val="26"/>
              </w:rPr>
            </w:pPr>
            <w:r w:rsidRPr="004F44E4">
              <w:rPr>
                <w:rFonts w:eastAsia="Times New Roman" w:cs="Times New Roman"/>
                <w:color w:val="242424"/>
                <w:szCs w:val="26"/>
              </w:rPr>
              <w:t xml:space="preserve">$58 </w:t>
            </w:r>
          </w:p>
        </w:tc>
        <w:tc>
          <w:tcPr>
            <w:tcW w:w="2520" w:type="dxa"/>
            <w:tcBorders>
              <w:top w:val="nil"/>
              <w:left w:val="nil"/>
              <w:bottom w:val="single" w:color="auto" w:sz="4" w:space="0"/>
              <w:right w:val="single" w:color="auto" w:sz="4" w:space="0"/>
            </w:tcBorders>
            <w:vAlign w:val="center"/>
            <w:hideMark/>
          </w:tcPr>
          <w:p w:rsidRPr="004F44E4" w:rsidR="00814F56" w:rsidP="004B2F75" w:rsidRDefault="00814F56" w14:paraId="5DD28CB4" w14:textId="77777777">
            <w:pPr>
              <w:spacing w:line="240" w:lineRule="auto"/>
              <w:ind w:firstLine="0"/>
              <w:jc w:val="center"/>
              <w:rPr>
                <w:rFonts w:eastAsia="Times New Roman" w:cs="Times New Roman"/>
                <w:color w:val="000000"/>
                <w:szCs w:val="26"/>
              </w:rPr>
            </w:pPr>
            <w:r w:rsidRPr="004F44E4">
              <w:rPr>
                <w:rFonts w:eastAsia="Times New Roman" w:cs="Times New Roman"/>
                <w:color w:val="000000"/>
                <w:szCs w:val="26"/>
              </w:rPr>
              <w:t>13.73% increase</w:t>
            </w:r>
          </w:p>
        </w:tc>
      </w:tr>
    </w:tbl>
    <w:p w:rsidR="00814F56" w:rsidP="00814F56" w:rsidRDefault="00814F56" w14:paraId="7584CE52" w14:textId="77777777">
      <w:pPr>
        <w:pStyle w:val="Standard"/>
        <w:jc w:val="both"/>
      </w:pPr>
    </w:p>
    <w:p w:rsidR="00531BF3" w:rsidP="00531BF3" w:rsidRDefault="00531BF3" w14:paraId="64F72B74" w14:textId="46D85B1F">
      <w:pPr>
        <w:pStyle w:val="Standard"/>
        <w:jc w:val="both"/>
      </w:pPr>
      <w:r>
        <w:t xml:space="preserve">Table 2 similarly compares the current and proposed for Route 2 and identifies the percentage increase between them.  For its service along Route 2, the base fare increases range from </w:t>
      </w:r>
      <w:r w:rsidR="00D2340B">
        <w:t>0</w:t>
      </w:r>
      <w:r>
        <w:t xml:space="preserve">% to </w:t>
      </w:r>
      <w:r w:rsidR="00D2340B">
        <w:t>57</w:t>
      </w:r>
      <w:r>
        <w:t>%.</w:t>
      </w:r>
    </w:p>
    <w:tbl>
      <w:tblPr>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3510"/>
        <w:gridCol w:w="2580"/>
      </w:tblGrid>
      <w:tr w:rsidRPr="00130E1D" w:rsidR="00C018C5" w:rsidTr="00D2340B" w14:paraId="2ABC6FCC" w14:textId="77777777">
        <w:trPr>
          <w:trHeight w:val="330"/>
          <w:jc w:val="center"/>
        </w:trPr>
        <w:tc>
          <w:tcPr>
            <w:tcW w:w="9420" w:type="dxa"/>
            <w:gridSpan w:val="3"/>
            <w:vAlign w:val="center"/>
          </w:tcPr>
          <w:p w:rsidRPr="00130E1D" w:rsidR="00C018C5" w:rsidP="00130E1D" w:rsidRDefault="006B28C7" w14:paraId="78B3F49F" w14:textId="70D9357D">
            <w:pPr>
              <w:spacing w:line="240" w:lineRule="auto"/>
              <w:ind w:firstLine="0"/>
              <w:jc w:val="center"/>
              <w:rPr>
                <w:rFonts w:eastAsia="Times New Roman" w:cs="Times New Roman"/>
                <w:color w:val="242424"/>
                <w:szCs w:val="26"/>
              </w:rPr>
            </w:pPr>
            <w:r w:rsidRPr="00130E1D">
              <w:rPr>
                <w:rFonts w:eastAsia="Times New Roman" w:cs="Times New Roman"/>
                <w:b/>
                <w:bCs/>
                <w:color w:val="242424"/>
                <w:szCs w:val="26"/>
              </w:rPr>
              <w:t xml:space="preserve">Table </w:t>
            </w:r>
            <w:r w:rsidRPr="00130E1D" w:rsidR="00CF0E68">
              <w:rPr>
                <w:rFonts w:eastAsia="Times New Roman" w:cs="Times New Roman"/>
                <w:b/>
                <w:bCs/>
                <w:color w:val="242424"/>
                <w:szCs w:val="26"/>
              </w:rPr>
              <w:t>2</w:t>
            </w:r>
            <w:r w:rsidRPr="00130E1D">
              <w:rPr>
                <w:rFonts w:eastAsia="Times New Roman" w:cs="Times New Roman"/>
                <w:b/>
                <w:bCs/>
                <w:color w:val="242424"/>
                <w:szCs w:val="26"/>
              </w:rPr>
              <w:t xml:space="preserve">: Route </w:t>
            </w:r>
            <w:r w:rsidRPr="00130E1D" w:rsidR="00CF0E68">
              <w:rPr>
                <w:rFonts w:eastAsia="Times New Roman" w:cs="Times New Roman"/>
                <w:b/>
                <w:bCs/>
                <w:color w:val="242424"/>
                <w:szCs w:val="26"/>
              </w:rPr>
              <w:t>2</w:t>
            </w:r>
            <w:r w:rsidRPr="00130E1D">
              <w:rPr>
                <w:rFonts w:eastAsia="Times New Roman" w:cs="Times New Roman"/>
                <w:b/>
                <w:bCs/>
                <w:color w:val="242424"/>
                <w:szCs w:val="26"/>
              </w:rPr>
              <w:t xml:space="preserve"> (To/From </w:t>
            </w:r>
            <w:r w:rsidRPr="00130E1D" w:rsidR="00CF0E68">
              <w:rPr>
                <w:rFonts w:eastAsia="Times New Roman" w:cs="Times New Roman"/>
                <w:b/>
                <w:bCs/>
                <w:color w:val="242424"/>
                <w:szCs w:val="26"/>
              </w:rPr>
              <w:t>Santa Barbara Municipal</w:t>
            </w:r>
            <w:r w:rsidRPr="00130E1D">
              <w:rPr>
                <w:rFonts w:eastAsia="Times New Roman" w:cs="Times New Roman"/>
                <w:b/>
                <w:bCs/>
                <w:color w:val="242424"/>
                <w:szCs w:val="26"/>
              </w:rPr>
              <w:t xml:space="preserve"> Airport)</w:t>
            </w:r>
          </w:p>
        </w:tc>
      </w:tr>
      <w:tr w:rsidRPr="00C018C5" w:rsidR="00C018C5" w:rsidTr="00F320A5" w14:paraId="4D1B173E" w14:textId="77777777">
        <w:trPr>
          <w:trHeight w:val="60"/>
          <w:jc w:val="center"/>
        </w:trPr>
        <w:tc>
          <w:tcPr>
            <w:tcW w:w="9420" w:type="dxa"/>
            <w:gridSpan w:val="3"/>
            <w:vAlign w:val="center"/>
            <w:hideMark/>
          </w:tcPr>
          <w:p w:rsidRPr="00C018C5" w:rsidR="00C018C5" w:rsidP="00130E1D" w:rsidRDefault="009C48C9" w14:paraId="36649E56" w14:textId="3AB6B676">
            <w:pPr>
              <w:spacing w:line="240" w:lineRule="auto"/>
              <w:ind w:firstLine="0"/>
              <w:jc w:val="center"/>
              <w:rPr>
                <w:rFonts w:eastAsia="Times New Roman" w:cs="Times New Roman"/>
                <w:b/>
                <w:bCs/>
                <w:color w:val="242424"/>
                <w:szCs w:val="26"/>
              </w:rPr>
            </w:pPr>
            <w:r w:rsidRPr="00130E1D">
              <w:rPr>
                <w:rFonts w:eastAsia="Times New Roman" w:cs="Times New Roman"/>
                <w:b/>
                <w:bCs/>
                <w:color w:val="242424"/>
                <w:szCs w:val="26"/>
              </w:rPr>
              <w:t>San Luis Obispo</w:t>
            </w:r>
          </w:p>
        </w:tc>
      </w:tr>
      <w:tr w:rsidRPr="00C018C5" w:rsidR="00D2340B" w:rsidTr="00C54C74" w14:paraId="4C7479B1" w14:textId="77777777">
        <w:trPr>
          <w:trHeight w:val="300"/>
          <w:jc w:val="center"/>
        </w:trPr>
        <w:tc>
          <w:tcPr>
            <w:tcW w:w="3330" w:type="dxa"/>
            <w:shd w:val="clear" w:color="auto" w:fill="E7E6E6" w:themeFill="background2"/>
            <w:vAlign w:val="center"/>
            <w:hideMark/>
          </w:tcPr>
          <w:p w:rsidRPr="00C018C5" w:rsidR="00C018C5" w:rsidP="00130E1D" w:rsidRDefault="00C018C5" w14:paraId="235782BC"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Prepaid Fare</w:t>
            </w:r>
          </w:p>
        </w:tc>
        <w:tc>
          <w:tcPr>
            <w:tcW w:w="3510" w:type="dxa"/>
            <w:shd w:val="clear" w:color="auto" w:fill="E7E6E6" w:themeFill="background2"/>
            <w:vAlign w:val="center"/>
            <w:hideMark/>
          </w:tcPr>
          <w:p w:rsidRPr="00C018C5" w:rsidR="00C018C5" w:rsidP="00130E1D" w:rsidRDefault="00C018C5" w14:paraId="6F3F3EA3"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6852D2F9"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12EE6751" w14:textId="77777777">
        <w:trPr>
          <w:trHeight w:val="315"/>
          <w:jc w:val="center"/>
        </w:trPr>
        <w:tc>
          <w:tcPr>
            <w:tcW w:w="3330" w:type="dxa"/>
            <w:vAlign w:val="center"/>
            <w:hideMark/>
          </w:tcPr>
          <w:p w:rsidRPr="00C018C5" w:rsidR="00C018C5" w:rsidP="00130E1D" w:rsidRDefault="00C018C5" w14:paraId="2B6D4FF9" w14:textId="67B41402">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$51</w:t>
            </w:r>
          </w:p>
        </w:tc>
        <w:tc>
          <w:tcPr>
            <w:tcW w:w="3510" w:type="dxa"/>
            <w:vAlign w:val="center"/>
            <w:hideMark/>
          </w:tcPr>
          <w:p w:rsidRPr="00C018C5" w:rsidR="00C018C5" w:rsidP="00130E1D" w:rsidRDefault="00C018C5" w14:paraId="1BA1C0AD" w14:textId="027081A6">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$65</w:t>
            </w:r>
          </w:p>
        </w:tc>
        <w:tc>
          <w:tcPr>
            <w:tcW w:w="2580" w:type="dxa"/>
            <w:vAlign w:val="center"/>
            <w:hideMark/>
          </w:tcPr>
          <w:p w:rsidRPr="00C018C5" w:rsidR="00C018C5" w:rsidP="00130E1D" w:rsidRDefault="00C018C5" w14:paraId="27696FAF"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27.45% increase</w:t>
            </w:r>
          </w:p>
        </w:tc>
      </w:tr>
      <w:tr w:rsidRPr="00C018C5" w:rsidR="00D2340B" w:rsidTr="00F320A5" w14:paraId="41F4A9AA" w14:textId="77777777">
        <w:trPr>
          <w:trHeight w:val="60"/>
          <w:jc w:val="center"/>
        </w:trPr>
        <w:tc>
          <w:tcPr>
            <w:tcW w:w="3330" w:type="dxa"/>
            <w:shd w:val="clear" w:color="auto" w:fill="E7E6E6" w:themeFill="background2"/>
            <w:vAlign w:val="center"/>
            <w:hideMark/>
          </w:tcPr>
          <w:p w:rsidRPr="00C018C5" w:rsidR="00C018C5" w:rsidP="00130E1D" w:rsidRDefault="00C018C5" w14:paraId="5EFE40A0"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5B022EC9"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7DC9CE1A"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14E3B2DE" w14:textId="77777777">
        <w:trPr>
          <w:trHeight w:val="315"/>
          <w:jc w:val="center"/>
        </w:trPr>
        <w:tc>
          <w:tcPr>
            <w:tcW w:w="3330" w:type="dxa"/>
            <w:vAlign w:val="center"/>
            <w:hideMark/>
          </w:tcPr>
          <w:p w:rsidRPr="00C018C5" w:rsidR="00C018C5" w:rsidP="00130E1D" w:rsidRDefault="00C018C5" w14:paraId="621DC017" w14:textId="312A6684">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$57</w:t>
            </w:r>
          </w:p>
        </w:tc>
        <w:tc>
          <w:tcPr>
            <w:tcW w:w="3510" w:type="dxa"/>
            <w:vAlign w:val="center"/>
            <w:hideMark/>
          </w:tcPr>
          <w:p w:rsidRPr="00C018C5" w:rsidR="00C018C5" w:rsidP="00130E1D" w:rsidRDefault="00C018C5" w14:paraId="2A5F0A53" w14:textId="42ABAC0C">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$75</w:t>
            </w:r>
          </w:p>
        </w:tc>
        <w:tc>
          <w:tcPr>
            <w:tcW w:w="2580" w:type="dxa"/>
            <w:vAlign w:val="center"/>
            <w:hideMark/>
          </w:tcPr>
          <w:p w:rsidRPr="00C018C5" w:rsidR="00C018C5" w:rsidP="00130E1D" w:rsidRDefault="00C018C5" w14:paraId="1B1BCF12"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31.58% increase</w:t>
            </w:r>
          </w:p>
        </w:tc>
      </w:tr>
      <w:tr w:rsidRPr="00C018C5" w:rsidR="00C018C5" w:rsidTr="00D2340B" w14:paraId="1F60594C" w14:textId="77777777">
        <w:trPr>
          <w:trHeight w:val="315"/>
          <w:jc w:val="center"/>
        </w:trPr>
        <w:tc>
          <w:tcPr>
            <w:tcW w:w="9420" w:type="dxa"/>
            <w:gridSpan w:val="3"/>
            <w:vAlign w:val="center"/>
            <w:hideMark/>
          </w:tcPr>
          <w:p w:rsidRPr="00C018C5" w:rsidR="00C018C5" w:rsidP="00130E1D" w:rsidRDefault="00C018C5" w14:paraId="7E51B381" w14:textId="77777777">
            <w:pPr>
              <w:spacing w:line="240" w:lineRule="auto"/>
              <w:ind w:firstLine="0"/>
              <w:jc w:val="center"/>
              <w:rPr>
                <w:rFonts w:eastAsia="Times New Roman" w:cs="Times New Roman"/>
                <w:b/>
                <w:bCs/>
                <w:color w:val="242424"/>
                <w:szCs w:val="26"/>
              </w:rPr>
            </w:pPr>
            <w:r w:rsidRPr="00C018C5">
              <w:rPr>
                <w:rFonts w:eastAsia="Times New Roman" w:cs="Times New Roman"/>
                <w:b/>
                <w:bCs/>
                <w:color w:val="242424"/>
                <w:szCs w:val="26"/>
              </w:rPr>
              <w:t>Pismo Beach and Nipomo</w:t>
            </w:r>
          </w:p>
        </w:tc>
      </w:tr>
      <w:tr w:rsidRPr="00C018C5" w:rsidR="00D2340B" w:rsidTr="009B61FE" w14:paraId="3703CF55" w14:textId="77777777">
        <w:trPr>
          <w:trHeight w:val="80"/>
          <w:jc w:val="center"/>
        </w:trPr>
        <w:tc>
          <w:tcPr>
            <w:tcW w:w="3330" w:type="dxa"/>
            <w:shd w:val="clear" w:color="auto" w:fill="E7E6E6" w:themeFill="background2"/>
            <w:vAlign w:val="center"/>
            <w:hideMark/>
          </w:tcPr>
          <w:p w:rsidRPr="00C018C5" w:rsidR="00C018C5" w:rsidP="00130E1D" w:rsidRDefault="00C018C5" w14:paraId="4E4E6EC8"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Prepaid Fare</w:t>
            </w:r>
          </w:p>
        </w:tc>
        <w:tc>
          <w:tcPr>
            <w:tcW w:w="3510" w:type="dxa"/>
            <w:shd w:val="clear" w:color="auto" w:fill="E7E6E6" w:themeFill="background2"/>
            <w:vAlign w:val="center"/>
            <w:hideMark/>
          </w:tcPr>
          <w:p w:rsidRPr="00C018C5" w:rsidR="00C018C5" w:rsidP="00130E1D" w:rsidRDefault="00C018C5" w14:paraId="31FCD502"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4B848C36"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18EE2672" w14:textId="77777777">
        <w:trPr>
          <w:trHeight w:val="315"/>
          <w:jc w:val="center"/>
        </w:trPr>
        <w:tc>
          <w:tcPr>
            <w:tcW w:w="3330" w:type="dxa"/>
            <w:vAlign w:val="center"/>
            <w:hideMark/>
          </w:tcPr>
          <w:p w:rsidRPr="00C018C5" w:rsidR="00C018C5" w:rsidP="00130E1D" w:rsidRDefault="00C018C5" w14:paraId="2835AFF2" w14:textId="4EF42DE3">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$46</w:t>
            </w:r>
          </w:p>
        </w:tc>
        <w:tc>
          <w:tcPr>
            <w:tcW w:w="3510" w:type="dxa"/>
            <w:vAlign w:val="center"/>
            <w:hideMark/>
          </w:tcPr>
          <w:p w:rsidRPr="00C018C5" w:rsidR="00C018C5" w:rsidP="00130E1D" w:rsidRDefault="00C018C5" w14:paraId="2EAB9601" w14:textId="08913C0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$55</w:t>
            </w:r>
          </w:p>
        </w:tc>
        <w:tc>
          <w:tcPr>
            <w:tcW w:w="2580" w:type="dxa"/>
            <w:vAlign w:val="center"/>
            <w:hideMark/>
          </w:tcPr>
          <w:p w:rsidRPr="00C018C5" w:rsidR="00C018C5" w:rsidP="00130E1D" w:rsidRDefault="00C018C5" w14:paraId="07A67BF5"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19.57% increase</w:t>
            </w:r>
          </w:p>
        </w:tc>
      </w:tr>
      <w:tr w:rsidRPr="00C018C5" w:rsidR="00D2340B" w:rsidTr="009B61FE" w14:paraId="36893AF5" w14:textId="77777777">
        <w:trPr>
          <w:trHeight w:val="60"/>
          <w:jc w:val="center"/>
        </w:trPr>
        <w:tc>
          <w:tcPr>
            <w:tcW w:w="3330" w:type="dxa"/>
            <w:shd w:val="clear" w:color="auto" w:fill="E7E6E6" w:themeFill="background2"/>
            <w:vAlign w:val="center"/>
            <w:hideMark/>
          </w:tcPr>
          <w:p w:rsidRPr="00C018C5" w:rsidR="00C018C5" w:rsidP="00130E1D" w:rsidRDefault="00C018C5" w14:paraId="03459EFC"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20F0EC89"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55AF0615"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2BB52416" w14:textId="77777777">
        <w:trPr>
          <w:trHeight w:val="315"/>
          <w:jc w:val="center"/>
        </w:trPr>
        <w:tc>
          <w:tcPr>
            <w:tcW w:w="3330" w:type="dxa"/>
            <w:vAlign w:val="center"/>
            <w:hideMark/>
          </w:tcPr>
          <w:p w:rsidRPr="00C018C5" w:rsidR="00C018C5" w:rsidP="00130E1D" w:rsidRDefault="00C018C5" w14:paraId="49A78EFD" w14:textId="46B894DC">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$51</w:t>
            </w:r>
          </w:p>
        </w:tc>
        <w:tc>
          <w:tcPr>
            <w:tcW w:w="3510" w:type="dxa"/>
            <w:vAlign w:val="center"/>
            <w:hideMark/>
          </w:tcPr>
          <w:p w:rsidRPr="00C018C5" w:rsidR="00C018C5" w:rsidP="00130E1D" w:rsidRDefault="00C018C5" w14:paraId="3C254C6A" w14:textId="32339E3B">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$65</w:t>
            </w:r>
          </w:p>
        </w:tc>
        <w:tc>
          <w:tcPr>
            <w:tcW w:w="2580" w:type="dxa"/>
            <w:vAlign w:val="center"/>
            <w:hideMark/>
          </w:tcPr>
          <w:p w:rsidRPr="00C018C5" w:rsidR="00C018C5" w:rsidP="00130E1D" w:rsidRDefault="00C018C5" w14:paraId="7DF14370"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27.45% increase</w:t>
            </w:r>
          </w:p>
        </w:tc>
      </w:tr>
      <w:tr w:rsidRPr="00C018C5" w:rsidR="00C018C5" w:rsidTr="00D2340B" w14:paraId="3E1BF4A3" w14:textId="77777777">
        <w:trPr>
          <w:trHeight w:val="315"/>
          <w:jc w:val="center"/>
        </w:trPr>
        <w:tc>
          <w:tcPr>
            <w:tcW w:w="9420" w:type="dxa"/>
            <w:gridSpan w:val="3"/>
            <w:vAlign w:val="center"/>
            <w:hideMark/>
          </w:tcPr>
          <w:p w:rsidRPr="00C018C5" w:rsidR="00C018C5" w:rsidP="00130E1D" w:rsidRDefault="00C018C5" w14:paraId="5F363855" w14:textId="77777777">
            <w:pPr>
              <w:spacing w:line="240" w:lineRule="auto"/>
              <w:ind w:firstLine="0"/>
              <w:jc w:val="center"/>
              <w:rPr>
                <w:rFonts w:eastAsia="Times New Roman" w:cs="Times New Roman"/>
                <w:b/>
                <w:bCs/>
                <w:color w:val="242424"/>
                <w:szCs w:val="26"/>
              </w:rPr>
            </w:pPr>
            <w:r w:rsidRPr="00C018C5">
              <w:rPr>
                <w:rFonts w:eastAsia="Times New Roman" w:cs="Times New Roman"/>
                <w:b/>
                <w:bCs/>
                <w:color w:val="242424"/>
                <w:szCs w:val="26"/>
              </w:rPr>
              <w:t>Santa Maria, Lompoc, and Buellton</w:t>
            </w:r>
          </w:p>
        </w:tc>
      </w:tr>
      <w:tr w:rsidRPr="00C018C5" w:rsidR="00D2340B" w:rsidTr="004B2059" w14:paraId="10D0B125" w14:textId="77777777">
        <w:trPr>
          <w:trHeight w:val="300"/>
          <w:jc w:val="center"/>
        </w:trPr>
        <w:tc>
          <w:tcPr>
            <w:tcW w:w="3330" w:type="dxa"/>
            <w:shd w:val="clear" w:color="auto" w:fill="E7E6E6" w:themeFill="background2"/>
            <w:vAlign w:val="center"/>
            <w:hideMark/>
          </w:tcPr>
          <w:p w:rsidRPr="00C018C5" w:rsidR="00C018C5" w:rsidP="00130E1D" w:rsidRDefault="00C018C5" w14:paraId="5184F04C"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Prepaid Fare</w:t>
            </w:r>
          </w:p>
        </w:tc>
        <w:tc>
          <w:tcPr>
            <w:tcW w:w="3510" w:type="dxa"/>
            <w:shd w:val="clear" w:color="auto" w:fill="E7E6E6" w:themeFill="background2"/>
            <w:vAlign w:val="center"/>
            <w:hideMark/>
          </w:tcPr>
          <w:p w:rsidRPr="00C018C5" w:rsidR="00C018C5" w:rsidP="00130E1D" w:rsidRDefault="00C018C5" w14:paraId="740380B4"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456D6536"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604AE78A" w14:textId="77777777">
        <w:trPr>
          <w:trHeight w:val="315"/>
          <w:jc w:val="center"/>
        </w:trPr>
        <w:tc>
          <w:tcPr>
            <w:tcW w:w="3330" w:type="dxa"/>
            <w:vAlign w:val="center"/>
            <w:hideMark/>
          </w:tcPr>
          <w:p w:rsidRPr="00C018C5" w:rsidR="00C018C5" w:rsidP="00130E1D" w:rsidRDefault="00C018C5" w14:paraId="31289AD4" w14:textId="0149FCE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$40</w:t>
            </w:r>
          </w:p>
        </w:tc>
        <w:tc>
          <w:tcPr>
            <w:tcW w:w="3510" w:type="dxa"/>
            <w:vAlign w:val="center"/>
            <w:hideMark/>
          </w:tcPr>
          <w:p w:rsidRPr="00C018C5" w:rsidR="00C018C5" w:rsidP="00130E1D" w:rsidRDefault="00C018C5" w14:paraId="7DC88E4E" w14:textId="0E77D7A1">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$50</w:t>
            </w:r>
          </w:p>
        </w:tc>
        <w:tc>
          <w:tcPr>
            <w:tcW w:w="2580" w:type="dxa"/>
            <w:vAlign w:val="center"/>
            <w:hideMark/>
          </w:tcPr>
          <w:p w:rsidRPr="00C018C5" w:rsidR="00C018C5" w:rsidP="00130E1D" w:rsidRDefault="00C018C5" w14:paraId="120837A1"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25% increase</w:t>
            </w:r>
          </w:p>
        </w:tc>
      </w:tr>
      <w:tr w:rsidRPr="00C018C5" w:rsidR="00D2340B" w:rsidTr="009B61FE" w14:paraId="57209861" w14:textId="77777777">
        <w:trPr>
          <w:trHeight w:val="60"/>
          <w:jc w:val="center"/>
        </w:trPr>
        <w:tc>
          <w:tcPr>
            <w:tcW w:w="3330" w:type="dxa"/>
            <w:shd w:val="clear" w:color="auto" w:fill="E7E6E6" w:themeFill="background2"/>
            <w:vAlign w:val="center"/>
            <w:hideMark/>
          </w:tcPr>
          <w:p w:rsidRPr="00C018C5" w:rsidR="00C018C5" w:rsidP="00130E1D" w:rsidRDefault="00C018C5" w14:paraId="34A180FC"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32DE13F2"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0CB000EF"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2F9CC374" w14:textId="77777777">
        <w:trPr>
          <w:trHeight w:val="315"/>
          <w:jc w:val="center"/>
        </w:trPr>
        <w:tc>
          <w:tcPr>
            <w:tcW w:w="3330" w:type="dxa"/>
            <w:vAlign w:val="center"/>
            <w:hideMark/>
          </w:tcPr>
          <w:p w:rsidRPr="00C018C5" w:rsidR="00C018C5" w:rsidP="00130E1D" w:rsidRDefault="00C018C5" w14:paraId="1882ACFD" w14:textId="2697E753">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$45</w:t>
            </w:r>
          </w:p>
        </w:tc>
        <w:tc>
          <w:tcPr>
            <w:tcW w:w="3510" w:type="dxa"/>
            <w:vAlign w:val="center"/>
            <w:hideMark/>
          </w:tcPr>
          <w:p w:rsidRPr="00C018C5" w:rsidR="00C018C5" w:rsidP="00130E1D" w:rsidRDefault="00C018C5" w14:paraId="68332107" w14:textId="2C922419">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$60</w:t>
            </w:r>
          </w:p>
        </w:tc>
        <w:tc>
          <w:tcPr>
            <w:tcW w:w="2580" w:type="dxa"/>
            <w:vAlign w:val="center"/>
            <w:hideMark/>
          </w:tcPr>
          <w:p w:rsidRPr="00C018C5" w:rsidR="00C018C5" w:rsidP="00130E1D" w:rsidRDefault="00C018C5" w14:paraId="0C86EF73"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33.33% increase</w:t>
            </w:r>
          </w:p>
        </w:tc>
      </w:tr>
      <w:tr w:rsidRPr="00C018C5" w:rsidR="00C018C5" w:rsidTr="00F320A5" w14:paraId="0B38AD2A" w14:textId="77777777">
        <w:trPr>
          <w:trHeight w:val="62"/>
          <w:jc w:val="center"/>
        </w:trPr>
        <w:tc>
          <w:tcPr>
            <w:tcW w:w="9420" w:type="dxa"/>
            <w:gridSpan w:val="3"/>
            <w:vAlign w:val="center"/>
            <w:hideMark/>
          </w:tcPr>
          <w:p w:rsidRPr="00C018C5" w:rsidR="00C018C5" w:rsidP="00130E1D" w:rsidRDefault="00C018C5" w14:paraId="2C030738" w14:textId="5ADA9827">
            <w:pPr>
              <w:spacing w:line="240" w:lineRule="auto"/>
              <w:ind w:firstLine="0"/>
              <w:jc w:val="center"/>
              <w:rPr>
                <w:rFonts w:eastAsia="Times New Roman" w:cs="Times New Roman"/>
                <w:b/>
                <w:bCs/>
                <w:color w:val="242424"/>
                <w:szCs w:val="26"/>
              </w:rPr>
            </w:pPr>
            <w:r w:rsidRPr="00C018C5">
              <w:rPr>
                <w:rFonts w:eastAsia="Times New Roman" w:cs="Times New Roman"/>
                <w:b/>
                <w:bCs/>
                <w:color w:val="242424"/>
                <w:szCs w:val="26"/>
              </w:rPr>
              <w:t>Santa Barbara and Carpinteria</w:t>
            </w:r>
            <w:r w:rsidR="00753B5B">
              <w:rPr>
                <w:rStyle w:val="FootnoteReference"/>
                <w:rFonts w:eastAsia="Times New Roman" w:cs="Times New Roman"/>
                <w:b/>
                <w:bCs/>
                <w:color w:val="242424"/>
                <w:szCs w:val="26"/>
              </w:rPr>
              <w:footnoteReference w:id="4"/>
            </w:r>
          </w:p>
        </w:tc>
      </w:tr>
      <w:tr w:rsidRPr="00C018C5" w:rsidR="00D2340B" w:rsidTr="004B2059" w14:paraId="1907D338" w14:textId="77777777">
        <w:trPr>
          <w:trHeight w:val="300"/>
          <w:jc w:val="center"/>
        </w:trPr>
        <w:tc>
          <w:tcPr>
            <w:tcW w:w="3330" w:type="dxa"/>
            <w:shd w:val="clear" w:color="auto" w:fill="E7E6E6" w:themeFill="background2"/>
            <w:vAlign w:val="center"/>
            <w:hideMark/>
          </w:tcPr>
          <w:p w:rsidRPr="00C018C5" w:rsidR="00C018C5" w:rsidP="00130E1D" w:rsidRDefault="00C018C5" w14:paraId="1857D21E"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Prepaid Fare</w:t>
            </w:r>
          </w:p>
        </w:tc>
        <w:tc>
          <w:tcPr>
            <w:tcW w:w="3510" w:type="dxa"/>
            <w:shd w:val="clear" w:color="auto" w:fill="E7E6E6" w:themeFill="background2"/>
            <w:vAlign w:val="center"/>
            <w:hideMark/>
          </w:tcPr>
          <w:p w:rsidRPr="00C018C5" w:rsidR="00C018C5" w:rsidP="00130E1D" w:rsidRDefault="00C018C5" w14:paraId="7C2482AA"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1FB5B5B0"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7E61E954" w14:textId="77777777">
        <w:trPr>
          <w:trHeight w:val="315"/>
          <w:jc w:val="center"/>
        </w:trPr>
        <w:tc>
          <w:tcPr>
            <w:tcW w:w="3330" w:type="dxa"/>
            <w:vAlign w:val="center"/>
            <w:hideMark/>
          </w:tcPr>
          <w:p w:rsidRPr="00C018C5" w:rsidR="00C018C5" w:rsidP="00130E1D" w:rsidRDefault="00C018C5" w14:paraId="5C3EBA3F" w14:textId="7D7F931B">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$20</w:t>
            </w:r>
          </w:p>
        </w:tc>
        <w:tc>
          <w:tcPr>
            <w:tcW w:w="3510" w:type="dxa"/>
            <w:vAlign w:val="center"/>
            <w:hideMark/>
          </w:tcPr>
          <w:p w:rsidRPr="00C018C5" w:rsidR="00C018C5" w:rsidP="00130E1D" w:rsidRDefault="00C018C5" w14:paraId="6D7BF7D9" w14:textId="223B67F6">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$20</w:t>
            </w:r>
          </w:p>
        </w:tc>
        <w:tc>
          <w:tcPr>
            <w:tcW w:w="2580" w:type="dxa"/>
            <w:vAlign w:val="center"/>
            <w:hideMark/>
          </w:tcPr>
          <w:p w:rsidRPr="00C018C5" w:rsidR="00C018C5" w:rsidP="00130E1D" w:rsidRDefault="00C018C5" w14:paraId="47E02E6D"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0% increase</w:t>
            </w:r>
          </w:p>
        </w:tc>
      </w:tr>
      <w:tr w:rsidRPr="00C018C5" w:rsidR="00D2340B" w:rsidTr="009B61FE" w14:paraId="4CC9421B" w14:textId="77777777">
        <w:trPr>
          <w:trHeight w:val="60"/>
          <w:jc w:val="center"/>
        </w:trPr>
        <w:tc>
          <w:tcPr>
            <w:tcW w:w="3330" w:type="dxa"/>
            <w:shd w:val="clear" w:color="auto" w:fill="E7E6E6" w:themeFill="background2"/>
            <w:vAlign w:val="center"/>
            <w:hideMark/>
          </w:tcPr>
          <w:p w:rsidRPr="00C018C5" w:rsidR="00C018C5" w:rsidP="00130E1D" w:rsidRDefault="00C018C5" w14:paraId="0D4144A3"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1BF2E447"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502C4112"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402ABDA8" w14:textId="77777777">
        <w:trPr>
          <w:trHeight w:val="315"/>
          <w:jc w:val="center"/>
        </w:trPr>
        <w:tc>
          <w:tcPr>
            <w:tcW w:w="3330" w:type="dxa"/>
            <w:vAlign w:val="center"/>
            <w:hideMark/>
          </w:tcPr>
          <w:p w:rsidRPr="00C018C5" w:rsidR="00C018C5" w:rsidP="00130E1D" w:rsidRDefault="00C018C5" w14:paraId="5FF9D53B" w14:textId="5C100EE0">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$19</w:t>
            </w:r>
          </w:p>
        </w:tc>
        <w:tc>
          <w:tcPr>
            <w:tcW w:w="3510" w:type="dxa"/>
            <w:vAlign w:val="center"/>
            <w:hideMark/>
          </w:tcPr>
          <w:p w:rsidRPr="00C018C5" w:rsidR="00C018C5" w:rsidP="00130E1D" w:rsidRDefault="00C018C5" w14:paraId="0E7626F5" w14:textId="6F177E4A">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$30</w:t>
            </w:r>
          </w:p>
        </w:tc>
        <w:tc>
          <w:tcPr>
            <w:tcW w:w="2580" w:type="dxa"/>
            <w:vAlign w:val="center"/>
            <w:hideMark/>
          </w:tcPr>
          <w:p w:rsidRPr="00C018C5" w:rsidR="00C018C5" w:rsidP="00130E1D" w:rsidRDefault="00C018C5" w14:paraId="65C13568"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57.89% increase</w:t>
            </w:r>
          </w:p>
        </w:tc>
      </w:tr>
      <w:tr w:rsidRPr="00C018C5" w:rsidR="00C018C5" w:rsidTr="00F320A5" w14:paraId="113B95B1" w14:textId="77777777">
        <w:trPr>
          <w:trHeight w:val="60"/>
          <w:jc w:val="center"/>
        </w:trPr>
        <w:tc>
          <w:tcPr>
            <w:tcW w:w="9420" w:type="dxa"/>
            <w:gridSpan w:val="3"/>
            <w:vAlign w:val="center"/>
            <w:hideMark/>
          </w:tcPr>
          <w:p w:rsidRPr="00C018C5" w:rsidR="00C018C5" w:rsidP="00130E1D" w:rsidRDefault="00C018C5" w14:paraId="42BABEEE" w14:textId="77777777">
            <w:pPr>
              <w:spacing w:line="240" w:lineRule="auto"/>
              <w:ind w:firstLine="0"/>
              <w:jc w:val="center"/>
              <w:rPr>
                <w:rFonts w:eastAsia="Times New Roman" w:cs="Times New Roman"/>
                <w:b/>
                <w:bCs/>
                <w:color w:val="242424"/>
                <w:szCs w:val="26"/>
              </w:rPr>
            </w:pPr>
            <w:r w:rsidRPr="00C018C5">
              <w:rPr>
                <w:rFonts w:eastAsia="Times New Roman" w:cs="Times New Roman"/>
                <w:b/>
                <w:bCs/>
                <w:color w:val="242424"/>
                <w:szCs w:val="26"/>
              </w:rPr>
              <w:t>Ventura and Oxnard</w:t>
            </w:r>
          </w:p>
        </w:tc>
      </w:tr>
      <w:tr w:rsidRPr="00C018C5" w:rsidR="00D2340B" w:rsidTr="004B2059" w14:paraId="3E3512A6" w14:textId="77777777">
        <w:trPr>
          <w:trHeight w:val="300"/>
          <w:jc w:val="center"/>
        </w:trPr>
        <w:tc>
          <w:tcPr>
            <w:tcW w:w="3330" w:type="dxa"/>
            <w:shd w:val="clear" w:color="auto" w:fill="E7E6E6" w:themeFill="background2"/>
            <w:vAlign w:val="center"/>
            <w:hideMark/>
          </w:tcPr>
          <w:p w:rsidRPr="00C018C5" w:rsidR="00C018C5" w:rsidP="00130E1D" w:rsidRDefault="00C018C5" w14:paraId="35EA69FD"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Prepaid Fare</w:t>
            </w:r>
          </w:p>
        </w:tc>
        <w:tc>
          <w:tcPr>
            <w:tcW w:w="3510" w:type="dxa"/>
            <w:shd w:val="clear" w:color="auto" w:fill="E7E6E6" w:themeFill="background2"/>
            <w:vAlign w:val="center"/>
            <w:hideMark/>
          </w:tcPr>
          <w:p w:rsidRPr="00C018C5" w:rsidR="00C018C5" w:rsidP="00130E1D" w:rsidRDefault="00C018C5" w14:paraId="7CF0DBB5"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3F29B5ED"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601B281E" w14:textId="77777777">
        <w:trPr>
          <w:trHeight w:val="315"/>
          <w:jc w:val="center"/>
        </w:trPr>
        <w:tc>
          <w:tcPr>
            <w:tcW w:w="3330" w:type="dxa"/>
            <w:vAlign w:val="center"/>
            <w:hideMark/>
          </w:tcPr>
          <w:p w:rsidRPr="00C018C5" w:rsidR="00C018C5" w:rsidP="00130E1D" w:rsidRDefault="00C018C5" w14:paraId="15194412" w14:textId="7354D1B1">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$40</w:t>
            </w:r>
          </w:p>
        </w:tc>
        <w:tc>
          <w:tcPr>
            <w:tcW w:w="3510" w:type="dxa"/>
            <w:vAlign w:val="center"/>
            <w:hideMark/>
          </w:tcPr>
          <w:p w:rsidRPr="00C018C5" w:rsidR="00C018C5" w:rsidP="00130E1D" w:rsidRDefault="00C018C5" w14:paraId="0555313F" w14:textId="17FD7A66">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$45</w:t>
            </w:r>
          </w:p>
        </w:tc>
        <w:tc>
          <w:tcPr>
            <w:tcW w:w="2580" w:type="dxa"/>
            <w:vAlign w:val="center"/>
            <w:hideMark/>
          </w:tcPr>
          <w:p w:rsidRPr="00C018C5" w:rsidR="00C018C5" w:rsidP="00130E1D" w:rsidRDefault="00C018C5" w14:paraId="304EF509"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12.5% increase</w:t>
            </w:r>
          </w:p>
        </w:tc>
      </w:tr>
      <w:tr w:rsidRPr="00C018C5" w:rsidR="00D2340B" w:rsidTr="009B61FE" w14:paraId="157A8285" w14:textId="77777777">
        <w:trPr>
          <w:trHeight w:val="60"/>
          <w:jc w:val="center"/>
        </w:trPr>
        <w:tc>
          <w:tcPr>
            <w:tcW w:w="3330" w:type="dxa"/>
            <w:shd w:val="clear" w:color="auto" w:fill="E7E6E6" w:themeFill="background2"/>
            <w:vAlign w:val="center"/>
            <w:hideMark/>
          </w:tcPr>
          <w:p w:rsidRPr="00C018C5" w:rsidR="00C018C5" w:rsidP="00130E1D" w:rsidRDefault="00C018C5" w14:paraId="0CDEFC8A"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618AF45A"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2ACCFFB5"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1ACA8A62" w14:textId="77777777">
        <w:trPr>
          <w:trHeight w:val="315"/>
          <w:jc w:val="center"/>
        </w:trPr>
        <w:tc>
          <w:tcPr>
            <w:tcW w:w="3330" w:type="dxa"/>
            <w:vAlign w:val="center"/>
            <w:hideMark/>
          </w:tcPr>
          <w:p w:rsidRPr="00C018C5" w:rsidR="00C018C5" w:rsidP="00130E1D" w:rsidRDefault="00C018C5" w14:paraId="17EDF1E6" w14:textId="724D61B6">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$45</w:t>
            </w:r>
          </w:p>
        </w:tc>
        <w:tc>
          <w:tcPr>
            <w:tcW w:w="3510" w:type="dxa"/>
            <w:vAlign w:val="center"/>
            <w:hideMark/>
          </w:tcPr>
          <w:p w:rsidRPr="00C018C5" w:rsidR="00C018C5" w:rsidP="00130E1D" w:rsidRDefault="00C018C5" w14:paraId="1E65C645" w14:textId="1DAA67F9">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$55</w:t>
            </w:r>
          </w:p>
        </w:tc>
        <w:tc>
          <w:tcPr>
            <w:tcW w:w="2580" w:type="dxa"/>
            <w:vAlign w:val="center"/>
            <w:hideMark/>
          </w:tcPr>
          <w:p w:rsidRPr="00C018C5" w:rsidR="00C018C5" w:rsidP="00130E1D" w:rsidRDefault="00C018C5" w14:paraId="41740402"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22.22% increase</w:t>
            </w:r>
          </w:p>
        </w:tc>
      </w:tr>
      <w:tr w:rsidRPr="00C018C5" w:rsidR="00C018C5" w:rsidTr="00F320A5" w14:paraId="0ECA9D57" w14:textId="77777777">
        <w:trPr>
          <w:trHeight w:val="60"/>
          <w:jc w:val="center"/>
        </w:trPr>
        <w:tc>
          <w:tcPr>
            <w:tcW w:w="9420" w:type="dxa"/>
            <w:gridSpan w:val="3"/>
            <w:vAlign w:val="center"/>
            <w:hideMark/>
          </w:tcPr>
          <w:p w:rsidRPr="00C018C5" w:rsidR="00C018C5" w:rsidP="00130E1D" w:rsidRDefault="00C018C5" w14:paraId="672B9A48" w14:textId="77777777">
            <w:pPr>
              <w:spacing w:line="240" w:lineRule="auto"/>
              <w:ind w:firstLine="0"/>
              <w:jc w:val="center"/>
              <w:rPr>
                <w:rFonts w:eastAsia="Times New Roman" w:cs="Times New Roman"/>
                <w:b/>
                <w:bCs/>
                <w:color w:val="242424"/>
                <w:szCs w:val="26"/>
              </w:rPr>
            </w:pPr>
            <w:r w:rsidRPr="00C018C5">
              <w:rPr>
                <w:rFonts w:eastAsia="Times New Roman" w:cs="Times New Roman"/>
                <w:b/>
                <w:bCs/>
                <w:color w:val="242424"/>
                <w:szCs w:val="26"/>
              </w:rPr>
              <w:t>Camarillo and Thousand Oaks</w:t>
            </w:r>
          </w:p>
        </w:tc>
      </w:tr>
      <w:tr w:rsidRPr="00C018C5" w:rsidR="00D2340B" w:rsidTr="004B2059" w14:paraId="6704CF0A" w14:textId="77777777">
        <w:trPr>
          <w:trHeight w:val="300"/>
          <w:jc w:val="center"/>
        </w:trPr>
        <w:tc>
          <w:tcPr>
            <w:tcW w:w="3330" w:type="dxa"/>
            <w:shd w:val="clear" w:color="auto" w:fill="E7E6E6" w:themeFill="background2"/>
            <w:vAlign w:val="center"/>
            <w:hideMark/>
          </w:tcPr>
          <w:p w:rsidRPr="00C018C5" w:rsidR="00C018C5" w:rsidP="00130E1D" w:rsidRDefault="00C018C5" w14:paraId="0E02DCA3"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lastRenderedPageBreak/>
              <w:t>Current Prepaid Fare</w:t>
            </w:r>
          </w:p>
        </w:tc>
        <w:tc>
          <w:tcPr>
            <w:tcW w:w="3510" w:type="dxa"/>
            <w:shd w:val="clear" w:color="auto" w:fill="E7E6E6" w:themeFill="background2"/>
            <w:vAlign w:val="center"/>
            <w:hideMark/>
          </w:tcPr>
          <w:p w:rsidRPr="00C018C5" w:rsidR="00C018C5" w:rsidP="00130E1D" w:rsidRDefault="00C018C5" w14:paraId="1ED71E60"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Prepaid Fare</w:t>
            </w:r>
          </w:p>
        </w:tc>
        <w:tc>
          <w:tcPr>
            <w:tcW w:w="2580" w:type="dxa"/>
            <w:shd w:val="clear" w:color="auto" w:fill="E7E6E6" w:themeFill="background2"/>
            <w:vAlign w:val="center"/>
            <w:hideMark/>
          </w:tcPr>
          <w:p w:rsidRPr="00C018C5" w:rsidR="00C018C5" w:rsidP="00130E1D" w:rsidRDefault="00C018C5" w14:paraId="3DB51574"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04393A23" w14:textId="77777777">
        <w:trPr>
          <w:trHeight w:val="315"/>
          <w:jc w:val="center"/>
        </w:trPr>
        <w:tc>
          <w:tcPr>
            <w:tcW w:w="3330" w:type="dxa"/>
            <w:vAlign w:val="center"/>
            <w:hideMark/>
          </w:tcPr>
          <w:p w:rsidRPr="00C018C5" w:rsidR="00C018C5" w:rsidP="00130E1D" w:rsidRDefault="00C018C5" w14:paraId="3E87B2E9" w14:textId="2D6381D1">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$45</w:t>
            </w:r>
          </w:p>
        </w:tc>
        <w:tc>
          <w:tcPr>
            <w:tcW w:w="3510" w:type="dxa"/>
            <w:vAlign w:val="center"/>
            <w:hideMark/>
          </w:tcPr>
          <w:p w:rsidRPr="00C018C5" w:rsidR="00C018C5" w:rsidP="00130E1D" w:rsidRDefault="00C018C5" w14:paraId="76E76D48" w14:textId="5D77F7E8">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$45</w:t>
            </w:r>
          </w:p>
        </w:tc>
        <w:tc>
          <w:tcPr>
            <w:tcW w:w="2580" w:type="dxa"/>
            <w:vAlign w:val="center"/>
            <w:hideMark/>
          </w:tcPr>
          <w:p w:rsidRPr="00C018C5" w:rsidR="00C018C5" w:rsidP="00130E1D" w:rsidRDefault="00C018C5" w14:paraId="27585ECA"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0% increase</w:t>
            </w:r>
          </w:p>
        </w:tc>
      </w:tr>
      <w:tr w:rsidRPr="00C018C5" w:rsidR="00D2340B" w:rsidTr="009B61FE" w14:paraId="64933E9F" w14:textId="77777777">
        <w:trPr>
          <w:trHeight w:val="60"/>
          <w:jc w:val="center"/>
        </w:trPr>
        <w:tc>
          <w:tcPr>
            <w:tcW w:w="3330" w:type="dxa"/>
            <w:shd w:val="clear" w:color="auto" w:fill="E7E6E6" w:themeFill="background2"/>
            <w:vAlign w:val="center"/>
            <w:hideMark/>
          </w:tcPr>
          <w:p w:rsidRPr="00C018C5" w:rsidR="00C018C5" w:rsidP="00130E1D" w:rsidRDefault="00C018C5" w14:paraId="22780085"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Current Non-Prepaid Fare</w:t>
            </w:r>
          </w:p>
        </w:tc>
        <w:tc>
          <w:tcPr>
            <w:tcW w:w="3510" w:type="dxa"/>
            <w:shd w:val="clear" w:color="auto" w:fill="E7E6E6" w:themeFill="background2"/>
            <w:vAlign w:val="center"/>
            <w:hideMark/>
          </w:tcPr>
          <w:p w:rsidRPr="00C018C5" w:rsidR="00C018C5" w:rsidP="00130E1D" w:rsidRDefault="00C018C5" w14:paraId="70B8C3CF" w14:textId="77777777">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Proposed Non-Prepaid Fare</w:t>
            </w:r>
          </w:p>
        </w:tc>
        <w:tc>
          <w:tcPr>
            <w:tcW w:w="2580" w:type="dxa"/>
            <w:shd w:val="clear" w:color="auto" w:fill="E7E6E6" w:themeFill="background2"/>
            <w:vAlign w:val="center"/>
            <w:hideMark/>
          </w:tcPr>
          <w:p w:rsidRPr="00C018C5" w:rsidR="00C018C5" w:rsidP="00130E1D" w:rsidRDefault="00C018C5" w14:paraId="7B3CBFB3"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Percentage Increase</w:t>
            </w:r>
          </w:p>
        </w:tc>
      </w:tr>
      <w:tr w:rsidRPr="00C018C5" w:rsidR="00D2340B" w:rsidTr="00D2340B" w14:paraId="4DE59B23" w14:textId="77777777">
        <w:trPr>
          <w:trHeight w:val="315"/>
          <w:jc w:val="center"/>
        </w:trPr>
        <w:tc>
          <w:tcPr>
            <w:tcW w:w="3330" w:type="dxa"/>
            <w:vAlign w:val="center"/>
            <w:hideMark/>
          </w:tcPr>
          <w:p w:rsidRPr="00C018C5" w:rsidR="00C018C5" w:rsidP="00130E1D" w:rsidRDefault="00C018C5" w14:paraId="7FD638B1" w14:textId="5E6E55F9">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$50</w:t>
            </w:r>
          </w:p>
        </w:tc>
        <w:tc>
          <w:tcPr>
            <w:tcW w:w="3510" w:type="dxa"/>
            <w:vAlign w:val="center"/>
            <w:hideMark/>
          </w:tcPr>
          <w:p w:rsidRPr="00C018C5" w:rsidR="00C018C5" w:rsidP="00130E1D" w:rsidRDefault="00C018C5" w14:paraId="5849E3D2" w14:textId="49E5115D">
            <w:pPr>
              <w:spacing w:line="240" w:lineRule="auto"/>
              <w:ind w:firstLine="0"/>
              <w:jc w:val="center"/>
              <w:rPr>
                <w:rFonts w:eastAsia="Times New Roman" w:cs="Times New Roman"/>
                <w:color w:val="242424"/>
                <w:szCs w:val="26"/>
              </w:rPr>
            </w:pPr>
            <w:r w:rsidRPr="00C018C5">
              <w:rPr>
                <w:rFonts w:eastAsia="Times New Roman" w:cs="Times New Roman"/>
                <w:color w:val="242424"/>
                <w:szCs w:val="26"/>
              </w:rPr>
              <w:t>$55</w:t>
            </w:r>
          </w:p>
        </w:tc>
        <w:tc>
          <w:tcPr>
            <w:tcW w:w="2580" w:type="dxa"/>
            <w:vAlign w:val="center"/>
            <w:hideMark/>
          </w:tcPr>
          <w:p w:rsidRPr="00C018C5" w:rsidR="00C018C5" w:rsidP="00130E1D" w:rsidRDefault="00C018C5" w14:paraId="25B5E381" w14:textId="77777777">
            <w:pPr>
              <w:spacing w:line="240" w:lineRule="auto"/>
              <w:ind w:firstLine="0"/>
              <w:jc w:val="center"/>
              <w:rPr>
                <w:rFonts w:eastAsia="Times New Roman" w:cs="Times New Roman"/>
                <w:color w:val="000000"/>
                <w:szCs w:val="26"/>
              </w:rPr>
            </w:pPr>
            <w:r w:rsidRPr="00C018C5">
              <w:rPr>
                <w:rFonts w:eastAsia="Times New Roman" w:cs="Times New Roman"/>
                <w:color w:val="000000"/>
                <w:szCs w:val="26"/>
              </w:rPr>
              <w:t>10% increase</w:t>
            </w:r>
          </w:p>
        </w:tc>
      </w:tr>
    </w:tbl>
    <w:p w:rsidR="00814F56" w:rsidP="00F7515F" w:rsidRDefault="00814F56" w14:paraId="20242319" w14:textId="77777777">
      <w:pPr>
        <w:pStyle w:val="Standard"/>
        <w:ind w:firstLine="0"/>
        <w:jc w:val="both"/>
        <w:rPr>
          <w:rStyle w:val="displayonly"/>
        </w:rPr>
      </w:pPr>
    </w:p>
    <w:p w:rsidR="00520C1B" w:rsidP="004C43AD" w:rsidRDefault="00085C43" w14:paraId="70A66214" w14:textId="77777777">
      <w:pPr>
        <w:pStyle w:val="Standard"/>
        <w:jc w:val="both"/>
      </w:pPr>
      <w:r>
        <w:t xml:space="preserve">Furthermore, Applicant requests to </w:t>
      </w:r>
      <w:r w:rsidR="000E4C5E">
        <w:t>streamline</w:t>
      </w:r>
      <w:r w:rsidR="006E3BDD">
        <w:t xml:space="preserve"> the fares for</w:t>
      </w:r>
      <w:r w:rsidR="000E4C5E">
        <w:t xml:space="preserve"> its Commuter Program</w:t>
      </w:r>
      <w:r w:rsidR="006E3BDD">
        <w:t xml:space="preserve"> by </w:t>
      </w:r>
      <w:r w:rsidR="00B93F8D">
        <w:t>establishing a</w:t>
      </w:r>
      <w:r w:rsidR="008A1764">
        <w:t xml:space="preserve"> uniform</w:t>
      </w:r>
      <w:r w:rsidR="00B93F8D">
        <w:t xml:space="preserve"> </w:t>
      </w:r>
      <w:r w:rsidR="00450206">
        <w:t xml:space="preserve">$29 </w:t>
      </w:r>
      <w:r w:rsidR="00B93F8D">
        <w:t>fare</w:t>
      </w:r>
      <w:r w:rsidR="00450206">
        <w:t xml:space="preserve"> each way per ride</w:t>
      </w:r>
      <w:r w:rsidR="008A1764">
        <w:t xml:space="preserve">, replacing the current variable fare structure </w:t>
      </w:r>
      <w:r w:rsidR="006C4C4D">
        <w:t>that</w:t>
      </w:r>
      <w:r w:rsidR="00C1067D">
        <w:t xml:space="preserve"> adjusts according to the number of monthly trips</w:t>
      </w:r>
      <w:r w:rsidR="00A20483">
        <w:t>.</w:t>
      </w:r>
      <w:r w:rsidR="007321EB">
        <w:rPr>
          <w:rStyle w:val="FootnoteReference"/>
        </w:rPr>
        <w:footnoteReference w:id="5"/>
      </w:r>
      <w:r w:rsidR="00A20483">
        <w:t xml:space="preserve"> Applicant also proposes to increase the monthly fee for its Commuter Program from $50 to $88 per mont</w:t>
      </w:r>
      <w:r w:rsidR="00ED271F">
        <w:t>h and to apply its authorized ZORF to the increased monthly fee and fares.</w:t>
      </w:r>
      <w:r w:rsidR="000E5D70">
        <w:rPr>
          <w:rStyle w:val="FootnoteReference"/>
        </w:rPr>
        <w:footnoteReference w:id="6"/>
      </w:r>
      <w:r w:rsidR="00CE3EA9">
        <w:t xml:space="preserve"> </w:t>
      </w:r>
      <w:r w:rsidR="00B93F8D">
        <w:t xml:space="preserve"> </w:t>
      </w:r>
    </w:p>
    <w:p w:rsidRPr="00DD463C" w:rsidR="00FF2C70" w:rsidP="004C43AD" w:rsidRDefault="004C43AD" w14:paraId="2AB5ECF7" w14:textId="28E4E809">
      <w:pPr>
        <w:pStyle w:val="Standard"/>
        <w:jc w:val="both"/>
        <w:rPr>
          <w:rStyle w:val="displayonly"/>
        </w:rPr>
      </w:pPr>
      <w:r>
        <w:t>Similarly, Applicant</w:t>
      </w:r>
      <w:r w:rsidR="005A286F">
        <w:t xml:space="preserve"> requests to streamline the</w:t>
      </w:r>
      <w:r w:rsidR="00772870">
        <w:t xml:space="preserve"> design of its Bulk Purchase Discount</w:t>
      </w:r>
      <w:r w:rsidR="00822E5B">
        <w:t>.</w:t>
      </w:r>
      <w:r w:rsidR="00772870">
        <w:t xml:space="preserve"> </w:t>
      </w:r>
      <w:r w:rsidR="00822E5B">
        <w:t xml:space="preserve">Rather than its current, route-specific discounts, Applicant proposes to </w:t>
      </w:r>
      <w:r w:rsidR="00772870">
        <w:t>establish a</w:t>
      </w:r>
      <w:r w:rsidR="007635BF">
        <w:t xml:space="preserve"> uniform</w:t>
      </w:r>
      <w:r w:rsidR="00772870">
        <w:t xml:space="preserve"> discount of 5% per ticket when purchasing 6 to 9 tickets</w:t>
      </w:r>
      <w:r w:rsidR="00B07860">
        <w:t xml:space="preserve"> at the same time and a</w:t>
      </w:r>
      <w:r w:rsidR="007635BF">
        <w:t xml:space="preserve">n </w:t>
      </w:r>
      <w:r w:rsidR="00B07860">
        <w:t>8% discount per ticket when purchasing 10 or more tickets at the same time</w:t>
      </w:r>
      <w:r w:rsidR="007321EB">
        <w:t>.</w:t>
      </w:r>
      <w:r w:rsidR="000E5D70">
        <w:rPr>
          <w:rStyle w:val="FootnoteReference"/>
        </w:rPr>
        <w:footnoteReference w:id="7"/>
      </w:r>
    </w:p>
    <w:p w:rsidR="007453DE" w:rsidP="007453DE" w:rsidRDefault="007453DE" w14:paraId="361FFF28" w14:textId="77777777">
      <w:pPr>
        <w:pStyle w:val="Standard"/>
        <w:jc w:val="both"/>
      </w:pPr>
      <w:r>
        <w:t>Applicant requests that the Commission allow it to maintain its existing Zone of Rate Freedom (ZORF) range of 15% above and below the proposed base fares.</w:t>
      </w:r>
      <w:r>
        <w:rPr>
          <w:rStyle w:val="FootnoteReference"/>
        </w:rPr>
        <w:footnoteReference w:id="8"/>
      </w:r>
      <w:r>
        <w:t xml:space="preserve"> D.</w:t>
      </w:r>
      <w:r w:rsidRPr="0061553D">
        <w:t>15-05-029</w:t>
      </w:r>
      <w:r>
        <w:t xml:space="preserve"> authorizes the Executive Director to grant a 15% ZORF above and below the granted fares; therefore, a 15% ZORF should be granted.</w:t>
      </w:r>
    </w:p>
    <w:p w:rsidR="00534A4B" w:rsidP="00534A4B" w:rsidRDefault="00534A4B" w14:paraId="14F47C75" w14:textId="77777777">
      <w:pPr>
        <w:pStyle w:val="Standard"/>
        <w:jc w:val="both"/>
      </w:pPr>
      <w:r w:rsidRPr="00C913BD">
        <w:t xml:space="preserve">Applicant will compete with other PSCs, charter-party carriers, taxicabs, transportation network companies (TNCs), limousines, public transit, and private </w:t>
      </w:r>
      <w:r w:rsidRPr="00C913BD">
        <w:lastRenderedPageBreak/>
        <w:t>automobiles in its operations. This highly competitive environment should result in Applicant pricing its services at a reasonable level.</w:t>
      </w:r>
    </w:p>
    <w:p w:rsidR="00175FE5" w:rsidP="00E74466" w:rsidRDefault="00175FE5" w14:paraId="727037ED" w14:textId="13A59832">
      <w:pPr>
        <w:pStyle w:val="Standard"/>
        <w:jc w:val="both"/>
      </w:pPr>
      <w:r w:rsidRPr="00175FE5">
        <w:t>Since the proposed fare increase</w:t>
      </w:r>
      <w:r w:rsidR="00F95BC5">
        <w:t>s</w:t>
      </w:r>
      <w:r w:rsidR="00D96F19">
        <w:t xml:space="preserve"> and other requested changes</w:t>
      </w:r>
      <w:r w:rsidRPr="00175FE5">
        <w:t xml:space="preserve"> will not add vehicles on </w:t>
      </w:r>
      <w:r w:rsidRPr="00175FE5" w:rsidR="005A6D07">
        <w:t>public</w:t>
      </w:r>
      <w:r w:rsidRPr="00175FE5">
        <w:t xml:space="preserve"> highways, a California Environmental Quality Act review is not required because there is no possibility that the fare increase may have a significant adverse effect on the environment</w:t>
      </w:r>
      <w:r>
        <w:t>.</w:t>
      </w:r>
    </w:p>
    <w:p w:rsidR="008C0F13" w:rsidP="000A603A" w:rsidRDefault="008C0F13" w14:paraId="5B057C8B" w14:textId="1542720A">
      <w:pPr>
        <w:pStyle w:val="Standard"/>
        <w:jc w:val="both"/>
      </w:pPr>
      <w:r w:rsidRPr="008C0F13">
        <w:t xml:space="preserve">The Commission’s ESJ Action Plan recognizes the disproportionate impacts of environmental hazards in communities of color and identifies ways the CPUC can use its regulatory authority to address funding and resources for these communities to mitigate the outcomes of past inequities and barriers. This application is </w:t>
      </w:r>
      <w:r w:rsidR="005A2BCC">
        <w:t>to</w:t>
      </w:r>
      <w:r w:rsidDel="005A2BCC">
        <w:t xml:space="preserve"> </w:t>
      </w:r>
      <w:r w:rsidR="005A2BCC">
        <w:t xml:space="preserve">increase </w:t>
      </w:r>
      <w:r>
        <w:t>fare</w:t>
      </w:r>
      <w:r w:rsidR="00102A03">
        <w:t>s</w:t>
      </w:r>
      <w:r>
        <w:t xml:space="preserve"> for established routes</w:t>
      </w:r>
      <w:r w:rsidRPr="008C0F13">
        <w:t xml:space="preserve"> and does not have any impact on the</w:t>
      </w:r>
      <w:r w:rsidR="0069319C">
        <w:t xml:space="preserve"> </w:t>
      </w:r>
      <w:r w:rsidRPr="00A174A7" w:rsidR="00A174A7">
        <w:t xml:space="preserve">achievement of any of the nine goals of the Commission’s </w:t>
      </w:r>
      <w:r w:rsidRPr="008C0F13" w:rsidR="00A174A7">
        <w:t>ESJ Action Plan</w:t>
      </w:r>
      <w:r w:rsidRPr="00A174A7" w:rsidR="00A174A7">
        <w:t xml:space="preserve">. </w:t>
      </w:r>
    </w:p>
    <w:p w:rsidR="00343E5C" w:rsidP="000A603A" w:rsidRDefault="00707A5B" w14:paraId="59CB93EB" w14:textId="73CF7408">
      <w:pPr>
        <w:pStyle w:val="Standard"/>
        <w:jc w:val="both"/>
      </w:pPr>
      <w:r w:rsidRPr="0061553D">
        <w:t xml:space="preserve">In Resolution ALJ </w:t>
      </w:r>
      <w:r w:rsidRPr="008E3E79">
        <w:t>176-35</w:t>
      </w:r>
      <w:r w:rsidRPr="008E3E79" w:rsidR="007C3A0E">
        <w:t>71</w:t>
      </w:r>
      <w:r w:rsidRPr="0061553D">
        <w:t xml:space="preserve">, dated </w:t>
      </w:r>
      <w:r w:rsidR="008E3E79">
        <w:t>October</w:t>
      </w:r>
      <w:r w:rsidR="00AB11DD">
        <w:t xml:space="preserve"> </w:t>
      </w:r>
      <w:r w:rsidR="008E3E79">
        <w:t>30</w:t>
      </w:r>
      <w:r w:rsidRPr="0061553D" w:rsidR="00560AF2">
        <w:t>, 202</w:t>
      </w:r>
      <w:r w:rsidR="008E3E79">
        <w:t>5</w:t>
      </w:r>
      <w:r w:rsidRPr="0061553D">
        <w:t xml:space="preserve">, the Commission preliminarily categorized this application as </w:t>
      </w:r>
      <w:proofErr w:type="spellStart"/>
      <w:r w:rsidRPr="0061553D">
        <w:t>ratesetting</w:t>
      </w:r>
      <w:proofErr w:type="spellEnd"/>
      <w:r w:rsidRPr="0061553D">
        <w:t xml:space="preserve">. No protest has been received. Given this status, </w:t>
      </w:r>
      <w:r w:rsidRPr="0061553D" w:rsidR="00DA5F9E">
        <w:t xml:space="preserve">a </w:t>
      </w:r>
      <w:r w:rsidRPr="0061553D">
        <w:t>public hearing is not necessary, and it is not necessary to alter the preliminary determinations made in</w:t>
      </w:r>
      <w:r w:rsidR="00DB6F1C">
        <w:t xml:space="preserve"> ALJ</w:t>
      </w:r>
      <w:r w:rsidRPr="0061553D">
        <w:t xml:space="preserve"> Resolution </w:t>
      </w:r>
      <w:r w:rsidRPr="008E3E79" w:rsidR="008E3E79">
        <w:t>176-3571</w:t>
      </w:r>
      <w:r w:rsidRPr="0061553D">
        <w:t>.</w:t>
      </w:r>
    </w:p>
    <w:p w:rsidRPr="0061553D" w:rsidR="00C913BD" w:rsidP="00C913BD" w:rsidRDefault="00C913BD" w14:paraId="1A09E717" w14:textId="66C0224B">
      <w:pPr>
        <w:pStyle w:val="Standard"/>
        <w:jc w:val="both"/>
      </w:pPr>
      <w:r w:rsidRPr="0061553D">
        <w:t xml:space="preserve">Notice of filing of the application appeared in the Commission’s Daily Calendar on </w:t>
      </w:r>
      <w:r w:rsidR="00F74616">
        <w:t xml:space="preserve">October </w:t>
      </w:r>
      <w:r w:rsidR="00007DC6">
        <w:t>8, 2025</w:t>
      </w:r>
      <w:r w:rsidRPr="0061553D">
        <w:t xml:space="preserve">. </w:t>
      </w:r>
      <w:r w:rsidR="001A5852">
        <w:t xml:space="preserve">On </w:t>
      </w:r>
      <w:r w:rsidR="004C5403">
        <w:t xml:space="preserve">January 15, 2026, the application was reassigned from </w:t>
      </w:r>
      <w:r w:rsidR="0042326C">
        <w:t xml:space="preserve">Commissioner John Reynolds </w:t>
      </w:r>
      <w:r w:rsidR="000B2D11">
        <w:t>and Administrative Law Judge Lena Afary to Examiner Terra Curtis.</w:t>
      </w:r>
    </w:p>
    <w:p w:rsidR="006B0354" w:rsidP="00DA5F9E" w:rsidRDefault="006B0354" w14:paraId="7CDACCEC" w14:textId="0BCDDE18">
      <w:pPr>
        <w:pStyle w:val="Heading1"/>
        <w:ind w:left="720" w:hanging="720"/>
      </w:pPr>
      <w:r>
        <w:t>Waiver of Comment Period</w:t>
      </w:r>
    </w:p>
    <w:p w:rsidRPr="0061553D" w:rsidR="006B0354" w:rsidP="00175572" w:rsidRDefault="006B0354" w14:paraId="70F4658E" w14:textId="226D8F3B">
      <w:pPr>
        <w:jc w:val="both"/>
      </w:pPr>
      <w:r w:rsidRPr="0061553D">
        <w:t>This is an uncontested matter in which the decision grants the relief requested. Accordingly, as provided in Rule 14.6(c)(2), the otherwise applicable 30-day public review and comment period for this decision is waived.</w:t>
      </w:r>
    </w:p>
    <w:p w:rsidR="005939A5" w:rsidP="00175572" w:rsidRDefault="005939A5" w14:paraId="6AE8E11C" w14:textId="77777777">
      <w:pPr>
        <w:pStyle w:val="Heading1"/>
        <w:ind w:left="720" w:hanging="720"/>
        <w:jc w:val="both"/>
      </w:pPr>
      <w:bookmarkStart w:name="_Toc8123724" w:id="12"/>
      <w:bookmarkStart w:name="_Toc12866694" w:id="13"/>
      <w:r>
        <w:t>Assignment of Proceeding</w:t>
      </w:r>
      <w:bookmarkEnd w:id="12"/>
      <w:bookmarkEnd w:id="13"/>
    </w:p>
    <w:p w:rsidRPr="0061553D" w:rsidR="002C28D8" w:rsidP="00175572" w:rsidRDefault="000A603A" w14:paraId="1F7141F9" w14:textId="07282EDB">
      <w:pPr>
        <w:pStyle w:val="Standard"/>
        <w:jc w:val="both"/>
      </w:pPr>
      <w:r w:rsidRPr="0061553D">
        <w:t>Terra</w:t>
      </w:r>
      <w:r w:rsidR="00EE66DE">
        <w:t xml:space="preserve"> </w:t>
      </w:r>
      <w:r w:rsidRPr="0061553D">
        <w:t>Cur</w:t>
      </w:r>
      <w:r w:rsidRPr="0061553D" w:rsidR="0005302C">
        <w:t>t</w:t>
      </w:r>
      <w:r w:rsidRPr="0061553D">
        <w:t>is</w:t>
      </w:r>
      <w:r w:rsidRPr="0061553D" w:rsidR="005939A5">
        <w:t xml:space="preserve"> is the assigned </w:t>
      </w:r>
      <w:r w:rsidRPr="0061553D">
        <w:t>Examiner</w:t>
      </w:r>
      <w:r w:rsidRPr="0061553D" w:rsidR="005939A5">
        <w:t xml:space="preserve"> in this proceeding.</w:t>
      </w:r>
    </w:p>
    <w:p w:rsidR="000931BB" w:rsidP="000931BB" w:rsidRDefault="000931BB" w14:paraId="6A0259EA" w14:textId="059C46A4">
      <w:pPr>
        <w:pStyle w:val="Dummy"/>
        <w:jc w:val="both"/>
      </w:pPr>
      <w:bookmarkStart w:name="_Toc8123726" w:id="14"/>
      <w:bookmarkStart w:name="_Toc12866696" w:id="15"/>
      <w:r>
        <w:lastRenderedPageBreak/>
        <w:t>Finding of Fact</w:t>
      </w:r>
    </w:p>
    <w:p w:rsidR="00450FBB" w:rsidP="007F3916" w:rsidRDefault="00450FBB" w14:paraId="709F193C" w14:textId="325F3C9C">
      <w:pPr>
        <w:pStyle w:val="num1"/>
        <w:numPr>
          <w:ilvl w:val="0"/>
          <w:numId w:val="16"/>
        </w:numPr>
        <w:jc w:val="both"/>
        <w:rPr>
          <w:rFonts w:ascii="Book Antiqua" w:hAnsi="Book Antiqua"/>
        </w:rPr>
      </w:pPr>
      <w:r>
        <w:rPr>
          <w:rFonts w:ascii="Book Antiqua" w:hAnsi="Book Antiqua"/>
        </w:rPr>
        <w:t xml:space="preserve">Applicant operates as an on-call and scheduled PSC pursuant </w:t>
      </w:r>
      <w:r w:rsidR="005F1789">
        <w:rPr>
          <w:rFonts w:ascii="Book Antiqua" w:hAnsi="Book Antiqua"/>
        </w:rPr>
        <w:t xml:space="preserve">to </w:t>
      </w:r>
      <w:r w:rsidR="007E0A0C">
        <w:t>D.82-10-067</w:t>
      </w:r>
      <w:r>
        <w:rPr>
          <w:rFonts w:ascii="Book Antiqua" w:hAnsi="Book Antiqua"/>
        </w:rPr>
        <w:t xml:space="preserve"> and D.</w:t>
      </w:r>
      <w:r w:rsidR="00333403">
        <w:rPr>
          <w:rFonts w:ascii="Book Antiqua" w:hAnsi="Book Antiqua"/>
        </w:rPr>
        <w:t>04</w:t>
      </w:r>
      <w:r>
        <w:rPr>
          <w:rFonts w:ascii="Book Antiqua" w:hAnsi="Book Antiqua"/>
        </w:rPr>
        <w:t>-</w:t>
      </w:r>
      <w:r w:rsidR="005E0A16">
        <w:rPr>
          <w:rFonts w:ascii="Book Antiqua" w:hAnsi="Book Antiqua"/>
        </w:rPr>
        <w:t>04</w:t>
      </w:r>
      <w:r>
        <w:rPr>
          <w:rFonts w:ascii="Book Antiqua" w:hAnsi="Book Antiqua"/>
        </w:rPr>
        <w:t>-0</w:t>
      </w:r>
      <w:r w:rsidR="005E0A16">
        <w:rPr>
          <w:rFonts w:ascii="Book Antiqua" w:hAnsi="Book Antiqua"/>
        </w:rPr>
        <w:t>57</w:t>
      </w:r>
      <w:r>
        <w:rPr>
          <w:rFonts w:ascii="Book Antiqua" w:hAnsi="Book Antiqua"/>
        </w:rPr>
        <w:t>.</w:t>
      </w:r>
    </w:p>
    <w:p w:rsidR="00877C97" w:rsidP="007F3916" w:rsidRDefault="00877C97" w14:paraId="4A7C26DD" w14:textId="2BCBE486">
      <w:pPr>
        <w:pStyle w:val="num1"/>
        <w:numPr>
          <w:ilvl w:val="0"/>
          <w:numId w:val="16"/>
        </w:numPr>
        <w:jc w:val="both"/>
        <w:rPr>
          <w:rFonts w:ascii="Book Antiqua" w:hAnsi="Book Antiqua"/>
        </w:rPr>
      </w:pPr>
      <w:r>
        <w:rPr>
          <w:rFonts w:ascii="Book Antiqua" w:hAnsi="Book Antiqua"/>
        </w:rPr>
        <w:t xml:space="preserve">Applicant requests authority to increase </w:t>
      </w:r>
      <w:r w:rsidR="0060699E">
        <w:rPr>
          <w:rFonts w:ascii="Book Antiqua" w:hAnsi="Book Antiqua"/>
        </w:rPr>
        <w:t>the</w:t>
      </w:r>
      <w:r>
        <w:rPr>
          <w:rFonts w:ascii="Book Antiqua" w:hAnsi="Book Antiqua"/>
        </w:rPr>
        <w:t xml:space="preserve"> current </w:t>
      </w:r>
      <w:r w:rsidR="00942FCF">
        <w:rPr>
          <w:rFonts w:ascii="Book Antiqua" w:hAnsi="Book Antiqua"/>
        </w:rPr>
        <w:t>fares</w:t>
      </w:r>
      <w:r>
        <w:rPr>
          <w:rFonts w:ascii="Book Antiqua" w:hAnsi="Book Antiqua"/>
        </w:rPr>
        <w:t xml:space="preserve"> on its Route 1 (LAX) and Route 2 (SBA)</w:t>
      </w:r>
      <w:r w:rsidR="0060699E">
        <w:rPr>
          <w:rFonts w:ascii="Book Antiqua" w:hAnsi="Book Antiqua"/>
        </w:rPr>
        <w:t xml:space="preserve"> service</w:t>
      </w:r>
      <w:r w:rsidR="003E3022">
        <w:rPr>
          <w:rFonts w:ascii="Book Antiqua" w:hAnsi="Book Antiqua"/>
        </w:rPr>
        <w:t xml:space="preserve"> as described in Attachment C.</w:t>
      </w:r>
    </w:p>
    <w:p w:rsidR="00041FB8" w:rsidP="007F3916" w:rsidRDefault="003E3022" w14:paraId="30CBA0F0" w14:textId="73DC0B7E">
      <w:pPr>
        <w:pStyle w:val="num1"/>
        <w:numPr>
          <w:ilvl w:val="0"/>
          <w:numId w:val="16"/>
        </w:numPr>
        <w:jc w:val="both"/>
        <w:rPr>
          <w:rFonts w:ascii="Book Antiqua" w:hAnsi="Book Antiqua"/>
        </w:rPr>
      </w:pPr>
      <w:r>
        <w:rPr>
          <w:rFonts w:ascii="Book Antiqua" w:hAnsi="Book Antiqua"/>
        </w:rPr>
        <w:t xml:space="preserve">Applicant requests authority to </w:t>
      </w:r>
      <w:r w:rsidR="007B1722">
        <w:rPr>
          <w:rFonts w:ascii="Book Antiqua" w:hAnsi="Book Antiqua"/>
        </w:rPr>
        <w:t>change</w:t>
      </w:r>
      <w:r w:rsidR="004E034A">
        <w:rPr>
          <w:rFonts w:ascii="Book Antiqua" w:hAnsi="Book Antiqua"/>
        </w:rPr>
        <w:t xml:space="preserve"> the structure of</w:t>
      </w:r>
      <w:r w:rsidR="007B1722">
        <w:rPr>
          <w:rFonts w:ascii="Book Antiqua" w:hAnsi="Book Antiqua"/>
        </w:rPr>
        <w:t xml:space="preserve"> </w:t>
      </w:r>
      <w:r w:rsidR="008D58E1">
        <w:rPr>
          <w:rFonts w:ascii="Book Antiqua" w:hAnsi="Book Antiqua"/>
        </w:rPr>
        <w:t>its tariffed</w:t>
      </w:r>
      <w:r w:rsidR="001F66A3">
        <w:rPr>
          <w:rFonts w:ascii="Book Antiqua" w:hAnsi="Book Antiqua"/>
        </w:rPr>
        <w:t xml:space="preserve"> Commuter Program and </w:t>
      </w:r>
      <w:r w:rsidR="00041FB8">
        <w:rPr>
          <w:rFonts w:ascii="Book Antiqua" w:hAnsi="Book Antiqua"/>
        </w:rPr>
        <w:t xml:space="preserve">to increase </w:t>
      </w:r>
      <w:r w:rsidR="00684F32">
        <w:rPr>
          <w:rFonts w:ascii="Book Antiqua" w:hAnsi="Book Antiqua"/>
        </w:rPr>
        <w:t>the</w:t>
      </w:r>
      <w:r w:rsidR="009A26BA">
        <w:rPr>
          <w:rFonts w:ascii="Book Antiqua" w:hAnsi="Book Antiqua"/>
        </w:rPr>
        <w:t xml:space="preserve"> </w:t>
      </w:r>
      <w:r w:rsidR="00041FB8">
        <w:rPr>
          <w:rFonts w:ascii="Book Antiqua" w:hAnsi="Book Antiqua"/>
        </w:rPr>
        <w:t xml:space="preserve">fare </w:t>
      </w:r>
      <w:r w:rsidR="009A26BA">
        <w:rPr>
          <w:rFonts w:ascii="Book Antiqua" w:hAnsi="Book Antiqua"/>
        </w:rPr>
        <w:t xml:space="preserve">to </w:t>
      </w:r>
      <w:r w:rsidRPr="000E4206" w:rsidR="000E4206">
        <w:rPr>
          <w:rFonts w:ascii="Book Antiqua" w:hAnsi="Book Antiqua"/>
        </w:rPr>
        <w:t>$29 each way</w:t>
      </w:r>
      <w:r w:rsidR="00942FCF">
        <w:rPr>
          <w:rFonts w:ascii="Book Antiqua" w:hAnsi="Book Antiqua"/>
        </w:rPr>
        <w:t>;</w:t>
      </w:r>
      <w:r w:rsidR="009A26BA">
        <w:rPr>
          <w:rFonts w:ascii="Book Antiqua" w:hAnsi="Book Antiqua"/>
        </w:rPr>
        <w:t xml:space="preserve"> to </w:t>
      </w:r>
      <w:r w:rsidRPr="000E4206" w:rsidR="000E4206">
        <w:rPr>
          <w:rFonts w:ascii="Book Antiqua" w:hAnsi="Book Antiqua"/>
        </w:rPr>
        <w:t>increase the monthly fee for its Commuter Program from $50 to $88 per month</w:t>
      </w:r>
      <w:r w:rsidR="00942FCF">
        <w:rPr>
          <w:rFonts w:ascii="Book Antiqua" w:hAnsi="Book Antiqua"/>
        </w:rPr>
        <w:t>;</w:t>
      </w:r>
      <w:r w:rsidRPr="000E4206" w:rsidR="000E4206">
        <w:rPr>
          <w:rFonts w:ascii="Book Antiqua" w:hAnsi="Book Antiqua"/>
        </w:rPr>
        <w:t xml:space="preserve"> and to apply its authorized ZORF to the increased monthly fee and fares</w:t>
      </w:r>
      <w:r w:rsidR="00942FCF">
        <w:rPr>
          <w:rFonts w:ascii="Book Antiqua" w:hAnsi="Book Antiqua"/>
        </w:rPr>
        <w:t xml:space="preserve"> as described in Attachment C</w:t>
      </w:r>
      <w:r w:rsidRPr="000E4206" w:rsidR="000E4206">
        <w:rPr>
          <w:rFonts w:ascii="Book Antiqua" w:hAnsi="Book Antiqua"/>
        </w:rPr>
        <w:t>.</w:t>
      </w:r>
    </w:p>
    <w:p w:rsidR="003E3022" w:rsidP="007F3916" w:rsidRDefault="00942FCF" w14:paraId="1537DB59" w14:textId="0C968B5D">
      <w:pPr>
        <w:pStyle w:val="num1"/>
        <w:numPr>
          <w:ilvl w:val="0"/>
          <w:numId w:val="16"/>
        </w:numPr>
        <w:jc w:val="both"/>
        <w:rPr>
          <w:rFonts w:ascii="Book Antiqua" w:hAnsi="Book Antiqua"/>
        </w:rPr>
      </w:pPr>
      <w:r>
        <w:rPr>
          <w:rFonts w:ascii="Book Antiqua" w:hAnsi="Book Antiqua"/>
        </w:rPr>
        <w:t xml:space="preserve">Applicant requests authority to change the structure of its tariffed </w:t>
      </w:r>
      <w:r w:rsidR="001F66A3">
        <w:rPr>
          <w:rFonts w:ascii="Book Antiqua" w:hAnsi="Book Antiqua"/>
        </w:rPr>
        <w:t>Bulk Purchase Discount</w:t>
      </w:r>
      <w:r w:rsidR="00266F20">
        <w:rPr>
          <w:rFonts w:ascii="Book Antiqua" w:hAnsi="Book Antiqua"/>
        </w:rPr>
        <w:t xml:space="preserve"> </w:t>
      </w:r>
      <w:r w:rsidR="00266F20">
        <w:t>to establish a uniform discount of 5% per ticket when purchasing 6 to 9 tickets at the same time and an 8% discount per ticket when purchasing 10 or more tickets at the same time.</w:t>
      </w:r>
      <w:r w:rsidR="00D83176">
        <w:rPr>
          <w:rFonts w:ascii="Book Antiqua" w:hAnsi="Book Antiqua"/>
        </w:rPr>
        <w:t xml:space="preserve"> </w:t>
      </w:r>
    </w:p>
    <w:p w:rsidR="00257679" w:rsidP="000931BB" w:rsidRDefault="00257679" w14:paraId="2E0A8343" w14:textId="68760B0C">
      <w:pPr>
        <w:pStyle w:val="num1"/>
        <w:numPr>
          <w:ilvl w:val="0"/>
          <w:numId w:val="16"/>
        </w:numPr>
        <w:jc w:val="both"/>
        <w:rPr>
          <w:rFonts w:ascii="Book Antiqua" w:hAnsi="Book Antiqua"/>
        </w:rPr>
      </w:pPr>
      <w:r w:rsidRPr="42866916">
        <w:rPr>
          <w:rFonts w:ascii="Book Antiqua" w:hAnsi="Book Antiqua"/>
        </w:rPr>
        <w:t xml:space="preserve">Applicant requests authority to </w:t>
      </w:r>
      <w:r w:rsidR="005E0A16">
        <w:rPr>
          <w:rFonts w:ascii="Book Antiqua" w:hAnsi="Book Antiqua"/>
        </w:rPr>
        <w:t>maintain a 15% ZORF</w:t>
      </w:r>
      <w:r w:rsidR="00266F20">
        <w:rPr>
          <w:rFonts w:ascii="Book Antiqua" w:hAnsi="Book Antiqua"/>
        </w:rPr>
        <w:t xml:space="preserve"> above and below </w:t>
      </w:r>
      <w:r w:rsidR="00BF1464">
        <w:rPr>
          <w:rFonts w:ascii="Book Antiqua" w:hAnsi="Book Antiqua"/>
        </w:rPr>
        <w:t xml:space="preserve">the proposed </w:t>
      </w:r>
      <w:r w:rsidR="00266F20">
        <w:rPr>
          <w:rFonts w:ascii="Book Antiqua" w:hAnsi="Book Antiqua"/>
        </w:rPr>
        <w:t>fares</w:t>
      </w:r>
      <w:r w:rsidRPr="42866916">
        <w:rPr>
          <w:rFonts w:ascii="Book Antiqua" w:hAnsi="Book Antiqua"/>
        </w:rPr>
        <w:t xml:space="preserve">. </w:t>
      </w:r>
    </w:p>
    <w:p w:rsidR="007F3916" w:rsidP="000931BB" w:rsidRDefault="007F3916" w14:paraId="16ACFE40" w14:textId="6233C034">
      <w:pPr>
        <w:pStyle w:val="num1"/>
        <w:numPr>
          <w:ilvl w:val="0"/>
          <w:numId w:val="16"/>
        </w:numPr>
        <w:jc w:val="both"/>
        <w:rPr>
          <w:rFonts w:ascii="Book Antiqua" w:hAnsi="Book Antiqua"/>
        </w:rPr>
      </w:pPr>
      <w:r w:rsidRPr="0061553D">
        <w:rPr>
          <w:rFonts w:ascii="Book Antiqua" w:hAnsi="Book Antiqua"/>
        </w:rPr>
        <w:t>D.15-05-029</w:t>
      </w:r>
      <w:r>
        <w:rPr>
          <w:rFonts w:ascii="Book Antiqua" w:hAnsi="Book Antiqua"/>
        </w:rPr>
        <w:t xml:space="preserve"> authorized the Executive Director to grant a ZORF</w:t>
      </w:r>
      <w:r w:rsidR="00644EBC">
        <w:rPr>
          <w:rFonts w:ascii="Book Antiqua" w:hAnsi="Book Antiqua"/>
        </w:rPr>
        <w:t xml:space="preserve"> of</w:t>
      </w:r>
      <w:r>
        <w:rPr>
          <w:rFonts w:ascii="Book Antiqua" w:hAnsi="Book Antiqua"/>
        </w:rPr>
        <w:t xml:space="preserve"> 15% above and below the granted fares.</w:t>
      </w:r>
    </w:p>
    <w:p w:rsidRPr="00450FBB" w:rsidR="00450FBB" w:rsidP="000931BB" w:rsidRDefault="00450FBB" w14:paraId="54EFF187" w14:textId="29773958">
      <w:pPr>
        <w:pStyle w:val="num1"/>
        <w:numPr>
          <w:ilvl w:val="0"/>
          <w:numId w:val="16"/>
        </w:numPr>
        <w:jc w:val="both"/>
        <w:rPr>
          <w:rFonts w:ascii="Book Antiqua" w:hAnsi="Book Antiqua"/>
        </w:rPr>
      </w:pPr>
      <w:r>
        <w:t xml:space="preserve">Applicant </w:t>
      </w:r>
      <w:r w:rsidR="00887DE3">
        <w:t>has cited</w:t>
      </w:r>
      <w:r>
        <w:t xml:space="preserve"> increased labor, insurance</w:t>
      </w:r>
      <w:r w:rsidR="001F4482">
        <w:t>,</w:t>
      </w:r>
      <w:r>
        <w:t xml:space="preserve"> equipment, and other operating costs since </w:t>
      </w:r>
      <w:r w:rsidR="00276831">
        <w:t>being</w:t>
      </w:r>
      <w:r>
        <w:t xml:space="preserve"> granted its </w:t>
      </w:r>
      <w:r w:rsidR="00500C65">
        <w:t xml:space="preserve">last fare increase </w:t>
      </w:r>
      <w:r w:rsidR="00991A11">
        <w:t>by D.20-06-066</w:t>
      </w:r>
      <w:r>
        <w:t>.</w:t>
      </w:r>
    </w:p>
    <w:p w:rsidR="00C913BD" w:rsidP="000931BB" w:rsidRDefault="00C913BD" w14:paraId="1F133780" w14:textId="074A5679">
      <w:pPr>
        <w:pStyle w:val="num1"/>
        <w:numPr>
          <w:ilvl w:val="0"/>
          <w:numId w:val="16"/>
        </w:numPr>
        <w:jc w:val="both"/>
        <w:rPr>
          <w:rFonts w:ascii="Book Antiqua" w:hAnsi="Book Antiqua"/>
        </w:rPr>
      </w:pPr>
      <w:r>
        <w:rPr>
          <w:rFonts w:ascii="Book Antiqua" w:hAnsi="Book Antiqua"/>
        </w:rPr>
        <w:t>Applicant will be operating in a highly competitive market.</w:t>
      </w:r>
    </w:p>
    <w:p w:rsidR="000931BB" w:rsidP="000931BB" w:rsidRDefault="000931BB" w14:paraId="33C94029" w14:textId="77777777">
      <w:pPr>
        <w:pStyle w:val="num1"/>
        <w:numPr>
          <w:ilvl w:val="0"/>
          <w:numId w:val="16"/>
        </w:numPr>
        <w:jc w:val="both"/>
        <w:rPr>
          <w:rFonts w:ascii="Book Antiqua" w:hAnsi="Book Antiqua"/>
        </w:rPr>
      </w:pPr>
      <w:r w:rsidRPr="0061553D">
        <w:rPr>
          <w:rFonts w:ascii="Book Antiqua" w:hAnsi="Book Antiqua"/>
        </w:rPr>
        <w:t>Because the matter is uncontested, the decision should be effective on the date it is signed.</w:t>
      </w:r>
    </w:p>
    <w:p w:rsidRPr="0061553D" w:rsidR="00DA0207" w:rsidP="000931BB" w:rsidRDefault="00DA0207" w14:paraId="08108E15" w14:textId="06750279">
      <w:pPr>
        <w:pStyle w:val="num1"/>
        <w:numPr>
          <w:ilvl w:val="0"/>
          <w:numId w:val="16"/>
        </w:numPr>
        <w:jc w:val="both"/>
        <w:rPr>
          <w:rFonts w:ascii="Book Antiqua" w:hAnsi="Book Antiqua"/>
        </w:rPr>
      </w:pPr>
      <w:r>
        <w:rPr>
          <w:rFonts w:ascii="Book Antiqua" w:hAnsi="Book Antiqua"/>
        </w:rPr>
        <w:t>No protest to the application has been filed.</w:t>
      </w:r>
    </w:p>
    <w:p w:rsidRPr="0061553D" w:rsidR="000931BB" w:rsidP="000931BB" w:rsidRDefault="000931BB" w14:paraId="4AAF373E" w14:textId="77777777">
      <w:pPr>
        <w:pStyle w:val="num1"/>
        <w:numPr>
          <w:ilvl w:val="0"/>
          <w:numId w:val="16"/>
        </w:numPr>
        <w:jc w:val="both"/>
        <w:rPr>
          <w:rFonts w:ascii="Book Antiqua" w:hAnsi="Book Antiqua"/>
        </w:rPr>
      </w:pPr>
      <w:r w:rsidRPr="0061553D">
        <w:rPr>
          <w:rFonts w:ascii="Book Antiqua" w:hAnsi="Book Antiqua"/>
        </w:rPr>
        <w:t>A public hearing is not necessary.</w:t>
      </w:r>
    </w:p>
    <w:p w:rsidR="000931BB" w:rsidP="000931BB" w:rsidRDefault="000931BB" w14:paraId="3EE710E7" w14:textId="33E35D9A">
      <w:pPr>
        <w:pStyle w:val="num1"/>
        <w:numPr>
          <w:ilvl w:val="0"/>
          <w:numId w:val="16"/>
        </w:numPr>
        <w:jc w:val="both"/>
        <w:rPr>
          <w:rFonts w:ascii="Book Antiqua" w:hAnsi="Book Antiqua"/>
        </w:rPr>
      </w:pPr>
      <w:r w:rsidRPr="0061553D">
        <w:rPr>
          <w:rFonts w:ascii="Book Antiqua" w:hAnsi="Book Antiqua"/>
        </w:rPr>
        <w:lastRenderedPageBreak/>
        <w:t xml:space="preserve">A California Environmental Quality Act review is not required for this decision because it can be seen with certainty that there is no possibility that the </w:t>
      </w:r>
      <w:r w:rsidR="00B86A3F">
        <w:rPr>
          <w:rFonts w:ascii="Book Antiqua" w:hAnsi="Book Antiqua"/>
        </w:rPr>
        <w:t>proposed operations</w:t>
      </w:r>
      <w:r w:rsidRPr="0061553D">
        <w:rPr>
          <w:rFonts w:ascii="Book Antiqua" w:hAnsi="Book Antiqua"/>
        </w:rPr>
        <w:t xml:space="preserve"> may have a significant adverse effect on the environment. </w:t>
      </w:r>
    </w:p>
    <w:p w:rsidRPr="00645ACD" w:rsidR="001F5266" w:rsidP="00645ACD" w:rsidRDefault="007F3916" w14:paraId="433E4BE2" w14:textId="6334EDBC">
      <w:pPr>
        <w:pStyle w:val="num1"/>
        <w:numPr>
          <w:ilvl w:val="0"/>
          <w:numId w:val="16"/>
        </w:numPr>
        <w:jc w:val="both"/>
        <w:rPr>
          <w:rFonts w:ascii="Book Antiqua" w:hAnsi="Book Antiqua"/>
        </w:rPr>
      </w:pPr>
      <w:r>
        <w:rPr>
          <w:rFonts w:ascii="Book Antiqua" w:hAnsi="Book Antiqua"/>
        </w:rPr>
        <w:t xml:space="preserve">The proposed </w:t>
      </w:r>
      <w:r w:rsidR="003F0764">
        <w:rPr>
          <w:rFonts w:ascii="Book Antiqua" w:hAnsi="Book Antiqua"/>
        </w:rPr>
        <w:t>fare increases</w:t>
      </w:r>
      <w:r w:rsidR="00A150E4">
        <w:rPr>
          <w:rFonts w:ascii="Book Antiqua" w:hAnsi="Book Antiqua"/>
        </w:rPr>
        <w:t xml:space="preserve">, changes to its commuter </w:t>
      </w:r>
      <w:r w:rsidR="00046634">
        <w:rPr>
          <w:rFonts w:ascii="Book Antiqua" w:hAnsi="Book Antiqua"/>
        </w:rPr>
        <w:t>and discount programs, and request to maintain a ZORF</w:t>
      </w:r>
      <w:r>
        <w:rPr>
          <w:rFonts w:ascii="Book Antiqua" w:hAnsi="Book Antiqua"/>
        </w:rPr>
        <w:t xml:space="preserve"> </w:t>
      </w:r>
      <w:r w:rsidR="00D522C8">
        <w:rPr>
          <w:rFonts w:ascii="Book Antiqua" w:hAnsi="Book Antiqua"/>
        </w:rPr>
        <w:t xml:space="preserve">do not impact </w:t>
      </w:r>
      <w:r w:rsidRPr="00DD5527" w:rsidR="00DD5527">
        <w:rPr>
          <w:rFonts w:ascii="Book Antiqua" w:hAnsi="Book Antiqua"/>
        </w:rPr>
        <w:t xml:space="preserve">achievement of any of the nine goals of the Commission’s Environmental and Social Justice Action Plan. </w:t>
      </w:r>
    </w:p>
    <w:p w:rsidR="005939A5" w:rsidP="00175572" w:rsidRDefault="005939A5" w14:paraId="3F8459E0" w14:textId="77777777">
      <w:pPr>
        <w:pStyle w:val="Dummy"/>
        <w:jc w:val="both"/>
      </w:pPr>
      <w:r>
        <w:t>Conclusions of Law</w:t>
      </w:r>
      <w:bookmarkEnd w:id="14"/>
      <w:bookmarkEnd w:id="15"/>
    </w:p>
    <w:p w:rsidR="00C913BD" w:rsidP="00C913BD" w:rsidRDefault="00C913BD" w14:paraId="27173027" w14:textId="77777777">
      <w:pPr>
        <w:pStyle w:val="num1"/>
        <w:numPr>
          <w:ilvl w:val="0"/>
          <w:numId w:val="20"/>
        </w:numPr>
        <w:jc w:val="both"/>
        <w:rPr>
          <w:rFonts w:ascii="Book Antiqua" w:hAnsi="Book Antiqua"/>
        </w:rPr>
      </w:pPr>
      <w:bookmarkStart w:name="_Toc12866697" w:id="16"/>
      <w:r w:rsidRPr="00C913BD">
        <w:rPr>
          <w:rFonts w:ascii="Book Antiqua" w:hAnsi="Book Antiqua"/>
        </w:rPr>
        <w:t>Public convenience and necessity have been demonstrated, and the Application should be granted.</w:t>
      </w:r>
    </w:p>
    <w:p w:rsidR="002C28D8" w:rsidP="00C913BD" w:rsidRDefault="002C28D8" w14:paraId="1431982B" w14:textId="6E516D85">
      <w:pPr>
        <w:pStyle w:val="num1"/>
        <w:numPr>
          <w:ilvl w:val="0"/>
          <w:numId w:val="20"/>
        </w:numPr>
        <w:jc w:val="both"/>
        <w:rPr>
          <w:rFonts w:ascii="Book Antiqua" w:hAnsi="Book Antiqua"/>
        </w:rPr>
      </w:pPr>
      <w:r w:rsidRPr="0061553D">
        <w:rPr>
          <w:rFonts w:ascii="Book Antiqua" w:hAnsi="Book Antiqua"/>
        </w:rPr>
        <w:t xml:space="preserve">The Executive Director is authorized to sign, on behalf of the Commission, orders granting </w:t>
      </w:r>
      <w:r w:rsidR="001C71CD">
        <w:rPr>
          <w:rFonts w:ascii="Book Antiqua" w:hAnsi="Book Antiqua"/>
        </w:rPr>
        <w:t>PSC Applications</w:t>
      </w:r>
      <w:r w:rsidRPr="0061553D">
        <w:rPr>
          <w:rFonts w:ascii="Book Antiqua" w:hAnsi="Book Antiqua"/>
        </w:rPr>
        <w:t xml:space="preserve"> in the process adopted </w:t>
      </w:r>
      <w:proofErr w:type="gramStart"/>
      <w:r w:rsidRPr="0061553D">
        <w:rPr>
          <w:rFonts w:ascii="Book Antiqua" w:hAnsi="Book Antiqua"/>
        </w:rPr>
        <w:t>in</w:t>
      </w:r>
      <w:proofErr w:type="gramEnd"/>
      <w:r w:rsidRPr="0061553D">
        <w:rPr>
          <w:rFonts w:ascii="Book Antiqua" w:hAnsi="Book Antiqua"/>
        </w:rPr>
        <w:t xml:space="preserve"> D.15-05-029.</w:t>
      </w:r>
    </w:p>
    <w:p w:rsidRPr="0061553D" w:rsidR="004E7730" w:rsidP="00C913BD" w:rsidRDefault="004E7730" w14:paraId="080CFA4D" w14:textId="454C8A95">
      <w:pPr>
        <w:pStyle w:val="num1"/>
        <w:numPr>
          <w:ilvl w:val="0"/>
          <w:numId w:val="20"/>
        </w:numPr>
        <w:jc w:val="both"/>
        <w:rPr>
          <w:rFonts w:ascii="Book Antiqua" w:hAnsi="Book Antiqua"/>
        </w:rPr>
      </w:pPr>
      <w:r w:rsidRPr="004E7730">
        <w:rPr>
          <w:rFonts w:ascii="Book Antiqua" w:hAnsi="Book Antiqua"/>
        </w:rPr>
        <w:t>The proposed fares are justified under Pub. Util. Code § 454.</w:t>
      </w:r>
    </w:p>
    <w:p w:rsidR="00C913BD" w:rsidP="00C913BD" w:rsidRDefault="00C913BD" w14:paraId="18B59393" w14:textId="396D4FAB">
      <w:pPr>
        <w:pStyle w:val="num1"/>
        <w:numPr>
          <w:ilvl w:val="0"/>
          <w:numId w:val="20"/>
        </w:numPr>
        <w:jc w:val="both"/>
        <w:rPr>
          <w:rFonts w:ascii="Book Antiqua" w:hAnsi="Book Antiqua"/>
        </w:rPr>
      </w:pPr>
      <w:r>
        <w:rPr>
          <w:rFonts w:ascii="Book Antiqua" w:hAnsi="Book Antiqua"/>
        </w:rPr>
        <w:t>A ZORF of 15</w:t>
      </w:r>
      <w:r w:rsidR="00534A4B">
        <w:rPr>
          <w:rFonts w:ascii="Book Antiqua" w:hAnsi="Book Antiqua"/>
        </w:rPr>
        <w:t xml:space="preserve">% </w:t>
      </w:r>
      <w:r>
        <w:rPr>
          <w:rFonts w:ascii="Book Antiqua" w:hAnsi="Book Antiqua"/>
        </w:rPr>
        <w:t>should be granted because the ZORF is fair and reasonable.</w:t>
      </w:r>
    </w:p>
    <w:p w:rsidR="00C913BD" w:rsidP="00C913BD" w:rsidRDefault="00C913BD" w14:paraId="1F3A324A" w14:textId="44B67675">
      <w:pPr>
        <w:pStyle w:val="num1"/>
        <w:numPr>
          <w:ilvl w:val="0"/>
          <w:numId w:val="20"/>
        </w:numPr>
        <w:jc w:val="both"/>
        <w:rPr>
          <w:rFonts w:ascii="Book Antiqua" w:hAnsi="Book Antiqua"/>
        </w:rPr>
      </w:pPr>
      <w:r>
        <w:rPr>
          <w:rFonts w:ascii="Book Antiqua" w:hAnsi="Book Antiqua"/>
        </w:rPr>
        <w:t xml:space="preserve">Before Applicant changes any fares under the </w:t>
      </w:r>
      <w:r w:rsidR="00B4459B">
        <w:rPr>
          <w:rFonts w:ascii="Book Antiqua" w:hAnsi="Book Antiqua"/>
        </w:rPr>
        <w:t xml:space="preserve">authorized </w:t>
      </w:r>
      <w:r>
        <w:rPr>
          <w:rFonts w:ascii="Book Antiqua" w:hAnsi="Book Antiqua"/>
        </w:rPr>
        <w:t xml:space="preserve">ZORF, Applicant should give this Commission at least ten days' notice. The tariff should show the high and low ends of the ZORF and </w:t>
      </w:r>
      <w:proofErr w:type="gramStart"/>
      <w:r>
        <w:rPr>
          <w:rFonts w:ascii="Book Antiqua" w:hAnsi="Book Antiqua"/>
        </w:rPr>
        <w:t>the then</w:t>
      </w:r>
      <w:proofErr w:type="gramEnd"/>
      <w:r>
        <w:rPr>
          <w:rFonts w:ascii="Book Antiqua" w:hAnsi="Book Antiqua"/>
        </w:rPr>
        <w:t xml:space="preserve"> currently effective fare between each pair of service points.</w:t>
      </w:r>
    </w:p>
    <w:p w:rsidRPr="0061553D" w:rsidR="002C28D8" w:rsidP="00C913BD" w:rsidRDefault="002C28D8" w14:paraId="4A8D16FD" w14:textId="55033CF0">
      <w:pPr>
        <w:pStyle w:val="num1"/>
        <w:numPr>
          <w:ilvl w:val="0"/>
          <w:numId w:val="20"/>
        </w:numPr>
        <w:jc w:val="both"/>
        <w:rPr>
          <w:rFonts w:ascii="Book Antiqua" w:hAnsi="Book Antiqua"/>
        </w:rPr>
      </w:pPr>
      <w:r w:rsidRPr="0061553D">
        <w:rPr>
          <w:rFonts w:ascii="Book Antiqua" w:hAnsi="Book Antiqua"/>
        </w:rPr>
        <w:t>Because the matter is uncontested, the decision should be effective on the date it is signed.</w:t>
      </w:r>
    </w:p>
    <w:p w:rsidRPr="0061553D" w:rsidR="002C28D8" w:rsidP="00C913BD" w:rsidRDefault="002C28D8" w14:paraId="21B7D6BB" w14:textId="77777777">
      <w:pPr>
        <w:pStyle w:val="num1"/>
        <w:numPr>
          <w:ilvl w:val="0"/>
          <w:numId w:val="20"/>
        </w:numPr>
        <w:jc w:val="both"/>
        <w:rPr>
          <w:rFonts w:ascii="Book Antiqua" w:hAnsi="Book Antiqua"/>
        </w:rPr>
      </w:pPr>
      <w:r w:rsidRPr="0061553D">
        <w:rPr>
          <w:rFonts w:ascii="Book Antiqua" w:hAnsi="Book Antiqua"/>
        </w:rPr>
        <w:t>A public hearing is not necessary.</w:t>
      </w:r>
    </w:p>
    <w:p w:rsidRPr="0061553D" w:rsidR="002C28D8" w:rsidP="00C913BD" w:rsidRDefault="002C28D8" w14:paraId="24B59036" w14:textId="5B86F4D4">
      <w:pPr>
        <w:pStyle w:val="num1"/>
        <w:numPr>
          <w:ilvl w:val="0"/>
          <w:numId w:val="20"/>
        </w:numPr>
        <w:jc w:val="both"/>
        <w:rPr>
          <w:rFonts w:ascii="Book Antiqua" w:hAnsi="Book Antiqua"/>
        </w:rPr>
      </w:pPr>
      <w:r w:rsidRPr="0061553D">
        <w:rPr>
          <w:rFonts w:ascii="Book Antiqua" w:hAnsi="Book Antiqua"/>
        </w:rPr>
        <w:t xml:space="preserve">A California Environmental Quality Act review is not required for this decision because it can be seen with certainty that there is no possibility that the </w:t>
      </w:r>
      <w:r w:rsidR="004E7730">
        <w:rPr>
          <w:rFonts w:ascii="Book Antiqua" w:hAnsi="Book Antiqua"/>
        </w:rPr>
        <w:t>fare increase requested</w:t>
      </w:r>
      <w:r w:rsidR="00F20481">
        <w:rPr>
          <w:rFonts w:ascii="Book Antiqua" w:hAnsi="Book Antiqua"/>
        </w:rPr>
        <w:t xml:space="preserve"> </w:t>
      </w:r>
      <w:r w:rsidRPr="0061553D">
        <w:rPr>
          <w:rFonts w:ascii="Book Antiqua" w:hAnsi="Book Antiqua"/>
        </w:rPr>
        <w:t xml:space="preserve">may have a significant adverse effect on the environment. </w:t>
      </w:r>
    </w:p>
    <w:p w:rsidR="0027037F" w:rsidP="0027037F" w:rsidRDefault="0027037F" w14:paraId="3121CBE0" w14:textId="77777777">
      <w:pPr>
        <w:pStyle w:val="num1"/>
        <w:numPr>
          <w:ilvl w:val="0"/>
          <w:numId w:val="20"/>
        </w:numPr>
        <w:jc w:val="both"/>
        <w:rPr>
          <w:rFonts w:ascii="Book Antiqua" w:hAnsi="Book Antiqua"/>
        </w:rPr>
      </w:pPr>
      <w:r w:rsidRPr="0061553D">
        <w:rPr>
          <w:rFonts w:ascii="Book Antiqua" w:hAnsi="Book Antiqua"/>
        </w:rPr>
        <w:t>A.</w:t>
      </w:r>
      <w:r>
        <w:rPr>
          <w:rFonts w:ascii="Book Antiqua" w:hAnsi="Book Antiqua"/>
        </w:rPr>
        <w:t>25</w:t>
      </w:r>
      <w:r w:rsidRPr="0061553D">
        <w:rPr>
          <w:rFonts w:ascii="Book Antiqua" w:hAnsi="Book Antiqua"/>
        </w:rPr>
        <w:t>-</w:t>
      </w:r>
      <w:r>
        <w:rPr>
          <w:rFonts w:ascii="Book Antiqua" w:hAnsi="Book Antiqua"/>
        </w:rPr>
        <w:t>10</w:t>
      </w:r>
      <w:r w:rsidRPr="0061553D">
        <w:rPr>
          <w:rFonts w:ascii="Book Antiqua" w:hAnsi="Book Antiqua"/>
        </w:rPr>
        <w:t>-</w:t>
      </w:r>
      <w:r>
        <w:rPr>
          <w:rFonts w:ascii="Book Antiqua" w:hAnsi="Book Antiqua"/>
        </w:rPr>
        <w:t>002</w:t>
      </w:r>
      <w:r w:rsidRPr="0061553D">
        <w:rPr>
          <w:rFonts w:ascii="Book Antiqua" w:hAnsi="Book Antiqua"/>
        </w:rPr>
        <w:t xml:space="preserve"> should be closed.</w:t>
      </w:r>
    </w:p>
    <w:p w:rsidR="00BB0243" w:rsidP="000A6E05" w:rsidRDefault="005939A5" w14:paraId="1FD1C273" w14:textId="7334789C">
      <w:pPr>
        <w:pStyle w:val="Mainex"/>
      </w:pPr>
      <w:r>
        <w:lastRenderedPageBreak/>
        <w:t>O</w:t>
      </w:r>
      <w:r w:rsidR="00722850">
        <w:t>RDER</w:t>
      </w:r>
      <w:bookmarkEnd w:id="16"/>
    </w:p>
    <w:p w:rsidRPr="0061553D" w:rsidR="00BB0243" w:rsidP="0013769B" w:rsidRDefault="00BB0243" w14:paraId="4D1D723E" w14:textId="77777777">
      <w:pPr>
        <w:keepNext/>
        <w:jc w:val="both"/>
      </w:pPr>
      <w:r w:rsidRPr="0061553D">
        <w:rPr>
          <w:b/>
        </w:rPr>
        <w:t>IT IS ORDERED</w:t>
      </w:r>
      <w:r w:rsidRPr="0061553D">
        <w:t xml:space="preserve"> that:</w:t>
      </w:r>
    </w:p>
    <w:p w:rsidRPr="00085A08" w:rsidR="004E7730" w:rsidP="00085A08" w:rsidRDefault="00085A08" w14:paraId="78CF2474" w14:textId="15E4C39F">
      <w:pPr>
        <w:pStyle w:val="num2"/>
        <w:numPr>
          <w:ilvl w:val="0"/>
          <w:numId w:val="26"/>
        </w:numPr>
        <w:jc w:val="both"/>
        <w:rPr>
          <w:rFonts w:ascii="Book Antiqua" w:hAnsi="Book Antiqua" w:eastAsia="Book Antiqua" w:cs="Book Antiqua"/>
        </w:rPr>
      </w:pPr>
      <w:r>
        <w:t>Santa Barbara Airbus, Inc. (</w:t>
      </w:r>
      <w:r w:rsidRPr="722B42A9">
        <w:rPr>
          <w:rStyle w:val="displayonly"/>
          <w:rFonts w:cs="Arial"/>
          <w:color w:val="000000" w:themeColor="text1"/>
        </w:rPr>
        <w:t>PSC</w:t>
      </w:r>
      <w:r>
        <w:rPr>
          <w:rStyle w:val="displayonly"/>
          <w:rFonts w:cs="Arial"/>
          <w:color w:val="000000" w:themeColor="text1"/>
        </w:rPr>
        <w:t>-1262</w:t>
      </w:r>
      <w:r w:rsidRPr="722B42A9">
        <w:rPr>
          <w:rStyle w:val="displayonly"/>
          <w:rFonts w:cs="Arial"/>
          <w:color w:val="000000" w:themeColor="text1"/>
        </w:rPr>
        <w:t>)</w:t>
      </w:r>
      <w:r>
        <w:t xml:space="preserve">, doing business as Santa Barbara Airbus, a California corporation, </w:t>
      </w:r>
      <w:r w:rsidRPr="00085A08" w:rsidR="004E7730">
        <w:rPr>
          <w:rFonts w:ascii="Book Antiqua" w:hAnsi="Book Antiqua" w:eastAsia="Book Antiqua" w:cs="Book Antiqua"/>
        </w:rPr>
        <w:t>is authorized under California Public Utilities (Pub. Util.) Code § 454 to establish the increased fares shown in the application.</w:t>
      </w:r>
    </w:p>
    <w:p w:rsidR="004E7730" w:rsidP="60593C89" w:rsidRDefault="004E7730" w14:paraId="487130C8" w14:textId="5B24B96D">
      <w:pPr>
        <w:pStyle w:val="num2"/>
        <w:numPr>
          <w:ilvl w:val="0"/>
          <w:numId w:val="26"/>
        </w:numPr>
        <w:jc w:val="both"/>
        <w:rPr>
          <w:rFonts w:ascii="Book Antiqua" w:hAnsi="Book Antiqua" w:eastAsia="Book Antiqua" w:cs="Book Antiqua"/>
        </w:rPr>
      </w:pPr>
      <w:r w:rsidRPr="4C7249E5">
        <w:rPr>
          <w:rFonts w:ascii="Book Antiqua" w:hAnsi="Book Antiqua" w:eastAsia="Book Antiqua" w:cs="Book Antiqua"/>
        </w:rPr>
        <w:t>To implement the increases authorized in this decision, Applicant shall, on or after the effective date of this order, file revised tariff pages in accordance with the General Order 158</w:t>
      </w:r>
      <w:r w:rsidR="00244747">
        <w:rPr>
          <w:rFonts w:ascii="Book Antiqua" w:hAnsi="Book Antiqua" w:eastAsia="Book Antiqua" w:cs="Book Antiqua"/>
        </w:rPr>
        <w:t xml:space="preserve"> </w:t>
      </w:r>
      <w:r w:rsidRPr="4C7249E5">
        <w:rPr>
          <w:rFonts w:ascii="Book Antiqua" w:hAnsi="Book Antiqua" w:eastAsia="Book Antiqua" w:cs="Book Antiqua"/>
        </w:rPr>
        <w:t>Series. The revised pages and fares listed in them shall be made effective no earlier than 10 days after the date of filing.</w:t>
      </w:r>
    </w:p>
    <w:p w:rsidR="004E7730" w:rsidP="60593C89" w:rsidRDefault="004E7730" w14:paraId="622307D9" w14:textId="63F8DED8">
      <w:pPr>
        <w:pStyle w:val="num2"/>
        <w:numPr>
          <w:ilvl w:val="0"/>
          <w:numId w:val="26"/>
        </w:numPr>
        <w:jc w:val="both"/>
        <w:rPr>
          <w:rFonts w:ascii="Book Antiqua" w:hAnsi="Book Antiqua" w:eastAsia="Book Antiqua" w:cs="Book Antiqua"/>
        </w:rPr>
      </w:pPr>
      <w:r w:rsidRPr="00CBC1E9">
        <w:rPr>
          <w:rFonts w:ascii="Book Antiqua" w:hAnsi="Book Antiqua" w:eastAsia="Book Antiqua" w:cs="Book Antiqua"/>
        </w:rPr>
        <w:t xml:space="preserve">Applicant is authorized under Pub. Util. Code § 454.2 to </w:t>
      </w:r>
      <w:r w:rsidR="005F7847">
        <w:rPr>
          <w:rFonts w:ascii="Book Antiqua" w:hAnsi="Book Antiqua" w:eastAsia="Book Antiqua" w:cs="Book Antiqua"/>
        </w:rPr>
        <w:t>continue</w:t>
      </w:r>
      <w:r w:rsidRPr="00CBC1E9">
        <w:rPr>
          <w:rFonts w:ascii="Book Antiqua" w:hAnsi="Book Antiqua" w:eastAsia="Book Antiqua" w:cs="Book Antiqua"/>
        </w:rPr>
        <w:t xml:space="preserve"> a Zone of Rate Freedom (ZORF) of 15</w:t>
      </w:r>
      <w:r w:rsidRPr="00CBC1E9" w:rsidR="721BEA31">
        <w:rPr>
          <w:rFonts w:ascii="Book Antiqua" w:hAnsi="Book Antiqua" w:eastAsia="Book Antiqua" w:cs="Book Antiqua"/>
        </w:rPr>
        <w:t>%</w:t>
      </w:r>
      <w:r w:rsidRPr="00CBC1E9">
        <w:rPr>
          <w:rFonts w:ascii="Book Antiqua" w:hAnsi="Book Antiqua" w:eastAsia="Book Antiqua" w:cs="Book Antiqua"/>
        </w:rPr>
        <w:t xml:space="preserve"> above and below the proposed fares.</w:t>
      </w:r>
    </w:p>
    <w:p w:rsidR="004E7730" w:rsidP="60593C89" w:rsidRDefault="004E7730" w14:paraId="532BC088" w14:textId="57AB46F4">
      <w:pPr>
        <w:pStyle w:val="num2"/>
        <w:numPr>
          <w:ilvl w:val="0"/>
          <w:numId w:val="26"/>
        </w:numPr>
        <w:jc w:val="both"/>
        <w:rPr>
          <w:rFonts w:ascii="Book Antiqua" w:hAnsi="Book Antiqua" w:eastAsia="Book Antiqua" w:cs="Book Antiqua"/>
        </w:rPr>
      </w:pPr>
      <w:r w:rsidRPr="4C7249E5">
        <w:rPr>
          <w:rFonts w:ascii="Book Antiqua" w:hAnsi="Book Antiqua" w:eastAsia="Book Antiqua" w:cs="Book Antiqua"/>
        </w:rPr>
        <w:t xml:space="preserve">Applicant may make changes within the ZORF by filing amended tariffs </w:t>
      </w:r>
      <w:r w:rsidR="0094010F">
        <w:rPr>
          <w:rFonts w:ascii="Book Antiqua" w:hAnsi="Book Antiqua"/>
        </w:rPr>
        <w:t>with at least</w:t>
      </w:r>
      <w:r w:rsidRPr="00396E7A" w:rsidR="0094010F">
        <w:rPr>
          <w:rFonts w:ascii="Book Antiqua" w:hAnsi="Book Antiqua"/>
        </w:rPr>
        <w:t xml:space="preserve"> </w:t>
      </w:r>
      <w:r w:rsidRPr="7747DC77" w:rsidR="0094010F">
        <w:rPr>
          <w:rFonts w:ascii="Book Antiqua" w:hAnsi="Book Antiqua"/>
        </w:rPr>
        <w:t>10</w:t>
      </w:r>
      <w:r w:rsidRPr="00396E7A" w:rsidR="0094010F">
        <w:rPr>
          <w:rFonts w:ascii="Book Antiqua" w:hAnsi="Book Antiqua"/>
        </w:rPr>
        <w:t xml:space="preserve"> days' </w:t>
      </w:r>
      <w:r w:rsidR="0094010F">
        <w:rPr>
          <w:rFonts w:ascii="Book Antiqua" w:hAnsi="Book Antiqua"/>
        </w:rPr>
        <w:t xml:space="preserve">advance </w:t>
      </w:r>
      <w:r w:rsidRPr="00396E7A" w:rsidR="0094010F">
        <w:rPr>
          <w:rFonts w:ascii="Book Antiqua" w:hAnsi="Book Antiqua"/>
        </w:rPr>
        <w:t>notice to the California Public Utilities Commission and to the public</w:t>
      </w:r>
      <w:r w:rsidR="0094010F">
        <w:rPr>
          <w:rFonts w:ascii="Book Antiqua" w:hAnsi="Book Antiqua"/>
        </w:rPr>
        <w:t xml:space="preserve"> </w:t>
      </w:r>
      <w:r w:rsidRPr="00396E7A" w:rsidR="0094010F">
        <w:rPr>
          <w:rFonts w:ascii="Book Antiqua" w:hAnsi="Book Antiqua"/>
        </w:rPr>
        <w:t>before the effective date of the tariff.</w:t>
      </w:r>
    </w:p>
    <w:p w:rsidR="004E7730" w:rsidP="60593C89" w:rsidRDefault="004E7730" w14:paraId="064AF282" w14:textId="0B99202A">
      <w:pPr>
        <w:pStyle w:val="num2"/>
        <w:numPr>
          <w:ilvl w:val="0"/>
          <w:numId w:val="26"/>
        </w:numPr>
        <w:jc w:val="both"/>
        <w:rPr>
          <w:rFonts w:ascii="Book Antiqua" w:hAnsi="Book Antiqua" w:eastAsia="Book Antiqua" w:cs="Book Antiqua"/>
        </w:rPr>
      </w:pPr>
      <w:r w:rsidRPr="4C7249E5">
        <w:rPr>
          <w:rFonts w:ascii="Book Antiqua" w:hAnsi="Book Antiqua" w:eastAsia="Book Antiqua" w:cs="Book Antiqua"/>
        </w:rPr>
        <w:t>In addition to</w:t>
      </w:r>
      <w:r w:rsidR="004851B3">
        <w:rPr>
          <w:rFonts w:ascii="Book Antiqua" w:hAnsi="Book Antiqua" w:eastAsia="Book Antiqua" w:cs="Book Antiqua"/>
        </w:rPr>
        <w:t xml:space="preserve"> posting and</w:t>
      </w:r>
      <w:r w:rsidRPr="4C7249E5">
        <w:rPr>
          <w:rFonts w:ascii="Book Antiqua" w:hAnsi="Book Antiqua" w:eastAsia="Book Antiqua" w:cs="Book Antiqua"/>
        </w:rPr>
        <w:t xml:space="preserve"> filing tariffs, Applicant shall post notices explaining fare increases in its terminals and passenger-carrying vehicles. Such notices shall be posted at least 10 days before the effective date of the fare changes and shall remain posted for at least 30 days.</w:t>
      </w:r>
    </w:p>
    <w:p w:rsidR="004E7730" w:rsidP="60593C89" w:rsidRDefault="004E7730" w14:paraId="0F59CCA3" w14:textId="29DE6D97">
      <w:pPr>
        <w:pStyle w:val="num2"/>
        <w:numPr>
          <w:ilvl w:val="0"/>
          <w:numId w:val="26"/>
        </w:numPr>
        <w:jc w:val="both"/>
        <w:rPr>
          <w:rFonts w:ascii="Book Antiqua" w:hAnsi="Book Antiqua" w:eastAsia="Book Antiqua" w:cs="Book Antiqua"/>
        </w:rPr>
      </w:pPr>
      <w:r w:rsidRPr="4C7249E5">
        <w:rPr>
          <w:rFonts w:ascii="Book Antiqua" w:hAnsi="Book Antiqua" w:eastAsia="Book Antiqua" w:cs="Book Antiqua"/>
        </w:rPr>
        <w:t>The authority to increase fares shall expire unless exercised within 120 days after the effective date of this decision.</w:t>
      </w:r>
    </w:p>
    <w:p w:rsidR="0091747F" w:rsidP="60593C89" w:rsidRDefault="004E7730" w14:paraId="600351B5" w14:textId="730E7796">
      <w:pPr>
        <w:pStyle w:val="num2"/>
        <w:numPr>
          <w:ilvl w:val="0"/>
          <w:numId w:val="26"/>
        </w:numPr>
        <w:jc w:val="both"/>
        <w:rPr>
          <w:rFonts w:ascii="Book Antiqua" w:hAnsi="Book Antiqua" w:eastAsia="Book Antiqua" w:cs="Book Antiqua"/>
        </w:rPr>
      </w:pPr>
      <w:r w:rsidRPr="4C7249E5">
        <w:rPr>
          <w:rFonts w:ascii="Book Antiqua" w:hAnsi="Book Antiqua" w:eastAsia="Book Antiqua" w:cs="Book Antiqua"/>
        </w:rPr>
        <w:t>The application is granted as set forth above.</w:t>
      </w:r>
    </w:p>
    <w:p w:rsidR="00FC7F69" w:rsidP="00FC7F69" w:rsidRDefault="00FC7F69" w14:paraId="3D63A47E" w14:textId="77777777">
      <w:pPr>
        <w:pStyle w:val="num2"/>
        <w:jc w:val="both"/>
        <w:rPr>
          <w:rFonts w:ascii="Book Antiqua" w:hAnsi="Book Antiqua" w:eastAsia="Book Antiqua" w:cs="Book Antiqua"/>
        </w:rPr>
      </w:pPr>
    </w:p>
    <w:p w:rsidR="00FC7F69" w:rsidP="00FC7F69" w:rsidRDefault="00FC7F69" w14:paraId="4C6F182E" w14:textId="77777777">
      <w:pPr>
        <w:pStyle w:val="num2"/>
        <w:jc w:val="both"/>
        <w:rPr>
          <w:rFonts w:ascii="Book Antiqua" w:hAnsi="Book Antiqua" w:eastAsia="Book Antiqua" w:cs="Book Antiqua"/>
        </w:rPr>
      </w:pPr>
    </w:p>
    <w:p w:rsidR="00FC7F69" w:rsidP="00FC7F69" w:rsidRDefault="00FC7F69" w14:paraId="4E1DC049" w14:textId="77777777">
      <w:pPr>
        <w:pStyle w:val="num2"/>
        <w:jc w:val="both"/>
        <w:rPr>
          <w:rFonts w:ascii="Book Antiqua" w:hAnsi="Book Antiqua" w:eastAsia="Book Antiqua" w:cs="Book Antiqua"/>
        </w:rPr>
      </w:pPr>
    </w:p>
    <w:p w:rsidRPr="002F141E" w:rsidR="00FC7F69" w:rsidP="00FC7F69" w:rsidRDefault="00FC7F69" w14:paraId="05866C3B" w14:textId="77777777">
      <w:pPr>
        <w:pStyle w:val="num2"/>
        <w:jc w:val="both"/>
        <w:rPr>
          <w:rFonts w:ascii="Book Antiqua" w:hAnsi="Book Antiqua" w:eastAsia="Book Antiqua" w:cs="Book Antiqua"/>
        </w:rPr>
      </w:pPr>
    </w:p>
    <w:p w:rsidRPr="0061553D" w:rsidR="0091747F" w:rsidP="60593C89" w:rsidRDefault="0091747F" w14:paraId="7A6263E4" w14:textId="2454EEE0">
      <w:pPr>
        <w:pStyle w:val="num2"/>
        <w:numPr>
          <w:ilvl w:val="0"/>
          <w:numId w:val="26"/>
        </w:numPr>
        <w:jc w:val="both"/>
        <w:rPr>
          <w:rFonts w:ascii="Book Antiqua" w:hAnsi="Book Antiqua"/>
        </w:rPr>
      </w:pPr>
      <w:r w:rsidRPr="0061553D">
        <w:rPr>
          <w:rFonts w:ascii="Book Antiqua" w:hAnsi="Book Antiqua"/>
        </w:rPr>
        <w:lastRenderedPageBreak/>
        <w:t xml:space="preserve">Application </w:t>
      </w:r>
      <w:r w:rsidRPr="00F73169" w:rsidR="00F73169">
        <w:rPr>
          <w:rFonts w:ascii="Book Antiqua" w:hAnsi="Book Antiqua"/>
        </w:rPr>
        <w:t>25-10-002</w:t>
      </w:r>
      <w:r w:rsidR="00F73169">
        <w:rPr>
          <w:rFonts w:ascii="Book Antiqua" w:hAnsi="Book Antiqua"/>
        </w:rPr>
        <w:t xml:space="preserve"> </w:t>
      </w:r>
      <w:r w:rsidRPr="0061553D">
        <w:rPr>
          <w:rFonts w:ascii="Book Antiqua" w:hAnsi="Book Antiqua"/>
        </w:rPr>
        <w:t>is closed.</w:t>
      </w:r>
    </w:p>
    <w:p w:rsidRPr="0061553D" w:rsidR="0091747F" w:rsidP="00F713C4" w:rsidRDefault="0091747F" w14:paraId="2B9F2B8C" w14:textId="77777777">
      <w:pPr>
        <w:jc w:val="both"/>
      </w:pPr>
      <w:r w:rsidRPr="0061553D">
        <w:t>This order is effective today.</w:t>
      </w:r>
    </w:p>
    <w:p w:rsidR="00905AA6" w:rsidP="00905AA6" w:rsidRDefault="00905AA6" w14:paraId="44979A13" w14:textId="384269EB">
      <w:pPr>
        <w:jc w:val="both"/>
      </w:pPr>
      <w:r w:rsidRPr="0061553D">
        <w:t>Dated</w:t>
      </w:r>
      <w:r>
        <w:t xml:space="preserve"> </w:t>
      </w:r>
      <w:r w:rsidR="00FC7F69">
        <w:t>April 2</w:t>
      </w:r>
      <w:r w:rsidR="00A77080">
        <w:t>9</w:t>
      </w:r>
      <w:r w:rsidR="00FC7F69">
        <w:t xml:space="preserve">, </w:t>
      </w:r>
      <w:r w:rsidR="00C87D8D">
        <w:t>2026,</w:t>
      </w:r>
      <w:r w:rsidRPr="0061553D">
        <w:t xml:space="preserve"> at San Francisco, California.</w:t>
      </w:r>
    </w:p>
    <w:p w:rsidR="00595030" w:rsidP="001F5266" w:rsidRDefault="009F766C" w14:paraId="362F4831" w14:textId="0E481DD9">
      <w:pPr>
        <w:pStyle w:val="standard0"/>
        <w:keepNext/>
        <w:keepLines/>
        <w:tabs>
          <w:tab w:val="left" w:pos="6888"/>
        </w:tabs>
        <w:rPr>
          <w:rFonts w:ascii="Book Antiqua" w:hAnsi="Book Antiqua"/>
        </w:rPr>
      </w:pPr>
      <w:r w:rsidRPr="0061553D">
        <w:rPr>
          <w:rFonts w:ascii="Book Antiqua" w:hAnsi="Book Antiqua"/>
        </w:rPr>
        <w:tab/>
      </w:r>
      <w:r w:rsidR="009E346F">
        <w:rPr>
          <w:rFonts w:ascii="Book Antiqua" w:hAnsi="Book Antiqua"/>
        </w:rPr>
        <w:tab/>
      </w:r>
      <w:r w:rsidR="009E346F">
        <w:rPr>
          <w:rFonts w:ascii="Book Antiqua" w:hAnsi="Book Antiqua"/>
        </w:rPr>
        <w:tab/>
      </w:r>
      <w:r w:rsidR="009E346F">
        <w:rPr>
          <w:rFonts w:ascii="Book Antiqua" w:hAnsi="Book Antiqua"/>
        </w:rPr>
        <w:tab/>
      </w:r>
      <w:r w:rsidR="002F141E">
        <w:rPr>
          <w:rFonts w:ascii="Book Antiqua" w:hAnsi="Book Antiqua"/>
        </w:rPr>
        <w:t xml:space="preserve">  </w:t>
      </w:r>
      <w:r w:rsidR="00595030">
        <w:rPr>
          <w:rFonts w:ascii="Book Antiqua" w:hAnsi="Book Antiqua"/>
        </w:rPr>
        <w:tab/>
      </w:r>
    </w:p>
    <w:p w:rsidRPr="00287918" w:rsidR="00273368" w:rsidP="00273368" w:rsidRDefault="00CD66B2" w14:paraId="282D2B7A" w14:textId="21732AC5">
      <w:pPr>
        <w:ind w:left="4320"/>
        <w:rPr>
          <w:u w:val="single"/>
        </w:rPr>
      </w:pPr>
      <w:r w:rsidRPr="00287918">
        <w:rPr>
          <w:noProof/>
          <w:u w:val="single"/>
        </w:rPr>
        <w:t>/</w:t>
      </w:r>
      <w:r w:rsidRPr="00287918" w:rsidR="00287918">
        <w:rPr>
          <w:noProof/>
          <w:u w:val="single"/>
        </w:rPr>
        <w:t>s</w:t>
      </w:r>
      <w:r w:rsidRPr="00287918">
        <w:rPr>
          <w:noProof/>
          <w:u w:val="single"/>
        </w:rPr>
        <w:t>/</w:t>
      </w:r>
      <w:r w:rsidRPr="00287918" w:rsidR="00287918">
        <w:rPr>
          <w:noProof/>
          <w:u w:val="single"/>
        </w:rPr>
        <w:t xml:space="preserve"> Leuwam Tesfai</w:t>
      </w:r>
    </w:p>
    <w:p w:rsidR="00273368" w:rsidP="005069F3" w:rsidRDefault="00134295" w14:paraId="67E9A2D0" w14:textId="487AC8CB">
      <w:pPr>
        <w:spacing w:line="240" w:lineRule="auto"/>
        <w:ind w:left="4320"/>
      </w:pPr>
      <w:r>
        <w:t>Leuwam Tesfai</w:t>
      </w:r>
    </w:p>
    <w:p w:rsidR="009F766C" w:rsidP="005069F3" w:rsidRDefault="00273368" w14:paraId="2A98C440" w14:textId="72A633E7">
      <w:pPr>
        <w:autoSpaceDE w:val="0"/>
        <w:autoSpaceDN w:val="0"/>
        <w:adjustRightInd w:val="0"/>
        <w:spacing w:line="240" w:lineRule="auto"/>
        <w:ind w:left="4320"/>
        <w:jc w:val="both"/>
        <w:rPr>
          <w:rFonts w:cs="Courier New"/>
          <w:szCs w:val="26"/>
        </w:rPr>
      </w:pPr>
      <w:r>
        <w:t>Executive Director</w:t>
      </w:r>
    </w:p>
    <w:p w:rsidRPr="00793B6D" w:rsidR="009F766C" w:rsidP="005069F3" w:rsidRDefault="009F766C" w14:paraId="41AD992D" w14:textId="77777777">
      <w:pPr>
        <w:autoSpaceDE w:val="0"/>
        <w:autoSpaceDN w:val="0"/>
        <w:adjustRightInd w:val="0"/>
        <w:spacing w:line="240" w:lineRule="auto"/>
        <w:ind w:left="4320"/>
        <w:jc w:val="both"/>
        <w:rPr>
          <w:rFonts w:cs="Courier New"/>
          <w:szCs w:val="26"/>
        </w:rPr>
      </w:pPr>
    </w:p>
    <w:p w:rsidRPr="001F5266" w:rsidR="008B155E" w:rsidP="001F5266" w:rsidRDefault="008B155E" w14:paraId="6DBF84BB" w14:textId="457BF04D">
      <w:pPr>
        <w:spacing w:after="160" w:line="259" w:lineRule="auto"/>
        <w:ind w:firstLine="0"/>
        <w:rPr>
          <w:rFonts w:ascii="Palatino" w:hAnsi="Palatino" w:eastAsia="Times New Roman" w:cs="Palatino"/>
          <w:szCs w:val="26"/>
        </w:rPr>
        <w:sectPr w:rsidRPr="001F5266" w:rsidR="008B155E" w:rsidSect="00C7133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Pr="0061553D" w:rsidR="00345A4F" w:rsidP="00DE61D8" w:rsidRDefault="00345A4F" w14:paraId="1DE67059" w14:textId="77777777">
      <w:pPr>
        <w:pStyle w:val="standard0"/>
      </w:pPr>
    </w:p>
    <w:sectPr w:rsidRPr="0061553D" w:rsidR="00345A4F" w:rsidSect="00DE61D8">
      <w:headerReference w:type="default" r:id="rId15"/>
      <w:footerReference w:type="default" r:id="rId16"/>
      <w:headerReference w:type="first" r:id="rId17"/>
      <w:type w:val="continuous"/>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BD48" w14:textId="77777777" w:rsidR="00860B0F" w:rsidRDefault="00860B0F" w:rsidP="0098138E">
      <w:pPr>
        <w:spacing w:line="240" w:lineRule="auto"/>
      </w:pPr>
      <w:r>
        <w:separator/>
      </w:r>
    </w:p>
  </w:endnote>
  <w:endnote w:type="continuationSeparator" w:id="0">
    <w:p w14:paraId="088075A4" w14:textId="77777777" w:rsidR="00860B0F" w:rsidRDefault="00860B0F" w:rsidP="0098138E">
      <w:pPr>
        <w:spacing w:line="240" w:lineRule="auto"/>
      </w:pPr>
      <w:r>
        <w:continuationSeparator/>
      </w:r>
    </w:p>
  </w:endnote>
  <w:endnote w:type="continuationNotice" w:id="1">
    <w:p w14:paraId="5093F969" w14:textId="77777777" w:rsidR="00860B0F" w:rsidRDefault="00860B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9C67" w14:textId="285C1C37" w:rsidR="00A64BAE" w:rsidRPr="008B155E" w:rsidRDefault="00A64BAE" w:rsidP="0058506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7EB3" w14:textId="2C04A506" w:rsidR="001F5266" w:rsidRPr="001F5266" w:rsidRDefault="001F5266" w:rsidP="001F5266">
    <w:pPr>
      <w:pStyle w:val="Footer"/>
      <w:ind w:firstLine="0"/>
      <w:rPr>
        <w:sz w:val="18"/>
        <w:szCs w:val="18"/>
      </w:rPr>
    </w:pPr>
    <w:proofErr w:type="spellStart"/>
    <w:r>
      <w:rPr>
        <w:sz w:val="18"/>
        <w:szCs w:val="18"/>
      </w:rPr>
      <w:t>nnnnnnnnnnn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3A45" w14:textId="77777777" w:rsidR="005A4C8A" w:rsidRDefault="005A4C8A" w:rsidP="005A4C8A">
    <w:pPr>
      <w:pStyle w:val="Footer"/>
      <w:ind w:left="1440" w:firstLine="0"/>
    </w:pPr>
    <w:r>
      <w:t>Issued by California Public Utilities Commission.</w:t>
    </w:r>
  </w:p>
  <w:p w14:paraId="069D5737" w14:textId="77777777" w:rsidR="005A4C8A" w:rsidRDefault="005A4C8A" w:rsidP="005A4C8A">
    <w:pPr>
      <w:pStyle w:val="Footer"/>
      <w:ind w:left="1440" w:firstLine="0"/>
    </w:pPr>
    <w:r>
      <w:t>Decision ____________, Application 24-05-021</w:t>
    </w:r>
  </w:p>
  <w:p w14:paraId="66C6E201" w14:textId="77777777" w:rsidR="005A4C8A" w:rsidRPr="008B155E" w:rsidRDefault="005A4C8A" w:rsidP="0058506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0B31" w14:textId="77777777" w:rsidR="00860B0F" w:rsidRDefault="00860B0F" w:rsidP="00DF58E7">
      <w:pPr>
        <w:spacing w:line="240" w:lineRule="auto"/>
        <w:ind w:firstLine="0"/>
      </w:pPr>
      <w:r>
        <w:separator/>
      </w:r>
    </w:p>
  </w:footnote>
  <w:footnote w:type="continuationSeparator" w:id="0">
    <w:p w14:paraId="3BA8241B" w14:textId="77777777" w:rsidR="00860B0F" w:rsidRDefault="00860B0F" w:rsidP="00DF58E7">
      <w:pPr>
        <w:spacing w:line="240" w:lineRule="auto"/>
        <w:ind w:firstLine="0"/>
      </w:pPr>
      <w:r>
        <w:continuationSeparator/>
      </w:r>
    </w:p>
  </w:footnote>
  <w:footnote w:type="continuationNotice" w:id="1">
    <w:p w14:paraId="48D65BDB" w14:textId="77777777" w:rsidR="00860B0F" w:rsidRPr="00DF58E7" w:rsidRDefault="00860B0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2EABEA3" w14:textId="5E20E0DF" w:rsidR="00732FE6" w:rsidRDefault="00732FE6">
      <w:pPr>
        <w:pStyle w:val="FootnoteText"/>
      </w:pPr>
      <w:r>
        <w:rPr>
          <w:rStyle w:val="FootnoteReference"/>
        </w:rPr>
        <w:footnoteRef/>
      </w:r>
      <w:r>
        <w:t xml:space="preserve"> </w:t>
      </w:r>
      <w:r w:rsidRPr="00FB2E0F">
        <w:rPr>
          <w:i/>
          <w:iCs/>
        </w:rPr>
        <w:t>See</w:t>
      </w:r>
      <w:r>
        <w:t xml:space="preserve"> Application </w:t>
      </w:r>
      <w:r w:rsidR="00FB2E0F">
        <w:t xml:space="preserve">at </w:t>
      </w:r>
      <w:r w:rsidR="00831FEE">
        <w:t>pages 3-</w:t>
      </w:r>
      <w:r w:rsidR="00FB2E0F">
        <w:t>4.</w:t>
      </w:r>
    </w:p>
  </w:footnote>
  <w:footnote w:id="3">
    <w:p w14:paraId="7EAACD9F" w14:textId="77777777" w:rsidR="00614868" w:rsidRDefault="00614868" w:rsidP="00614868">
      <w:pPr>
        <w:pStyle w:val="FootnoteText"/>
      </w:pPr>
      <w:r>
        <w:rPr>
          <w:rStyle w:val="FootnoteReference"/>
        </w:rPr>
        <w:footnoteRef/>
      </w:r>
      <w:r>
        <w:t xml:space="preserve"> </w:t>
      </w:r>
      <w:r w:rsidRPr="007B6381">
        <w:rPr>
          <w:i/>
          <w:iCs/>
        </w:rPr>
        <w:t>See</w:t>
      </w:r>
      <w:r>
        <w:t xml:space="preserve"> Application at 4.</w:t>
      </w:r>
    </w:p>
  </w:footnote>
  <w:footnote w:id="4">
    <w:p w14:paraId="0F0BEE95" w14:textId="4E488B32" w:rsidR="00753B5B" w:rsidRDefault="00753B5B">
      <w:pPr>
        <w:pStyle w:val="FootnoteText"/>
      </w:pPr>
      <w:r>
        <w:rPr>
          <w:rStyle w:val="FootnoteReference"/>
        </w:rPr>
        <w:footnoteRef/>
      </w:r>
      <w:r>
        <w:t xml:space="preserve"> </w:t>
      </w:r>
      <w:r w:rsidR="009203B9">
        <w:t>On the currently effective tariff, as presented in Attachment B, the</w:t>
      </w:r>
      <w:r w:rsidR="005B33A6">
        <w:t xml:space="preserve"> listed</w:t>
      </w:r>
      <w:r w:rsidR="009203B9">
        <w:t xml:space="preserve"> </w:t>
      </w:r>
      <w:r w:rsidR="00535661">
        <w:t>prepaid fare</w:t>
      </w:r>
      <w:r w:rsidR="005B33A6">
        <w:t xml:space="preserve"> for one passenger </w:t>
      </w:r>
      <w:r w:rsidR="00535661">
        <w:t>is $20 while the non-prepaid fare is $19</w:t>
      </w:r>
      <w:r w:rsidR="005B33A6">
        <w:t>.</w:t>
      </w:r>
      <w:r w:rsidR="00221DFC">
        <w:t xml:space="preserve"> </w:t>
      </w:r>
      <w:r w:rsidR="00454699">
        <w:t>The Applicant has confirmed this</w:t>
      </w:r>
      <w:r w:rsidR="00C45FE4">
        <w:t xml:space="preserve"> is a typographical error in the</w:t>
      </w:r>
      <w:r w:rsidR="00454699">
        <w:t xml:space="preserve"> effective</w:t>
      </w:r>
      <w:r w:rsidR="00C45FE4">
        <w:t xml:space="preserve"> tariff</w:t>
      </w:r>
      <w:r w:rsidR="00EF7C55">
        <w:t xml:space="preserve"> that will be superseded by the</w:t>
      </w:r>
      <w:r w:rsidR="00744DE9">
        <w:t xml:space="preserve"> requested fares</w:t>
      </w:r>
      <w:r w:rsidR="00454699">
        <w:t>.</w:t>
      </w:r>
    </w:p>
  </w:footnote>
  <w:footnote w:id="5">
    <w:p w14:paraId="1FBBF8E2" w14:textId="2AE2F439" w:rsidR="007321EB" w:rsidRDefault="007321EB">
      <w:pPr>
        <w:pStyle w:val="FootnoteText"/>
      </w:pPr>
      <w:r>
        <w:rPr>
          <w:rStyle w:val="FootnoteReference"/>
        </w:rPr>
        <w:footnoteRef/>
      </w:r>
      <w:r>
        <w:t xml:space="preserve"> </w:t>
      </w:r>
      <w:r w:rsidRPr="007321EB">
        <w:rPr>
          <w:i/>
          <w:iCs/>
        </w:rPr>
        <w:t>See</w:t>
      </w:r>
      <w:r>
        <w:t xml:space="preserve"> Attachment C of Application.</w:t>
      </w:r>
    </w:p>
  </w:footnote>
  <w:footnote w:id="6">
    <w:p w14:paraId="4E536B4D" w14:textId="4FC65F28" w:rsidR="000E5D70" w:rsidRDefault="000E5D70">
      <w:pPr>
        <w:pStyle w:val="FootnoteText"/>
      </w:pPr>
      <w:r>
        <w:rPr>
          <w:rStyle w:val="FootnoteReference"/>
        </w:rPr>
        <w:footnoteRef/>
      </w:r>
      <w:r>
        <w:t xml:space="preserve"> </w:t>
      </w:r>
      <w:r w:rsidRPr="000E5D70">
        <w:rPr>
          <w:i/>
          <w:iCs/>
        </w:rPr>
        <w:t>Id.</w:t>
      </w:r>
    </w:p>
  </w:footnote>
  <w:footnote w:id="7">
    <w:p w14:paraId="38A7DCDD" w14:textId="129659F2" w:rsidR="000E5D70" w:rsidRDefault="000E5D70">
      <w:pPr>
        <w:pStyle w:val="FootnoteText"/>
      </w:pPr>
      <w:r>
        <w:rPr>
          <w:rStyle w:val="FootnoteReference"/>
        </w:rPr>
        <w:footnoteRef/>
      </w:r>
      <w:r>
        <w:t xml:space="preserve"> </w:t>
      </w:r>
      <w:r w:rsidRPr="000E5D70">
        <w:rPr>
          <w:i/>
          <w:iCs/>
        </w:rPr>
        <w:t>Id.</w:t>
      </w:r>
    </w:p>
  </w:footnote>
  <w:footnote w:id="8">
    <w:p w14:paraId="048C6B57" w14:textId="77777777" w:rsidR="007453DE" w:rsidRDefault="007453DE" w:rsidP="007453DE">
      <w:pPr>
        <w:pStyle w:val="FootnoteText"/>
      </w:pPr>
      <w:r>
        <w:rPr>
          <w:rStyle w:val="FootnoteReference"/>
        </w:rPr>
        <w:footnoteRef/>
      </w:r>
      <w:r>
        <w:t xml:space="preserve"> </w:t>
      </w:r>
      <w:r w:rsidRPr="00C269DF">
        <w:rPr>
          <w:i/>
          <w:iCs/>
        </w:rPr>
        <w:t>See</w:t>
      </w:r>
      <w:r>
        <w:t xml:space="preserve"> Application 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3C5" w14:textId="2A928A66" w:rsidR="001F5266" w:rsidRDefault="4C7249E5" w:rsidP="001F5266">
    <w:pPr>
      <w:pStyle w:val="Header"/>
      <w:ind w:firstLine="0"/>
    </w:pPr>
    <w:r>
      <w:t>A.</w:t>
    </w:r>
    <w:r w:rsidR="004A3AC7">
      <w:t xml:space="preserve">25-10-002 </w:t>
    </w:r>
    <w:r>
      <w:t>CPED/TC</w:t>
    </w:r>
    <w:r w:rsidR="004A3AC7">
      <w:t>U</w:t>
    </w:r>
    <w:r>
      <w:t>/</w:t>
    </w:r>
    <w:r w:rsidR="004A3AC7">
      <w:t>CN1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6ED106" w14:paraId="4400ABA0" w14:textId="77777777" w:rsidTr="42866916">
      <w:trPr>
        <w:trHeight w:val="300"/>
      </w:trPr>
      <w:tc>
        <w:tcPr>
          <w:tcW w:w="3120" w:type="dxa"/>
        </w:tcPr>
        <w:p w14:paraId="29B731E9" w14:textId="0C67A7C4" w:rsidR="026ED106" w:rsidRDefault="026ED106" w:rsidP="42866916">
          <w:pPr>
            <w:pStyle w:val="Header"/>
            <w:ind w:left="-115"/>
          </w:pPr>
        </w:p>
      </w:tc>
      <w:tc>
        <w:tcPr>
          <w:tcW w:w="3120" w:type="dxa"/>
        </w:tcPr>
        <w:p w14:paraId="272BACD3" w14:textId="0FD9A8D5" w:rsidR="026ED106" w:rsidRDefault="026ED106" w:rsidP="42866916">
          <w:pPr>
            <w:pStyle w:val="Header"/>
            <w:jc w:val="center"/>
          </w:pPr>
        </w:p>
      </w:tc>
      <w:tc>
        <w:tcPr>
          <w:tcW w:w="3120" w:type="dxa"/>
        </w:tcPr>
        <w:p w14:paraId="3D150F9C" w14:textId="143822AD" w:rsidR="026ED106" w:rsidRDefault="026ED106" w:rsidP="42866916">
          <w:pPr>
            <w:pStyle w:val="Header"/>
            <w:ind w:right="-115"/>
            <w:jc w:val="right"/>
          </w:pPr>
        </w:p>
      </w:tc>
    </w:tr>
  </w:tbl>
  <w:p w14:paraId="1A73D5A6" w14:textId="06666082" w:rsidR="026ED106" w:rsidRDefault="026ED106" w:rsidP="4286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D93D" w14:textId="32C22A03" w:rsidR="00CE352A" w:rsidRPr="00B3087D" w:rsidRDefault="00CE352A" w:rsidP="00CE352A">
    <w:pPr>
      <w:pStyle w:val="Header"/>
      <w:tabs>
        <w:tab w:val="clear" w:pos="4680"/>
        <w:tab w:val="clear" w:pos="9360"/>
        <w:tab w:val="left" w:pos="7404"/>
      </w:tabs>
      <w:ind w:firstLine="0"/>
      <w:rPr>
        <w:i/>
        <w:color w:val="FF0000"/>
      </w:rPr>
    </w:pPr>
    <w:r>
      <w:rPr>
        <w:i/>
        <w:color w:val="FF0000"/>
      </w:rPr>
      <w:tab/>
    </w:r>
  </w:p>
  <w:p w14:paraId="0BFAE224" w14:textId="77777777" w:rsidR="00CE352A" w:rsidRPr="00B3087D" w:rsidRDefault="00CE352A" w:rsidP="006F6525">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6ED106" w14:paraId="42608E69" w14:textId="77777777" w:rsidTr="42866916">
      <w:trPr>
        <w:trHeight w:val="300"/>
      </w:trPr>
      <w:tc>
        <w:tcPr>
          <w:tcW w:w="3120" w:type="dxa"/>
        </w:tcPr>
        <w:p w14:paraId="013AF867" w14:textId="786348AB" w:rsidR="026ED106" w:rsidRDefault="026ED106" w:rsidP="42866916">
          <w:pPr>
            <w:pStyle w:val="Header"/>
            <w:ind w:left="-115"/>
          </w:pPr>
        </w:p>
      </w:tc>
      <w:tc>
        <w:tcPr>
          <w:tcW w:w="3120" w:type="dxa"/>
        </w:tcPr>
        <w:p w14:paraId="1B19B44F" w14:textId="6EEE8F64" w:rsidR="026ED106" w:rsidRDefault="026ED106" w:rsidP="42866916">
          <w:pPr>
            <w:pStyle w:val="Header"/>
            <w:jc w:val="center"/>
          </w:pPr>
        </w:p>
      </w:tc>
      <w:tc>
        <w:tcPr>
          <w:tcW w:w="3120" w:type="dxa"/>
        </w:tcPr>
        <w:p w14:paraId="2CA8D364" w14:textId="63E3007E" w:rsidR="026ED106" w:rsidRDefault="026ED106" w:rsidP="42866916">
          <w:pPr>
            <w:pStyle w:val="Header"/>
            <w:ind w:right="-115"/>
            <w:jc w:val="right"/>
          </w:pPr>
        </w:p>
      </w:tc>
    </w:tr>
  </w:tbl>
  <w:p w14:paraId="34A8B877" w14:textId="02FF78B6" w:rsidR="026ED106" w:rsidRDefault="026ED106" w:rsidP="4286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B7939CB"/>
    <w:multiLevelType w:val="hybridMultilevel"/>
    <w:tmpl w:val="BB1EE016"/>
    <w:lvl w:ilvl="0" w:tplc="4A96E972">
      <w:start w:val="6"/>
      <w:numFmt w:val="lowerLetter"/>
      <w:pStyle w:val="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E2242C9"/>
    <w:multiLevelType w:val="multilevel"/>
    <w:tmpl w:val="ECB8CCE8"/>
    <w:numStyleLink w:val="Headings"/>
  </w:abstractNum>
  <w:abstractNum w:abstractNumId="6" w15:restartNumberingAfterBreak="0">
    <w:nsid w:val="20132EB2"/>
    <w:multiLevelType w:val="hybridMultilevel"/>
    <w:tmpl w:val="22903C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342A667D"/>
    <w:multiLevelType w:val="hybridMultilevel"/>
    <w:tmpl w:val="B6C8B06A"/>
    <w:lvl w:ilvl="0" w:tplc="4A889CB0">
      <w:start w:val="1"/>
      <w:numFmt w:val="lowerLetter"/>
      <w:lvlText w:val="%1."/>
      <w:lvlJc w:val="left"/>
      <w:pPr>
        <w:tabs>
          <w:tab w:val="num" w:pos="2160"/>
        </w:tabs>
        <w:ind w:left="2160" w:hanging="360"/>
      </w:pPr>
      <w:rPr>
        <w:rFonts w:hint="default"/>
      </w:rPr>
    </w:lvl>
    <w:lvl w:ilvl="1" w:tplc="809090F4">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1736097"/>
    <w:multiLevelType w:val="hybridMultilevel"/>
    <w:tmpl w:val="8868A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2D4BA2"/>
    <w:multiLevelType w:val="singleLevel"/>
    <w:tmpl w:val="2FB6A734"/>
    <w:lvl w:ilvl="0">
      <w:start w:val="1"/>
      <w:numFmt w:val="decimal"/>
      <w:lvlText w:val="%1."/>
      <w:legacy w:legacy="1" w:legacySpace="144" w:legacyIndent="0"/>
      <w:lvlJc w:val="left"/>
    </w:lvl>
  </w:abstractNum>
  <w:abstractNum w:abstractNumId="13"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6CB22E56"/>
    <w:multiLevelType w:val="hybridMultilevel"/>
    <w:tmpl w:val="37D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81B496"/>
    <w:multiLevelType w:val="hybridMultilevel"/>
    <w:tmpl w:val="35381646"/>
    <w:lvl w:ilvl="0" w:tplc="B9E646C2">
      <w:start w:val="1"/>
      <w:numFmt w:val="decimal"/>
      <w:lvlText w:val="%1."/>
      <w:lvlJc w:val="left"/>
      <w:pPr>
        <w:ind w:left="720" w:hanging="360"/>
      </w:pPr>
    </w:lvl>
    <w:lvl w:ilvl="1" w:tplc="E24C3FD2">
      <w:start w:val="1"/>
      <w:numFmt w:val="lowerLetter"/>
      <w:lvlText w:val="%2."/>
      <w:lvlJc w:val="left"/>
      <w:pPr>
        <w:ind w:left="1440" w:hanging="360"/>
      </w:pPr>
    </w:lvl>
    <w:lvl w:ilvl="2" w:tplc="A7BA1F7C">
      <w:start w:val="1"/>
      <w:numFmt w:val="lowerRoman"/>
      <w:lvlText w:val="%3."/>
      <w:lvlJc w:val="right"/>
      <w:pPr>
        <w:ind w:left="2160" w:hanging="180"/>
      </w:pPr>
    </w:lvl>
    <w:lvl w:ilvl="3" w:tplc="50124B2A">
      <w:start w:val="1"/>
      <w:numFmt w:val="decimal"/>
      <w:lvlText w:val="%4."/>
      <w:lvlJc w:val="left"/>
      <w:pPr>
        <w:ind w:left="2880" w:hanging="360"/>
      </w:pPr>
    </w:lvl>
    <w:lvl w:ilvl="4" w:tplc="EB28FA28">
      <w:start w:val="1"/>
      <w:numFmt w:val="lowerLetter"/>
      <w:lvlText w:val="%5."/>
      <w:lvlJc w:val="left"/>
      <w:pPr>
        <w:ind w:left="3600" w:hanging="360"/>
      </w:pPr>
    </w:lvl>
    <w:lvl w:ilvl="5" w:tplc="91088086">
      <w:start w:val="1"/>
      <w:numFmt w:val="lowerRoman"/>
      <w:lvlText w:val="%6."/>
      <w:lvlJc w:val="right"/>
      <w:pPr>
        <w:ind w:left="4320" w:hanging="180"/>
      </w:pPr>
    </w:lvl>
    <w:lvl w:ilvl="6" w:tplc="279AB2C6">
      <w:start w:val="1"/>
      <w:numFmt w:val="decimal"/>
      <w:lvlText w:val="%7."/>
      <w:lvlJc w:val="left"/>
      <w:pPr>
        <w:ind w:left="5040" w:hanging="360"/>
      </w:pPr>
    </w:lvl>
    <w:lvl w:ilvl="7" w:tplc="C950A332">
      <w:start w:val="1"/>
      <w:numFmt w:val="lowerLetter"/>
      <w:lvlText w:val="%8."/>
      <w:lvlJc w:val="left"/>
      <w:pPr>
        <w:ind w:left="5760" w:hanging="360"/>
      </w:pPr>
    </w:lvl>
    <w:lvl w:ilvl="8" w:tplc="54943CDC">
      <w:start w:val="1"/>
      <w:numFmt w:val="lowerRoman"/>
      <w:lvlText w:val="%9."/>
      <w:lvlJc w:val="right"/>
      <w:pPr>
        <w:ind w:left="6480" w:hanging="180"/>
      </w:pPr>
    </w:lvl>
  </w:abstractNum>
  <w:abstractNum w:abstractNumId="17" w15:restartNumberingAfterBreak="0">
    <w:nsid w:val="789A0AFE"/>
    <w:multiLevelType w:val="multilevel"/>
    <w:tmpl w:val="18F4A5AC"/>
    <w:numStyleLink w:val="FoFCoLOP"/>
  </w:abstractNum>
  <w:abstractNum w:abstractNumId="18" w15:restartNumberingAfterBreak="0">
    <w:nsid w:val="7B1C30FD"/>
    <w:multiLevelType w:val="singleLevel"/>
    <w:tmpl w:val="2FB6A734"/>
    <w:lvl w:ilvl="0">
      <w:start w:val="1"/>
      <w:numFmt w:val="decimal"/>
      <w:lvlText w:val="%1."/>
      <w:legacy w:legacy="1" w:legacySpace="144" w:legacyIndent="0"/>
      <w:lvlJc w:val="left"/>
    </w:lvl>
  </w:abstractNum>
  <w:num w:numId="1" w16cid:durableId="952631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70908">
    <w:abstractNumId w:val="2"/>
  </w:num>
  <w:num w:numId="3" w16cid:durableId="802580698">
    <w:abstractNumId w:val="10"/>
  </w:num>
  <w:num w:numId="4" w16cid:durableId="410465738">
    <w:abstractNumId w:val="3"/>
  </w:num>
  <w:num w:numId="5" w16cid:durableId="1692994327">
    <w:abstractNumId w:val="17"/>
  </w:num>
  <w:num w:numId="6" w16cid:durableId="1745837098">
    <w:abstractNumId w:val="7"/>
  </w:num>
  <w:num w:numId="7" w16cid:durableId="420756829">
    <w:abstractNumId w:val="5"/>
  </w:num>
  <w:num w:numId="8" w16cid:durableId="857962543">
    <w:abstractNumId w:val="15"/>
  </w:num>
  <w:num w:numId="9" w16cid:durableId="2104641307">
    <w:abstractNumId w:val="0"/>
  </w:num>
  <w:num w:numId="10" w16cid:durableId="851797423">
    <w:abstractNumId w:val="7"/>
  </w:num>
  <w:num w:numId="11" w16cid:durableId="1682662300">
    <w:abstractNumId w:val="11"/>
  </w:num>
  <w:num w:numId="12" w16cid:durableId="881288970">
    <w:abstractNumId w:val="13"/>
  </w:num>
  <w:num w:numId="13" w16cid:durableId="244845372">
    <w:abstractNumId w:val="7"/>
  </w:num>
  <w:num w:numId="14" w16cid:durableId="1661230141">
    <w:abstractNumId w:val="9"/>
  </w:num>
  <w:num w:numId="15" w16cid:durableId="176877100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7205359">
    <w:abstractNumId w:val="1"/>
  </w:num>
  <w:num w:numId="17" w16cid:durableId="1172792598">
    <w:abstractNumId w:val="18"/>
  </w:num>
  <w:num w:numId="18" w16cid:durableId="1084567211">
    <w:abstractNumId w:val="8"/>
  </w:num>
  <w:num w:numId="19" w16cid:durableId="641159490">
    <w:abstractNumId w:val="4"/>
  </w:num>
  <w:num w:numId="20" w16cid:durableId="1413506093">
    <w:abstractNumId w:val="12"/>
  </w:num>
  <w:num w:numId="21" w16cid:durableId="466363331">
    <w:abstractNumId w:val="1"/>
    <w:lvlOverride w:ilvl="0">
      <w:startOverride w:val="1"/>
    </w:lvlOverride>
  </w:num>
  <w:num w:numId="22" w16cid:durableId="804007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897504">
    <w:abstractNumId w:val="18"/>
    <w:lvlOverride w:ilvl="0">
      <w:startOverride w:val="1"/>
    </w:lvlOverride>
  </w:num>
  <w:num w:numId="24" w16cid:durableId="210505422">
    <w:abstractNumId w:val="6"/>
  </w:num>
  <w:num w:numId="25" w16cid:durableId="1462570675">
    <w:abstractNumId w:val="14"/>
  </w:num>
  <w:num w:numId="26" w16cid:durableId="149117197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000F6A"/>
    <w:rsid w:val="0000378F"/>
    <w:rsid w:val="00005001"/>
    <w:rsid w:val="00005331"/>
    <w:rsid w:val="000079A7"/>
    <w:rsid w:val="00007DC6"/>
    <w:rsid w:val="0001058E"/>
    <w:rsid w:val="00014B90"/>
    <w:rsid w:val="000153FE"/>
    <w:rsid w:val="00016D60"/>
    <w:rsid w:val="00021A78"/>
    <w:rsid w:val="00025AE8"/>
    <w:rsid w:val="00027E35"/>
    <w:rsid w:val="00027F0E"/>
    <w:rsid w:val="00033CD5"/>
    <w:rsid w:val="000341B5"/>
    <w:rsid w:val="000345FA"/>
    <w:rsid w:val="00036328"/>
    <w:rsid w:val="00041398"/>
    <w:rsid w:val="00041FB8"/>
    <w:rsid w:val="00046634"/>
    <w:rsid w:val="00046A9F"/>
    <w:rsid w:val="00047B6D"/>
    <w:rsid w:val="0005302C"/>
    <w:rsid w:val="000559C4"/>
    <w:rsid w:val="000642A6"/>
    <w:rsid w:val="0007115A"/>
    <w:rsid w:val="00071197"/>
    <w:rsid w:val="0007354B"/>
    <w:rsid w:val="00073774"/>
    <w:rsid w:val="0008125D"/>
    <w:rsid w:val="00084C62"/>
    <w:rsid w:val="000857B3"/>
    <w:rsid w:val="00085A08"/>
    <w:rsid w:val="00085C43"/>
    <w:rsid w:val="000866DB"/>
    <w:rsid w:val="000910CD"/>
    <w:rsid w:val="000931BB"/>
    <w:rsid w:val="000973C8"/>
    <w:rsid w:val="00097483"/>
    <w:rsid w:val="000A0FF1"/>
    <w:rsid w:val="000A2AA9"/>
    <w:rsid w:val="000A4AEB"/>
    <w:rsid w:val="000A56F2"/>
    <w:rsid w:val="000A603A"/>
    <w:rsid w:val="000A6E05"/>
    <w:rsid w:val="000B0F41"/>
    <w:rsid w:val="000B12FA"/>
    <w:rsid w:val="000B2D11"/>
    <w:rsid w:val="000B2FBE"/>
    <w:rsid w:val="000B5B71"/>
    <w:rsid w:val="000B5D56"/>
    <w:rsid w:val="000B6069"/>
    <w:rsid w:val="000B73A4"/>
    <w:rsid w:val="000B7CF8"/>
    <w:rsid w:val="000C08BF"/>
    <w:rsid w:val="000C355D"/>
    <w:rsid w:val="000C3B9A"/>
    <w:rsid w:val="000C4386"/>
    <w:rsid w:val="000C581B"/>
    <w:rsid w:val="000C6CE1"/>
    <w:rsid w:val="000D25A8"/>
    <w:rsid w:val="000E4206"/>
    <w:rsid w:val="000E4C53"/>
    <w:rsid w:val="000E4C5E"/>
    <w:rsid w:val="000E5A66"/>
    <w:rsid w:val="000E5D70"/>
    <w:rsid w:val="000E6DCA"/>
    <w:rsid w:val="000E7319"/>
    <w:rsid w:val="000F7136"/>
    <w:rsid w:val="000F7F7B"/>
    <w:rsid w:val="00100419"/>
    <w:rsid w:val="00100674"/>
    <w:rsid w:val="00102A03"/>
    <w:rsid w:val="00102B9F"/>
    <w:rsid w:val="00121089"/>
    <w:rsid w:val="00130A3D"/>
    <w:rsid w:val="00130E1D"/>
    <w:rsid w:val="00131600"/>
    <w:rsid w:val="00132084"/>
    <w:rsid w:val="0013230E"/>
    <w:rsid w:val="00134295"/>
    <w:rsid w:val="00135E7A"/>
    <w:rsid w:val="0013769B"/>
    <w:rsid w:val="00142335"/>
    <w:rsid w:val="0014616A"/>
    <w:rsid w:val="00150396"/>
    <w:rsid w:val="00153A14"/>
    <w:rsid w:val="00155BC5"/>
    <w:rsid w:val="001646F6"/>
    <w:rsid w:val="00175572"/>
    <w:rsid w:val="00175AF2"/>
    <w:rsid w:val="00175FE5"/>
    <w:rsid w:val="0018099E"/>
    <w:rsid w:val="001811C5"/>
    <w:rsid w:val="00182D85"/>
    <w:rsid w:val="00182F40"/>
    <w:rsid w:val="0018632D"/>
    <w:rsid w:val="0019073C"/>
    <w:rsid w:val="0019266B"/>
    <w:rsid w:val="001928AF"/>
    <w:rsid w:val="0019373A"/>
    <w:rsid w:val="001A352D"/>
    <w:rsid w:val="001A500F"/>
    <w:rsid w:val="001A5852"/>
    <w:rsid w:val="001A6803"/>
    <w:rsid w:val="001A6F13"/>
    <w:rsid w:val="001B14E4"/>
    <w:rsid w:val="001B3153"/>
    <w:rsid w:val="001B51D4"/>
    <w:rsid w:val="001B6317"/>
    <w:rsid w:val="001C363F"/>
    <w:rsid w:val="001C71CD"/>
    <w:rsid w:val="001D41AC"/>
    <w:rsid w:val="001E1595"/>
    <w:rsid w:val="001E2A62"/>
    <w:rsid w:val="001E402D"/>
    <w:rsid w:val="001E7B30"/>
    <w:rsid w:val="001E7B48"/>
    <w:rsid w:val="001F0D0E"/>
    <w:rsid w:val="001F2819"/>
    <w:rsid w:val="001F3430"/>
    <w:rsid w:val="001F4482"/>
    <w:rsid w:val="001F4A58"/>
    <w:rsid w:val="001F5266"/>
    <w:rsid w:val="001F66A3"/>
    <w:rsid w:val="00200FB4"/>
    <w:rsid w:val="002043EC"/>
    <w:rsid w:val="002046C7"/>
    <w:rsid w:val="00213E3E"/>
    <w:rsid w:val="0021650E"/>
    <w:rsid w:val="00216541"/>
    <w:rsid w:val="002210D5"/>
    <w:rsid w:val="00221DFC"/>
    <w:rsid w:val="00231F06"/>
    <w:rsid w:val="00234228"/>
    <w:rsid w:val="00235EEA"/>
    <w:rsid w:val="0024069D"/>
    <w:rsid w:val="0024243C"/>
    <w:rsid w:val="00243DC0"/>
    <w:rsid w:val="00244747"/>
    <w:rsid w:val="00247477"/>
    <w:rsid w:val="0025148C"/>
    <w:rsid w:val="00253FD2"/>
    <w:rsid w:val="00257047"/>
    <w:rsid w:val="00257679"/>
    <w:rsid w:val="002655EE"/>
    <w:rsid w:val="00266F20"/>
    <w:rsid w:val="002672C1"/>
    <w:rsid w:val="0027037F"/>
    <w:rsid w:val="00270440"/>
    <w:rsid w:val="00273368"/>
    <w:rsid w:val="00276831"/>
    <w:rsid w:val="0028162F"/>
    <w:rsid w:val="00284CF7"/>
    <w:rsid w:val="00285446"/>
    <w:rsid w:val="00287918"/>
    <w:rsid w:val="00287A3A"/>
    <w:rsid w:val="00290DA6"/>
    <w:rsid w:val="00291F07"/>
    <w:rsid w:val="00293DEE"/>
    <w:rsid w:val="0029674A"/>
    <w:rsid w:val="002A0B5D"/>
    <w:rsid w:val="002B0DA0"/>
    <w:rsid w:val="002B1158"/>
    <w:rsid w:val="002B2DFB"/>
    <w:rsid w:val="002B6AC3"/>
    <w:rsid w:val="002C1236"/>
    <w:rsid w:val="002C28D8"/>
    <w:rsid w:val="002C62A3"/>
    <w:rsid w:val="002C7577"/>
    <w:rsid w:val="002C7FE9"/>
    <w:rsid w:val="002D0A07"/>
    <w:rsid w:val="002D103A"/>
    <w:rsid w:val="002D482E"/>
    <w:rsid w:val="002D4EFD"/>
    <w:rsid w:val="002D7470"/>
    <w:rsid w:val="002E715D"/>
    <w:rsid w:val="002F141E"/>
    <w:rsid w:val="002F6D4C"/>
    <w:rsid w:val="003065AE"/>
    <w:rsid w:val="00312DF0"/>
    <w:rsid w:val="00315ABF"/>
    <w:rsid w:val="00316071"/>
    <w:rsid w:val="0032204B"/>
    <w:rsid w:val="0032776E"/>
    <w:rsid w:val="00333403"/>
    <w:rsid w:val="0033604B"/>
    <w:rsid w:val="00340B80"/>
    <w:rsid w:val="003414BF"/>
    <w:rsid w:val="0034229B"/>
    <w:rsid w:val="00343E5C"/>
    <w:rsid w:val="00345A4F"/>
    <w:rsid w:val="00353B09"/>
    <w:rsid w:val="0035565F"/>
    <w:rsid w:val="0036017B"/>
    <w:rsid w:val="0036045F"/>
    <w:rsid w:val="00362423"/>
    <w:rsid w:val="00362755"/>
    <w:rsid w:val="0036417D"/>
    <w:rsid w:val="0036697A"/>
    <w:rsid w:val="00371B69"/>
    <w:rsid w:val="00373B93"/>
    <w:rsid w:val="00374752"/>
    <w:rsid w:val="0038264B"/>
    <w:rsid w:val="003834C9"/>
    <w:rsid w:val="00385E41"/>
    <w:rsid w:val="00385F01"/>
    <w:rsid w:val="00387FC3"/>
    <w:rsid w:val="003A17B8"/>
    <w:rsid w:val="003A38F0"/>
    <w:rsid w:val="003A4A92"/>
    <w:rsid w:val="003B26F3"/>
    <w:rsid w:val="003B2763"/>
    <w:rsid w:val="003C34C1"/>
    <w:rsid w:val="003C69C6"/>
    <w:rsid w:val="003E3022"/>
    <w:rsid w:val="003F0764"/>
    <w:rsid w:val="003F0897"/>
    <w:rsid w:val="003F4329"/>
    <w:rsid w:val="00402F8A"/>
    <w:rsid w:val="00405460"/>
    <w:rsid w:val="00411DB3"/>
    <w:rsid w:val="00412534"/>
    <w:rsid w:val="00412C83"/>
    <w:rsid w:val="00413A89"/>
    <w:rsid w:val="00413D2C"/>
    <w:rsid w:val="004142F0"/>
    <w:rsid w:val="00416714"/>
    <w:rsid w:val="0042326C"/>
    <w:rsid w:val="004232F6"/>
    <w:rsid w:val="00426014"/>
    <w:rsid w:val="004275B3"/>
    <w:rsid w:val="004327B7"/>
    <w:rsid w:val="00432A7D"/>
    <w:rsid w:val="0043407F"/>
    <w:rsid w:val="0044035F"/>
    <w:rsid w:val="00440897"/>
    <w:rsid w:val="00442D56"/>
    <w:rsid w:val="004457E3"/>
    <w:rsid w:val="00450206"/>
    <w:rsid w:val="00450FBB"/>
    <w:rsid w:val="00453C17"/>
    <w:rsid w:val="00454699"/>
    <w:rsid w:val="00456265"/>
    <w:rsid w:val="00456466"/>
    <w:rsid w:val="00457C52"/>
    <w:rsid w:val="00460B7D"/>
    <w:rsid w:val="00462538"/>
    <w:rsid w:val="00463FAC"/>
    <w:rsid w:val="00467986"/>
    <w:rsid w:val="00470DC0"/>
    <w:rsid w:val="00480CB0"/>
    <w:rsid w:val="00481FF2"/>
    <w:rsid w:val="004851B3"/>
    <w:rsid w:val="004865F1"/>
    <w:rsid w:val="00490AD2"/>
    <w:rsid w:val="00493D62"/>
    <w:rsid w:val="004957B6"/>
    <w:rsid w:val="004A24CF"/>
    <w:rsid w:val="004A3AC7"/>
    <w:rsid w:val="004B2059"/>
    <w:rsid w:val="004B34EA"/>
    <w:rsid w:val="004B5494"/>
    <w:rsid w:val="004C041E"/>
    <w:rsid w:val="004C1BC3"/>
    <w:rsid w:val="004C43AD"/>
    <w:rsid w:val="004C5403"/>
    <w:rsid w:val="004C56DA"/>
    <w:rsid w:val="004C7D3A"/>
    <w:rsid w:val="004D04FB"/>
    <w:rsid w:val="004D2DE0"/>
    <w:rsid w:val="004E034A"/>
    <w:rsid w:val="004E0A09"/>
    <w:rsid w:val="004E1189"/>
    <w:rsid w:val="004E4DB5"/>
    <w:rsid w:val="004E5C8C"/>
    <w:rsid w:val="004E7730"/>
    <w:rsid w:val="004F09CA"/>
    <w:rsid w:val="004F0AD4"/>
    <w:rsid w:val="004F174A"/>
    <w:rsid w:val="004F348D"/>
    <w:rsid w:val="004F44E4"/>
    <w:rsid w:val="004F6ADF"/>
    <w:rsid w:val="004F7AA8"/>
    <w:rsid w:val="00500C65"/>
    <w:rsid w:val="005018A8"/>
    <w:rsid w:val="005019B6"/>
    <w:rsid w:val="0050261F"/>
    <w:rsid w:val="0050505E"/>
    <w:rsid w:val="00505A39"/>
    <w:rsid w:val="005069F3"/>
    <w:rsid w:val="00515001"/>
    <w:rsid w:val="00520C1B"/>
    <w:rsid w:val="005240BF"/>
    <w:rsid w:val="00531BF3"/>
    <w:rsid w:val="00534A4B"/>
    <w:rsid w:val="00535661"/>
    <w:rsid w:val="00540EA2"/>
    <w:rsid w:val="00543FFB"/>
    <w:rsid w:val="00560AF2"/>
    <w:rsid w:val="00562947"/>
    <w:rsid w:val="00565D8C"/>
    <w:rsid w:val="005719A4"/>
    <w:rsid w:val="00575522"/>
    <w:rsid w:val="00582008"/>
    <w:rsid w:val="0058506F"/>
    <w:rsid w:val="00585390"/>
    <w:rsid w:val="00591B23"/>
    <w:rsid w:val="005939A5"/>
    <w:rsid w:val="00595030"/>
    <w:rsid w:val="00595FDA"/>
    <w:rsid w:val="005A088F"/>
    <w:rsid w:val="005A09A9"/>
    <w:rsid w:val="005A148C"/>
    <w:rsid w:val="005A17C2"/>
    <w:rsid w:val="005A286F"/>
    <w:rsid w:val="005A2BCC"/>
    <w:rsid w:val="005A2CDB"/>
    <w:rsid w:val="005A4C8A"/>
    <w:rsid w:val="005A57F9"/>
    <w:rsid w:val="005A5FA1"/>
    <w:rsid w:val="005A6D07"/>
    <w:rsid w:val="005B01A7"/>
    <w:rsid w:val="005B0D18"/>
    <w:rsid w:val="005B297D"/>
    <w:rsid w:val="005B33A6"/>
    <w:rsid w:val="005C1576"/>
    <w:rsid w:val="005C5538"/>
    <w:rsid w:val="005D606C"/>
    <w:rsid w:val="005D6DE4"/>
    <w:rsid w:val="005E0A16"/>
    <w:rsid w:val="005E4FFF"/>
    <w:rsid w:val="005F1789"/>
    <w:rsid w:val="005F7847"/>
    <w:rsid w:val="005F7CB4"/>
    <w:rsid w:val="00601112"/>
    <w:rsid w:val="006028D6"/>
    <w:rsid w:val="00602E15"/>
    <w:rsid w:val="0060699E"/>
    <w:rsid w:val="00612C06"/>
    <w:rsid w:val="0061419B"/>
    <w:rsid w:val="00614868"/>
    <w:rsid w:val="0061553D"/>
    <w:rsid w:val="00621059"/>
    <w:rsid w:val="00623345"/>
    <w:rsid w:val="00624500"/>
    <w:rsid w:val="00627B60"/>
    <w:rsid w:val="00632207"/>
    <w:rsid w:val="00632C81"/>
    <w:rsid w:val="006343EE"/>
    <w:rsid w:val="0063491C"/>
    <w:rsid w:val="00635145"/>
    <w:rsid w:val="0063668C"/>
    <w:rsid w:val="00641550"/>
    <w:rsid w:val="00644EBC"/>
    <w:rsid w:val="00645ACD"/>
    <w:rsid w:val="00653E51"/>
    <w:rsid w:val="00654AD3"/>
    <w:rsid w:val="00657732"/>
    <w:rsid w:val="00662BCF"/>
    <w:rsid w:val="00664D53"/>
    <w:rsid w:val="00674059"/>
    <w:rsid w:val="0067528A"/>
    <w:rsid w:val="00681064"/>
    <w:rsid w:val="0068422E"/>
    <w:rsid w:val="00684F32"/>
    <w:rsid w:val="006862B5"/>
    <w:rsid w:val="0069135A"/>
    <w:rsid w:val="0069319C"/>
    <w:rsid w:val="00693FB0"/>
    <w:rsid w:val="00695515"/>
    <w:rsid w:val="00695B57"/>
    <w:rsid w:val="006A28A5"/>
    <w:rsid w:val="006A2C82"/>
    <w:rsid w:val="006A3D73"/>
    <w:rsid w:val="006A41F3"/>
    <w:rsid w:val="006A4C14"/>
    <w:rsid w:val="006B0354"/>
    <w:rsid w:val="006B1819"/>
    <w:rsid w:val="006B28C7"/>
    <w:rsid w:val="006B2D78"/>
    <w:rsid w:val="006B4A06"/>
    <w:rsid w:val="006B4BB4"/>
    <w:rsid w:val="006B53E4"/>
    <w:rsid w:val="006B764C"/>
    <w:rsid w:val="006C0706"/>
    <w:rsid w:val="006C112F"/>
    <w:rsid w:val="006C4C4D"/>
    <w:rsid w:val="006C6412"/>
    <w:rsid w:val="006D06B4"/>
    <w:rsid w:val="006D1E04"/>
    <w:rsid w:val="006D5D5F"/>
    <w:rsid w:val="006E1D67"/>
    <w:rsid w:val="006E3BDD"/>
    <w:rsid w:val="006E4936"/>
    <w:rsid w:val="006E5E28"/>
    <w:rsid w:val="006E60BF"/>
    <w:rsid w:val="006E6574"/>
    <w:rsid w:val="006E77AD"/>
    <w:rsid w:val="006F2E7C"/>
    <w:rsid w:val="006F6525"/>
    <w:rsid w:val="006F7533"/>
    <w:rsid w:val="00700117"/>
    <w:rsid w:val="00707A5B"/>
    <w:rsid w:val="00711648"/>
    <w:rsid w:val="00713AFD"/>
    <w:rsid w:val="00714CF2"/>
    <w:rsid w:val="007156B9"/>
    <w:rsid w:val="00720817"/>
    <w:rsid w:val="00722850"/>
    <w:rsid w:val="00724EB3"/>
    <w:rsid w:val="007278CF"/>
    <w:rsid w:val="007321EB"/>
    <w:rsid w:val="00732B09"/>
    <w:rsid w:val="00732FE6"/>
    <w:rsid w:val="0073353F"/>
    <w:rsid w:val="00740DF0"/>
    <w:rsid w:val="00742E45"/>
    <w:rsid w:val="007447AF"/>
    <w:rsid w:val="00744DE9"/>
    <w:rsid w:val="007453DE"/>
    <w:rsid w:val="00747453"/>
    <w:rsid w:val="00750816"/>
    <w:rsid w:val="00753B5B"/>
    <w:rsid w:val="00756285"/>
    <w:rsid w:val="00756EBD"/>
    <w:rsid w:val="007624F5"/>
    <w:rsid w:val="007635BF"/>
    <w:rsid w:val="007644D2"/>
    <w:rsid w:val="007657C1"/>
    <w:rsid w:val="00765BF5"/>
    <w:rsid w:val="007700A5"/>
    <w:rsid w:val="00772870"/>
    <w:rsid w:val="00777050"/>
    <w:rsid w:val="00777D03"/>
    <w:rsid w:val="00786516"/>
    <w:rsid w:val="00787AF5"/>
    <w:rsid w:val="007904CF"/>
    <w:rsid w:val="0079120A"/>
    <w:rsid w:val="0079261B"/>
    <w:rsid w:val="007926B1"/>
    <w:rsid w:val="007934A4"/>
    <w:rsid w:val="007956DD"/>
    <w:rsid w:val="00796EB7"/>
    <w:rsid w:val="007A406D"/>
    <w:rsid w:val="007A5F24"/>
    <w:rsid w:val="007A62B0"/>
    <w:rsid w:val="007A7696"/>
    <w:rsid w:val="007B129E"/>
    <w:rsid w:val="007B1722"/>
    <w:rsid w:val="007B4EF4"/>
    <w:rsid w:val="007B6381"/>
    <w:rsid w:val="007B672F"/>
    <w:rsid w:val="007C0123"/>
    <w:rsid w:val="007C3A0E"/>
    <w:rsid w:val="007C3D44"/>
    <w:rsid w:val="007C5A0C"/>
    <w:rsid w:val="007C60A0"/>
    <w:rsid w:val="007C6B02"/>
    <w:rsid w:val="007D4F2E"/>
    <w:rsid w:val="007D6C8C"/>
    <w:rsid w:val="007E0A0C"/>
    <w:rsid w:val="007E0FEE"/>
    <w:rsid w:val="007E2EBE"/>
    <w:rsid w:val="007E5A92"/>
    <w:rsid w:val="007E5CA5"/>
    <w:rsid w:val="007E7AF9"/>
    <w:rsid w:val="007F2017"/>
    <w:rsid w:val="007F3916"/>
    <w:rsid w:val="007F5B64"/>
    <w:rsid w:val="008041BD"/>
    <w:rsid w:val="00806CA7"/>
    <w:rsid w:val="008072E1"/>
    <w:rsid w:val="00811FB1"/>
    <w:rsid w:val="00814F56"/>
    <w:rsid w:val="00817475"/>
    <w:rsid w:val="008218C4"/>
    <w:rsid w:val="00822E5B"/>
    <w:rsid w:val="008257E8"/>
    <w:rsid w:val="00831FEE"/>
    <w:rsid w:val="008335E1"/>
    <w:rsid w:val="008339BB"/>
    <w:rsid w:val="00836FEB"/>
    <w:rsid w:val="00854CF3"/>
    <w:rsid w:val="008556D8"/>
    <w:rsid w:val="00855FD8"/>
    <w:rsid w:val="00856814"/>
    <w:rsid w:val="00860B0F"/>
    <w:rsid w:val="008630C0"/>
    <w:rsid w:val="008632E5"/>
    <w:rsid w:val="00863367"/>
    <w:rsid w:val="0086419A"/>
    <w:rsid w:val="0086501B"/>
    <w:rsid w:val="0087023B"/>
    <w:rsid w:val="008708CF"/>
    <w:rsid w:val="00877C97"/>
    <w:rsid w:val="00877D4A"/>
    <w:rsid w:val="008847E1"/>
    <w:rsid w:val="00887DE3"/>
    <w:rsid w:val="008A0967"/>
    <w:rsid w:val="008A11A0"/>
    <w:rsid w:val="008A1754"/>
    <w:rsid w:val="008A1764"/>
    <w:rsid w:val="008A179F"/>
    <w:rsid w:val="008A4887"/>
    <w:rsid w:val="008A4B40"/>
    <w:rsid w:val="008A5D5B"/>
    <w:rsid w:val="008B0864"/>
    <w:rsid w:val="008B155E"/>
    <w:rsid w:val="008B3815"/>
    <w:rsid w:val="008B59E3"/>
    <w:rsid w:val="008C0F13"/>
    <w:rsid w:val="008C7413"/>
    <w:rsid w:val="008D16B7"/>
    <w:rsid w:val="008D55AC"/>
    <w:rsid w:val="008D58E1"/>
    <w:rsid w:val="008E3D04"/>
    <w:rsid w:val="008E3E79"/>
    <w:rsid w:val="008E6AE6"/>
    <w:rsid w:val="008F0116"/>
    <w:rsid w:val="008F143D"/>
    <w:rsid w:val="009003C6"/>
    <w:rsid w:val="009032F4"/>
    <w:rsid w:val="009051EB"/>
    <w:rsid w:val="00905AA6"/>
    <w:rsid w:val="00910936"/>
    <w:rsid w:val="00914A58"/>
    <w:rsid w:val="0091747F"/>
    <w:rsid w:val="009203B9"/>
    <w:rsid w:val="00924855"/>
    <w:rsid w:val="00926DC5"/>
    <w:rsid w:val="009302EA"/>
    <w:rsid w:val="00932865"/>
    <w:rsid w:val="00932C21"/>
    <w:rsid w:val="0094010F"/>
    <w:rsid w:val="00942C4E"/>
    <w:rsid w:val="00942FCF"/>
    <w:rsid w:val="00945247"/>
    <w:rsid w:val="00947BC6"/>
    <w:rsid w:val="00956344"/>
    <w:rsid w:val="009570AF"/>
    <w:rsid w:val="00960E55"/>
    <w:rsid w:val="00966E39"/>
    <w:rsid w:val="00970D56"/>
    <w:rsid w:val="00973406"/>
    <w:rsid w:val="009752FA"/>
    <w:rsid w:val="00975FA0"/>
    <w:rsid w:val="0098138E"/>
    <w:rsid w:val="0098557B"/>
    <w:rsid w:val="0098607B"/>
    <w:rsid w:val="0098655A"/>
    <w:rsid w:val="00986BC6"/>
    <w:rsid w:val="009900D7"/>
    <w:rsid w:val="00991356"/>
    <w:rsid w:val="00991A11"/>
    <w:rsid w:val="00994C21"/>
    <w:rsid w:val="009A26BA"/>
    <w:rsid w:val="009B5807"/>
    <w:rsid w:val="009B61FE"/>
    <w:rsid w:val="009B6C3E"/>
    <w:rsid w:val="009C15B7"/>
    <w:rsid w:val="009C1902"/>
    <w:rsid w:val="009C2764"/>
    <w:rsid w:val="009C3BF2"/>
    <w:rsid w:val="009C48C9"/>
    <w:rsid w:val="009C5B33"/>
    <w:rsid w:val="009D4A48"/>
    <w:rsid w:val="009D5853"/>
    <w:rsid w:val="009D7CE1"/>
    <w:rsid w:val="009E346F"/>
    <w:rsid w:val="009E6EB9"/>
    <w:rsid w:val="009E7C7F"/>
    <w:rsid w:val="009F061D"/>
    <w:rsid w:val="009F26C7"/>
    <w:rsid w:val="009F4C43"/>
    <w:rsid w:val="009F74D8"/>
    <w:rsid w:val="009F766C"/>
    <w:rsid w:val="00A00186"/>
    <w:rsid w:val="00A03D1B"/>
    <w:rsid w:val="00A07D8C"/>
    <w:rsid w:val="00A10971"/>
    <w:rsid w:val="00A150E4"/>
    <w:rsid w:val="00A17184"/>
    <w:rsid w:val="00A174A7"/>
    <w:rsid w:val="00A17CE0"/>
    <w:rsid w:val="00A20483"/>
    <w:rsid w:val="00A21707"/>
    <w:rsid w:val="00A226BF"/>
    <w:rsid w:val="00A2357F"/>
    <w:rsid w:val="00A30B1D"/>
    <w:rsid w:val="00A33CBB"/>
    <w:rsid w:val="00A35575"/>
    <w:rsid w:val="00A367AC"/>
    <w:rsid w:val="00A41226"/>
    <w:rsid w:val="00A42306"/>
    <w:rsid w:val="00A4282C"/>
    <w:rsid w:val="00A46852"/>
    <w:rsid w:val="00A46BD8"/>
    <w:rsid w:val="00A55ACD"/>
    <w:rsid w:val="00A64BAE"/>
    <w:rsid w:val="00A668F9"/>
    <w:rsid w:val="00A74DEA"/>
    <w:rsid w:val="00A77080"/>
    <w:rsid w:val="00A86CB1"/>
    <w:rsid w:val="00AA35EB"/>
    <w:rsid w:val="00AA5A34"/>
    <w:rsid w:val="00AB11DD"/>
    <w:rsid w:val="00AB19B9"/>
    <w:rsid w:val="00AB26E3"/>
    <w:rsid w:val="00AB56ED"/>
    <w:rsid w:val="00AC1B55"/>
    <w:rsid w:val="00AC3F58"/>
    <w:rsid w:val="00AC42DB"/>
    <w:rsid w:val="00AC4D43"/>
    <w:rsid w:val="00AC575F"/>
    <w:rsid w:val="00AC7E31"/>
    <w:rsid w:val="00AD0676"/>
    <w:rsid w:val="00AD0E06"/>
    <w:rsid w:val="00AD0E5F"/>
    <w:rsid w:val="00AD3AAF"/>
    <w:rsid w:val="00AD497D"/>
    <w:rsid w:val="00AE3971"/>
    <w:rsid w:val="00AE5B3E"/>
    <w:rsid w:val="00AF400F"/>
    <w:rsid w:val="00AF4538"/>
    <w:rsid w:val="00AF4C7D"/>
    <w:rsid w:val="00B00D0F"/>
    <w:rsid w:val="00B01F24"/>
    <w:rsid w:val="00B01F7E"/>
    <w:rsid w:val="00B04FBC"/>
    <w:rsid w:val="00B07860"/>
    <w:rsid w:val="00B11E0C"/>
    <w:rsid w:val="00B13047"/>
    <w:rsid w:val="00B133C1"/>
    <w:rsid w:val="00B161B0"/>
    <w:rsid w:val="00B20932"/>
    <w:rsid w:val="00B260CD"/>
    <w:rsid w:val="00B3087D"/>
    <w:rsid w:val="00B34794"/>
    <w:rsid w:val="00B34B2E"/>
    <w:rsid w:val="00B37276"/>
    <w:rsid w:val="00B407AA"/>
    <w:rsid w:val="00B423F2"/>
    <w:rsid w:val="00B4330E"/>
    <w:rsid w:val="00B4459B"/>
    <w:rsid w:val="00B47BF4"/>
    <w:rsid w:val="00B539E8"/>
    <w:rsid w:val="00B5572F"/>
    <w:rsid w:val="00B5703F"/>
    <w:rsid w:val="00B60421"/>
    <w:rsid w:val="00B6125B"/>
    <w:rsid w:val="00B62814"/>
    <w:rsid w:val="00B66B90"/>
    <w:rsid w:val="00B6729B"/>
    <w:rsid w:val="00B674B4"/>
    <w:rsid w:val="00B70AA0"/>
    <w:rsid w:val="00B760BA"/>
    <w:rsid w:val="00B77DFC"/>
    <w:rsid w:val="00B86A3F"/>
    <w:rsid w:val="00B876F2"/>
    <w:rsid w:val="00B93F8D"/>
    <w:rsid w:val="00B94B51"/>
    <w:rsid w:val="00B96095"/>
    <w:rsid w:val="00BA17BD"/>
    <w:rsid w:val="00BA2912"/>
    <w:rsid w:val="00BA45A6"/>
    <w:rsid w:val="00BA7717"/>
    <w:rsid w:val="00BB0243"/>
    <w:rsid w:val="00BC19BA"/>
    <w:rsid w:val="00BC3A37"/>
    <w:rsid w:val="00BD2D08"/>
    <w:rsid w:val="00BD3B70"/>
    <w:rsid w:val="00BD5161"/>
    <w:rsid w:val="00BE4DBF"/>
    <w:rsid w:val="00BF05B9"/>
    <w:rsid w:val="00BF12A7"/>
    <w:rsid w:val="00BF1464"/>
    <w:rsid w:val="00BF6745"/>
    <w:rsid w:val="00C018C5"/>
    <w:rsid w:val="00C01B8F"/>
    <w:rsid w:val="00C1067D"/>
    <w:rsid w:val="00C10B5F"/>
    <w:rsid w:val="00C20388"/>
    <w:rsid w:val="00C221F4"/>
    <w:rsid w:val="00C269DF"/>
    <w:rsid w:val="00C27550"/>
    <w:rsid w:val="00C27CB5"/>
    <w:rsid w:val="00C31F3D"/>
    <w:rsid w:val="00C32ECF"/>
    <w:rsid w:val="00C3416F"/>
    <w:rsid w:val="00C44EF9"/>
    <w:rsid w:val="00C45FE4"/>
    <w:rsid w:val="00C47B84"/>
    <w:rsid w:val="00C5067D"/>
    <w:rsid w:val="00C54C74"/>
    <w:rsid w:val="00C56C00"/>
    <w:rsid w:val="00C63334"/>
    <w:rsid w:val="00C6454C"/>
    <w:rsid w:val="00C708F3"/>
    <w:rsid w:val="00C71336"/>
    <w:rsid w:val="00C772CB"/>
    <w:rsid w:val="00C77BFC"/>
    <w:rsid w:val="00C81081"/>
    <w:rsid w:val="00C83131"/>
    <w:rsid w:val="00C85AD7"/>
    <w:rsid w:val="00C85C58"/>
    <w:rsid w:val="00C85CDA"/>
    <w:rsid w:val="00C87D8D"/>
    <w:rsid w:val="00C90BB6"/>
    <w:rsid w:val="00C913A1"/>
    <w:rsid w:val="00C913BD"/>
    <w:rsid w:val="00C946B4"/>
    <w:rsid w:val="00C962E2"/>
    <w:rsid w:val="00C9647F"/>
    <w:rsid w:val="00CA5474"/>
    <w:rsid w:val="00CA6CF2"/>
    <w:rsid w:val="00CB23B5"/>
    <w:rsid w:val="00CB39B9"/>
    <w:rsid w:val="00CB546A"/>
    <w:rsid w:val="00CBC1E9"/>
    <w:rsid w:val="00CC3D8B"/>
    <w:rsid w:val="00CC6A99"/>
    <w:rsid w:val="00CD23A3"/>
    <w:rsid w:val="00CD4D4D"/>
    <w:rsid w:val="00CD66B2"/>
    <w:rsid w:val="00CD66E4"/>
    <w:rsid w:val="00CE2A30"/>
    <w:rsid w:val="00CE352A"/>
    <w:rsid w:val="00CE3EA9"/>
    <w:rsid w:val="00CE4426"/>
    <w:rsid w:val="00CE4D7B"/>
    <w:rsid w:val="00CE6AA3"/>
    <w:rsid w:val="00CF0E68"/>
    <w:rsid w:val="00CF18BE"/>
    <w:rsid w:val="00CF6364"/>
    <w:rsid w:val="00D00AA3"/>
    <w:rsid w:val="00D01030"/>
    <w:rsid w:val="00D02A8B"/>
    <w:rsid w:val="00D042C8"/>
    <w:rsid w:val="00D046A7"/>
    <w:rsid w:val="00D07F73"/>
    <w:rsid w:val="00D10F35"/>
    <w:rsid w:val="00D16436"/>
    <w:rsid w:val="00D2041C"/>
    <w:rsid w:val="00D20DB5"/>
    <w:rsid w:val="00D22243"/>
    <w:rsid w:val="00D22F86"/>
    <w:rsid w:val="00D2340B"/>
    <w:rsid w:val="00D24D40"/>
    <w:rsid w:val="00D25ADE"/>
    <w:rsid w:val="00D310DA"/>
    <w:rsid w:val="00D34FAB"/>
    <w:rsid w:val="00D405F1"/>
    <w:rsid w:val="00D40D4B"/>
    <w:rsid w:val="00D42EF7"/>
    <w:rsid w:val="00D43297"/>
    <w:rsid w:val="00D44DB6"/>
    <w:rsid w:val="00D50119"/>
    <w:rsid w:val="00D522C8"/>
    <w:rsid w:val="00D548D1"/>
    <w:rsid w:val="00D55113"/>
    <w:rsid w:val="00D62C9B"/>
    <w:rsid w:val="00D67EEC"/>
    <w:rsid w:val="00D82A43"/>
    <w:rsid w:val="00D83176"/>
    <w:rsid w:val="00D84B46"/>
    <w:rsid w:val="00D96F19"/>
    <w:rsid w:val="00D9789D"/>
    <w:rsid w:val="00DA0207"/>
    <w:rsid w:val="00DA20A0"/>
    <w:rsid w:val="00DA400F"/>
    <w:rsid w:val="00DA43B5"/>
    <w:rsid w:val="00DA5F9E"/>
    <w:rsid w:val="00DA7B5D"/>
    <w:rsid w:val="00DB185D"/>
    <w:rsid w:val="00DB2ED7"/>
    <w:rsid w:val="00DB6579"/>
    <w:rsid w:val="00DB6D3C"/>
    <w:rsid w:val="00DB6F1C"/>
    <w:rsid w:val="00DC720E"/>
    <w:rsid w:val="00DD463C"/>
    <w:rsid w:val="00DD5527"/>
    <w:rsid w:val="00DE24AE"/>
    <w:rsid w:val="00DE5583"/>
    <w:rsid w:val="00DE61D8"/>
    <w:rsid w:val="00DF437C"/>
    <w:rsid w:val="00DF4770"/>
    <w:rsid w:val="00DF58E7"/>
    <w:rsid w:val="00DF79A8"/>
    <w:rsid w:val="00E03C0E"/>
    <w:rsid w:val="00E11412"/>
    <w:rsid w:val="00E11876"/>
    <w:rsid w:val="00E205B9"/>
    <w:rsid w:val="00E23CBB"/>
    <w:rsid w:val="00E2512C"/>
    <w:rsid w:val="00E269A8"/>
    <w:rsid w:val="00E31268"/>
    <w:rsid w:val="00E37B59"/>
    <w:rsid w:val="00E407A3"/>
    <w:rsid w:val="00E52F58"/>
    <w:rsid w:val="00E54E51"/>
    <w:rsid w:val="00E622EE"/>
    <w:rsid w:val="00E74466"/>
    <w:rsid w:val="00E74ACF"/>
    <w:rsid w:val="00E922DC"/>
    <w:rsid w:val="00E92D1A"/>
    <w:rsid w:val="00E949CA"/>
    <w:rsid w:val="00EA2380"/>
    <w:rsid w:val="00EA36C6"/>
    <w:rsid w:val="00EB0044"/>
    <w:rsid w:val="00EB452F"/>
    <w:rsid w:val="00EC2AF2"/>
    <w:rsid w:val="00EC31B4"/>
    <w:rsid w:val="00ED271F"/>
    <w:rsid w:val="00ED5725"/>
    <w:rsid w:val="00ED7031"/>
    <w:rsid w:val="00EE01C1"/>
    <w:rsid w:val="00EE3060"/>
    <w:rsid w:val="00EE4315"/>
    <w:rsid w:val="00EE5425"/>
    <w:rsid w:val="00EE5A14"/>
    <w:rsid w:val="00EE66DE"/>
    <w:rsid w:val="00EF0833"/>
    <w:rsid w:val="00EF3361"/>
    <w:rsid w:val="00EF3EE8"/>
    <w:rsid w:val="00EF4D81"/>
    <w:rsid w:val="00EF4D88"/>
    <w:rsid w:val="00EF6AF4"/>
    <w:rsid w:val="00EF7C55"/>
    <w:rsid w:val="00F00BE9"/>
    <w:rsid w:val="00F02772"/>
    <w:rsid w:val="00F03D23"/>
    <w:rsid w:val="00F20095"/>
    <w:rsid w:val="00F20481"/>
    <w:rsid w:val="00F26ED3"/>
    <w:rsid w:val="00F30327"/>
    <w:rsid w:val="00F30FBF"/>
    <w:rsid w:val="00F320A5"/>
    <w:rsid w:val="00F348D1"/>
    <w:rsid w:val="00F40ADD"/>
    <w:rsid w:val="00F411FA"/>
    <w:rsid w:val="00F5335B"/>
    <w:rsid w:val="00F57281"/>
    <w:rsid w:val="00F60560"/>
    <w:rsid w:val="00F60A99"/>
    <w:rsid w:val="00F62B7A"/>
    <w:rsid w:val="00F6397D"/>
    <w:rsid w:val="00F7058D"/>
    <w:rsid w:val="00F71039"/>
    <w:rsid w:val="00F713C4"/>
    <w:rsid w:val="00F7293E"/>
    <w:rsid w:val="00F73169"/>
    <w:rsid w:val="00F734EB"/>
    <w:rsid w:val="00F74616"/>
    <w:rsid w:val="00F7515F"/>
    <w:rsid w:val="00F75710"/>
    <w:rsid w:val="00F76650"/>
    <w:rsid w:val="00F8474C"/>
    <w:rsid w:val="00F8496D"/>
    <w:rsid w:val="00F9187B"/>
    <w:rsid w:val="00F92385"/>
    <w:rsid w:val="00F93857"/>
    <w:rsid w:val="00F95BC5"/>
    <w:rsid w:val="00F95C79"/>
    <w:rsid w:val="00F973F2"/>
    <w:rsid w:val="00FA1B4F"/>
    <w:rsid w:val="00FA61BE"/>
    <w:rsid w:val="00FB1ED2"/>
    <w:rsid w:val="00FB2238"/>
    <w:rsid w:val="00FB2769"/>
    <w:rsid w:val="00FB2DE6"/>
    <w:rsid w:val="00FB2E0F"/>
    <w:rsid w:val="00FB2E9A"/>
    <w:rsid w:val="00FB3336"/>
    <w:rsid w:val="00FB3CC7"/>
    <w:rsid w:val="00FB57BF"/>
    <w:rsid w:val="00FB5828"/>
    <w:rsid w:val="00FB7FA9"/>
    <w:rsid w:val="00FC47F9"/>
    <w:rsid w:val="00FC616A"/>
    <w:rsid w:val="00FC7F69"/>
    <w:rsid w:val="00FD0C85"/>
    <w:rsid w:val="00FD51E2"/>
    <w:rsid w:val="00FD5E9D"/>
    <w:rsid w:val="00FD6DC6"/>
    <w:rsid w:val="00FE286C"/>
    <w:rsid w:val="00FE2F37"/>
    <w:rsid w:val="00FE5580"/>
    <w:rsid w:val="00FE5C46"/>
    <w:rsid w:val="00FE694A"/>
    <w:rsid w:val="00FE71B0"/>
    <w:rsid w:val="00FE79E4"/>
    <w:rsid w:val="00FF110C"/>
    <w:rsid w:val="00FF2C70"/>
    <w:rsid w:val="0105D5AB"/>
    <w:rsid w:val="026ED106"/>
    <w:rsid w:val="028830FC"/>
    <w:rsid w:val="02DDB825"/>
    <w:rsid w:val="02F61C67"/>
    <w:rsid w:val="0436ECCF"/>
    <w:rsid w:val="07658AEE"/>
    <w:rsid w:val="0B03BFC4"/>
    <w:rsid w:val="0B591D74"/>
    <w:rsid w:val="0CDE2B50"/>
    <w:rsid w:val="0CE79B57"/>
    <w:rsid w:val="0D85BD1A"/>
    <w:rsid w:val="0E836BB8"/>
    <w:rsid w:val="14EBED90"/>
    <w:rsid w:val="157BBDC0"/>
    <w:rsid w:val="18188E9A"/>
    <w:rsid w:val="18ADB54A"/>
    <w:rsid w:val="1C2478C4"/>
    <w:rsid w:val="1D63466B"/>
    <w:rsid w:val="1EE8421D"/>
    <w:rsid w:val="207840D4"/>
    <w:rsid w:val="23C00B3D"/>
    <w:rsid w:val="24B8A4D8"/>
    <w:rsid w:val="24DE189F"/>
    <w:rsid w:val="292A94B3"/>
    <w:rsid w:val="2AB6DCBF"/>
    <w:rsid w:val="2C8F528B"/>
    <w:rsid w:val="2CA5FD74"/>
    <w:rsid w:val="2F1CAD43"/>
    <w:rsid w:val="2F84D2F8"/>
    <w:rsid w:val="30ED2CC0"/>
    <w:rsid w:val="3178FF58"/>
    <w:rsid w:val="31C4D2F0"/>
    <w:rsid w:val="358608B7"/>
    <w:rsid w:val="3C895501"/>
    <w:rsid w:val="42866916"/>
    <w:rsid w:val="42EE07BA"/>
    <w:rsid w:val="435F51AB"/>
    <w:rsid w:val="4C7249E5"/>
    <w:rsid w:val="4CED0B94"/>
    <w:rsid w:val="53D8325F"/>
    <w:rsid w:val="54417433"/>
    <w:rsid w:val="5484C981"/>
    <w:rsid w:val="557C170A"/>
    <w:rsid w:val="56C91CA4"/>
    <w:rsid w:val="57E56A77"/>
    <w:rsid w:val="59813AD8"/>
    <w:rsid w:val="5A658861"/>
    <w:rsid w:val="5CB893A3"/>
    <w:rsid w:val="60593C89"/>
    <w:rsid w:val="62B3B7E2"/>
    <w:rsid w:val="664F85D5"/>
    <w:rsid w:val="679923E2"/>
    <w:rsid w:val="683CC520"/>
    <w:rsid w:val="6BDF257C"/>
    <w:rsid w:val="6F6B05A7"/>
    <w:rsid w:val="70042F5B"/>
    <w:rsid w:val="721BEA31"/>
    <w:rsid w:val="722B42A9"/>
    <w:rsid w:val="72E14386"/>
    <w:rsid w:val="75CB4486"/>
    <w:rsid w:val="778B5B95"/>
    <w:rsid w:val="780027E2"/>
    <w:rsid w:val="7B7886EF"/>
    <w:rsid w:val="7D80ED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74"/>
  <w15:chartTrackingRefBased/>
  <w15:docId w15:val="{35AE3FED-D9DB-4A2D-AA0D-70799DA5CBC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7"/>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7"/>
      </w:numPr>
      <w:outlineLvl w:val="1"/>
    </w:pPr>
  </w:style>
  <w:style w:type="paragraph" w:styleId="Heading3">
    <w:name w:val="heading 3"/>
    <w:basedOn w:val="Dummy"/>
    <w:next w:val="Standard"/>
    <w:link w:val="Heading3Char"/>
    <w:uiPriority w:val="4"/>
    <w:qFormat/>
    <w:rsid w:val="00947BC6"/>
    <w:pPr>
      <w:numPr>
        <w:ilvl w:val="2"/>
        <w:numId w:val="7"/>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7"/>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7"/>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7"/>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rsid w:val="00EE3060"/>
    <w:pPr>
      <w:tabs>
        <w:tab w:val="center" w:pos="4680"/>
        <w:tab w:val="right" w:pos="9360"/>
      </w:tabs>
      <w:spacing w:line="240" w:lineRule="auto"/>
    </w:pPr>
  </w:style>
  <w:style w:type="character" w:customStyle="1" w:styleId="FooterChar">
    <w:name w:val="Footer Char"/>
    <w:basedOn w:val="DefaultParagraphFont"/>
    <w:link w:val="Footer"/>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7"/>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customStyle="1" w:styleId="displayonly">
    <w:name w:val="display_only"/>
    <w:basedOn w:val="DefaultParagraphFont"/>
    <w:rsid w:val="00E74ACF"/>
  </w:style>
  <w:style w:type="paragraph" w:styleId="BodyText">
    <w:name w:val="Body Text"/>
    <w:basedOn w:val="Normal"/>
    <w:link w:val="BodyTextChar"/>
    <w:semiHidden/>
    <w:unhideWhenUsed/>
    <w:rsid w:val="00345A4F"/>
    <w:pPr>
      <w:tabs>
        <w:tab w:val="left" w:pos="3600"/>
      </w:tabs>
      <w:spacing w:line="240" w:lineRule="auto"/>
      <w:ind w:firstLine="0"/>
      <w:jc w:val="center"/>
    </w:pPr>
    <w:rPr>
      <w:rFonts w:ascii="Palatino" w:eastAsia="Times New Roman" w:hAnsi="Palatino" w:cs="Times New Roman"/>
      <w:szCs w:val="20"/>
    </w:rPr>
  </w:style>
  <w:style w:type="character" w:customStyle="1" w:styleId="BodyTextChar">
    <w:name w:val="Body Text Char"/>
    <w:basedOn w:val="DefaultParagraphFont"/>
    <w:link w:val="BodyText"/>
    <w:semiHidden/>
    <w:rsid w:val="00345A4F"/>
    <w:rPr>
      <w:rFonts w:ascii="Palatino" w:eastAsia="Times New Roman" w:hAnsi="Palatino" w:cs="Times New Roman"/>
      <w:sz w:val="26"/>
      <w:szCs w:val="20"/>
    </w:rPr>
  </w:style>
  <w:style w:type="paragraph" w:styleId="BodyTextIndent2">
    <w:name w:val="Body Text Indent 2"/>
    <w:basedOn w:val="Normal"/>
    <w:link w:val="BodyTextIndent2Char"/>
    <w:semiHidden/>
    <w:unhideWhenUsed/>
    <w:rsid w:val="00345A4F"/>
    <w:pPr>
      <w:tabs>
        <w:tab w:val="left" w:leader="dot" w:pos="-720"/>
        <w:tab w:val="left" w:pos="1800"/>
        <w:tab w:val="right" w:leader="dot" w:pos="9180"/>
      </w:tabs>
      <w:suppressAutoHyphens/>
      <w:spacing w:line="240" w:lineRule="auto"/>
      <w:ind w:left="1800" w:hanging="1800"/>
    </w:pPr>
    <w:rPr>
      <w:rFonts w:ascii="Palatino" w:eastAsia="Times New Roman" w:hAnsi="Palatino" w:cs="Times New Roman"/>
      <w:szCs w:val="20"/>
    </w:rPr>
  </w:style>
  <w:style w:type="character" w:customStyle="1" w:styleId="BodyTextIndent2Char">
    <w:name w:val="Body Text Indent 2 Char"/>
    <w:basedOn w:val="DefaultParagraphFont"/>
    <w:link w:val="BodyTextIndent2"/>
    <w:semiHidden/>
    <w:rsid w:val="00345A4F"/>
    <w:rPr>
      <w:rFonts w:ascii="Palatino" w:eastAsia="Times New Roman" w:hAnsi="Palatino" w:cs="Times New Roman"/>
      <w:sz w:val="26"/>
      <w:szCs w:val="20"/>
    </w:rPr>
  </w:style>
  <w:style w:type="paragraph" w:styleId="BodyTextIndent3">
    <w:name w:val="Body Text Indent 3"/>
    <w:basedOn w:val="Normal"/>
    <w:link w:val="BodyTextIndent3Char"/>
    <w:semiHidden/>
    <w:unhideWhenUsed/>
    <w:rsid w:val="00345A4F"/>
    <w:pPr>
      <w:spacing w:line="240" w:lineRule="auto"/>
      <w:ind w:left="1800" w:hanging="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semiHidden/>
    <w:rsid w:val="00345A4F"/>
    <w:rPr>
      <w:rFonts w:ascii="Palatino" w:eastAsia="Times New Roman" w:hAnsi="Palatino" w:cs="Times New Roman"/>
      <w:sz w:val="26"/>
      <w:szCs w:val="20"/>
    </w:rPr>
  </w:style>
  <w:style w:type="paragraph" w:customStyle="1" w:styleId="main0">
    <w:name w:val="main"/>
    <w:basedOn w:val="Normal"/>
    <w:rsid w:val="00345A4F"/>
    <w:pPr>
      <w:spacing w:line="240" w:lineRule="auto"/>
      <w:ind w:firstLine="0"/>
      <w:jc w:val="center"/>
    </w:pPr>
    <w:rPr>
      <w:rFonts w:ascii="Helvetica" w:eastAsia="Times New Roman" w:hAnsi="Helvetica" w:cs="Times New Roman"/>
      <w:b/>
      <w:szCs w:val="20"/>
    </w:rPr>
  </w:style>
  <w:style w:type="paragraph" w:customStyle="1" w:styleId="sub3">
    <w:name w:val="sub3"/>
    <w:basedOn w:val="Normal"/>
    <w:rsid w:val="00345A4F"/>
    <w:pPr>
      <w:ind w:firstLine="1800"/>
    </w:pPr>
    <w:rPr>
      <w:rFonts w:ascii="Palatino" w:eastAsia="Times New Roman" w:hAnsi="Palatino" w:cs="Times New Roman"/>
      <w:szCs w:val="20"/>
    </w:rPr>
  </w:style>
  <w:style w:type="paragraph" w:customStyle="1" w:styleId="standard0">
    <w:name w:val="standard"/>
    <w:basedOn w:val="Normal"/>
    <w:link w:val="standardChar"/>
    <w:rsid w:val="009F766C"/>
    <w:rPr>
      <w:rFonts w:ascii="Palatino" w:eastAsia="Times New Roman" w:hAnsi="Palatino" w:cs="Times New Roman"/>
      <w:szCs w:val="20"/>
    </w:rPr>
  </w:style>
  <w:style w:type="paragraph" w:customStyle="1" w:styleId="letter">
    <w:name w:val="letter"/>
    <w:basedOn w:val="num1"/>
    <w:autoRedefine/>
    <w:rsid w:val="006A41F3"/>
    <w:pPr>
      <w:numPr>
        <w:numId w:val="19"/>
      </w:numPr>
      <w:spacing w:after="120" w:line="240" w:lineRule="auto"/>
      <w:ind w:right="1440"/>
      <w:jc w:val="both"/>
    </w:pPr>
  </w:style>
  <w:style w:type="paragraph" w:customStyle="1" w:styleId="mainex0">
    <w:name w:val="mainex"/>
    <w:basedOn w:val="main0"/>
    <w:rsid w:val="009F766C"/>
    <w:pPr>
      <w:keepNext/>
    </w:pPr>
    <w:rPr>
      <w:spacing w:val="120"/>
    </w:rPr>
  </w:style>
  <w:style w:type="paragraph" w:customStyle="1" w:styleId="num1">
    <w:name w:val="num1"/>
    <w:basedOn w:val="Normal"/>
    <w:rsid w:val="009F766C"/>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9F766C"/>
    <w:pPr>
      <w:ind w:firstLine="270"/>
    </w:pPr>
  </w:style>
  <w:style w:type="character" w:customStyle="1" w:styleId="standardChar">
    <w:name w:val="standard Char"/>
    <w:link w:val="standard0"/>
    <w:rsid w:val="009F766C"/>
    <w:rPr>
      <w:rFonts w:ascii="Palatino" w:eastAsia="Times New Roman" w:hAnsi="Palatino" w:cs="Times New Roman"/>
      <w:sz w:val="26"/>
      <w:szCs w:val="20"/>
    </w:rPr>
  </w:style>
  <w:style w:type="paragraph" w:styleId="ListParagraph">
    <w:name w:val="List Paragraph"/>
    <w:basedOn w:val="Normal"/>
    <w:uiPriority w:val="34"/>
    <w:rsid w:val="00084C62"/>
    <w:pPr>
      <w:ind w:left="720"/>
      <w:contextualSpacing/>
    </w:pPr>
  </w:style>
  <w:style w:type="character" w:styleId="CommentReference">
    <w:name w:val="annotation reference"/>
    <w:basedOn w:val="DefaultParagraphFont"/>
    <w:uiPriority w:val="99"/>
    <w:semiHidden/>
    <w:unhideWhenUsed/>
    <w:rsid w:val="00E74466"/>
    <w:rPr>
      <w:sz w:val="16"/>
      <w:szCs w:val="16"/>
    </w:rPr>
  </w:style>
  <w:style w:type="paragraph" w:styleId="CommentText">
    <w:name w:val="annotation text"/>
    <w:basedOn w:val="Normal"/>
    <w:link w:val="CommentTextChar"/>
    <w:uiPriority w:val="99"/>
    <w:unhideWhenUsed/>
    <w:rsid w:val="00E74466"/>
    <w:pPr>
      <w:spacing w:line="240" w:lineRule="auto"/>
    </w:pPr>
    <w:rPr>
      <w:sz w:val="20"/>
      <w:szCs w:val="20"/>
    </w:rPr>
  </w:style>
  <w:style w:type="character" w:customStyle="1" w:styleId="CommentTextChar">
    <w:name w:val="Comment Text Char"/>
    <w:basedOn w:val="DefaultParagraphFont"/>
    <w:link w:val="CommentText"/>
    <w:uiPriority w:val="99"/>
    <w:rsid w:val="00E7446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74466"/>
    <w:rPr>
      <w:b/>
      <w:bCs/>
    </w:rPr>
  </w:style>
  <w:style w:type="character" w:customStyle="1" w:styleId="CommentSubjectChar">
    <w:name w:val="Comment Subject Char"/>
    <w:basedOn w:val="CommentTextChar"/>
    <w:link w:val="CommentSubject"/>
    <w:uiPriority w:val="99"/>
    <w:semiHidden/>
    <w:rsid w:val="00E74466"/>
    <w:rPr>
      <w:rFonts w:ascii="Book Antiqua" w:hAnsi="Book Antiqua"/>
      <w:b/>
      <w:bCs/>
      <w:sz w:val="20"/>
      <w:szCs w:val="20"/>
    </w:rPr>
  </w:style>
  <w:style w:type="character" w:styleId="UnresolvedMention">
    <w:name w:val="Unresolved Mention"/>
    <w:basedOn w:val="DefaultParagraphFont"/>
    <w:uiPriority w:val="99"/>
    <w:semiHidden/>
    <w:unhideWhenUsed/>
    <w:rsid w:val="009302EA"/>
    <w:rPr>
      <w:color w:val="605E5C"/>
      <w:shd w:val="clear" w:color="auto" w:fill="E1DFDD"/>
    </w:rPr>
  </w:style>
  <w:style w:type="character" w:styleId="Mention">
    <w:name w:val="Mention"/>
    <w:basedOn w:val="DefaultParagraphFont"/>
    <w:uiPriority w:val="99"/>
    <w:unhideWhenUsed/>
    <w:rsid w:val="00B6125B"/>
    <w:rPr>
      <w:color w:val="2B579A"/>
      <w:shd w:val="clear" w:color="auto" w:fill="E1DFDD"/>
    </w:rPr>
  </w:style>
  <w:style w:type="paragraph" w:styleId="Revision">
    <w:name w:val="Revision"/>
    <w:hidden/>
    <w:uiPriority w:val="99"/>
    <w:semiHidden/>
    <w:rsid w:val="007926B1"/>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281">
      <w:bodyDiv w:val="1"/>
      <w:marLeft w:val="0"/>
      <w:marRight w:val="0"/>
      <w:marTop w:val="0"/>
      <w:marBottom w:val="0"/>
      <w:divBdr>
        <w:top w:val="none" w:sz="0" w:space="0" w:color="auto"/>
        <w:left w:val="none" w:sz="0" w:space="0" w:color="auto"/>
        <w:bottom w:val="none" w:sz="0" w:space="0" w:color="auto"/>
        <w:right w:val="none" w:sz="0" w:space="0" w:color="auto"/>
      </w:divBdr>
    </w:div>
    <w:div w:id="115567023">
      <w:bodyDiv w:val="1"/>
      <w:marLeft w:val="0"/>
      <w:marRight w:val="0"/>
      <w:marTop w:val="0"/>
      <w:marBottom w:val="0"/>
      <w:divBdr>
        <w:top w:val="none" w:sz="0" w:space="0" w:color="auto"/>
        <w:left w:val="none" w:sz="0" w:space="0" w:color="auto"/>
        <w:bottom w:val="none" w:sz="0" w:space="0" w:color="auto"/>
        <w:right w:val="none" w:sz="0" w:space="0" w:color="auto"/>
      </w:divBdr>
    </w:div>
    <w:div w:id="401833250">
      <w:bodyDiv w:val="1"/>
      <w:marLeft w:val="0"/>
      <w:marRight w:val="0"/>
      <w:marTop w:val="0"/>
      <w:marBottom w:val="0"/>
      <w:divBdr>
        <w:top w:val="none" w:sz="0" w:space="0" w:color="auto"/>
        <w:left w:val="none" w:sz="0" w:space="0" w:color="auto"/>
        <w:bottom w:val="none" w:sz="0" w:space="0" w:color="auto"/>
        <w:right w:val="none" w:sz="0" w:space="0" w:color="auto"/>
      </w:divBdr>
    </w:div>
    <w:div w:id="443502953">
      <w:bodyDiv w:val="1"/>
      <w:marLeft w:val="0"/>
      <w:marRight w:val="0"/>
      <w:marTop w:val="0"/>
      <w:marBottom w:val="0"/>
      <w:divBdr>
        <w:top w:val="none" w:sz="0" w:space="0" w:color="auto"/>
        <w:left w:val="none" w:sz="0" w:space="0" w:color="auto"/>
        <w:bottom w:val="none" w:sz="0" w:space="0" w:color="auto"/>
        <w:right w:val="none" w:sz="0" w:space="0" w:color="auto"/>
      </w:divBdr>
    </w:div>
    <w:div w:id="580214395">
      <w:bodyDiv w:val="1"/>
      <w:marLeft w:val="0"/>
      <w:marRight w:val="0"/>
      <w:marTop w:val="0"/>
      <w:marBottom w:val="0"/>
      <w:divBdr>
        <w:top w:val="none" w:sz="0" w:space="0" w:color="auto"/>
        <w:left w:val="none" w:sz="0" w:space="0" w:color="auto"/>
        <w:bottom w:val="none" w:sz="0" w:space="0" w:color="auto"/>
        <w:right w:val="none" w:sz="0" w:space="0" w:color="auto"/>
      </w:divBdr>
    </w:div>
    <w:div w:id="597064099">
      <w:bodyDiv w:val="1"/>
      <w:marLeft w:val="0"/>
      <w:marRight w:val="0"/>
      <w:marTop w:val="0"/>
      <w:marBottom w:val="0"/>
      <w:divBdr>
        <w:top w:val="none" w:sz="0" w:space="0" w:color="auto"/>
        <w:left w:val="none" w:sz="0" w:space="0" w:color="auto"/>
        <w:bottom w:val="none" w:sz="0" w:space="0" w:color="auto"/>
        <w:right w:val="none" w:sz="0" w:space="0" w:color="auto"/>
      </w:divBdr>
    </w:div>
    <w:div w:id="705565663">
      <w:bodyDiv w:val="1"/>
      <w:marLeft w:val="0"/>
      <w:marRight w:val="0"/>
      <w:marTop w:val="0"/>
      <w:marBottom w:val="0"/>
      <w:divBdr>
        <w:top w:val="none" w:sz="0" w:space="0" w:color="auto"/>
        <w:left w:val="none" w:sz="0" w:space="0" w:color="auto"/>
        <w:bottom w:val="none" w:sz="0" w:space="0" w:color="auto"/>
        <w:right w:val="none" w:sz="0" w:space="0" w:color="auto"/>
      </w:divBdr>
    </w:div>
    <w:div w:id="742095823">
      <w:bodyDiv w:val="1"/>
      <w:marLeft w:val="0"/>
      <w:marRight w:val="0"/>
      <w:marTop w:val="0"/>
      <w:marBottom w:val="0"/>
      <w:divBdr>
        <w:top w:val="none" w:sz="0" w:space="0" w:color="auto"/>
        <w:left w:val="none" w:sz="0" w:space="0" w:color="auto"/>
        <w:bottom w:val="none" w:sz="0" w:space="0" w:color="auto"/>
        <w:right w:val="none" w:sz="0" w:space="0" w:color="auto"/>
      </w:divBdr>
    </w:div>
    <w:div w:id="922841238">
      <w:bodyDiv w:val="1"/>
      <w:marLeft w:val="0"/>
      <w:marRight w:val="0"/>
      <w:marTop w:val="0"/>
      <w:marBottom w:val="0"/>
      <w:divBdr>
        <w:top w:val="none" w:sz="0" w:space="0" w:color="auto"/>
        <w:left w:val="none" w:sz="0" w:space="0" w:color="auto"/>
        <w:bottom w:val="none" w:sz="0" w:space="0" w:color="auto"/>
        <w:right w:val="none" w:sz="0" w:space="0" w:color="auto"/>
      </w:divBdr>
    </w:div>
    <w:div w:id="1209998297">
      <w:bodyDiv w:val="1"/>
      <w:marLeft w:val="0"/>
      <w:marRight w:val="0"/>
      <w:marTop w:val="0"/>
      <w:marBottom w:val="0"/>
      <w:divBdr>
        <w:top w:val="none" w:sz="0" w:space="0" w:color="auto"/>
        <w:left w:val="none" w:sz="0" w:space="0" w:color="auto"/>
        <w:bottom w:val="none" w:sz="0" w:space="0" w:color="auto"/>
        <w:right w:val="none" w:sz="0" w:space="0" w:color="auto"/>
      </w:divBdr>
    </w:div>
    <w:div w:id="1258296758">
      <w:bodyDiv w:val="1"/>
      <w:marLeft w:val="0"/>
      <w:marRight w:val="0"/>
      <w:marTop w:val="0"/>
      <w:marBottom w:val="0"/>
      <w:divBdr>
        <w:top w:val="none" w:sz="0" w:space="0" w:color="auto"/>
        <w:left w:val="none" w:sz="0" w:space="0" w:color="auto"/>
        <w:bottom w:val="none" w:sz="0" w:space="0" w:color="auto"/>
        <w:right w:val="none" w:sz="0" w:space="0" w:color="auto"/>
      </w:divBdr>
    </w:div>
    <w:div w:id="1339651367">
      <w:bodyDiv w:val="1"/>
      <w:marLeft w:val="0"/>
      <w:marRight w:val="0"/>
      <w:marTop w:val="0"/>
      <w:marBottom w:val="0"/>
      <w:divBdr>
        <w:top w:val="none" w:sz="0" w:space="0" w:color="auto"/>
        <w:left w:val="none" w:sz="0" w:space="0" w:color="auto"/>
        <w:bottom w:val="none" w:sz="0" w:space="0" w:color="auto"/>
        <w:right w:val="none" w:sz="0" w:space="0" w:color="auto"/>
      </w:divBdr>
    </w:div>
    <w:div w:id="1668441779">
      <w:bodyDiv w:val="1"/>
      <w:marLeft w:val="0"/>
      <w:marRight w:val="0"/>
      <w:marTop w:val="0"/>
      <w:marBottom w:val="0"/>
      <w:divBdr>
        <w:top w:val="none" w:sz="0" w:space="0" w:color="auto"/>
        <w:left w:val="none" w:sz="0" w:space="0" w:color="auto"/>
        <w:bottom w:val="none" w:sz="0" w:space="0" w:color="auto"/>
        <w:right w:val="none" w:sz="0" w:space="0" w:color="auto"/>
      </w:divBdr>
    </w:div>
    <w:div w:id="1714891142">
      <w:bodyDiv w:val="1"/>
      <w:marLeft w:val="0"/>
      <w:marRight w:val="0"/>
      <w:marTop w:val="0"/>
      <w:marBottom w:val="0"/>
      <w:divBdr>
        <w:top w:val="none" w:sz="0" w:space="0" w:color="auto"/>
        <w:left w:val="none" w:sz="0" w:space="0" w:color="auto"/>
        <w:bottom w:val="none" w:sz="0" w:space="0" w:color="auto"/>
        <w:right w:val="none" w:sz="0" w:space="0" w:color="auto"/>
      </w:divBdr>
    </w:div>
    <w:div w:id="1940867101">
      <w:bodyDiv w:val="1"/>
      <w:marLeft w:val="0"/>
      <w:marRight w:val="0"/>
      <w:marTop w:val="0"/>
      <w:marBottom w:val="0"/>
      <w:divBdr>
        <w:top w:val="none" w:sz="0" w:space="0" w:color="auto"/>
        <w:left w:val="none" w:sz="0" w:space="0" w:color="auto"/>
        <w:bottom w:val="none" w:sz="0" w:space="0" w:color="auto"/>
        <w:right w:val="none" w:sz="0" w:space="0" w:color="auto"/>
      </w:divBdr>
    </w:div>
    <w:div w:id="2029288861">
      <w:bodyDiv w:val="1"/>
      <w:marLeft w:val="0"/>
      <w:marRight w:val="0"/>
      <w:marTop w:val="0"/>
      <w:marBottom w:val="0"/>
      <w:divBdr>
        <w:top w:val="none" w:sz="0" w:space="0" w:color="auto"/>
        <w:left w:val="none" w:sz="0" w:space="0" w:color="auto"/>
        <w:bottom w:val="none" w:sz="0" w:space="0" w:color="auto"/>
        <w:right w:val="none" w:sz="0" w:space="0" w:color="auto"/>
      </w:divBdr>
    </w:div>
    <w:div w:id="21259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09C434FBBAC4F8C37DF4DCD320610" ma:contentTypeVersion="15" ma:contentTypeDescription="Create a new document." ma:contentTypeScope="" ma:versionID="0dd9b3067618e100c57617162d5f3887">
  <xsd:schema xmlns:xsd="http://www.w3.org/2001/XMLSchema" xmlns:xs="http://www.w3.org/2001/XMLSchema" xmlns:p="http://schemas.microsoft.com/office/2006/metadata/properties" xmlns:ns2="a4fe7543-e181-40d3-b41b-14d41fa9c928" xmlns:ns3="bccd4ca1-c18d-4f70-b13d-b2873d08d0ad" targetNamespace="http://schemas.microsoft.com/office/2006/metadata/properties" ma:root="true" ma:fieldsID="534c81439689781a3684f3ae4567c1ec" ns2:_="" ns3:_="">
    <xsd:import namespace="a4fe7543-e181-40d3-b41b-14d41fa9c928"/>
    <xsd:import namespace="bccd4ca1-c18d-4f70-b13d-b2873d08d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7543-e181-40d3-b41b-14d41fa9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d4ca1-c18d-4f70-b13d-b2873d08d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51ffd9-8726-40dc-802d-618b90a15b2c}" ma:internalName="TaxCatchAll" ma:showField="CatchAllData" ma:web="bccd4ca1-c18d-4f70-b13d-b2873d08d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ccd4ca1-c18d-4f70-b13d-b2873d08d0ad">
      <UserInfo>
        <DisplayName>Genesis, Etchissa</DisplayName>
        <AccountId>221</AccountId>
        <AccountType/>
      </UserInfo>
    </SharedWithUsers>
    <lcf76f155ced4ddcb4097134ff3c332f xmlns="a4fe7543-e181-40d3-b41b-14d41fa9c928">
      <Terms xmlns="http://schemas.microsoft.com/office/infopath/2007/PartnerControls"/>
    </lcf76f155ced4ddcb4097134ff3c332f>
    <TaxCatchAll xmlns="bccd4ca1-c18d-4f70-b13d-b2873d08d0ad" xsi:nil="true"/>
  </documentManagement>
</p:properties>
</file>

<file path=customXml/itemProps1.xml><?xml version="1.0" encoding="utf-8"?>
<ds:datastoreItem xmlns:ds="http://schemas.openxmlformats.org/officeDocument/2006/customXml" ds:itemID="{373CCA25-BED7-4692-8EAB-A0C604D10601}">
  <ds:schemaRefs>
    <ds:schemaRef ds:uri="http://schemas.microsoft.com/sharepoint/v3/contenttype/forms"/>
  </ds:schemaRefs>
</ds:datastoreItem>
</file>

<file path=customXml/itemProps2.xml><?xml version="1.0" encoding="utf-8"?>
<ds:datastoreItem xmlns:ds="http://schemas.openxmlformats.org/officeDocument/2006/customXml" ds:itemID="{D60D8AC0-C148-4E21-B182-EB409292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7543-e181-40d3-b41b-14d41fa9c928"/>
    <ds:schemaRef ds:uri="bccd4ca1-c18d-4f70-b13d-b2873d08d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4.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bccd4ca1-c18d-4f70-b13d-b2873d08d0ad"/>
    <ds:schemaRef ds:uri="a4fe7543-e181-40d3-b41b-14d41fa9c9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2231</ap:Words>
  <ap:Characters>12723</ap:Characters>
  <ap:Application>Microsoft Office Word</ap:Application>
  <ap:DocSecurity>0</ap:DocSecurity>
  <ap:Lines>106</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14925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2026-04-29T15:09:58Z</dcterms:created>
  <dcterms:modified xsi:type="dcterms:W3CDTF">2026-04-29T15:09:58Z</dcterms:modified>
</cp:coreProperties>
</file>