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CC7E48" w:rsidP="00443D9D" w:rsidRDefault="001114CD" w14:paraId="7D3DC9B3" w14:textId="7C99550C">
      <w:pPr>
        <w:tabs>
          <w:tab w:val="center" w:pos="4230"/>
          <w:tab w:val="right" w:pos="9360"/>
        </w:tabs>
        <w:spacing w:line="240" w:lineRule="auto"/>
        <w:ind w:firstLine="0"/>
        <w:rPr>
          <w:b/>
        </w:rPr>
      </w:pPr>
      <w:r>
        <w:t>COM/KDL</w:t>
      </w:r>
      <w:r w:rsidR="0076688B">
        <w:t>/</w:t>
      </w:r>
      <w:proofErr w:type="spellStart"/>
      <w:r w:rsidR="0076688B">
        <w:t>hma</w:t>
      </w:r>
      <w:proofErr w:type="spellEnd"/>
      <w:r w:rsidR="00443D9D">
        <w:t>/</w:t>
      </w:r>
      <w:proofErr w:type="spellStart"/>
      <w:r w:rsidR="00443D9D">
        <w:t>sgu</w:t>
      </w:r>
      <w:proofErr w:type="spellEnd"/>
      <w:r w:rsidR="007E0FEE">
        <w:tab/>
      </w:r>
      <w:r w:rsidR="00443D9D">
        <w:rPr>
          <w:rFonts w:ascii="Arial" w:hAnsi="Arial" w:cs="Arial"/>
          <w:b/>
          <w:sz w:val="28"/>
          <w:szCs w:val="28"/>
        </w:rPr>
        <w:tab/>
      </w:r>
      <w:r w:rsidR="00443D9D">
        <w:rPr>
          <w:b/>
        </w:rPr>
        <w:t>Date of Issuance 5/1/2026</w:t>
      </w:r>
    </w:p>
    <w:p w:rsidR="00443D9D" w:rsidP="008F0116" w:rsidRDefault="00443D9D" w14:paraId="4A24AE32" w14:textId="77777777">
      <w:pPr>
        <w:ind w:firstLine="0"/>
      </w:pPr>
    </w:p>
    <w:p w:rsidRPr="00EE3060" w:rsidR="00DA7B5D" w:rsidP="00443D9D" w:rsidRDefault="00DA7B5D" w14:paraId="495FFBF2" w14:textId="284632FF">
      <w:pPr>
        <w:ind w:left="1080" w:hanging="1080"/>
      </w:pPr>
      <w:r>
        <w:t xml:space="preserve">Decision </w:t>
      </w:r>
      <w:r w:rsidRPr="00443D9D" w:rsidR="00443D9D">
        <w:t>26-04-032 April 30, 2026</w:t>
      </w:r>
    </w:p>
    <w:p w:rsidR="00DA7B5D" w:rsidP="00BB0243" w:rsidRDefault="00DA7B5D" w14:paraId="025142F1" w14:textId="77777777">
      <w:pPr>
        <w:spacing w:line="240" w:lineRule="auto"/>
        <w:jc w:val="center"/>
        <w:rPr>
          <w:u w:val="single"/>
        </w:rPr>
      </w:pPr>
    </w:p>
    <w:p w:rsidR="00DA7B5D" w:rsidP="00BB0243" w:rsidRDefault="00DA7B5D" w14:paraId="0281CAB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84B1DB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C69383E"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F44250" w14:paraId="6A59B437" w14:textId="6E91CE12">
            <w:pPr>
              <w:spacing w:line="240" w:lineRule="auto"/>
              <w:ind w:firstLine="0"/>
              <w:rPr>
                <w:rFonts w:cs="Arial"/>
                <w:szCs w:val="26"/>
              </w:rPr>
            </w:pPr>
            <w:r>
              <w:rPr>
                <w:rFonts w:cs="Arial"/>
                <w:szCs w:val="26"/>
              </w:rPr>
              <w:t>Order Instituting Rulemaking Regarding Policies, Procedures and Rules for the California Solar Initiative, the Self Generation Incentive Program and Other Distributed Generation Issues.</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F44250" w14:paraId="0E638EC8" w14:textId="77777777">
            <w:pPr>
              <w:spacing w:line="240" w:lineRule="auto"/>
              <w:ind w:firstLine="0"/>
              <w:jc w:val="center"/>
              <w:rPr>
                <w:rFonts w:cs="Arial"/>
                <w:szCs w:val="26"/>
              </w:rPr>
            </w:pPr>
            <w:r>
              <w:rPr>
                <w:rFonts w:cs="Arial"/>
                <w:szCs w:val="26"/>
              </w:rPr>
              <w:t>Rulemaking 12-11-005</w:t>
            </w:r>
          </w:p>
        </w:tc>
      </w:tr>
    </w:tbl>
    <w:p w:rsidR="00DA7B5D" w:rsidP="008F0116" w:rsidRDefault="00DA7B5D" w14:paraId="0B9F7519" w14:textId="77777777">
      <w:pPr>
        <w:spacing w:line="240" w:lineRule="auto"/>
        <w:ind w:firstLine="0"/>
        <w:rPr>
          <w:rFonts w:ascii="Arial" w:hAnsi="Arial" w:cs="Arial"/>
          <w:sz w:val="24"/>
          <w:szCs w:val="24"/>
        </w:rPr>
      </w:pPr>
    </w:p>
    <w:p w:rsidR="00DA7B5D" w:rsidP="008F0116" w:rsidRDefault="00DA7B5D" w14:paraId="7F5BFA00" w14:textId="77777777">
      <w:pPr>
        <w:spacing w:line="240" w:lineRule="auto"/>
        <w:ind w:firstLine="0"/>
        <w:rPr>
          <w:rFonts w:ascii="Arial" w:hAnsi="Arial" w:cs="Arial"/>
          <w:sz w:val="24"/>
          <w:szCs w:val="24"/>
        </w:rPr>
      </w:pPr>
    </w:p>
    <w:p w:rsidRPr="00AC41DE" w:rsidR="00AC41DE" w:rsidP="00AC41DE" w:rsidRDefault="00F44250" w14:paraId="3F7A090E" w14:textId="6C218276">
      <w:pPr>
        <w:pStyle w:val="Dummy"/>
        <w:spacing w:after="240"/>
        <w:jc w:val="center"/>
        <w:rPr>
          <w:rFonts w:eastAsiaTheme="majorEastAsia" w:cstheme="majorBidi"/>
          <w:caps/>
          <w:szCs w:val="56"/>
        </w:rPr>
      </w:pPr>
      <w:bookmarkStart w:name="_Toc219883619" w:id="0"/>
      <w:r>
        <w:t xml:space="preserve">DECISION </w:t>
      </w:r>
      <w:r w:rsidR="00744BFB">
        <w:t xml:space="preserve">DISMISSING </w:t>
      </w:r>
      <w:r>
        <w:t xml:space="preserve">JOINT PETITION FOR MODIFICATION OF </w:t>
      </w:r>
      <w:r w:rsidR="00DF326B">
        <w:t xml:space="preserve">      </w:t>
      </w:r>
      <w:r>
        <w:t xml:space="preserve">DECISION 15-06-002 </w:t>
      </w:r>
      <w:bookmarkEnd w:id="0"/>
      <w:r w:rsidR="00744BFB">
        <w:t>AS MOOT</w:t>
      </w:r>
    </w:p>
    <w:p w:rsidR="005A148C" w:rsidP="005A148C" w:rsidRDefault="005A148C" w14:paraId="0F4A506B" w14:textId="77777777">
      <w:pPr>
        <w:pStyle w:val="Dummy"/>
      </w:pPr>
      <w:bookmarkStart w:name="_Toc8123714" w:id="1"/>
      <w:bookmarkStart w:name="_Toc219883620" w:id="2"/>
      <w:r>
        <w:t>Summary</w:t>
      </w:r>
      <w:bookmarkEnd w:id="1"/>
      <w:bookmarkEnd w:id="2"/>
    </w:p>
    <w:p w:rsidR="00D84D15" w:rsidP="006E6574" w:rsidRDefault="00D84D15" w14:paraId="30FBBF76" w14:textId="15486FCA">
      <w:pPr>
        <w:pStyle w:val="Standard"/>
      </w:pPr>
      <w:r>
        <w:t xml:space="preserve">This decision </w:t>
      </w:r>
      <w:r w:rsidR="00744BFB">
        <w:t>dismisses</w:t>
      </w:r>
      <w:r>
        <w:t xml:space="preserve"> the Joint Petition for Modification (Petition) of Decision (D.) 15-06-002 filed by </w:t>
      </w:r>
      <w:r w:rsidR="00A01CD9">
        <w:t>t</w:t>
      </w:r>
      <w:r>
        <w:t xml:space="preserve">he Southern California Tribal Chairmen’s Association (SCTCA) and Local Government Sustainable Energy Coalition (LGSEC). The </w:t>
      </w:r>
      <w:r w:rsidR="00951903">
        <w:t>P</w:t>
      </w:r>
      <w:r>
        <w:t xml:space="preserve">etition seeks to provide four </w:t>
      </w:r>
      <w:r w:rsidR="00126EA2">
        <w:t>additional</w:t>
      </w:r>
      <w:r>
        <w:t xml:space="preserve"> six-month extensions beyond the three presently authorized. The relief being sought in the Petition </w:t>
      </w:r>
      <w:r w:rsidR="009079D3">
        <w:t>was</w:t>
      </w:r>
      <w:r>
        <w:t xml:space="preserve"> granted in D</w:t>
      </w:r>
      <w:r w:rsidR="009079D3">
        <w:t>.</w:t>
      </w:r>
      <w:r>
        <w:t xml:space="preserve">25-12-003, </w:t>
      </w:r>
      <w:r w:rsidR="00A01CD9">
        <w:t xml:space="preserve">which was </w:t>
      </w:r>
      <w:r>
        <w:t>adopted by the Commission on December 4, 2025, making the Petition moot.</w:t>
      </w:r>
    </w:p>
    <w:p w:rsidR="00D84D15" w:rsidP="006E6574" w:rsidRDefault="00D84D15" w14:paraId="44ECDA3F" w14:textId="77777777">
      <w:pPr>
        <w:pStyle w:val="Standard"/>
      </w:pPr>
      <w:r>
        <w:t>This proceeding is closed.</w:t>
      </w:r>
    </w:p>
    <w:p w:rsidRPr="00121089" w:rsidR="005A148C" w:rsidP="00A55ACD" w:rsidRDefault="002C7FE9" w14:paraId="4D7D8E8F" w14:textId="77777777">
      <w:pPr>
        <w:pStyle w:val="Heading1"/>
        <w:numPr>
          <w:ilvl w:val="0"/>
          <w:numId w:val="1"/>
        </w:numPr>
      </w:pPr>
      <w:bookmarkStart w:name="_Toc8123715" w:id="3"/>
      <w:bookmarkStart w:name="_Toc219883621" w:id="4"/>
      <w:r w:rsidRPr="00121089">
        <w:t>Background</w:t>
      </w:r>
      <w:bookmarkEnd w:id="3"/>
      <w:bookmarkEnd w:id="4"/>
    </w:p>
    <w:p w:rsidR="00175EB2" w:rsidP="006E6574" w:rsidRDefault="00175EB2" w14:paraId="64D2DE76" w14:textId="4091D91D">
      <w:pPr>
        <w:pStyle w:val="Standard"/>
      </w:pPr>
      <w:r w:rsidRPr="00650B99">
        <w:t>The Commission adopted Decision</w:t>
      </w:r>
      <w:r w:rsidR="00213C1C">
        <w:t xml:space="preserve"> (D.) </w:t>
      </w:r>
      <w:r w:rsidRPr="00650B99">
        <w:t xml:space="preserve">15-06-002 in Rulemaking 12-11-005 on </w:t>
      </w:r>
      <w:r w:rsidRPr="00650B99" w:rsidR="00650B99">
        <w:t xml:space="preserve">June 11, 2015. </w:t>
      </w:r>
      <w:r w:rsidRPr="00650B99">
        <w:t xml:space="preserve">The </w:t>
      </w:r>
      <w:r w:rsidR="00A01CD9">
        <w:t>d</w:t>
      </w:r>
      <w:r w:rsidRPr="00650B99">
        <w:t>ecision</w:t>
      </w:r>
      <w:r w:rsidR="00650B99">
        <w:t>,</w:t>
      </w:r>
      <w:r w:rsidRPr="00650B99">
        <w:t xml:space="preserve"> among other matters</w:t>
      </w:r>
      <w:r w:rsidR="00650B99">
        <w:t>,</w:t>
      </w:r>
      <w:r w:rsidRPr="00650B99">
        <w:t xml:space="preserve"> established that</w:t>
      </w:r>
      <w:r w:rsidRPr="00650B99" w:rsidR="00650B99">
        <w:t xml:space="preserve"> Self-Generation</w:t>
      </w:r>
      <w:r w:rsidR="00650B99">
        <w:t xml:space="preserve"> Incentive Program (SGIP) administrators could </w:t>
      </w:r>
      <w:r w:rsidR="00951903">
        <w:t>authorize three,</w:t>
      </w:r>
      <w:r w:rsidR="00650B99">
        <w:t xml:space="preserve"> six-month extensions at commercial or government host customer sites, after the </w:t>
      </w:r>
      <w:r w:rsidR="00650B99">
        <w:lastRenderedPageBreak/>
        <w:t>submission of an incentive claim form and receipt of a conditional reservation letter.</w:t>
      </w:r>
      <w:r w:rsidR="009C363C">
        <w:rPr>
          <w:rStyle w:val="FootnoteReference"/>
        </w:rPr>
        <w:footnoteReference w:id="2"/>
      </w:r>
      <w:r w:rsidR="00650B99">
        <w:t xml:space="preserve"> This benefit was also made available at all host customer sites</w:t>
      </w:r>
      <w:r w:rsidR="00A01CD9">
        <w:t>,</w:t>
      </w:r>
      <w:r w:rsidR="00650B99">
        <w:t xml:space="preserve"> including residential SGIP projects. </w:t>
      </w:r>
    </w:p>
    <w:p w:rsidR="00213C1C" w:rsidP="006E6574" w:rsidRDefault="00213C1C" w14:paraId="5EAD70F8" w14:textId="5D3ACC30">
      <w:pPr>
        <w:pStyle w:val="Standard"/>
      </w:pPr>
      <w:r>
        <w:t xml:space="preserve">On April 8, 2025, </w:t>
      </w:r>
      <w:r w:rsidR="00A01CD9">
        <w:t>t</w:t>
      </w:r>
      <w:r>
        <w:t>he Southern California Tribal Chairmen’s Association (SCTCA) and Local Government Sustainable Energy Coalition (LGSEC), filed a Petition for Modification of D.</w:t>
      </w:r>
      <w:r w:rsidRPr="00650B99">
        <w:t>15-06-002</w:t>
      </w:r>
      <w:r>
        <w:t xml:space="preserve"> </w:t>
      </w:r>
      <w:r w:rsidR="00A01CD9">
        <w:t xml:space="preserve">(Petition) </w:t>
      </w:r>
      <w:r>
        <w:t>requesting four</w:t>
      </w:r>
      <w:r w:rsidR="004056DB">
        <w:t>,</w:t>
      </w:r>
      <w:r>
        <w:t xml:space="preserve"> six-month extensions</w:t>
      </w:r>
      <w:r w:rsidR="004056DB">
        <w:t>, instead of three</w:t>
      </w:r>
      <w:r>
        <w:t>.</w:t>
      </w:r>
      <w:r w:rsidR="00F778B3">
        <w:t xml:space="preserve"> </w:t>
      </w:r>
    </w:p>
    <w:p w:rsidR="00E31100" w:rsidP="006E6574" w:rsidRDefault="002A6D96" w14:paraId="0EC82AFC" w14:textId="2DC001D3">
      <w:pPr>
        <w:pStyle w:val="Standard"/>
      </w:pPr>
      <w:r>
        <w:t>In their Petition</w:t>
      </w:r>
      <w:r w:rsidR="00A01CD9">
        <w:t>,</w:t>
      </w:r>
      <w:r>
        <w:t xml:space="preserve"> SCTCA and LGSEC argue that</w:t>
      </w:r>
      <w:r w:rsidR="005456F5">
        <w:t>,</w:t>
      </w:r>
      <w:r>
        <w:t xml:space="preserve"> </w:t>
      </w:r>
      <w:r w:rsidR="005456F5">
        <w:t>“</w:t>
      </w:r>
      <w:r w:rsidRPr="005456F5" w:rsidR="005456F5">
        <w:t>due to a cascading set of circumstances outside of SGIP Applicants’ control, which have acted to delay or stall project progress, including supply chain</w:t>
      </w:r>
      <w:r w:rsidR="00F21BE6">
        <w:t xml:space="preserve"> </w:t>
      </w:r>
      <w:r w:rsidRPr="00F21BE6" w:rsidR="00F21BE6">
        <w:t>challenges, some of which are caused by the lingering impacts of the COVID-19 pandemic; financial market and funding uncertainties; and interconnection issues, which have in part been catalyzed by state electrification policies of the kind the SGIP program is intended to support.</w:t>
      </w:r>
      <w:r w:rsidR="00285184">
        <w:t>”</w:t>
      </w:r>
      <w:r w:rsidR="00285184">
        <w:rPr>
          <w:rStyle w:val="FootnoteReference"/>
        </w:rPr>
        <w:footnoteReference w:id="3"/>
      </w:r>
      <w:r w:rsidR="000F6A40">
        <w:t xml:space="preserve"> </w:t>
      </w:r>
      <w:r w:rsidR="005757B3">
        <w:t xml:space="preserve">The Petition identified that </w:t>
      </w:r>
      <w:r w:rsidRPr="00E532E6" w:rsidR="00E532E6">
        <w:t>difficulties meeting SGIP timeline requirements are ubiquitous among Equity and Equity Resilience projects</w:t>
      </w:r>
      <w:r w:rsidR="007C0CCB">
        <w:t>.</w:t>
      </w:r>
      <w:r w:rsidR="007C0CCB">
        <w:rPr>
          <w:rStyle w:val="FootnoteReference"/>
        </w:rPr>
        <w:footnoteReference w:id="4"/>
      </w:r>
      <w:r w:rsidR="00DB1738">
        <w:t xml:space="preserve"> According to the Petition</w:t>
      </w:r>
      <w:r w:rsidR="00A01CD9">
        <w:t>,</w:t>
      </w:r>
      <w:r w:rsidR="00B46FAC">
        <w:t xml:space="preserve"> </w:t>
      </w:r>
      <w:r w:rsidRPr="00B46FAC" w:rsidR="00B46FAC">
        <w:t>approximately 21</w:t>
      </w:r>
      <w:r w:rsidR="00CF58DE">
        <w:t xml:space="preserve"> percent</w:t>
      </w:r>
      <w:r w:rsidRPr="00B46FAC" w:rsidR="00B46FAC">
        <w:t xml:space="preserve"> of all SGIP Equity and Equity Resilience rebate reservations that were secured between 2020 and 2022 are still active</w:t>
      </w:r>
      <w:r w:rsidR="00203FA3">
        <w:t>.</w:t>
      </w:r>
      <w:r w:rsidRPr="00B46FAC" w:rsidR="00B46FAC">
        <w:t xml:space="preserve"> </w:t>
      </w:r>
      <w:r w:rsidR="00203FA3">
        <w:t xml:space="preserve">However, these reservations </w:t>
      </w:r>
      <w:r w:rsidRPr="00B46FAC" w:rsidR="00B46FAC">
        <w:t>have a high likelihood of being at-risk</w:t>
      </w:r>
      <w:r w:rsidR="00B46FAC">
        <w:t xml:space="preserve"> </w:t>
      </w:r>
      <w:r w:rsidRPr="00B46FAC" w:rsidR="00B46FAC">
        <w:t>due to timeline issues, with 49</w:t>
      </w:r>
      <w:r w:rsidR="0009328E">
        <w:t xml:space="preserve"> percent</w:t>
      </w:r>
      <w:r w:rsidRPr="00B46FAC" w:rsidR="00B46FAC">
        <w:t xml:space="preserve"> of the total reservations made within this timeframe cancelled and 30</w:t>
      </w:r>
      <w:r w:rsidR="0009328E">
        <w:t xml:space="preserve"> percent</w:t>
      </w:r>
      <w:r w:rsidRPr="00B46FAC" w:rsidR="00B46FAC">
        <w:t xml:space="preserve"> completed.</w:t>
      </w:r>
      <w:r w:rsidR="006305AA">
        <w:rPr>
          <w:rStyle w:val="FootnoteReference"/>
        </w:rPr>
        <w:footnoteReference w:id="5"/>
      </w:r>
    </w:p>
    <w:p w:rsidR="00B113D9" w:rsidP="006E6574" w:rsidRDefault="00203FA3" w14:paraId="64B426EE" w14:textId="1E644BDD">
      <w:pPr>
        <w:pStyle w:val="Standard"/>
      </w:pPr>
      <w:r>
        <w:lastRenderedPageBreak/>
        <w:t>T</w:t>
      </w:r>
      <w:r w:rsidR="0005479A">
        <w:t xml:space="preserve">he Petition </w:t>
      </w:r>
      <w:r>
        <w:t>also included</w:t>
      </w:r>
      <w:r w:rsidR="0005479A">
        <w:t xml:space="preserve"> a request to </w:t>
      </w:r>
      <w:r w:rsidRPr="0097719D" w:rsidR="0097719D">
        <w:t>stay cancellation of non-residential projects past existing deadlines to provide relief to customers affected by circumstances outside their control.</w:t>
      </w:r>
      <w:r w:rsidR="00DF36FF">
        <w:rPr>
          <w:rStyle w:val="FootnoteReference"/>
        </w:rPr>
        <w:footnoteReference w:id="6"/>
      </w:r>
    </w:p>
    <w:p w:rsidR="00213C1C" w:rsidP="006E6574" w:rsidRDefault="00203FA3" w14:paraId="51A11F9F" w14:textId="1DB98A5B">
      <w:pPr>
        <w:pStyle w:val="Standard"/>
      </w:pPr>
      <w:r>
        <w:t>On May 8, 2025, the California Solar &amp; Storage Association (CALSSA)</w:t>
      </w:r>
      <w:r w:rsidR="004056DB">
        <w:t>,</w:t>
      </w:r>
      <w:r>
        <w:t xml:space="preserve"> </w:t>
      </w:r>
      <w:r w:rsidR="004056DB">
        <w:t>th</w:t>
      </w:r>
      <w:r>
        <w:t>e Center for Sustainable Energy (CSE)</w:t>
      </w:r>
      <w:r w:rsidR="004056DB">
        <w:t>, and the California Energy Storage Alliance (CESA)</w:t>
      </w:r>
      <w:r>
        <w:t xml:space="preserve"> filed responses to the Petition.  </w:t>
      </w:r>
      <w:r w:rsidR="00D8244E">
        <w:t>CALSSA</w:t>
      </w:r>
      <w:r w:rsidR="008E16BD">
        <w:t xml:space="preserve"> expressed strong support for the</w:t>
      </w:r>
      <w:r w:rsidR="00CA0F99">
        <w:t xml:space="preserve"> </w:t>
      </w:r>
      <w:r w:rsidR="008E16BD">
        <w:t>Petition</w:t>
      </w:r>
      <w:r>
        <w:t>,</w:t>
      </w:r>
      <w:r w:rsidR="008E16BD">
        <w:t xml:space="preserve"> </w:t>
      </w:r>
      <w:r w:rsidR="00923799">
        <w:t>mentioning that</w:t>
      </w:r>
      <w:r w:rsidR="00105F5C">
        <w:t xml:space="preserve"> it “</w:t>
      </w:r>
      <w:r w:rsidRPr="00105F5C" w:rsidR="00105F5C">
        <w:t>rightly identifies a growing set of challenges facing SGIP projects that serve disadvantaged communities, Tribes, and public institutions.</w:t>
      </w:r>
      <w:r w:rsidR="007F3F6B">
        <w:t>”</w:t>
      </w:r>
      <w:r w:rsidR="007F3F6B">
        <w:rPr>
          <w:rStyle w:val="FootnoteReference"/>
        </w:rPr>
        <w:footnoteReference w:id="7"/>
      </w:r>
      <w:r w:rsidR="00923799">
        <w:t xml:space="preserve"> </w:t>
      </w:r>
      <w:r w:rsidR="00F009B4">
        <w:t xml:space="preserve">According to </w:t>
      </w:r>
      <w:r w:rsidR="00D8244E">
        <w:t>CALSSA</w:t>
      </w:r>
      <w:r w:rsidR="00F35253">
        <w:t xml:space="preserve">, “the </w:t>
      </w:r>
      <w:r w:rsidRPr="00F35253" w:rsidR="00F35253">
        <w:t>request to allow up to four additional six-month extensions for otherwise qualifying projects—without altering the program’s sunset date—offers a measured, responsible way to preserve projects that advance critical resiliency and public health objectives.</w:t>
      </w:r>
      <w:r w:rsidR="00F35253">
        <w:t>”</w:t>
      </w:r>
      <w:r w:rsidR="00F35253">
        <w:rPr>
          <w:rStyle w:val="FootnoteReference"/>
        </w:rPr>
        <w:footnoteReference w:id="8"/>
      </w:r>
    </w:p>
    <w:p w:rsidR="00C23DD6" w:rsidP="00203FA3" w:rsidRDefault="00203FA3" w14:paraId="29247634" w14:textId="6E0E4410">
      <w:pPr>
        <w:pStyle w:val="Standard"/>
      </w:pPr>
      <w:r>
        <w:t>CE</w:t>
      </w:r>
      <w:r w:rsidR="004056DB">
        <w:t>SA</w:t>
      </w:r>
      <w:r w:rsidR="00D03044">
        <w:t xml:space="preserve"> </w:t>
      </w:r>
      <w:r w:rsidR="00D404F0">
        <w:t xml:space="preserve">also </w:t>
      </w:r>
      <w:r w:rsidR="003B6DF4">
        <w:t>strongl</w:t>
      </w:r>
      <w:r w:rsidR="0008686D">
        <w:t>y support</w:t>
      </w:r>
      <w:r>
        <w:t>ed</w:t>
      </w:r>
      <w:r w:rsidR="00D404F0">
        <w:t xml:space="preserve"> the Petition </w:t>
      </w:r>
      <w:r w:rsidR="0008686D">
        <w:t>stating, “</w:t>
      </w:r>
      <w:r w:rsidRPr="0008686D" w:rsidR="0008686D">
        <w:t xml:space="preserve">it ensures that projects continue to make demonstrable progress during the extensions, requiring that customers provide </w:t>
      </w:r>
      <w:r>
        <w:t>’</w:t>
      </w:r>
      <w:r w:rsidRPr="0008686D" w:rsidR="0008686D">
        <w:t>verified information</w:t>
      </w:r>
      <w:r>
        <w:t>’</w:t>
      </w:r>
      <w:r w:rsidRPr="0008686D" w:rsidR="0008686D">
        <w:t xml:space="preserve"> that demonstrates the project is generally being pursued in good faith</w:t>
      </w:r>
      <w:r w:rsidR="00542C51">
        <w:t>.”</w:t>
      </w:r>
      <w:r w:rsidR="00542C51">
        <w:rPr>
          <w:rStyle w:val="FootnoteReference"/>
        </w:rPr>
        <w:footnoteReference w:id="9"/>
      </w:r>
      <w:r>
        <w:t xml:space="preserve">  CSE</w:t>
      </w:r>
      <w:r w:rsidR="00036251">
        <w:t xml:space="preserve"> urged the Comm</w:t>
      </w:r>
      <w:r w:rsidR="00C16F0D">
        <w:t>ission to</w:t>
      </w:r>
      <w:r w:rsidRPr="00C16F0D" w:rsidR="00C16F0D">
        <w:t xml:space="preserve"> </w:t>
      </w:r>
      <w:r w:rsidR="00C16F0D">
        <w:t>“</w:t>
      </w:r>
      <w:r w:rsidRPr="00C16F0D" w:rsidR="00C16F0D">
        <w:t>approve the modification to provide up to four additional six-month extensions for non-residential equity and equity resiliency projects to avoid further depleting administrative funding for projects that have already proved eligible for the program at time of submission</w:t>
      </w:r>
      <w:r w:rsidR="00C16F0D">
        <w:t>.”</w:t>
      </w:r>
      <w:r w:rsidR="00C16F0D">
        <w:rPr>
          <w:rStyle w:val="FootnoteReference"/>
        </w:rPr>
        <w:footnoteReference w:id="10"/>
      </w:r>
    </w:p>
    <w:p w:rsidR="005A148C" w:rsidP="00F44250" w:rsidRDefault="005939A5" w14:paraId="6EBE325E" w14:textId="77777777">
      <w:pPr>
        <w:pStyle w:val="Heading1"/>
        <w:numPr>
          <w:ilvl w:val="0"/>
          <w:numId w:val="1"/>
        </w:numPr>
      </w:pPr>
      <w:bookmarkStart w:name="_Toc8123719" w:id="5"/>
      <w:bookmarkStart w:name="_Toc219883622" w:id="6"/>
      <w:r>
        <w:lastRenderedPageBreak/>
        <w:t xml:space="preserve">Issues Before the </w:t>
      </w:r>
      <w:bookmarkEnd w:id="5"/>
      <w:r w:rsidR="008A08BF">
        <w:t>Commission</w:t>
      </w:r>
      <w:bookmarkEnd w:id="6"/>
    </w:p>
    <w:p w:rsidR="005939A5" w:rsidP="00A44E8D" w:rsidRDefault="00175EB2" w14:paraId="119F3903" w14:textId="0EF0EE13">
      <w:pPr>
        <w:pStyle w:val="Standard"/>
      </w:pPr>
      <w:r>
        <w:t>T</w:t>
      </w:r>
      <w:r w:rsidR="005939A5">
        <w:t xml:space="preserve">he </w:t>
      </w:r>
      <w:r>
        <w:t>issue</w:t>
      </w:r>
      <w:r w:rsidR="005939A5">
        <w:t xml:space="preserve"> </w:t>
      </w:r>
      <w:r>
        <w:t xml:space="preserve">before the Commission is whether </w:t>
      </w:r>
      <w:r w:rsidR="00203FA3">
        <w:t>to</w:t>
      </w:r>
      <w:r>
        <w:t xml:space="preserve"> grant four</w:t>
      </w:r>
      <w:r w:rsidR="004056DB">
        <w:t>,</w:t>
      </w:r>
      <w:r>
        <w:t xml:space="preserve"> six-month extensions to all eligible SGIP </w:t>
      </w:r>
      <w:r w:rsidR="00203FA3">
        <w:t>E</w:t>
      </w:r>
      <w:r>
        <w:t xml:space="preserve">quity and </w:t>
      </w:r>
      <w:r w:rsidR="00203FA3">
        <w:t>Equity R</w:t>
      </w:r>
      <w:r>
        <w:t>esilience projects.</w:t>
      </w:r>
    </w:p>
    <w:p w:rsidR="005939A5" w:rsidP="00F44250" w:rsidRDefault="005939A5" w14:paraId="245ADB1E" w14:textId="77777777">
      <w:pPr>
        <w:pStyle w:val="Heading1"/>
        <w:numPr>
          <w:ilvl w:val="0"/>
          <w:numId w:val="1"/>
        </w:numPr>
      </w:pPr>
      <w:bookmarkStart w:name="_Toc8123720" w:id="7"/>
      <w:bookmarkStart w:name="_Toc219883623" w:id="8"/>
      <w:r>
        <w:t>Discussion and Analysis</w:t>
      </w:r>
      <w:bookmarkEnd w:id="7"/>
      <w:bookmarkEnd w:id="8"/>
    </w:p>
    <w:p w:rsidRPr="000D31FF" w:rsidR="006517BD" w:rsidP="000D31FF" w:rsidRDefault="00203FA3" w14:paraId="6FC0F868" w14:textId="14A3A118">
      <w:pPr>
        <w:pStyle w:val="Standard"/>
      </w:pPr>
      <w:r>
        <w:t>I</w:t>
      </w:r>
      <w:r w:rsidR="00E97626">
        <w:t xml:space="preserve">n </w:t>
      </w:r>
      <w:r w:rsidR="00FF1079">
        <w:t>D.25-12-</w:t>
      </w:r>
      <w:r w:rsidR="00C160FA">
        <w:t>003</w:t>
      </w:r>
      <w:r>
        <w:t>, the Commission</w:t>
      </w:r>
      <w:r w:rsidR="00C160FA">
        <w:t xml:space="preserve"> considered the </w:t>
      </w:r>
      <w:r w:rsidR="001E4152">
        <w:t xml:space="preserve">issues raised in </w:t>
      </w:r>
      <w:r w:rsidR="00744BFB">
        <w:t xml:space="preserve">the Petition, </w:t>
      </w:r>
      <w:r w:rsidR="00C34566">
        <w:t>as well as party comments associated with project extensions</w:t>
      </w:r>
      <w:r w:rsidR="00C160FA">
        <w:t xml:space="preserve"> </w:t>
      </w:r>
      <w:r w:rsidR="00B27760">
        <w:t xml:space="preserve">and granted </w:t>
      </w:r>
      <w:r w:rsidR="00744BFB">
        <w:t>up to</w:t>
      </w:r>
      <w:r w:rsidR="004658E8">
        <w:t xml:space="preserve"> four</w:t>
      </w:r>
      <w:r w:rsidR="004056DB">
        <w:t>,</w:t>
      </w:r>
      <w:r w:rsidR="00CE1C66">
        <w:t xml:space="preserve"> six-month extensions with conditions</w:t>
      </w:r>
      <w:r w:rsidR="002B25F8">
        <w:t>.</w:t>
      </w:r>
      <w:r w:rsidR="00744BFB">
        <w:rPr>
          <w:rStyle w:val="FootnoteReference"/>
        </w:rPr>
        <w:footnoteReference w:id="11"/>
      </w:r>
      <w:r w:rsidR="002B25F8">
        <w:t xml:space="preserve"> In granting </w:t>
      </w:r>
      <w:r w:rsidR="00744BFB">
        <w:t>the additional extension</w:t>
      </w:r>
      <w:r w:rsidR="002B25F8">
        <w:t xml:space="preserve">, the Commission’s intent was to ensure </w:t>
      </w:r>
      <w:r w:rsidR="0062644E">
        <w:t xml:space="preserve">that non-residential equity SGIP projects </w:t>
      </w:r>
      <w:r w:rsidR="00744BFB">
        <w:t>could</w:t>
      </w:r>
      <w:r w:rsidR="0062644E">
        <w:t xml:space="preserve"> successfully</w:t>
      </w:r>
      <w:r w:rsidR="00B33691">
        <w:t xml:space="preserve"> be completed, receive expected SGIP incentives, </w:t>
      </w:r>
      <w:r w:rsidR="00744BFB">
        <w:t xml:space="preserve">and </w:t>
      </w:r>
      <w:r w:rsidR="00B33691">
        <w:t xml:space="preserve">benefit </w:t>
      </w:r>
      <w:r w:rsidR="00433F0B">
        <w:t>the host customer and ratepayers.</w:t>
      </w:r>
      <w:r w:rsidR="002A2518">
        <w:rPr>
          <w:rStyle w:val="FootnoteReference"/>
        </w:rPr>
        <w:footnoteReference w:id="12"/>
      </w:r>
      <w:r w:rsidR="007E06A7">
        <w:t xml:space="preserve"> </w:t>
      </w:r>
      <w:r w:rsidR="00744BFB">
        <w:t xml:space="preserve"> Because</w:t>
      </w:r>
      <w:r w:rsidR="007E06A7">
        <w:t xml:space="preserve"> </w:t>
      </w:r>
      <w:r w:rsidR="00506FBD">
        <w:t xml:space="preserve">D.25-12-003 grants the relief requested in the Petition, the </w:t>
      </w:r>
      <w:r w:rsidR="00220DD0">
        <w:t>Petition i</w:t>
      </w:r>
      <w:r w:rsidR="009079D3">
        <w:t>s</w:t>
      </w:r>
      <w:r w:rsidR="00220DD0">
        <w:t xml:space="preserve"> moot</w:t>
      </w:r>
      <w:r w:rsidR="009079D3">
        <w:t>.</w:t>
      </w:r>
    </w:p>
    <w:p w:rsidR="00603238" w:rsidP="00F44250" w:rsidRDefault="00603238" w14:paraId="4C94DC20" w14:textId="77777777">
      <w:pPr>
        <w:pStyle w:val="Heading1"/>
        <w:numPr>
          <w:ilvl w:val="0"/>
          <w:numId w:val="1"/>
        </w:numPr>
      </w:pPr>
      <w:bookmarkStart w:name="_Toc219883624" w:id="9"/>
      <w:bookmarkStart w:name="_Toc8123721" w:id="10"/>
      <w:r>
        <w:t>Summary of Public Comment</w:t>
      </w:r>
      <w:bookmarkEnd w:id="9"/>
    </w:p>
    <w:p w:rsidRPr="00603238" w:rsidR="00603238" w:rsidP="009D64F6" w:rsidRDefault="00603238" w14:paraId="07B3DADE" w14:textId="5E500C13">
      <w:r w:rsidRPr="00824DFF">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Pr="00824DFF" w:rsidR="009D64F6">
        <w:t xml:space="preserve"> </w:t>
      </w:r>
      <w:r w:rsidR="0074742F">
        <w:t xml:space="preserve">A member of the public expressed support </w:t>
      </w:r>
      <w:r w:rsidR="0035011D">
        <w:t xml:space="preserve">for granting time extensions </w:t>
      </w:r>
      <w:r w:rsidR="00993E34">
        <w:t xml:space="preserve">requested </w:t>
      </w:r>
      <w:r w:rsidR="009079D3">
        <w:t>in the</w:t>
      </w:r>
      <w:r w:rsidR="002C022C">
        <w:t xml:space="preserve"> Pe</w:t>
      </w:r>
      <w:r w:rsidR="005E298B">
        <w:t xml:space="preserve">tition, mentioning </w:t>
      </w:r>
      <w:r w:rsidRPr="005456F5" w:rsidR="005E298B">
        <w:t>supply chain</w:t>
      </w:r>
      <w:r w:rsidR="005E298B">
        <w:t xml:space="preserve"> </w:t>
      </w:r>
      <w:r w:rsidR="009079D3">
        <w:t xml:space="preserve">and other </w:t>
      </w:r>
      <w:r w:rsidRPr="00F21BE6" w:rsidR="005E298B">
        <w:t>challenges</w:t>
      </w:r>
      <w:r w:rsidR="00035CCC">
        <w:t>.</w:t>
      </w:r>
      <w:r w:rsidR="0035011D">
        <w:t xml:space="preserve"> </w:t>
      </w:r>
      <w:r w:rsidR="005C262A">
        <w:t xml:space="preserve">There were no public comments to the proposed decision. </w:t>
      </w:r>
    </w:p>
    <w:p w:rsidR="005939A5" w:rsidP="00F44250" w:rsidRDefault="005939A5" w14:paraId="6EADD79F" w14:textId="77777777">
      <w:pPr>
        <w:pStyle w:val="Heading1"/>
        <w:numPr>
          <w:ilvl w:val="0"/>
          <w:numId w:val="1"/>
        </w:numPr>
      </w:pPr>
      <w:bookmarkStart w:name="_Toc8123723" w:id="11"/>
      <w:bookmarkStart w:name="_Toc219883627" w:id="12"/>
      <w:bookmarkEnd w:id="10"/>
      <w:r>
        <w:t>Comments on Proposed Decision</w:t>
      </w:r>
      <w:bookmarkEnd w:id="11"/>
      <w:bookmarkEnd w:id="12"/>
    </w:p>
    <w:p w:rsidR="005939A5" w:rsidP="005C58FA" w:rsidRDefault="005C58FA" w14:paraId="1E35E646" w14:textId="782EBDA9">
      <w:pPr>
        <w:pStyle w:val="Standard"/>
      </w:pPr>
      <w:r w:rsidRPr="000A719D">
        <w:t xml:space="preserve">The proposed decision of Commissioner </w:t>
      </w:r>
      <w:r w:rsidRPr="000A719D" w:rsidR="00026C4E">
        <w:t>Karen</w:t>
      </w:r>
      <w:r w:rsidR="00026C4E">
        <w:t xml:space="preserve"> Douglas</w:t>
      </w:r>
      <w:r>
        <w:t xml:space="preserve"> in this matter was mailed to the parties in accordance with Section 311 of the Public Utilities Code </w:t>
      </w:r>
      <w:r>
        <w:lastRenderedPageBreak/>
        <w:t xml:space="preserve">and comments were allowed under Rule 14.3 of the Commission’s Rules of Practice and Procedure.  </w:t>
      </w:r>
    </w:p>
    <w:p w:rsidR="005939A5" w:rsidP="00F44250" w:rsidRDefault="005939A5" w14:paraId="14CFDA7B" w14:textId="77777777">
      <w:pPr>
        <w:pStyle w:val="Heading1"/>
        <w:numPr>
          <w:ilvl w:val="0"/>
          <w:numId w:val="1"/>
        </w:numPr>
      </w:pPr>
      <w:bookmarkStart w:name="_Toc8123724" w:id="13"/>
      <w:bookmarkStart w:name="_Toc219883628" w:id="14"/>
      <w:r>
        <w:t>Assignment of Proceeding</w:t>
      </w:r>
      <w:bookmarkEnd w:id="13"/>
      <w:bookmarkEnd w:id="14"/>
    </w:p>
    <w:p w:rsidR="005939A5" w:rsidP="006E6574" w:rsidRDefault="00F44250" w14:paraId="04FD6C5D" w14:textId="16C60E8E">
      <w:pPr>
        <w:pStyle w:val="Standard"/>
      </w:pPr>
      <w:r>
        <w:t>Ka</w:t>
      </w:r>
      <w:r w:rsidR="005C262A">
        <w:t>r</w:t>
      </w:r>
      <w:r>
        <w:t>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0932F0CC" w14:textId="77777777">
      <w:pPr>
        <w:pStyle w:val="Dummy"/>
      </w:pPr>
      <w:bookmarkStart w:name="_Toc8123725" w:id="15"/>
      <w:bookmarkStart w:name="_Toc219883629" w:id="16"/>
      <w:r>
        <w:t>Findings of Fact</w:t>
      </w:r>
      <w:bookmarkEnd w:id="15"/>
      <w:bookmarkEnd w:id="16"/>
    </w:p>
    <w:p w:rsidR="004D38E1" w:rsidP="001E2A62" w:rsidRDefault="006B0D95" w14:paraId="04DD7F8E" w14:textId="5F889CC8">
      <w:pPr>
        <w:pStyle w:val="FoF"/>
      </w:pPr>
      <w:r>
        <w:t>On April 8, 2025, SCTCA and LGSEC, filed a Petition for Modification</w:t>
      </w:r>
      <w:r w:rsidR="00202888">
        <w:t xml:space="preserve"> </w:t>
      </w:r>
      <w:r>
        <w:t>of D.</w:t>
      </w:r>
      <w:r w:rsidRPr="00650B99">
        <w:t>15-06-002</w:t>
      </w:r>
      <w:r w:rsidR="004D38E1">
        <w:t>.</w:t>
      </w:r>
    </w:p>
    <w:p w:rsidR="00184E0F" w:rsidP="001E2A62" w:rsidRDefault="004D38E1" w14:paraId="63561758" w14:textId="16F39C3F">
      <w:pPr>
        <w:pStyle w:val="FoF"/>
      </w:pPr>
      <w:r>
        <w:t>The Commission adopted D.25-12-003 on December 4</w:t>
      </w:r>
      <w:r w:rsidR="00184E0F">
        <w:t>, 2025</w:t>
      </w:r>
      <w:r w:rsidR="009079D3">
        <w:t>, which granted the relief requested in the Petition.</w:t>
      </w:r>
    </w:p>
    <w:p w:rsidR="005939A5" w:rsidP="005939A5" w:rsidRDefault="005939A5" w14:paraId="7B957CBE" w14:textId="77777777">
      <w:pPr>
        <w:pStyle w:val="Dummy"/>
      </w:pPr>
      <w:bookmarkStart w:name="_Toc8123726" w:id="17"/>
      <w:bookmarkStart w:name="_Toc219883630" w:id="18"/>
      <w:r>
        <w:t>Conclusions of Law</w:t>
      </w:r>
      <w:bookmarkEnd w:id="17"/>
      <w:bookmarkEnd w:id="18"/>
    </w:p>
    <w:p w:rsidRPr="001E2A62" w:rsidR="00932865" w:rsidP="001E2A62" w:rsidRDefault="00202888" w14:paraId="30DF7A70" w14:textId="599E3934">
      <w:pPr>
        <w:pStyle w:val="CoL"/>
      </w:pPr>
      <w:r>
        <w:t>The Petition should be d</w:t>
      </w:r>
      <w:r w:rsidR="009079D3">
        <w:t>ismissed</w:t>
      </w:r>
      <w:r>
        <w:t xml:space="preserve"> because relief was granted in D.</w:t>
      </w:r>
      <w:r w:rsidR="00E263C4">
        <w:t>25-12-003.</w:t>
      </w:r>
    </w:p>
    <w:p w:rsidRPr="001E2A62" w:rsidR="000C2CF4" w:rsidP="00127D7E" w:rsidRDefault="00E263C4" w14:paraId="51531BFF" w14:textId="5FCE55CE">
      <w:pPr>
        <w:pStyle w:val="CoL"/>
      </w:pPr>
      <w:r>
        <w:t>This proceeding should be closed.</w:t>
      </w:r>
    </w:p>
    <w:p w:rsidR="00BB0243" w:rsidP="000A6E05" w:rsidRDefault="005939A5" w14:paraId="04C7726E" w14:textId="77777777">
      <w:pPr>
        <w:pStyle w:val="Mainex"/>
      </w:pPr>
      <w:bookmarkStart w:name="_Toc219883631" w:id="19"/>
      <w:r>
        <w:t>O</w:t>
      </w:r>
      <w:r w:rsidR="00722850">
        <w:t>RDER</w:t>
      </w:r>
      <w:bookmarkEnd w:id="19"/>
    </w:p>
    <w:p w:rsidR="00BB0243" w:rsidP="000A6E05" w:rsidRDefault="00BB0243" w14:paraId="727D941D" w14:textId="77777777">
      <w:pPr>
        <w:keepNext/>
      </w:pPr>
      <w:r w:rsidRPr="00BB0243">
        <w:rPr>
          <w:b/>
        </w:rPr>
        <w:t>IT IS ORDERED</w:t>
      </w:r>
      <w:r>
        <w:t xml:space="preserve"> that:</w:t>
      </w:r>
    </w:p>
    <w:p w:rsidR="00932865" w:rsidP="00DF61B0" w:rsidRDefault="00DF61B0" w14:paraId="56A8188A" w14:textId="6478F42D">
      <w:pPr>
        <w:pStyle w:val="OP"/>
      </w:pPr>
      <w:r>
        <w:t xml:space="preserve">The </w:t>
      </w:r>
      <w:r w:rsidR="007C51C5">
        <w:t xml:space="preserve">Joint </w:t>
      </w:r>
      <w:r>
        <w:t xml:space="preserve">Petition for Modification of Decision </w:t>
      </w:r>
      <w:r w:rsidR="007C51C5">
        <w:t>15-06-002</w:t>
      </w:r>
      <w:r w:rsidR="00350A72">
        <w:t>,</w:t>
      </w:r>
      <w:r>
        <w:t xml:space="preserve"> filed by </w:t>
      </w:r>
      <w:r w:rsidR="009079D3">
        <w:t>t</w:t>
      </w:r>
      <w:r w:rsidR="007C51C5">
        <w:t>he Southern California Tribal Chairmen’s Association and Local Government Sustainable Energy Coalition</w:t>
      </w:r>
      <w:r w:rsidR="00350A72">
        <w:t>,</w:t>
      </w:r>
      <w:r w:rsidR="007C51C5">
        <w:t xml:space="preserve"> </w:t>
      </w:r>
      <w:r>
        <w:t>is d</w:t>
      </w:r>
      <w:r w:rsidR="009079D3">
        <w:t>ismissed</w:t>
      </w:r>
      <w:r w:rsidRPr="001E2A62">
        <w:t>.</w:t>
      </w:r>
      <w:r w:rsidR="00443D9D">
        <w:br/>
      </w:r>
      <w:r w:rsidR="00443D9D">
        <w:br/>
      </w:r>
      <w:r w:rsidR="00443D9D">
        <w:br/>
      </w:r>
      <w:r w:rsidR="00443D9D">
        <w:br/>
      </w:r>
      <w:r w:rsidR="00443D9D">
        <w:br/>
      </w:r>
      <w:r w:rsidR="00443D9D">
        <w:br/>
      </w:r>
    </w:p>
    <w:p w:rsidRPr="001E2A62" w:rsidR="00443D9D" w:rsidP="00443D9D" w:rsidRDefault="00443D9D" w14:paraId="7A614E50" w14:textId="77777777">
      <w:pPr>
        <w:pStyle w:val="OP"/>
        <w:numPr>
          <w:ilvl w:val="0"/>
          <w:numId w:val="0"/>
        </w:numPr>
        <w:ind w:firstLine="540"/>
      </w:pPr>
    </w:p>
    <w:p w:rsidR="00F6397D" w:rsidP="00B3087D" w:rsidRDefault="00E23CBB" w14:paraId="09C257A7" w14:textId="7A649C3C">
      <w:pPr>
        <w:pStyle w:val="OP"/>
      </w:pPr>
      <w:r w:rsidRPr="001E2A62">
        <w:lastRenderedPageBreak/>
        <w:t>Rulemaking</w:t>
      </w:r>
      <w:r w:rsidR="000C2CF4">
        <w:t xml:space="preserve"> 12-11-</w:t>
      </w:r>
      <w:r w:rsidR="00EA5F2F">
        <w:t xml:space="preserve">005 </w:t>
      </w:r>
      <w:r w:rsidRPr="001E2A62">
        <w:t>is closed.</w:t>
      </w:r>
    </w:p>
    <w:p w:rsidR="008F0116" w:rsidP="008F0116" w:rsidRDefault="008F0116" w14:paraId="7FA95C42" w14:textId="77777777">
      <w:r>
        <w:t>This order is effective today.</w:t>
      </w:r>
    </w:p>
    <w:p w:rsidR="00714CF2" w:rsidP="00816E05" w:rsidRDefault="008F0116" w14:paraId="1F4551D4" w14:textId="6D050AFA">
      <w:r>
        <w:t xml:space="preserve">Dated </w:t>
      </w:r>
      <w:r w:rsidRPr="00443D9D" w:rsidR="00443D9D">
        <w:t>April 30, 2026</w:t>
      </w:r>
      <w:r w:rsidRPr="00443D9D">
        <w:t>,</w:t>
      </w:r>
      <w:r>
        <w:t xml:space="preserve"> at San Francisco, California</w:t>
      </w:r>
      <w:r w:rsidR="003F3743">
        <w:t>.</w:t>
      </w:r>
    </w:p>
    <w:p w:rsidR="00443D9D" w:rsidP="00816E05" w:rsidRDefault="00443D9D" w14:paraId="3796F29C" w14:textId="77777777"/>
    <w:p w:rsidRPr="00443D9D" w:rsidR="00443D9D" w:rsidP="00443D9D" w:rsidRDefault="00443D9D" w14:paraId="2DB726C0" w14:textId="77777777">
      <w:pPr>
        <w:autoSpaceDE w:val="0"/>
        <w:autoSpaceDN w:val="0"/>
        <w:adjustRightInd w:val="0"/>
        <w:spacing w:line="240" w:lineRule="auto"/>
        <w:ind w:left="4320"/>
        <w:jc w:val="both"/>
        <w:rPr>
          <w:rFonts w:cs="Times New Roman"/>
          <w:szCs w:val="20"/>
        </w:rPr>
      </w:pPr>
      <w:r w:rsidRPr="00443D9D">
        <w:rPr>
          <w:rFonts w:cs="Times New Roman"/>
          <w:szCs w:val="20"/>
        </w:rPr>
        <w:t>JOHN REYNOLDS</w:t>
      </w:r>
    </w:p>
    <w:p w:rsidRPr="00443D9D" w:rsidR="00443D9D" w:rsidP="00443D9D" w:rsidRDefault="00443D9D" w14:paraId="66565A1B" w14:textId="4CFFB3AC">
      <w:pPr>
        <w:autoSpaceDE w:val="0"/>
        <w:autoSpaceDN w:val="0"/>
        <w:adjustRightInd w:val="0"/>
        <w:spacing w:line="240" w:lineRule="auto"/>
        <w:ind w:left="720"/>
        <w:jc w:val="both"/>
        <w:rPr>
          <w:rFonts w:cs="Times New Roman"/>
          <w:szCs w:val="20"/>
        </w:rPr>
      </w:pPr>
      <w:r w:rsidRPr="00443D9D">
        <w:rPr>
          <w:rFonts w:cs="Times New Roman"/>
          <w:szCs w:val="20"/>
        </w:rPr>
        <w:tab/>
      </w:r>
      <w:r w:rsidRPr="00443D9D">
        <w:rPr>
          <w:rFonts w:cs="Times New Roman"/>
          <w:szCs w:val="20"/>
        </w:rPr>
        <w:tab/>
      </w:r>
      <w:r w:rsidRPr="00443D9D">
        <w:rPr>
          <w:rFonts w:cs="Times New Roman"/>
          <w:szCs w:val="20"/>
        </w:rPr>
        <w:tab/>
      </w:r>
      <w:r w:rsidRPr="00443D9D">
        <w:rPr>
          <w:rFonts w:cs="Times New Roman"/>
          <w:szCs w:val="20"/>
        </w:rPr>
        <w:tab/>
      </w:r>
      <w:r w:rsidRPr="00443D9D">
        <w:rPr>
          <w:rFonts w:cs="Times New Roman"/>
          <w:szCs w:val="20"/>
        </w:rPr>
        <w:tab/>
        <w:t xml:space="preserve">                 </w:t>
      </w:r>
      <w:r>
        <w:rPr>
          <w:rFonts w:cs="Times New Roman"/>
          <w:szCs w:val="20"/>
        </w:rPr>
        <w:t xml:space="preserve"> </w:t>
      </w:r>
      <w:r w:rsidRPr="00443D9D">
        <w:rPr>
          <w:rFonts w:cs="Times New Roman"/>
          <w:szCs w:val="20"/>
        </w:rPr>
        <w:t xml:space="preserve">  </w:t>
      </w:r>
      <w:r>
        <w:rPr>
          <w:rFonts w:cs="Times New Roman"/>
          <w:szCs w:val="20"/>
        </w:rPr>
        <w:t xml:space="preserve">  </w:t>
      </w:r>
      <w:r w:rsidRPr="00443D9D">
        <w:rPr>
          <w:rFonts w:cs="Times New Roman"/>
          <w:szCs w:val="20"/>
        </w:rPr>
        <w:t>President</w:t>
      </w:r>
    </w:p>
    <w:p w:rsidRPr="00443D9D" w:rsidR="00443D9D" w:rsidP="00443D9D" w:rsidRDefault="00443D9D" w14:paraId="19CBAD28" w14:textId="77777777">
      <w:pPr>
        <w:autoSpaceDE w:val="0"/>
        <w:autoSpaceDN w:val="0"/>
        <w:adjustRightInd w:val="0"/>
        <w:spacing w:line="240" w:lineRule="auto"/>
        <w:ind w:left="4320"/>
        <w:jc w:val="both"/>
        <w:rPr>
          <w:rFonts w:cs="Times New Roman"/>
          <w:szCs w:val="20"/>
        </w:rPr>
      </w:pPr>
      <w:r w:rsidRPr="00443D9D">
        <w:rPr>
          <w:rFonts w:cs="Times New Roman"/>
          <w:szCs w:val="20"/>
        </w:rPr>
        <w:t>DARCIE L. HOUCK</w:t>
      </w:r>
    </w:p>
    <w:p w:rsidRPr="00443D9D" w:rsidR="00443D9D" w:rsidP="00443D9D" w:rsidRDefault="00443D9D" w14:paraId="35BE87DC" w14:textId="77777777">
      <w:pPr>
        <w:autoSpaceDE w:val="0"/>
        <w:autoSpaceDN w:val="0"/>
        <w:adjustRightInd w:val="0"/>
        <w:spacing w:line="240" w:lineRule="auto"/>
        <w:ind w:left="4320"/>
        <w:jc w:val="both"/>
        <w:rPr>
          <w:rFonts w:eastAsia="Times New Roman" w:cs="Calibri"/>
          <w:color w:val="000000"/>
          <w:szCs w:val="26"/>
        </w:rPr>
      </w:pPr>
      <w:r w:rsidRPr="00443D9D">
        <w:rPr>
          <w:rFonts w:eastAsia="Times New Roman" w:cs="Calibri"/>
          <w:color w:val="000000"/>
          <w:szCs w:val="26"/>
        </w:rPr>
        <w:t>KAREN DOUGLAS</w:t>
      </w:r>
    </w:p>
    <w:p w:rsidRPr="00443D9D" w:rsidR="00443D9D" w:rsidP="00443D9D" w:rsidRDefault="00443D9D" w14:paraId="696EE2D4" w14:textId="77777777">
      <w:pPr>
        <w:autoSpaceDE w:val="0"/>
        <w:autoSpaceDN w:val="0"/>
        <w:adjustRightInd w:val="0"/>
        <w:spacing w:line="240" w:lineRule="auto"/>
        <w:ind w:left="4320"/>
        <w:jc w:val="both"/>
        <w:rPr>
          <w:rFonts w:eastAsia="Times New Roman" w:cs="Calibri"/>
          <w:color w:val="000000"/>
          <w:szCs w:val="26"/>
        </w:rPr>
      </w:pPr>
      <w:r w:rsidRPr="00443D9D">
        <w:rPr>
          <w:rFonts w:eastAsia="Times New Roman" w:cs="Calibri"/>
          <w:color w:val="000000"/>
          <w:szCs w:val="26"/>
        </w:rPr>
        <w:t>MATTHEW BAKER</w:t>
      </w:r>
    </w:p>
    <w:p w:rsidRPr="00443D9D" w:rsidR="00443D9D" w:rsidP="00443D9D" w:rsidRDefault="00443D9D" w14:paraId="5E00CC09" w14:textId="77777777">
      <w:pPr>
        <w:autoSpaceDE w:val="0"/>
        <w:autoSpaceDN w:val="0"/>
        <w:adjustRightInd w:val="0"/>
        <w:spacing w:line="240" w:lineRule="auto"/>
        <w:ind w:left="4320"/>
        <w:jc w:val="both"/>
        <w:rPr>
          <w:rFonts w:cs="Times New Roman"/>
          <w:szCs w:val="20"/>
        </w:rPr>
      </w:pPr>
      <w:r w:rsidRPr="00443D9D">
        <w:rPr>
          <w:rFonts w:cs="Times New Roman"/>
          <w:szCs w:val="20"/>
        </w:rPr>
        <w:t>CHRISTINE HARADA</w:t>
      </w:r>
    </w:p>
    <w:p w:rsidRPr="00443D9D" w:rsidR="00443D9D" w:rsidP="00443D9D" w:rsidRDefault="00443D9D" w14:paraId="69B55FE1" w14:textId="7694FECB">
      <w:pPr>
        <w:autoSpaceDE w:val="0"/>
        <w:autoSpaceDN w:val="0"/>
        <w:adjustRightInd w:val="0"/>
        <w:spacing w:line="240" w:lineRule="auto"/>
        <w:ind w:left="5040"/>
        <w:jc w:val="both"/>
        <w:rPr>
          <w:rFonts w:cs="Times New Roman"/>
          <w:szCs w:val="20"/>
        </w:rPr>
      </w:pPr>
      <w:r w:rsidRPr="00443D9D">
        <w:rPr>
          <w:rFonts w:cs="Times New Roman"/>
          <w:szCs w:val="20"/>
        </w:rPr>
        <w:t xml:space="preserve">        </w:t>
      </w:r>
      <w:r>
        <w:rPr>
          <w:rFonts w:cs="Times New Roman"/>
          <w:szCs w:val="20"/>
        </w:rPr>
        <w:t xml:space="preserve">   </w:t>
      </w:r>
      <w:r w:rsidRPr="00443D9D">
        <w:rPr>
          <w:rFonts w:cs="Times New Roman"/>
          <w:szCs w:val="20"/>
        </w:rPr>
        <w:t>Commissioners</w:t>
      </w:r>
    </w:p>
    <w:sectPr w:rsidRPr="00443D9D" w:rsidR="00443D9D" w:rsidSect="00B34E73">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72FA" w14:textId="77777777" w:rsidR="00E86D5D" w:rsidRDefault="00E86D5D" w:rsidP="0098138E">
      <w:pPr>
        <w:spacing w:line="240" w:lineRule="auto"/>
      </w:pPr>
      <w:r>
        <w:separator/>
      </w:r>
    </w:p>
  </w:endnote>
  <w:endnote w:type="continuationSeparator" w:id="0">
    <w:p w14:paraId="1A35CAC8" w14:textId="77777777" w:rsidR="00E86D5D" w:rsidRDefault="00E86D5D"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48E6"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2AC4" w14:textId="266271AF" w:rsidR="00B34E73" w:rsidRDefault="00443D9D" w:rsidP="00B34E73">
    <w:pPr>
      <w:pStyle w:val="Footer"/>
      <w:ind w:firstLine="0"/>
    </w:pPr>
    <w:r w:rsidRPr="00443D9D">
      <w:rPr>
        <w:sz w:val="16"/>
        <w:szCs w:val="16"/>
      </w:rPr>
      <w:t>606026900</w:t>
    </w:r>
    <w:r w:rsidR="00B34E73">
      <w:tab/>
      <w:t xml:space="preserve">- 1 -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C792" w14:textId="77777777" w:rsidR="00E86D5D" w:rsidRDefault="00E86D5D" w:rsidP="00DF58E7">
      <w:pPr>
        <w:spacing w:line="240" w:lineRule="auto"/>
        <w:ind w:firstLine="0"/>
      </w:pPr>
      <w:r>
        <w:separator/>
      </w:r>
    </w:p>
  </w:footnote>
  <w:footnote w:type="continuationSeparator" w:id="0">
    <w:p w14:paraId="088EFD30" w14:textId="77777777" w:rsidR="00E86D5D" w:rsidRDefault="00E86D5D" w:rsidP="00DF58E7">
      <w:pPr>
        <w:spacing w:line="240" w:lineRule="auto"/>
        <w:ind w:firstLine="0"/>
      </w:pPr>
      <w:r>
        <w:continuationSeparator/>
      </w:r>
    </w:p>
  </w:footnote>
  <w:footnote w:type="continuationNotice" w:id="1">
    <w:p w14:paraId="6FA5EED1" w14:textId="77777777" w:rsidR="00E86D5D" w:rsidRPr="00DF58E7" w:rsidRDefault="00E86D5D"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72F1DC4" w14:textId="502C281D" w:rsidR="009C363C" w:rsidRDefault="009C363C">
      <w:pPr>
        <w:pStyle w:val="FootnoteText"/>
      </w:pPr>
      <w:r>
        <w:rPr>
          <w:rStyle w:val="FootnoteReference"/>
        </w:rPr>
        <w:footnoteRef/>
      </w:r>
      <w:r>
        <w:t xml:space="preserve"> </w:t>
      </w:r>
      <w:r w:rsidR="000544A6">
        <w:t xml:space="preserve">Decision (D.) 15-06-002 </w:t>
      </w:r>
      <w:r w:rsidR="00DC2C01">
        <w:t>at 1-2.</w:t>
      </w:r>
    </w:p>
  </w:footnote>
  <w:footnote w:id="3">
    <w:p w14:paraId="08818EA0" w14:textId="5DABEBB2" w:rsidR="00285184" w:rsidRDefault="00285184">
      <w:pPr>
        <w:pStyle w:val="FootnoteText"/>
      </w:pPr>
      <w:r>
        <w:rPr>
          <w:rStyle w:val="FootnoteReference"/>
        </w:rPr>
        <w:footnoteRef/>
      </w:r>
      <w:r>
        <w:t xml:space="preserve"> Petition </w:t>
      </w:r>
      <w:r w:rsidR="00BC36BC">
        <w:t xml:space="preserve">at </w:t>
      </w:r>
      <w:r w:rsidR="000F6A40">
        <w:t>2-3.</w:t>
      </w:r>
    </w:p>
  </w:footnote>
  <w:footnote w:id="4">
    <w:p w14:paraId="3D2A8FC6" w14:textId="48B655F6" w:rsidR="007C0CCB" w:rsidRDefault="007C0CCB">
      <w:pPr>
        <w:pStyle w:val="FootnoteText"/>
      </w:pPr>
      <w:r>
        <w:rPr>
          <w:rStyle w:val="FootnoteReference"/>
        </w:rPr>
        <w:footnoteRef/>
      </w:r>
      <w:r>
        <w:t xml:space="preserve"> </w:t>
      </w:r>
      <w:r w:rsidRPr="007C0CCB">
        <w:rPr>
          <w:i/>
          <w:iCs/>
        </w:rPr>
        <w:t>Ibid</w:t>
      </w:r>
      <w:r>
        <w:t>.</w:t>
      </w:r>
    </w:p>
  </w:footnote>
  <w:footnote w:id="5">
    <w:p w14:paraId="7E010D83" w14:textId="1CBBF712" w:rsidR="006305AA" w:rsidRDefault="006305AA">
      <w:pPr>
        <w:pStyle w:val="FootnoteText"/>
      </w:pPr>
      <w:r>
        <w:rPr>
          <w:rStyle w:val="FootnoteReference"/>
        </w:rPr>
        <w:footnoteRef/>
      </w:r>
      <w:r>
        <w:t xml:space="preserve"> </w:t>
      </w:r>
      <w:r w:rsidRPr="006305AA">
        <w:rPr>
          <w:i/>
          <w:iCs/>
        </w:rPr>
        <w:t>Id</w:t>
      </w:r>
      <w:r>
        <w:t>. at 3-4.</w:t>
      </w:r>
    </w:p>
  </w:footnote>
  <w:footnote w:id="6">
    <w:p w14:paraId="78259589" w14:textId="5FD0067A" w:rsidR="00DF36FF" w:rsidRDefault="00DF36FF">
      <w:pPr>
        <w:pStyle w:val="FootnoteText"/>
      </w:pPr>
      <w:r>
        <w:rPr>
          <w:rStyle w:val="FootnoteReference"/>
        </w:rPr>
        <w:footnoteRef/>
      </w:r>
      <w:r>
        <w:t xml:space="preserve"> </w:t>
      </w:r>
      <w:r w:rsidR="00BB3744" w:rsidRPr="00BB3744">
        <w:rPr>
          <w:i/>
          <w:iCs/>
        </w:rPr>
        <w:t>Id</w:t>
      </w:r>
      <w:r w:rsidR="00BB3744">
        <w:t>. at 8.</w:t>
      </w:r>
    </w:p>
  </w:footnote>
  <w:footnote w:id="7">
    <w:p w14:paraId="7247402C" w14:textId="72D294D4" w:rsidR="007F3F6B" w:rsidRDefault="007F3F6B">
      <w:pPr>
        <w:pStyle w:val="FootnoteText"/>
      </w:pPr>
      <w:r>
        <w:rPr>
          <w:rStyle w:val="FootnoteReference"/>
        </w:rPr>
        <w:footnoteRef/>
      </w:r>
      <w:r>
        <w:t xml:space="preserve"> </w:t>
      </w:r>
      <w:r w:rsidR="004056DB">
        <w:t>CSSA Response</w:t>
      </w:r>
      <w:r w:rsidR="00835B45">
        <w:t xml:space="preserve"> at 1.</w:t>
      </w:r>
    </w:p>
  </w:footnote>
  <w:footnote w:id="8">
    <w:p w14:paraId="4377302A" w14:textId="3F81956C" w:rsidR="00F35253" w:rsidRDefault="00F35253">
      <w:pPr>
        <w:pStyle w:val="FootnoteText"/>
      </w:pPr>
      <w:r>
        <w:rPr>
          <w:rStyle w:val="FootnoteReference"/>
        </w:rPr>
        <w:footnoteRef/>
      </w:r>
      <w:r>
        <w:t xml:space="preserve"> </w:t>
      </w:r>
      <w:r w:rsidR="00184D87" w:rsidRPr="00184D87">
        <w:rPr>
          <w:i/>
          <w:iCs/>
        </w:rPr>
        <w:t>Id</w:t>
      </w:r>
      <w:r w:rsidR="00184D87">
        <w:t>. at 2.</w:t>
      </w:r>
    </w:p>
  </w:footnote>
  <w:footnote w:id="9">
    <w:p w14:paraId="47206393" w14:textId="4875CAA8" w:rsidR="00542C51" w:rsidRDefault="00542C51">
      <w:pPr>
        <w:pStyle w:val="FootnoteText"/>
      </w:pPr>
      <w:r>
        <w:rPr>
          <w:rStyle w:val="FootnoteReference"/>
        </w:rPr>
        <w:footnoteRef/>
      </w:r>
      <w:r>
        <w:t xml:space="preserve"> </w:t>
      </w:r>
      <w:r w:rsidR="004056DB">
        <w:t>CESA Response</w:t>
      </w:r>
      <w:r w:rsidR="003D1CDA">
        <w:t xml:space="preserve"> at </w:t>
      </w:r>
      <w:r w:rsidR="00C23DD6">
        <w:t>2.</w:t>
      </w:r>
    </w:p>
  </w:footnote>
  <w:footnote w:id="10">
    <w:p w14:paraId="0FC328D6" w14:textId="3A0AEB73" w:rsidR="00C16F0D" w:rsidRDefault="00C16F0D">
      <w:pPr>
        <w:pStyle w:val="FootnoteText"/>
      </w:pPr>
      <w:r>
        <w:rPr>
          <w:rStyle w:val="FootnoteReference"/>
        </w:rPr>
        <w:footnoteRef/>
      </w:r>
      <w:r>
        <w:t xml:space="preserve"> </w:t>
      </w:r>
      <w:r w:rsidR="004056DB">
        <w:t>CSE Response</w:t>
      </w:r>
      <w:r w:rsidR="00780AEE">
        <w:t xml:space="preserve"> at </w:t>
      </w:r>
      <w:r w:rsidR="00240DC8">
        <w:t>4.</w:t>
      </w:r>
    </w:p>
  </w:footnote>
  <w:footnote w:id="11">
    <w:p w14:paraId="66022C61" w14:textId="6E4F5576" w:rsidR="00744BFB" w:rsidRDefault="00744BFB">
      <w:pPr>
        <w:pStyle w:val="FootnoteText"/>
      </w:pPr>
      <w:r>
        <w:rPr>
          <w:rStyle w:val="FootnoteReference"/>
        </w:rPr>
        <w:footnoteRef/>
      </w:r>
      <w:r>
        <w:t xml:space="preserve"> D.25-12-003 at 21.</w:t>
      </w:r>
    </w:p>
  </w:footnote>
  <w:footnote w:id="12">
    <w:p w14:paraId="3CED4EE0" w14:textId="48766654" w:rsidR="002A2518" w:rsidRDefault="002A2518">
      <w:pPr>
        <w:pStyle w:val="FootnoteText"/>
      </w:pPr>
      <w:r>
        <w:rPr>
          <w:rStyle w:val="FootnoteReference"/>
        </w:rPr>
        <w:footnoteRef/>
      </w:r>
      <w:r>
        <w:t xml:space="preserve"> </w:t>
      </w:r>
      <w:r w:rsidR="004056DB">
        <w:rPr>
          <w:i/>
          <w:iCs/>
        </w:rPr>
        <w:t>Id</w:t>
      </w:r>
      <w:r w:rsidR="004056DB">
        <w:t>.</w:t>
      </w:r>
      <w:r w:rsidR="0084097C">
        <w:t xml:space="preserve"> at </w:t>
      </w:r>
      <w:r w:rsidR="00541EB2">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9E7E" w14:textId="484ED788" w:rsidR="00AC41DE" w:rsidRDefault="00AC41DE" w:rsidP="00AC41DE">
    <w:pPr>
      <w:pStyle w:val="Header"/>
      <w:tabs>
        <w:tab w:val="clear" w:pos="4680"/>
      </w:tabs>
      <w:ind w:firstLine="0"/>
      <w:rPr>
        <w:b/>
      </w:rPr>
    </w:pPr>
    <w:r>
      <w:t xml:space="preserve">R.12-11-005 </w:t>
    </w:r>
    <w:r w:rsidR="001114CD">
      <w:t>COM/KDL/</w:t>
    </w:r>
    <w:proofErr w:type="spellStart"/>
    <w:r w:rsidR="001114CD">
      <w:t>hma</w:t>
    </w:r>
    <w:proofErr w:type="spellEnd"/>
    <w:r w:rsidR="00443D9D">
      <w:t>/</w:t>
    </w:r>
    <w:proofErr w:type="spellStart"/>
    <w:r w:rsidR="00443D9D">
      <w:t>sgu</w:t>
    </w:r>
    <w:proofErr w:type="spellEnd"/>
    <w:r>
      <w:tab/>
    </w:r>
  </w:p>
  <w:p w14:paraId="62C4524E" w14:textId="3D1D7782" w:rsidR="00FE2351" w:rsidRPr="00AC41DE" w:rsidRDefault="00FE2351" w:rsidP="00AC41DE">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57B3" w14:textId="77777777" w:rsidR="00B34E73" w:rsidRDefault="00B34E73" w:rsidP="00B34E7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025057708">
    <w:abstractNumId w:val="12"/>
  </w:num>
  <w:num w:numId="19" w16cid:durableId="2127890003">
    <w:abstractNumId w:val="12"/>
  </w:num>
  <w:num w:numId="20" w16cid:durableId="1633100563">
    <w:abstractNumId w:val="12"/>
  </w:num>
  <w:num w:numId="21" w16cid:durableId="495341428">
    <w:abstractNumId w:val="12"/>
  </w:num>
  <w:num w:numId="22" w16cid:durableId="581257767">
    <w:abstractNumId w:val="12"/>
  </w:num>
  <w:num w:numId="23" w16cid:durableId="1691225883">
    <w:abstractNumId w:val="12"/>
  </w:num>
  <w:num w:numId="24" w16cid:durableId="121839929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99"/>
    <w:rsid w:val="00000F6A"/>
    <w:rsid w:val="00026C4E"/>
    <w:rsid w:val="00035CCC"/>
    <w:rsid w:val="00036251"/>
    <w:rsid w:val="00041E08"/>
    <w:rsid w:val="000544A6"/>
    <w:rsid w:val="0005479A"/>
    <w:rsid w:val="0007115A"/>
    <w:rsid w:val="0008686D"/>
    <w:rsid w:val="00092EF1"/>
    <w:rsid w:val="0009328E"/>
    <w:rsid w:val="00093A9D"/>
    <w:rsid w:val="000973C8"/>
    <w:rsid w:val="000A2AA9"/>
    <w:rsid w:val="000A56F2"/>
    <w:rsid w:val="000A6E05"/>
    <w:rsid w:val="000A719D"/>
    <w:rsid w:val="000B12FA"/>
    <w:rsid w:val="000C08BF"/>
    <w:rsid w:val="000C1141"/>
    <w:rsid w:val="000C2CF4"/>
    <w:rsid w:val="000C3B9A"/>
    <w:rsid w:val="000D25A8"/>
    <w:rsid w:val="000D31FF"/>
    <w:rsid w:val="000E270A"/>
    <w:rsid w:val="000E4C53"/>
    <w:rsid w:val="000F48C6"/>
    <w:rsid w:val="000F6A40"/>
    <w:rsid w:val="00105F5C"/>
    <w:rsid w:val="001114CD"/>
    <w:rsid w:val="00121089"/>
    <w:rsid w:val="00126EA2"/>
    <w:rsid w:val="00127D7E"/>
    <w:rsid w:val="001355C1"/>
    <w:rsid w:val="00175EB2"/>
    <w:rsid w:val="00184A8F"/>
    <w:rsid w:val="00184D87"/>
    <w:rsid w:val="00184E0F"/>
    <w:rsid w:val="00187E8C"/>
    <w:rsid w:val="001C363F"/>
    <w:rsid w:val="001E00C6"/>
    <w:rsid w:val="001E2A62"/>
    <w:rsid w:val="001E4152"/>
    <w:rsid w:val="001F2819"/>
    <w:rsid w:val="00202888"/>
    <w:rsid w:val="00203FA3"/>
    <w:rsid w:val="002043EC"/>
    <w:rsid w:val="00213C1C"/>
    <w:rsid w:val="00220DD0"/>
    <w:rsid w:val="00221972"/>
    <w:rsid w:val="00240DC8"/>
    <w:rsid w:val="00241707"/>
    <w:rsid w:val="00243DC0"/>
    <w:rsid w:val="002456C2"/>
    <w:rsid w:val="00247477"/>
    <w:rsid w:val="00254A23"/>
    <w:rsid w:val="00270440"/>
    <w:rsid w:val="00284D8D"/>
    <w:rsid w:val="00285184"/>
    <w:rsid w:val="00287BC5"/>
    <w:rsid w:val="00293DEE"/>
    <w:rsid w:val="002A0B5D"/>
    <w:rsid w:val="002A2518"/>
    <w:rsid w:val="002A6D96"/>
    <w:rsid w:val="002B25F8"/>
    <w:rsid w:val="002B6CCD"/>
    <w:rsid w:val="002C022C"/>
    <w:rsid w:val="002C29BE"/>
    <w:rsid w:val="002C4DB4"/>
    <w:rsid w:val="002C7FE9"/>
    <w:rsid w:val="002D0DC5"/>
    <w:rsid w:val="002D21EB"/>
    <w:rsid w:val="002D4EFD"/>
    <w:rsid w:val="002E6FCD"/>
    <w:rsid w:val="00315A97"/>
    <w:rsid w:val="00316071"/>
    <w:rsid w:val="003423C5"/>
    <w:rsid w:val="00343E5C"/>
    <w:rsid w:val="00344FB8"/>
    <w:rsid w:val="0035011D"/>
    <w:rsid w:val="00350A72"/>
    <w:rsid w:val="00353B60"/>
    <w:rsid w:val="0036017B"/>
    <w:rsid w:val="00362755"/>
    <w:rsid w:val="0037333C"/>
    <w:rsid w:val="00373B93"/>
    <w:rsid w:val="00380CD1"/>
    <w:rsid w:val="003A02CA"/>
    <w:rsid w:val="003A38F0"/>
    <w:rsid w:val="003A4EF2"/>
    <w:rsid w:val="003B6DF4"/>
    <w:rsid w:val="003D1CDA"/>
    <w:rsid w:val="003F069A"/>
    <w:rsid w:val="003F09F0"/>
    <w:rsid w:val="003F1D33"/>
    <w:rsid w:val="003F3743"/>
    <w:rsid w:val="003F4329"/>
    <w:rsid w:val="00403287"/>
    <w:rsid w:val="004056DB"/>
    <w:rsid w:val="00412534"/>
    <w:rsid w:val="00412599"/>
    <w:rsid w:val="00412C83"/>
    <w:rsid w:val="00426014"/>
    <w:rsid w:val="00433F0B"/>
    <w:rsid w:val="00443D9D"/>
    <w:rsid w:val="0044617E"/>
    <w:rsid w:val="0046078B"/>
    <w:rsid w:val="00460B7D"/>
    <w:rsid w:val="004658E8"/>
    <w:rsid w:val="00480CB0"/>
    <w:rsid w:val="00483603"/>
    <w:rsid w:val="00486921"/>
    <w:rsid w:val="004A1E32"/>
    <w:rsid w:val="004A1EAD"/>
    <w:rsid w:val="004A47BE"/>
    <w:rsid w:val="004B34EA"/>
    <w:rsid w:val="004B5494"/>
    <w:rsid w:val="004C7A2B"/>
    <w:rsid w:val="004C7D3A"/>
    <w:rsid w:val="004D0C08"/>
    <w:rsid w:val="004D38E1"/>
    <w:rsid w:val="004E7EBB"/>
    <w:rsid w:val="004F2391"/>
    <w:rsid w:val="004F37DA"/>
    <w:rsid w:val="005018A8"/>
    <w:rsid w:val="00505A39"/>
    <w:rsid w:val="00506FBD"/>
    <w:rsid w:val="00510392"/>
    <w:rsid w:val="005240BF"/>
    <w:rsid w:val="00541EB2"/>
    <w:rsid w:val="00542C51"/>
    <w:rsid w:val="005456F5"/>
    <w:rsid w:val="00564C76"/>
    <w:rsid w:val="00567070"/>
    <w:rsid w:val="005757B3"/>
    <w:rsid w:val="00585390"/>
    <w:rsid w:val="005939A5"/>
    <w:rsid w:val="005A148C"/>
    <w:rsid w:val="005C262A"/>
    <w:rsid w:val="005C58FA"/>
    <w:rsid w:val="005E298B"/>
    <w:rsid w:val="00603238"/>
    <w:rsid w:val="0062644E"/>
    <w:rsid w:val="006305AA"/>
    <w:rsid w:val="00632207"/>
    <w:rsid w:val="0063491C"/>
    <w:rsid w:val="00641A5C"/>
    <w:rsid w:val="00650B99"/>
    <w:rsid w:val="006517BD"/>
    <w:rsid w:val="00661AFE"/>
    <w:rsid w:val="00673930"/>
    <w:rsid w:val="00680F19"/>
    <w:rsid w:val="00683B2C"/>
    <w:rsid w:val="00686625"/>
    <w:rsid w:val="00687440"/>
    <w:rsid w:val="00693D13"/>
    <w:rsid w:val="006B0D95"/>
    <w:rsid w:val="006C1F10"/>
    <w:rsid w:val="006E4C73"/>
    <w:rsid w:val="006E5E28"/>
    <w:rsid w:val="006E6574"/>
    <w:rsid w:val="00714CF2"/>
    <w:rsid w:val="007156B9"/>
    <w:rsid w:val="00720817"/>
    <w:rsid w:val="00722850"/>
    <w:rsid w:val="0073353F"/>
    <w:rsid w:val="00735A91"/>
    <w:rsid w:val="00737C0B"/>
    <w:rsid w:val="00742E45"/>
    <w:rsid w:val="007431D5"/>
    <w:rsid w:val="007447AF"/>
    <w:rsid w:val="00744BFB"/>
    <w:rsid w:val="0074742F"/>
    <w:rsid w:val="00750816"/>
    <w:rsid w:val="007657C1"/>
    <w:rsid w:val="0076688B"/>
    <w:rsid w:val="0077755F"/>
    <w:rsid w:val="00780AEE"/>
    <w:rsid w:val="0079601C"/>
    <w:rsid w:val="007A406D"/>
    <w:rsid w:val="007A62B0"/>
    <w:rsid w:val="007B53B9"/>
    <w:rsid w:val="007C0CCB"/>
    <w:rsid w:val="007C494D"/>
    <w:rsid w:val="007C51C5"/>
    <w:rsid w:val="007C5A0C"/>
    <w:rsid w:val="007D3EB6"/>
    <w:rsid w:val="007E06A7"/>
    <w:rsid w:val="007E0FEE"/>
    <w:rsid w:val="007E742F"/>
    <w:rsid w:val="007F2017"/>
    <w:rsid w:val="007F3F6B"/>
    <w:rsid w:val="0080390E"/>
    <w:rsid w:val="008159CF"/>
    <w:rsid w:val="00816E05"/>
    <w:rsid w:val="00824DFF"/>
    <w:rsid w:val="00826004"/>
    <w:rsid w:val="008339BB"/>
    <w:rsid w:val="00835B45"/>
    <w:rsid w:val="0084097C"/>
    <w:rsid w:val="00853FBC"/>
    <w:rsid w:val="0086419A"/>
    <w:rsid w:val="0087023B"/>
    <w:rsid w:val="008A08BF"/>
    <w:rsid w:val="008A179F"/>
    <w:rsid w:val="008A4373"/>
    <w:rsid w:val="008B0864"/>
    <w:rsid w:val="008B175A"/>
    <w:rsid w:val="008C3CB7"/>
    <w:rsid w:val="008C7413"/>
    <w:rsid w:val="008D16B7"/>
    <w:rsid w:val="008D4E74"/>
    <w:rsid w:val="008D7DE7"/>
    <w:rsid w:val="008E16BD"/>
    <w:rsid w:val="008E6AE6"/>
    <w:rsid w:val="008F0116"/>
    <w:rsid w:val="008F143D"/>
    <w:rsid w:val="00900F38"/>
    <w:rsid w:val="0090273D"/>
    <w:rsid w:val="009079D3"/>
    <w:rsid w:val="00923799"/>
    <w:rsid w:val="00923886"/>
    <w:rsid w:val="00932865"/>
    <w:rsid w:val="00951903"/>
    <w:rsid w:val="0097719D"/>
    <w:rsid w:val="0098138E"/>
    <w:rsid w:val="0098655A"/>
    <w:rsid w:val="00993E34"/>
    <w:rsid w:val="009A6E36"/>
    <w:rsid w:val="009B2EB2"/>
    <w:rsid w:val="009C363C"/>
    <w:rsid w:val="009D64F6"/>
    <w:rsid w:val="009E6052"/>
    <w:rsid w:val="009E7C7F"/>
    <w:rsid w:val="00A00160"/>
    <w:rsid w:val="00A01CD9"/>
    <w:rsid w:val="00A17CE0"/>
    <w:rsid w:val="00A23D48"/>
    <w:rsid w:val="00A42306"/>
    <w:rsid w:val="00A44E8D"/>
    <w:rsid w:val="00A46EA8"/>
    <w:rsid w:val="00A55ACD"/>
    <w:rsid w:val="00A85D27"/>
    <w:rsid w:val="00A87132"/>
    <w:rsid w:val="00A94B1E"/>
    <w:rsid w:val="00AA2F56"/>
    <w:rsid w:val="00AA42C1"/>
    <w:rsid w:val="00AB7875"/>
    <w:rsid w:val="00AC41DE"/>
    <w:rsid w:val="00AC68EE"/>
    <w:rsid w:val="00AD1145"/>
    <w:rsid w:val="00AE3E20"/>
    <w:rsid w:val="00B01F7E"/>
    <w:rsid w:val="00B113D9"/>
    <w:rsid w:val="00B16C2A"/>
    <w:rsid w:val="00B27760"/>
    <w:rsid w:val="00B3087D"/>
    <w:rsid w:val="00B33691"/>
    <w:rsid w:val="00B34794"/>
    <w:rsid w:val="00B34E73"/>
    <w:rsid w:val="00B46FAC"/>
    <w:rsid w:val="00B50ED4"/>
    <w:rsid w:val="00B60421"/>
    <w:rsid w:val="00B81EB6"/>
    <w:rsid w:val="00B95B90"/>
    <w:rsid w:val="00BA1401"/>
    <w:rsid w:val="00BA2F2D"/>
    <w:rsid w:val="00BA6290"/>
    <w:rsid w:val="00BB0243"/>
    <w:rsid w:val="00BB3744"/>
    <w:rsid w:val="00BC36BC"/>
    <w:rsid w:val="00C10B5F"/>
    <w:rsid w:val="00C160FA"/>
    <w:rsid w:val="00C16F0D"/>
    <w:rsid w:val="00C23DD6"/>
    <w:rsid w:val="00C34566"/>
    <w:rsid w:val="00C40BE4"/>
    <w:rsid w:val="00C476A2"/>
    <w:rsid w:val="00C52508"/>
    <w:rsid w:val="00C878D5"/>
    <w:rsid w:val="00C9033B"/>
    <w:rsid w:val="00C913A1"/>
    <w:rsid w:val="00CA0F99"/>
    <w:rsid w:val="00CC6A99"/>
    <w:rsid w:val="00CC7E48"/>
    <w:rsid w:val="00CD1532"/>
    <w:rsid w:val="00CD4A10"/>
    <w:rsid w:val="00CE1C66"/>
    <w:rsid w:val="00CE2E5E"/>
    <w:rsid w:val="00CF58DE"/>
    <w:rsid w:val="00D00AA3"/>
    <w:rsid w:val="00D03044"/>
    <w:rsid w:val="00D0504E"/>
    <w:rsid w:val="00D07F73"/>
    <w:rsid w:val="00D14844"/>
    <w:rsid w:val="00D2041C"/>
    <w:rsid w:val="00D25ADE"/>
    <w:rsid w:val="00D404F0"/>
    <w:rsid w:val="00D43297"/>
    <w:rsid w:val="00D44DB6"/>
    <w:rsid w:val="00D50119"/>
    <w:rsid w:val="00D52ED6"/>
    <w:rsid w:val="00D70B53"/>
    <w:rsid w:val="00D8244E"/>
    <w:rsid w:val="00D82A43"/>
    <w:rsid w:val="00D84D15"/>
    <w:rsid w:val="00DA7B5D"/>
    <w:rsid w:val="00DB1738"/>
    <w:rsid w:val="00DC20ED"/>
    <w:rsid w:val="00DC2C01"/>
    <w:rsid w:val="00DF326B"/>
    <w:rsid w:val="00DF36FF"/>
    <w:rsid w:val="00DF58E7"/>
    <w:rsid w:val="00DF61B0"/>
    <w:rsid w:val="00E11876"/>
    <w:rsid w:val="00E125AA"/>
    <w:rsid w:val="00E1564F"/>
    <w:rsid w:val="00E159C8"/>
    <w:rsid w:val="00E23CBB"/>
    <w:rsid w:val="00E263C4"/>
    <w:rsid w:val="00E309BD"/>
    <w:rsid w:val="00E31100"/>
    <w:rsid w:val="00E37B59"/>
    <w:rsid w:val="00E47FF5"/>
    <w:rsid w:val="00E532E6"/>
    <w:rsid w:val="00E53438"/>
    <w:rsid w:val="00E725FC"/>
    <w:rsid w:val="00E86D5D"/>
    <w:rsid w:val="00E97626"/>
    <w:rsid w:val="00EA36C6"/>
    <w:rsid w:val="00EA5F2F"/>
    <w:rsid w:val="00EC30F9"/>
    <w:rsid w:val="00ED4398"/>
    <w:rsid w:val="00ED5725"/>
    <w:rsid w:val="00ED6644"/>
    <w:rsid w:val="00ED7031"/>
    <w:rsid w:val="00ED741F"/>
    <w:rsid w:val="00EE3060"/>
    <w:rsid w:val="00EE4315"/>
    <w:rsid w:val="00EF6925"/>
    <w:rsid w:val="00F009B4"/>
    <w:rsid w:val="00F12118"/>
    <w:rsid w:val="00F125C2"/>
    <w:rsid w:val="00F21BE6"/>
    <w:rsid w:val="00F21FE2"/>
    <w:rsid w:val="00F26ED3"/>
    <w:rsid w:val="00F35253"/>
    <w:rsid w:val="00F44250"/>
    <w:rsid w:val="00F472C8"/>
    <w:rsid w:val="00F512A3"/>
    <w:rsid w:val="00F62B7A"/>
    <w:rsid w:val="00F6397D"/>
    <w:rsid w:val="00F7293E"/>
    <w:rsid w:val="00F76650"/>
    <w:rsid w:val="00F778B3"/>
    <w:rsid w:val="00F9187B"/>
    <w:rsid w:val="00F92385"/>
    <w:rsid w:val="00FA1B4F"/>
    <w:rsid w:val="00FA510B"/>
    <w:rsid w:val="00FA5523"/>
    <w:rsid w:val="00FA639B"/>
    <w:rsid w:val="00FC47F9"/>
    <w:rsid w:val="00FE2351"/>
    <w:rsid w:val="00FE337D"/>
    <w:rsid w:val="00FE5580"/>
    <w:rsid w:val="00FF1079"/>
    <w:rsid w:val="00FF110C"/>
    <w:rsid w:val="00FF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9689E"/>
  <w15:chartTrackingRefBased/>
  <w15:docId w15:val="{9F5F4D40-DB42-45D5-8BEC-A7BE887FE41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A01CD9"/>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203FA3"/>
    <w:rPr>
      <w:sz w:val="16"/>
      <w:szCs w:val="16"/>
    </w:rPr>
  </w:style>
  <w:style w:type="paragraph" w:styleId="CommentText">
    <w:name w:val="annotation text"/>
    <w:basedOn w:val="Normal"/>
    <w:link w:val="CommentTextChar"/>
    <w:uiPriority w:val="99"/>
    <w:unhideWhenUsed/>
    <w:rsid w:val="00203FA3"/>
    <w:pPr>
      <w:spacing w:line="240" w:lineRule="auto"/>
    </w:pPr>
    <w:rPr>
      <w:sz w:val="20"/>
      <w:szCs w:val="20"/>
    </w:rPr>
  </w:style>
  <w:style w:type="character" w:customStyle="1" w:styleId="CommentTextChar">
    <w:name w:val="Comment Text Char"/>
    <w:basedOn w:val="DefaultParagraphFont"/>
    <w:link w:val="CommentText"/>
    <w:uiPriority w:val="99"/>
    <w:rsid w:val="00203FA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03FA3"/>
    <w:rPr>
      <w:b/>
      <w:bCs/>
    </w:rPr>
  </w:style>
  <w:style w:type="character" w:customStyle="1" w:styleId="CommentSubjectChar">
    <w:name w:val="Comment Subject Char"/>
    <w:basedOn w:val="CommentTextChar"/>
    <w:link w:val="CommentSubject"/>
    <w:uiPriority w:val="99"/>
    <w:semiHidden/>
    <w:rsid w:val="00203FA3"/>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7A2FC47D-E0D1-468D-B157-697593481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998</ap:Words>
  <ap:Characters>5695</ap:Characters>
  <ap:Application>Microsoft Office Word</ap:Application>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6680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2026-05-01T15:34:32Z</dcterms:created>
  <dcterms:modified xsi:type="dcterms:W3CDTF">2026-05-01T15:34:32Z</dcterms:modified>
</cp:coreProperties>
</file>