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064" w:rsidR="004B6522" w:rsidP="004B6522" w:rsidRDefault="00C326A7" w14:paraId="3A20FC25" w14:textId="2EFA52A8">
      <w:pPr>
        <w:suppressAutoHyphens/>
        <w:rPr>
          <w:b/>
          <w:bCs/>
          <w:color w:val="000000"/>
        </w:rPr>
      </w:pPr>
      <w:r>
        <w:rPr>
          <w:color w:val="000000"/>
        </w:rPr>
        <w:t>COM</w:t>
      </w:r>
      <w:r w:rsidR="004B6522">
        <w:rPr>
          <w:color w:val="000000"/>
        </w:rPr>
        <w:t>/</w:t>
      </w:r>
      <w:r w:rsidR="009B78DE">
        <w:rPr>
          <w:color w:val="000000"/>
        </w:rPr>
        <w:t>CHG</w:t>
      </w:r>
      <w:r w:rsidR="004B6522">
        <w:rPr>
          <w:color w:val="000000"/>
        </w:rPr>
        <w:t>/vj4</w:t>
      </w:r>
      <w:r w:rsidR="004B6522">
        <w:rPr>
          <w:color w:val="000000"/>
        </w:rPr>
        <w:tab/>
      </w:r>
      <w:r w:rsidR="004B6522">
        <w:rPr>
          <w:color w:val="000000"/>
        </w:rPr>
        <w:tab/>
      </w:r>
      <w:r w:rsidR="004B6522">
        <w:rPr>
          <w:color w:val="000000"/>
        </w:rPr>
        <w:tab/>
      </w:r>
      <w:r w:rsidR="004B6522">
        <w:rPr>
          <w:color w:val="000000"/>
        </w:rPr>
        <w:tab/>
      </w:r>
      <w:r w:rsidR="004B6522">
        <w:rPr>
          <w:color w:val="000000"/>
        </w:rPr>
        <w:tab/>
      </w:r>
      <w:r w:rsidR="004B6522">
        <w:rPr>
          <w:color w:val="000000"/>
        </w:rPr>
        <w:tab/>
        <w:t xml:space="preserve">    </w:t>
      </w:r>
      <w:r w:rsidR="008948CF">
        <w:rPr>
          <w:color w:val="000000"/>
        </w:rPr>
        <w:t xml:space="preserve">  </w:t>
      </w:r>
      <w:r w:rsidR="00F85321">
        <w:rPr>
          <w:color w:val="000000"/>
        </w:rPr>
        <w:tab/>
      </w:r>
      <w:r w:rsidR="00255373">
        <w:rPr>
          <w:color w:val="000000"/>
        </w:rPr>
        <w:t xml:space="preserve">   </w:t>
      </w:r>
      <w:r w:rsidR="00F85321">
        <w:rPr>
          <w:b/>
          <w:bCs/>
          <w:color w:val="000000"/>
        </w:rPr>
        <w:t>Date of Issuance 5/</w:t>
      </w:r>
      <w:r w:rsidR="00255373">
        <w:rPr>
          <w:b/>
          <w:bCs/>
          <w:color w:val="000000"/>
        </w:rPr>
        <w:t>5</w:t>
      </w:r>
      <w:r w:rsidR="00F85321">
        <w:rPr>
          <w:b/>
          <w:bCs/>
          <w:color w:val="000000"/>
        </w:rPr>
        <w:t>/2026</w:t>
      </w:r>
    </w:p>
    <w:p w:rsidRPr="00D17064" w:rsidR="004B6522" w:rsidP="004B6522" w:rsidRDefault="004B6522" w14:paraId="1E75E405" w14:textId="14EC27D9">
      <w:pPr>
        <w:suppressAutoHyphens/>
        <w:rPr>
          <w:b/>
          <w:bCs/>
          <w:color w:val="000000"/>
        </w:rPr>
      </w:pP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t xml:space="preserve">   </w:t>
      </w:r>
    </w:p>
    <w:p w:rsidR="004B6522" w:rsidRDefault="004B6522" w14:paraId="6A220509" w14:textId="77777777">
      <w:pPr>
        <w:suppressAutoHyphens/>
        <w:rPr>
          <w:color w:val="000000"/>
        </w:rPr>
      </w:pPr>
    </w:p>
    <w:p w:rsidR="004B6522" w:rsidRDefault="004B6522" w14:paraId="394C2B2C" w14:textId="77777777">
      <w:pPr>
        <w:suppressAutoHyphens/>
        <w:rPr>
          <w:color w:val="000000"/>
        </w:rPr>
      </w:pPr>
    </w:p>
    <w:p w:rsidRPr="007F620E" w:rsidR="00A92D0B" w:rsidRDefault="00A92D0B" w14:paraId="5BDA9FD4" w14:textId="4D16F27D">
      <w:pPr>
        <w:suppressAutoHyphens/>
        <w:rPr>
          <w:color w:val="000000"/>
        </w:rPr>
      </w:pPr>
      <w:r w:rsidRPr="007F620E">
        <w:rPr>
          <w:color w:val="000000"/>
        </w:rPr>
        <w:t xml:space="preserve">Decision </w:t>
      </w:r>
      <w:r w:rsidR="000F2765">
        <w:rPr>
          <w:color w:val="000000"/>
        </w:rPr>
        <w:t>26-04-</w:t>
      </w:r>
      <w:proofErr w:type="gramStart"/>
      <w:r w:rsidR="000F2765">
        <w:rPr>
          <w:color w:val="000000"/>
        </w:rPr>
        <w:t>042  April</w:t>
      </w:r>
      <w:proofErr w:type="gramEnd"/>
      <w:r w:rsidR="000F2765">
        <w:rPr>
          <w:color w:val="000000"/>
        </w:rPr>
        <w:t xml:space="preserve"> 30, 2026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7F620E" w:rsidR="00343590" w:rsidTr="007A2F35" w14:paraId="3942D7B4" w14:textId="77777777">
        <w:tc>
          <w:tcPr>
            <w:tcW w:w="5958" w:type="dxa"/>
          </w:tcPr>
          <w:p w:rsidR="00343590" w:rsidP="00343590" w:rsidRDefault="008B0D95" w14:paraId="252A5AC2" w14:textId="77777777">
            <w:pPr>
              <w:tabs>
                <w:tab w:val="left" w:pos="1440"/>
                <w:tab w:val="left" w:pos="3600"/>
              </w:tabs>
            </w:pPr>
            <w:r w:rsidRPr="00744BB2">
              <w:t>Application of Pacific Gas and Electric Company to Recover Helms Uprate Costs.</w:t>
            </w:r>
          </w:p>
          <w:p w:rsidRPr="007F620E" w:rsidR="008E0AC8" w:rsidP="00343590" w:rsidRDefault="008E0AC8" w14:paraId="47850BD9" w14:textId="5AE5BB2E">
            <w:pPr>
              <w:tabs>
                <w:tab w:val="left" w:pos="1440"/>
                <w:tab w:val="left" w:pos="3600"/>
              </w:tabs>
              <w:rPr>
                <w:color w:val="000000"/>
              </w:rPr>
            </w:pPr>
          </w:p>
        </w:tc>
        <w:tc>
          <w:tcPr>
            <w:tcW w:w="3870" w:type="dxa"/>
            <w:tcBorders>
              <w:top w:val="nil"/>
              <w:bottom w:val="nil"/>
            </w:tcBorders>
            <w:vAlign w:val="center"/>
          </w:tcPr>
          <w:p w:rsidRPr="00B85ACD" w:rsidR="00343590" w:rsidP="007A2F35" w:rsidRDefault="00343590" w14:paraId="023AAFB2" w14:textId="77777777">
            <w:pPr>
              <w:jc w:val="center"/>
            </w:pPr>
            <w:r w:rsidRPr="00B85ACD">
              <w:t>Application 23-12-014</w:t>
            </w:r>
          </w:p>
          <w:p w:rsidRPr="00343590" w:rsidR="00343590" w:rsidP="00343590" w:rsidRDefault="00343590" w14:paraId="7EC7277D" w14:textId="6B8460F0">
            <w:pPr>
              <w:jc w:val="center"/>
            </w:pPr>
            <w:r w:rsidRPr="00B85ACD">
              <w:t>(Filed December 2</w:t>
            </w:r>
            <w:r w:rsidR="005C0280">
              <w:t>0</w:t>
            </w:r>
            <w:r w:rsidRPr="00B85ACD">
              <w:t>, 2023)</w:t>
            </w:r>
          </w:p>
        </w:tc>
      </w:tr>
    </w:tbl>
    <w:p w:rsidRPr="007F620E" w:rsidR="00FC72B7" w:rsidRDefault="00FC72B7" w14:paraId="5459E071" w14:textId="77777777">
      <w:pPr>
        <w:jc w:val="center"/>
        <w:rPr>
          <w:b/>
          <w:color w:val="000000"/>
        </w:rPr>
      </w:pPr>
    </w:p>
    <w:p w:rsidR="0048053C" w:rsidP="005E4F95" w:rsidRDefault="0048053C" w14:paraId="5EFF5218" w14:textId="77777777">
      <w:pPr>
        <w:jc w:val="center"/>
        <w:rPr>
          <w:b/>
        </w:rPr>
      </w:pPr>
      <w:r>
        <w:rPr>
          <w:b/>
        </w:rPr>
        <w:t xml:space="preserve">DECISION GRANTING COMPENSATION TO </w:t>
      </w:r>
    </w:p>
    <w:p w:rsidR="005E4F95" w:rsidP="0048053C" w:rsidRDefault="005E4F95" w14:paraId="04B50DBD" w14:textId="0705D04B">
      <w:pPr>
        <w:jc w:val="center"/>
        <w:rPr>
          <w:b/>
        </w:rPr>
      </w:pPr>
      <w:r>
        <w:rPr>
          <w:b/>
        </w:rPr>
        <w:t>THE UTILITY REFORM</w:t>
      </w:r>
      <w:r w:rsidR="0048053C">
        <w:rPr>
          <w:b/>
        </w:rPr>
        <w:t xml:space="preserve"> </w:t>
      </w:r>
      <w:r>
        <w:rPr>
          <w:b/>
        </w:rPr>
        <w:t xml:space="preserve">NETWORK </w:t>
      </w:r>
      <w:r w:rsidR="0048053C">
        <w:rPr>
          <w:b/>
        </w:rPr>
        <w:t>FOR SUBSTANTIAL CONTRIBUTION TO</w:t>
      </w:r>
    </w:p>
    <w:p w:rsidRPr="003F4619" w:rsidR="0048053C" w:rsidP="0048053C" w:rsidRDefault="0048053C" w14:paraId="01302D23" w14:textId="4DBFD6EF">
      <w:pPr>
        <w:jc w:val="center"/>
        <w:rPr>
          <w:b/>
        </w:rPr>
      </w:pPr>
      <w:r>
        <w:rPr>
          <w:b/>
        </w:rPr>
        <w:t>DECISION (D.)</w:t>
      </w:r>
      <w:r w:rsidR="007E3F69">
        <w:rPr>
          <w:b/>
        </w:rPr>
        <w:t xml:space="preserve"> 25-09-016</w:t>
      </w:r>
    </w:p>
    <w:p w:rsidRPr="007F620E" w:rsidR="00A92D0B" w:rsidRDefault="00A92D0B" w14:paraId="4BEAFF75" w14:textId="77777777">
      <w:pPr>
        <w:suppressAutoHyphens/>
        <w:rPr>
          <w:color w:val="000000"/>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9"/>
        <w:gridCol w:w="5846"/>
      </w:tblGrid>
      <w:tr w:rsidRPr="007F620E" w:rsidR="00A92D0B" w:rsidTr="007B2E99" w14:paraId="0FE98F62" w14:textId="77777777">
        <w:tc>
          <w:tcPr>
            <w:tcW w:w="3959" w:type="dxa"/>
          </w:tcPr>
          <w:p w:rsidRPr="00691528" w:rsidR="00A92D0B" w:rsidP="00C47A2B" w:rsidRDefault="005A63D4" w14:paraId="11570D4A" w14:textId="64F2E28D">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1553B2" w:rsidR="005E4F95">
              <w:rPr>
                <w:bCs/>
                <w:color w:val="000000"/>
              </w:rPr>
              <w:t>The Utility Reform Network</w:t>
            </w:r>
          </w:p>
        </w:tc>
        <w:tc>
          <w:tcPr>
            <w:tcW w:w="5846" w:type="dxa"/>
          </w:tcPr>
          <w:p w:rsidRPr="007F620E" w:rsidR="00A92D0B" w:rsidP="00C47A2B" w:rsidRDefault="00A92D0B" w14:paraId="53A584EE" w14:textId="06BCC2B9">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00B51A15">
              <w:rPr>
                <w:b/>
                <w:color w:val="000000"/>
              </w:rPr>
              <w:t>25-09-016</w:t>
            </w:r>
          </w:p>
        </w:tc>
      </w:tr>
      <w:tr w:rsidRPr="007F620E" w:rsidR="00A92D0B" w:rsidTr="007B2E99" w14:paraId="47003B8E" w14:textId="77777777">
        <w:tc>
          <w:tcPr>
            <w:tcW w:w="3959" w:type="dxa"/>
          </w:tcPr>
          <w:p w:rsidRPr="007F620E" w:rsidR="00A92D0B" w:rsidP="00C47A2B" w:rsidRDefault="00A92D0B" w14:paraId="0E2E4BD1" w14:textId="39A4FC29">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Pr="00360DD8" w:rsidR="00FC72B7">
              <w:rPr>
                <w:bCs/>
                <w:color w:val="000000"/>
              </w:rPr>
              <w:t>$</w:t>
            </w:r>
            <w:r w:rsidRPr="00360DD8" w:rsidR="00E24486">
              <w:rPr>
                <w:bCs/>
                <w:color w:val="000000"/>
              </w:rPr>
              <w:t>196,296.37</w:t>
            </w:r>
            <w:r w:rsidR="005D153D">
              <w:rPr>
                <w:bCs/>
                <w:color w:val="000000"/>
              </w:rPr>
              <w:fldChar w:fldCharType="begin"/>
            </w:r>
            <w:r w:rsidR="005D153D">
              <w:rPr>
                <w:bCs/>
                <w:color w:val="000000"/>
              </w:rPr>
              <w:instrText xml:space="preserve"> NOTEREF _Ref220937763 \f \h </w:instrText>
            </w:r>
            <w:r w:rsidR="005D153D">
              <w:rPr>
                <w:bCs/>
                <w:color w:val="000000"/>
              </w:rPr>
            </w:r>
            <w:r w:rsidR="005D153D">
              <w:rPr>
                <w:bCs/>
                <w:color w:val="000000"/>
              </w:rPr>
              <w:fldChar w:fldCharType="separate"/>
            </w:r>
            <w:r w:rsidRPr="00597289" w:rsidR="00F827D9">
              <w:rPr>
                <w:rStyle w:val="FootnoteReference"/>
              </w:rPr>
              <w:t>3</w:t>
            </w:r>
            <w:r w:rsidR="005D153D">
              <w:rPr>
                <w:bCs/>
                <w:color w:val="000000"/>
              </w:rPr>
              <w:fldChar w:fldCharType="end"/>
            </w:r>
          </w:p>
        </w:tc>
        <w:tc>
          <w:tcPr>
            <w:tcW w:w="5846" w:type="dxa"/>
            <w:tcBorders>
              <w:bottom w:val="single" w:color="auto" w:sz="4" w:space="0"/>
            </w:tcBorders>
          </w:tcPr>
          <w:p w:rsidRPr="007F620E" w:rsidR="00A92D0B" w:rsidP="00C47A2B" w:rsidRDefault="00A92D0B" w14:paraId="211F40A8" w14:textId="24F30C8A">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005D153D">
              <w:rPr>
                <w:bCs/>
              </w:rPr>
              <w:t>$196,486.37</w:t>
            </w:r>
          </w:p>
        </w:tc>
      </w:tr>
      <w:tr w:rsidRPr="007F620E" w:rsidR="00A92D0B" w:rsidTr="007B2E99" w14:paraId="5C56877D" w14:textId="77777777">
        <w:tc>
          <w:tcPr>
            <w:tcW w:w="3959" w:type="dxa"/>
          </w:tcPr>
          <w:p w:rsidRPr="00691528" w:rsidR="00A92D0B" w:rsidP="00C47A2B" w:rsidRDefault="00A92D0B" w14:paraId="6EF99E36" w14:textId="5D8BA48A">
            <w:pPr>
              <w:tabs>
                <w:tab w:val="left" w:pos="3060"/>
                <w:tab w:val="right" w:pos="4500"/>
              </w:tabs>
              <w:rPr>
                <w:color w:val="000000"/>
                <w:u w:val="single"/>
              </w:rPr>
            </w:pPr>
            <w:r w:rsidRPr="007F620E">
              <w:rPr>
                <w:b/>
                <w:color w:val="000000"/>
              </w:rPr>
              <w:t xml:space="preserve">Assigned Commissioner: </w:t>
            </w:r>
            <w:r w:rsidR="00DC1EB7">
              <w:rPr>
                <w:bCs/>
                <w:color w:val="000000"/>
              </w:rPr>
              <w:t>Christine Harada</w:t>
            </w:r>
          </w:p>
        </w:tc>
        <w:tc>
          <w:tcPr>
            <w:tcW w:w="5846" w:type="dxa"/>
          </w:tcPr>
          <w:p w:rsidRPr="00691528" w:rsidR="00A92D0B" w:rsidP="00C47A2B" w:rsidRDefault="00A92D0B" w14:paraId="79375F78" w14:textId="5D4571D8">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E364B8" w:rsidR="00B51A15">
              <w:rPr>
                <w:bCs/>
                <w:color w:val="000000"/>
              </w:rPr>
              <w:t>Justin Regnier</w:t>
            </w:r>
          </w:p>
        </w:tc>
      </w:tr>
    </w:tbl>
    <w:p w:rsidR="00691528" w:rsidP="00B74F28" w:rsidRDefault="00A92D0B" w14:paraId="3CEED871" w14:textId="62381001">
      <w:pPr>
        <w:keepNext/>
        <w:spacing w:before="360"/>
        <w:jc w:val="center"/>
        <w:rPr>
          <w:b/>
          <w:color w:val="000000"/>
        </w:rPr>
      </w:pPr>
      <w:r w:rsidRPr="007F620E">
        <w:rPr>
          <w:b/>
          <w:color w:val="000000"/>
        </w:rPr>
        <w:t>PART I</w:t>
      </w:r>
      <w:proofErr w:type="gramStart"/>
      <w:r w:rsidRPr="007F620E">
        <w:rPr>
          <w:b/>
          <w:color w:val="000000"/>
        </w:rPr>
        <w:t>:</w:t>
      </w:r>
      <w:r w:rsidR="008E182E">
        <w:rPr>
          <w:b/>
          <w:color w:val="000000"/>
        </w:rPr>
        <w:t xml:space="preserve">  </w:t>
      </w:r>
      <w:r w:rsidRPr="007F620E">
        <w:rPr>
          <w:b/>
          <w:color w:val="000000"/>
        </w:rPr>
        <w:t>PROCEDURAL</w:t>
      </w:r>
      <w:proofErr w:type="gramEnd"/>
      <w:r w:rsidRPr="007F620E">
        <w:rPr>
          <w:b/>
          <w:color w:val="000000"/>
        </w:rPr>
        <w:t xml:space="preserve">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FB22BF"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B51A15" w:rsidR="00B51A15" w:rsidP="00B51A15" w:rsidRDefault="00B51A15" w14:paraId="027BC4C4" w14:textId="5C997BE7">
            <w:pPr>
              <w:rPr>
                <w:color w:val="000000"/>
              </w:rPr>
            </w:pPr>
            <w:r>
              <w:rPr>
                <w:color w:val="000000"/>
              </w:rPr>
              <w:t>A</w:t>
            </w:r>
            <w:r w:rsidRPr="00B51A15">
              <w:rPr>
                <w:color w:val="000000"/>
              </w:rPr>
              <w:t>pproves and adopts the Settlement Agreement between</w:t>
            </w:r>
          </w:p>
          <w:p w:rsidRPr="00B51A15" w:rsidR="00B51A15" w:rsidP="00B51A15" w:rsidRDefault="00B51A15" w14:paraId="4863A2B8" w14:textId="5408E81E">
            <w:pPr>
              <w:rPr>
                <w:color w:val="000000"/>
              </w:rPr>
            </w:pPr>
            <w:r w:rsidRPr="00B51A15">
              <w:rPr>
                <w:color w:val="000000"/>
              </w:rPr>
              <w:t>Pacific Gas and Electric Company (PG&amp;E), the Public Advocates Office at the</w:t>
            </w:r>
            <w:r>
              <w:rPr>
                <w:color w:val="000000"/>
              </w:rPr>
              <w:t xml:space="preserve"> </w:t>
            </w:r>
            <w:r w:rsidRPr="00B51A15">
              <w:rPr>
                <w:color w:val="000000"/>
              </w:rPr>
              <w:t>California Public Utilities Commission, The Utility Reform Network, and</w:t>
            </w:r>
          </w:p>
          <w:p w:rsidRPr="007F620E" w:rsidR="00FE5F67" w:rsidP="00B51A15" w:rsidRDefault="00B51A15" w14:paraId="67B8ECAA" w14:textId="6D24EA63">
            <w:pPr>
              <w:rPr>
                <w:color w:val="000000"/>
              </w:rPr>
            </w:pPr>
            <w:r w:rsidRPr="00B51A15">
              <w:rPr>
                <w:color w:val="000000"/>
              </w:rPr>
              <w:t xml:space="preserve">Californians for Green Nuclear Power, Inc. </w:t>
            </w:r>
            <w:r>
              <w:rPr>
                <w:color w:val="000000"/>
              </w:rPr>
              <w:t xml:space="preserve">Under the settlement, </w:t>
            </w:r>
            <w:r w:rsidRPr="00B51A15">
              <w:rPr>
                <w:color w:val="000000"/>
              </w:rPr>
              <w:t>PG&amp;E is obligated to take steps</w:t>
            </w:r>
            <w:r>
              <w:rPr>
                <w:color w:val="000000"/>
              </w:rPr>
              <w:t xml:space="preserve"> </w:t>
            </w:r>
            <w:r w:rsidRPr="00B51A15">
              <w:rPr>
                <w:color w:val="000000"/>
              </w:rPr>
              <w:t>throughout the Helms Uprate Project that ensure that ratepayer</w:t>
            </w:r>
            <w:r>
              <w:rPr>
                <w:color w:val="000000"/>
              </w:rPr>
              <w:t xml:space="preserve"> </w:t>
            </w:r>
            <w:r w:rsidRPr="00B51A15">
              <w:rPr>
                <w:color w:val="000000"/>
              </w:rPr>
              <w:t>funds will not continue to be expended should the project cease to be cost-effective.</w:t>
            </w:r>
            <w:r>
              <w:rPr>
                <w:color w:val="000000"/>
              </w:rPr>
              <w:t xml:space="preserve"> </w:t>
            </w:r>
            <w:r w:rsidR="00FD3481">
              <w:rPr>
                <w:color w:val="000000"/>
              </w:rPr>
              <w:t xml:space="preserve">The Settlement also adopts a lower cost cap for the project, a lower contingency, and requires PG&amp;E to apply federal tax credits in a manner that achieves maximum benefits for ratepayers. </w:t>
            </w:r>
            <w:r w:rsidRPr="00B51A15">
              <w:rPr>
                <w:color w:val="000000"/>
              </w:rPr>
              <w:t>Th</w:t>
            </w:r>
            <w:r>
              <w:rPr>
                <w:color w:val="000000"/>
              </w:rPr>
              <w:t>e</w:t>
            </w:r>
            <w:r w:rsidRPr="00B51A15">
              <w:rPr>
                <w:color w:val="000000"/>
              </w:rPr>
              <w:t xml:space="preserve"> </w:t>
            </w:r>
            <w:r>
              <w:rPr>
                <w:color w:val="000000"/>
              </w:rPr>
              <w:t>D</w:t>
            </w:r>
            <w:r w:rsidRPr="00B51A15">
              <w:rPr>
                <w:color w:val="000000"/>
              </w:rPr>
              <w:t>ecision resolves the Phase I issues in this proceeding.</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FB22BF"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B51A15" w14:paraId="35450816" w14:textId="2F6B4CE7">
            <w:pPr>
              <w:keepNext/>
              <w:keepLines/>
              <w:tabs>
                <w:tab w:val="left" w:pos="360"/>
              </w:tabs>
              <w:ind w:left="360" w:hanging="360"/>
              <w:rPr>
                <w:color w:val="000000"/>
              </w:rPr>
            </w:pPr>
            <w:r>
              <w:rPr>
                <w:color w:val="000000"/>
              </w:rPr>
              <w:t>04/15/2024</w:t>
            </w:r>
          </w:p>
        </w:tc>
        <w:tc>
          <w:tcPr>
            <w:tcW w:w="2276" w:type="dxa"/>
            <w:tcBorders>
              <w:top w:val="single" w:color="auto" w:sz="4" w:space="0"/>
            </w:tcBorders>
          </w:tcPr>
          <w:p w:rsidRPr="007F620E" w:rsidR="00A92D0B" w:rsidP="00F028C8" w:rsidRDefault="00694EF1" w14:paraId="34540344" w14:textId="6CB45C5D">
            <w:pPr>
              <w:keepNext/>
              <w:tabs>
                <w:tab w:val="left" w:pos="360"/>
              </w:tabs>
              <w:jc w:val="both"/>
              <w:rPr>
                <w:color w:val="000000"/>
              </w:rPr>
            </w:pPr>
            <w:r>
              <w:rPr>
                <w:color w:val="000000"/>
              </w:rPr>
              <w:t>Verified</w:t>
            </w:r>
          </w:p>
        </w:tc>
      </w:tr>
      <w:tr w:rsidRPr="007F620E" w:rsidR="00A92D0B" w:rsidTr="00FB22BF"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FB22BF"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B51A15" w14:paraId="44F7CCB9" w14:textId="0B63354D">
            <w:pPr>
              <w:keepNext/>
              <w:keepLines/>
              <w:tabs>
                <w:tab w:val="left" w:pos="360"/>
              </w:tabs>
              <w:ind w:left="360" w:hanging="360"/>
              <w:rPr>
                <w:color w:val="000000"/>
              </w:rPr>
            </w:pPr>
            <w:r>
              <w:rPr>
                <w:color w:val="000000"/>
              </w:rPr>
              <w:t>04/18/2024</w:t>
            </w:r>
          </w:p>
        </w:tc>
        <w:tc>
          <w:tcPr>
            <w:tcW w:w="2276" w:type="dxa"/>
            <w:tcBorders>
              <w:bottom w:val="single" w:color="auto" w:sz="4" w:space="0"/>
            </w:tcBorders>
          </w:tcPr>
          <w:p w:rsidRPr="007F620E" w:rsidR="00A92D0B" w:rsidP="00F028C8" w:rsidRDefault="00694EF1" w14:paraId="71759DE3" w14:textId="03DC2628">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694EF1" w14:paraId="61DE2845" w14:textId="5C88312D">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FB22BF"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B51A15" w14:paraId="13E72B6D" w14:textId="6C26D15A">
            <w:pPr>
              <w:keepNext/>
              <w:keepLines/>
              <w:tabs>
                <w:tab w:val="left" w:pos="360"/>
              </w:tabs>
              <w:ind w:left="360" w:hanging="360"/>
              <w:rPr>
                <w:color w:val="000000"/>
              </w:rPr>
            </w:pPr>
            <w:r>
              <w:rPr>
                <w:color w:val="000000"/>
              </w:rPr>
              <w:t>A.23-06-008</w:t>
            </w:r>
          </w:p>
        </w:tc>
        <w:tc>
          <w:tcPr>
            <w:tcW w:w="2276" w:type="dxa"/>
            <w:tcBorders>
              <w:top w:val="single" w:color="auto" w:sz="4" w:space="0"/>
            </w:tcBorders>
          </w:tcPr>
          <w:p w:rsidRPr="007F620E" w:rsidR="00A92D0B" w:rsidP="00F028C8" w:rsidRDefault="00694EF1" w14:paraId="2679B197" w14:textId="21828652">
            <w:pPr>
              <w:keepNext/>
              <w:keepLines/>
              <w:tabs>
                <w:tab w:val="left" w:pos="360"/>
              </w:tabs>
              <w:rPr>
                <w:color w:val="000000"/>
              </w:rPr>
            </w:pPr>
            <w:r>
              <w:rPr>
                <w:color w:val="000000"/>
              </w:rPr>
              <w:t>Verified</w:t>
            </w:r>
          </w:p>
        </w:tc>
      </w:tr>
      <w:tr w:rsidRPr="007F620E" w:rsidR="00A92D0B" w:rsidTr="00FB22BF"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E37D3D" w:rsidRDefault="00B51A15" w14:paraId="306125B9" w14:textId="33BA48E6">
            <w:pPr>
              <w:ind w:left="14" w:hanging="14"/>
              <w:rPr>
                <w:color w:val="000000"/>
              </w:rPr>
            </w:pPr>
            <w:r>
              <w:rPr>
                <w:color w:val="000000"/>
              </w:rPr>
              <w:t>03/20/2024 (with retroactive application)</w:t>
            </w:r>
          </w:p>
        </w:tc>
        <w:tc>
          <w:tcPr>
            <w:tcW w:w="2276" w:type="dxa"/>
          </w:tcPr>
          <w:p w:rsidRPr="007F620E" w:rsidR="00A92D0B" w:rsidP="00F028C8" w:rsidRDefault="00694EF1" w14:paraId="19F10313" w14:textId="540D92B2">
            <w:pPr>
              <w:tabs>
                <w:tab w:val="left" w:pos="360"/>
              </w:tabs>
              <w:rPr>
                <w:color w:val="000000"/>
              </w:rPr>
            </w:pPr>
            <w:r>
              <w:rPr>
                <w:color w:val="000000"/>
              </w:rPr>
              <w:t>Verified</w:t>
            </w:r>
          </w:p>
        </w:tc>
      </w:tr>
      <w:tr w:rsidRPr="007F620E" w:rsidR="00A92D0B" w:rsidTr="00FB22BF"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694EF1" w14:paraId="7D296E63" w14:textId="183F27DB">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FB22BF"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E37D3D" w:rsidRDefault="00B51A15" w14:paraId="54B4911C" w14:textId="411D6A34">
            <w:pPr>
              <w:tabs>
                <w:tab w:val="left" w:pos="360"/>
              </w:tabs>
              <w:ind w:left="14"/>
              <w:rPr>
                <w:color w:val="000000"/>
              </w:rPr>
            </w:pPr>
            <w:r>
              <w:rPr>
                <w:color w:val="000000"/>
              </w:rPr>
              <w:t>A.23-06-008</w:t>
            </w:r>
          </w:p>
        </w:tc>
        <w:tc>
          <w:tcPr>
            <w:tcW w:w="2276" w:type="dxa"/>
            <w:tcBorders>
              <w:top w:val="single" w:color="auto" w:sz="4" w:space="0"/>
            </w:tcBorders>
          </w:tcPr>
          <w:p w:rsidRPr="007F620E" w:rsidR="00A92D0B" w:rsidP="00F028C8" w:rsidRDefault="00694EF1" w14:paraId="2E2FB9D6" w14:textId="69D82A8E">
            <w:pPr>
              <w:tabs>
                <w:tab w:val="left" w:pos="360"/>
              </w:tabs>
              <w:rPr>
                <w:color w:val="000000"/>
              </w:rPr>
            </w:pPr>
            <w:r>
              <w:rPr>
                <w:color w:val="000000"/>
              </w:rPr>
              <w:t>Verified</w:t>
            </w:r>
          </w:p>
        </w:tc>
      </w:tr>
      <w:tr w:rsidRPr="007F620E" w:rsidR="00A92D0B" w:rsidTr="00FB22BF"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B51A15" w:rsidRDefault="00B51A15" w14:paraId="4B66A2E4" w14:textId="3E9D228E">
            <w:pPr>
              <w:tabs>
                <w:tab w:val="left" w:pos="360"/>
              </w:tabs>
              <w:ind w:left="26"/>
              <w:rPr>
                <w:color w:val="000000"/>
              </w:rPr>
            </w:pPr>
            <w:r>
              <w:rPr>
                <w:color w:val="000000"/>
              </w:rPr>
              <w:t>03/20/2024 (with retroactive application)</w:t>
            </w:r>
          </w:p>
        </w:tc>
        <w:tc>
          <w:tcPr>
            <w:tcW w:w="2276" w:type="dxa"/>
          </w:tcPr>
          <w:p w:rsidRPr="007F620E" w:rsidR="00A92D0B" w:rsidP="00F028C8" w:rsidRDefault="00694EF1" w14:paraId="3B83D035" w14:textId="4F988BA7">
            <w:pPr>
              <w:tabs>
                <w:tab w:val="left" w:pos="360"/>
              </w:tabs>
              <w:rPr>
                <w:color w:val="000000"/>
              </w:rPr>
            </w:pPr>
            <w:r>
              <w:rPr>
                <w:color w:val="000000"/>
              </w:rPr>
              <w:t>Verified</w:t>
            </w:r>
          </w:p>
        </w:tc>
      </w:tr>
      <w:tr w:rsidRPr="007F620E" w:rsidR="00357F1A" w:rsidTr="00FB22BF" w14:paraId="7C183C5E" w14:textId="77777777">
        <w:tc>
          <w:tcPr>
            <w:tcW w:w="4817" w:type="dxa"/>
          </w:tcPr>
          <w:p w:rsidRPr="007F620E" w:rsidR="00357F1A" w:rsidP="00F028C8"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F028C8" w:rsidRDefault="00357F1A" w14:paraId="141EB5CF" w14:textId="77777777">
            <w:pPr>
              <w:tabs>
                <w:tab w:val="left" w:pos="360"/>
              </w:tabs>
              <w:ind w:left="360" w:hanging="360"/>
              <w:rPr>
                <w:color w:val="000000"/>
              </w:rPr>
            </w:pPr>
          </w:p>
        </w:tc>
        <w:tc>
          <w:tcPr>
            <w:tcW w:w="2276" w:type="dxa"/>
          </w:tcPr>
          <w:p w:rsidRPr="007F620E" w:rsidR="00357F1A" w:rsidP="00F028C8" w:rsidRDefault="00357F1A" w14:paraId="79318715" w14:textId="77777777">
            <w:pPr>
              <w:tabs>
                <w:tab w:val="left" w:pos="360"/>
              </w:tabs>
              <w:rPr>
                <w:color w:val="000000"/>
              </w:rPr>
            </w:pPr>
          </w:p>
        </w:tc>
      </w:tr>
      <w:tr w:rsidRPr="007F620E" w:rsidR="00A92D0B" w:rsidTr="00F028C8" w14:paraId="4E8D20BF" w14:textId="77777777">
        <w:tc>
          <w:tcPr>
            <w:tcW w:w="7084" w:type="dxa"/>
            <w:gridSpan w:val="2"/>
            <w:tcBorders>
              <w:bottom w:val="single" w:color="auto" w:sz="4" w:space="0"/>
            </w:tcBorders>
          </w:tcPr>
          <w:p w:rsidRPr="007F620E" w:rsidR="00A92D0B" w:rsidP="00F028C8"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276" w:type="dxa"/>
            <w:tcBorders>
              <w:bottom w:val="single" w:color="auto" w:sz="4" w:space="0"/>
            </w:tcBorders>
          </w:tcPr>
          <w:p w:rsidRPr="007F620E" w:rsidR="00A92D0B" w:rsidP="00F028C8" w:rsidRDefault="00694EF1" w14:paraId="0F29B839" w14:textId="42454F88">
            <w:pPr>
              <w:tabs>
                <w:tab w:val="left" w:pos="360"/>
              </w:tabs>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FB22BF"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0027BC" w:rsidRDefault="000027BC" w14:paraId="7166F318" w14:textId="124BA724">
            <w:pPr>
              <w:tabs>
                <w:tab w:val="left" w:pos="360"/>
              </w:tabs>
              <w:jc w:val="center"/>
              <w:rPr>
                <w:color w:val="000000"/>
              </w:rPr>
            </w:pPr>
            <w:r>
              <w:rPr>
                <w:color w:val="000000"/>
              </w:rPr>
              <w:t>D.25-</w:t>
            </w:r>
            <w:r w:rsidR="00B51A15">
              <w:rPr>
                <w:color w:val="000000"/>
              </w:rPr>
              <w:t>09-016</w:t>
            </w:r>
          </w:p>
        </w:tc>
        <w:tc>
          <w:tcPr>
            <w:tcW w:w="2276" w:type="dxa"/>
            <w:tcBorders>
              <w:top w:val="single" w:color="auto" w:sz="4" w:space="0"/>
            </w:tcBorders>
          </w:tcPr>
          <w:p w:rsidRPr="007F620E" w:rsidR="00A92D0B" w:rsidP="00F028C8" w:rsidRDefault="007E0A78" w14:paraId="1588DC54" w14:textId="1DE2A005">
            <w:pPr>
              <w:tabs>
                <w:tab w:val="left" w:pos="360"/>
              </w:tabs>
              <w:rPr>
                <w:color w:val="000000"/>
              </w:rPr>
            </w:pPr>
            <w:r>
              <w:rPr>
                <w:color w:val="000000"/>
              </w:rPr>
              <w:t>Verified</w:t>
            </w:r>
          </w:p>
        </w:tc>
      </w:tr>
      <w:tr w:rsidRPr="007F620E" w:rsidR="00A92D0B" w:rsidTr="00FB22BF"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0027BC" w:rsidRDefault="00B51A15" w14:paraId="20455B5F" w14:textId="7DE29146">
            <w:pPr>
              <w:tabs>
                <w:tab w:val="left" w:pos="360"/>
              </w:tabs>
              <w:jc w:val="center"/>
              <w:rPr>
                <w:color w:val="000000"/>
              </w:rPr>
            </w:pPr>
            <w:r>
              <w:rPr>
                <w:color w:val="000000"/>
              </w:rPr>
              <w:t>09/22/2025</w:t>
            </w:r>
          </w:p>
        </w:tc>
        <w:tc>
          <w:tcPr>
            <w:tcW w:w="2276" w:type="dxa"/>
          </w:tcPr>
          <w:p w:rsidRPr="007F620E" w:rsidR="00A92D0B" w:rsidP="00F028C8" w:rsidRDefault="007E0A78" w14:paraId="1FCF00DD" w14:textId="266BE519">
            <w:pPr>
              <w:tabs>
                <w:tab w:val="left" w:pos="360"/>
              </w:tabs>
              <w:rPr>
                <w:color w:val="000000"/>
              </w:rPr>
            </w:pPr>
            <w:r>
              <w:rPr>
                <w:color w:val="000000"/>
              </w:rPr>
              <w:t>Verified</w:t>
            </w:r>
          </w:p>
        </w:tc>
      </w:tr>
      <w:tr w:rsidRPr="007F620E" w:rsidR="00A92D0B" w:rsidTr="00FB22BF"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0027BC" w:rsidRDefault="00B51A15" w14:paraId="0568B39D" w14:textId="46B65011">
            <w:pPr>
              <w:tabs>
                <w:tab w:val="left" w:pos="360"/>
              </w:tabs>
              <w:jc w:val="center"/>
              <w:rPr>
                <w:color w:val="000000"/>
              </w:rPr>
            </w:pPr>
            <w:r w:rsidRPr="00C170A2">
              <w:rPr>
                <w:color w:val="000000"/>
              </w:rPr>
              <w:t>11/</w:t>
            </w:r>
            <w:r w:rsidRPr="00C170A2" w:rsidR="00C170A2">
              <w:rPr>
                <w:color w:val="000000"/>
              </w:rPr>
              <w:t>20</w:t>
            </w:r>
            <w:r w:rsidRPr="00C170A2">
              <w:rPr>
                <w:color w:val="000000"/>
              </w:rPr>
              <w:t>/2025</w:t>
            </w:r>
          </w:p>
        </w:tc>
        <w:tc>
          <w:tcPr>
            <w:tcW w:w="2276" w:type="dxa"/>
          </w:tcPr>
          <w:p w:rsidRPr="007F620E" w:rsidR="00A92D0B" w:rsidP="00F028C8" w:rsidRDefault="00FB10BD" w14:paraId="1CBF4E7A" w14:textId="7153D7ED">
            <w:pPr>
              <w:tabs>
                <w:tab w:val="left" w:pos="360"/>
              </w:tabs>
              <w:rPr>
                <w:color w:val="000000"/>
              </w:rPr>
            </w:pPr>
            <w:r>
              <w:rPr>
                <w:color w:val="000000"/>
              </w:rPr>
              <w:t>Verified</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proofErr w:type="gramStart"/>
            <w:r w:rsidRPr="007F620E">
              <w:rPr>
                <w:color w:val="000000"/>
              </w:rPr>
              <w:t>16</w:t>
            </w:r>
            <w:r w:rsidR="001E7EE2">
              <w:rPr>
                <w:color w:val="000000"/>
              </w:rPr>
              <w:t>.</w:t>
            </w:r>
            <w:r w:rsidR="001E7EE2">
              <w:rPr>
                <w:color w:val="000000"/>
              </w:rPr>
              <w:tab/>
            </w:r>
            <w:r w:rsidRPr="007F620E">
              <w:rPr>
                <w:color w:val="000000"/>
              </w:rPr>
              <w:t>Was</w:t>
            </w:r>
            <w:proofErr w:type="gramEnd"/>
            <w:r w:rsidRPr="007F620E">
              <w:rPr>
                <w:color w:val="000000"/>
              </w:rPr>
              <w:t xml:space="preserve"> the request for compensation timely?</w:t>
            </w:r>
          </w:p>
        </w:tc>
        <w:tc>
          <w:tcPr>
            <w:tcW w:w="2276" w:type="dxa"/>
          </w:tcPr>
          <w:p w:rsidRPr="007F620E" w:rsidR="00A92D0B" w:rsidP="00F028C8" w:rsidRDefault="00FB10BD" w14:paraId="2EA30E63" w14:textId="4233800E">
            <w:pPr>
              <w:tabs>
                <w:tab w:val="left" w:pos="360"/>
              </w:tabs>
              <w:rPr>
                <w:color w:val="000000"/>
              </w:rPr>
            </w:pPr>
            <w:r>
              <w:rPr>
                <w:color w:val="000000"/>
              </w:rPr>
              <w:t>Yes</w:t>
            </w:r>
          </w:p>
        </w:tc>
      </w:tr>
    </w:tbl>
    <w:p w:rsidR="00A92D0B" w:rsidP="00880855" w:rsidRDefault="00A92D0B" w14:paraId="0068592B" w14:textId="73EB6591">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p>
    <w:tbl>
      <w:tblPr>
        <w:tblpPr w:leftFromText="180" w:rightFromText="180" w:vertAnchor="text" w:tblpY="1"/>
        <w:tblOverlap w:val="neve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5096"/>
      </w:tblGrid>
      <w:tr w:rsidRPr="007F620E" w:rsidR="008B0D95" w:rsidTr="00180A43" w14:paraId="55C0178E" w14:textId="77777777">
        <w:trPr>
          <w:tblHeader/>
        </w:trPr>
        <w:tc>
          <w:tcPr>
            <w:tcW w:w="860" w:type="dxa"/>
            <w:tcBorders>
              <w:bottom w:val="single" w:color="auto" w:sz="4" w:space="0"/>
            </w:tcBorders>
            <w:shd w:val="clear" w:color="auto" w:fill="D9D9D9" w:themeFill="background1" w:themeFillShade="D9"/>
          </w:tcPr>
          <w:p w:rsidRPr="007F620E" w:rsidR="008B0D95" w:rsidP="000F75E6" w:rsidRDefault="008B0D95" w14:paraId="66B0667A" w14:textId="77777777">
            <w:pPr>
              <w:tabs>
                <w:tab w:val="center" w:pos="322"/>
                <w:tab w:val="left" w:pos="360"/>
              </w:tabs>
              <w:rPr>
                <w:b/>
                <w:color w:val="000000"/>
              </w:rPr>
            </w:pPr>
            <w:r>
              <w:rPr>
                <w:b/>
                <w:color w:val="000000"/>
              </w:rPr>
              <w:tab/>
            </w:r>
            <w:r w:rsidRPr="007F620E">
              <w:rPr>
                <w:b/>
                <w:color w:val="000000"/>
              </w:rPr>
              <w:t>#</w:t>
            </w:r>
          </w:p>
        </w:tc>
        <w:tc>
          <w:tcPr>
            <w:tcW w:w="3759" w:type="dxa"/>
            <w:tcBorders>
              <w:bottom w:val="single" w:color="auto" w:sz="4" w:space="0"/>
            </w:tcBorders>
            <w:shd w:val="clear" w:color="auto" w:fill="D9D9D9" w:themeFill="background1" w:themeFillShade="D9"/>
          </w:tcPr>
          <w:p w:rsidRPr="007F620E" w:rsidR="008B0D95" w:rsidP="000F75E6" w:rsidRDefault="008B0D95" w14:paraId="18583B7A" w14:textId="77777777">
            <w:pPr>
              <w:tabs>
                <w:tab w:val="left" w:pos="360"/>
              </w:tabs>
              <w:jc w:val="center"/>
              <w:rPr>
                <w:b/>
                <w:color w:val="000000"/>
              </w:rPr>
            </w:pPr>
            <w:r w:rsidRPr="007F620E">
              <w:rPr>
                <w:b/>
                <w:color w:val="000000"/>
              </w:rPr>
              <w:t>Intervenor’s Comment(s)</w:t>
            </w:r>
          </w:p>
        </w:tc>
        <w:tc>
          <w:tcPr>
            <w:tcW w:w="5096" w:type="dxa"/>
            <w:shd w:val="clear" w:color="auto" w:fill="D9D9D9" w:themeFill="background1" w:themeFillShade="D9"/>
          </w:tcPr>
          <w:p w:rsidRPr="007F620E" w:rsidR="008B0D95" w:rsidP="000F75E6" w:rsidRDefault="008B0D95" w14:paraId="0BEE730B" w14:textId="77777777">
            <w:pPr>
              <w:tabs>
                <w:tab w:val="left" w:pos="360"/>
              </w:tabs>
              <w:jc w:val="center"/>
              <w:rPr>
                <w:b/>
                <w:color w:val="000000"/>
              </w:rPr>
            </w:pPr>
            <w:r w:rsidRPr="007F620E">
              <w:rPr>
                <w:b/>
                <w:color w:val="000000"/>
              </w:rPr>
              <w:t>CPUC Discussion</w:t>
            </w:r>
          </w:p>
        </w:tc>
      </w:tr>
      <w:tr w:rsidRPr="007F620E" w:rsidR="008B0D95" w:rsidTr="00180A43" w14:paraId="7E1B6392" w14:textId="77777777">
        <w:trPr>
          <w:trHeight w:val="67"/>
        </w:trPr>
        <w:tc>
          <w:tcPr>
            <w:tcW w:w="860" w:type="dxa"/>
          </w:tcPr>
          <w:p w:rsidRPr="007F620E" w:rsidR="008B0D95" w:rsidP="000F75E6" w:rsidRDefault="008B0D95" w14:paraId="45548305" w14:textId="77777777">
            <w:pPr>
              <w:tabs>
                <w:tab w:val="left" w:pos="360"/>
              </w:tabs>
              <w:rPr>
                <w:color w:val="000000"/>
              </w:rPr>
            </w:pPr>
            <w:r>
              <w:rPr>
                <w:color w:val="000000"/>
              </w:rPr>
              <w:t>1</w:t>
            </w:r>
          </w:p>
        </w:tc>
        <w:tc>
          <w:tcPr>
            <w:tcW w:w="3759" w:type="dxa"/>
          </w:tcPr>
          <w:p w:rsidRPr="007F620E" w:rsidR="008B0D95" w:rsidP="000F75E6" w:rsidRDefault="008B0D95" w14:paraId="563327E3" w14:textId="77777777">
            <w:pPr>
              <w:tabs>
                <w:tab w:val="left" w:pos="360"/>
              </w:tabs>
              <w:rPr>
                <w:color w:val="000000"/>
              </w:rPr>
            </w:pPr>
            <w:r>
              <w:rPr>
                <w:color w:val="000000"/>
              </w:rPr>
              <w:t xml:space="preserve">In A.23-06-008, an ALJ Ruling issued on March 20, </w:t>
            </w:r>
            <w:proofErr w:type="gramStart"/>
            <w:r>
              <w:rPr>
                <w:color w:val="000000"/>
              </w:rPr>
              <w:t>2024</w:t>
            </w:r>
            <w:proofErr w:type="gramEnd"/>
            <w:r>
              <w:rPr>
                <w:color w:val="000000"/>
              </w:rPr>
              <w:t xml:space="preserve"> found TURN demonstrated significant financial hardship and applied this finding retroactively to proceedings starting on or after June 1, 2023.</w:t>
            </w:r>
          </w:p>
        </w:tc>
        <w:tc>
          <w:tcPr>
            <w:tcW w:w="5096" w:type="dxa"/>
          </w:tcPr>
          <w:p w:rsidRPr="007F620E" w:rsidR="008B0D95" w:rsidP="000F75E6" w:rsidRDefault="00597289" w14:paraId="038E1DD7" w14:textId="3126BF42">
            <w:pPr>
              <w:tabs>
                <w:tab w:val="left" w:pos="360"/>
              </w:tabs>
              <w:rPr>
                <w:color w:val="000000"/>
              </w:rPr>
            </w:pPr>
            <w:r>
              <w:rPr>
                <w:color w:val="000000"/>
              </w:rPr>
              <w:t>Verified</w:t>
            </w:r>
            <w:r w:rsidR="00055A96">
              <w:rPr>
                <w:color w:val="000000"/>
              </w:rPr>
              <w:t xml:space="preserve">. The ruling in A.23-06-008 issued on March 20, </w:t>
            </w:r>
            <w:proofErr w:type="gramStart"/>
            <w:r w:rsidR="00055A96">
              <w:rPr>
                <w:color w:val="000000"/>
              </w:rPr>
              <w:t>2024</w:t>
            </w:r>
            <w:proofErr w:type="gramEnd"/>
            <w:r w:rsidR="00055A96">
              <w:rPr>
                <w:color w:val="000000"/>
              </w:rPr>
              <w:t xml:space="preserve"> found that TURN demonstrated significant financial hardship and stated that this finding also applies retroactively. </w:t>
            </w:r>
          </w:p>
        </w:tc>
      </w:tr>
    </w:tbl>
    <w:p w:rsidR="00794415" w:rsidP="00B74F28" w:rsidRDefault="00794415" w14:paraId="69D1BEC0" w14:textId="77777777">
      <w:pPr>
        <w:widowControl w:val="0"/>
        <w:spacing w:before="480" w:line="360" w:lineRule="auto"/>
        <w:contextualSpacing/>
        <w:rPr>
          <w:b/>
          <w:color w:val="000000"/>
        </w:rPr>
      </w:pPr>
    </w:p>
    <w:p w:rsidR="008B0D95" w:rsidP="00B74F28" w:rsidRDefault="008B0D95" w14:paraId="21C086B2" w14:textId="641687B5">
      <w:pPr>
        <w:widowControl w:val="0"/>
        <w:spacing w:line="360" w:lineRule="auto"/>
        <w:contextualSpacing/>
        <w:jc w:val="center"/>
      </w:pPr>
      <w:r w:rsidRPr="007F620E">
        <w:rPr>
          <w:b/>
          <w:color w:val="000000"/>
        </w:rPr>
        <w:t>PART II</w:t>
      </w:r>
      <w:proofErr w:type="gramStart"/>
      <w:r w:rsidRPr="007F620E">
        <w:rPr>
          <w:b/>
          <w:color w:val="000000"/>
        </w:rPr>
        <w:t>:</w:t>
      </w:r>
      <w:r>
        <w:rPr>
          <w:b/>
          <w:color w:val="000000"/>
        </w:rPr>
        <w:t xml:space="preserve">  </w:t>
      </w:r>
      <w:r w:rsidRPr="007F620E">
        <w:rPr>
          <w:b/>
          <w:color w:val="000000"/>
        </w:rPr>
        <w:t>SUBSTANTIAL</w:t>
      </w:r>
      <w:proofErr w:type="gramEnd"/>
      <w:r w:rsidRPr="007F620E">
        <w:rPr>
          <w:b/>
          <w:color w:val="000000"/>
        </w:rPr>
        <w:t xml:space="preserve"> CONTRIBUTION</w:t>
      </w:r>
    </w:p>
    <w:p w:rsidRPr="00B74F28" w:rsidR="00794415" w:rsidP="00794415" w:rsidRDefault="008B0D95" w14:paraId="5483877C" w14:textId="77777777">
      <w:pPr>
        <w:widowControl w:val="0"/>
        <w:numPr>
          <w:ilvl w:val="0"/>
          <w:numId w:val="8"/>
        </w:numPr>
        <w:spacing w:after="480"/>
        <w:contextualSpacing/>
      </w:pPr>
      <w:r w:rsidRPr="00FB22BF">
        <w:rPr>
          <w:b/>
          <w:color w:val="000000"/>
        </w:rPr>
        <w:t>Did the Intervenor substantially contribute to the final decision (</w:t>
      </w:r>
      <w:r w:rsidRPr="00FB22BF">
        <w:rPr>
          <w:b/>
          <w:i/>
          <w:color w:val="000000"/>
        </w:rPr>
        <w:t>see</w:t>
      </w:r>
      <w:r w:rsidRPr="00FB22BF">
        <w:rPr>
          <w:b/>
          <w:color w:val="000000"/>
        </w:rPr>
        <w:t xml:space="preserve"> § 1802(j), </w:t>
      </w:r>
      <w:r w:rsidRPr="00FB22BF">
        <w:rPr>
          <w:b/>
          <w:color w:val="000000"/>
        </w:rPr>
        <w:br/>
        <w:t>§ 1803(a), 1803.1(a) and D.98-04-059):</w:t>
      </w:r>
    </w:p>
    <w:p w:rsidRPr="00FA461E" w:rsidR="008B0D95" w:rsidP="00B74F28" w:rsidRDefault="008B0D95" w14:paraId="77559F19" w14:textId="5B11CA1C">
      <w:pPr>
        <w:widowControl w:val="0"/>
        <w:spacing w:after="480"/>
        <w:ind w:left="360"/>
        <w:contextualSpacing/>
      </w:pPr>
      <w:r w:rsidRPr="00FB22BF">
        <w:rPr>
          <w:b/>
          <w:color w:val="000000"/>
        </w:rPr>
        <w:t xml:space="preserve"> </w:t>
      </w:r>
    </w:p>
    <w:tbl>
      <w:tblPr>
        <w:tblpPr w:leftFromText="187" w:rightFromText="187" w:vertAnchor="text" w:tblpY="1"/>
        <w:tblOverlap w:val="neve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258"/>
        <w:gridCol w:w="4140"/>
        <w:gridCol w:w="2340"/>
      </w:tblGrid>
      <w:tr w:rsidRPr="007F620E" w:rsidR="00DE56AA" w:rsidTr="00DE56AA" w14:paraId="2BA7818E" w14:textId="77777777">
        <w:tc>
          <w:tcPr>
            <w:tcW w:w="3258" w:type="dxa"/>
            <w:tcBorders>
              <w:bottom w:val="single" w:color="auto" w:sz="4" w:space="0"/>
            </w:tcBorders>
            <w:shd w:val="pct12" w:color="auto" w:fill="auto"/>
          </w:tcPr>
          <w:p w:rsidRPr="007F620E" w:rsidR="00DE56AA" w:rsidP="002E2768" w:rsidRDefault="00DE56AA" w14:paraId="74F59A9C" w14:textId="77777777">
            <w:pPr>
              <w:keepNext/>
              <w:keepLines/>
              <w:contextualSpacing/>
              <w:jc w:val="center"/>
              <w:rPr>
                <w:b/>
                <w:color w:val="000000"/>
              </w:rPr>
            </w:pPr>
            <w:r w:rsidRPr="007F620E">
              <w:rPr>
                <w:b/>
                <w:color w:val="000000"/>
              </w:rPr>
              <w:t>Intervenor’s Claimed Contribution(s)</w:t>
            </w:r>
          </w:p>
        </w:tc>
        <w:tc>
          <w:tcPr>
            <w:tcW w:w="4140" w:type="dxa"/>
            <w:tcBorders>
              <w:bottom w:val="single" w:color="auto" w:sz="4" w:space="0"/>
            </w:tcBorders>
            <w:shd w:val="pct12" w:color="auto" w:fill="auto"/>
          </w:tcPr>
          <w:p w:rsidRPr="007F620E" w:rsidR="00DE56AA" w:rsidP="002E2768" w:rsidRDefault="00DE56AA" w14:paraId="0D394B63" w14:textId="77777777">
            <w:pPr>
              <w:keepNext/>
              <w:keepLines/>
              <w:contextualSpacing/>
              <w:jc w:val="center"/>
              <w:rPr>
                <w:b/>
                <w:color w:val="000000"/>
              </w:rPr>
            </w:pPr>
            <w:r w:rsidRPr="007F620E">
              <w:rPr>
                <w:b/>
                <w:color w:val="000000"/>
              </w:rPr>
              <w:t>Specific References to Intervenor’s Claimed Contribution(s)</w:t>
            </w:r>
          </w:p>
        </w:tc>
        <w:tc>
          <w:tcPr>
            <w:tcW w:w="2340" w:type="dxa"/>
            <w:shd w:val="pct12" w:color="auto" w:fill="auto"/>
          </w:tcPr>
          <w:p w:rsidRPr="007F620E" w:rsidR="00DE56AA" w:rsidP="002E2768" w:rsidRDefault="00DE56AA" w14:paraId="6A0DBA0D" w14:textId="77777777">
            <w:pPr>
              <w:keepNext/>
              <w:keepLines/>
              <w:contextualSpacing/>
              <w:jc w:val="center"/>
              <w:rPr>
                <w:b/>
                <w:color w:val="000000"/>
              </w:rPr>
            </w:pPr>
            <w:r w:rsidRPr="007F620E">
              <w:rPr>
                <w:b/>
                <w:color w:val="000000"/>
              </w:rPr>
              <w:t>CPUC Discussion</w:t>
            </w:r>
          </w:p>
        </w:tc>
      </w:tr>
      <w:tr w:rsidRPr="007F620E" w:rsidR="00DE56AA" w:rsidTr="00DE56AA" w14:paraId="778D826B" w14:textId="77777777">
        <w:tc>
          <w:tcPr>
            <w:tcW w:w="3258" w:type="dxa"/>
          </w:tcPr>
          <w:p w:rsidRPr="0004263F" w:rsidR="00DE56AA" w:rsidP="002E2768" w:rsidRDefault="00DE56AA" w14:paraId="5421EF97" w14:textId="77777777">
            <w:pPr>
              <w:keepNext/>
              <w:keepLines/>
              <w:contextualSpacing/>
              <w:rPr>
                <w:b/>
                <w:bCs/>
                <w:color w:val="000000"/>
              </w:rPr>
            </w:pPr>
            <w:r w:rsidRPr="0004263F">
              <w:rPr>
                <w:b/>
                <w:bCs/>
                <w:color w:val="000000"/>
              </w:rPr>
              <w:t>1. COST CAP</w:t>
            </w:r>
          </w:p>
          <w:p w:rsidRPr="0004263F" w:rsidR="00DE56AA" w:rsidP="002E2768" w:rsidRDefault="00DE56AA" w14:paraId="34F146E1" w14:textId="77777777">
            <w:pPr>
              <w:keepNext/>
              <w:keepLines/>
              <w:contextualSpacing/>
              <w:rPr>
                <w:color w:val="000000"/>
              </w:rPr>
            </w:pPr>
          </w:p>
          <w:p w:rsidRPr="0004263F" w:rsidR="00DE56AA" w:rsidP="002E2768" w:rsidRDefault="00DE56AA" w14:paraId="2738E31B" w14:textId="77777777">
            <w:pPr>
              <w:keepNext/>
              <w:keepLines/>
              <w:contextualSpacing/>
              <w:rPr>
                <w:color w:val="000000"/>
              </w:rPr>
            </w:pPr>
            <w:r w:rsidRPr="0004263F">
              <w:rPr>
                <w:color w:val="000000"/>
              </w:rPr>
              <w:t>TURN expressed concern about the significant risks associated with the Helms Uprate project and argued for risk-sharing mechanisms that share cost responsibility between ratepayers and shareholders if total costs exceed 110% of the cost cap.</w:t>
            </w:r>
          </w:p>
          <w:p w:rsidRPr="0004263F" w:rsidR="00DE56AA" w:rsidP="002E2768" w:rsidRDefault="00DE56AA" w14:paraId="4C6D5395" w14:textId="77777777">
            <w:pPr>
              <w:keepNext/>
              <w:keepLines/>
              <w:contextualSpacing/>
              <w:rPr>
                <w:color w:val="000000"/>
              </w:rPr>
            </w:pPr>
          </w:p>
          <w:p w:rsidRPr="0004263F" w:rsidR="00DE56AA" w:rsidP="002E2768" w:rsidRDefault="00DE56AA" w14:paraId="192C4DA1" w14:textId="77777777">
            <w:pPr>
              <w:keepNext/>
              <w:keepLines/>
              <w:contextualSpacing/>
              <w:rPr>
                <w:color w:val="000000"/>
              </w:rPr>
            </w:pPr>
            <w:r w:rsidRPr="0004263F">
              <w:rPr>
                <w:color w:val="000000"/>
              </w:rPr>
              <w:t xml:space="preserve">The adopted settlement would allow PG&amp;E to avoid reasonableness review only for costs incurred up to the identified cap. </w:t>
            </w:r>
            <w:proofErr w:type="gramStart"/>
            <w:r w:rsidRPr="0004263F">
              <w:rPr>
                <w:color w:val="000000"/>
              </w:rPr>
              <w:t>In the event that</w:t>
            </w:r>
            <w:proofErr w:type="gramEnd"/>
            <w:r w:rsidRPr="0004263F">
              <w:rPr>
                <w:color w:val="000000"/>
              </w:rPr>
              <w:t xml:space="preserve"> costs exceed that cap, PG&amp;E may seek </w:t>
            </w:r>
            <w:proofErr w:type="gramStart"/>
            <w:r w:rsidRPr="0004263F">
              <w:rPr>
                <w:color w:val="000000"/>
              </w:rPr>
              <w:t>recover</w:t>
            </w:r>
            <w:proofErr w:type="gramEnd"/>
            <w:r w:rsidRPr="0004263F">
              <w:rPr>
                <w:color w:val="000000"/>
              </w:rPr>
              <w:t xml:space="preserve"> of excess costs in an application where these costs would be subject to a reasonableness review to determine whether some or </w:t>
            </w:r>
            <w:proofErr w:type="gramStart"/>
            <w:r w:rsidRPr="0004263F">
              <w:rPr>
                <w:color w:val="000000"/>
              </w:rPr>
              <w:t>all of</w:t>
            </w:r>
            <w:proofErr w:type="gramEnd"/>
            <w:r w:rsidRPr="0004263F">
              <w:rPr>
                <w:color w:val="000000"/>
              </w:rPr>
              <w:t xml:space="preserve"> the excess costs may be recovered from ratepayers or assigned to shareholders.</w:t>
            </w:r>
          </w:p>
        </w:tc>
        <w:tc>
          <w:tcPr>
            <w:tcW w:w="4140" w:type="dxa"/>
          </w:tcPr>
          <w:p w:rsidRPr="0004263F" w:rsidR="00DE56AA" w:rsidP="002E2768" w:rsidRDefault="00DE56AA" w14:paraId="53AACC70" w14:textId="77777777">
            <w:pPr>
              <w:keepNext/>
              <w:keepLines/>
              <w:contextualSpacing/>
              <w:rPr>
                <w:color w:val="000000"/>
              </w:rPr>
            </w:pPr>
          </w:p>
          <w:p w:rsidRPr="0004263F" w:rsidR="00DE56AA" w:rsidP="002E2768" w:rsidRDefault="00DE56AA" w14:paraId="5A71D24E" w14:textId="77777777">
            <w:pPr>
              <w:keepNext/>
              <w:keepLines/>
              <w:contextualSpacing/>
              <w:rPr>
                <w:color w:val="000000"/>
              </w:rPr>
            </w:pPr>
          </w:p>
          <w:p w:rsidRPr="0004263F" w:rsidR="00DE56AA" w:rsidP="002E2768" w:rsidRDefault="00DE56AA" w14:paraId="5B9DF092" w14:textId="77777777">
            <w:pPr>
              <w:keepNext/>
              <w:keepLines/>
              <w:contextualSpacing/>
              <w:rPr>
                <w:color w:val="000000"/>
              </w:rPr>
            </w:pPr>
          </w:p>
          <w:p w:rsidRPr="0004263F" w:rsidR="00DE56AA" w:rsidP="002E2768" w:rsidRDefault="00DE56AA" w14:paraId="55230301" w14:textId="77777777">
            <w:pPr>
              <w:keepNext/>
              <w:keepLines/>
              <w:contextualSpacing/>
              <w:rPr>
                <w:color w:val="000000"/>
              </w:rPr>
            </w:pPr>
          </w:p>
          <w:p w:rsidRPr="0004263F" w:rsidR="00DE56AA" w:rsidP="002E2768" w:rsidRDefault="00DE56AA" w14:paraId="3B3721C5" w14:textId="77777777">
            <w:pPr>
              <w:keepNext/>
              <w:keepLines/>
              <w:contextualSpacing/>
              <w:rPr>
                <w:color w:val="000000"/>
                <w:u w:val="single"/>
              </w:rPr>
            </w:pPr>
            <w:r w:rsidRPr="0004263F">
              <w:rPr>
                <w:color w:val="000000"/>
                <w:u w:val="single"/>
              </w:rPr>
              <w:t>Ex. TURN-1, Direct Testimony of William Monsen, pages 3-4, 20-27</w:t>
            </w:r>
          </w:p>
          <w:p w:rsidRPr="0004263F" w:rsidR="00DE56AA" w:rsidP="002E2768" w:rsidRDefault="00DE56AA" w14:paraId="4D174554" w14:textId="77777777">
            <w:pPr>
              <w:keepNext/>
              <w:keepLines/>
              <w:contextualSpacing/>
              <w:rPr>
                <w:color w:val="000000"/>
                <w:u w:val="single"/>
              </w:rPr>
            </w:pPr>
          </w:p>
          <w:p w:rsidRPr="0004263F" w:rsidR="00DE56AA" w:rsidP="002E2768" w:rsidRDefault="00DE56AA" w14:paraId="10CB7B4A" w14:textId="77777777">
            <w:pPr>
              <w:keepNext/>
              <w:keepLines/>
              <w:contextualSpacing/>
              <w:rPr>
                <w:color w:val="000000"/>
                <w:u w:val="single"/>
              </w:rPr>
            </w:pPr>
          </w:p>
          <w:p w:rsidRPr="0004263F" w:rsidR="00DE56AA" w:rsidP="002E2768" w:rsidRDefault="00DE56AA" w14:paraId="69457C34" w14:textId="77777777">
            <w:pPr>
              <w:keepNext/>
              <w:keepLines/>
              <w:contextualSpacing/>
              <w:rPr>
                <w:color w:val="000000"/>
                <w:u w:val="single"/>
              </w:rPr>
            </w:pPr>
          </w:p>
          <w:p w:rsidRPr="0004263F" w:rsidR="00DE56AA" w:rsidP="002E2768" w:rsidRDefault="00DE56AA" w14:paraId="29BACB2E" w14:textId="77777777">
            <w:pPr>
              <w:keepNext/>
              <w:keepLines/>
              <w:contextualSpacing/>
              <w:rPr>
                <w:color w:val="000000"/>
                <w:u w:val="single"/>
              </w:rPr>
            </w:pPr>
          </w:p>
          <w:p w:rsidRPr="0004263F" w:rsidR="00DE56AA" w:rsidP="002E2768" w:rsidRDefault="00DE56AA" w14:paraId="7E1179F3" w14:textId="77777777">
            <w:pPr>
              <w:keepNext/>
              <w:keepLines/>
              <w:tabs>
                <w:tab w:val="left" w:pos="3088"/>
              </w:tabs>
              <w:contextualSpacing/>
              <w:rPr>
                <w:color w:val="000000"/>
                <w:u w:val="single"/>
              </w:rPr>
            </w:pPr>
            <w:r w:rsidRPr="0004263F">
              <w:rPr>
                <w:color w:val="000000"/>
                <w:u w:val="single"/>
              </w:rPr>
              <w:tab/>
            </w:r>
          </w:p>
          <w:p w:rsidRPr="0004263F" w:rsidR="00DE56AA" w:rsidP="002E2768" w:rsidRDefault="00DE56AA" w14:paraId="7F806219" w14:textId="77777777">
            <w:pPr>
              <w:keepNext/>
              <w:keepLines/>
              <w:contextualSpacing/>
              <w:rPr>
                <w:color w:val="000000"/>
                <w:u w:val="single"/>
              </w:rPr>
            </w:pPr>
          </w:p>
          <w:p w:rsidRPr="0004263F" w:rsidR="00DE56AA" w:rsidP="002E2768" w:rsidRDefault="00DE56AA" w14:paraId="7B405EFA" w14:textId="77777777">
            <w:pPr>
              <w:keepNext/>
              <w:keepLines/>
              <w:contextualSpacing/>
              <w:rPr>
                <w:color w:val="000000"/>
                <w:u w:val="single"/>
              </w:rPr>
            </w:pPr>
          </w:p>
          <w:p w:rsidRPr="0004263F" w:rsidR="00DE56AA" w:rsidP="002E2768" w:rsidRDefault="00DE56AA" w14:paraId="6F888D6F" w14:textId="77777777">
            <w:pPr>
              <w:keepNext/>
              <w:keepLines/>
              <w:contextualSpacing/>
              <w:rPr>
                <w:color w:val="000000"/>
                <w:u w:val="single"/>
              </w:rPr>
            </w:pPr>
          </w:p>
          <w:p w:rsidRPr="0004263F" w:rsidR="00DE56AA" w:rsidP="002E2768" w:rsidRDefault="00DE56AA" w14:paraId="64A6DBD3" w14:textId="77777777">
            <w:pPr>
              <w:keepNext/>
              <w:keepLines/>
              <w:contextualSpacing/>
              <w:rPr>
                <w:color w:val="000000"/>
                <w:u w:val="single"/>
              </w:rPr>
            </w:pPr>
          </w:p>
          <w:p w:rsidRPr="0004263F" w:rsidR="00DE56AA" w:rsidP="002E2768" w:rsidRDefault="00DE56AA" w14:paraId="704C1B45" w14:textId="77777777">
            <w:pPr>
              <w:keepNext/>
              <w:keepLines/>
              <w:contextualSpacing/>
              <w:rPr>
                <w:color w:val="000000"/>
                <w:u w:val="single"/>
              </w:rPr>
            </w:pPr>
          </w:p>
          <w:p w:rsidRPr="0004263F" w:rsidR="00DE56AA" w:rsidP="002E2768" w:rsidRDefault="00DE56AA" w14:paraId="32BF1C4E" w14:textId="77777777">
            <w:pPr>
              <w:keepNext/>
              <w:keepLines/>
              <w:contextualSpacing/>
              <w:rPr>
                <w:color w:val="000000"/>
                <w:u w:val="single"/>
              </w:rPr>
            </w:pPr>
          </w:p>
          <w:p w:rsidRPr="0004263F" w:rsidR="00DE56AA" w:rsidP="002E2768" w:rsidRDefault="00DE56AA" w14:paraId="68ADA816" w14:textId="77777777">
            <w:pPr>
              <w:keepNext/>
              <w:keepLines/>
              <w:contextualSpacing/>
              <w:rPr>
                <w:color w:val="000000"/>
                <w:u w:val="single"/>
              </w:rPr>
            </w:pPr>
            <w:r w:rsidRPr="0004263F">
              <w:rPr>
                <w:color w:val="000000"/>
                <w:u w:val="single"/>
              </w:rPr>
              <w:t>D.25-09-016, page 15, Appendix A (Settlement Agreement), Items 1 and 11.</w:t>
            </w:r>
          </w:p>
          <w:p w:rsidRPr="0004263F" w:rsidR="00DE56AA" w:rsidP="002E2768" w:rsidRDefault="00DE56AA" w14:paraId="69164655" w14:textId="77777777">
            <w:pPr>
              <w:keepNext/>
              <w:keepLines/>
              <w:contextualSpacing/>
              <w:rPr>
                <w:color w:val="000000"/>
                <w:u w:val="single"/>
              </w:rPr>
            </w:pPr>
          </w:p>
          <w:p w:rsidRPr="0004263F" w:rsidR="00DE56AA" w:rsidP="002E2768" w:rsidRDefault="00DE56AA" w14:paraId="16950BC4" w14:textId="77777777">
            <w:pPr>
              <w:keepNext/>
              <w:keepLines/>
              <w:contextualSpacing/>
              <w:rPr>
                <w:color w:val="000000"/>
                <w:u w:val="single"/>
              </w:rPr>
            </w:pPr>
          </w:p>
          <w:p w:rsidRPr="0004263F" w:rsidR="00DE56AA" w:rsidP="002E2768" w:rsidRDefault="00DE56AA" w14:paraId="6EF10C5B" w14:textId="77777777">
            <w:pPr>
              <w:keepNext/>
              <w:keepLines/>
              <w:contextualSpacing/>
              <w:rPr>
                <w:color w:val="000000"/>
                <w:u w:val="single"/>
              </w:rPr>
            </w:pPr>
          </w:p>
          <w:p w:rsidRPr="0004263F" w:rsidR="00DE56AA" w:rsidP="002E2768" w:rsidRDefault="00DE56AA" w14:paraId="3073FB11" w14:textId="77777777">
            <w:pPr>
              <w:keepNext/>
              <w:keepLines/>
              <w:contextualSpacing/>
              <w:rPr>
                <w:color w:val="000000"/>
                <w:u w:val="single"/>
              </w:rPr>
            </w:pPr>
          </w:p>
          <w:p w:rsidRPr="0004263F" w:rsidR="00DE56AA" w:rsidP="002E2768" w:rsidRDefault="00DE56AA" w14:paraId="6C738654" w14:textId="77777777">
            <w:pPr>
              <w:keepNext/>
              <w:keepLines/>
              <w:contextualSpacing/>
              <w:rPr>
                <w:color w:val="000000"/>
                <w:u w:val="single"/>
              </w:rPr>
            </w:pPr>
          </w:p>
          <w:p w:rsidRPr="0004263F" w:rsidR="00DE56AA" w:rsidP="002E2768" w:rsidRDefault="00DE56AA" w14:paraId="26F5257A" w14:textId="77777777">
            <w:pPr>
              <w:keepNext/>
              <w:keepLines/>
              <w:contextualSpacing/>
              <w:rPr>
                <w:color w:val="000000"/>
                <w:u w:val="single"/>
              </w:rPr>
            </w:pPr>
          </w:p>
          <w:p w:rsidRPr="0004263F" w:rsidR="00DE56AA" w:rsidP="002E2768" w:rsidRDefault="00DE56AA" w14:paraId="25AB6E99" w14:textId="77777777">
            <w:pPr>
              <w:keepNext/>
              <w:keepLines/>
              <w:contextualSpacing/>
              <w:rPr>
                <w:color w:val="000000"/>
                <w:u w:val="single"/>
              </w:rPr>
            </w:pPr>
          </w:p>
        </w:tc>
        <w:tc>
          <w:tcPr>
            <w:tcW w:w="2340" w:type="dxa"/>
          </w:tcPr>
          <w:p w:rsidRPr="007F620E" w:rsidR="00DE56AA" w:rsidP="002E2768" w:rsidRDefault="006467D4" w14:paraId="3CBE9CAE" w14:textId="353DAEFD">
            <w:pPr>
              <w:keepNext/>
              <w:keepLines/>
              <w:contextualSpacing/>
              <w:rPr>
                <w:color w:val="000000"/>
              </w:rPr>
            </w:pPr>
            <w:r>
              <w:rPr>
                <w:color w:val="000000"/>
              </w:rPr>
              <w:t>Verified</w:t>
            </w:r>
          </w:p>
        </w:tc>
      </w:tr>
      <w:tr w:rsidRPr="007F620E" w:rsidR="00DE56AA" w:rsidTr="002E2768" w14:paraId="04350325" w14:textId="77777777">
        <w:trPr>
          <w:tblHeader/>
        </w:trPr>
        <w:tc>
          <w:tcPr>
            <w:tcW w:w="3258" w:type="dxa"/>
          </w:tcPr>
          <w:p w:rsidRPr="0004263F" w:rsidR="00DE56AA" w:rsidP="002E2768" w:rsidRDefault="00DE56AA" w14:paraId="0AD14074" w14:textId="77777777">
            <w:pPr>
              <w:keepNext/>
              <w:keepLines/>
              <w:contextualSpacing/>
              <w:rPr>
                <w:b/>
                <w:bCs/>
                <w:color w:val="000000"/>
              </w:rPr>
            </w:pPr>
            <w:r w:rsidRPr="0004263F">
              <w:rPr>
                <w:b/>
                <w:bCs/>
                <w:color w:val="000000"/>
              </w:rPr>
              <w:lastRenderedPageBreak/>
              <w:t>2. INVESTMENT TAX CREDIT</w:t>
            </w:r>
          </w:p>
          <w:p w:rsidRPr="0004263F" w:rsidR="00DE56AA" w:rsidP="002E2768" w:rsidRDefault="00DE56AA" w14:paraId="18A2661A" w14:textId="77777777">
            <w:pPr>
              <w:keepNext/>
              <w:keepLines/>
              <w:contextualSpacing/>
              <w:rPr>
                <w:color w:val="000000"/>
              </w:rPr>
            </w:pPr>
          </w:p>
          <w:p w:rsidRPr="0004263F" w:rsidR="00DE56AA" w:rsidP="002E2768" w:rsidRDefault="00DE56AA" w14:paraId="2933C39F" w14:textId="77777777">
            <w:pPr>
              <w:keepNext/>
              <w:keepLines/>
              <w:contextualSpacing/>
              <w:rPr>
                <w:color w:val="000000"/>
              </w:rPr>
            </w:pPr>
            <w:r w:rsidRPr="0004263F">
              <w:rPr>
                <w:color w:val="000000"/>
              </w:rPr>
              <w:t>TURN noted that the economic value of the Helms Uprate project relies heavily on the assumption that the project is eligible for the federal Investment Tax Credit (ITC). Given the risk that the ITC may be repealed or that the Uprate project may be found ineligible, TURN expressed concern that the Net Market Value may become negative. TURN recommended a mechanism to share the risk of ITC reductions between shareholders and ratepayers.</w:t>
            </w:r>
          </w:p>
          <w:p w:rsidRPr="0004263F" w:rsidR="00DE56AA" w:rsidP="002E2768" w:rsidRDefault="00DE56AA" w14:paraId="41E46BE0" w14:textId="77777777">
            <w:pPr>
              <w:keepNext/>
              <w:keepLines/>
              <w:contextualSpacing/>
              <w:rPr>
                <w:color w:val="000000"/>
              </w:rPr>
            </w:pPr>
          </w:p>
          <w:p w:rsidRPr="0004263F" w:rsidR="00DE56AA" w:rsidP="002E2768" w:rsidRDefault="00DE56AA" w14:paraId="730B444B" w14:textId="77777777">
            <w:pPr>
              <w:keepNext/>
              <w:keepLines/>
              <w:contextualSpacing/>
              <w:rPr>
                <w:color w:val="000000"/>
              </w:rPr>
            </w:pPr>
            <w:r w:rsidRPr="0004263F">
              <w:rPr>
                <w:color w:val="000000"/>
              </w:rPr>
              <w:t>In the event that a change in tax law results in an expectation that the full ITC will not be available for the project, the adopted settlement requires PG&amp;E to submit a Tier 3 Advice letter to either continue the project (if it remains cost effective) or terminate the project (if it is no longer cost effective). If terminated, canceled project costs would be subject to the limitations on stranded cost treatment outlined in the settlement. If parties agree that it remains more likely than not that the Uprate project will qualify for the full ITC notwithstanding the change in tax law, PG&amp;E shall submit a Tier 1 Advice Letter. PG&amp;E is required to consult with TURN and Cal Advocates within 120 days of an applicable change in tax law.</w:t>
            </w:r>
          </w:p>
          <w:p w:rsidRPr="0004263F" w:rsidR="00DE56AA" w:rsidP="002E2768" w:rsidRDefault="00DE56AA" w14:paraId="1247DBDF" w14:textId="77777777">
            <w:pPr>
              <w:keepNext/>
              <w:keepLines/>
              <w:contextualSpacing/>
              <w:rPr>
                <w:color w:val="000000"/>
              </w:rPr>
            </w:pPr>
          </w:p>
          <w:p w:rsidRPr="0004263F" w:rsidR="00DE56AA" w:rsidP="002E2768" w:rsidRDefault="00DE56AA" w14:paraId="69CABFC5" w14:textId="77777777">
            <w:pPr>
              <w:keepNext/>
              <w:keepLines/>
              <w:contextualSpacing/>
              <w:rPr>
                <w:color w:val="000000"/>
              </w:rPr>
            </w:pPr>
            <w:r w:rsidRPr="0004263F">
              <w:rPr>
                <w:color w:val="000000"/>
              </w:rPr>
              <w:t>TURN objected to PG&amp;E’s proposal to normalize the ITC which would share the benefits between shareholders and ratepayers. TURN argued that the ITC should be subject to flow-through treatment, if permitted by the federal government, so the entire value benefits ratepayers. TURN’s testimony calculates that this change would save ratepayers $66.1 million (NPV) compared to normalization.</w:t>
            </w:r>
          </w:p>
          <w:p w:rsidRPr="0004263F" w:rsidR="00DE56AA" w:rsidP="002E2768" w:rsidRDefault="00DE56AA" w14:paraId="222BC687" w14:textId="77777777">
            <w:pPr>
              <w:keepNext/>
              <w:keepLines/>
              <w:contextualSpacing/>
              <w:rPr>
                <w:color w:val="000000"/>
              </w:rPr>
            </w:pPr>
          </w:p>
          <w:p w:rsidRPr="0004263F" w:rsidR="00DE56AA" w:rsidP="002E2768" w:rsidRDefault="00DE56AA" w14:paraId="046BFA58" w14:textId="77777777">
            <w:pPr>
              <w:keepNext/>
              <w:keepLines/>
              <w:contextualSpacing/>
              <w:rPr>
                <w:color w:val="000000"/>
              </w:rPr>
            </w:pPr>
            <w:r w:rsidRPr="0004263F">
              <w:rPr>
                <w:color w:val="000000"/>
              </w:rPr>
              <w:t>The adopted settlement requires PG&amp;E to use flow through treatment of ITC realized for the Uprate project, rather than normalization, if allowed by the US Treasury Department.</w:t>
            </w:r>
          </w:p>
        </w:tc>
        <w:tc>
          <w:tcPr>
            <w:tcW w:w="4140" w:type="dxa"/>
          </w:tcPr>
          <w:p w:rsidRPr="0004263F" w:rsidR="00DE56AA" w:rsidP="002E2768" w:rsidRDefault="00DE56AA" w14:paraId="3D6FB884" w14:textId="77777777">
            <w:pPr>
              <w:keepNext/>
              <w:keepLines/>
              <w:contextualSpacing/>
              <w:rPr>
                <w:color w:val="000000"/>
              </w:rPr>
            </w:pPr>
          </w:p>
          <w:p w:rsidRPr="0004263F" w:rsidR="00DE56AA" w:rsidP="002E2768" w:rsidRDefault="00DE56AA" w14:paraId="020682CA" w14:textId="77777777">
            <w:pPr>
              <w:keepNext/>
              <w:keepLines/>
              <w:contextualSpacing/>
              <w:rPr>
                <w:color w:val="000000"/>
              </w:rPr>
            </w:pPr>
          </w:p>
          <w:p w:rsidRPr="0004263F" w:rsidR="00DE56AA" w:rsidP="002E2768" w:rsidRDefault="00DE56AA" w14:paraId="4ED422E6" w14:textId="77777777">
            <w:pPr>
              <w:keepNext/>
              <w:keepLines/>
              <w:contextualSpacing/>
              <w:rPr>
                <w:color w:val="000000"/>
              </w:rPr>
            </w:pPr>
          </w:p>
          <w:p w:rsidRPr="0004263F" w:rsidR="00DE56AA" w:rsidP="002E2768" w:rsidRDefault="00DE56AA" w14:paraId="3B4BAF25" w14:textId="77777777">
            <w:pPr>
              <w:keepNext/>
              <w:keepLines/>
              <w:contextualSpacing/>
              <w:rPr>
                <w:color w:val="000000"/>
              </w:rPr>
            </w:pPr>
          </w:p>
          <w:p w:rsidRPr="0004263F" w:rsidR="00DE56AA" w:rsidP="002E2768" w:rsidRDefault="00DE56AA" w14:paraId="618AE3E6" w14:textId="77777777">
            <w:pPr>
              <w:keepNext/>
              <w:keepLines/>
              <w:contextualSpacing/>
              <w:rPr>
                <w:color w:val="000000"/>
              </w:rPr>
            </w:pPr>
          </w:p>
          <w:p w:rsidRPr="0004263F" w:rsidR="00DE56AA" w:rsidP="002E2768" w:rsidRDefault="00DE56AA" w14:paraId="2855D702" w14:textId="77777777">
            <w:pPr>
              <w:keepNext/>
              <w:keepLines/>
              <w:contextualSpacing/>
              <w:rPr>
                <w:color w:val="000000"/>
                <w:u w:val="single"/>
              </w:rPr>
            </w:pPr>
            <w:r w:rsidRPr="0004263F">
              <w:rPr>
                <w:color w:val="000000"/>
                <w:u w:val="single"/>
              </w:rPr>
              <w:t>Ex. TURN-1, Direct Testimony of William Monsen, pages 6, 27-29, 51-55</w:t>
            </w:r>
          </w:p>
          <w:p w:rsidRPr="0004263F" w:rsidR="00DE56AA" w:rsidP="002E2768" w:rsidRDefault="00DE56AA" w14:paraId="00262326" w14:textId="77777777">
            <w:pPr>
              <w:keepNext/>
              <w:keepLines/>
              <w:contextualSpacing/>
              <w:rPr>
                <w:color w:val="000000"/>
                <w:u w:val="single"/>
              </w:rPr>
            </w:pPr>
          </w:p>
          <w:p w:rsidRPr="0004263F" w:rsidR="00DE56AA" w:rsidP="002E2768" w:rsidRDefault="00DE56AA" w14:paraId="521F1DDA" w14:textId="77777777">
            <w:pPr>
              <w:keepNext/>
              <w:keepLines/>
              <w:contextualSpacing/>
              <w:rPr>
                <w:color w:val="000000"/>
                <w:u w:val="single"/>
              </w:rPr>
            </w:pPr>
          </w:p>
          <w:p w:rsidRPr="0004263F" w:rsidR="00DE56AA" w:rsidP="002E2768" w:rsidRDefault="00DE56AA" w14:paraId="0EC9251E" w14:textId="77777777">
            <w:pPr>
              <w:keepNext/>
              <w:keepLines/>
              <w:contextualSpacing/>
              <w:rPr>
                <w:color w:val="000000"/>
                <w:u w:val="single"/>
              </w:rPr>
            </w:pPr>
          </w:p>
          <w:p w:rsidRPr="0004263F" w:rsidR="00DE56AA" w:rsidP="002E2768" w:rsidRDefault="00DE56AA" w14:paraId="55A1A77F" w14:textId="77777777">
            <w:pPr>
              <w:keepNext/>
              <w:keepLines/>
              <w:contextualSpacing/>
              <w:rPr>
                <w:color w:val="000000"/>
                <w:u w:val="single"/>
              </w:rPr>
            </w:pPr>
          </w:p>
          <w:p w:rsidRPr="0004263F" w:rsidR="00DE56AA" w:rsidP="002E2768" w:rsidRDefault="00DE56AA" w14:paraId="35A3846F" w14:textId="77777777">
            <w:pPr>
              <w:keepNext/>
              <w:keepLines/>
              <w:contextualSpacing/>
              <w:rPr>
                <w:color w:val="000000"/>
                <w:u w:val="single"/>
              </w:rPr>
            </w:pPr>
          </w:p>
          <w:p w:rsidRPr="0004263F" w:rsidR="00DE56AA" w:rsidP="002E2768" w:rsidRDefault="00DE56AA" w14:paraId="5D1C733C" w14:textId="77777777">
            <w:pPr>
              <w:keepNext/>
              <w:keepLines/>
              <w:contextualSpacing/>
              <w:rPr>
                <w:color w:val="000000"/>
                <w:u w:val="single"/>
              </w:rPr>
            </w:pPr>
          </w:p>
          <w:p w:rsidRPr="0004263F" w:rsidR="00DE56AA" w:rsidP="002E2768" w:rsidRDefault="00DE56AA" w14:paraId="277DA7A1" w14:textId="77777777">
            <w:pPr>
              <w:keepNext/>
              <w:keepLines/>
              <w:contextualSpacing/>
              <w:rPr>
                <w:color w:val="000000"/>
                <w:u w:val="single"/>
              </w:rPr>
            </w:pPr>
          </w:p>
          <w:p w:rsidRPr="0004263F" w:rsidR="00DE56AA" w:rsidP="002E2768" w:rsidRDefault="00DE56AA" w14:paraId="1A94955F" w14:textId="77777777">
            <w:pPr>
              <w:keepNext/>
              <w:keepLines/>
              <w:contextualSpacing/>
              <w:rPr>
                <w:color w:val="000000"/>
                <w:u w:val="single"/>
              </w:rPr>
            </w:pPr>
          </w:p>
          <w:p w:rsidRPr="0004263F" w:rsidR="00DE56AA" w:rsidP="002E2768" w:rsidRDefault="00DE56AA" w14:paraId="513314BC" w14:textId="77777777">
            <w:pPr>
              <w:keepNext/>
              <w:keepLines/>
              <w:contextualSpacing/>
              <w:rPr>
                <w:color w:val="000000"/>
                <w:u w:val="single"/>
              </w:rPr>
            </w:pPr>
          </w:p>
          <w:p w:rsidRPr="0004263F" w:rsidR="00DE56AA" w:rsidP="002E2768" w:rsidRDefault="00DE56AA" w14:paraId="2FAF451E" w14:textId="77777777">
            <w:pPr>
              <w:keepNext/>
              <w:keepLines/>
              <w:contextualSpacing/>
              <w:rPr>
                <w:color w:val="000000"/>
                <w:u w:val="single"/>
              </w:rPr>
            </w:pPr>
          </w:p>
          <w:p w:rsidRPr="0004263F" w:rsidR="00DE56AA" w:rsidP="002E2768" w:rsidRDefault="00DE56AA" w14:paraId="71FB5B0C" w14:textId="77777777">
            <w:pPr>
              <w:keepNext/>
              <w:keepLines/>
              <w:contextualSpacing/>
              <w:rPr>
                <w:color w:val="000000"/>
                <w:u w:val="single"/>
              </w:rPr>
            </w:pPr>
          </w:p>
          <w:p w:rsidRPr="0004263F" w:rsidR="00DE56AA" w:rsidP="002E2768" w:rsidRDefault="00DE56AA" w14:paraId="52E0E2AE" w14:textId="77777777">
            <w:pPr>
              <w:keepNext/>
              <w:keepLines/>
              <w:contextualSpacing/>
              <w:rPr>
                <w:color w:val="000000"/>
                <w:u w:val="single"/>
              </w:rPr>
            </w:pPr>
          </w:p>
          <w:p w:rsidRPr="0004263F" w:rsidR="00DE56AA" w:rsidP="002E2768" w:rsidRDefault="00DE56AA" w14:paraId="186508DA" w14:textId="77777777">
            <w:pPr>
              <w:keepNext/>
              <w:keepLines/>
              <w:contextualSpacing/>
              <w:rPr>
                <w:color w:val="000000"/>
                <w:u w:val="single"/>
              </w:rPr>
            </w:pPr>
          </w:p>
          <w:p w:rsidRPr="0004263F" w:rsidR="00DE56AA" w:rsidP="002E2768" w:rsidRDefault="00DE56AA" w14:paraId="77114C4A" w14:textId="77777777">
            <w:pPr>
              <w:keepNext/>
              <w:keepLines/>
              <w:contextualSpacing/>
              <w:rPr>
                <w:color w:val="000000"/>
                <w:u w:val="single"/>
              </w:rPr>
            </w:pPr>
          </w:p>
          <w:p w:rsidRPr="0004263F" w:rsidR="00DE56AA" w:rsidP="002E2768" w:rsidRDefault="00DE56AA" w14:paraId="6DA89C74" w14:textId="77777777">
            <w:pPr>
              <w:keepNext/>
              <w:keepLines/>
              <w:contextualSpacing/>
              <w:rPr>
                <w:color w:val="000000"/>
                <w:u w:val="single"/>
              </w:rPr>
            </w:pPr>
          </w:p>
          <w:p w:rsidRPr="0004263F" w:rsidR="00DE56AA" w:rsidP="002E2768" w:rsidRDefault="00DE56AA" w14:paraId="78870BCB" w14:textId="77777777">
            <w:pPr>
              <w:keepNext/>
              <w:keepLines/>
              <w:contextualSpacing/>
              <w:rPr>
                <w:color w:val="000000"/>
                <w:u w:val="single"/>
              </w:rPr>
            </w:pPr>
            <w:r w:rsidRPr="0004263F">
              <w:rPr>
                <w:color w:val="000000"/>
                <w:u w:val="single"/>
              </w:rPr>
              <w:t>D.25-09-016, pages 16, 47, Appendix A (Settlement Agreement), Item 3(a), Attachment 1 (Item 5).</w:t>
            </w:r>
          </w:p>
          <w:p w:rsidRPr="0004263F" w:rsidR="00DE56AA" w:rsidP="002E2768" w:rsidRDefault="00DE56AA" w14:paraId="6FDC5C1C" w14:textId="77777777">
            <w:pPr>
              <w:keepNext/>
              <w:keepLines/>
              <w:contextualSpacing/>
              <w:rPr>
                <w:color w:val="000000"/>
                <w:u w:val="single"/>
              </w:rPr>
            </w:pPr>
          </w:p>
          <w:p w:rsidRPr="0004263F" w:rsidR="00DE56AA" w:rsidP="002E2768" w:rsidRDefault="00DE56AA" w14:paraId="73C697A1" w14:textId="77777777">
            <w:pPr>
              <w:keepNext/>
              <w:keepLines/>
              <w:contextualSpacing/>
              <w:rPr>
                <w:color w:val="000000"/>
                <w:u w:val="single"/>
              </w:rPr>
            </w:pPr>
          </w:p>
          <w:p w:rsidRPr="0004263F" w:rsidR="00DE56AA" w:rsidP="002E2768" w:rsidRDefault="00DE56AA" w14:paraId="24B3E643" w14:textId="77777777">
            <w:pPr>
              <w:keepNext/>
              <w:keepLines/>
              <w:contextualSpacing/>
              <w:rPr>
                <w:color w:val="000000"/>
                <w:u w:val="single"/>
              </w:rPr>
            </w:pPr>
          </w:p>
          <w:p w:rsidRPr="0004263F" w:rsidR="00DE56AA" w:rsidP="002E2768" w:rsidRDefault="00DE56AA" w14:paraId="24956C09" w14:textId="77777777">
            <w:pPr>
              <w:keepNext/>
              <w:keepLines/>
              <w:contextualSpacing/>
              <w:rPr>
                <w:color w:val="000000"/>
                <w:u w:val="single"/>
              </w:rPr>
            </w:pPr>
          </w:p>
          <w:p w:rsidRPr="0004263F" w:rsidR="00DE56AA" w:rsidP="002E2768" w:rsidRDefault="00DE56AA" w14:paraId="135E6AFE" w14:textId="77777777">
            <w:pPr>
              <w:keepNext/>
              <w:keepLines/>
              <w:contextualSpacing/>
              <w:rPr>
                <w:color w:val="000000"/>
                <w:u w:val="single"/>
              </w:rPr>
            </w:pPr>
          </w:p>
          <w:p w:rsidRPr="0004263F" w:rsidR="00DE56AA" w:rsidP="002E2768" w:rsidRDefault="00DE56AA" w14:paraId="283B3DF5" w14:textId="77777777">
            <w:pPr>
              <w:keepNext/>
              <w:keepLines/>
              <w:contextualSpacing/>
              <w:rPr>
                <w:color w:val="000000"/>
                <w:u w:val="single"/>
              </w:rPr>
            </w:pPr>
          </w:p>
          <w:p w:rsidRPr="0004263F" w:rsidR="00DE56AA" w:rsidP="002E2768" w:rsidRDefault="00DE56AA" w14:paraId="03C4B5E0" w14:textId="77777777">
            <w:pPr>
              <w:keepNext/>
              <w:keepLines/>
              <w:contextualSpacing/>
              <w:rPr>
                <w:color w:val="000000"/>
                <w:u w:val="single"/>
              </w:rPr>
            </w:pPr>
          </w:p>
          <w:p w:rsidRPr="0004263F" w:rsidR="00DE56AA" w:rsidP="002E2768" w:rsidRDefault="00DE56AA" w14:paraId="2C820BFF" w14:textId="77777777">
            <w:pPr>
              <w:keepNext/>
              <w:keepLines/>
              <w:contextualSpacing/>
              <w:rPr>
                <w:color w:val="000000"/>
                <w:u w:val="single"/>
              </w:rPr>
            </w:pPr>
          </w:p>
          <w:p w:rsidRPr="0004263F" w:rsidR="00DE56AA" w:rsidP="002E2768" w:rsidRDefault="00DE56AA" w14:paraId="14130344" w14:textId="77777777">
            <w:pPr>
              <w:keepNext/>
              <w:keepLines/>
              <w:contextualSpacing/>
              <w:rPr>
                <w:color w:val="000000"/>
                <w:u w:val="single"/>
              </w:rPr>
            </w:pPr>
          </w:p>
          <w:p w:rsidRPr="0004263F" w:rsidR="00DE56AA" w:rsidP="002E2768" w:rsidRDefault="00DE56AA" w14:paraId="38710213" w14:textId="77777777">
            <w:pPr>
              <w:keepNext/>
              <w:keepLines/>
              <w:contextualSpacing/>
              <w:rPr>
                <w:color w:val="000000"/>
                <w:u w:val="single"/>
              </w:rPr>
            </w:pPr>
          </w:p>
          <w:p w:rsidRPr="0004263F" w:rsidR="00DE56AA" w:rsidP="002E2768" w:rsidRDefault="00DE56AA" w14:paraId="6269597C" w14:textId="77777777">
            <w:pPr>
              <w:keepNext/>
              <w:keepLines/>
              <w:contextualSpacing/>
              <w:rPr>
                <w:color w:val="000000"/>
                <w:u w:val="single"/>
              </w:rPr>
            </w:pPr>
          </w:p>
          <w:p w:rsidRPr="0004263F" w:rsidR="00DE56AA" w:rsidP="002E2768" w:rsidRDefault="00DE56AA" w14:paraId="7E9AC7EE" w14:textId="77777777">
            <w:pPr>
              <w:keepNext/>
              <w:keepLines/>
              <w:contextualSpacing/>
              <w:rPr>
                <w:color w:val="000000"/>
                <w:u w:val="single"/>
              </w:rPr>
            </w:pPr>
          </w:p>
          <w:p w:rsidRPr="0004263F" w:rsidR="00DE56AA" w:rsidP="002E2768" w:rsidRDefault="00DE56AA" w14:paraId="12F4E628" w14:textId="77777777">
            <w:pPr>
              <w:keepNext/>
              <w:keepLines/>
              <w:contextualSpacing/>
              <w:rPr>
                <w:color w:val="000000"/>
                <w:u w:val="single"/>
              </w:rPr>
            </w:pPr>
          </w:p>
          <w:p w:rsidRPr="0004263F" w:rsidR="00DE56AA" w:rsidP="002E2768" w:rsidRDefault="00DE56AA" w14:paraId="582E4733" w14:textId="77777777">
            <w:pPr>
              <w:keepNext/>
              <w:keepLines/>
              <w:contextualSpacing/>
              <w:rPr>
                <w:color w:val="000000"/>
                <w:u w:val="single"/>
              </w:rPr>
            </w:pPr>
          </w:p>
          <w:p w:rsidRPr="0004263F" w:rsidR="00DE56AA" w:rsidP="002E2768" w:rsidRDefault="00DE56AA" w14:paraId="026E51FD" w14:textId="77777777">
            <w:pPr>
              <w:keepNext/>
              <w:keepLines/>
              <w:contextualSpacing/>
              <w:rPr>
                <w:color w:val="000000"/>
                <w:u w:val="single"/>
              </w:rPr>
            </w:pPr>
          </w:p>
          <w:p w:rsidRPr="0004263F" w:rsidR="00DE56AA" w:rsidP="002E2768" w:rsidRDefault="00DE56AA" w14:paraId="5D4BFDF2" w14:textId="77777777">
            <w:pPr>
              <w:keepNext/>
              <w:keepLines/>
              <w:contextualSpacing/>
              <w:rPr>
                <w:color w:val="000000"/>
                <w:u w:val="single"/>
              </w:rPr>
            </w:pPr>
          </w:p>
          <w:p w:rsidRPr="0004263F" w:rsidR="00DE56AA" w:rsidP="002E2768" w:rsidRDefault="00DE56AA" w14:paraId="475A1F1B" w14:textId="77777777">
            <w:pPr>
              <w:keepNext/>
              <w:keepLines/>
              <w:contextualSpacing/>
              <w:rPr>
                <w:color w:val="000000"/>
                <w:u w:val="single"/>
              </w:rPr>
            </w:pPr>
          </w:p>
          <w:p w:rsidRPr="0004263F" w:rsidR="00DE56AA" w:rsidP="002E2768" w:rsidRDefault="00DE56AA" w14:paraId="676838C1" w14:textId="77777777">
            <w:pPr>
              <w:keepNext/>
              <w:keepLines/>
              <w:contextualSpacing/>
              <w:rPr>
                <w:color w:val="000000"/>
                <w:u w:val="single"/>
              </w:rPr>
            </w:pPr>
          </w:p>
          <w:p w:rsidRPr="0004263F" w:rsidR="00DE56AA" w:rsidP="002E2768" w:rsidRDefault="00DE56AA" w14:paraId="24563E2C" w14:textId="77777777">
            <w:pPr>
              <w:keepNext/>
              <w:keepLines/>
              <w:contextualSpacing/>
              <w:rPr>
                <w:color w:val="000000"/>
                <w:u w:val="single"/>
              </w:rPr>
            </w:pPr>
          </w:p>
          <w:p w:rsidRPr="0004263F" w:rsidR="00DE56AA" w:rsidP="002E2768" w:rsidRDefault="00DE56AA" w14:paraId="1B9BF3B4" w14:textId="77777777">
            <w:pPr>
              <w:keepNext/>
              <w:keepLines/>
              <w:contextualSpacing/>
              <w:rPr>
                <w:color w:val="000000"/>
                <w:u w:val="single"/>
              </w:rPr>
            </w:pPr>
          </w:p>
          <w:p w:rsidRPr="0004263F" w:rsidR="00DE56AA" w:rsidP="002E2768" w:rsidRDefault="00DE56AA" w14:paraId="48E11270" w14:textId="77777777">
            <w:pPr>
              <w:keepNext/>
              <w:keepLines/>
              <w:contextualSpacing/>
              <w:rPr>
                <w:color w:val="000000"/>
                <w:u w:val="single"/>
              </w:rPr>
            </w:pPr>
          </w:p>
          <w:p w:rsidRPr="0004263F" w:rsidR="00DE56AA" w:rsidP="002E2768" w:rsidRDefault="00DE56AA" w14:paraId="7D8D288D" w14:textId="77777777">
            <w:pPr>
              <w:keepNext/>
              <w:keepLines/>
              <w:contextualSpacing/>
              <w:rPr>
                <w:color w:val="000000"/>
                <w:u w:val="single"/>
              </w:rPr>
            </w:pPr>
          </w:p>
          <w:p w:rsidRPr="0004263F" w:rsidR="00DE56AA" w:rsidP="002E2768" w:rsidRDefault="00DE56AA" w14:paraId="2B59AF92" w14:textId="77777777">
            <w:pPr>
              <w:keepNext/>
              <w:keepLines/>
              <w:contextualSpacing/>
              <w:rPr>
                <w:color w:val="000000"/>
                <w:u w:val="single"/>
              </w:rPr>
            </w:pPr>
          </w:p>
          <w:p w:rsidRPr="0004263F" w:rsidR="00DE56AA" w:rsidP="002E2768" w:rsidRDefault="00DE56AA" w14:paraId="2AB141BE" w14:textId="77777777">
            <w:pPr>
              <w:keepNext/>
              <w:keepLines/>
              <w:contextualSpacing/>
              <w:rPr>
                <w:color w:val="000000"/>
                <w:u w:val="single"/>
              </w:rPr>
            </w:pPr>
          </w:p>
          <w:p w:rsidRPr="0004263F" w:rsidR="00DE56AA" w:rsidP="002E2768" w:rsidRDefault="00DE56AA" w14:paraId="6D33D75C" w14:textId="77777777">
            <w:pPr>
              <w:keepNext/>
              <w:keepLines/>
              <w:contextualSpacing/>
              <w:rPr>
                <w:color w:val="000000"/>
                <w:u w:val="single"/>
              </w:rPr>
            </w:pPr>
          </w:p>
          <w:p w:rsidRPr="0004263F" w:rsidR="00DE56AA" w:rsidP="002E2768" w:rsidRDefault="00DE56AA" w14:paraId="78D9CD3E" w14:textId="77777777">
            <w:pPr>
              <w:keepNext/>
              <w:keepLines/>
              <w:contextualSpacing/>
              <w:rPr>
                <w:color w:val="000000"/>
                <w:u w:val="single"/>
              </w:rPr>
            </w:pPr>
            <w:r w:rsidRPr="0004263F">
              <w:rPr>
                <w:color w:val="000000"/>
                <w:u w:val="single"/>
              </w:rPr>
              <w:t>Ex. TURN-1, Direct Testimony of William Monsen, pages 8, 60-64</w:t>
            </w:r>
          </w:p>
          <w:p w:rsidRPr="0004263F" w:rsidR="00DE56AA" w:rsidP="002E2768" w:rsidRDefault="00DE56AA" w14:paraId="56A3C838" w14:textId="77777777">
            <w:pPr>
              <w:keepNext/>
              <w:keepLines/>
              <w:contextualSpacing/>
              <w:rPr>
                <w:color w:val="000000"/>
                <w:u w:val="single"/>
              </w:rPr>
            </w:pPr>
          </w:p>
          <w:p w:rsidRPr="0004263F" w:rsidR="00DE56AA" w:rsidP="002E2768" w:rsidRDefault="00DE56AA" w14:paraId="6445008E" w14:textId="77777777">
            <w:pPr>
              <w:keepNext/>
              <w:keepLines/>
              <w:contextualSpacing/>
              <w:rPr>
                <w:color w:val="000000"/>
                <w:u w:val="single"/>
              </w:rPr>
            </w:pPr>
          </w:p>
          <w:p w:rsidRPr="0004263F" w:rsidR="00DE56AA" w:rsidP="002E2768" w:rsidRDefault="00DE56AA" w14:paraId="46333D39" w14:textId="77777777">
            <w:pPr>
              <w:keepNext/>
              <w:keepLines/>
              <w:contextualSpacing/>
              <w:rPr>
                <w:color w:val="000000"/>
                <w:u w:val="single"/>
              </w:rPr>
            </w:pPr>
          </w:p>
          <w:p w:rsidRPr="0004263F" w:rsidR="00DE56AA" w:rsidP="002E2768" w:rsidRDefault="00DE56AA" w14:paraId="36C0944A" w14:textId="77777777">
            <w:pPr>
              <w:keepNext/>
              <w:keepLines/>
              <w:contextualSpacing/>
              <w:rPr>
                <w:color w:val="000000"/>
                <w:u w:val="single"/>
              </w:rPr>
            </w:pPr>
          </w:p>
          <w:p w:rsidRPr="0004263F" w:rsidR="00DE56AA" w:rsidP="002E2768" w:rsidRDefault="00DE56AA" w14:paraId="1505B9E5" w14:textId="77777777">
            <w:pPr>
              <w:keepNext/>
              <w:keepLines/>
              <w:contextualSpacing/>
              <w:rPr>
                <w:color w:val="000000"/>
                <w:u w:val="single"/>
              </w:rPr>
            </w:pPr>
          </w:p>
          <w:p w:rsidRPr="0004263F" w:rsidR="00DE56AA" w:rsidP="002E2768" w:rsidRDefault="00DE56AA" w14:paraId="17B945F5" w14:textId="77777777">
            <w:pPr>
              <w:keepNext/>
              <w:keepLines/>
              <w:contextualSpacing/>
              <w:rPr>
                <w:color w:val="000000"/>
                <w:u w:val="single"/>
              </w:rPr>
            </w:pPr>
          </w:p>
          <w:p w:rsidRPr="0004263F" w:rsidR="00DE56AA" w:rsidP="002E2768" w:rsidRDefault="00DE56AA" w14:paraId="39BD9196" w14:textId="77777777">
            <w:pPr>
              <w:keepNext/>
              <w:keepLines/>
              <w:contextualSpacing/>
              <w:rPr>
                <w:color w:val="000000"/>
                <w:u w:val="single"/>
              </w:rPr>
            </w:pPr>
          </w:p>
          <w:p w:rsidRPr="0004263F" w:rsidR="00DE56AA" w:rsidP="002E2768" w:rsidRDefault="00DE56AA" w14:paraId="3886E935" w14:textId="77777777">
            <w:pPr>
              <w:keepNext/>
              <w:keepLines/>
              <w:contextualSpacing/>
              <w:rPr>
                <w:color w:val="000000"/>
                <w:u w:val="single"/>
              </w:rPr>
            </w:pPr>
          </w:p>
          <w:p w:rsidRPr="0004263F" w:rsidR="00DE56AA" w:rsidP="002E2768" w:rsidRDefault="00DE56AA" w14:paraId="2AAD5532" w14:textId="77777777">
            <w:pPr>
              <w:keepNext/>
              <w:keepLines/>
              <w:contextualSpacing/>
              <w:rPr>
                <w:color w:val="000000"/>
                <w:u w:val="single"/>
              </w:rPr>
            </w:pPr>
          </w:p>
          <w:p w:rsidRPr="0004263F" w:rsidR="00DE56AA" w:rsidP="002E2768" w:rsidRDefault="00DE56AA" w14:paraId="56AA28D1" w14:textId="77777777">
            <w:pPr>
              <w:keepNext/>
              <w:keepLines/>
              <w:contextualSpacing/>
              <w:rPr>
                <w:color w:val="000000"/>
                <w:u w:val="single"/>
              </w:rPr>
            </w:pPr>
          </w:p>
          <w:p w:rsidRPr="0004263F" w:rsidR="00DE56AA" w:rsidP="002E2768" w:rsidRDefault="00DE56AA" w14:paraId="58ECC8F8" w14:textId="77777777">
            <w:pPr>
              <w:keepNext/>
              <w:keepLines/>
              <w:contextualSpacing/>
              <w:rPr>
                <w:color w:val="000000"/>
                <w:u w:val="single"/>
              </w:rPr>
            </w:pPr>
          </w:p>
          <w:p w:rsidRPr="0004263F" w:rsidR="00DE56AA" w:rsidP="002E2768" w:rsidRDefault="00DE56AA" w14:paraId="0EE6B347" w14:textId="77777777">
            <w:pPr>
              <w:keepNext/>
              <w:keepLines/>
              <w:contextualSpacing/>
              <w:rPr>
                <w:color w:val="000000"/>
                <w:u w:val="single"/>
              </w:rPr>
            </w:pPr>
            <w:r w:rsidRPr="0004263F">
              <w:rPr>
                <w:color w:val="000000"/>
                <w:u w:val="single"/>
              </w:rPr>
              <w:t>D.25-09-016, pages 19, 50, Appendix A (Settlement Agreement), Item 9.</w:t>
            </w:r>
          </w:p>
          <w:p w:rsidRPr="0004263F" w:rsidR="00DE56AA" w:rsidP="002E2768" w:rsidRDefault="00DE56AA" w14:paraId="437874D2" w14:textId="77777777">
            <w:pPr>
              <w:keepNext/>
              <w:keepLines/>
              <w:contextualSpacing/>
              <w:rPr>
                <w:color w:val="000000"/>
              </w:rPr>
            </w:pPr>
          </w:p>
        </w:tc>
        <w:tc>
          <w:tcPr>
            <w:tcW w:w="2340" w:type="dxa"/>
          </w:tcPr>
          <w:p w:rsidRPr="007F620E" w:rsidR="00DE56AA" w:rsidP="002E2768" w:rsidRDefault="00A83A51" w14:paraId="7F2687CF" w14:textId="5AF7F8B2">
            <w:pPr>
              <w:keepNext/>
              <w:keepLines/>
              <w:contextualSpacing/>
              <w:rPr>
                <w:color w:val="000000"/>
              </w:rPr>
            </w:pPr>
            <w:r>
              <w:rPr>
                <w:color w:val="000000"/>
              </w:rPr>
              <w:lastRenderedPageBreak/>
              <w:t>Verified</w:t>
            </w:r>
          </w:p>
        </w:tc>
      </w:tr>
      <w:tr w:rsidRPr="007F620E" w:rsidR="00DE56AA" w:rsidTr="002E2768" w14:paraId="554CF403" w14:textId="77777777">
        <w:trPr>
          <w:tblHeader/>
        </w:trPr>
        <w:tc>
          <w:tcPr>
            <w:tcW w:w="3258" w:type="dxa"/>
          </w:tcPr>
          <w:p w:rsidRPr="0004263F" w:rsidR="00DE56AA" w:rsidP="002E2768" w:rsidRDefault="00DE56AA" w14:paraId="00C64822" w14:textId="77777777">
            <w:pPr>
              <w:keepNext/>
              <w:keepLines/>
              <w:contextualSpacing/>
              <w:rPr>
                <w:b/>
                <w:bCs/>
                <w:color w:val="000000"/>
              </w:rPr>
            </w:pPr>
            <w:r w:rsidRPr="0004263F">
              <w:rPr>
                <w:b/>
                <w:bCs/>
                <w:color w:val="000000"/>
              </w:rPr>
              <w:t>3. CONTINGENCY</w:t>
            </w:r>
          </w:p>
          <w:p w:rsidRPr="0004263F" w:rsidR="00DE56AA" w:rsidP="002E2768" w:rsidRDefault="00DE56AA" w14:paraId="51CA01D7" w14:textId="77777777">
            <w:pPr>
              <w:keepNext/>
              <w:keepLines/>
              <w:contextualSpacing/>
              <w:rPr>
                <w:color w:val="000000"/>
              </w:rPr>
            </w:pPr>
          </w:p>
          <w:p w:rsidRPr="0004263F" w:rsidR="00DE56AA" w:rsidP="002E2768" w:rsidRDefault="00DE56AA" w14:paraId="4DB56581" w14:textId="77777777">
            <w:pPr>
              <w:keepNext/>
              <w:keepLines/>
              <w:contextualSpacing/>
              <w:rPr>
                <w:color w:val="000000"/>
              </w:rPr>
            </w:pPr>
            <w:r w:rsidRPr="0004263F">
              <w:rPr>
                <w:color w:val="000000"/>
              </w:rPr>
              <w:t>TURN opposed PG&amp;E’s use of a 50% contingency factor for the Helms Uprate project capital cost. Given the significant planning and time spent on the project to date, TURN argued that cost uncertainty is lower than claimed by PG&amp;E. TURN recommended the use of a 10% contingency factor for purposes of establishing any cost cap.</w:t>
            </w:r>
          </w:p>
          <w:p w:rsidRPr="0004263F" w:rsidR="00DE56AA" w:rsidP="002E2768" w:rsidRDefault="00DE56AA" w14:paraId="4303E758" w14:textId="77777777">
            <w:pPr>
              <w:keepNext/>
              <w:keepLines/>
              <w:contextualSpacing/>
              <w:rPr>
                <w:color w:val="000000"/>
              </w:rPr>
            </w:pPr>
          </w:p>
          <w:p w:rsidRPr="0004263F" w:rsidR="00DE56AA" w:rsidP="002E2768" w:rsidRDefault="00DE56AA" w14:paraId="07CF00E0" w14:textId="77777777">
            <w:pPr>
              <w:keepNext/>
              <w:keepLines/>
              <w:contextualSpacing/>
              <w:rPr>
                <w:color w:val="000000"/>
              </w:rPr>
            </w:pPr>
            <w:r w:rsidRPr="0004263F">
              <w:rPr>
                <w:color w:val="000000"/>
              </w:rPr>
              <w:t xml:space="preserve">The adopted settlement specifies that, for purposes of calculating the cost cap, a 30% contingency factor would be used. This level represents the midway point between the TURN and PG&amp;E </w:t>
            </w:r>
            <w:r w:rsidRPr="0004263F">
              <w:rPr>
                <w:color w:val="000000"/>
              </w:rPr>
              <w:lastRenderedPageBreak/>
              <w:t>recommendations. The Decision additionally recognizes that it is not appropriate for PG&amp;E to rely on only a Class 5 estimate (which was used to justify the 50% contingency) for purposes of the Uprate Project.</w:t>
            </w:r>
          </w:p>
        </w:tc>
        <w:tc>
          <w:tcPr>
            <w:tcW w:w="4140" w:type="dxa"/>
          </w:tcPr>
          <w:p w:rsidRPr="0004263F" w:rsidR="00DE56AA" w:rsidP="002E2768" w:rsidRDefault="00DE56AA" w14:paraId="2B61460D" w14:textId="77777777">
            <w:pPr>
              <w:keepNext/>
              <w:keepLines/>
              <w:contextualSpacing/>
              <w:rPr>
                <w:color w:val="000000"/>
              </w:rPr>
            </w:pPr>
          </w:p>
          <w:p w:rsidRPr="0004263F" w:rsidR="00DE56AA" w:rsidP="002E2768" w:rsidRDefault="00DE56AA" w14:paraId="4DC92ECC" w14:textId="77777777">
            <w:pPr>
              <w:keepNext/>
              <w:keepLines/>
              <w:contextualSpacing/>
              <w:rPr>
                <w:color w:val="000000"/>
              </w:rPr>
            </w:pPr>
          </w:p>
          <w:p w:rsidRPr="0004263F" w:rsidR="00DE56AA" w:rsidP="002E2768" w:rsidRDefault="00DE56AA" w14:paraId="3A152C4A" w14:textId="77777777">
            <w:pPr>
              <w:keepNext/>
              <w:keepLines/>
              <w:contextualSpacing/>
              <w:rPr>
                <w:color w:val="000000"/>
              </w:rPr>
            </w:pPr>
          </w:p>
          <w:p w:rsidRPr="0004263F" w:rsidR="00DE56AA" w:rsidP="002E2768" w:rsidRDefault="00DE56AA" w14:paraId="5950E71A" w14:textId="77777777">
            <w:pPr>
              <w:keepNext/>
              <w:keepLines/>
              <w:contextualSpacing/>
              <w:rPr>
                <w:color w:val="000000"/>
              </w:rPr>
            </w:pPr>
          </w:p>
          <w:p w:rsidRPr="0004263F" w:rsidR="00DE56AA" w:rsidP="002E2768" w:rsidRDefault="00DE56AA" w14:paraId="0FBEB095" w14:textId="77777777">
            <w:pPr>
              <w:keepNext/>
              <w:keepLines/>
              <w:contextualSpacing/>
              <w:rPr>
                <w:color w:val="000000"/>
              </w:rPr>
            </w:pPr>
          </w:p>
          <w:p w:rsidRPr="0004263F" w:rsidR="00DE56AA" w:rsidP="002E2768" w:rsidRDefault="00DE56AA" w14:paraId="2188F955" w14:textId="77777777">
            <w:pPr>
              <w:keepNext/>
              <w:keepLines/>
              <w:contextualSpacing/>
              <w:rPr>
                <w:color w:val="000000"/>
                <w:u w:val="single"/>
              </w:rPr>
            </w:pPr>
            <w:r w:rsidRPr="0004263F">
              <w:rPr>
                <w:color w:val="000000"/>
                <w:u w:val="single"/>
              </w:rPr>
              <w:t>Ex. TURN-1, Direct Testimony of William Monsen, pages 6-7, 39-45</w:t>
            </w:r>
          </w:p>
          <w:p w:rsidRPr="0004263F" w:rsidR="00DE56AA" w:rsidP="002E2768" w:rsidRDefault="00DE56AA" w14:paraId="1ED1E402" w14:textId="77777777">
            <w:pPr>
              <w:keepNext/>
              <w:keepLines/>
              <w:contextualSpacing/>
              <w:rPr>
                <w:color w:val="000000"/>
              </w:rPr>
            </w:pPr>
          </w:p>
          <w:p w:rsidRPr="0004263F" w:rsidR="00DE56AA" w:rsidP="002E2768" w:rsidRDefault="00DE56AA" w14:paraId="7524E80E" w14:textId="77777777">
            <w:pPr>
              <w:keepNext/>
              <w:keepLines/>
              <w:contextualSpacing/>
              <w:rPr>
                <w:color w:val="000000"/>
              </w:rPr>
            </w:pPr>
          </w:p>
          <w:p w:rsidRPr="0004263F" w:rsidR="00DE56AA" w:rsidP="002E2768" w:rsidRDefault="00DE56AA" w14:paraId="23E75E4B" w14:textId="77777777">
            <w:pPr>
              <w:keepNext/>
              <w:keepLines/>
              <w:contextualSpacing/>
              <w:rPr>
                <w:color w:val="000000"/>
              </w:rPr>
            </w:pPr>
          </w:p>
          <w:p w:rsidRPr="0004263F" w:rsidR="00DE56AA" w:rsidP="002E2768" w:rsidRDefault="00DE56AA" w14:paraId="7E192ACD" w14:textId="77777777">
            <w:pPr>
              <w:keepNext/>
              <w:keepLines/>
              <w:contextualSpacing/>
              <w:rPr>
                <w:color w:val="000000"/>
              </w:rPr>
            </w:pPr>
          </w:p>
          <w:p w:rsidRPr="0004263F" w:rsidR="00DE56AA" w:rsidP="002E2768" w:rsidRDefault="00DE56AA" w14:paraId="268BE639" w14:textId="77777777">
            <w:pPr>
              <w:keepNext/>
              <w:keepLines/>
              <w:contextualSpacing/>
              <w:rPr>
                <w:color w:val="000000"/>
              </w:rPr>
            </w:pPr>
          </w:p>
          <w:p w:rsidRPr="0004263F" w:rsidR="00DE56AA" w:rsidP="002E2768" w:rsidRDefault="00DE56AA" w14:paraId="600BD3F9" w14:textId="77777777">
            <w:pPr>
              <w:keepNext/>
              <w:keepLines/>
              <w:contextualSpacing/>
              <w:rPr>
                <w:color w:val="000000"/>
              </w:rPr>
            </w:pPr>
          </w:p>
          <w:p w:rsidRPr="0004263F" w:rsidR="00DE56AA" w:rsidP="002E2768" w:rsidRDefault="00DE56AA" w14:paraId="40CFEB4C" w14:textId="77777777">
            <w:pPr>
              <w:keepNext/>
              <w:keepLines/>
              <w:contextualSpacing/>
              <w:rPr>
                <w:color w:val="000000"/>
              </w:rPr>
            </w:pPr>
          </w:p>
          <w:p w:rsidRPr="0004263F" w:rsidR="00DE56AA" w:rsidP="002E2768" w:rsidRDefault="00DE56AA" w14:paraId="03829569" w14:textId="77777777">
            <w:pPr>
              <w:keepNext/>
              <w:keepLines/>
              <w:contextualSpacing/>
              <w:rPr>
                <w:color w:val="000000"/>
              </w:rPr>
            </w:pPr>
          </w:p>
          <w:p w:rsidRPr="0004263F" w:rsidR="00DE56AA" w:rsidP="002E2768" w:rsidRDefault="00DE56AA" w14:paraId="43AA859B" w14:textId="77777777">
            <w:pPr>
              <w:keepNext/>
              <w:keepLines/>
              <w:contextualSpacing/>
              <w:rPr>
                <w:color w:val="000000"/>
                <w:u w:val="single"/>
              </w:rPr>
            </w:pPr>
          </w:p>
          <w:p w:rsidRPr="0004263F" w:rsidR="00DE56AA" w:rsidP="002E2768" w:rsidRDefault="00DE56AA" w14:paraId="7FD46871" w14:textId="77777777">
            <w:pPr>
              <w:keepNext/>
              <w:keepLines/>
              <w:contextualSpacing/>
              <w:rPr>
                <w:color w:val="000000"/>
                <w:u w:val="single"/>
              </w:rPr>
            </w:pPr>
          </w:p>
          <w:p w:rsidRPr="0004263F" w:rsidR="00DE56AA" w:rsidP="002E2768" w:rsidRDefault="00DE56AA" w14:paraId="12B7AECA" w14:textId="77777777">
            <w:pPr>
              <w:keepNext/>
              <w:keepLines/>
              <w:contextualSpacing/>
              <w:rPr>
                <w:color w:val="000000"/>
                <w:u w:val="single"/>
              </w:rPr>
            </w:pPr>
          </w:p>
          <w:p w:rsidRPr="0004263F" w:rsidR="00DE56AA" w:rsidP="002E2768" w:rsidRDefault="00DE56AA" w14:paraId="2BB9390D" w14:textId="77777777">
            <w:pPr>
              <w:keepNext/>
              <w:keepLines/>
              <w:contextualSpacing/>
              <w:rPr>
                <w:color w:val="000000"/>
                <w:u w:val="single"/>
              </w:rPr>
            </w:pPr>
            <w:r w:rsidRPr="0004263F">
              <w:rPr>
                <w:color w:val="000000"/>
                <w:u w:val="single"/>
              </w:rPr>
              <w:t>D.25-09-016, page 15, Appendix A (Settlement Agreement), Item 1.</w:t>
            </w:r>
          </w:p>
          <w:p w:rsidRPr="0004263F" w:rsidR="00DE56AA" w:rsidP="002E2768" w:rsidRDefault="00DE56AA" w14:paraId="7BCE6E01" w14:textId="77777777">
            <w:pPr>
              <w:keepNext/>
              <w:keepLines/>
              <w:contextualSpacing/>
              <w:rPr>
                <w:color w:val="000000"/>
              </w:rPr>
            </w:pPr>
          </w:p>
          <w:p w:rsidRPr="0004263F" w:rsidR="00DE56AA" w:rsidP="002E2768" w:rsidRDefault="00DE56AA" w14:paraId="395F04BD" w14:textId="77777777">
            <w:pPr>
              <w:keepNext/>
              <w:keepLines/>
              <w:contextualSpacing/>
              <w:rPr>
                <w:color w:val="000000"/>
              </w:rPr>
            </w:pPr>
          </w:p>
          <w:p w:rsidRPr="0004263F" w:rsidR="00DE56AA" w:rsidP="002E2768" w:rsidRDefault="00DE56AA" w14:paraId="0D45A18D" w14:textId="77777777">
            <w:pPr>
              <w:keepNext/>
              <w:keepLines/>
              <w:contextualSpacing/>
              <w:rPr>
                <w:color w:val="000000"/>
              </w:rPr>
            </w:pPr>
          </w:p>
          <w:p w:rsidRPr="0004263F" w:rsidR="00DE56AA" w:rsidP="002E2768" w:rsidRDefault="00DE56AA" w14:paraId="43535E5D" w14:textId="77777777">
            <w:pPr>
              <w:keepNext/>
              <w:keepLines/>
              <w:contextualSpacing/>
              <w:rPr>
                <w:color w:val="000000"/>
              </w:rPr>
            </w:pPr>
          </w:p>
          <w:p w:rsidRPr="0004263F" w:rsidR="00DE56AA" w:rsidP="002E2768" w:rsidRDefault="00DE56AA" w14:paraId="7057DBD7" w14:textId="77777777">
            <w:pPr>
              <w:keepNext/>
              <w:keepLines/>
              <w:contextualSpacing/>
              <w:rPr>
                <w:color w:val="000000"/>
              </w:rPr>
            </w:pPr>
          </w:p>
          <w:p w:rsidRPr="0004263F" w:rsidR="00DE56AA" w:rsidP="002E2768" w:rsidRDefault="00DE56AA" w14:paraId="7599C0F0" w14:textId="77777777">
            <w:pPr>
              <w:keepNext/>
              <w:keepLines/>
              <w:contextualSpacing/>
              <w:rPr>
                <w:color w:val="000000"/>
              </w:rPr>
            </w:pPr>
            <w:r w:rsidRPr="0004263F">
              <w:rPr>
                <w:color w:val="000000"/>
                <w:u w:val="single"/>
              </w:rPr>
              <w:t>D.25-09-016, pages 40-41.</w:t>
            </w:r>
          </w:p>
        </w:tc>
        <w:tc>
          <w:tcPr>
            <w:tcW w:w="2340" w:type="dxa"/>
          </w:tcPr>
          <w:p w:rsidRPr="007F620E" w:rsidR="00DE56AA" w:rsidP="002E2768" w:rsidRDefault="00A83A51" w14:paraId="268B9E84" w14:textId="61AF94F7">
            <w:pPr>
              <w:keepNext/>
              <w:keepLines/>
              <w:contextualSpacing/>
              <w:rPr>
                <w:color w:val="000000"/>
              </w:rPr>
            </w:pPr>
            <w:r>
              <w:rPr>
                <w:color w:val="000000"/>
              </w:rPr>
              <w:lastRenderedPageBreak/>
              <w:t>Verified</w:t>
            </w:r>
          </w:p>
        </w:tc>
      </w:tr>
      <w:tr w:rsidRPr="007F620E" w:rsidR="00DE56AA" w:rsidTr="002E2768" w14:paraId="56DB4AAE" w14:textId="77777777">
        <w:trPr>
          <w:tblHeader/>
        </w:trPr>
        <w:tc>
          <w:tcPr>
            <w:tcW w:w="3258" w:type="dxa"/>
          </w:tcPr>
          <w:p w:rsidRPr="0004263F" w:rsidR="00DE56AA" w:rsidP="002E2768" w:rsidRDefault="00DE56AA" w14:paraId="0439EA90" w14:textId="77777777">
            <w:pPr>
              <w:keepNext/>
              <w:keepLines/>
              <w:contextualSpacing/>
              <w:rPr>
                <w:b/>
                <w:bCs/>
                <w:color w:val="000000"/>
              </w:rPr>
            </w:pPr>
            <w:r w:rsidRPr="0004263F">
              <w:rPr>
                <w:b/>
                <w:bCs/>
                <w:color w:val="000000"/>
              </w:rPr>
              <w:t xml:space="preserve">4. </w:t>
            </w:r>
            <w:proofErr w:type="gramStart"/>
            <w:r w:rsidRPr="0004263F">
              <w:rPr>
                <w:b/>
                <w:bCs/>
                <w:color w:val="000000"/>
              </w:rPr>
              <w:t>COST EFFECTIVENESS</w:t>
            </w:r>
            <w:proofErr w:type="gramEnd"/>
          </w:p>
          <w:p w:rsidRPr="0004263F" w:rsidR="00DE56AA" w:rsidP="002E2768" w:rsidRDefault="00DE56AA" w14:paraId="3CE85720" w14:textId="77777777">
            <w:pPr>
              <w:keepNext/>
              <w:keepLines/>
              <w:contextualSpacing/>
              <w:rPr>
                <w:b/>
                <w:bCs/>
                <w:color w:val="000000"/>
              </w:rPr>
            </w:pPr>
          </w:p>
          <w:p w:rsidRPr="0004263F" w:rsidR="00DE56AA" w:rsidP="002E2768" w:rsidRDefault="00DE56AA" w14:paraId="38634509" w14:textId="77777777">
            <w:pPr>
              <w:keepNext/>
              <w:keepLines/>
              <w:contextualSpacing/>
              <w:rPr>
                <w:color w:val="000000"/>
              </w:rPr>
            </w:pPr>
            <w:r w:rsidRPr="0004263F">
              <w:rPr>
                <w:color w:val="000000"/>
              </w:rPr>
              <w:t xml:space="preserve">TURN expressed concern that, due to an optimistic schedule for completion of the Uprate project, and the use of a single set of cost and modeling assumptions, there are significant risks that the project will not be cost-effective for ratepayers. TURN noted that alternative resource options like </w:t>
            </w:r>
            <w:proofErr w:type="gramStart"/>
            <w:r w:rsidRPr="0004263F">
              <w:rPr>
                <w:color w:val="000000"/>
              </w:rPr>
              <w:t>lithium ion</w:t>
            </w:r>
            <w:proofErr w:type="gramEnd"/>
            <w:r w:rsidRPr="0004263F">
              <w:rPr>
                <w:color w:val="000000"/>
              </w:rPr>
              <w:t xml:space="preserve"> batteries may prove less expensive than the Helms Uprate, especially as batteries become less expensive over time. TURN recommended modeling various sensitivities to assess a range of scenarios. TURN recommended adopting measures to mitigate ratepayer risks if the project is no longer cost effective due to delays, higher costs, or lower-than-anticipated new capacity as envisioned. TURN noted that the Helms Uprate project could yield negative Net Market Values under some combination of these drivers. To address these concerns, TURN recommended “guardrails” to protect ratepayers.</w:t>
            </w:r>
          </w:p>
          <w:p w:rsidRPr="0004263F" w:rsidR="00DE56AA" w:rsidP="002E2768" w:rsidRDefault="00DE56AA" w14:paraId="535C3F03" w14:textId="77777777">
            <w:pPr>
              <w:keepNext/>
              <w:keepLines/>
              <w:contextualSpacing/>
              <w:rPr>
                <w:color w:val="000000"/>
              </w:rPr>
            </w:pPr>
          </w:p>
          <w:p w:rsidRPr="0004263F" w:rsidR="00DE56AA" w:rsidP="002E2768" w:rsidRDefault="00DE56AA" w14:paraId="14EA40A4" w14:textId="77777777">
            <w:pPr>
              <w:keepNext/>
              <w:keepLines/>
              <w:contextualSpacing/>
              <w:rPr>
                <w:color w:val="000000"/>
              </w:rPr>
            </w:pPr>
            <w:r w:rsidRPr="0004263F">
              <w:rPr>
                <w:color w:val="000000"/>
              </w:rPr>
              <w:t xml:space="preserve">In the event of material changes in certain project costs </w:t>
            </w:r>
            <w:r w:rsidRPr="0004263F">
              <w:rPr>
                <w:color w:val="000000"/>
              </w:rPr>
              <w:lastRenderedPageBreak/>
              <w:t>(interconnection or licensing), lower expected capacity uprate, or delays in receiving full capacity deliverability status, the adopted settlement directs PG&amp;E to either submit a Tier 3 Advice Letter to increase the cost recovery cap (if the project remains cost-effective) or terminate the project (if the project is no longer cost effective). The settlement further establishes a process for PG&amp;E to meet and confer with Cal Advocates and TURN relating to any such Advice Letter and identifies a “two-step cost effectiveness showing” required to evaluate whether continuation of the project is warranted based on a comparison of Net Market Value between the Uprate Project and alternatives. The settlement permits TURN and Cal Advocates to oppose the Advice Letter on the basis that the project “no longer provides net ratepayer benefits.” If terminated, canceled project costs would be subject to the limitations on stranded cost treatment outlined in the settlement.</w:t>
            </w:r>
          </w:p>
        </w:tc>
        <w:tc>
          <w:tcPr>
            <w:tcW w:w="4140" w:type="dxa"/>
          </w:tcPr>
          <w:p w:rsidRPr="0004263F" w:rsidR="00DE56AA" w:rsidP="002E2768" w:rsidRDefault="00DE56AA" w14:paraId="79BE924A" w14:textId="77777777">
            <w:pPr>
              <w:keepNext/>
              <w:keepLines/>
              <w:contextualSpacing/>
              <w:rPr>
                <w:color w:val="000000"/>
              </w:rPr>
            </w:pPr>
          </w:p>
          <w:p w:rsidRPr="0004263F" w:rsidR="00DE56AA" w:rsidP="002E2768" w:rsidRDefault="00DE56AA" w14:paraId="1EFF225C" w14:textId="77777777">
            <w:pPr>
              <w:keepNext/>
              <w:keepLines/>
              <w:contextualSpacing/>
              <w:rPr>
                <w:color w:val="000000"/>
              </w:rPr>
            </w:pPr>
          </w:p>
          <w:p w:rsidRPr="0004263F" w:rsidR="00DE56AA" w:rsidP="002E2768" w:rsidRDefault="00DE56AA" w14:paraId="3CD5F877" w14:textId="77777777">
            <w:pPr>
              <w:keepNext/>
              <w:keepLines/>
              <w:contextualSpacing/>
              <w:rPr>
                <w:color w:val="000000"/>
                <w:u w:val="single"/>
              </w:rPr>
            </w:pPr>
          </w:p>
          <w:p w:rsidRPr="0004263F" w:rsidR="00DE56AA" w:rsidP="002E2768" w:rsidRDefault="00DE56AA" w14:paraId="77A9CD49" w14:textId="77777777">
            <w:pPr>
              <w:keepNext/>
              <w:keepLines/>
              <w:contextualSpacing/>
              <w:rPr>
                <w:color w:val="000000"/>
                <w:u w:val="single"/>
              </w:rPr>
            </w:pPr>
          </w:p>
          <w:p w:rsidRPr="0004263F" w:rsidR="00DE56AA" w:rsidP="002E2768" w:rsidRDefault="00DE56AA" w14:paraId="4835647A" w14:textId="77777777">
            <w:pPr>
              <w:keepNext/>
              <w:keepLines/>
              <w:contextualSpacing/>
              <w:rPr>
                <w:color w:val="000000"/>
                <w:u w:val="single"/>
              </w:rPr>
            </w:pPr>
            <w:r w:rsidRPr="0004263F">
              <w:rPr>
                <w:color w:val="000000"/>
                <w:u w:val="single"/>
              </w:rPr>
              <w:t>Ex. TURN-1, Direct Testimony of William Monsen, pages 3-4, 7-8, 18-20, 34-37, 45-51, 56</w:t>
            </w:r>
          </w:p>
          <w:p w:rsidRPr="0004263F" w:rsidR="00DE56AA" w:rsidP="002E2768" w:rsidRDefault="00DE56AA" w14:paraId="435C7902" w14:textId="77777777">
            <w:pPr>
              <w:keepNext/>
              <w:keepLines/>
              <w:contextualSpacing/>
              <w:rPr>
                <w:color w:val="000000"/>
              </w:rPr>
            </w:pPr>
          </w:p>
          <w:p w:rsidRPr="0004263F" w:rsidR="00DE56AA" w:rsidP="002E2768" w:rsidRDefault="00DE56AA" w14:paraId="4D9B0FA7" w14:textId="77777777">
            <w:pPr>
              <w:keepNext/>
              <w:keepLines/>
              <w:contextualSpacing/>
              <w:rPr>
                <w:color w:val="000000"/>
              </w:rPr>
            </w:pPr>
          </w:p>
          <w:p w:rsidRPr="0004263F" w:rsidR="00DE56AA" w:rsidP="002E2768" w:rsidRDefault="00DE56AA" w14:paraId="50B44FE9" w14:textId="77777777">
            <w:pPr>
              <w:keepNext/>
              <w:keepLines/>
              <w:contextualSpacing/>
              <w:rPr>
                <w:color w:val="000000"/>
              </w:rPr>
            </w:pPr>
          </w:p>
          <w:p w:rsidRPr="0004263F" w:rsidR="00DE56AA" w:rsidP="002E2768" w:rsidRDefault="00DE56AA" w14:paraId="306A7A1B" w14:textId="77777777">
            <w:pPr>
              <w:keepNext/>
              <w:keepLines/>
              <w:contextualSpacing/>
              <w:rPr>
                <w:color w:val="000000"/>
              </w:rPr>
            </w:pPr>
          </w:p>
          <w:p w:rsidRPr="0004263F" w:rsidR="00DE56AA" w:rsidP="002E2768" w:rsidRDefault="00DE56AA" w14:paraId="7FDB3D30" w14:textId="77777777">
            <w:pPr>
              <w:keepNext/>
              <w:keepLines/>
              <w:contextualSpacing/>
              <w:rPr>
                <w:color w:val="000000"/>
              </w:rPr>
            </w:pPr>
          </w:p>
          <w:p w:rsidRPr="0004263F" w:rsidR="00DE56AA" w:rsidP="002E2768" w:rsidRDefault="00DE56AA" w14:paraId="18C76369" w14:textId="77777777">
            <w:pPr>
              <w:keepNext/>
              <w:keepLines/>
              <w:contextualSpacing/>
              <w:rPr>
                <w:color w:val="000000"/>
              </w:rPr>
            </w:pPr>
          </w:p>
          <w:p w:rsidRPr="0004263F" w:rsidR="00DE56AA" w:rsidP="002E2768" w:rsidRDefault="00DE56AA" w14:paraId="343D681F" w14:textId="77777777">
            <w:pPr>
              <w:keepNext/>
              <w:keepLines/>
              <w:contextualSpacing/>
              <w:rPr>
                <w:color w:val="000000"/>
              </w:rPr>
            </w:pPr>
          </w:p>
          <w:p w:rsidRPr="0004263F" w:rsidR="00DE56AA" w:rsidP="002E2768" w:rsidRDefault="00DE56AA" w14:paraId="32D030D9" w14:textId="77777777">
            <w:pPr>
              <w:keepNext/>
              <w:keepLines/>
              <w:contextualSpacing/>
              <w:rPr>
                <w:color w:val="000000"/>
              </w:rPr>
            </w:pPr>
          </w:p>
          <w:p w:rsidRPr="0004263F" w:rsidR="00DE56AA" w:rsidP="002E2768" w:rsidRDefault="00DE56AA" w14:paraId="77EEC886" w14:textId="77777777">
            <w:pPr>
              <w:keepNext/>
              <w:keepLines/>
              <w:contextualSpacing/>
              <w:rPr>
                <w:color w:val="000000"/>
                <w:u w:val="single"/>
              </w:rPr>
            </w:pPr>
          </w:p>
          <w:p w:rsidRPr="0004263F" w:rsidR="00DE56AA" w:rsidP="002E2768" w:rsidRDefault="00DE56AA" w14:paraId="1E8FB8C3" w14:textId="77777777">
            <w:pPr>
              <w:keepNext/>
              <w:keepLines/>
              <w:contextualSpacing/>
              <w:rPr>
                <w:color w:val="000000"/>
              </w:rPr>
            </w:pPr>
          </w:p>
          <w:p w:rsidRPr="0004263F" w:rsidR="00DE56AA" w:rsidP="002E2768" w:rsidRDefault="00DE56AA" w14:paraId="0AAFE2E4" w14:textId="77777777">
            <w:pPr>
              <w:keepNext/>
              <w:keepLines/>
              <w:contextualSpacing/>
              <w:rPr>
                <w:color w:val="000000"/>
              </w:rPr>
            </w:pPr>
          </w:p>
          <w:p w:rsidRPr="0004263F" w:rsidR="00DE56AA" w:rsidP="002E2768" w:rsidRDefault="00DE56AA" w14:paraId="189FF456" w14:textId="77777777">
            <w:pPr>
              <w:keepNext/>
              <w:keepLines/>
              <w:contextualSpacing/>
              <w:rPr>
                <w:color w:val="000000"/>
              </w:rPr>
            </w:pPr>
          </w:p>
          <w:p w:rsidRPr="0004263F" w:rsidR="00DE56AA" w:rsidP="002E2768" w:rsidRDefault="00DE56AA" w14:paraId="4B6D40DD" w14:textId="77777777">
            <w:pPr>
              <w:keepNext/>
              <w:keepLines/>
              <w:contextualSpacing/>
              <w:rPr>
                <w:color w:val="000000"/>
              </w:rPr>
            </w:pPr>
          </w:p>
          <w:p w:rsidRPr="0004263F" w:rsidR="00DE56AA" w:rsidP="002E2768" w:rsidRDefault="00DE56AA" w14:paraId="395E2BE9" w14:textId="77777777">
            <w:pPr>
              <w:keepNext/>
              <w:keepLines/>
              <w:contextualSpacing/>
              <w:rPr>
                <w:color w:val="000000"/>
              </w:rPr>
            </w:pPr>
          </w:p>
          <w:p w:rsidRPr="0004263F" w:rsidR="00DE56AA" w:rsidP="002E2768" w:rsidRDefault="00DE56AA" w14:paraId="6CC76A60" w14:textId="77777777">
            <w:pPr>
              <w:keepNext/>
              <w:keepLines/>
              <w:contextualSpacing/>
              <w:rPr>
                <w:color w:val="000000"/>
              </w:rPr>
            </w:pPr>
          </w:p>
          <w:p w:rsidRPr="0004263F" w:rsidR="00DE56AA" w:rsidP="002E2768" w:rsidRDefault="00DE56AA" w14:paraId="3948D1D2" w14:textId="77777777">
            <w:pPr>
              <w:keepNext/>
              <w:keepLines/>
              <w:contextualSpacing/>
              <w:rPr>
                <w:color w:val="000000"/>
              </w:rPr>
            </w:pPr>
          </w:p>
          <w:p w:rsidRPr="0004263F" w:rsidR="00DE56AA" w:rsidP="002E2768" w:rsidRDefault="00DE56AA" w14:paraId="39A64353" w14:textId="77777777">
            <w:pPr>
              <w:keepNext/>
              <w:keepLines/>
              <w:contextualSpacing/>
              <w:rPr>
                <w:color w:val="000000"/>
              </w:rPr>
            </w:pPr>
          </w:p>
          <w:p w:rsidRPr="0004263F" w:rsidR="00DE56AA" w:rsidP="002E2768" w:rsidRDefault="00DE56AA" w14:paraId="3A719F6B" w14:textId="77777777">
            <w:pPr>
              <w:keepNext/>
              <w:keepLines/>
              <w:contextualSpacing/>
              <w:rPr>
                <w:color w:val="000000"/>
              </w:rPr>
            </w:pPr>
          </w:p>
          <w:p w:rsidRPr="0004263F" w:rsidR="00DE56AA" w:rsidP="002E2768" w:rsidRDefault="00DE56AA" w14:paraId="33FDA4AA" w14:textId="77777777">
            <w:pPr>
              <w:keepNext/>
              <w:keepLines/>
              <w:contextualSpacing/>
              <w:rPr>
                <w:color w:val="000000"/>
              </w:rPr>
            </w:pPr>
          </w:p>
          <w:p w:rsidRPr="0004263F" w:rsidR="00DE56AA" w:rsidP="002E2768" w:rsidRDefault="00DE56AA" w14:paraId="24A2CA9A" w14:textId="77777777">
            <w:pPr>
              <w:keepNext/>
              <w:keepLines/>
              <w:contextualSpacing/>
              <w:rPr>
                <w:color w:val="000000"/>
              </w:rPr>
            </w:pPr>
          </w:p>
          <w:p w:rsidRPr="0004263F" w:rsidR="00DE56AA" w:rsidP="002E2768" w:rsidRDefault="00DE56AA" w14:paraId="14433C4E" w14:textId="77777777">
            <w:pPr>
              <w:keepNext/>
              <w:keepLines/>
              <w:contextualSpacing/>
              <w:rPr>
                <w:color w:val="000000"/>
              </w:rPr>
            </w:pPr>
          </w:p>
          <w:p w:rsidRPr="0004263F" w:rsidR="00DE56AA" w:rsidP="002E2768" w:rsidRDefault="00DE56AA" w14:paraId="726D4550" w14:textId="77777777">
            <w:pPr>
              <w:keepNext/>
              <w:keepLines/>
              <w:contextualSpacing/>
              <w:rPr>
                <w:color w:val="000000"/>
              </w:rPr>
            </w:pPr>
          </w:p>
          <w:p w:rsidRPr="0004263F" w:rsidR="00DE56AA" w:rsidP="002E2768" w:rsidRDefault="00DE56AA" w14:paraId="65090B1E" w14:textId="77777777">
            <w:pPr>
              <w:keepNext/>
              <w:keepLines/>
              <w:contextualSpacing/>
              <w:rPr>
                <w:color w:val="000000"/>
              </w:rPr>
            </w:pPr>
          </w:p>
          <w:p w:rsidRPr="0004263F" w:rsidR="00DE56AA" w:rsidP="002E2768" w:rsidRDefault="00DE56AA" w14:paraId="26FC5DE2" w14:textId="77777777">
            <w:pPr>
              <w:keepNext/>
              <w:keepLines/>
              <w:contextualSpacing/>
              <w:rPr>
                <w:color w:val="000000"/>
              </w:rPr>
            </w:pPr>
          </w:p>
          <w:p w:rsidRPr="0004263F" w:rsidR="00DE56AA" w:rsidP="002E2768" w:rsidRDefault="00DE56AA" w14:paraId="3AAA74BA" w14:textId="77777777">
            <w:pPr>
              <w:keepNext/>
              <w:keepLines/>
              <w:contextualSpacing/>
              <w:rPr>
                <w:color w:val="000000"/>
              </w:rPr>
            </w:pPr>
          </w:p>
          <w:p w:rsidRPr="0004263F" w:rsidR="00DE56AA" w:rsidP="002E2768" w:rsidRDefault="00DE56AA" w14:paraId="384CE44E" w14:textId="77777777">
            <w:pPr>
              <w:keepNext/>
              <w:keepLines/>
              <w:contextualSpacing/>
              <w:rPr>
                <w:color w:val="000000"/>
              </w:rPr>
            </w:pPr>
          </w:p>
          <w:p w:rsidRPr="0004263F" w:rsidR="00DE56AA" w:rsidP="002E2768" w:rsidRDefault="00DE56AA" w14:paraId="78DF4AEA" w14:textId="77777777">
            <w:pPr>
              <w:keepNext/>
              <w:keepLines/>
              <w:contextualSpacing/>
              <w:rPr>
                <w:color w:val="000000"/>
              </w:rPr>
            </w:pPr>
          </w:p>
          <w:p w:rsidRPr="0004263F" w:rsidR="00DE56AA" w:rsidP="002E2768" w:rsidRDefault="00DE56AA" w14:paraId="2949F742" w14:textId="77777777">
            <w:pPr>
              <w:keepNext/>
              <w:keepLines/>
              <w:contextualSpacing/>
              <w:rPr>
                <w:color w:val="000000"/>
              </w:rPr>
            </w:pPr>
          </w:p>
          <w:p w:rsidRPr="0004263F" w:rsidR="00DE56AA" w:rsidP="002E2768" w:rsidRDefault="00DE56AA" w14:paraId="159F6962" w14:textId="77777777">
            <w:pPr>
              <w:keepNext/>
              <w:keepLines/>
              <w:contextualSpacing/>
              <w:rPr>
                <w:color w:val="000000"/>
              </w:rPr>
            </w:pPr>
          </w:p>
          <w:p w:rsidRPr="0004263F" w:rsidR="00DE56AA" w:rsidP="002E2768" w:rsidRDefault="00DE56AA" w14:paraId="1F9A963E" w14:textId="77777777">
            <w:pPr>
              <w:keepNext/>
              <w:keepLines/>
              <w:contextualSpacing/>
              <w:rPr>
                <w:color w:val="000000"/>
              </w:rPr>
            </w:pPr>
          </w:p>
          <w:p w:rsidRPr="0004263F" w:rsidR="00DE56AA" w:rsidP="002E2768" w:rsidRDefault="00DE56AA" w14:paraId="08828080" w14:textId="77777777">
            <w:pPr>
              <w:keepNext/>
              <w:keepLines/>
              <w:contextualSpacing/>
              <w:rPr>
                <w:color w:val="000000"/>
              </w:rPr>
            </w:pPr>
          </w:p>
          <w:p w:rsidRPr="0004263F" w:rsidR="00DE56AA" w:rsidP="002E2768" w:rsidRDefault="00DE56AA" w14:paraId="118855EA" w14:textId="77777777">
            <w:pPr>
              <w:keepNext/>
              <w:keepLines/>
              <w:contextualSpacing/>
              <w:rPr>
                <w:color w:val="000000"/>
              </w:rPr>
            </w:pPr>
          </w:p>
          <w:p w:rsidRPr="0004263F" w:rsidR="00DE56AA" w:rsidP="002E2768" w:rsidRDefault="00DE56AA" w14:paraId="3654BA51" w14:textId="77777777">
            <w:pPr>
              <w:keepNext/>
              <w:keepLines/>
              <w:contextualSpacing/>
              <w:rPr>
                <w:color w:val="000000"/>
              </w:rPr>
            </w:pPr>
          </w:p>
          <w:p w:rsidRPr="0004263F" w:rsidR="00DE56AA" w:rsidP="002E2768" w:rsidRDefault="00DE56AA" w14:paraId="6B7C73C4" w14:textId="77777777">
            <w:pPr>
              <w:keepNext/>
              <w:keepLines/>
              <w:contextualSpacing/>
              <w:rPr>
                <w:color w:val="000000"/>
              </w:rPr>
            </w:pPr>
          </w:p>
          <w:p w:rsidRPr="0004263F" w:rsidR="00DE56AA" w:rsidP="002E2768" w:rsidRDefault="00DE56AA" w14:paraId="207204D7" w14:textId="77777777">
            <w:pPr>
              <w:keepNext/>
              <w:keepLines/>
              <w:contextualSpacing/>
              <w:rPr>
                <w:color w:val="000000"/>
                <w:u w:val="single"/>
              </w:rPr>
            </w:pPr>
            <w:r w:rsidRPr="0004263F">
              <w:rPr>
                <w:color w:val="000000"/>
                <w:u w:val="single"/>
              </w:rPr>
              <w:t xml:space="preserve">D.25-09-016, pages 16-18; Appendix A (Settlement Agreement), Items 2(a), </w:t>
            </w:r>
            <w:proofErr w:type="gramStart"/>
            <w:r w:rsidRPr="0004263F">
              <w:rPr>
                <w:color w:val="000000"/>
                <w:u w:val="single"/>
              </w:rPr>
              <w:t>2(b), 3</w:t>
            </w:r>
            <w:proofErr w:type="gramEnd"/>
            <w:r w:rsidRPr="0004263F">
              <w:rPr>
                <w:color w:val="000000"/>
                <w:u w:val="single"/>
              </w:rPr>
              <w:t>(b), 3(c), 4, 5, 6, 10</w:t>
            </w:r>
          </w:p>
          <w:p w:rsidRPr="0004263F" w:rsidR="00DE56AA" w:rsidP="002E2768" w:rsidRDefault="00DE56AA" w14:paraId="51306F77" w14:textId="77777777">
            <w:pPr>
              <w:keepNext/>
              <w:keepLines/>
              <w:contextualSpacing/>
              <w:rPr>
                <w:color w:val="000000"/>
              </w:rPr>
            </w:pPr>
          </w:p>
        </w:tc>
        <w:tc>
          <w:tcPr>
            <w:tcW w:w="2340" w:type="dxa"/>
          </w:tcPr>
          <w:p w:rsidRPr="007F620E" w:rsidR="00DE56AA" w:rsidP="002E2768" w:rsidRDefault="00A83A51" w14:paraId="4A310D62" w14:textId="3FA8B816">
            <w:pPr>
              <w:keepNext/>
              <w:keepLines/>
              <w:contextualSpacing/>
              <w:rPr>
                <w:color w:val="000000"/>
              </w:rPr>
            </w:pPr>
            <w:r>
              <w:rPr>
                <w:color w:val="000000"/>
              </w:rPr>
              <w:lastRenderedPageBreak/>
              <w:t>Verified</w:t>
            </w:r>
          </w:p>
        </w:tc>
      </w:tr>
      <w:tr w:rsidRPr="007F620E" w:rsidR="00DE56AA" w:rsidTr="002E2768" w14:paraId="4E25EC98" w14:textId="77777777">
        <w:trPr>
          <w:tblHeader/>
        </w:trPr>
        <w:tc>
          <w:tcPr>
            <w:tcW w:w="3258" w:type="dxa"/>
          </w:tcPr>
          <w:p w:rsidRPr="0004263F" w:rsidR="00DE56AA" w:rsidP="002E2768" w:rsidRDefault="00DE56AA" w14:paraId="35CCEC7F" w14:textId="77777777">
            <w:pPr>
              <w:keepNext/>
              <w:keepLines/>
              <w:contextualSpacing/>
              <w:rPr>
                <w:b/>
                <w:bCs/>
                <w:color w:val="000000"/>
              </w:rPr>
            </w:pPr>
            <w:r w:rsidRPr="0004263F">
              <w:rPr>
                <w:b/>
                <w:bCs/>
                <w:color w:val="000000"/>
              </w:rPr>
              <w:t>5. STRANDED COSTS</w:t>
            </w:r>
          </w:p>
          <w:p w:rsidRPr="0004263F" w:rsidR="00DE56AA" w:rsidP="002E2768" w:rsidRDefault="00DE56AA" w14:paraId="1199A493" w14:textId="77777777">
            <w:pPr>
              <w:keepNext/>
              <w:keepLines/>
              <w:contextualSpacing/>
              <w:rPr>
                <w:b/>
                <w:bCs/>
                <w:color w:val="000000"/>
              </w:rPr>
            </w:pPr>
          </w:p>
          <w:p w:rsidRPr="0004263F" w:rsidR="00DE56AA" w:rsidP="002E2768" w:rsidRDefault="00DE56AA" w14:paraId="4E4B461C" w14:textId="77777777">
            <w:pPr>
              <w:keepNext/>
              <w:keepLines/>
              <w:contextualSpacing/>
              <w:rPr>
                <w:color w:val="000000"/>
              </w:rPr>
            </w:pPr>
            <w:r w:rsidRPr="0004263F">
              <w:rPr>
                <w:color w:val="000000"/>
              </w:rPr>
              <w:t xml:space="preserve">TURN identified risks to ratepayers </w:t>
            </w:r>
            <w:proofErr w:type="gramStart"/>
            <w:r w:rsidRPr="0004263F">
              <w:rPr>
                <w:color w:val="000000"/>
              </w:rPr>
              <w:t>in the event that</w:t>
            </w:r>
            <w:proofErr w:type="gramEnd"/>
            <w:r w:rsidRPr="0004263F">
              <w:rPr>
                <w:color w:val="000000"/>
              </w:rPr>
              <w:t xml:space="preserve"> unamortized equipment at Helms is removed from service before the end of their useful lives due to the Uprate project. TURN recommended that PG&amp;E be allowed to recover any unamortized value but not earn a rate of return on assets </w:t>
            </w:r>
            <w:r w:rsidRPr="0004263F">
              <w:rPr>
                <w:color w:val="000000"/>
              </w:rPr>
              <w:lastRenderedPageBreak/>
              <w:t>that are no longer used and useful.</w:t>
            </w:r>
          </w:p>
          <w:p w:rsidRPr="0004263F" w:rsidR="00DE56AA" w:rsidP="002E2768" w:rsidRDefault="00DE56AA" w14:paraId="38CD8E8B" w14:textId="77777777">
            <w:pPr>
              <w:keepNext/>
              <w:keepLines/>
              <w:contextualSpacing/>
              <w:rPr>
                <w:color w:val="000000"/>
              </w:rPr>
            </w:pPr>
          </w:p>
          <w:p w:rsidRPr="0004263F" w:rsidR="00DE56AA" w:rsidP="002E2768" w:rsidRDefault="00DE56AA" w14:paraId="40E23354" w14:textId="77777777">
            <w:pPr>
              <w:keepNext/>
              <w:keepLines/>
              <w:contextualSpacing/>
              <w:rPr>
                <w:color w:val="000000"/>
              </w:rPr>
            </w:pPr>
            <w:r w:rsidRPr="0004263F">
              <w:rPr>
                <w:color w:val="000000"/>
              </w:rPr>
              <w:t>The adopted settlement would remove the treatment of abandoned investments at Helms due to the Uprate project and have the ratemaking treatment addressed in a future General Rate Case. Under the settlement, parties are free to argue for their preferred outcome in that General Rate Case.</w:t>
            </w:r>
          </w:p>
          <w:p w:rsidRPr="0004263F" w:rsidR="00DE56AA" w:rsidP="002E2768" w:rsidRDefault="00DE56AA" w14:paraId="40D7E645" w14:textId="77777777">
            <w:pPr>
              <w:keepNext/>
              <w:keepLines/>
              <w:contextualSpacing/>
              <w:rPr>
                <w:color w:val="000000"/>
              </w:rPr>
            </w:pPr>
          </w:p>
          <w:p w:rsidRPr="0004263F" w:rsidR="00DE56AA" w:rsidP="002E2768" w:rsidRDefault="00DE56AA" w14:paraId="35A9CD38" w14:textId="77777777">
            <w:pPr>
              <w:keepNext/>
              <w:keepLines/>
              <w:contextualSpacing/>
              <w:rPr>
                <w:color w:val="000000"/>
              </w:rPr>
            </w:pPr>
            <w:r w:rsidRPr="0004263F">
              <w:rPr>
                <w:color w:val="000000"/>
              </w:rPr>
              <w:t xml:space="preserve">The adopted settlement also adopts a stranded cost framework that would allow PG&amp;E to recover canceled or abandoned costs for the Helms Uprate project over a </w:t>
            </w:r>
            <w:proofErr w:type="gramStart"/>
            <w:r w:rsidRPr="0004263F">
              <w:rPr>
                <w:color w:val="000000"/>
              </w:rPr>
              <w:t>three year</w:t>
            </w:r>
            <w:proofErr w:type="gramEnd"/>
            <w:r w:rsidRPr="0004263F">
              <w:rPr>
                <w:color w:val="000000"/>
              </w:rPr>
              <w:t xml:space="preserve"> timeframe with no rate of return if PG&amp;E demonstrates the costs were reasonably incurred.</w:t>
            </w:r>
          </w:p>
        </w:tc>
        <w:tc>
          <w:tcPr>
            <w:tcW w:w="4140" w:type="dxa"/>
          </w:tcPr>
          <w:p w:rsidRPr="0004263F" w:rsidR="00DE56AA" w:rsidP="002E2768" w:rsidRDefault="00DE56AA" w14:paraId="4E32A340" w14:textId="77777777">
            <w:pPr>
              <w:keepNext/>
              <w:keepLines/>
              <w:contextualSpacing/>
              <w:rPr>
                <w:color w:val="000000"/>
              </w:rPr>
            </w:pPr>
          </w:p>
          <w:p w:rsidRPr="0004263F" w:rsidR="00DE56AA" w:rsidP="002E2768" w:rsidRDefault="00DE56AA" w14:paraId="07ADBA27" w14:textId="77777777">
            <w:pPr>
              <w:keepNext/>
              <w:keepLines/>
              <w:contextualSpacing/>
              <w:rPr>
                <w:color w:val="000000"/>
              </w:rPr>
            </w:pPr>
          </w:p>
          <w:p w:rsidRPr="0004263F" w:rsidR="00DE56AA" w:rsidP="002E2768" w:rsidRDefault="00DE56AA" w14:paraId="2ECB0CDC" w14:textId="77777777">
            <w:pPr>
              <w:keepNext/>
              <w:keepLines/>
              <w:contextualSpacing/>
              <w:rPr>
                <w:color w:val="000000"/>
              </w:rPr>
            </w:pPr>
          </w:p>
          <w:p w:rsidRPr="0004263F" w:rsidR="00DE56AA" w:rsidP="002E2768" w:rsidRDefault="00DE56AA" w14:paraId="3EB93195" w14:textId="77777777">
            <w:pPr>
              <w:keepNext/>
              <w:keepLines/>
              <w:contextualSpacing/>
              <w:rPr>
                <w:color w:val="000000"/>
              </w:rPr>
            </w:pPr>
          </w:p>
          <w:p w:rsidRPr="0004263F" w:rsidR="00DE56AA" w:rsidP="002E2768" w:rsidRDefault="00DE56AA" w14:paraId="61AFFCEA" w14:textId="77777777">
            <w:pPr>
              <w:keepNext/>
              <w:keepLines/>
              <w:contextualSpacing/>
              <w:rPr>
                <w:color w:val="000000"/>
                <w:u w:val="single"/>
              </w:rPr>
            </w:pPr>
            <w:r w:rsidRPr="0004263F">
              <w:rPr>
                <w:color w:val="000000"/>
                <w:u w:val="single"/>
              </w:rPr>
              <w:t>Ex. TURN-1, Direct Testimony of William Monsen, pages 9, 65-66</w:t>
            </w:r>
          </w:p>
          <w:p w:rsidRPr="0004263F" w:rsidR="00DE56AA" w:rsidP="002E2768" w:rsidRDefault="00DE56AA" w14:paraId="37868A67" w14:textId="77777777">
            <w:pPr>
              <w:keepNext/>
              <w:keepLines/>
              <w:contextualSpacing/>
              <w:rPr>
                <w:color w:val="000000"/>
              </w:rPr>
            </w:pPr>
          </w:p>
          <w:p w:rsidRPr="0004263F" w:rsidR="00DE56AA" w:rsidP="002E2768" w:rsidRDefault="00DE56AA" w14:paraId="3F7872C0" w14:textId="77777777">
            <w:pPr>
              <w:keepNext/>
              <w:keepLines/>
              <w:contextualSpacing/>
              <w:rPr>
                <w:color w:val="000000"/>
              </w:rPr>
            </w:pPr>
          </w:p>
          <w:p w:rsidRPr="0004263F" w:rsidR="00DE56AA" w:rsidP="002E2768" w:rsidRDefault="00DE56AA" w14:paraId="0AD707B8" w14:textId="77777777">
            <w:pPr>
              <w:keepNext/>
              <w:keepLines/>
              <w:contextualSpacing/>
              <w:rPr>
                <w:color w:val="000000"/>
              </w:rPr>
            </w:pPr>
          </w:p>
          <w:p w:rsidRPr="0004263F" w:rsidR="00DE56AA" w:rsidP="002E2768" w:rsidRDefault="00DE56AA" w14:paraId="764FDAC2" w14:textId="77777777">
            <w:pPr>
              <w:keepNext/>
              <w:keepLines/>
              <w:contextualSpacing/>
              <w:rPr>
                <w:color w:val="000000"/>
              </w:rPr>
            </w:pPr>
          </w:p>
          <w:p w:rsidRPr="0004263F" w:rsidR="00DE56AA" w:rsidP="002E2768" w:rsidRDefault="00DE56AA" w14:paraId="7088382A" w14:textId="77777777">
            <w:pPr>
              <w:keepNext/>
              <w:keepLines/>
              <w:contextualSpacing/>
              <w:rPr>
                <w:color w:val="000000"/>
              </w:rPr>
            </w:pPr>
          </w:p>
          <w:p w:rsidRPr="0004263F" w:rsidR="00DE56AA" w:rsidP="002E2768" w:rsidRDefault="00DE56AA" w14:paraId="34DF8E7B" w14:textId="77777777">
            <w:pPr>
              <w:keepNext/>
              <w:keepLines/>
              <w:contextualSpacing/>
              <w:rPr>
                <w:color w:val="000000"/>
              </w:rPr>
            </w:pPr>
          </w:p>
          <w:p w:rsidRPr="0004263F" w:rsidR="00DE56AA" w:rsidP="002E2768" w:rsidRDefault="00DE56AA" w14:paraId="7F69DBD2" w14:textId="77777777">
            <w:pPr>
              <w:keepNext/>
              <w:keepLines/>
              <w:contextualSpacing/>
              <w:rPr>
                <w:color w:val="000000"/>
              </w:rPr>
            </w:pPr>
          </w:p>
          <w:p w:rsidRPr="0004263F" w:rsidR="00DE56AA" w:rsidP="002E2768" w:rsidRDefault="00DE56AA" w14:paraId="1B231103" w14:textId="77777777">
            <w:pPr>
              <w:keepNext/>
              <w:keepLines/>
              <w:contextualSpacing/>
              <w:rPr>
                <w:color w:val="000000"/>
              </w:rPr>
            </w:pPr>
          </w:p>
          <w:p w:rsidRPr="0004263F" w:rsidR="00DE56AA" w:rsidP="002E2768" w:rsidRDefault="00DE56AA" w14:paraId="2B504E2C" w14:textId="77777777">
            <w:pPr>
              <w:keepNext/>
              <w:keepLines/>
              <w:contextualSpacing/>
              <w:rPr>
                <w:color w:val="000000"/>
              </w:rPr>
            </w:pPr>
          </w:p>
          <w:p w:rsidRPr="0004263F" w:rsidR="00DE56AA" w:rsidP="002E2768" w:rsidRDefault="00DE56AA" w14:paraId="42D3BCA9" w14:textId="77777777">
            <w:pPr>
              <w:keepNext/>
              <w:keepLines/>
              <w:contextualSpacing/>
              <w:rPr>
                <w:color w:val="000000"/>
              </w:rPr>
            </w:pPr>
          </w:p>
          <w:p w:rsidRPr="0004263F" w:rsidR="00DE56AA" w:rsidP="002E2768" w:rsidRDefault="00DE56AA" w14:paraId="4FF96E98" w14:textId="77777777">
            <w:pPr>
              <w:keepNext/>
              <w:keepLines/>
              <w:contextualSpacing/>
              <w:rPr>
                <w:color w:val="000000"/>
              </w:rPr>
            </w:pPr>
          </w:p>
          <w:p w:rsidRPr="0004263F" w:rsidR="00DE56AA" w:rsidP="002E2768" w:rsidRDefault="00DE56AA" w14:paraId="2F1496D6" w14:textId="77777777">
            <w:pPr>
              <w:keepNext/>
              <w:keepLines/>
              <w:contextualSpacing/>
              <w:rPr>
                <w:color w:val="000000"/>
              </w:rPr>
            </w:pPr>
          </w:p>
          <w:p w:rsidRPr="0004263F" w:rsidR="00DE56AA" w:rsidP="002E2768" w:rsidRDefault="00DE56AA" w14:paraId="43EB4C82" w14:textId="77777777">
            <w:pPr>
              <w:keepNext/>
              <w:keepLines/>
              <w:contextualSpacing/>
              <w:rPr>
                <w:color w:val="000000"/>
              </w:rPr>
            </w:pPr>
          </w:p>
          <w:p w:rsidRPr="0004263F" w:rsidR="00DE56AA" w:rsidP="002E2768" w:rsidRDefault="00DE56AA" w14:paraId="34E2FCFB" w14:textId="77777777">
            <w:pPr>
              <w:keepNext/>
              <w:keepLines/>
              <w:contextualSpacing/>
              <w:rPr>
                <w:color w:val="000000"/>
                <w:u w:val="single"/>
              </w:rPr>
            </w:pPr>
            <w:r w:rsidRPr="0004263F">
              <w:rPr>
                <w:color w:val="000000"/>
                <w:u w:val="single"/>
              </w:rPr>
              <w:t>D.25-09-016, pages 19, 46, Appendix A (Settlement Agreement), Item 8.</w:t>
            </w:r>
          </w:p>
          <w:p w:rsidRPr="0004263F" w:rsidR="00DE56AA" w:rsidP="002E2768" w:rsidRDefault="00DE56AA" w14:paraId="030FF64A" w14:textId="77777777">
            <w:pPr>
              <w:keepNext/>
              <w:keepLines/>
              <w:contextualSpacing/>
              <w:rPr>
                <w:color w:val="000000"/>
              </w:rPr>
            </w:pPr>
          </w:p>
          <w:p w:rsidRPr="0004263F" w:rsidR="00DE56AA" w:rsidP="002E2768" w:rsidRDefault="00DE56AA" w14:paraId="166824D7" w14:textId="77777777">
            <w:pPr>
              <w:keepNext/>
              <w:keepLines/>
              <w:contextualSpacing/>
              <w:rPr>
                <w:color w:val="000000"/>
              </w:rPr>
            </w:pPr>
          </w:p>
          <w:p w:rsidRPr="0004263F" w:rsidR="00DE56AA" w:rsidP="002E2768" w:rsidRDefault="00DE56AA" w14:paraId="345A092D" w14:textId="77777777">
            <w:pPr>
              <w:keepNext/>
              <w:keepLines/>
              <w:contextualSpacing/>
              <w:rPr>
                <w:color w:val="000000"/>
              </w:rPr>
            </w:pPr>
          </w:p>
          <w:p w:rsidRPr="0004263F" w:rsidR="00DE56AA" w:rsidP="002E2768" w:rsidRDefault="00DE56AA" w14:paraId="7D1ECF3F" w14:textId="77777777">
            <w:pPr>
              <w:keepNext/>
              <w:keepLines/>
              <w:contextualSpacing/>
              <w:rPr>
                <w:color w:val="000000"/>
              </w:rPr>
            </w:pPr>
          </w:p>
          <w:p w:rsidRPr="0004263F" w:rsidR="00DE56AA" w:rsidP="002E2768" w:rsidRDefault="00DE56AA" w14:paraId="2201A42B" w14:textId="77777777">
            <w:pPr>
              <w:keepNext/>
              <w:keepLines/>
              <w:contextualSpacing/>
              <w:rPr>
                <w:color w:val="000000"/>
              </w:rPr>
            </w:pPr>
          </w:p>
          <w:p w:rsidRPr="0004263F" w:rsidR="00DE56AA" w:rsidP="002E2768" w:rsidRDefault="00DE56AA" w14:paraId="3403B7E6" w14:textId="77777777">
            <w:pPr>
              <w:keepNext/>
              <w:keepLines/>
              <w:contextualSpacing/>
              <w:rPr>
                <w:color w:val="000000"/>
              </w:rPr>
            </w:pPr>
          </w:p>
          <w:p w:rsidRPr="0004263F" w:rsidR="00DE56AA" w:rsidP="002E2768" w:rsidRDefault="00DE56AA" w14:paraId="0DB2C7D4" w14:textId="77777777">
            <w:pPr>
              <w:keepNext/>
              <w:keepLines/>
              <w:contextualSpacing/>
              <w:rPr>
                <w:color w:val="000000"/>
              </w:rPr>
            </w:pPr>
          </w:p>
          <w:p w:rsidRPr="0004263F" w:rsidR="00DE56AA" w:rsidP="002E2768" w:rsidRDefault="00DE56AA" w14:paraId="1EA8B841" w14:textId="77777777">
            <w:pPr>
              <w:keepNext/>
              <w:keepLines/>
              <w:contextualSpacing/>
              <w:rPr>
                <w:color w:val="000000"/>
              </w:rPr>
            </w:pPr>
          </w:p>
          <w:p w:rsidRPr="0004263F" w:rsidR="00DE56AA" w:rsidP="002E2768" w:rsidRDefault="00DE56AA" w14:paraId="49B15DD8" w14:textId="77777777">
            <w:pPr>
              <w:keepNext/>
              <w:keepLines/>
              <w:contextualSpacing/>
              <w:rPr>
                <w:color w:val="000000"/>
              </w:rPr>
            </w:pPr>
          </w:p>
          <w:p w:rsidRPr="0004263F" w:rsidR="00DE56AA" w:rsidP="002E2768" w:rsidRDefault="00DE56AA" w14:paraId="346A0534" w14:textId="77777777">
            <w:pPr>
              <w:keepNext/>
              <w:keepLines/>
              <w:contextualSpacing/>
              <w:rPr>
                <w:color w:val="000000"/>
              </w:rPr>
            </w:pPr>
          </w:p>
          <w:p w:rsidRPr="0004263F" w:rsidR="00DE56AA" w:rsidP="002E2768" w:rsidRDefault="00DE56AA" w14:paraId="62567EA5" w14:textId="77777777">
            <w:pPr>
              <w:keepNext/>
              <w:keepLines/>
              <w:contextualSpacing/>
              <w:rPr>
                <w:color w:val="000000"/>
              </w:rPr>
            </w:pPr>
          </w:p>
          <w:p w:rsidRPr="0004263F" w:rsidR="00DE56AA" w:rsidP="002E2768" w:rsidRDefault="00DE56AA" w14:paraId="2B456938" w14:textId="77777777">
            <w:pPr>
              <w:keepNext/>
              <w:keepLines/>
              <w:contextualSpacing/>
              <w:rPr>
                <w:color w:val="000000"/>
                <w:u w:val="single"/>
              </w:rPr>
            </w:pPr>
            <w:r w:rsidRPr="0004263F">
              <w:rPr>
                <w:color w:val="000000"/>
                <w:u w:val="single"/>
              </w:rPr>
              <w:t>D.25-09-016, page 21, Appendix A (Settlement Agreement), Item 10.</w:t>
            </w:r>
          </w:p>
          <w:p w:rsidRPr="0004263F" w:rsidR="00DE56AA" w:rsidP="002E2768" w:rsidRDefault="00DE56AA" w14:paraId="20E244B0" w14:textId="77777777">
            <w:pPr>
              <w:keepNext/>
              <w:keepLines/>
              <w:contextualSpacing/>
              <w:rPr>
                <w:color w:val="000000"/>
              </w:rPr>
            </w:pPr>
          </w:p>
          <w:p w:rsidRPr="0004263F" w:rsidR="00DE56AA" w:rsidP="002E2768" w:rsidRDefault="00DE56AA" w14:paraId="2371E862" w14:textId="77777777">
            <w:pPr>
              <w:keepNext/>
              <w:keepLines/>
              <w:contextualSpacing/>
              <w:rPr>
                <w:color w:val="000000"/>
              </w:rPr>
            </w:pPr>
          </w:p>
          <w:p w:rsidRPr="0004263F" w:rsidR="00DE56AA" w:rsidP="002E2768" w:rsidRDefault="00DE56AA" w14:paraId="63ECC646" w14:textId="77777777">
            <w:pPr>
              <w:keepNext/>
              <w:keepLines/>
              <w:contextualSpacing/>
              <w:rPr>
                <w:color w:val="000000"/>
              </w:rPr>
            </w:pPr>
          </w:p>
          <w:p w:rsidRPr="0004263F" w:rsidR="00DE56AA" w:rsidP="002E2768" w:rsidRDefault="00DE56AA" w14:paraId="0D7F60FF" w14:textId="77777777">
            <w:pPr>
              <w:keepNext/>
              <w:keepLines/>
              <w:contextualSpacing/>
              <w:rPr>
                <w:color w:val="000000"/>
              </w:rPr>
            </w:pPr>
          </w:p>
        </w:tc>
        <w:tc>
          <w:tcPr>
            <w:tcW w:w="2340" w:type="dxa"/>
          </w:tcPr>
          <w:p w:rsidRPr="007F620E" w:rsidR="00DE56AA" w:rsidP="002E2768" w:rsidRDefault="00A83A51" w14:paraId="6AB8C9E3" w14:textId="2AD331BB">
            <w:pPr>
              <w:keepNext/>
              <w:keepLines/>
              <w:contextualSpacing/>
              <w:rPr>
                <w:color w:val="000000"/>
              </w:rPr>
            </w:pPr>
            <w:r>
              <w:rPr>
                <w:color w:val="000000"/>
              </w:rPr>
              <w:lastRenderedPageBreak/>
              <w:t>Verified</w:t>
            </w:r>
          </w:p>
        </w:tc>
      </w:tr>
    </w:tbl>
    <w:p w:rsidR="008B0D95" w:rsidP="00B74F28" w:rsidRDefault="008B0D95" w14:paraId="3281E978" w14:textId="77777777">
      <w:pPr>
        <w:keepNext/>
        <w:rPr>
          <w:b/>
          <w:color w:val="000000"/>
        </w:rPr>
      </w:pPr>
    </w:p>
    <w:p w:rsidRPr="007F620E" w:rsidR="00A92D0B" w:rsidP="00B74F28" w:rsidRDefault="00A92D0B" w14:paraId="0D4BCD3A" w14:textId="645CC33E">
      <w:pPr>
        <w:keepNext/>
        <w:numPr>
          <w:ilvl w:val="0"/>
          <w:numId w:val="8"/>
        </w:numPr>
        <w:spacing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250788"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A92D0B" w:rsidTr="00FB22BF" w14:paraId="24A12BE1" w14:textId="77777777">
        <w:trPr>
          <w:tblHeader/>
        </w:trPr>
        <w:tc>
          <w:tcPr>
            <w:tcW w:w="6048" w:type="dxa"/>
          </w:tcPr>
          <w:p w:rsidRPr="007F620E" w:rsidR="00A92D0B" w:rsidP="00073262" w:rsidRDefault="00A92D0B" w14:paraId="6915FAF6" w14:textId="1085A34E">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A92D0B" w:rsidP="00757147" w:rsidRDefault="00757147" w14:paraId="0B49A7C8" w14:textId="6DF6CE72">
            <w:pPr>
              <w:keepNext/>
              <w:keepLines/>
              <w:jc w:val="center"/>
              <w:rPr>
                <w:color w:val="000000"/>
              </w:rPr>
            </w:pPr>
            <w:r>
              <w:rPr>
                <w:color w:val="000000"/>
              </w:rPr>
              <w:t>Y</w:t>
            </w:r>
          </w:p>
        </w:tc>
        <w:tc>
          <w:tcPr>
            <w:tcW w:w="1980" w:type="dxa"/>
          </w:tcPr>
          <w:p w:rsidRPr="00E25078" w:rsidR="00A92D0B" w:rsidP="00073262" w:rsidRDefault="00F36BA8" w14:paraId="23B6532A" w14:textId="0FC5AB76">
            <w:pPr>
              <w:keepNext/>
              <w:keepLines/>
              <w:rPr>
                <w:color w:val="000000"/>
              </w:rPr>
            </w:pPr>
            <w:r>
              <w:rPr>
                <w:color w:val="000000"/>
              </w:rPr>
              <w:t>Verified</w:t>
            </w:r>
          </w:p>
        </w:tc>
      </w:tr>
      <w:tr w:rsidRPr="007F620E" w:rsidR="00A92D0B" w:rsidTr="00FB22BF" w14:paraId="3317BD71" w14:textId="77777777">
        <w:tc>
          <w:tcPr>
            <w:tcW w:w="6048" w:type="dxa"/>
          </w:tcPr>
          <w:p w:rsidRPr="007F620E" w:rsidR="00A92D0B" w:rsidP="00073262" w:rsidRDefault="00A92D0B"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A92D0B" w:rsidP="00757147" w:rsidRDefault="00757147" w14:paraId="3708E485" w14:textId="305AE0D4">
            <w:pPr>
              <w:jc w:val="center"/>
              <w:rPr>
                <w:color w:val="000000"/>
              </w:rPr>
            </w:pPr>
            <w:r>
              <w:rPr>
                <w:color w:val="000000"/>
              </w:rPr>
              <w:t>Y</w:t>
            </w:r>
          </w:p>
        </w:tc>
        <w:tc>
          <w:tcPr>
            <w:tcW w:w="1980" w:type="dxa"/>
          </w:tcPr>
          <w:p w:rsidRPr="00E25078" w:rsidR="00A92D0B" w:rsidP="00073262" w:rsidRDefault="00D33408" w14:paraId="6B3388E6" w14:textId="2037DC99">
            <w:pPr>
              <w:rPr>
                <w:color w:val="000000"/>
              </w:rPr>
            </w:pPr>
            <w:r>
              <w:rPr>
                <w:color w:val="000000"/>
              </w:rPr>
              <w:t>Verified</w:t>
            </w:r>
          </w:p>
        </w:tc>
      </w:tr>
      <w:tr w:rsidRPr="007F620E" w:rsidR="00A92D0B" w:rsidTr="00FB22BF" w14:paraId="0A51B7D4" w14:textId="77777777">
        <w:tc>
          <w:tcPr>
            <w:tcW w:w="7758" w:type="dxa"/>
            <w:gridSpan w:val="2"/>
          </w:tcPr>
          <w:p w:rsidRPr="00E25078" w:rsidR="00A92D0B" w:rsidP="00073262" w:rsidRDefault="00A92D0B" w14:paraId="30CB6275" w14:textId="7D63B4F2">
            <w:pPr>
              <w:ind w:left="360" w:hanging="360"/>
              <w:rPr>
                <w:color w:val="000000"/>
              </w:rPr>
            </w:pPr>
            <w:proofErr w:type="gramStart"/>
            <w:r w:rsidRPr="00E25078">
              <w:rPr>
                <w:b/>
                <w:color w:val="000000"/>
              </w:rPr>
              <w:t>c.</w:t>
            </w:r>
            <w:r w:rsidRPr="00E25078">
              <w:rPr>
                <w:b/>
                <w:color w:val="000000"/>
              </w:rPr>
              <w:tab/>
              <w:t>If</w:t>
            </w:r>
            <w:proofErr w:type="gramEnd"/>
            <w:r w:rsidRPr="00E25078">
              <w:rPr>
                <w:b/>
                <w:color w:val="000000"/>
              </w:rPr>
              <w:t xml:space="preserve"> so, provide name of other parties:</w:t>
            </w:r>
            <w:r w:rsidRPr="00E25078" w:rsidR="00E25078">
              <w:rPr>
                <w:color w:val="000000"/>
              </w:rPr>
              <w:t xml:space="preserve"> </w:t>
            </w:r>
          </w:p>
          <w:p w:rsidRPr="00E25078" w:rsidR="00A92D0B" w:rsidP="004F080E" w:rsidRDefault="00A92D0B" w14:paraId="0919176B" w14:textId="77777777">
            <w:pPr>
              <w:ind w:left="360" w:hanging="360"/>
              <w:rPr>
                <w:color w:val="000000"/>
              </w:rPr>
            </w:pPr>
          </w:p>
        </w:tc>
        <w:tc>
          <w:tcPr>
            <w:tcW w:w="1980" w:type="dxa"/>
          </w:tcPr>
          <w:p w:rsidRPr="00E25078" w:rsidR="00A92D0B" w:rsidP="00073262" w:rsidRDefault="007F20E0" w14:paraId="22A40B49" w14:textId="55148317">
            <w:pPr>
              <w:rPr>
                <w:color w:val="000000"/>
              </w:rPr>
            </w:pPr>
            <w:r>
              <w:rPr>
                <w:color w:val="000000"/>
              </w:rPr>
              <w:t>Noted</w:t>
            </w:r>
            <w:r w:rsidR="00250788">
              <w:rPr>
                <w:color w:val="000000"/>
              </w:rPr>
              <w:t>, Cal Advocates</w:t>
            </w:r>
          </w:p>
        </w:tc>
      </w:tr>
      <w:tr w:rsidRPr="007F620E" w:rsidR="00A92D0B" w:rsidTr="00FB22BF" w14:paraId="744830F5" w14:textId="77777777">
        <w:tc>
          <w:tcPr>
            <w:tcW w:w="7758" w:type="dxa"/>
            <w:gridSpan w:val="2"/>
          </w:tcPr>
          <w:p w:rsidRPr="00E25078" w:rsidR="00A92D0B" w:rsidP="00073262" w:rsidRDefault="00A92D0B" w14:paraId="7C05FE5A" w14:textId="7521972E">
            <w:pPr>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00691528" w:rsidP="00E707B3" w:rsidRDefault="00E707B3" w14:paraId="0CFBC7B2" w14:textId="3B9FA21C">
            <w:pPr>
              <w:tabs>
                <w:tab w:val="left" w:pos="360"/>
              </w:tabs>
              <w:rPr>
                <w:color w:val="000000"/>
              </w:rPr>
            </w:pPr>
            <w:r>
              <w:rPr>
                <w:color w:val="000000"/>
              </w:rPr>
              <w:t xml:space="preserve">Apart from Cal Advocates and </w:t>
            </w:r>
            <w:proofErr w:type="spellStart"/>
            <w:r>
              <w:rPr>
                <w:color w:val="000000"/>
              </w:rPr>
              <w:t>CalCCA</w:t>
            </w:r>
            <w:proofErr w:type="spellEnd"/>
            <w:r>
              <w:rPr>
                <w:color w:val="000000"/>
              </w:rPr>
              <w:t xml:space="preserve">, no other party presented testimony in this proceeding. The testimony from </w:t>
            </w:r>
            <w:proofErr w:type="spellStart"/>
            <w:r>
              <w:rPr>
                <w:color w:val="000000"/>
              </w:rPr>
              <w:t>CalCCA</w:t>
            </w:r>
            <w:proofErr w:type="spellEnd"/>
            <w:r>
              <w:rPr>
                <w:color w:val="000000"/>
              </w:rPr>
              <w:t xml:space="preserve"> did not address any issues overlapping with TURN. While Cal Advocates and TURN did address some similar issues, TURN’s presentation and analysis was unique and covered additional topics not addressed by Cal Advocates.</w:t>
            </w:r>
          </w:p>
          <w:p w:rsidR="00E707B3" w:rsidP="00073262" w:rsidRDefault="00E707B3" w14:paraId="4AB26A3B" w14:textId="77777777">
            <w:pPr>
              <w:tabs>
                <w:tab w:val="left" w:pos="360"/>
              </w:tabs>
              <w:ind w:left="360" w:hanging="360"/>
              <w:rPr>
                <w:color w:val="000000"/>
              </w:rPr>
            </w:pPr>
          </w:p>
          <w:p w:rsidR="005C7E25" w:rsidP="00965A6D" w:rsidRDefault="004A1DA5" w14:paraId="2DD750BD" w14:textId="77777777">
            <w:pPr>
              <w:rPr>
                <w:color w:val="000000"/>
              </w:rPr>
            </w:pPr>
            <w:r>
              <w:rPr>
                <w:color w:val="000000"/>
              </w:rPr>
              <w:t xml:space="preserve">Where TURN and Cal Advocates did take similar positions, the two organizations worked together as part of the settlement process. TURN and Cal Advocates coordinated on joint settlement positions </w:t>
            </w:r>
            <w:r w:rsidR="00C213A6">
              <w:rPr>
                <w:color w:val="000000"/>
              </w:rPr>
              <w:t>and strategy</w:t>
            </w:r>
            <w:r>
              <w:rPr>
                <w:color w:val="000000"/>
              </w:rPr>
              <w:t>.</w:t>
            </w:r>
            <w:r w:rsidR="00E707B3">
              <w:rPr>
                <w:color w:val="000000"/>
              </w:rPr>
              <w:t xml:space="preserve"> This approach minimized duplication and allowed both parties to work collectively towards </w:t>
            </w:r>
            <w:r w:rsidR="005C7E25">
              <w:rPr>
                <w:color w:val="000000"/>
              </w:rPr>
              <w:t>achieving best results for ratepayers.</w:t>
            </w:r>
          </w:p>
          <w:p w:rsidR="00D95B3A" w:rsidP="00965A6D" w:rsidRDefault="00D95B3A" w14:paraId="3A3B0DAE" w14:textId="77777777">
            <w:pPr>
              <w:rPr>
                <w:color w:val="000000"/>
              </w:rPr>
            </w:pPr>
          </w:p>
          <w:p w:rsidRPr="00E25078" w:rsidR="00A92D0B" w:rsidP="00E56E77" w:rsidRDefault="00965A6D" w14:paraId="3228BB07" w14:textId="4E15AC69">
            <w:pPr>
              <w:tabs>
                <w:tab w:val="left" w:pos="360"/>
              </w:tabs>
              <w:rPr>
                <w:color w:val="000000"/>
              </w:rPr>
            </w:pPr>
            <w:r>
              <w:rPr>
                <w:color w:val="000000"/>
              </w:rPr>
              <w:t>To the extent that any duplication occurred, it was unavoidable due to the nature of the litigation process and the array of issues addressed. TURN worked diligently to ensure that its involvement uniquely influenced the outcome of the</w:t>
            </w:r>
            <w:r w:rsidR="00F97388">
              <w:rPr>
                <w:color w:val="000000"/>
              </w:rPr>
              <w:t xml:space="preserve"> Settlement and</w:t>
            </w:r>
            <w:r>
              <w:rPr>
                <w:color w:val="000000"/>
              </w:rPr>
              <w:t xml:space="preserve"> final Decision.</w:t>
            </w:r>
          </w:p>
        </w:tc>
        <w:tc>
          <w:tcPr>
            <w:tcW w:w="1980" w:type="dxa"/>
          </w:tcPr>
          <w:p w:rsidRPr="00E25078" w:rsidR="00A92D0B" w:rsidP="00073262" w:rsidRDefault="00250788" w14:paraId="5F9BBA55" w14:textId="255E7C97">
            <w:pPr>
              <w:tabs>
                <w:tab w:val="left" w:pos="360"/>
              </w:tabs>
              <w:ind w:left="360" w:hanging="360"/>
              <w:rPr>
                <w:color w:val="000000"/>
              </w:rPr>
            </w:pPr>
            <w:r>
              <w:rPr>
                <w:color w:val="000000"/>
              </w:rPr>
              <w:lastRenderedPageBreak/>
              <w:t>Noted</w:t>
            </w:r>
          </w:p>
        </w:tc>
      </w:tr>
    </w:tbl>
    <w:p w:rsidRPr="003B6A1B" w:rsidR="00A92D0B" w:rsidP="005B5B44" w:rsidRDefault="00A92D0B" w14:paraId="4415DD51" w14:textId="6D78778E">
      <w:pPr>
        <w:keepNext/>
        <w:numPr>
          <w:ilvl w:val="0"/>
          <w:numId w:val="8"/>
        </w:numPr>
        <w:spacing w:before="240" w:after="240"/>
        <w:rPr>
          <w:b/>
          <w:i/>
          <w:color w:val="000000"/>
          <w:u w:val="single"/>
        </w:rPr>
      </w:pPr>
      <w:r w:rsidRPr="007F620E">
        <w:rPr>
          <w:b/>
          <w:color w:val="000000"/>
        </w:rPr>
        <w:t>Additional Comments on Part II</w:t>
      </w:r>
      <w:r w:rsidR="00C02649">
        <w:rPr>
          <w:b/>
          <w:color w:val="000000"/>
        </w:rPr>
        <w:t>:</w:t>
      </w:r>
    </w:p>
    <w:tbl>
      <w:tblPr>
        <w:tblW w:w="9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999"/>
        <w:gridCol w:w="3519"/>
        <w:gridCol w:w="5276"/>
      </w:tblGrid>
      <w:tr w:rsidRPr="007F620E" w:rsidR="00963EEF" w:rsidTr="00073262" w14:paraId="52771334" w14:textId="77777777">
        <w:trPr>
          <w:tblHeader/>
        </w:trPr>
        <w:tc>
          <w:tcPr>
            <w:tcW w:w="999" w:type="dxa"/>
            <w:tcBorders>
              <w:bottom w:val="single" w:color="auto" w:sz="4" w:space="0"/>
            </w:tcBorders>
            <w:shd w:val="clear" w:color="auto" w:fill="D9D9D9" w:themeFill="background1" w:themeFillShade="D9"/>
          </w:tcPr>
          <w:p w:rsidRPr="007F620E" w:rsidR="00963EEF" w:rsidP="00073262" w:rsidRDefault="00963EEF" w14:paraId="15D83D80" w14:textId="77777777">
            <w:pPr>
              <w:tabs>
                <w:tab w:val="left" w:pos="360"/>
              </w:tabs>
              <w:jc w:val="center"/>
              <w:rPr>
                <w:b/>
                <w:color w:val="000000"/>
              </w:rPr>
            </w:pPr>
            <w:r w:rsidRPr="007F620E">
              <w:rPr>
                <w:b/>
                <w:color w:val="000000"/>
              </w:rPr>
              <w:t>#</w:t>
            </w:r>
          </w:p>
        </w:tc>
        <w:tc>
          <w:tcPr>
            <w:tcW w:w="3519" w:type="dxa"/>
            <w:tcBorders>
              <w:bottom w:val="single" w:color="auto" w:sz="4" w:space="0"/>
            </w:tcBorders>
            <w:shd w:val="clear" w:color="auto" w:fill="D9D9D9" w:themeFill="background1" w:themeFillShade="D9"/>
          </w:tcPr>
          <w:p w:rsidRPr="007F620E" w:rsidR="00963EEF" w:rsidP="00073262" w:rsidRDefault="00963EEF" w14:paraId="23BC1F82" w14:textId="77777777">
            <w:pPr>
              <w:tabs>
                <w:tab w:val="left" w:pos="360"/>
              </w:tabs>
              <w:jc w:val="center"/>
              <w:rPr>
                <w:b/>
                <w:color w:val="000000"/>
              </w:rPr>
            </w:pPr>
            <w:r w:rsidRPr="007F620E">
              <w:rPr>
                <w:b/>
                <w:color w:val="000000"/>
              </w:rPr>
              <w:t>Intervenor’s Comment</w:t>
            </w:r>
          </w:p>
        </w:tc>
        <w:tc>
          <w:tcPr>
            <w:tcW w:w="5276" w:type="dxa"/>
            <w:shd w:val="clear" w:color="auto" w:fill="D9D9D9" w:themeFill="background1" w:themeFillShade="D9"/>
          </w:tcPr>
          <w:p w:rsidRPr="007F620E" w:rsidR="00963EEF" w:rsidP="00073262" w:rsidRDefault="00963EEF" w14:paraId="03118710" w14:textId="77777777">
            <w:pPr>
              <w:tabs>
                <w:tab w:val="left" w:pos="360"/>
              </w:tabs>
              <w:jc w:val="center"/>
              <w:rPr>
                <w:b/>
                <w:color w:val="000000"/>
              </w:rPr>
            </w:pPr>
            <w:r w:rsidRPr="007F620E">
              <w:rPr>
                <w:b/>
                <w:color w:val="000000"/>
              </w:rPr>
              <w:t>CPUC Discussion</w:t>
            </w:r>
          </w:p>
        </w:tc>
      </w:tr>
      <w:tr w:rsidRPr="007F620E" w:rsidR="00963EEF" w:rsidTr="00CA28C3" w14:paraId="58A3E16A" w14:textId="77777777">
        <w:tc>
          <w:tcPr>
            <w:tcW w:w="999" w:type="dxa"/>
          </w:tcPr>
          <w:p w:rsidRPr="00D37D2C" w:rsidR="00963EEF" w:rsidP="00073262" w:rsidRDefault="00D37D2C" w14:paraId="3D289A0B" w14:textId="2D13BD28">
            <w:pPr>
              <w:tabs>
                <w:tab w:val="left" w:pos="360"/>
              </w:tabs>
              <w:rPr>
                <w:b/>
                <w:bCs/>
                <w:color w:val="000000"/>
              </w:rPr>
            </w:pPr>
            <w:r w:rsidRPr="00D37D2C">
              <w:rPr>
                <w:b/>
                <w:bCs/>
                <w:color w:val="000000"/>
              </w:rPr>
              <w:t>1</w:t>
            </w:r>
          </w:p>
        </w:tc>
        <w:tc>
          <w:tcPr>
            <w:tcW w:w="3519" w:type="dxa"/>
          </w:tcPr>
          <w:p w:rsidR="00D37D2C" w:rsidP="005C2F75" w:rsidRDefault="00D37D2C" w14:paraId="3C048F1E" w14:textId="49B48C82">
            <w:pPr>
              <w:tabs>
                <w:tab w:val="left" w:pos="360"/>
              </w:tabs>
              <w:spacing w:before="100" w:beforeAutospacing="1" w:after="100" w:afterAutospacing="1"/>
            </w:pPr>
            <w:r>
              <w:t>The issues in this proceeding were resolved via settlement rather than briefing. As is the case in a typical settlement, no party achieved specific and measurable outcomes on every recommendation contained in testimony. The Commission should recognize that the settlement process requires parties to compromise and forgo relief on one issue in exchange for a favorable outcome on</w:t>
            </w:r>
            <w:r w:rsidR="00734386">
              <w:t>e or more</w:t>
            </w:r>
            <w:r>
              <w:t xml:space="preserve"> other issue</w:t>
            </w:r>
            <w:r w:rsidR="00734386">
              <w:t>s</w:t>
            </w:r>
            <w:r>
              <w:t xml:space="preserve">. These trade-offs are integral to the settlement process. To the extent that TURN raised any issue in testimony that was not explicitly addressed in the settlement, the Commission should find that the overall suite of concessions contained in the adopted Settlement </w:t>
            </w:r>
            <w:proofErr w:type="gramStart"/>
            <w:r>
              <w:t>support</w:t>
            </w:r>
            <w:proofErr w:type="gramEnd"/>
            <w:r>
              <w:t xml:space="preserve"> the conclusion that TURN made a substantial contribution on </w:t>
            </w:r>
            <w:proofErr w:type="gramStart"/>
            <w:r>
              <w:t>all of</w:t>
            </w:r>
            <w:proofErr w:type="gramEnd"/>
            <w:r>
              <w:t xml:space="preserve"> the disputed issues that were resolved by the Settlement.</w:t>
            </w:r>
          </w:p>
          <w:p w:rsidRPr="007F620E" w:rsidR="00963EEF" w:rsidP="005C2F75" w:rsidRDefault="00D37D2C" w14:paraId="59AA74E8" w14:textId="35EF57FD">
            <w:pPr>
              <w:tabs>
                <w:tab w:val="left" w:pos="360"/>
              </w:tabs>
              <w:spacing w:before="100" w:beforeAutospacing="1" w:after="100" w:afterAutospacing="1"/>
              <w:rPr>
                <w:color w:val="000000"/>
              </w:rPr>
            </w:pPr>
            <w:r>
              <w:t xml:space="preserve">The Commission has consistently encouraged parties to pursue settlements in a wide range of </w:t>
            </w:r>
            <w:r>
              <w:lastRenderedPageBreak/>
              <w:t xml:space="preserve">proceedings. TURN’s willingness to </w:t>
            </w:r>
            <w:proofErr w:type="gramStart"/>
            <w:r>
              <w:t>enter into</w:t>
            </w:r>
            <w:proofErr w:type="gramEnd"/>
            <w:r>
              <w:t xml:space="preserve"> Settlement negotiations and compromise on a wide array of disputed issues should not be used as the basis for a finding that TURN failed to make a substantial contribution on any individual recommendation that was not expressly reflected in the final agreement.</w:t>
            </w:r>
          </w:p>
        </w:tc>
        <w:tc>
          <w:tcPr>
            <w:tcW w:w="5276" w:type="dxa"/>
          </w:tcPr>
          <w:p w:rsidRPr="007F620E" w:rsidR="00963EEF" w:rsidP="00073262" w:rsidRDefault="00DE48AB" w14:paraId="7B53CB1C" w14:textId="47D1B6C6">
            <w:pPr>
              <w:tabs>
                <w:tab w:val="left" w:pos="360"/>
              </w:tabs>
              <w:rPr>
                <w:color w:val="000000"/>
              </w:rPr>
            </w:pPr>
            <w:r>
              <w:rPr>
                <w:color w:val="000000"/>
              </w:rPr>
              <w:lastRenderedPageBreak/>
              <w:t>Noted</w:t>
            </w:r>
          </w:p>
        </w:tc>
      </w:tr>
    </w:tbl>
    <w:p w:rsidRPr="007F620E" w:rsidR="00B312DA" w:rsidP="00B74F28" w:rsidRDefault="00A92D0B" w14:paraId="175C3F89" w14:textId="4835545D">
      <w:pPr>
        <w:keepNext/>
        <w:tabs>
          <w:tab w:val="left" w:pos="1260"/>
        </w:tabs>
        <w:spacing w:before="360"/>
        <w:ind w:left="1267" w:hanging="1267"/>
        <w:jc w:val="center"/>
        <w:rPr>
          <w:b/>
          <w:color w:val="000000"/>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B74F28" w:rsidRDefault="00A92D0B" w14:paraId="6F74DAE2" w14:textId="77777777">
      <w:pPr>
        <w:keepNext/>
        <w:numPr>
          <w:ilvl w:val="0"/>
          <w:numId w:val="9"/>
        </w:numPr>
        <w:spacing w:before="12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CA28C3" w14:paraId="5708510E" w14:textId="77777777">
        <w:tc>
          <w:tcPr>
            <w:tcW w:w="7488" w:type="dxa"/>
            <w:tcBorders>
              <w:bottom w:val="single" w:color="auto" w:sz="4" w:space="0"/>
            </w:tcBorders>
          </w:tcPr>
          <w:p w:rsidRPr="00E25078" w:rsidR="00FC6CB0" w:rsidP="00FC6CB0" w:rsidRDefault="00FC6CB0" w14:paraId="12B81B18" w14:textId="77777777">
            <w:pPr>
              <w:rPr>
                <w:color w:val="000000"/>
              </w:rPr>
            </w:pPr>
            <w:r w:rsidRPr="007F620E">
              <w:rPr>
                <w:b/>
                <w:color w:val="000000"/>
              </w:rPr>
              <w:t>a. Intervenor’s claim of cost reasonableness:</w:t>
            </w:r>
            <w:r w:rsidRPr="00E25078">
              <w:rPr>
                <w:color w:val="000000"/>
              </w:rPr>
              <w:t xml:space="preserve"> </w:t>
            </w:r>
          </w:p>
          <w:p w:rsidRPr="00871610" w:rsidR="00871610" w:rsidP="00871610" w:rsidRDefault="00871610" w14:paraId="3F9E6936" w14:textId="77777777">
            <w:pPr>
              <w:spacing w:before="100" w:beforeAutospacing="1" w:after="100" w:afterAutospacing="1"/>
              <w:rPr>
                <w:color w:val="000000"/>
              </w:rPr>
            </w:pPr>
            <w:r w:rsidRPr="00871610">
              <w:rPr>
                <w:color w:val="000000"/>
              </w:rPr>
              <w:t>As demonstrated in the substantial contribution section, TURN’s positions were extensively reflected in the all-party settlement ultimately adopted by the Commission. The settlement process involved TURN, Cal Advocates and PG&amp;E. No other parties actively participated in negotiations. The involvement of TURN was critical to the achievement of a final agreement that responds to, and reflects, TURN’s top priorities in this case.</w:t>
            </w:r>
          </w:p>
          <w:p w:rsidRPr="00871610" w:rsidR="00871610" w:rsidP="00871610" w:rsidRDefault="00871610" w14:paraId="3B37193B" w14:textId="77777777">
            <w:pPr>
              <w:spacing w:before="100" w:beforeAutospacing="1" w:after="100" w:afterAutospacing="1"/>
              <w:rPr>
                <w:color w:val="000000"/>
              </w:rPr>
            </w:pPr>
            <w:r w:rsidRPr="00871610">
              <w:rPr>
                <w:color w:val="000000"/>
              </w:rPr>
              <w:t>The Settlement results in the following modifications to PG&amp;E’s application that provide concrete benefits to ratepayers:</w:t>
            </w:r>
          </w:p>
          <w:p w:rsidRPr="00871610" w:rsidR="00871610" w:rsidP="00871610" w:rsidRDefault="00871610" w14:paraId="373B8668" w14:textId="2A4C7682">
            <w:pPr>
              <w:pStyle w:val="ListParagraph"/>
              <w:numPr>
                <w:ilvl w:val="0"/>
                <w:numId w:val="11"/>
              </w:numPr>
              <w:spacing w:before="240" w:after="120"/>
              <w:rPr>
                <w:rFonts w:ascii="Times New Roman" w:hAnsi="Times New Roman"/>
                <w:color w:val="000000"/>
                <w:sz w:val="24"/>
                <w:szCs w:val="24"/>
              </w:rPr>
            </w:pPr>
            <w:r w:rsidRPr="00871610">
              <w:rPr>
                <w:rFonts w:ascii="Times New Roman" w:hAnsi="Times New Roman"/>
                <w:color w:val="000000"/>
                <w:sz w:val="24"/>
                <w:szCs w:val="24"/>
              </w:rPr>
              <w:t>A reduction of the Uprate project cost cap from $462 million to $400 million due to the use of a 30% contingency factor rather than PG&amp;</w:t>
            </w:r>
            <w:proofErr w:type="gramStart"/>
            <w:r w:rsidRPr="00871610">
              <w:rPr>
                <w:rFonts w:ascii="Times New Roman" w:hAnsi="Times New Roman"/>
                <w:color w:val="000000"/>
                <w:sz w:val="24"/>
                <w:szCs w:val="24"/>
              </w:rPr>
              <w:t>E’s</w:t>
            </w:r>
            <w:proofErr w:type="gramEnd"/>
            <w:r w:rsidRPr="00871610">
              <w:rPr>
                <w:rFonts w:ascii="Times New Roman" w:hAnsi="Times New Roman"/>
                <w:color w:val="000000"/>
                <w:sz w:val="24"/>
                <w:szCs w:val="24"/>
              </w:rPr>
              <w:t xml:space="preserve"> proposed 50% contingency. Any costs </w:t>
            </w:r>
            <w:proofErr w:type="gramStart"/>
            <w:r w:rsidRPr="00871610">
              <w:rPr>
                <w:rFonts w:ascii="Times New Roman" w:hAnsi="Times New Roman"/>
                <w:color w:val="000000"/>
                <w:sz w:val="24"/>
                <w:szCs w:val="24"/>
              </w:rPr>
              <w:t>in excess of</w:t>
            </w:r>
            <w:proofErr w:type="gramEnd"/>
            <w:r w:rsidRPr="00871610">
              <w:rPr>
                <w:rFonts w:ascii="Times New Roman" w:hAnsi="Times New Roman"/>
                <w:color w:val="000000"/>
                <w:sz w:val="24"/>
                <w:szCs w:val="24"/>
              </w:rPr>
              <w:t xml:space="preserve"> the cap will be subject to a reasonableness review.</w:t>
            </w:r>
          </w:p>
          <w:p w:rsidRPr="00871610" w:rsidR="00871610" w:rsidP="00871610" w:rsidRDefault="00871610" w14:paraId="0042AB64" w14:textId="4D0A47A4">
            <w:pPr>
              <w:pStyle w:val="ListParagraph"/>
              <w:numPr>
                <w:ilvl w:val="0"/>
                <w:numId w:val="11"/>
              </w:numPr>
              <w:spacing w:before="240" w:after="120"/>
              <w:rPr>
                <w:rFonts w:ascii="Times New Roman" w:hAnsi="Times New Roman"/>
                <w:color w:val="000000"/>
                <w:sz w:val="24"/>
                <w:szCs w:val="24"/>
              </w:rPr>
            </w:pPr>
            <w:r w:rsidRPr="00871610">
              <w:rPr>
                <w:rFonts w:ascii="Times New Roman" w:hAnsi="Times New Roman"/>
                <w:color w:val="000000"/>
                <w:sz w:val="24"/>
                <w:szCs w:val="24"/>
              </w:rPr>
              <w:t>A requirement for PG&amp;E to update the Commission on any changes in the expected eligibility of the Uprate project for the federal Investment Tax Credit and assess whether the project remains cost-effective. If the project is no longer cost effective, the Settlement provides a process for canceling the project and limiting PG&amp;E’s ability to earn a return on any stranded costs.</w:t>
            </w:r>
          </w:p>
          <w:p w:rsidRPr="00871610" w:rsidR="00871610" w:rsidP="00871610" w:rsidRDefault="00871610" w14:paraId="18B5D7F3" w14:textId="4E525250">
            <w:pPr>
              <w:pStyle w:val="ListParagraph"/>
              <w:numPr>
                <w:ilvl w:val="0"/>
                <w:numId w:val="11"/>
              </w:numPr>
              <w:spacing w:before="240" w:after="120"/>
              <w:rPr>
                <w:rFonts w:ascii="Times New Roman" w:hAnsi="Times New Roman"/>
                <w:color w:val="000000"/>
                <w:sz w:val="24"/>
                <w:szCs w:val="24"/>
              </w:rPr>
            </w:pPr>
            <w:r w:rsidRPr="00871610">
              <w:rPr>
                <w:rFonts w:ascii="Times New Roman" w:hAnsi="Times New Roman"/>
                <w:color w:val="000000"/>
                <w:sz w:val="24"/>
                <w:szCs w:val="24"/>
              </w:rPr>
              <w:t xml:space="preserve">A requirement for PG&amp;E to apply “flow through” treatment of the Investment Tax Credit as opposed to the normalization approach PG&amp;E sought. The use of “flow through” treatment will ensure that </w:t>
            </w:r>
            <w:r w:rsidRPr="00871610">
              <w:rPr>
                <w:rFonts w:ascii="Times New Roman" w:hAnsi="Times New Roman"/>
                <w:color w:val="000000"/>
                <w:sz w:val="24"/>
                <w:szCs w:val="24"/>
              </w:rPr>
              <w:lastRenderedPageBreak/>
              <w:t>100% of the value of the credit is passed through to ratepayers.</w:t>
            </w:r>
            <w:r w:rsidR="00EF7D58">
              <w:rPr>
                <w:rFonts w:ascii="Times New Roman" w:hAnsi="Times New Roman"/>
                <w:color w:val="000000"/>
                <w:sz w:val="24"/>
                <w:szCs w:val="24"/>
              </w:rPr>
              <w:t xml:space="preserve"> TURN’s testimony calculates that this change is expected to save ratepayers $66.1 million (NPV).</w:t>
            </w:r>
          </w:p>
          <w:p w:rsidRPr="00871610" w:rsidR="00871610" w:rsidP="00871610" w:rsidRDefault="00871610" w14:paraId="132A36BC" w14:textId="77777777">
            <w:pPr>
              <w:pStyle w:val="ListParagraph"/>
              <w:numPr>
                <w:ilvl w:val="0"/>
                <w:numId w:val="11"/>
              </w:numPr>
              <w:spacing w:before="240" w:after="120"/>
              <w:rPr>
                <w:rFonts w:ascii="Times New Roman" w:hAnsi="Times New Roman"/>
                <w:color w:val="000000"/>
                <w:sz w:val="24"/>
                <w:szCs w:val="24"/>
              </w:rPr>
            </w:pPr>
            <w:r w:rsidRPr="00871610">
              <w:rPr>
                <w:rFonts w:ascii="Times New Roman" w:hAnsi="Times New Roman"/>
                <w:color w:val="000000"/>
                <w:sz w:val="24"/>
                <w:szCs w:val="24"/>
              </w:rPr>
              <w:t xml:space="preserve">A process for evaluating whether certain changes in forecasted project costs or expected benefits trigger an Advice Letter filing in which continuation of the project would be compared to alternative resource options. </w:t>
            </w:r>
            <w:proofErr w:type="gramStart"/>
            <w:r w:rsidRPr="00871610">
              <w:rPr>
                <w:rFonts w:ascii="Times New Roman" w:hAnsi="Times New Roman"/>
                <w:color w:val="000000"/>
                <w:sz w:val="24"/>
                <w:szCs w:val="24"/>
              </w:rPr>
              <w:t>In the event that</w:t>
            </w:r>
            <w:proofErr w:type="gramEnd"/>
            <w:r w:rsidRPr="00871610">
              <w:rPr>
                <w:rFonts w:ascii="Times New Roman" w:hAnsi="Times New Roman"/>
                <w:color w:val="000000"/>
                <w:sz w:val="24"/>
                <w:szCs w:val="24"/>
              </w:rPr>
              <w:t xml:space="preserve"> alternative resource options provide better value to ratepayers, this process would result in a cancelation of the project with limits on PG&amp;E’s ability to earn any return on stranded costs. </w:t>
            </w:r>
          </w:p>
          <w:p w:rsidRPr="00871610" w:rsidR="00853BFD" w:rsidP="00871610" w:rsidRDefault="00871610" w14:paraId="2B1A1242" w14:textId="1362E6E8">
            <w:pPr>
              <w:spacing w:before="100" w:beforeAutospacing="1" w:after="100" w:afterAutospacing="1"/>
            </w:pPr>
            <w:r w:rsidRPr="00871610">
              <w:rPr>
                <w:color w:val="000000"/>
              </w:rPr>
              <w:t>Given these specific and substantial contributions, the benefits associated with TURN’s participation far exceed the cost of TURN’s participation in this proceeding. TURN’s claim should be found to be reasonable.</w:t>
            </w:r>
          </w:p>
        </w:tc>
        <w:tc>
          <w:tcPr>
            <w:tcW w:w="2250" w:type="dxa"/>
          </w:tcPr>
          <w:p w:rsidRPr="00FE3BAE" w:rsidR="00FE3BAE" w:rsidP="00EC6387" w:rsidRDefault="00DE48AB" w14:paraId="223B4665" w14:textId="0C26414C">
            <w:pPr>
              <w:rPr>
                <w:color w:val="000000"/>
              </w:rPr>
            </w:pPr>
            <w:r>
              <w:rPr>
                <w:color w:val="000000"/>
              </w:rPr>
              <w:lastRenderedPageBreak/>
              <w:t>Noted</w:t>
            </w:r>
          </w:p>
        </w:tc>
      </w:tr>
      <w:tr w:rsidRPr="007F620E" w:rsidR="00FE3BAE" w:rsidTr="00CA28C3"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602A84" w:rsidP="00602A84" w:rsidRDefault="00602A84" w14:paraId="283096D0" w14:textId="08104E19">
            <w:pPr>
              <w:spacing w:before="100" w:beforeAutospacing="1" w:after="100" w:afterAutospacing="1"/>
              <w:rPr>
                <w:color w:val="000000"/>
              </w:rPr>
            </w:pPr>
            <w:r>
              <w:rPr>
                <w:color w:val="000000"/>
              </w:rPr>
              <w:t xml:space="preserve">TURN </w:t>
            </w:r>
            <w:r w:rsidRPr="00610B7B">
              <w:rPr>
                <w:color w:val="000000"/>
              </w:rPr>
              <w:t xml:space="preserve">devoted the minimum number of hours to reviewing rulings, drafting pleadings, </w:t>
            </w:r>
            <w:r w:rsidR="00055582">
              <w:rPr>
                <w:color w:val="000000"/>
              </w:rPr>
              <w:t xml:space="preserve">developing testimony, </w:t>
            </w:r>
            <w:r>
              <w:rPr>
                <w:color w:val="000000"/>
              </w:rPr>
              <w:t xml:space="preserve">reading </w:t>
            </w:r>
            <w:r w:rsidRPr="00610B7B">
              <w:rPr>
                <w:color w:val="000000"/>
              </w:rPr>
              <w:t xml:space="preserve">comments submitted by other parties, and evaluating proposed decisions. Given the level of success achieved by TURN in this proceeding, the amount of time devoted by staff </w:t>
            </w:r>
            <w:r>
              <w:rPr>
                <w:color w:val="000000"/>
              </w:rPr>
              <w:t>to the process should be found to be fully reasonable.</w:t>
            </w:r>
          </w:p>
          <w:p w:rsidRPr="00414252" w:rsidR="00602A84" w:rsidP="00602A84" w:rsidRDefault="00602A84" w14:paraId="6B1680B4" w14:textId="77777777">
            <w:pPr>
              <w:spacing w:before="100" w:beforeAutospacing="1" w:after="100" w:afterAutospacing="1"/>
              <w:rPr>
                <w:b/>
                <w:color w:val="000000"/>
              </w:rPr>
            </w:pPr>
            <w:r w:rsidRPr="00414252">
              <w:rPr>
                <w:b/>
                <w:color w:val="000000"/>
              </w:rPr>
              <w:t>Reasonableness of Staffing</w:t>
            </w:r>
          </w:p>
          <w:p w:rsidRPr="00414252" w:rsidR="00602A84" w:rsidP="00602A84" w:rsidRDefault="00602A84" w14:paraId="59545CBF" w14:textId="77777777">
            <w:pPr>
              <w:spacing w:before="100" w:beforeAutospacing="1" w:after="100" w:afterAutospacing="1"/>
              <w:rPr>
                <w:color w:val="000000"/>
                <w:u w:val="single"/>
              </w:rPr>
            </w:pPr>
            <w:r>
              <w:rPr>
                <w:color w:val="000000"/>
                <w:u w:val="single"/>
              </w:rPr>
              <w:t>Matthew Freedman</w:t>
            </w:r>
          </w:p>
          <w:p w:rsidR="00637BD1" w:rsidP="00602A84" w:rsidRDefault="00637BD1" w14:paraId="368CBCE1" w14:textId="73761015">
            <w:pPr>
              <w:spacing w:before="100" w:beforeAutospacing="1" w:after="100" w:afterAutospacing="1"/>
              <w:rPr>
                <w:color w:val="000000"/>
              </w:rPr>
            </w:pPr>
            <w:r>
              <w:rPr>
                <w:color w:val="000000"/>
              </w:rPr>
              <w:t>Staff</w:t>
            </w:r>
            <w:r w:rsidRPr="00610B7B" w:rsidR="00602A84">
              <w:rPr>
                <w:color w:val="000000"/>
              </w:rPr>
              <w:t xml:space="preserve"> </w:t>
            </w:r>
            <w:r w:rsidR="00C43A38">
              <w:rPr>
                <w:color w:val="000000"/>
              </w:rPr>
              <w:t xml:space="preserve">attorney </w:t>
            </w:r>
            <w:r>
              <w:rPr>
                <w:color w:val="000000"/>
              </w:rPr>
              <w:t xml:space="preserve">Matthew Freedman was TURN’s lead </w:t>
            </w:r>
            <w:r w:rsidR="0027171A">
              <w:rPr>
                <w:color w:val="000000"/>
              </w:rPr>
              <w:t>i</w:t>
            </w:r>
            <w:r>
              <w:rPr>
                <w:color w:val="000000"/>
              </w:rPr>
              <w:t xml:space="preserve">n this proceeding. Mr. Freedman represented TURN at all Commission hearings, directed overall case strategy, reviewed and edited data requests, assisted with the development of testimony, led TURN’s participation in settlement negotiations, and worked with other parties to draft </w:t>
            </w:r>
            <w:r w:rsidR="00E93A72">
              <w:rPr>
                <w:color w:val="000000"/>
              </w:rPr>
              <w:t xml:space="preserve">and support </w:t>
            </w:r>
            <w:r>
              <w:rPr>
                <w:color w:val="000000"/>
              </w:rPr>
              <w:t>a final agreement.</w:t>
            </w:r>
          </w:p>
          <w:p w:rsidR="00844B63" w:rsidP="00602A84" w:rsidRDefault="00F93314" w14:paraId="5EDE1723" w14:textId="390340FC">
            <w:pPr>
              <w:spacing w:before="100" w:beforeAutospacing="1" w:after="100" w:afterAutospacing="1"/>
              <w:rPr>
                <w:color w:val="000000"/>
                <w:u w:val="single"/>
              </w:rPr>
            </w:pPr>
            <w:r>
              <w:rPr>
                <w:color w:val="000000"/>
                <w:u w:val="single"/>
              </w:rPr>
              <w:t>William</w:t>
            </w:r>
            <w:r w:rsidR="00844B63">
              <w:rPr>
                <w:color w:val="000000"/>
                <w:u w:val="single"/>
              </w:rPr>
              <w:t xml:space="preserve"> Monsen</w:t>
            </w:r>
          </w:p>
          <w:p w:rsidRPr="009014EB" w:rsidR="00844B63" w:rsidP="00602A84" w:rsidRDefault="00F93314" w14:paraId="3DB6B3B7" w14:textId="2A4FDC46">
            <w:pPr>
              <w:spacing w:before="100" w:beforeAutospacing="1" w:after="100" w:afterAutospacing="1"/>
              <w:rPr>
                <w:color w:val="000000"/>
              </w:rPr>
            </w:pPr>
            <w:r>
              <w:rPr>
                <w:color w:val="000000"/>
              </w:rPr>
              <w:t xml:space="preserve">Outside consultant William Monsen served as TURN’s primary expert witness in this proceeding. Mr. Monsen </w:t>
            </w:r>
            <w:r w:rsidR="00E96E37">
              <w:rPr>
                <w:color w:val="000000"/>
              </w:rPr>
              <w:t xml:space="preserve">was </w:t>
            </w:r>
            <w:r w:rsidR="009014EB">
              <w:rPr>
                <w:color w:val="000000"/>
              </w:rPr>
              <w:t xml:space="preserve">involved in the development of case strategy, </w:t>
            </w:r>
            <w:r w:rsidR="00E96E37">
              <w:rPr>
                <w:color w:val="000000"/>
              </w:rPr>
              <w:t xml:space="preserve">was the primary drafter of </w:t>
            </w:r>
            <w:r w:rsidR="009014EB">
              <w:rPr>
                <w:color w:val="000000"/>
              </w:rPr>
              <w:t>discovery requests, and drafted extensive prepared testimony on all topics of concern to TURN. Mr. Monsen participated in settlement negotiations and advised TURN on both strategy and substance related to that process.</w:t>
            </w:r>
          </w:p>
          <w:p w:rsidRPr="00414252" w:rsidR="00602A84" w:rsidP="00602A84" w:rsidRDefault="00602A84" w14:paraId="39A16CA0" w14:textId="092A7AD3">
            <w:pPr>
              <w:spacing w:before="100" w:beforeAutospacing="1" w:after="100" w:afterAutospacing="1"/>
              <w:rPr>
                <w:color w:val="000000"/>
                <w:u w:val="single"/>
              </w:rPr>
            </w:pPr>
            <w:r>
              <w:rPr>
                <w:color w:val="000000"/>
                <w:u w:val="single"/>
              </w:rPr>
              <w:lastRenderedPageBreak/>
              <w:t>Jennifer Dowdell</w:t>
            </w:r>
          </w:p>
          <w:p w:rsidR="00602A84" w:rsidP="00602A84" w:rsidRDefault="00602A84" w14:paraId="00D0FF7C" w14:textId="40072796">
            <w:pPr>
              <w:spacing w:before="100" w:beforeAutospacing="1" w:after="100" w:afterAutospacing="1"/>
              <w:rPr>
                <w:color w:val="000000"/>
              </w:rPr>
            </w:pPr>
            <w:r>
              <w:rPr>
                <w:color w:val="000000"/>
              </w:rPr>
              <w:t xml:space="preserve">TURN Senior Policy Expert Jennifer Dowdell </w:t>
            </w:r>
            <w:r w:rsidR="00644CEB">
              <w:rPr>
                <w:color w:val="000000"/>
              </w:rPr>
              <w:t xml:space="preserve">provided limited support on the sole issue of the Investment Tax Credit </w:t>
            </w:r>
            <w:r w:rsidR="00844B63">
              <w:rPr>
                <w:color w:val="000000"/>
              </w:rPr>
              <w:t>treatment for the Helms uprate project. Ms. Dowdell provided analysis to Bill Monsen for inclusion in testimony.</w:t>
            </w:r>
          </w:p>
          <w:p w:rsidR="00142C67" w:rsidP="00142C67" w:rsidRDefault="00142C67" w14:paraId="36E5C1DF" w14:textId="40C222F8">
            <w:pPr>
              <w:spacing w:before="100" w:beforeAutospacing="1" w:after="100" w:afterAutospacing="1"/>
              <w:rPr>
                <w:color w:val="000000"/>
                <w:u w:val="single"/>
              </w:rPr>
            </w:pPr>
            <w:r>
              <w:rPr>
                <w:color w:val="000000"/>
                <w:u w:val="single"/>
              </w:rPr>
              <w:t>Sylvie Ashford</w:t>
            </w:r>
          </w:p>
          <w:p w:rsidRPr="00142C67" w:rsidR="00142C67" w:rsidP="00142C67" w:rsidRDefault="00142C67" w14:paraId="73657F35" w14:textId="3750ABDD">
            <w:pPr>
              <w:spacing w:before="100" w:beforeAutospacing="1" w:after="100" w:afterAutospacing="1"/>
              <w:rPr>
                <w:color w:val="000000"/>
              </w:rPr>
            </w:pPr>
            <w:r>
              <w:rPr>
                <w:color w:val="000000"/>
              </w:rPr>
              <w:t xml:space="preserve">TURN Energy Policy Analyst Sylvie Ashford participated in the Helms site visit and assisted with </w:t>
            </w:r>
            <w:proofErr w:type="gramStart"/>
            <w:r>
              <w:rPr>
                <w:color w:val="000000"/>
              </w:rPr>
              <w:t>discovery</w:t>
            </w:r>
            <w:proofErr w:type="gramEnd"/>
            <w:r>
              <w:rPr>
                <w:color w:val="000000"/>
              </w:rPr>
              <w:t xml:space="preserve"> related to observations gained during the tour.</w:t>
            </w:r>
          </w:p>
          <w:p w:rsidRPr="00414252" w:rsidR="00142C67" w:rsidP="00142C67" w:rsidRDefault="00142C67" w14:paraId="56B76C7A" w14:textId="13F68AF5">
            <w:pPr>
              <w:spacing w:before="100" w:beforeAutospacing="1" w:after="100" w:afterAutospacing="1"/>
              <w:rPr>
                <w:color w:val="000000"/>
                <w:u w:val="single"/>
              </w:rPr>
            </w:pPr>
            <w:r>
              <w:rPr>
                <w:color w:val="000000"/>
                <w:u w:val="single"/>
              </w:rPr>
              <w:t>Reina Yanagiba</w:t>
            </w:r>
          </w:p>
          <w:p w:rsidR="00142C67" w:rsidP="00602A84" w:rsidRDefault="00142C67" w14:paraId="0B7C340E" w14:textId="61016106">
            <w:pPr>
              <w:spacing w:before="100" w:beforeAutospacing="1" w:after="100" w:afterAutospacing="1"/>
              <w:rPr>
                <w:color w:val="000000"/>
              </w:rPr>
            </w:pPr>
            <w:r>
              <w:rPr>
                <w:color w:val="000000"/>
              </w:rPr>
              <w:t>TURN legal assistant Reina Yanagiba provided limited assistance with discovery related to this proceeding.</w:t>
            </w:r>
          </w:p>
          <w:p w:rsidR="00C170A2" w:rsidP="00602A84" w:rsidRDefault="00C170A2" w14:paraId="2186AEB4" w14:textId="349705DB">
            <w:pPr>
              <w:spacing w:before="100" w:beforeAutospacing="1" w:after="100" w:afterAutospacing="1"/>
              <w:rPr>
                <w:color w:val="000000"/>
              </w:rPr>
            </w:pPr>
            <w:r>
              <w:rPr>
                <w:color w:val="000000"/>
                <w:u w:val="single"/>
              </w:rPr>
              <w:t>Travel costs</w:t>
            </w:r>
          </w:p>
          <w:p w:rsidRPr="00C170A2" w:rsidR="00C170A2" w:rsidP="00602A84" w:rsidRDefault="00C170A2" w14:paraId="46B80275" w14:textId="229D050B">
            <w:pPr>
              <w:spacing w:before="100" w:beforeAutospacing="1" w:after="100" w:afterAutospacing="1"/>
              <w:rPr>
                <w:color w:val="000000"/>
              </w:rPr>
            </w:pPr>
            <w:r>
              <w:rPr>
                <w:color w:val="000000"/>
              </w:rPr>
              <w:t xml:space="preserve">TURN staff participated in a tour of the Helms Pumped Storage Facility in late August 2024 organized </w:t>
            </w:r>
            <w:r w:rsidRPr="00F21890">
              <w:rPr>
                <w:color w:val="000000"/>
              </w:rPr>
              <w:t xml:space="preserve">by PG&amp;E. The tour was focused on the proposed uprate project. </w:t>
            </w:r>
            <w:r w:rsidRPr="00F21890" w:rsidR="005E73B0">
              <w:rPr>
                <w:color w:val="000000"/>
              </w:rPr>
              <w:t xml:space="preserve">The three staff members from TURN were Staff Attorney Matthew Freedman, </w:t>
            </w:r>
            <w:r w:rsidRPr="00F21890" w:rsidR="001F3FE6">
              <w:rPr>
                <w:color w:val="000000"/>
              </w:rPr>
              <w:t>Energy Policy Analyst Sylvie Ashford, and Energy Policy Analyst Jalal Awan.</w:t>
            </w:r>
            <w:r w:rsidRPr="00F21890" w:rsidR="005E73B0">
              <w:rPr>
                <w:color w:val="000000"/>
              </w:rPr>
              <w:t xml:space="preserve"> </w:t>
            </w:r>
            <w:r w:rsidRPr="00F21890">
              <w:rPr>
                <w:color w:val="000000"/>
              </w:rPr>
              <w:t>In addition to TURN, staff from the Public Advocates Office assigned to this proceeding and the CPUC’s Energy Division also participated. TURN staff incurred costs for travel (mileage) and lodging relating to the tour. Given that this tour occurred in connection with the Helms uprate proceeding, that all active parties were invited, and that Commission staff traveled to participate, the Commission should find that the modest expenditures related to this tour (including staff time) were fully reasonable.</w:t>
            </w:r>
            <w:r w:rsidRPr="00F21890" w:rsidR="00644CEB">
              <w:rPr>
                <w:color w:val="000000"/>
              </w:rPr>
              <w:t xml:space="preserve"> For lodging, TURN staff camped for a single night at Camp Edison which, due to the tour occurring during peak summer season, required a two-night minimum</w:t>
            </w:r>
            <w:r w:rsidRPr="00F21890" w:rsidR="00104AB8">
              <w:rPr>
                <w:color w:val="000000"/>
              </w:rPr>
              <w:t xml:space="preserve"> reservation</w:t>
            </w:r>
            <w:r w:rsidRPr="00F21890" w:rsidR="005D7775">
              <w:rPr>
                <w:color w:val="000000"/>
              </w:rPr>
              <w:t xml:space="preserve">. </w:t>
            </w:r>
            <w:r w:rsidRPr="00F21890" w:rsidR="001F3FE6">
              <w:rPr>
                <w:color w:val="000000"/>
              </w:rPr>
              <w:t>In addition to lodging and mileage, TURN requests compensation for travel time, and time at the tour, by Staff Attorney Matthew Freedman.</w:t>
            </w:r>
          </w:p>
          <w:p w:rsidRPr="00610B7B" w:rsidR="00602A84" w:rsidP="00602A84" w:rsidRDefault="00602A84" w14:paraId="67B6EA86" w14:textId="77777777">
            <w:pPr>
              <w:spacing w:before="100" w:beforeAutospacing="1" w:after="100" w:afterAutospacing="1"/>
              <w:rPr>
                <w:u w:val="single"/>
              </w:rPr>
            </w:pPr>
            <w:r>
              <w:rPr>
                <w:u w:val="single"/>
              </w:rPr>
              <w:t>C</w:t>
            </w:r>
            <w:r w:rsidRPr="00610B7B">
              <w:rPr>
                <w:u w:val="single"/>
              </w:rPr>
              <w:t>ompensation Request </w:t>
            </w:r>
          </w:p>
          <w:p w:rsidRPr="007F620E" w:rsidR="00691528" w:rsidP="00EC6387" w:rsidRDefault="00602A84" w14:paraId="694F0B63" w14:textId="60384773">
            <w:pPr>
              <w:rPr>
                <w:color w:val="000000"/>
              </w:rPr>
            </w:pPr>
            <w:r w:rsidRPr="00610B7B">
              <w:t xml:space="preserve">TURN’s request also includes </w:t>
            </w:r>
            <w:r w:rsidR="00767DB1">
              <w:t>13</w:t>
            </w:r>
            <w:r w:rsidR="004461BD">
              <w:t>.5</w:t>
            </w:r>
            <w:r w:rsidRPr="00610B7B">
              <w:t xml:space="preserve"> hours devoted to the preparation of compensation-related filings.</w:t>
            </w:r>
            <w:r>
              <w:t xml:space="preserve"> T</w:t>
            </w:r>
            <w:r w:rsidRPr="00610B7B">
              <w:t>he time devoted to this compensation request is appropriate and should be found to be reasonable.</w:t>
            </w:r>
          </w:p>
        </w:tc>
        <w:tc>
          <w:tcPr>
            <w:tcW w:w="2250" w:type="dxa"/>
          </w:tcPr>
          <w:p w:rsidRPr="007F620E" w:rsidR="00FE3BAE" w:rsidP="00EC6387" w:rsidRDefault="00D53BC1" w14:paraId="1874D625" w14:textId="7FE4BAFB">
            <w:pPr>
              <w:rPr>
                <w:color w:val="000000"/>
              </w:rPr>
            </w:pPr>
            <w:r>
              <w:rPr>
                <w:color w:val="000000"/>
              </w:rPr>
              <w:lastRenderedPageBreak/>
              <w:t>Noted</w:t>
            </w:r>
          </w:p>
        </w:tc>
      </w:tr>
      <w:tr w:rsidRPr="007F620E" w:rsidR="00FE3BAE" w:rsidTr="00CA28C3" w14:paraId="3FD38B74" w14:textId="77777777">
        <w:tc>
          <w:tcPr>
            <w:tcW w:w="7488" w:type="dxa"/>
          </w:tcPr>
          <w:p w:rsidRPr="007324EA" w:rsidR="00970D19" w:rsidP="00970D19" w:rsidRDefault="00970D19" w14:paraId="38CEDC5B" w14:textId="77777777">
            <w:pPr>
              <w:rPr>
                <w:color w:val="000000"/>
              </w:rPr>
            </w:pPr>
            <w:r w:rsidRPr="007324EA">
              <w:rPr>
                <w:b/>
                <w:color w:val="000000"/>
              </w:rPr>
              <w:t>c. Allocation of hours by issue:</w:t>
            </w:r>
            <w:r w:rsidRPr="007324EA">
              <w:rPr>
                <w:color w:val="000000"/>
              </w:rPr>
              <w:t xml:space="preserve"> </w:t>
            </w:r>
          </w:p>
          <w:p w:rsidRPr="007324EA" w:rsidR="00970D19" w:rsidP="00970D19" w:rsidRDefault="00970D19" w14:paraId="72E85B68" w14:textId="77777777">
            <w:pPr>
              <w:tabs>
                <w:tab w:val="left" w:pos="1260"/>
              </w:tabs>
              <w:spacing w:before="120"/>
              <w:rPr>
                <w:color w:val="000000"/>
              </w:rPr>
            </w:pPr>
            <w:r w:rsidRPr="007324EA">
              <w:rPr>
                <w:color w:val="000000"/>
              </w:rPr>
              <w:lastRenderedPageBreak/>
              <w:t xml:space="preserve">TURN has allocated all attorney time by issue area or activity, as evident on our attached timesheets. The following codes relate to specific substantive </w:t>
            </w:r>
            <w:proofErr w:type="gramStart"/>
            <w:r w:rsidRPr="007324EA">
              <w:rPr>
                <w:color w:val="000000"/>
              </w:rPr>
              <w:t>issue</w:t>
            </w:r>
            <w:proofErr w:type="gramEnd"/>
            <w:r w:rsidRPr="007324EA">
              <w:rPr>
                <w:color w:val="000000"/>
              </w:rPr>
              <w:t xml:space="preserve"> and activity areas addressed by TURN. TURN also provides an approximate breakdown of the number of hours spent on each task and the percentage of total hours devoted to each category (note that the numbers do not equal 100% due to rounding).</w:t>
            </w:r>
          </w:p>
          <w:p w:rsidRPr="007324EA" w:rsidR="00970D19" w:rsidP="00970D19" w:rsidRDefault="00970D19" w14:paraId="5707A881" w14:textId="4BAF526D">
            <w:pPr>
              <w:tabs>
                <w:tab w:val="left" w:pos="1260"/>
              </w:tabs>
              <w:spacing w:before="120"/>
              <w:rPr>
                <w:b/>
                <w:color w:val="000000"/>
              </w:rPr>
            </w:pPr>
            <w:r w:rsidRPr="007324EA">
              <w:rPr>
                <w:b/>
                <w:color w:val="000000"/>
              </w:rPr>
              <w:t>General Participation (GP) –</w:t>
            </w:r>
            <w:r>
              <w:rPr>
                <w:b/>
                <w:color w:val="000000"/>
              </w:rPr>
              <w:t xml:space="preserve"> </w:t>
            </w:r>
            <w:r w:rsidR="00543150">
              <w:rPr>
                <w:b/>
                <w:color w:val="000000"/>
              </w:rPr>
              <w:t>46.5</w:t>
            </w:r>
            <w:r>
              <w:rPr>
                <w:b/>
                <w:color w:val="000000"/>
              </w:rPr>
              <w:t xml:space="preserve"> </w:t>
            </w:r>
            <w:r w:rsidRPr="007324EA">
              <w:rPr>
                <w:b/>
                <w:color w:val="000000"/>
              </w:rPr>
              <w:t>hours –</w:t>
            </w:r>
            <w:r>
              <w:rPr>
                <w:b/>
                <w:color w:val="000000"/>
              </w:rPr>
              <w:t xml:space="preserve"> 1</w:t>
            </w:r>
            <w:r w:rsidR="00543150">
              <w:rPr>
                <w:b/>
                <w:color w:val="000000"/>
              </w:rPr>
              <w:t>2.71</w:t>
            </w:r>
            <w:r w:rsidRPr="007324EA">
              <w:rPr>
                <w:b/>
                <w:color w:val="000000"/>
              </w:rPr>
              <w:t>% of total</w:t>
            </w:r>
          </w:p>
          <w:p w:rsidR="00970D19" w:rsidP="00970D19" w:rsidRDefault="00970D19" w14:paraId="5BD84324" w14:textId="5524743A">
            <w:pPr>
              <w:tabs>
                <w:tab w:val="left" w:pos="1260"/>
              </w:tabs>
              <w:spacing w:before="120"/>
              <w:rPr>
                <w:color w:val="000000"/>
              </w:rPr>
            </w:pPr>
            <w:r w:rsidRPr="007324EA">
              <w:rPr>
                <w:color w:val="000000"/>
              </w:rPr>
              <w:t xml:space="preserve">General Participation </w:t>
            </w:r>
            <w:proofErr w:type="gramStart"/>
            <w:r w:rsidRPr="007324EA">
              <w:rPr>
                <w:color w:val="000000"/>
              </w:rPr>
              <w:t>work</w:t>
            </w:r>
            <w:proofErr w:type="gramEnd"/>
            <w:r w:rsidRPr="007324EA">
              <w:rPr>
                <w:color w:val="000000"/>
              </w:rPr>
              <w:t xml:space="preserve"> essential to participation that typically spans multiple issues and/or would not vary with the number of issues that TURN addresses. This includes</w:t>
            </w:r>
            <w:r>
              <w:rPr>
                <w:color w:val="000000"/>
              </w:rPr>
              <w:t xml:space="preserve"> </w:t>
            </w:r>
            <w:r w:rsidRPr="007324EA">
              <w:rPr>
                <w:color w:val="000000"/>
              </w:rPr>
              <w:t xml:space="preserve">reviewing </w:t>
            </w:r>
            <w:r w:rsidR="00543150">
              <w:rPr>
                <w:color w:val="000000"/>
              </w:rPr>
              <w:t xml:space="preserve">multi-issue </w:t>
            </w:r>
            <w:r>
              <w:rPr>
                <w:color w:val="000000"/>
              </w:rPr>
              <w:t>pleadings</w:t>
            </w:r>
            <w:r w:rsidR="00E655BB">
              <w:rPr>
                <w:color w:val="000000"/>
              </w:rPr>
              <w:t xml:space="preserve">, </w:t>
            </w:r>
            <w:r w:rsidR="00543150">
              <w:rPr>
                <w:color w:val="000000"/>
              </w:rPr>
              <w:t xml:space="preserve">testimony </w:t>
            </w:r>
            <w:r>
              <w:rPr>
                <w:color w:val="000000"/>
              </w:rPr>
              <w:t>submitted by PG&amp;E</w:t>
            </w:r>
            <w:r w:rsidR="00E655BB">
              <w:rPr>
                <w:color w:val="000000"/>
              </w:rPr>
              <w:t xml:space="preserve"> and other tasks not allocable to a particular issue</w:t>
            </w:r>
            <w:r w:rsidR="00543150">
              <w:rPr>
                <w:color w:val="000000"/>
              </w:rPr>
              <w:t xml:space="preserve">. Also includes negotiations over scheduling proposals, attendance at briefings held by PG&amp;E and </w:t>
            </w:r>
            <w:r>
              <w:rPr>
                <w:color w:val="000000"/>
              </w:rPr>
              <w:t>preliminary meetings to discuss TURN litigation strategy.</w:t>
            </w:r>
          </w:p>
          <w:p w:rsidRPr="007324EA" w:rsidR="00970D19" w:rsidP="00970D19" w:rsidRDefault="008B53B5" w14:paraId="12949399" w14:textId="0E9B4EC6">
            <w:pPr>
              <w:tabs>
                <w:tab w:val="left" w:pos="1260"/>
              </w:tabs>
              <w:spacing w:before="120"/>
              <w:rPr>
                <w:b/>
                <w:color w:val="000000"/>
              </w:rPr>
            </w:pPr>
            <w:r>
              <w:rPr>
                <w:b/>
                <w:color w:val="000000"/>
              </w:rPr>
              <w:t>Commission-ordered activities (COMM) – 11.25</w:t>
            </w:r>
            <w:r w:rsidRPr="007324EA" w:rsidR="00970D19">
              <w:rPr>
                <w:b/>
                <w:color w:val="000000"/>
              </w:rPr>
              <w:t xml:space="preserve"> hours – </w:t>
            </w:r>
            <w:r>
              <w:rPr>
                <w:b/>
                <w:color w:val="000000"/>
              </w:rPr>
              <w:t>3.08</w:t>
            </w:r>
            <w:r w:rsidRPr="007324EA" w:rsidR="00970D19">
              <w:rPr>
                <w:b/>
                <w:color w:val="000000"/>
              </w:rPr>
              <w:t>% of total</w:t>
            </w:r>
          </w:p>
          <w:p w:rsidR="00970D19" w:rsidP="00970D19" w:rsidRDefault="008B53B5" w14:paraId="68EF0E0D" w14:textId="4637F107">
            <w:pPr>
              <w:tabs>
                <w:tab w:val="left" w:pos="1260"/>
              </w:tabs>
              <w:spacing w:before="120"/>
              <w:rPr>
                <w:color w:val="000000"/>
              </w:rPr>
            </w:pPr>
            <w:r>
              <w:rPr>
                <w:color w:val="000000"/>
              </w:rPr>
              <w:t xml:space="preserve">Time devoted to participation in Commission-required meet-and-confer sessions, status conferences, and prehearing conferences. Also involves time reviewing ALJ ruling and developing </w:t>
            </w:r>
            <w:r w:rsidR="001319E7">
              <w:rPr>
                <w:color w:val="000000"/>
              </w:rPr>
              <w:t xml:space="preserve">the </w:t>
            </w:r>
            <w:r>
              <w:rPr>
                <w:color w:val="000000"/>
              </w:rPr>
              <w:t>Commission-mandated case management statement.</w:t>
            </w:r>
          </w:p>
          <w:p w:rsidRPr="007324EA" w:rsidR="008B53B5" w:rsidP="008B53B5" w:rsidRDefault="008B53B5" w14:paraId="4ED51E4D" w14:textId="1208750D">
            <w:pPr>
              <w:tabs>
                <w:tab w:val="left" w:pos="1260"/>
              </w:tabs>
              <w:spacing w:before="120"/>
              <w:rPr>
                <w:color w:val="000000"/>
              </w:rPr>
            </w:pPr>
            <w:r>
              <w:rPr>
                <w:b/>
                <w:color w:val="000000"/>
              </w:rPr>
              <w:t xml:space="preserve">Discovery </w:t>
            </w:r>
            <w:r w:rsidRPr="007324EA">
              <w:rPr>
                <w:b/>
                <w:color w:val="000000"/>
              </w:rPr>
              <w:t>(</w:t>
            </w:r>
            <w:r>
              <w:rPr>
                <w:b/>
                <w:color w:val="000000"/>
              </w:rPr>
              <w:t>DISC)</w:t>
            </w:r>
            <w:r w:rsidRPr="007324EA">
              <w:rPr>
                <w:b/>
                <w:color w:val="000000"/>
              </w:rPr>
              <w:t xml:space="preserve"> –</w:t>
            </w:r>
            <w:r>
              <w:rPr>
                <w:b/>
                <w:color w:val="000000"/>
              </w:rPr>
              <w:t xml:space="preserve"> 50.75 </w:t>
            </w:r>
            <w:r w:rsidRPr="007324EA">
              <w:rPr>
                <w:b/>
                <w:color w:val="000000"/>
              </w:rPr>
              <w:t xml:space="preserve">hours – </w:t>
            </w:r>
            <w:r>
              <w:rPr>
                <w:b/>
                <w:color w:val="000000"/>
              </w:rPr>
              <w:t>13.78</w:t>
            </w:r>
            <w:r w:rsidRPr="007324EA">
              <w:rPr>
                <w:b/>
                <w:color w:val="000000"/>
              </w:rPr>
              <w:t>% of total</w:t>
            </w:r>
          </w:p>
          <w:p w:rsidRPr="008B53B5" w:rsidR="008B53B5" w:rsidP="00970D19" w:rsidRDefault="008B53B5" w14:paraId="59814230" w14:textId="4AD64E7C">
            <w:pPr>
              <w:tabs>
                <w:tab w:val="left" w:pos="1260"/>
              </w:tabs>
              <w:spacing w:before="120"/>
              <w:rPr>
                <w:color w:val="000000"/>
              </w:rPr>
            </w:pPr>
            <w:r>
              <w:rPr>
                <w:color w:val="000000"/>
              </w:rPr>
              <w:t>Development of discovery requests and responses by TURN staff. Review of discovery responses by PG&amp;E and other parties. TURN served PG&amp;E with 15 separate data request sets in this proceeding</w:t>
            </w:r>
            <w:r w:rsidR="001319E7">
              <w:rPr>
                <w:color w:val="000000"/>
              </w:rPr>
              <w:t>.</w:t>
            </w:r>
          </w:p>
          <w:p w:rsidRPr="007324EA" w:rsidR="00F74DB4" w:rsidP="00F74DB4" w:rsidRDefault="00F74DB4" w14:paraId="05780ED8" w14:textId="41ACA97B">
            <w:pPr>
              <w:tabs>
                <w:tab w:val="left" w:pos="1260"/>
              </w:tabs>
              <w:spacing w:before="120"/>
              <w:rPr>
                <w:color w:val="000000"/>
              </w:rPr>
            </w:pPr>
            <w:r>
              <w:rPr>
                <w:b/>
                <w:color w:val="000000"/>
              </w:rPr>
              <w:t xml:space="preserve">Cost Cap </w:t>
            </w:r>
            <w:r w:rsidRPr="007324EA">
              <w:rPr>
                <w:b/>
                <w:color w:val="000000"/>
              </w:rPr>
              <w:t>(</w:t>
            </w:r>
            <w:r>
              <w:rPr>
                <w:b/>
                <w:color w:val="000000"/>
              </w:rPr>
              <w:t>COST CAP)</w:t>
            </w:r>
            <w:r w:rsidRPr="007324EA">
              <w:rPr>
                <w:b/>
                <w:color w:val="000000"/>
              </w:rPr>
              <w:t xml:space="preserve"> –</w:t>
            </w:r>
            <w:r>
              <w:rPr>
                <w:b/>
                <w:color w:val="000000"/>
              </w:rPr>
              <w:t xml:space="preserve"> 38.85 </w:t>
            </w:r>
            <w:r w:rsidRPr="007324EA">
              <w:rPr>
                <w:b/>
                <w:color w:val="000000"/>
              </w:rPr>
              <w:t xml:space="preserve">hours – </w:t>
            </w:r>
            <w:r>
              <w:rPr>
                <w:b/>
                <w:color w:val="000000"/>
              </w:rPr>
              <w:t>10.62</w:t>
            </w:r>
            <w:r w:rsidRPr="007324EA">
              <w:rPr>
                <w:b/>
                <w:color w:val="000000"/>
              </w:rPr>
              <w:t>% of total</w:t>
            </w:r>
          </w:p>
          <w:p w:rsidRPr="008F2B31" w:rsidR="008F2B31" w:rsidP="008B53B5" w:rsidRDefault="008F2B31" w14:paraId="1B576D7C" w14:textId="189D1294">
            <w:pPr>
              <w:tabs>
                <w:tab w:val="left" w:pos="1260"/>
              </w:tabs>
              <w:spacing w:before="120"/>
              <w:rPr>
                <w:color w:val="000000"/>
              </w:rPr>
            </w:pPr>
            <w:r>
              <w:rPr>
                <w:color w:val="000000"/>
              </w:rPr>
              <w:t>Analysis of PG&amp;E cost cap proposal and development of TURN alternative including risk sharing mechanism.</w:t>
            </w:r>
          </w:p>
          <w:p w:rsidR="00406260" w:rsidP="00406260" w:rsidRDefault="008F2B31" w14:paraId="4ED4060F" w14:textId="77777777">
            <w:pPr>
              <w:tabs>
                <w:tab w:val="left" w:pos="1260"/>
              </w:tabs>
              <w:spacing w:before="120"/>
              <w:rPr>
                <w:color w:val="000000"/>
              </w:rPr>
            </w:pPr>
            <w:r>
              <w:rPr>
                <w:b/>
                <w:color w:val="000000"/>
              </w:rPr>
              <w:t xml:space="preserve">Investment Tax Credit </w:t>
            </w:r>
            <w:r w:rsidRPr="007324EA">
              <w:rPr>
                <w:b/>
                <w:color w:val="000000"/>
              </w:rPr>
              <w:t>(</w:t>
            </w:r>
            <w:r>
              <w:rPr>
                <w:b/>
                <w:color w:val="000000"/>
              </w:rPr>
              <w:t>ITC)</w:t>
            </w:r>
            <w:r w:rsidRPr="007324EA">
              <w:rPr>
                <w:b/>
                <w:color w:val="000000"/>
              </w:rPr>
              <w:t xml:space="preserve"> –</w:t>
            </w:r>
            <w:r>
              <w:rPr>
                <w:b/>
                <w:color w:val="000000"/>
              </w:rPr>
              <w:t xml:space="preserve"> 33.50 </w:t>
            </w:r>
            <w:r w:rsidRPr="007324EA">
              <w:rPr>
                <w:b/>
                <w:color w:val="000000"/>
              </w:rPr>
              <w:t xml:space="preserve">hours – </w:t>
            </w:r>
            <w:r>
              <w:rPr>
                <w:b/>
                <w:color w:val="000000"/>
              </w:rPr>
              <w:t>9.16</w:t>
            </w:r>
            <w:r w:rsidRPr="007324EA">
              <w:rPr>
                <w:b/>
                <w:color w:val="000000"/>
              </w:rPr>
              <w:t>% of total</w:t>
            </w:r>
          </w:p>
          <w:p w:rsidR="00406260" w:rsidP="00406260" w:rsidRDefault="00406260" w14:paraId="471BEBE5" w14:textId="03EA4E8C">
            <w:pPr>
              <w:tabs>
                <w:tab w:val="left" w:pos="1260"/>
              </w:tabs>
              <w:spacing w:before="120"/>
              <w:rPr>
                <w:color w:val="000000"/>
              </w:rPr>
            </w:pPr>
            <w:r>
              <w:rPr>
                <w:color w:val="000000"/>
              </w:rPr>
              <w:t>Evaluation of Investment Tax Credit (ITC) benefits for Uprate Project, risks that Project may not fully benefit, and impacts on total cost effectiveness for ratepayers. Additionally, analysis of the benefits of flow-through treatment compared to normalization.</w:t>
            </w:r>
          </w:p>
          <w:p w:rsidR="00406260" w:rsidP="00406260" w:rsidRDefault="00406260" w14:paraId="6A71B5F1" w14:textId="1795D8B6">
            <w:pPr>
              <w:tabs>
                <w:tab w:val="left" w:pos="1260"/>
              </w:tabs>
              <w:spacing w:before="120"/>
              <w:rPr>
                <w:color w:val="000000"/>
              </w:rPr>
            </w:pPr>
            <w:r>
              <w:rPr>
                <w:b/>
                <w:color w:val="000000"/>
              </w:rPr>
              <w:t xml:space="preserve">Contingency </w:t>
            </w:r>
            <w:r w:rsidRPr="007324EA">
              <w:rPr>
                <w:b/>
                <w:color w:val="000000"/>
              </w:rPr>
              <w:t>(</w:t>
            </w:r>
            <w:r>
              <w:rPr>
                <w:b/>
                <w:color w:val="000000"/>
              </w:rPr>
              <w:t>CONTINGENCY)</w:t>
            </w:r>
            <w:r w:rsidRPr="007324EA">
              <w:rPr>
                <w:b/>
                <w:color w:val="000000"/>
              </w:rPr>
              <w:t xml:space="preserve"> –</w:t>
            </w:r>
            <w:r>
              <w:rPr>
                <w:b/>
                <w:color w:val="000000"/>
              </w:rPr>
              <w:t xml:space="preserve"> 21.50 </w:t>
            </w:r>
            <w:r w:rsidRPr="007324EA">
              <w:rPr>
                <w:b/>
                <w:color w:val="000000"/>
              </w:rPr>
              <w:t xml:space="preserve">hours – </w:t>
            </w:r>
            <w:r>
              <w:rPr>
                <w:b/>
                <w:color w:val="000000"/>
              </w:rPr>
              <w:t>5.88</w:t>
            </w:r>
            <w:r w:rsidRPr="007324EA">
              <w:rPr>
                <w:b/>
                <w:color w:val="000000"/>
              </w:rPr>
              <w:t>% of total</w:t>
            </w:r>
          </w:p>
          <w:p w:rsidR="00F74DB4" w:rsidP="008B53B5" w:rsidRDefault="008C36C9" w14:paraId="155CD7AA" w14:textId="52B3F1D8">
            <w:pPr>
              <w:tabs>
                <w:tab w:val="left" w:pos="1260"/>
              </w:tabs>
              <w:spacing w:before="120"/>
              <w:rPr>
                <w:color w:val="000000"/>
              </w:rPr>
            </w:pPr>
            <w:r>
              <w:rPr>
                <w:color w:val="000000"/>
              </w:rPr>
              <w:t>Evaluation of PG&amp;</w:t>
            </w:r>
            <w:proofErr w:type="gramStart"/>
            <w:r>
              <w:rPr>
                <w:color w:val="000000"/>
              </w:rPr>
              <w:t>E’s</w:t>
            </w:r>
            <w:proofErr w:type="gramEnd"/>
            <w:r>
              <w:rPr>
                <w:color w:val="000000"/>
              </w:rPr>
              <w:t xml:space="preserve"> proposed 50% contingency factor for capital costs and development of TURN’s alternative 10% recommendation.</w:t>
            </w:r>
          </w:p>
          <w:p w:rsidR="00DC7900" w:rsidP="00DC7900" w:rsidRDefault="008C36C9" w14:paraId="1936E090" w14:textId="77777777">
            <w:pPr>
              <w:tabs>
                <w:tab w:val="left" w:pos="1260"/>
              </w:tabs>
              <w:spacing w:before="120"/>
              <w:rPr>
                <w:color w:val="000000"/>
              </w:rPr>
            </w:pPr>
            <w:r>
              <w:rPr>
                <w:b/>
                <w:color w:val="000000"/>
              </w:rPr>
              <w:t xml:space="preserve">Cost Effectiveness Analysis </w:t>
            </w:r>
            <w:r w:rsidRPr="007324EA">
              <w:rPr>
                <w:b/>
                <w:color w:val="000000"/>
              </w:rPr>
              <w:t>(</w:t>
            </w:r>
            <w:r>
              <w:rPr>
                <w:b/>
                <w:color w:val="000000"/>
              </w:rPr>
              <w:t>CE)</w:t>
            </w:r>
            <w:r w:rsidRPr="007324EA">
              <w:rPr>
                <w:b/>
                <w:color w:val="000000"/>
              </w:rPr>
              <w:t xml:space="preserve"> –</w:t>
            </w:r>
            <w:r>
              <w:rPr>
                <w:b/>
                <w:color w:val="000000"/>
              </w:rPr>
              <w:t xml:space="preserve"> 105.00 </w:t>
            </w:r>
            <w:r w:rsidRPr="007324EA">
              <w:rPr>
                <w:b/>
                <w:color w:val="000000"/>
              </w:rPr>
              <w:t xml:space="preserve">hours – </w:t>
            </w:r>
            <w:r>
              <w:rPr>
                <w:b/>
                <w:color w:val="000000"/>
              </w:rPr>
              <w:t>28.70</w:t>
            </w:r>
            <w:r w:rsidRPr="007324EA">
              <w:rPr>
                <w:b/>
                <w:color w:val="000000"/>
              </w:rPr>
              <w:t>% of total</w:t>
            </w:r>
          </w:p>
          <w:p w:rsidRPr="008C36C9" w:rsidR="008C36C9" w:rsidP="008B53B5" w:rsidRDefault="00DC7900" w14:paraId="4839374D" w14:textId="326E018E">
            <w:pPr>
              <w:tabs>
                <w:tab w:val="left" w:pos="1260"/>
              </w:tabs>
              <w:spacing w:before="120"/>
              <w:rPr>
                <w:color w:val="000000"/>
              </w:rPr>
            </w:pPr>
            <w:r>
              <w:rPr>
                <w:color w:val="000000"/>
              </w:rPr>
              <w:t xml:space="preserve">Evaluation of PG&amp;E cost effectiveness modeling assumptions, identification of potential delay and cost increases, comparison of Helms to </w:t>
            </w:r>
            <w:r>
              <w:rPr>
                <w:color w:val="000000"/>
              </w:rPr>
              <w:lastRenderedPageBreak/>
              <w:t>alternative resource options, and consideration of lower value due to smaller-than-anticipated capacity increases</w:t>
            </w:r>
            <w:r w:rsidR="0009162B">
              <w:rPr>
                <w:color w:val="000000"/>
              </w:rPr>
              <w:t xml:space="preserve"> or delays in achieving full capacity deliverability status</w:t>
            </w:r>
            <w:r>
              <w:rPr>
                <w:color w:val="000000"/>
              </w:rPr>
              <w:t>. Development of alternative measures to mitigate ratepayer risks if project is no longer cost-effective.</w:t>
            </w:r>
          </w:p>
          <w:p w:rsidR="00137A02" w:rsidP="00137A02" w:rsidRDefault="00137A02" w14:paraId="5413EB15" w14:textId="396273A2">
            <w:pPr>
              <w:tabs>
                <w:tab w:val="left" w:pos="1260"/>
              </w:tabs>
              <w:spacing w:before="120"/>
              <w:rPr>
                <w:color w:val="000000"/>
              </w:rPr>
            </w:pPr>
            <w:r>
              <w:rPr>
                <w:b/>
                <w:color w:val="000000"/>
              </w:rPr>
              <w:t xml:space="preserve">Stranded Costs </w:t>
            </w:r>
            <w:r w:rsidRPr="007324EA">
              <w:rPr>
                <w:b/>
                <w:color w:val="000000"/>
              </w:rPr>
              <w:t>(</w:t>
            </w:r>
            <w:r>
              <w:rPr>
                <w:b/>
                <w:color w:val="000000"/>
              </w:rPr>
              <w:t>STRAND)</w:t>
            </w:r>
            <w:r w:rsidRPr="007324EA">
              <w:rPr>
                <w:b/>
                <w:color w:val="000000"/>
              </w:rPr>
              <w:t xml:space="preserve"> –</w:t>
            </w:r>
            <w:r>
              <w:rPr>
                <w:b/>
                <w:color w:val="000000"/>
              </w:rPr>
              <w:t xml:space="preserve"> 5.50 </w:t>
            </w:r>
            <w:r w:rsidRPr="007324EA">
              <w:rPr>
                <w:b/>
                <w:color w:val="000000"/>
              </w:rPr>
              <w:t xml:space="preserve">hours – </w:t>
            </w:r>
            <w:r>
              <w:rPr>
                <w:b/>
                <w:color w:val="000000"/>
              </w:rPr>
              <w:t>1.50</w:t>
            </w:r>
            <w:r w:rsidRPr="007324EA">
              <w:rPr>
                <w:b/>
                <w:color w:val="000000"/>
              </w:rPr>
              <w:t>% of total</w:t>
            </w:r>
          </w:p>
          <w:p w:rsidR="00137A02" w:rsidP="00137A02" w:rsidRDefault="00DC7900" w14:paraId="1B2E79F8" w14:textId="3F9CA099">
            <w:pPr>
              <w:tabs>
                <w:tab w:val="left" w:pos="1260"/>
              </w:tabs>
              <w:spacing w:before="120"/>
              <w:rPr>
                <w:color w:val="000000"/>
              </w:rPr>
            </w:pPr>
            <w:r>
              <w:rPr>
                <w:color w:val="000000"/>
              </w:rPr>
              <w:t xml:space="preserve">Assessment of risks relating to stranded costs if the Uprate project causes existing assets at Helms to be prematurely removed from service. Development of recommendations to minimize ratepayer risks and obligations. </w:t>
            </w:r>
          </w:p>
          <w:p w:rsidRPr="007324EA" w:rsidR="008B53B5" w:rsidP="008B53B5" w:rsidRDefault="008B53B5" w14:paraId="2168339E" w14:textId="20D48E1E">
            <w:pPr>
              <w:tabs>
                <w:tab w:val="left" w:pos="1260"/>
              </w:tabs>
              <w:spacing w:before="120"/>
              <w:rPr>
                <w:color w:val="000000"/>
              </w:rPr>
            </w:pPr>
            <w:r>
              <w:rPr>
                <w:b/>
                <w:color w:val="000000"/>
              </w:rPr>
              <w:t xml:space="preserve">Settlement </w:t>
            </w:r>
            <w:r w:rsidRPr="007324EA">
              <w:rPr>
                <w:b/>
                <w:color w:val="000000"/>
              </w:rPr>
              <w:t>(</w:t>
            </w:r>
            <w:r>
              <w:rPr>
                <w:b/>
                <w:color w:val="000000"/>
              </w:rPr>
              <w:t>SETTLE)</w:t>
            </w:r>
            <w:r w:rsidRPr="007324EA">
              <w:rPr>
                <w:b/>
                <w:color w:val="000000"/>
              </w:rPr>
              <w:t xml:space="preserve"> –</w:t>
            </w:r>
            <w:r>
              <w:rPr>
                <w:b/>
                <w:color w:val="000000"/>
              </w:rPr>
              <w:t xml:space="preserve"> 45.00 </w:t>
            </w:r>
            <w:r w:rsidRPr="007324EA">
              <w:rPr>
                <w:b/>
                <w:color w:val="000000"/>
              </w:rPr>
              <w:t xml:space="preserve">hours – </w:t>
            </w:r>
            <w:r>
              <w:rPr>
                <w:b/>
                <w:color w:val="000000"/>
              </w:rPr>
              <w:t>12.30</w:t>
            </w:r>
            <w:r w:rsidRPr="007324EA">
              <w:rPr>
                <w:b/>
                <w:color w:val="000000"/>
              </w:rPr>
              <w:t>% of total</w:t>
            </w:r>
          </w:p>
          <w:p w:rsidRPr="008B53B5" w:rsidR="008B53B5" w:rsidP="008B53B5" w:rsidRDefault="008B53B5" w14:paraId="3590FD4E" w14:textId="1F1498BA">
            <w:pPr>
              <w:tabs>
                <w:tab w:val="left" w:pos="1260"/>
              </w:tabs>
              <w:spacing w:before="120"/>
              <w:rPr>
                <w:color w:val="000000"/>
              </w:rPr>
            </w:pPr>
            <w:r>
              <w:rPr>
                <w:color w:val="000000"/>
              </w:rPr>
              <w:t>Participation in Settlement negotiations, development of settlement positions, and coordination between TURN and Cal Advocates on settlement matters.</w:t>
            </w:r>
          </w:p>
          <w:p w:rsidRPr="007324EA" w:rsidR="00F74DB4" w:rsidP="00F74DB4" w:rsidRDefault="00F74DB4" w14:paraId="0AAC1C8A" w14:textId="00EDCA7A">
            <w:pPr>
              <w:tabs>
                <w:tab w:val="left" w:pos="1260"/>
              </w:tabs>
              <w:spacing w:before="120"/>
              <w:rPr>
                <w:color w:val="000000"/>
              </w:rPr>
            </w:pPr>
            <w:r>
              <w:rPr>
                <w:b/>
                <w:color w:val="000000"/>
              </w:rPr>
              <w:t xml:space="preserve">Coordination </w:t>
            </w:r>
            <w:r w:rsidRPr="007324EA">
              <w:rPr>
                <w:b/>
                <w:color w:val="000000"/>
              </w:rPr>
              <w:t>(</w:t>
            </w:r>
            <w:r>
              <w:rPr>
                <w:b/>
                <w:color w:val="000000"/>
              </w:rPr>
              <w:t>COORD)</w:t>
            </w:r>
            <w:r w:rsidRPr="007324EA">
              <w:rPr>
                <w:b/>
                <w:color w:val="000000"/>
              </w:rPr>
              <w:t xml:space="preserve"> –</w:t>
            </w:r>
            <w:r>
              <w:rPr>
                <w:b/>
                <w:color w:val="000000"/>
              </w:rPr>
              <w:t xml:space="preserve"> 1.5 </w:t>
            </w:r>
            <w:r w:rsidRPr="007324EA">
              <w:rPr>
                <w:b/>
                <w:color w:val="000000"/>
              </w:rPr>
              <w:t xml:space="preserve">hours – </w:t>
            </w:r>
            <w:r>
              <w:rPr>
                <w:b/>
                <w:color w:val="000000"/>
              </w:rPr>
              <w:t>0.41</w:t>
            </w:r>
            <w:r w:rsidRPr="007324EA">
              <w:rPr>
                <w:b/>
                <w:color w:val="000000"/>
              </w:rPr>
              <w:t>% of total</w:t>
            </w:r>
          </w:p>
          <w:p w:rsidRPr="00F74DB4" w:rsidR="00F74DB4" w:rsidP="00F74DB4" w:rsidRDefault="00F74DB4" w14:paraId="59DCE78E" w14:textId="5CED3B7D">
            <w:pPr>
              <w:tabs>
                <w:tab w:val="left" w:pos="1260"/>
              </w:tabs>
              <w:spacing w:before="120"/>
              <w:rPr>
                <w:color w:val="000000"/>
              </w:rPr>
            </w:pPr>
            <w:r>
              <w:rPr>
                <w:color w:val="000000"/>
              </w:rPr>
              <w:t>Coordination with other parties regarding various case matters and substantive positions.</w:t>
            </w:r>
          </w:p>
          <w:p w:rsidRPr="007324EA" w:rsidR="00F74DB4" w:rsidP="00F74DB4" w:rsidRDefault="00F74DB4" w14:paraId="012A170F" w14:textId="1CE00999">
            <w:pPr>
              <w:tabs>
                <w:tab w:val="left" w:pos="1260"/>
              </w:tabs>
              <w:spacing w:before="120"/>
              <w:rPr>
                <w:color w:val="000000"/>
              </w:rPr>
            </w:pPr>
            <w:r>
              <w:rPr>
                <w:b/>
                <w:color w:val="000000"/>
              </w:rPr>
              <w:t xml:space="preserve">Helms Tour </w:t>
            </w:r>
            <w:r w:rsidRPr="007324EA">
              <w:rPr>
                <w:b/>
                <w:color w:val="000000"/>
              </w:rPr>
              <w:t>(</w:t>
            </w:r>
            <w:r>
              <w:rPr>
                <w:b/>
                <w:color w:val="000000"/>
              </w:rPr>
              <w:t>TOUR)</w:t>
            </w:r>
            <w:r w:rsidRPr="007324EA">
              <w:rPr>
                <w:b/>
                <w:color w:val="000000"/>
              </w:rPr>
              <w:t xml:space="preserve"> –</w:t>
            </w:r>
            <w:r>
              <w:rPr>
                <w:b/>
                <w:color w:val="000000"/>
              </w:rPr>
              <w:t xml:space="preserve"> 6.5 </w:t>
            </w:r>
            <w:r w:rsidRPr="007324EA">
              <w:rPr>
                <w:b/>
                <w:color w:val="000000"/>
              </w:rPr>
              <w:t xml:space="preserve">hours – </w:t>
            </w:r>
            <w:r>
              <w:rPr>
                <w:b/>
                <w:color w:val="000000"/>
              </w:rPr>
              <w:t>1.78</w:t>
            </w:r>
            <w:r w:rsidRPr="007324EA">
              <w:rPr>
                <w:b/>
                <w:color w:val="000000"/>
              </w:rPr>
              <w:t>% of total</w:t>
            </w:r>
          </w:p>
          <w:p w:rsidRPr="00F74DB4" w:rsidR="008B53B5" w:rsidP="00970D19" w:rsidRDefault="00F74DB4" w14:paraId="4CA9993A" w14:textId="3F0EB994">
            <w:pPr>
              <w:tabs>
                <w:tab w:val="left" w:pos="1260"/>
              </w:tabs>
              <w:spacing w:before="120"/>
              <w:rPr>
                <w:bCs/>
                <w:color w:val="000000"/>
              </w:rPr>
            </w:pPr>
            <w:r>
              <w:rPr>
                <w:bCs/>
                <w:color w:val="000000"/>
              </w:rPr>
              <w:t>Participation in Helms site visit with PG&amp;E staff, CPUC Energy Division staff, and Cal Advocates staff.</w:t>
            </w:r>
          </w:p>
          <w:p w:rsidRPr="007324EA" w:rsidR="00EB2F10" w:rsidP="00EB2F10" w:rsidRDefault="00EB2F10" w14:paraId="4C5A6648" w14:textId="76BE13D7">
            <w:pPr>
              <w:tabs>
                <w:tab w:val="left" w:pos="1260"/>
              </w:tabs>
              <w:spacing w:before="120"/>
              <w:rPr>
                <w:color w:val="000000"/>
              </w:rPr>
            </w:pPr>
            <w:r>
              <w:rPr>
                <w:b/>
                <w:color w:val="000000"/>
              </w:rPr>
              <w:t>Travel</w:t>
            </w:r>
            <w:r w:rsidR="00152393">
              <w:rPr>
                <w:b/>
                <w:color w:val="000000"/>
              </w:rPr>
              <w:t xml:space="preserve"> </w:t>
            </w:r>
            <w:r w:rsidRPr="007324EA">
              <w:rPr>
                <w:b/>
                <w:color w:val="000000"/>
              </w:rPr>
              <w:t xml:space="preserve">– </w:t>
            </w:r>
            <w:r>
              <w:rPr>
                <w:b/>
                <w:color w:val="000000"/>
              </w:rPr>
              <w:t>1</w:t>
            </w:r>
            <w:r w:rsidR="00152393">
              <w:rPr>
                <w:b/>
                <w:color w:val="000000"/>
              </w:rPr>
              <w:t>0</w:t>
            </w:r>
            <w:r>
              <w:rPr>
                <w:b/>
                <w:color w:val="000000"/>
              </w:rPr>
              <w:t xml:space="preserve"> </w:t>
            </w:r>
            <w:r w:rsidRPr="007324EA">
              <w:rPr>
                <w:b/>
                <w:color w:val="000000"/>
              </w:rPr>
              <w:t>hours</w:t>
            </w:r>
          </w:p>
          <w:p w:rsidRPr="00152393" w:rsidR="00EB2F10" w:rsidP="00970D19" w:rsidRDefault="00152393" w14:paraId="6ECD12E2" w14:textId="1A8B7E72">
            <w:pPr>
              <w:tabs>
                <w:tab w:val="left" w:pos="1260"/>
              </w:tabs>
              <w:spacing w:before="120"/>
              <w:rPr>
                <w:bCs/>
                <w:color w:val="000000"/>
              </w:rPr>
            </w:pPr>
            <w:r>
              <w:rPr>
                <w:bCs/>
                <w:color w:val="000000"/>
              </w:rPr>
              <w:t>Time spent by TURN staff Attorney Matthew Freedman driving to/from the Helms Pumped Storage Facility for the August 2024 site tour.</w:t>
            </w:r>
          </w:p>
          <w:p w:rsidRPr="007324EA" w:rsidR="00970D19" w:rsidP="00970D19" w:rsidRDefault="00970D19" w14:paraId="1E292DA5" w14:textId="63312108">
            <w:pPr>
              <w:tabs>
                <w:tab w:val="left" w:pos="1260"/>
              </w:tabs>
              <w:spacing w:before="120"/>
              <w:rPr>
                <w:color w:val="000000"/>
              </w:rPr>
            </w:pPr>
            <w:r w:rsidRPr="007324EA">
              <w:rPr>
                <w:b/>
                <w:color w:val="000000"/>
              </w:rPr>
              <w:t xml:space="preserve">Compensation – </w:t>
            </w:r>
            <w:r w:rsidR="00B27012">
              <w:rPr>
                <w:b/>
                <w:color w:val="000000"/>
              </w:rPr>
              <w:t>13.5</w:t>
            </w:r>
            <w:r>
              <w:rPr>
                <w:b/>
                <w:color w:val="000000"/>
              </w:rPr>
              <w:t xml:space="preserve"> </w:t>
            </w:r>
            <w:r w:rsidRPr="007324EA">
              <w:rPr>
                <w:b/>
                <w:color w:val="000000"/>
              </w:rPr>
              <w:t>hours</w:t>
            </w:r>
          </w:p>
          <w:p w:rsidRPr="007324EA" w:rsidR="00970D19" w:rsidP="00970D19" w:rsidRDefault="00970D19" w14:paraId="2CC8E0B8" w14:textId="77777777">
            <w:pPr>
              <w:rPr>
                <w:b/>
                <w:color w:val="000000"/>
              </w:rPr>
            </w:pPr>
            <w:r w:rsidRPr="007324EA">
              <w:rPr>
                <w:color w:val="000000"/>
              </w:rPr>
              <w:t>Time spent on the preparation of compensation</w:t>
            </w:r>
            <w:r>
              <w:rPr>
                <w:color w:val="000000"/>
              </w:rPr>
              <w:t>-related pleadings</w:t>
            </w:r>
            <w:r w:rsidRPr="007324EA">
              <w:rPr>
                <w:color w:val="000000"/>
              </w:rPr>
              <w:t>.</w:t>
            </w:r>
          </w:p>
          <w:p w:rsidRPr="007324EA" w:rsidR="00970D19" w:rsidP="00970D19" w:rsidRDefault="00970D19" w14:paraId="3161BB27" w14:textId="77777777">
            <w:pPr>
              <w:tabs>
                <w:tab w:val="left" w:pos="1260"/>
              </w:tabs>
              <w:spacing w:before="120"/>
              <w:rPr>
                <w:color w:val="000000"/>
              </w:rPr>
            </w:pPr>
            <w:r w:rsidRPr="007324EA">
              <w:rPr>
                <w:color w:val="000000"/>
              </w:rPr>
              <w:t>-----</w:t>
            </w:r>
          </w:p>
          <w:p w:rsidRPr="00970D19" w:rsidR="00691528" w:rsidP="00EC6387" w:rsidRDefault="00970D19" w14:paraId="3285939A" w14:textId="46FC7B31">
            <w:r w:rsidRPr="007324EA">
              <w:t xml:space="preserve">TURN submits that under the circumstances this information should suffice to address the allocation requirement under the Commission’s rules. Should the Commission wish to see additional or different information on this point, TURN requests that the </w:t>
            </w:r>
            <w:proofErr w:type="gramStart"/>
            <w:r w:rsidRPr="007324EA">
              <w:t>Commission so</w:t>
            </w:r>
            <w:proofErr w:type="gramEnd"/>
            <w:r w:rsidRPr="007324EA">
              <w:t xml:space="preserve"> inform TURN and provide a reasonable opportunity for TURN to supplement this showing accordingly.</w:t>
            </w:r>
          </w:p>
        </w:tc>
        <w:tc>
          <w:tcPr>
            <w:tcW w:w="2250" w:type="dxa"/>
          </w:tcPr>
          <w:p w:rsidRPr="007F620E" w:rsidR="00FE3BAE" w:rsidP="00EC6387" w:rsidRDefault="00441678" w14:paraId="497C4799" w14:textId="5D1887DB">
            <w:pPr>
              <w:rPr>
                <w:color w:val="000000"/>
              </w:rPr>
            </w:pPr>
            <w:r>
              <w:rPr>
                <w:color w:val="000000"/>
              </w:rPr>
              <w:lastRenderedPageBreak/>
              <w:t>Noted</w:t>
            </w:r>
            <w:r w:rsidR="00165D42">
              <w:rPr>
                <w:color w:val="000000"/>
              </w:rPr>
              <w:t xml:space="preserve">. Typographic error: DISC is </w:t>
            </w:r>
            <w:r w:rsidR="00165D42">
              <w:rPr>
                <w:color w:val="000000"/>
              </w:rPr>
              <w:lastRenderedPageBreak/>
              <w:t>allocated 13.87% in their timesheets</w:t>
            </w:r>
            <w:r w:rsidR="006F1B13">
              <w:rPr>
                <w:color w:val="000000"/>
              </w:rPr>
              <w:t>.</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
        <w:gridCol w:w="993"/>
        <w:gridCol w:w="726"/>
        <w:gridCol w:w="95"/>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11"/>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gridSpan w:val="2"/>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gridSpan w:val="2"/>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F7285E" w:rsidTr="00CA28C3" w14:paraId="62E8A168" w14:textId="77777777">
        <w:trPr>
          <w:jc w:val="center"/>
        </w:trPr>
        <w:tc>
          <w:tcPr>
            <w:tcW w:w="1489" w:type="dxa"/>
            <w:gridSpan w:val="2"/>
          </w:tcPr>
          <w:p w:rsidRPr="00505A17" w:rsidR="00F7285E" w:rsidP="00F7285E" w:rsidRDefault="00F7285E" w14:paraId="33EA8B38" w14:textId="0E662297">
            <w:pPr>
              <w:spacing w:before="60" w:after="60"/>
              <w:rPr>
                <w:color w:val="000000"/>
                <w:sz w:val="22"/>
                <w:szCs w:val="22"/>
              </w:rPr>
            </w:pPr>
            <w:r w:rsidRPr="00505A17">
              <w:rPr>
                <w:sz w:val="22"/>
                <w:szCs w:val="22"/>
              </w:rPr>
              <w:t>Jennifer Dowdell, TURN Energy Policy Expert</w:t>
            </w:r>
          </w:p>
        </w:tc>
        <w:tc>
          <w:tcPr>
            <w:tcW w:w="821" w:type="dxa"/>
            <w:gridSpan w:val="2"/>
            <w:vAlign w:val="center"/>
          </w:tcPr>
          <w:p w:rsidRPr="00505A17" w:rsidR="00F7285E" w:rsidP="00F7285E" w:rsidRDefault="00F7285E" w14:paraId="47EBBC49" w14:textId="49B758C8">
            <w:pPr>
              <w:spacing w:before="60" w:after="60"/>
              <w:jc w:val="center"/>
              <w:rPr>
                <w:color w:val="000000"/>
                <w:sz w:val="22"/>
                <w:szCs w:val="22"/>
              </w:rPr>
            </w:pPr>
            <w:r w:rsidRPr="00505A17">
              <w:rPr>
                <w:sz w:val="22"/>
                <w:szCs w:val="22"/>
              </w:rPr>
              <w:t>2024</w:t>
            </w:r>
          </w:p>
        </w:tc>
        <w:tc>
          <w:tcPr>
            <w:tcW w:w="884" w:type="dxa"/>
            <w:gridSpan w:val="2"/>
            <w:vAlign w:val="center"/>
          </w:tcPr>
          <w:p w:rsidRPr="00505A17" w:rsidR="00F7285E" w:rsidP="00F7285E" w:rsidRDefault="00F7285E" w14:paraId="39A3074C" w14:textId="421CA409">
            <w:pPr>
              <w:spacing w:before="60" w:after="60"/>
              <w:jc w:val="center"/>
              <w:rPr>
                <w:color w:val="000000"/>
                <w:sz w:val="22"/>
                <w:szCs w:val="22"/>
              </w:rPr>
            </w:pPr>
            <w:r w:rsidRPr="00505A17">
              <w:rPr>
                <w:color w:val="000000"/>
                <w:sz w:val="22"/>
                <w:szCs w:val="22"/>
              </w:rPr>
              <w:t>3.75</w:t>
            </w:r>
          </w:p>
        </w:tc>
        <w:tc>
          <w:tcPr>
            <w:tcW w:w="930" w:type="dxa"/>
            <w:vAlign w:val="center"/>
          </w:tcPr>
          <w:p w:rsidRPr="00505A17" w:rsidR="00F7285E" w:rsidP="00F7285E" w:rsidRDefault="00F7285E" w14:paraId="3E5BD317" w14:textId="25BC2A0B">
            <w:pPr>
              <w:spacing w:before="60" w:after="60"/>
              <w:jc w:val="center"/>
              <w:rPr>
                <w:color w:val="000000"/>
                <w:sz w:val="22"/>
                <w:szCs w:val="22"/>
              </w:rPr>
            </w:pPr>
            <w:r w:rsidRPr="00505A17">
              <w:rPr>
                <w:color w:val="000000"/>
                <w:sz w:val="22"/>
                <w:szCs w:val="22"/>
              </w:rPr>
              <w:t>$495</w:t>
            </w:r>
          </w:p>
        </w:tc>
        <w:tc>
          <w:tcPr>
            <w:tcW w:w="1721" w:type="dxa"/>
            <w:gridSpan w:val="2"/>
            <w:tcBorders>
              <w:right w:val="single" w:color="auto" w:sz="4" w:space="0"/>
            </w:tcBorders>
            <w:vAlign w:val="center"/>
          </w:tcPr>
          <w:p w:rsidRPr="00505A17" w:rsidR="00F7285E" w:rsidP="00F7285E" w:rsidRDefault="00F7285E" w14:paraId="63BDE315" w14:textId="4640704A">
            <w:pPr>
              <w:spacing w:before="60" w:after="60"/>
              <w:jc w:val="center"/>
              <w:rPr>
                <w:color w:val="000000"/>
                <w:sz w:val="22"/>
                <w:szCs w:val="22"/>
              </w:rPr>
            </w:pPr>
            <w:r w:rsidRPr="00505A17">
              <w:rPr>
                <w:sz w:val="22"/>
                <w:szCs w:val="22"/>
              </w:rPr>
              <w:t>D.25-01-053</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06BD92A5" w14:textId="639E1215">
            <w:pPr>
              <w:spacing w:before="60" w:after="60"/>
              <w:jc w:val="right"/>
              <w:rPr>
                <w:color w:val="000000"/>
                <w:sz w:val="22"/>
                <w:szCs w:val="22"/>
              </w:rPr>
            </w:pPr>
            <w:r w:rsidRPr="00505A17">
              <w:rPr>
                <w:color w:val="000000"/>
                <w:sz w:val="22"/>
                <w:szCs w:val="22"/>
              </w:rPr>
              <w:t>$1,856.25</w:t>
            </w:r>
          </w:p>
        </w:tc>
        <w:tc>
          <w:tcPr>
            <w:tcW w:w="955" w:type="dxa"/>
            <w:tcBorders>
              <w:left w:val="single" w:color="auto" w:sz="4" w:space="0"/>
            </w:tcBorders>
          </w:tcPr>
          <w:p w:rsidRPr="00D95B3A" w:rsidR="00F7285E" w:rsidP="00F7285E" w:rsidRDefault="00F7285E" w14:paraId="31AF7AA4" w14:textId="38A230A3">
            <w:pPr>
              <w:spacing w:before="60" w:after="60"/>
              <w:jc w:val="center"/>
              <w:rPr>
                <w:color w:val="000000"/>
              </w:rPr>
            </w:pPr>
            <w:r>
              <w:rPr>
                <w:color w:val="000000"/>
              </w:rPr>
              <w:t>3.75</w:t>
            </w:r>
          </w:p>
        </w:tc>
        <w:tc>
          <w:tcPr>
            <w:tcW w:w="1146" w:type="dxa"/>
          </w:tcPr>
          <w:p w:rsidRPr="00D95B3A" w:rsidR="00F7285E" w:rsidP="00597289" w:rsidRDefault="00F7285E" w14:paraId="3400AFFC" w14:textId="2E38AF41">
            <w:pPr>
              <w:spacing w:before="60" w:after="60"/>
              <w:jc w:val="center"/>
              <w:rPr>
                <w:color w:val="000000"/>
              </w:rPr>
            </w:pPr>
            <w:r>
              <w:rPr>
                <w:color w:val="000000"/>
              </w:rPr>
              <w:t>$495.00</w:t>
            </w:r>
          </w:p>
        </w:tc>
        <w:tc>
          <w:tcPr>
            <w:tcW w:w="1881" w:type="dxa"/>
          </w:tcPr>
          <w:p w:rsidRPr="00D95B3A" w:rsidR="00F7285E" w:rsidP="00F7285E" w:rsidRDefault="00F7285E" w14:paraId="196C1830" w14:textId="5394457D">
            <w:pPr>
              <w:spacing w:before="60" w:after="60"/>
              <w:jc w:val="right"/>
              <w:rPr>
                <w:color w:val="000000"/>
              </w:rPr>
            </w:pPr>
            <w:r w:rsidRPr="00104FEA">
              <w:t xml:space="preserve"> $1,856.25 </w:t>
            </w:r>
          </w:p>
        </w:tc>
      </w:tr>
      <w:tr w:rsidRPr="007F620E" w:rsidR="00F7285E" w:rsidTr="00CA28C3" w14:paraId="04F4D17A" w14:textId="77777777">
        <w:trPr>
          <w:jc w:val="center"/>
        </w:trPr>
        <w:tc>
          <w:tcPr>
            <w:tcW w:w="1489" w:type="dxa"/>
            <w:gridSpan w:val="2"/>
          </w:tcPr>
          <w:p w:rsidRPr="00505A17" w:rsidR="00F7285E" w:rsidP="00F7285E" w:rsidRDefault="00F7285E" w14:paraId="77699AFF" w14:textId="4F6C040E">
            <w:pPr>
              <w:spacing w:before="60" w:after="60"/>
              <w:rPr>
                <w:color w:val="000000"/>
                <w:sz w:val="22"/>
                <w:szCs w:val="22"/>
              </w:rPr>
            </w:pPr>
            <w:r w:rsidRPr="00505A17">
              <w:rPr>
                <w:sz w:val="22"/>
                <w:szCs w:val="22"/>
              </w:rPr>
              <w:t>Matthew Freedman, TURN Attorney</w:t>
            </w:r>
          </w:p>
        </w:tc>
        <w:tc>
          <w:tcPr>
            <w:tcW w:w="821" w:type="dxa"/>
            <w:gridSpan w:val="2"/>
            <w:vAlign w:val="center"/>
          </w:tcPr>
          <w:p w:rsidRPr="00505A17" w:rsidR="00F7285E" w:rsidP="00F7285E" w:rsidRDefault="00F7285E" w14:paraId="296C32E2" w14:textId="7DE478FB">
            <w:pPr>
              <w:spacing w:before="60" w:after="60"/>
              <w:jc w:val="center"/>
              <w:rPr>
                <w:color w:val="000000"/>
                <w:sz w:val="22"/>
                <w:szCs w:val="22"/>
              </w:rPr>
            </w:pPr>
            <w:r w:rsidRPr="00505A17">
              <w:rPr>
                <w:sz w:val="22"/>
                <w:szCs w:val="22"/>
              </w:rPr>
              <w:t>2024</w:t>
            </w:r>
          </w:p>
        </w:tc>
        <w:tc>
          <w:tcPr>
            <w:tcW w:w="884" w:type="dxa"/>
            <w:gridSpan w:val="2"/>
            <w:vAlign w:val="center"/>
          </w:tcPr>
          <w:p w:rsidRPr="00505A17" w:rsidR="00F7285E" w:rsidP="00F7285E" w:rsidRDefault="00F7285E" w14:paraId="36E8C086" w14:textId="454485AC">
            <w:pPr>
              <w:spacing w:before="60" w:after="60"/>
              <w:jc w:val="center"/>
              <w:rPr>
                <w:color w:val="000000"/>
                <w:sz w:val="22"/>
                <w:szCs w:val="22"/>
              </w:rPr>
            </w:pPr>
            <w:r w:rsidRPr="00505A17">
              <w:rPr>
                <w:color w:val="000000"/>
                <w:sz w:val="22"/>
                <w:szCs w:val="22"/>
              </w:rPr>
              <w:t>81.75</w:t>
            </w:r>
          </w:p>
        </w:tc>
        <w:tc>
          <w:tcPr>
            <w:tcW w:w="930" w:type="dxa"/>
            <w:vAlign w:val="center"/>
          </w:tcPr>
          <w:p w:rsidRPr="00505A17" w:rsidR="00F7285E" w:rsidP="00F7285E" w:rsidRDefault="00F7285E" w14:paraId="1A2EA5E8" w14:textId="4B25E70E">
            <w:pPr>
              <w:spacing w:before="60" w:after="60"/>
              <w:jc w:val="center"/>
              <w:rPr>
                <w:color w:val="000000"/>
                <w:sz w:val="22"/>
                <w:szCs w:val="22"/>
              </w:rPr>
            </w:pPr>
            <w:r w:rsidRPr="00505A17">
              <w:rPr>
                <w:color w:val="000000"/>
                <w:sz w:val="22"/>
                <w:szCs w:val="22"/>
              </w:rPr>
              <w:t>$740</w:t>
            </w:r>
          </w:p>
        </w:tc>
        <w:tc>
          <w:tcPr>
            <w:tcW w:w="1721" w:type="dxa"/>
            <w:gridSpan w:val="2"/>
            <w:tcBorders>
              <w:right w:val="single" w:color="auto" w:sz="4" w:space="0"/>
            </w:tcBorders>
            <w:vAlign w:val="center"/>
          </w:tcPr>
          <w:p w:rsidRPr="00505A17" w:rsidR="00F7285E" w:rsidP="00F7285E" w:rsidRDefault="00F7285E" w14:paraId="0A9F64DD" w14:textId="483DC6F7">
            <w:pPr>
              <w:spacing w:before="60" w:after="60"/>
              <w:jc w:val="center"/>
              <w:rPr>
                <w:color w:val="000000"/>
                <w:sz w:val="22"/>
                <w:szCs w:val="22"/>
              </w:rPr>
            </w:pPr>
            <w:r w:rsidRPr="00505A17">
              <w:rPr>
                <w:sz w:val="22"/>
                <w:szCs w:val="22"/>
              </w:rPr>
              <w:t>D.24-09-015</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1FED32E0" w14:textId="135FF120">
            <w:pPr>
              <w:spacing w:before="60" w:after="60"/>
              <w:jc w:val="right"/>
              <w:rPr>
                <w:color w:val="000000"/>
                <w:sz w:val="22"/>
                <w:szCs w:val="22"/>
              </w:rPr>
            </w:pPr>
            <w:r w:rsidRPr="00505A17">
              <w:rPr>
                <w:color w:val="000000"/>
                <w:sz w:val="22"/>
                <w:szCs w:val="22"/>
              </w:rPr>
              <w:t>$60,495.00</w:t>
            </w:r>
          </w:p>
        </w:tc>
        <w:tc>
          <w:tcPr>
            <w:tcW w:w="955" w:type="dxa"/>
            <w:tcBorders>
              <w:left w:val="single" w:color="auto" w:sz="4" w:space="0"/>
            </w:tcBorders>
          </w:tcPr>
          <w:p w:rsidRPr="00D95B3A" w:rsidR="00F7285E" w:rsidP="00F7285E" w:rsidRDefault="00F7285E" w14:paraId="69C584E1" w14:textId="38BEE31E">
            <w:pPr>
              <w:spacing w:before="60" w:after="60"/>
              <w:jc w:val="center"/>
              <w:rPr>
                <w:color w:val="000000"/>
              </w:rPr>
            </w:pPr>
            <w:r>
              <w:rPr>
                <w:color w:val="000000"/>
              </w:rPr>
              <w:t>81.75</w:t>
            </w:r>
          </w:p>
        </w:tc>
        <w:tc>
          <w:tcPr>
            <w:tcW w:w="1146" w:type="dxa"/>
          </w:tcPr>
          <w:p w:rsidRPr="00D95B3A" w:rsidR="00F7285E" w:rsidP="00597289" w:rsidRDefault="00F7285E" w14:paraId="59878CD8" w14:textId="5887845B">
            <w:pPr>
              <w:spacing w:before="60" w:after="60"/>
              <w:jc w:val="center"/>
              <w:rPr>
                <w:color w:val="000000"/>
              </w:rPr>
            </w:pPr>
            <w:r>
              <w:rPr>
                <w:color w:val="000000"/>
              </w:rPr>
              <w:t>$740.00</w:t>
            </w:r>
          </w:p>
        </w:tc>
        <w:tc>
          <w:tcPr>
            <w:tcW w:w="1881" w:type="dxa"/>
          </w:tcPr>
          <w:p w:rsidRPr="00D95B3A" w:rsidR="00F7285E" w:rsidP="00F7285E" w:rsidRDefault="00F7285E" w14:paraId="403323E5" w14:textId="7A3A9F91">
            <w:pPr>
              <w:spacing w:before="60" w:after="60"/>
              <w:jc w:val="right"/>
              <w:rPr>
                <w:color w:val="000000"/>
              </w:rPr>
            </w:pPr>
            <w:r w:rsidRPr="00104FEA">
              <w:t xml:space="preserve"> $60,495.00 </w:t>
            </w:r>
          </w:p>
        </w:tc>
      </w:tr>
      <w:tr w:rsidRPr="007F620E" w:rsidR="00F7285E" w:rsidTr="00CA28C3" w14:paraId="43AB91F7" w14:textId="77777777">
        <w:trPr>
          <w:jc w:val="center"/>
        </w:trPr>
        <w:tc>
          <w:tcPr>
            <w:tcW w:w="1489" w:type="dxa"/>
            <w:gridSpan w:val="2"/>
          </w:tcPr>
          <w:p w:rsidRPr="00505A17" w:rsidR="00F7285E" w:rsidP="00F7285E" w:rsidRDefault="00F7285E" w14:paraId="272A8255" w14:textId="730C9711">
            <w:pPr>
              <w:spacing w:before="60" w:after="60"/>
              <w:rPr>
                <w:color w:val="000000"/>
                <w:sz w:val="22"/>
                <w:szCs w:val="22"/>
              </w:rPr>
            </w:pPr>
            <w:r w:rsidRPr="00505A17">
              <w:rPr>
                <w:sz w:val="22"/>
                <w:szCs w:val="22"/>
              </w:rPr>
              <w:t>Matthew Freedman, TURN Attorney</w:t>
            </w:r>
          </w:p>
        </w:tc>
        <w:tc>
          <w:tcPr>
            <w:tcW w:w="821" w:type="dxa"/>
            <w:gridSpan w:val="2"/>
            <w:vAlign w:val="center"/>
          </w:tcPr>
          <w:p w:rsidRPr="00505A17" w:rsidR="00F7285E" w:rsidP="00F7285E" w:rsidRDefault="00F7285E" w14:paraId="24D6B6CB" w14:textId="450C61FC">
            <w:pPr>
              <w:spacing w:before="60" w:after="60"/>
              <w:jc w:val="center"/>
              <w:rPr>
                <w:color w:val="000000"/>
                <w:sz w:val="22"/>
                <w:szCs w:val="22"/>
              </w:rPr>
            </w:pPr>
            <w:r w:rsidRPr="00505A17">
              <w:rPr>
                <w:sz w:val="22"/>
                <w:szCs w:val="22"/>
              </w:rPr>
              <w:t>2025</w:t>
            </w:r>
          </w:p>
        </w:tc>
        <w:tc>
          <w:tcPr>
            <w:tcW w:w="884" w:type="dxa"/>
            <w:gridSpan w:val="2"/>
            <w:vAlign w:val="center"/>
          </w:tcPr>
          <w:p w:rsidRPr="00505A17" w:rsidR="00F7285E" w:rsidP="00F7285E" w:rsidRDefault="00F7285E" w14:paraId="5C2F6143" w14:textId="552FC1A1">
            <w:pPr>
              <w:spacing w:before="60" w:after="60"/>
              <w:jc w:val="center"/>
              <w:rPr>
                <w:color w:val="000000"/>
                <w:sz w:val="22"/>
                <w:szCs w:val="22"/>
              </w:rPr>
            </w:pPr>
            <w:r w:rsidRPr="00505A17">
              <w:rPr>
                <w:color w:val="000000"/>
                <w:sz w:val="22"/>
                <w:szCs w:val="22"/>
              </w:rPr>
              <w:t>34.75</w:t>
            </w:r>
          </w:p>
        </w:tc>
        <w:tc>
          <w:tcPr>
            <w:tcW w:w="930" w:type="dxa"/>
            <w:vAlign w:val="center"/>
          </w:tcPr>
          <w:p w:rsidRPr="00505A17" w:rsidR="00F7285E" w:rsidP="00F7285E" w:rsidRDefault="00F7285E" w14:paraId="20B3272D" w14:textId="5FA39FC3">
            <w:pPr>
              <w:spacing w:before="60" w:after="60"/>
              <w:jc w:val="center"/>
              <w:rPr>
                <w:color w:val="000000"/>
                <w:sz w:val="22"/>
                <w:szCs w:val="22"/>
              </w:rPr>
            </w:pPr>
            <w:r w:rsidRPr="00505A17">
              <w:rPr>
                <w:color w:val="000000"/>
                <w:sz w:val="22"/>
                <w:szCs w:val="22"/>
              </w:rPr>
              <w:t>$795</w:t>
            </w:r>
          </w:p>
        </w:tc>
        <w:tc>
          <w:tcPr>
            <w:tcW w:w="1721" w:type="dxa"/>
            <w:gridSpan w:val="2"/>
            <w:tcBorders>
              <w:right w:val="single" w:color="auto" w:sz="4" w:space="0"/>
            </w:tcBorders>
            <w:vAlign w:val="center"/>
          </w:tcPr>
          <w:p w:rsidRPr="00505A17" w:rsidR="00F7285E" w:rsidP="00F7285E" w:rsidRDefault="00F7285E" w14:paraId="13F2A90A" w14:textId="21F1E3CA">
            <w:pPr>
              <w:spacing w:before="60" w:after="60"/>
              <w:jc w:val="center"/>
              <w:rPr>
                <w:color w:val="000000"/>
                <w:sz w:val="22"/>
                <w:szCs w:val="22"/>
              </w:rPr>
            </w:pPr>
            <w:r w:rsidRPr="00505A17">
              <w:rPr>
                <w:sz w:val="22"/>
                <w:szCs w:val="22"/>
              </w:rPr>
              <w:t>D.25-10-059</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5F4BA73E" w14:textId="4615880F">
            <w:pPr>
              <w:spacing w:before="60" w:after="60"/>
              <w:jc w:val="right"/>
              <w:rPr>
                <w:color w:val="000000"/>
                <w:sz w:val="22"/>
                <w:szCs w:val="22"/>
              </w:rPr>
            </w:pPr>
            <w:r w:rsidRPr="00505A17">
              <w:rPr>
                <w:color w:val="000000"/>
                <w:sz w:val="22"/>
                <w:szCs w:val="22"/>
              </w:rPr>
              <w:t>$27,626.25</w:t>
            </w:r>
          </w:p>
        </w:tc>
        <w:tc>
          <w:tcPr>
            <w:tcW w:w="955" w:type="dxa"/>
            <w:tcBorders>
              <w:left w:val="single" w:color="auto" w:sz="4" w:space="0"/>
            </w:tcBorders>
          </w:tcPr>
          <w:p w:rsidRPr="00D95B3A" w:rsidR="00F7285E" w:rsidP="00F7285E" w:rsidRDefault="00F7285E" w14:paraId="745BE1B8" w14:textId="35320BC5">
            <w:pPr>
              <w:spacing w:before="60" w:after="60"/>
              <w:jc w:val="center"/>
              <w:rPr>
                <w:color w:val="000000"/>
              </w:rPr>
            </w:pPr>
            <w:r>
              <w:rPr>
                <w:color w:val="000000"/>
              </w:rPr>
              <w:t>34.75</w:t>
            </w:r>
          </w:p>
        </w:tc>
        <w:tc>
          <w:tcPr>
            <w:tcW w:w="1146" w:type="dxa"/>
          </w:tcPr>
          <w:p w:rsidRPr="00D95B3A" w:rsidR="00F7285E" w:rsidP="00597289" w:rsidRDefault="00F7285E" w14:paraId="03EF34C7" w14:textId="586479A8">
            <w:pPr>
              <w:spacing w:before="60" w:after="60"/>
              <w:jc w:val="center"/>
              <w:rPr>
                <w:color w:val="000000"/>
              </w:rPr>
            </w:pPr>
            <w:r>
              <w:rPr>
                <w:color w:val="000000"/>
              </w:rPr>
              <w:t>$795.00</w:t>
            </w:r>
          </w:p>
        </w:tc>
        <w:tc>
          <w:tcPr>
            <w:tcW w:w="1881" w:type="dxa"/>
          </w:tcPr>
          <w:p w:rsidRPr="00D95B3A" w:rsidR="00F7285E" w:rsidP="00F7285E" w:rsidRDefault="00F7285E" w14:paraId="0AC85D2F" w14:textId="3608866C">
            <w:pPr>
              <w:spacing w:before="60" w:after="60"/>
              <w:jc w:val="right"/>
              <w:rPr>
                <w:color w:val="000000"/>
              </w:rPr>
            </w:pPr>
            <w:r w:rsidRPr="00104FEA">
              <w:t xml:space="preserve"> $27,626.25 </w:t>
            </w:r>
          </w:p>
        </w:tc>
      </w:tr>
      <w:tr w:rsidRPr="007F620E" w:rsidR="00F7285E" w:rsidTr="00CA28C3" w14:paraId="5835AD03" w14:textId="77777777">
        <w:trPr>
          <w:jc w:val="center"/>
        </w:trPr>
        <w:tc>
          <w:tcPr>
            <w:tcW w:w="1489" w:type="dxa"/>
            <w:gridSpan w:val="2"/>
          </w:tcPr>
          <w:p w:rsidRPr="00505A17" w:rsidR="00F7285E" w:rsidP="00F7285E" w:rsidRDefault="00F7285E" w14:paraId="76FAE954" w14:textId="748EEBE8">
            <w:pPr>
              <w:spacing w:before="60" w:after="60"/>
              <w:rPr>
                <w:color w:val="000000"/>
                <w:sz w:val="22"/>
                <w:szCs w:val="22"/>
              </w:rPr>
            </w:pPr>
            <w:r w:rsidRPr="00505A17">
              <w:rPr>
                <w:sz w:val="22"/>
                <w:szCs w:val="22"/>
              </w:rPr>
              <w:t>Reina Yanagiba, TURN Legal Assistant</w:t>
            </w:r>
          </w:p>
        </w:tc>
        <w:tc>
          <w:tcPr>
            <w:tcW w:w="821" w:type="dxa"/>
            <w:gridSpan w:val="2"/>
            <w:vAlign w:val="center"/>
          </w:tcPr>
          <w:p w:rsidRPr="00505A17" w:rsidR="00F7285E" w:rsidP="00F7285E" w:rsidRDefault="00F7285E" w14:paraId="12D63DAC" w14:textId="29FD2881">
            <w:pPr>
              <w:spacing w:before="60" w:after="60"/>
              <w:jc w:val="center"/>
              <w:rPr>
                <w:color w:val="000000"/>
                <w:sz w:val="22"/>
                <w:szCs w:val="22"/>
              </w:rPr>
            </w:pPr>
            <w:r w:rsidRPr="00505A17">
              <w:rPr>
                <w:sz w:val="22"/>
                <w:szCs w:val="22"/>
              </w:rPr>
              <w:t>2024</w:t>
            </w:r>
          </w:p>
        </w:tc>
        <w:tc>
          <w:tcPr>
            <w:tcW w:w="884" w:type="dxa"/>
            <w:gridSpan w:val="2"/>
            <w:vAlign w:val="center"/>
          </w:tcPr>
          <w:p w:rsidRPr="00505A17" w:rsidR="00F7285E" w:rsidP="00F7285E" w:rsidRDefault="00F7285E" w14:paraId="40089B9E" w14:textId="06BB9121">
            <w:pPr>
              <w:spacing w:before="60" w:after="60"/>
              <w:jc w:val="center"/>
              <w:rPr>
                <w:color w:val="000000"/>
                <w:sz w:val="22"/>
                <w:szCs w:val="22"/>
              </w:rPr>
            </w:pPr>
            <w:r w:rsidRPr="00505A17">
              <w:rPr>
                <w:color w:val="000000"/>
                <w:sz w:val="22"/>
                <w:szCs w:val="22"/>
              </w:rPr>
              <w:t>0.50</w:t>
            </w:r>
          </w:p>
        </w:tc>
        <w:tc>
          <w:tcPr>
            <w:tcW w:w="930" w:type="dxa"/>
            <w:vAlign w:val="center"/>
          </w:tcPr>
          <w:p w:rsidRPr="00505A17" w:rsidR="00F7285E" w:rsidP="00F7285E" w:rsidRDefault="00F7285E" w14:paraId="2546D5B7" w14:textId="1DA3EB66">
            <w:pPr>
              <w:spacing w:before="60" w:after="60"/>
              <w:jc w:val="center"/>
              <w:rPr>
                <w:color w:val="000000"/>
                <w:sz w:val="22"/>
                <w:szCs w:val="22"/>
              </w:rPr>
            </w:pPr>
            <w:r w:rsidRPr="00505A17">
              <w:rPr>
                <w:color w:val="000000"/>
                <w:sz w:val="22"/>
                <w:szCs w:val="22"/>
              </w:rPr>
              <w:t>$100</w:t>
            </w:r>
          </w:p>
        </w:tc>
        <w:tc>
          <w:tcPr>
            <w:tcW w:w="1721" w:type="dxa"/>
            <w:gridSpan w:val="2"/>
            <w:tcBorders>
              <w:right w:val="single" w:color="auto" w:sz="4" w:space="0"/>
            </w:tcBorders>
            <w:vAlign w:val="center"/>
          </w:tcPr>
          <w:p w:rsidRPr="00505A17" w:rsidR="00F7285E" w:rsidP="00F7285E" w:rsidRDefault="00F7285E" w14:paraId="298194BD" w14:textId="5804CA9B">
            <w:pPr>
              <w:spacing w:before="60" w:after="60"/>
              <w:jc w:val="center"/>
              <w:rPr>
                <w:color w:val="000000"/>
                <w:sz w:val="22"/>
                <w:szCs w:val="22"/>
              </w:rPr>
            </w:pPr>
            <w:r w:rsidRPr="00505A17">
              <w:rPr>
                <w:sz w:val="22"/>
                <w:szCs w:val="22"/>
              </w:rPr>
              <w:t>D.24-06-021</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6B33E688" w14:textId="53C402C7">
            <w:pPr>
              <w:spacing w:before="60" w:after="60"/>
              <w:jc w:val="right"/>
              <w:rPr>
                <w:color w:val="000000"/>
                <w:sz w:val="22"/>
                <w:szCs w:val="22"/>
              </w:rPr>
            </w:pPr>
            <w:r w:rsidRPr="00505A17">
              <w:rPr>
                <w:color w:val="000000"/>
                <w:sz w:val="22"/>
                <w:szCs w:val="22"/>
              </w:rPr>
              <w:t>$50.00</w:t>
            </w:r>
          </w:p>
        </w:tc>
        <w:tc>
          <w:tcPr>
            <w:tcW w:w="955" w:type="dxa"/>
            <w:tcBorders>
              <w:left w:val="single" w:color="auto" w:sz="4" w:space="0"/>
            </w:tcBorders>
          </w:tcPr>
          <w:p w:rsidRPr="00D95B3A" w:rsidR="00F7285E" w:rsidP="00F7285E" w:rsidRDefault="00F7285E" w14:paraId="411FE15F" w14:textId="3BF10BC7">
            <w:pPr>
              <w:spacing w:before="60" w:after="60"/>
              <w:jc w:val="center"/>
              <w:rPr>
                <w:color w:val="000000"/>
              </w:rPr>
            </w:pPr>
            <w:r>
              <w:rPr>
                <w:color w:val="000000"/>
              </w:rPr>
              <w:t>0.50</w:t>
            </w:r>
          </w:p>
        </w:tc>
        <w:tc>
          <w:tcPr>
            <w:tcW w:w="1146" w:type="dxa"/>
          </w:tcPr>
          <w:p w:rsidRPr="00D95B3A" w:rsidR="00F7285E" w:rsidP="00597289" w:rsidRDefault="00F7285E" w14:paraId="7F15DDFD" w14:textId="52838185">
            <w:pPr>
              <w:spacing w:before="60" w:after="60"/>
              <w:jc w:val="center"/>
              <w:rPr>
                <w:color w:val="000000"/>
              </w:rPr>
            </w:pPr>
            <w:r>
              <w:rPr>
                <w:color w:val="000000"/>
              </w:rPr>
              <w:t>$100.00</w:t>
            </w:r>
          </w:p>
        </w:tc>
        <w:tc>
          <w:tcPr>
            <w:tcW w:w="1881" w:type="dxa"/>
          </w:tcPr>
          <w:p w:rsidRPr="00D95B3A" w:rsidR="00F7285E" w:rsidP="00F7285E" w:rsidRDefault="00F7285E" w14:paraId="04F22302" w14:textId="0019A3BF">
            <w:pPr>
              <w:spacing w:before="60" w:after="60"/>
              <w:jc w:val="right"/>
              <w:rPr>
                <w:color w:val="000000"/>
              </w:rPr>
            </w:pPr>
            <w:r w:rsidRPr="00104FEA">
              <w:t xml:space="preserve"> $50.00 </w:t>
            </w:r>
          </w:p>
        </w:tc>
      </w:tr>
      <w:tr w:rsidRPr="007F620E" w:rsidR="00F7285E" w:rsidTr="00CA28C3" w14:paraId="5BF6A154" w14:textId="77777777">
        <w:trPr>
          <w:jc w:val="center"/>
        </w:trPr>
        <w:tc>
          <w:tcPr>
            <w:tcW w:w="1489" w:type="dxa"/>
            <w:gridSpan w:val="2"/>
          </w:tcPr>
          <w:p w:rsidRPr="00505A17" w:rsidR="00F7285E" w:rsidP="00F7285E" w:rsidRDefault="00F7285E" w14:paraId="118506EC" w14:textId="5680F398">
            <w:pPr>
              <w:spacing w:before="60" w:after="60"/>
              <w:rPr>
                <w:color w:val="000000"/>
                <w:sz w:val="22"/>
                <w:szCs w:val="22"/>
              </w:rPr>
            </w:pPr>
            <w:r w:rsidRPr="00505A17">
              <w:rPr>
                <w:sz w:val="22"/>
                <w:szCs w:val="22"/>
              </w:rPr>
              <w:t>Sylvie Ashford, Energy Policy Analyst</w:t>
            </w:r>
          </w:p>
        </w:tc>
        <w:tc>
          <w:tcPr>
            <w:tcW w:w="821" w:type="dxa"/>
            <w:gridSpan w:val="2"/>
            <w:vAlign w:val="center"/>
          </w:tcPr>
          <w:p w:rsidRPr="00505A17" w:rsidR="00F7285E" w:rsidP="00F7285E" w:rsidRDefault="00F7285E" w14:paraId="3767540B" w14:textId="2D3BB13C">
            <w:pPr>
              <w:spacing w:before="60" w:after="60"/>
              <w:jc w:val="center"/>
              <w:rPr>
                <w:color w:val="000000"/>
                <w:sz w:val="22"/>
                <w:szCs w:val="22"/>
              </w:rPr>
            </w:pPr>
            <w:r w:rsidRPr="00505A17">
              <w:rPr>
                <w:sz w:val="22"/>
                <w:szCs w:val="22"/>
              </w:rPr>
              <w:t>2024</w:t>
            </w:r>
          </w:p>
        </w:tc>
        <w:tc>
          <w:tcPr>
            <w:tcW w:w="884" w:type="dxa"/>
            <w:gridSpan w:val="2"/>
            <w:vAlign w:val="center"/>
          </w:tcPr>
          <w:p w:rsidRPr="00505A17" w:rsidR="00F7285E" w:rsidP="00F7285E" w:rsidRDefault="00F7285E" w14:paraId="120FE857" w14:textId="65B12AB1">
            <w:pPr>
              <w:spacing w:before="60" w:after="60"/>
              <w:jc w:val="center"/>
              <w:rPr>
                <w:color w:val="000000"/>
                <w:sz w:val="22"/>
                <w:szCs w:val="22"/>
              </w:rPr>
            </w:pPr>
            <w:r w:rsidRPr="00505A17">
              <w:rPr>
                <w:color w:val="000000"/>
                <w:sz w:val="22"/>
                <w:szCs w:val="22"/>
              </w:rPr>
              <w:t>1.50</w:t>
            </w:r>
          </w:p>
        </w:tc>
        <w:tc>
          <w:tcPr>
            <w:tcW w:w="930" w:type="dxa"/>
            <w:vAlign w:val="center"/>
          </w:tcPr>
          <w:p w:rsidRPr="00505A17" w:rsidR="00F7285E" w:rsidP="00F7285E" w:rsidRDefault="00F7285E" w14:paraId="075109E1" w14:textId="00742C29">
            <w:pPr>
              <w:spacing w:before="60" w:after="60"/>
              <w:jc w:val="center"/>
              <w:rPr>
                <w:color w:val="000000"/>
                <w:sz w:val="22"/>
                <w:szCs w:val="22"/>
              </w:rPr>
            </w:pPr>
            <w:r w:rsidRPr="00505A17">
              <w:rPr>
                <w:color w:val="000000"/>
                <w:sz w:val="22"/>
                <w:szCs w:val="22"/>
              </w:rPr>
              <w:t>$245</w:t>
            </w:r>
          </w:p>
        </w:tc>
        <w:tc>
          <w:tcPr>
            <w:tcW w:w="1721" w:type="dxa"/>
            <w:gridSpan w:val="2"/>
            <w:tcBorders>
              <w:right w:val="single" w:color="auto" w:sz="4" w:space="0"/>
            </w:tcBorders>
            <w:vAlign w:val="center"/>
          </w:tcPr>
          <w:p w:rsidRPr="00505A17" w:rsidR="00F7285E" w:rsidP="00F7285E" w:rsidRDefault="00F7285E" w14:paraId="4AF4C006" w14:textId="12ED0BF3">
            <w:pPr>
              <w:spacing w:before="60" w:after="60"/>
              <w:jc w:val="center"/>
              <w:rPr>
                <w:color w:val="000000"/>
                <w:sz w:val="22"/>
                <w:szCs w:val="22"/>
              </w:rPr>
            </w:pPr>
            <w:r w:rsidRPr="00505A17">
              <w:rPr>
                <w:sz w:val="22"/>
                <w:szCs w:val="22"/>
              </w:rPr>
              <w:t>D.25-06-030</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2A77845E" w14:textId="4563CF80">
            <w:pPr>
              <w:spacing w:before="60" w:after="60"/>
              <w:jc w:val="right"/>
              <w:rPr>
                <w:color w:val="000000"/>
                <w:sz w:val="22"/>
                <w:szCs w:val="22"/>
              </w:rPr>
            </w:pPr>
            <w:r w:rsidRPr="00505A17">
              <w:rPr>
                <w:color w:val="000000"/>
                <w:sz w:val="22"/>
                <w:szCs w:val="22"/>
              </w:rPr>
              <w:t>$367.50</w:t>
            </w:r>
          </w:p>
        </w:tc>
        <w:tc>
          <w:tcPr>
            <w:tcW w:w="955" w:type="dxa"/>
            <w:tcBorders>
              <w:left w:val="single" w:color="auto" w:sz="4" w:space="0"/>
            </w:tcBorders>
          </w:tcPr>
          <w:p w:rsidRPr="00D95B3A" w:rsidR="00F7285E" w:rsidP="00F7285E" w:rsidRDefault="00F7285E" w14:paraId="461DC9FD" w14:textId="3DF360C2">
            <w:pPr>
              <w:spacing w:before="60" w:after="60"/>
              <w:jc w:val="center"/>
              <w:rPr>
                <w:color w:val="000000"/>
              </w:rPr>
            </w:pPr>
            <w:r>
              <w:rPr>
                <w:color w:val="000000"/>
              </w:rPr>
              <w:t>1.50</w:t>
            </w:r>
          </w:p>
        </w:tc>
        <w:tc>
          <w:tcPr>
            <w:tcW w:w="1146" w:type="dxa"/>
          </w:tcPr>
          <w:p w:rsidRPr="00D95B3A" w:rsidR="00F7285E" w:rsidP="00597289" w:rsidRDefault="00F7285E" w14:paraId="7FDABF74" w14:textId="52FA236E">
            <w:pPr>
              <w:spacing w:before="60" w:after="60"/>
              <w:jc w:val="center"/>
              <w:rPr>
                <w:color w:val="000000"/>
              </w:rPr>
            </w:pPr>
            <w:r>
              <w:rPr>
                <w:color w:val="000000"/>
              </w:rPr>
              <w:t>$245.00</w:t>
            </w:r>
          </w:p>
        </w:tc>
        <w:tc>
          <w:tcPr>
            <w:tcW w:w="1881" w:type="dxa"/>
          </w:tcPr>
          <w:p w:rsidRPr="00D95B3A" w:rsidR="00F7285E" w:rsidP="00F7285E" w:rsidRDefault="00F7285E" w14:paraId="05EFCF76" w14:textId="72AB86F0">
            <w:pPr>
              <w:spacing w:before="60" w:after="60"/>
              <w:jc w:val="right"/>
              <w:rPr>
                <w:color w:val="000000"/>
              </w:rPr>
            </w:pPr>
            <w:r w:rsidRPr="00104FEA">
              <w:t xml:space="preserve"> $367.50 </w:t>
            </w:r>
          </w:p>
        </w:tc>
      </w:tr>
      <w:tr w:rsidRPr="007F620E" w:rsidR="00F7285E" w:rsidTr="00CA28C3" w14:paraId="38E0B4EA" w14:textId="77777777">
        <w:trPr>
          <w:jc w:val="center"/>
        </w:trPr>
        <w:tc>
          <w:tcPr>
            <w:tcW w:w="1489" w:type="dxa"/>
            <w:gridSpan w:val="2"/>
            <w:vAlign w:val="bottom"/>
          </w:tcPr>
          <w:p w:rsidRPr="00505A17" w:rsidR="00F7285E" w:rsidP="00F7285E" w:rsidRDefault="00F7285E" w14:paraId="1F980DF3" w14:textId="7C6F2ADE">
            <w:pPr>
              <w:spacing w:before="60" w:after="60"/>
              <w:rPr>
                <w:color w:val="000000"/>
                <w:sz w:val="22"/>
                <w:szCs w:val="22"/>
              </w:rPr>
            </w:pPr>
            <w:r w:rsidRPr="00505A17">
              <w:rPr>
                <w:color w:val="000000"/>
                <w:sz w:val="22"/>
                <w:szCs w:val="22"/>
              </w:rPr>
              <w:t>William Monsen, MRW &amp; Associates</w:t>
            </w:r>
          </w:p>
        </w:tc>
        <w:tc>
          <w:tcPr>
            <w:tcW w:w="821" w:type="dxa"/>
            <w:gridSpan w:val="2"/>
            <w:vAlign w:val="center"/>
          </w:tcPr>
          <w:p w:rsidRPr="00505A17" w:rsidR="00F7285E" w:rsidP="00F7285E" w:rsidRDefault="00F7285E" w14:paraId="275BF57A" w14:textId="75BCDB29">
            <w:pPr>
              <w:spacing w:before="60" w:after="60"/>
              <w:jc w:val="center"/>
              <w:rPr>
                <w:color w:val="000000"/>
                <w:sz w:val="22"/>
                <w:szCs w:val="22"/>
              </w:rPr>
            </w:pPr>
            <w:r w:rsidRPr="00505A17">
              <w:rPr>
                <w:color w:val="000000"/>
                <w:sz w:val="22"/>
                <w:szCs w:val="22"/>
              </w:rPr>
              <w:t>2024</w:t>
            </w:r>
          </w:p>
        </w:tc>
        <w:tc>
          <w:tcPr>
            <w:tcW w:w="884" w:type="dxa"/>
            <w:gridSpan w:val="2"/>
            <w:vAlign w:val="center"/>
          </w:tcPr>
          <w:p w:rsidRPr="00505A17" w:rsidR="00F7285E" w:rsidP="00F7285E" w:rsidRDefault="00F7285E" w14:paraId="0DE506C4" w14:textId="5B8DB210">
            <w:pPr>
              <w:spacing w:before="60" w:after="60"/>
              <w:jc w:val="center"/>
              <w:rPr>
                <w:color w:val="000000"/>
                <w:sz w:val="22"/>
                <w:szCs w:val="22"/>
              </w:rPr>
            </w:pPr>
            <w:r w:rsidRPr="00505A17">
              <w:rPr>
                <w:color w:val="000000"/>
                <w:sz w:val="22"/>
                <w:szCs w:val="22"/>
              </w:rPr>
              <w:t>222.6</w:t>
            </w:r>
          </w:p>
        </w:tc>
        <w:tc>
          <w:tcPr>
            <w:tcW w:w="930" w:type="dxa"/>
            <w:vAlign w:val="center"/>
          </w:tcPr>
          <w:p w:rsidRPr="00505A17" w:rsidR="00F7285E" w:rsidP="00F7285E" w:rsidRDefault="00F7285E" w14:paraId="26413E95" w14:textId="75AEFC55">
            <w:pPr>
              <w:spacing w:before="60" w:after="60"/>
              <w:jc w:val="center"/>
              <w:rPr>
                <w:color w:val="000000"/>
                <w:sz w:val="22"/>
                <w:szCs w:val="22"/>
              </w:rPr>
            </w:pPr>
            <w:r w:rsidRPr="00505A17">
              <w:rPr>
                <w:color w:val="000000"/>
                <w:sz w:val="22"/>
                <w:szCs w:val="22"/>
              </w:rPr>
              <w:t>$395</w:t>
            </w:r>
          </w:p>
        </w:tc>
        <w:tc>
          <w:tcPr>
            <w:tcW w:w="1721" w:type="dxa"/>
            <w:gridSpan w:val="2"/>
            <w:tcBorders>
              <w:right w:val="single" w:color="auto" w:sz="4" w:space="0"/>
            </w:tcBorders>
            <w:vAlign w:val="center"/>
          </w:tcPr>
          <w:p w:rsidRPr="00505A17" w:rsidR="00F7285E" w:rsidP="00F7285E" w:rsidRDefault="00F7285E" w14:paraId="300AA881" w14:textId="1AE48C03">
            <w:pPr>
              <w:spacing w:before="60" w:after="60"/>
              <w:jc w:val="center"/>
              <w:rPr>
                <w:color w:val="000000"/>
                <w:sz w:val="22"/>
                <w:szCs w:val="22"/>
              </w:rPr>
            </w:pPr>
            <w:r w:rsidRPr="00505A17">
              <w:rPr>
                <w:sz w:val="22"/>
                <w:szCs w:val="22"/>
              </w:rPr>
              <w:t>D.25-10-059</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23EF368E" w14:textId="34B709D0">
            <w:pPr>
              <w:spacing w:before="60" w:after="60"/>
              <w:jc w:val="right"/>
              <w:rPr>
                <w:color w:val="000000"/>
                <w:sz w:val="22"/>
                <w:szCs w:val="22"/>
              </w:rPr>
            </w:pPr>
            <w:r w:rsidRPr="00505A17">
              <w:rPr>
                <w:color w:val="000000"/>
                <w:sz w:val="22"/>
                <w:szCs w:val="22"/>
              </w:rPr>
              <w:t>$87,927.00</w:t>
            </w:r>
          </w:p>
        </w:tc>
        <w:tc>
          <w:tcPr>
            <w:tcW w:w="955" w:type="dxa"/>
            <w:tcBorders>
              <w:left w:val="single" w:color="auto" w:sz="4" w:space="0"/>
            </w:tcBorders>
          </w:tcPr>
          <w:p w:rsidRPr="00D95B3A" w:rsidR="00F7285E" w:rsidP="00F7285E" w:rsidRDefault="00F7285E" w14:paraId="2B0CA953" w14:textId="5CE4ABDF">
            <w:pPr>
              <w:spacing w:before="60" w:after="60"/>
              <w:jc w:val="center"/>
              <w:rPr>
                <w:color w:val="000000"/>
              </w:rPr>
            </w:pPr>
            <w:r>
              <w:rPr>
                <w:color w:val="000000"/>
              </w:rPr>
              <w:t>222.60</w:t>
            </w:r>
          </w:p>
        </w:tc>
        <w:tc>
          <w:tcPr>
            <w:tcW w:w="1146" w:type="dxa"/>
          </w:tcPr>
          <w:p w:rsidRPr="00D95B3A" w:rsidR="00F7285E" w:rsidP="00597289" w:rsidRDefault="00F7285E" w14:paraId="1FC8906C" w14:textId="51785604">
            <w:pPr>
              <w:spacing w:before="60" w:after="60"/>
              <w:jc w:val="center"/>
              <w:rPr>
                <w:color w:val="000000"/>
              </w:rPr>
            </w:pPr>
            <w:r>
              <w:rPr>
                <w:color w:val="000000"/>
              </w:rPr>
              <w:t>$395.00 [</w:t>
            </w:r>
            <w:r w:rsidR="00700E47">
              <w:rPr>
                <w:color w:val="000000"/>
              </w:rPr>
              <w:t>1,2</w:t>
            </w:r>
            <w:r>
              <w:rPr>
                <w:color w:val="000000"/>
              </w:rPr>
              <w:t>]</w:t>
            </w:r>
          </w:p>
        </w:tc>
        <w:tc>
          <w:tcPr>
            <w:tcW w:w="1881" w:type="dxa"/>
          </w:tcPr>
          <w:p w:rsidRPr="00D95B3A" w:rsidR="00F7285E" w:rsidP="00F7285E" w:rsidRDefault="00F7285E" w14:paraId="6C594CB5" w14:textId="39649A01">
            <w:pPr>
              <w:spacing w:before="60" w:after="60"/>
              <w:jc w:val="right"/>
              <w:rPr>
                <w:color w:val="000000"/>
              </w:rPr>
            </w:pPr>
            <w:r w:rsidRPr="00104FEA">
              <w:t xml:space="preserve"> $87,927.00 </w:t>
            </w:r>
          </w:p>
        </w:tc>
      </w:tr>
      <w:tr w:rsidRPr="007F620E" w:rsidR="00F7285E" w:rsidTr="00CA28C3" w14:paraId="78FC5ECE" w14:textId="77777777">
        <w:trPr>
          <w:jc w:val="center"/>
        </w:trPr>
        <w:tc>
          <w:tcPr>
            <w:tcW w:w="1489" w:type="dxa"/>
            <w:gridSpan w:val="2"/>
            <w:vAlign w:val="bottom"/>
          </w:tcPr>
          <w:p w:rsidRPr="00505A17" w:rsidR="00F7285E" w:rsidP="00F7285E" w:rsidRDefault="00F7285E" w14:paraId="1F8943E9" w14:textId="450492D9">
            <w:pPr>
              <w:spacing w:before="60" w:after="60"/>
              <w:rPr>
                <w:color w:val="000000"/>
                <w:sz w:val="22"/>
                <w:szCs w:val="22"/>
              </w:rPr>
            </w:pPr>
            <w:r w:rsidRPr="00505A17">
              <w:rPr>
                <w:color w:val="000000"/>
                <w:sz w:val="22"/>
                <w:szCs w:val="22"/>
              </w:rPr>
              <w:t>William Monsen, MRW &amp; Associates</w:t>
            </w:r>
          </w:p>
        </w:tc>
        <w:tc>
          <w:tcPr>
            <w:tcW w:w="821" w:type="dxa"/>
            <w:gridSpan w:val="2"/>
            <w:vAlign w:val="center"/>
          </w:tcPr>
          <w:p w:rsidRPr="00505A17" w:rsidR="00F7285E" w:rsidP="00F7285E" w:rsidRDefault="00F7285E" w14:paraId="6FFEFF62" w14:textId="33BA2E62">
            <w:pPr>
              <w:spacing w:before="60" w:after="60"/>
              <w:jc w:val="center"/>
              <w:rPr>
                <w:color w:val="000000"/>
                <w:sz w:val="22"/>
                <w:szCs w:val="22"/>
              </w:rPr>
            </w:pPr>
            <w:r w:rsidRPr="00505A17">
              <w:rPr>
                <w:color w:val="000000"/>
                <w:sz w:val="22"/>
                <w:szCs w:val="22"/>
              </w:rPr>
              <w:t>2025</w:t>
            </w:r>
          </w:p>
        </w:tc>
        <w:tc>
          <w:tcPr>
            <w:tcW w:w="884" w:type="dxa"/>
            <w:gridSpan w:val="2"/>
            <w:vAlign w:val="center"/>
          </w:tcPr>
          <w:p w:rsidRPr="00505A17" w:rsidR="00F7285E" w:rsidP="00F7285E" w:rsidRDefault="00F7285E" w14:paraId="24984638" w14:textId="1C3EC3E7">
            <w:pPr>
              <w:spacing w:before="60" w:after="60"/>
              <w:jc w:val="center"/>
              <w:rPr>
                <w:color w:val="000000"/>
                <w:sz w:val="22"/>
                <w:szCs w:val="22"/>
              </w:rPr>
            </w:pPr>
            <w:r w:rsidRPr="00505A17">
              <w:rPr>
                <w:color w:val="000000"/>
                <w:sz w:val="22"/>
                <w:szCs w:val="22"/>
              </w:rPr>
              <w:t>21.00</w:t>
            </w:r>
          </w:p>
        </w:tc>
        <w:tc>
          <w:tcPr>
            <w:tcW w:w="930" w:type="dxa"/>
            <w:vAlign w:val="center"/>
          </w:tcPr>
          <w:p w:rsidRPr="00505A17" w:rsidR="00F7285E" w:rsidP="00F7285E" w:rsidRDefault="00F7285E" w14:paraId="00CA9050" w14:textId="7685F3BB">
            <w:pPr>
              <w:spacing w:before="60" w:after="60"/>
              <w:jc w:val="center"/>
              <w:rPr>
                <w:color w:val="000000"/>
                <w:sz w:val="22"/>
                <w:szCs w:val="22"/>
              </w:rPr>
            </w:pPr>
            <w:r w:rsidRPr="00505A17">
              <w:rPr>
                <w:color w:val="000000"/>
                <w:sz w:val="22"/>
                <w:szCs w:val="22"/>
              </w:rPr>
              <w:t>$410</w:t>
            </w:r>
          </w:p>
        </w:tc>
        <w:tc>
          <w:tcPr>
            <w:tcW w:w="1721" w:type="dxa"/>
            <w:gridSpan w:val="2"/>
            <w:tcBorders>
              <w:right w:val="single" w:color="auto" w:sz="4" w:space="0"/>
            </w:tcBorders>
            <w:vAlign w:val="center"/>
          </w:tcPr>
          <w:p w:rsidRPr="00505A17" w:rsidR="00F7285E" w:rsidP="00F7285E" w:rsidRDefault="00F7285E" w14:paraId="760F08DA" w14:textId="297A023C">
            <w:pPr>
              <w:spacing w:before="60" w:after="60"/>
              <w:jc w:val="center"/>
              <w:rPr>
                <w:color w:val="000000"/>
                <w:sz w:val="22"/>
                <w:szCs w:val="22"/>
              </w:rPr>
            </w:pPr>
            <w:r w:rsidRPr="00505A17">
              <w:rPr>
                <w:sz w:val="22"/>
                <w:szCs w:val="22"/>
              </w:rPr>
              <w:t>D.25-10-059 + Res ALJ-393; See Comment #1</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F7285E" w:rsidP="00F7285E" w:rsidRDefault="00F7285E" w14:paraId="39D39174" w14:textId="42288E6A">
            <w:pPr>
              <w:spacing w:before="60" w:after="60"/>
              <w:jc w:val="right"/>
              <w:rPr>
                <w:color w:val="000000"/>
                <w:sz w:val="22"/>
                <w:szCs w:val="22"/>
              </w:rPr>
            </w:pPr>
            <w:r w:rsidRPr="00505A17">
              <w:rPr>
                <w:color w:val="000000"/>
                <w:sz w:val="22"/>
                <w:szCs w:val="22"/>
              </w:rPr>
              <w:t>$8,610.00</w:t>
            </w:r>
          </w:p>
        </w:tc>
        <w:tc>
          <w:tcPr>
            <w:tcW w:w="955" w:type="dxa"/>
            <w:tcBorders>
              <w:left w:val="single" w:color="auto" w:sz="4" w:space="0"/>
            </w:tcBorders>
          </w:tcPr>
          <w:p w:rsidRPr="00D95B3A" w:rsidR="00F7285E" w:rsidP="00F7285E" w:rsidRDefault="00F7285E" w14:paraId="047FD0B5" w14:textId="3120C04E">
            <w:pPr>
              <w:spacing w:before="60" w:after="60"/>
              <w:jc w:val="center"/>
              <w:rPr>
                <w:color w:val="000000"/>
              </w:rPr>
            </w:pPr>
            <w:r>
              <w:rPr>
                <w:color w:val="000000"/>
              </w:rPr>
              <w:t>21.00</w:t>
            </w:r>
          </w:p>
        </w:tc>
        <w:tc>
          <w:tcPr>
            <w:tcW w:w="1146" w:type="dxa"/>
          </w:tcPr>
          <w:p w:rsidRPr="00D95B3A" w:rsidR="00F7285E" w:rsidP="00597289" w:rsidRDefault="00F7285E" w14:paraId="367660C2" w14:textId="72467265">
            <w:pPr>
              <w:spacing w:before="60" w:after="60"/>
              <w:jc w:val="center"/>
              <w:rPr>
                <w:color w:val="000000"/>
              </w:rPr>
            </w:pPr>
            <w:r>
              <w:rPr>
                <w:color w:val="000000"/>
              </w:rPr>
              <w:t>$410.00 [</w:t>
            </w:r>
            <w:r w:rsidR="00700E47">
              <w:rPr>
                <w:color w:val="000000"/>
              </w:rPr>
              <w:t>1,2</w:t>
            </w:r>
            <w:r>
              <w:rPr>
                <w:color w:val="000000"/>
              </w:rPr>
              <w:t>]</w:t>
            </w:r>
          </w:p>
        </w:tc>
        <w:tc>
          <w:tcPr>
            <w:tcW w:w="1881" w:type="dxa"/>
          </w:tcPr>
          <w:p w:rsidRPr="00D95B3A" w:rsidR="00F7285E" w:rsidP="00F7285E" w:rsidRDefault="00F7285E" w14:paraId="766AC45F" w14:textId="6374E05E">
            <w:pPr>
              <w:spacing w:before="60" w:after="60"/>
              <w:jc w:val="right"/>
              <w:rPr>
                <w:color w:val="000000"/>
              </w:rPr>
            </w:pPr>
            <w:r w:rsidRPr="00104FEA">
              <w:t xml:space="preserve"> $8,610.00 </w:t>
            </w:r>
          </w:p>
        </w:tc>
      </w:tr>
      <w:tr w:rsidRPr="007F620E" w:rsidR="00E3786F" w:rsidTr="00EC6387" w14:paraId="1B237C11" w14:textId="77777777">
        <w:trPr>
          <w:jc w:val="center"/>
        </w:trPr>
        <w:tc>
          <w:tcPr>
            <w:tcW w:w="7178" w:type="dxa"/>
            <w:gridSpan w:val="11"/>
            <w:tcBorders>
              <w:bottom w:val="single" w:color="auto" w:sz="4" w:space="0"/>
              <w:right w:val="single" w:color="auto" w:sz="24" w:space="0"/>
            </w:tcBorders>
            <w:vAlign w:val="bottom"/>
          </w:tcPr>
          <w:p w:rsidRPr="00D95B3A" w:rsidR="00E3786F" w:rsidP="00691528" w:rsidRDefault="00E3786F" w14:paraId="2ECB6744" w14:textId="50F80F2C">
            <w:pPr>
              <w:tabs>
                <w:tab w:val="left" w:pos="957"/>
              </w:tabs>
              <w:spacing w:before="60" w:after="60"/>
              <w:ind w:right="162"/>
              <w:jc w:val="right"/>
              <w:rPr>
                <w:b/>
                <w:i/>
                <w:color w:val="000000"/>
              </w:rPr>
            </w:pPr>
            <w:r w:rsidRPr="00D95B3A">
              <w:rPr>
                <w:b/>
                <w:i/>
                <w:color w:val="000000"/>
              </w:rPr>
              <w:t>Subtotal: $</w:t>
            </w:r>
            <w:r w:rsidR="005073B8">
              <w:rPr>
                <w:b/>
                <w:i/>
                <w:color w:val="000000"/>
              </w:rPr>
              <w:t>186,932</w:t>
            </w:r>
          </w:p>
        </w:tc>
        <w:tc>
          <w:tcPr>
            <w:tcW w:w="3982" w:type="dxa"/>
            <w:gridSpan w:val="3"/>
            <w:tcBorders>
              <w:left w:val="single" w:color="auto" w:sz="24" w:space="0"/>
              <w:bottom w:val="single" w:color="auto" w:sz="4" w:space="0"/>
            </w:tcBorders>
            <w:vAlign w:val="bottom"/>
          </w:tcPr>
          <w:p w:rsidRPr="00455566" w:rsidR="00E3786F" w:rsidP="003B6A1B" w:rsidRDefault="00E3786F" w14:paraId="4C4556E5" w14:textId="7B085394">
            <w:pPr>
              <w:tabs>
                <w:tab w:val="left" w:pos="957"/>
              </w:tabs>
              <w:spacing w:before="60" w:after="60"/>
              <w:ind w:right="162"/>
              <w:jc w:val="right"/>
              <w:rPr>
                <w:i/>
                <w:iCs/>
                <w:color w:val="000000"/>
              </w:rPr>
            </w:pPr>
            <w:r w:rsidRPr="00D95B3A">
              <w:rPr>
                <w:b/>
                <w:i/>
                <w:color w:val="000000"/>
              </w:rPr>
              <w:t xml:space="preserve">Subtotal: </w:t>
            </w:r>
            <w:r w:rsidRPr="00455566" w:rsidR="00455566">
              <w:rPr>
                <w:b/>
                <w:i/>
                <w:iCs/>
                <w:color w:val="000000"/>
              </w:rPr>
              <w:t>$</w:t>
            </w:r>
            <w:r w:rsidR="00455566">
              <w:rPr>
                <w:b/>
                <w:i/>
                <w:iCs/>
                <w:color w:val="000000"/>
              </w:rPr>
              <w:t>186,932.00</w:t>
            </w:r>
          </w:p>
        </w:tc>
      </w:tr>
      <w:tr w:rsidRPr="007F620E" w:rsidR="00A92D0B" w:rsidTr="00763797" w14:paraId="3F3C1C42"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vAlign w:val="bottom"/>
          </w:tcPr>
          <w:p w:rsidRPr="00D95B3A" w:rsidR="00A92D0B" w:rsidP="00763797" w:rsidRDefault="00A92D0B" w14:paraId="3B5B48BB" w14:textId="77777777">
            <w:pPr>
              <w:keepNext/>
              <w:spacing w:before="60" w:after="60"/>
              <w:jc w:val="center"/>
              <w:rPr>
                <w:b/>
                <w:color w:val="000000"/>
              </w:rPr>
            </w:pPr>
            <w:r w:rsidRPr="00D95B3A">
              <w:rPr>
                <w:b/>
                <w:color w:val="000000"/>
              </w:rPr>
              <w:t>OTHER FEES</w:t>
            </w:r>
          </w:p>
          <w:p w:rsidRPr="00D95B3A" w:rsidR="00A92D0B" w:rsidP="00763797" w:rsidRDefault="00A92D0B" w14:paraId="3801FC62" w14:textId="77777777">
            <w:pPr>
              <w:keepNext/>
              <w:spacing w:before="60" w:after="60"/>
              <w:jc w:val="center"/>
              <w:rPr>
                <w:b/>
                <w:color w:val="000000"/>
              </w:rPr>
            </w:pPr>
            <w:r w:rsidRPr="00D95B3A">
              <w:rPr>
                <w:b/>
                <w:color w:val="000000"/>
              </w:rPr>
              <w:t>Describe here what OTHER HOURLY FEES you are Claiming (paralegal, travel **, etc.):</w:t>
            </w:r>
          </w:p>
        </w:tc>
      </w:tr>
      <w:tr w:rsidRPr="00260518" w:rsidR="00A92D0B" w:rsidTr="00763797" w14:paraId="48E38006" w14:textId="77777777">
        <w:trPr>
          <w:jc w:val="center"/>
        </w:trPr>
        <w:tc>
          <w:tcPr>
            <w:tcW w:w="1489" w:type="dxa"/>
            <w:gridSpan w:val="2"/>
            <w:tcBorders>
              <w:top w:val="single" w:color="auto" w:sz="4" w:space="0"/>
              <w:bottom w:val="single" w:color="auto" w:sz="4" w:space="0"/>
            </w:tcBorders>
            <w:vAlign w:val="bottom"/>
          </w:tcPr>
          <w:p w:rsidRPr="00D95B3A" w:rsidR="00A92D0B" w:rsidP="00763797" w:rsidRDefault="00A92D0B" w14:paraId="0014F5F5" w14:textId="77777777">
            <w:pPr>
              <w:keepNext/>
              <w:spacing w:before="60" w:after="60"/>
              <w:jc w:val="center"/>
              <w:rPr>
                <w:b/>
                <w:color w:val="000000"/>
                <w:sz w:val="22"/>
                <w:szCs w:val="22"/>
              </w:rPr>
            </w:pPr>
            <w:r w:rsidRPr="00D95B3A">
              <w:rPr>
                <w:b/>
                <w:color w:val="000000"/>
                <w:sz w:val="22"/>
                <w:szCs w:val="22"/>
              </w:rPr>
              <w:t>Item</w:t>
            </w:r>
          </w:p>
        </w:tc>
        <w:tc>
          <w:tcPr>
            <w:tcW w:w="821" w:type="dxa"/>
            <w:gridSpan w:val="2"/>
            <w:tcBorders>
              <w:top w:val="single" w:color="auto" w:sz="4" w:space="0"/>
              <w:bottom w:val="single" w:color="auto" w:sz="4" w:space="0"/>
            </w:tcBorders>
            <w:vAlign w:val="bottom"/>
          </w:tcPr>
          <w:p w:rsidRPr="00D95B3A" w:rsidR="00A92D0B" w:rsidP="00763797" w:rsidRDefault="00A92D0B" w14:paraId="3F2C73A6" w14:textId="77777777">
            <w:pPr>
              <w:keepNext/>
              <w:spacing w:before="60" w:after="60"/>
              <w:jc w:val="center"/>
              <w:rPr>
                <w:b/>
                <w:color w:val="000000"/>
                <w:sz w:val="22"/>
                <w:szCs w:val="22"/>
              </w:rPr>
            </w:pPr>
            <w:r w:rsidRPr="00D95B3A">
              <w:rPr>
                <w:b/>
                <w:color w:val="000000"/>
                <w:sz w:val="22"/>
                <w:szCs w:val="22"/>
              </w:rPr>
              <w:t>Year</w:t>
            </w:r>
          </w:p>
        </w:tc>
        <w:tc>
          <w:tcPr>
            <w:tcW w:w="884" w:type="dxa"/>
            <w:gridSpan w:val="2"/>
            <w:tcBorders>
              <w:top w:val="single" w:color="auto" w:sz="4" w:space="0"/>
              <w:bottom w:val="single" w:color="auto" w:sz="4" w:space="0"/>
            </w:tcBorders>
            <w:vAlign w:val="bottom"/>
          </w:tcPr>
          <w:p w:rsidRPr="00D95B3A" w:rsidR="00A92D0B" w:rsidP="00763797" w:rsidRDefault="00A92D0B" w14:paraId="275D7143" w14:textId="77777777">
            <w:pPr>
              <w:keepNext/>
              <w:spacing w:before="60" w:after="60"/>
              <w:jc w:val="center"/>
              <w:rPr>
                <w:b/>
                <w:color w:val="000000"/>
                <w:sz w:val="22"/>
                <w:szCs w:val="22"/>
              </w:rPr>
            </w:pPr>
            <w:r w:rsidRPr="00D95B3A">
              <w:rPr>
                <w:b/>
                <w:color w:val="000000"/>
                <w:sz w:val="22"/>
                <w:szCs w:val="22"/>
              </w:rPr>
              <w:t>Hours</w:t>
            </w:r>
          </w:p>
        </w:tc>
        <w:tc>
          <w:tcPr>
            <w:tcW w:w="930" w:type="dxa"/>
            <w:tcBorders>
              <w:top w:val="single" w:color="auto" w:sz="4" w:space="0"/>
              <w:bottom w:val="single" w:color="auto" w:sz="4" w:space="0"/>
            </w:tcBorders>
            <w:vAlign w:val="bottom"/>
          </w:tcPr>
          <w:p w:rsidRPr="00D95B3A" w:rsidR="00A92D0B" w:rsidP="00763797" w:rsidRDefault="00A92D0B" w14:paraId="46CEE32B" w14:textId="61F58D09">
            <w:pPr>
              <w:keepNext/>
              <w:spacing w:before="60" w:after="60"/>
              <w:jc w:val="center"/>
              <w:rPr>
                <w:b/>
                <w:color w:val="000000"/>
                <w:sz w:val="22"/>
                <w:szCs w:val="22"/>
              </w:rPr>
            </w:pPr>
            <w:r w:rsidRPr="00D95B3A">
              <w:rPr>
                <w:b/>
                <w:color w:val="000000"/>
                <w:sz w:val="22"/>
                <w:szCs w:val="22"/>
              </w:rPr>
              <w:t>Rate</w:t>
            </w:r>
            <w:r w:rsidRPr="00D95B3A"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D95B3A" w:rsidR="00A92D0B" w:rsidP="00763797" w:rsidRDefault="00A92D0B" w14:paraId="09EDBB92" w14:textId="77777777">
            <w:pPr>
              <w:keepNext/>
              <w:spacing w:before="60" w:after="60"/>
              <w:jc w:val="center"/>
              <w:rPr>
                <w:b/>
                <w:color w:val="000000"/>
                <w:sz w:val="22"/>
                <w:szCs w:val="22"/>
              </w:rPr>
            </w:pPr>
            <w:r w:rsidRPr="00D95B3A">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D95B3A" w:rsidR="00A92D0B" w:rsidP="00763797" w:rsidRDefault="00A92D0B" w14:paraId="00418671" w14:textId="77777777">
            <w:pPr>
              <w:keepNext/>
              <w:spacing w:before="60" w:after="60"/>
              <w:jc w:val="center"/>
              <w:rPr>
                <w:b/>
                <w:color w:val="000000"/>
                <w:sz w:val="22"/>
                <w:szCs w:val="22"/>
              </w:rPr>
            </w:pPr>
            <w:r w:rsidRPr="00D95B3A">
              <w:rPr>
                <w:b/>
                <w:color w:val="000000"/>
                <w:sz w:val="22"/>
                <w:szCs w:val="22"/>
              </w:rPr>
              <w:t>Total $</w:t>
            </w:r>
          </w:p>
        </w:tc>
        <w:tc>
          <w:tcPr>
            <w:tcW w:w="955" w:type="dxa"/>
            <w:tcBorders>
              <w:top w:val="single" w:color="auto" w:sz="4" w:space="0"/>
              <w:left w:val="single" w:color="auto" w:sz="4" w:space="0"/>
            </w:tcBorders>
            <w:vAlign w:val="bottom"/>
          </w:tcPr>
          <w:p w:rsidRPr="00D95B3A" w:rsidR="00A92D0B" w:rsidP="00763797" w:rsidRDefault="00A92D0B" w14:paraId="6CCF4B94" w14:textId="77777777">
            <w:pPr>
              <w:keepNext/>
              <w:spacing w:before="60" w:after="60"/>
              <w:jc w:val="center"/>
              <w:rPr>
                <w:b/>
                <w:color w:val="000000"/>
                <w:sz w:val="22"/>
                <w:szCs w:val="22"/>
              </w:rPr>
            </w:pPr>
            <w:r w:rsidRPr="00D95B3A">
              <w:rPr>
                <w:b/>
                <w:color w:val="000000"/>
                <w:sz w:val="22"/>
                <w:szCs w:val="22"/>
              </w:rPr>
              <w:t>Hours</w:t>
            </w:r>
          </w:p>
        </w:tc>
        <w:tc>
          <w:tcPr>
            <w:tcW w:w="1146" w:type="dxa"/>
            <w:tcBorders>
              <w:top w:val="single" w:color="auto" w:sz="4" w:space="0"/>
            </w:tcBorders>
            <w:vAlign w:val="bottom"/>
          </w:tcPr>
          <w:p w:rsidRPr="00D95B3A" w:rsidR="00A92D0B" w:rsidP="00763797" w:rsidRDefault="00A92D0B" w14:paraId="67936540" w14:textId="3D6F9D17">
            <w:pPr>
              <w:keepNext/>
              <w:spacing w:before="60" w:after="60"/>
              <w:jc w:val="center"/>
              <w:rPr>
                <w:b/>
                <w:color w:val="000000"/>
                <w:sz w:val="22"/>
                <w:szCs w:val="22"/>
              </w:rPr>
            </w:pPr>
            <w:r w:rsidRPr="00D95B3A">
              <w:rPr>
                <w:b/>
                <w:color w:val="000000"/>
                <w:sz w:val="22"/>
                <w:szCs w:val="22"/>
              </w:rPr>
              <w:t xml:space="preserve">Rate </w:t>
            </w:r>
            <w:r w:rsidRPr="00D95B3A" w:rsidR="00B17005">
              <w:rPr>
                <w:b/>
                <w:color w:val="000000"/>
                <w:sz w:val="22"/>
                <w:szCs w:val="22"/>
              </w:rPr>
              <w:t>$</w:t>
            </w:r>
          </w:p>
        </w:tc>
        <w:tc>
          <w:tcPr>
            <w:tcW w:w="1881" w:type="dxa"/>
            <w:tcBorders>
              <w:top w:val="single" w:color="auto" w:sz="4" w:space="0"/>
            </w:tcBorders>
            <w:vAlign w:val="bottom"/>
          </w:tcPr>
          <w:p w:rsidRPr="00D95B3A" w:rsidR="00A92D0B" w:rsidP="00763797" w:rsidRDefault="00A92D0B" w14:paraId="1CA0337A" w14:textId="77777777">
            <w:pPr>
              <w:keepNext/>
              <w:spacing w:before="60" w:after="60"/>
              <w:jc w:val="center"/>
              <w:rPr>
                <w:b/>
                <w:color w:val="000000"/>
                <w:sz w:val="22"/>
                <w:szCs w:val="22"/>
              </w:rPr>
            </w:pPr>
            <w:r w:rsidRPr="00D95B3A">
              <w:rPr>
                <w:b/>
                <w:color w:val="000000"/>
                <w:sz w:val="22"/>
                <w:szCs w:val="22"/>
              </w:rPr>
              <w:t>Total $</w:t>
            </w:r>
          </w:p>
        </w:tc>
      </w:tr>
      <w:tr w:rsidRPr="007F620E" w:rsidR="00216C45" w:rsidTr="00CA28C3" w14:paraId="09CFB749" w14:textId="77777777">
        <w:trPr>
          <w:jc w:val="center"/>
        </w:trPr>
        <w:tc>
          <w:tcPr>
            <w:tcW w:w="1489" w:type="dxa"/>
            <w:gridSpan w:val="2"/>
            <w:vAlign w:val="center"/>
          </w:tcPr>
          <w:p w:rsidRPr="00505A17" w:rsidR="00216C45" w:rsidP="005073B8" w:rsidRDefault="00216C45" w14:paraId="5AB34291" w14:textId="7C809ED5">
            <w:pPr>
              <w:spacing w:before="60" w:after="60"/>
              <w:jc w:val="center"/>
              <w:rPr>
                <w:color w:val="000000"/>
                <w:sz w:val="22"/>
                <w:szCs w:val="22"/>
              </w:rPr>
            </w:pPr>
            <w:r w:rsidRPr="00505A17">
              <w:rPr>
                <w:sz w:val="22"/>
                <w:szCs w:val="22"/>
              </w:rPr>
              <w:t>Matthew Freedman, TURN Attorney</w:t>
            </w:r>
          </w:p>
        </w:tc>
        <w:tc>
          <w:tcPr>
            <w:tcW w:w="821" w:type="dxa"/>
            <w:gridSpan w:val="2"/>
            <w:vAlign w:val="center"/>
          </w:tcPr>
          <w:p w:rsidRPr="00505A17" w:rsidR="00216C45" w:rsidP="005073B8" w:rsidRDefault="00216C45" w14:paraId="2A0D8D18" w14:textId="6D5A51F4">
            <w:pPr>
              <w:spacing w:before="60" w:after="60"/>
              <w:jc w:val="center"/>
              <w:rPr>
                <w:color w:val="000000"/>
                <w:sz w:val="22"/>
                <w:szCs w:val="22"/>
              </w:rPr>
            </w:pPr>
            <w:r w:rsidRPr="00505A17">
              <w:rPr>
                <w:sz w:val="22"/>
                <w:szCs w:val="22"/>
              </w:rPr>
              <w:t>2024</w:t>
            </w:r>
          </w:p>
        </w:tc>
        <w:tc>
          <w:tcPr>
            <w:tcW w:w="884" w:type="dxa"/>
            <w:gridSpan w:val="2"/>
            <w:vAlign w:val="center"/>
          </w:tcPr>
          <w:p w:rsidRPr="00505A17" w:rsidR="00216C45" w:rsidP="005073B8" w:rsidRDefault="00216C45" w14:paraId="64EA9215" w14:textId="0E758EE6">
            <w:pPr>
              <w:spacing w:before="60" w:after="60"/>
              <w:jc w:val="center"/>
              <w:rPr>
                <w:color w:val="000000"/>
                <w:sz w:val="22"/>
                <w:szCs w:val="22"/>
              </w:rPr>
            </w:pPr>
            <w:r w:rsidRPr="00505A17">
              <w:rPr>
                <w:color w:val="000000"/>
                <w:sz w:val="22"/>
                <w:szCs w:val="22"/>
              </w:rPr>
              <w:t>10.00</w:t>
            </w:r>
          </w:p>
        </w:tc>
        <w:tc>
          <w:tcPr>
            <w:tcW w:w="930" w:type="dxa"/>
            <w:vAlign w:val="center"/>
          </w:tcPr>
          <w:p w:rsidRPr="00505A17" w:rsidR="00216C45" w:rsidP="005073B8" w:rsidRDefault="00216C45" w14:paraId="15F30A98" w14:textId="7FA33165">
            <w:pPr>
              <w:spacing w:before="60" w:after="60"/>
              <w:jc w:val="center"/>
              <w:rPr>
                <w:color w:val="000000"/>
                <w:sz w:val="22"/>
                <w:szCs w:val="22"/>
              </w:rPr>
            </w:pPr>
            <w:r w:rsidRPr="00505A17">
              <w:rPr>
                <w:color w:val="000000"/>
                <w:sz w:val="22"/>
                <w:szCs w:val="22"/>
              </w:rPr>
              <w:t>$370</w:t>
            </w:r>
          </w:p>
        </w:tc>
        <w:tc>
          <w:tcPr>
            <w:tcW w:w="1721" w:type="dxa"/>
            <w:gridSpan w:val="2"/>
            <w:tcBorders>
              <w:right w:val="single" w:color="auto" w:sz="4" w:space="0"/>
            </w:tcBorders>
            <w:vAlign w:val="center"/>
          </w:tcPr>
          <w:p w:rsidRPr="00505A17" w:rsidR="00216C45" w:rsidP="005073B8" w:rsidRDefault="00216C45" w14:paraId="27EA3054" w14:textId="52FCAC65">
            <w:pPr>
              <w:spacing w:before="60" w:after="60"/>
              <w:jc w:val="center"/>
              <w:rPr>
                <w:color w:val="000000"/>
                <w:sz w:val="22"/>
                <w:szCs w:val="22"/>
              </w:rPr>
            </w:pPr>
            <w:r w:rsidRPr="00505A17">
              <w:rPr>
                <w:color w:val="000000"/>
                <w:sz w:val="22"/>
                <w:szCs w:val="22"/>
              </w:rPr>
              <w:t>50% of 2024 Hourly Rate</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216C45" w:rsidP="005073B8" w:rsidRDefault="00216C45" w14:paraId="5E4CC873" w14:textId="39BE9A8A">
            <w:pPr>
              <w:spacing w:before="60" w:after="60"/>
              <w:jc w:val="right"/>
              <w:rPr>
                <w:color w:val="000000"/>
                <w:sz w:val="22"/>
                <w:szCs w:val="22"/>
              </w:rPr>
            </w:pPr>
            <w:r w:rsidRPr="00505A17">
              <w:rPr>
                <w:color w:val="000000"/>
                <w:sz w:val="22"/>
                <w:szCs w:val="22"/>
              </w:rPr>
              <w:t xml:space="preserve">                  </w:t>
            </w:r>
            <w:r w:rsidRPr="00505A17" w:rsidR="005073B8">
              <w:rPr>
                <w:color w:val="000000"/>
                <w:sz w:val="22"/>
                <w:szCs w:val="22"/>
              </w:rPr>
              <w:t>$</w:t>
            </w:r>
            <w:r w:rsidRPr="00505A17">
              <w:rPr>
                <w:color w:val="000000"/>
                <w:sz w:val="22"/>
                <w:szCs w:val="22"/>
              </w:rPr>
              <w:t>3,700.00</w:t>
            </w:r>
          </w:p>
        </w:tc>
        <w:tc>
          <w:tcPr>
            <w:tcW w:w="955" w:type="dxa"/>
            <w:tcBorders>
              <w:left w:val="single" w:color="auto" w:sz="4" w:space="0"/>
              <w:right w:val="single" w:color="auto" w:sz="4" w:space="0"/>
            </w:tcBorders>
          </w:tcPr>
          <w:p w:rsidR="00216C45" w:rsidP="00D62CC4" w:rsidRDefault="005E35F0" w14:paraId="488BE236" w14:textId="12BA8734">
            <w:pPr>
              <w:spacing w:before="60" w:after="60"/>
              <w:jc w:val="center"/>
              <w:rPr>
                <w:color w:val="000000"/>
              </w:rPr>
            </w:pPr>
            <w:r>
              <w:rPr>
                <w:color w:val="000000"/>
              </w:rPr>
              <w:t>10.00</w:t>
            </w:r>
          </w:p>
          <w:p w:rsidR="005E35F0" w:rsidP="00D62CC4" w:rsidRDefault="005E35F0" w14:paraId="6861EB56" w14:textId="77777777">
            <w:pPr>
              <w:jc w:val="center"/>
              <w:rPr>
                <w:color w:val="000000"/>
              </w:rPr>
            </w:pPr>
          </w:p>
          <w:p w:rsidRPr="005E35F0" w:rsidR="005E35F0" w:rsidP="00D62CC4" w:rsidRDefault="005E35F0" w14:paraId="42B2DDFC" w14:textId="77777777">
            <w:pPr>
              <w:jc w:val="center"/>
            </w:pPr>
          </w:p>
        </w:tc>
        <w:tc>
          <w:tcPr>
            <w:tcW w:w="1146" w:type="dxa"/>
            <w:tcBorders>
              <w:left w:val="single" w:color="auto" w:sz="4" w:space="0"/>
            </w:tcBorders>
          </w:tcPr>
          <w:p w:rsidRPr="00D95B3A" w:rsidR="00216C45" w:rsidP="00597289" w:rsidRDefault="002D7A51" w14:paraId="62FAF033" w14:textId="71F55A1D">
            <w:pPr>
              <w:spacing w:before="60" w:after="60"/>
              <w:jc w:val="center"/>
              <w:rPr>
                <w:color w:val="000000"/>
              </w:rPr>
            </w:pPr>
            <w:r>
              <w:rPr>
                <w:color w:val="000000"/>
              </w:rPr>
              <w:t>$370.00</w:t>
            </w:r>
          </w:p>
        </w:tc>
        <w:tc>
          <w:tcPr>
            <w:tcW w:w="1881" w:type="dxa"/>
          </w:tcPr>
          <w:p w:rsidRPr="00D95B3A" w:rsidR="00216C45" w:rsidP="00216C45" w:rsidRDefault="00455566" w14:paraId="4FDDC4B2" w14:textId="45ED8502">
            <w:pPr>
              <w:spacing w:before="60" w:after="60"/>
              <w:jc w:val="right"/>
              <w:rPr>
                <w:color w:val="000000"/>
              </w:rPr>
            </w:pPr>
            <w:r>
              <w:rPr>
                <w:color w:val="000000"/>
              </w:rPr>
              <w:t>$3,700.00</w:t>
            </w:r>
          </w:p>
        </w:tc>
      </w:tr>
      <w:tr w:rsidRPr="007F620E" w:rsidR="00E15DC3" w:rsidTr="00EC6387" w14:paraId="63BC1854" w14:textId="77777777">
        <w:trPr>
          <w:jc w:val="center"/>
        </w:trPr>
        <w:tc>
          <w:tcPr>
            <w:tcW w:w="7178" w:type="dxa"/>
            <w:gridSpan w:val="11"/>
            <w:tcBorders>
              <w:bottom w:val="single" w:color="auto" w:sz="4" w:space="0"/>
              <w:right w:val="single" w:color="auto" w:sz="24" w:space="0"/>
            </w:tcBorders>
            <w:vAlign w:val="bottom"/>
          </w:tcPr>
          <w:p w:rsidRPr="00D95B3A" w:rsidR="00E15DC3" w:rsidP="003B6A1B" w:rsidRDefault="00E15DC3" w14:paraId="3A471360" w14:textId="68664FE0">
            <w:pPr>
              <w:tabs>
                <w:tab w:val="left" w:pos="957"/>
              </w:tabs>
              <w:spacing w:before="60" w:after="60"/>
              <w:ind w:right="162"/>
              <w:jc w:val="right"/>
              <w:rPr>
                <w:b/>
                <w:i/>
                <w:color w:val="000000"/>
              </w:rPr>
            </w:pPr>
            <w:r w:rsidRPr="00D95B3A">
              <w:rPr>
                <w:b/>
                <w:i/>
                <w:color w:val="000000"/>
              </w:rPr>
              <w:lastRenderedPageBreak/>
              <w:t>Subtotal: $</w:t>
            </w:r>
            <w:r w:rsidRPr="00D95B3A" w:rsidR="00216C45">
              <w:rPr>
                <w:b/>
                <w:i/>
                <w:color w:val="000000"/>
              </w:rPr>
              <w:t>3,700</w:t>
            </w:r>
          </w:p>
        </w:tc>
        <w:tc>
          <w:tcPr>
            <w:tcW w:w="3982" w:type="dxa"/>
            <w:gridSpan w:val="3"/>
            <w:tcBorders>
              <w:left w:val="single" w:color="auto" w:sz="24" w:space="0"/>
              <w:bottom w:val="single" w:color="auto" w:sz="4" w:space="0"/>
            </w:tcBorders>
            <w:vAlign w:val="bottom"/>
          </w:tcPr>
          <w:p w:rsidRPr="00D95B3A" w:rsidR="00E15DC3" w:rsidP="000C3CF1" w:rsidRDefault="00E15DC3" w14:paraId="53BF0F55" w14:textId="3361D571">
            <w:pPr>
              <w:tabs>
                <w:tab w:val="left" w:pos="957"/>
              </w:tabs>
              <w:spacing w:before="60" w:after="60"/>
              <w:ind w:right="162"/>
              <w:jc w:val="right"/>
              <w:rPr>
                <w:b/>
                <w:i/>
                <w:color w:val="000000"/>
              </w:rPr>
            </w:pPr>
            <w:r w:rsidRPr="00D95B3A">
              <w:rPr>
                <w:b/>
                <w:i/>
                <w:color w:val="000000"/>
              </w:rPr>
              <w:t>Subtotal:  $</w:t>
            </w:r>
            <w:r w:rsidR="000C3CF1">
              <w:rPr>
                <w:b/>
                <w:i/>
                <w:color w:val="000000"/>
              </w:rPr>
              <w:t>3,700.00</w:t>
            </w:r>
          </w:p>
        </w:tc>
      </w:tr>
      <w:tr w:rsidRPr="007F620E" w:rsidR="00A92D0B" w:rsidTr="00EC6387" w14:paraId="4F8FAF05"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D95B3A" w:rsidR="00A92D0B" w:rsidP="00D62CC4" w:rsidRDefault="00A92D0B" w14:paraId="41FE304C" w14:textId="77777777">
            <w:pPr>
              <w:keepNext/>
              <w:spacing w:before="60" w:after="60"/>
              <w:jc w:val="center"/>
              <w:rPr>
                <w:color w:val="000000"/>
              </w:rPr>
            </w:pPr>
            <w:r w:rsidRPr="00D95B3A">
              <w:rPr>
                <w:b/>
                <w:color w:val="000000"/>
              </w:rPr>
              <w:t xml:space="preserve">INTERVENOR COMPENSATION CLAIM </w:t>
            </w:r>
            <w:proofErr w:type="gramStart"/>
            <w:r w:rsidRPr="00D95B3A">
              <w:rPr>
                <w:b/>
                <w:color w:val="000000"/>
              </w:rPr>
              <w:t xml:space="preserve">PREPARATION </w:t>
            </w:r>
            <w:r w:rsidRPr="00D95B3A">
              <w:rPr>
                <w:b/>
                <w:smallCaps/>
                <w:color w:val="000000"/>
              </w:rPr>
              <w:t xml:space="preserve"> *</w:t>
            </w:r>
            <w:proofErr w:type="gramEnd"/>
            <w:r w:rsidRPr="00D95B3A">
              <w:rPr>
                <w:b/>
                <w:smallCaps/>
                <w:color w:val="000000"/>
              </w:rPr>
              <w:t>*</w:t>
            </w:r>
          </w:p>
        </w:tc>
      </w:tr>
      <w:tr w:rsidRPr="00260518" w:rsidR="00A92D0B" w:rsidTr="00763797" w14:paraId="48B3E535" w14:textId="77777777">
        <w:trPr>
          <w:jc w:val="center"/>
        </w:trPr>
        <w:tc>
          <w:tcPr>
            <w:tcW w:w="1489" w:type="dxa"/>
            <w:gridSpan w:val="2"/>
            <w:tcBorders>
              <w:top w:val="single" w:color="auto" w:sz="4" w:space="0"/>
              <w:bottom w:val="single" w:color="auto" w:sz="4" w:space="0"/>
            </w:tcBorders>
            <w:vAlign w:val="bottom"/>
          </w:tcPr>
          <w:p w:rsidRPr="00D95B3A" w:rsidR="00A92D0B" w:rsidP="004A6FD4" w:rsidRDefault="00A92D0B" w14:paraId="563A43BB" w14:textId="77777777">
            <w:pPr>
              <w:keepNext/>
              <w:spacing w:before="60" w:after="60"/>
              <w:jc w:val="center"/>
              <w:rPr>
                <w:b/>
                <w:color w:val="000000"/>
                <w:sz w:val="22"/>
                <w:szCs w:val="22"/>
              </w:rPr>
            </w:pPr>
            <w:r w:rsidRPr="00D95B3A">
              <w:rPr>
                <w:b/>
                <w:color w:val="000000"/>
                <w:sz w:val="22"/>
                <w:szCs w:val="22"/>
              </w:rPr>
              <w:t>Item</w:t>
            </w:r>
          </w:p>
        </w:tc>
        <w:tc>
          <w:tcPr>
            <w:tcW w:w="821" w:type="dxa"/>
            <w:gridSpan w:val="2"/>
            <w:tcBorders>
              <w:top w:val="single" w:color="auto" w:sz="4" w:space="0"/>
              <w:bottom w:val="single" w:color="auto" w:sz="4" w:space="0"/>
            </w:tcBorders>
            <w:vAlign w:val="bottom"/>
          </w:tcPr>
          <w:p w:rsidRPr="00D95B3A" w:rsidR="00A92D0B" w:rsidP="004A6FD4" w:rsidRDefault="00A92D0B" w14:paraId="144552E0" w14:textId="77777777">
            <w:pPr>
              <w:keepNext/>
              <w:spacing w:before="60" w:after="60"/>
              <w:jc w:val="center"/>
              <w:rPr>
                <w:b/>
                <w:color w:val="000000"/>
                <w:sz w:val="22"/>
                <w:szCs w:val="22"/>
              </w:rPr>
            </w:pPr>
            <w:r w:rsidRPr="00D95B3A">
              <w:rPr>
                <w:b/>
                <w:color w:val="000000"/>
                <w:sz w:val="22"/>
                <w:szCs w:val="22"/>
              </w:rPr>
              <w:t>Year</w:t>
            </w:r>
          </w:p>
        </w:tc>
        <w:tc>
          <w:tcPr>
            <w:tcW w:w="884" w:type="dxa"/>
            <w:gridSpan w:val="2"/>
            <w:tcBorders>
              <w:top w:val="single" w:color="auto" w:sz="4" w:space="0"/>
              <w:bottom w:val="single" w:color="auto" w:sz="4" w:space="0"/>
            </w:tcBorders>
            <w:vAlign w:val="bottom"/>
          </w:tcPr>
          <w:p w:rsidRPr="00D95B3A" w:rsidR="00A92D0B" w:rsidP="004A6FD4" w:rsidRDefault="00A92D0B" w14:paraId="42890B1B" w14:textId="77777777">
            <w:pPr>
              <w:keepNext/>
              <w:spacing w:before="60" w:after="60"/>
              <w:jc w:val="center"/>
              <w:rPr>
                <w:b/>
                <w:color w:val="000000"/>
                <w:sz w:val="22"/>
                <w:szCs w:val="22"/>
              </w:rPr>
            </w:pPr>
            <w:r w:rsidRPr="00D95B3A">
              <w:rPr>
                <w:b/>
                <w:color w:val="000000"/>
                <w:sz w:val="22"/>
                <w:szCs w:val="22"/>
              </w:rPr>
              <w:t>Hours</w:t>
            </w:r>
          </w:p>
        </w:tc>
        <w:tc>
          <w:tcPr>
            <w:tcW w:w="930" w:type="dxa"/>
            <w:tcBorders>
              <w:top w:val="single" w:color="auto" w:sz="4" w:space="0"/>
              <w:bottom w:val="single" w:color="auto" w:sz="4" w:space="0"/>
            </w:tcBorders>
            <w:vAlign w:val="bottom"/>
          </w:tcPr>
          <w:p w:rsidRPr="00D95B3A" w:rsidR="00A92D0B" w:rsidP="004A6FD4" w:rsidRDefault="00A92D0B" w14:paraId="1E7BD956" w14:textId="243077B9">
            <w:pPr>
              <w:keepNext/>
              <w:spacing w:before="60" w:after="60"/>
              <w:jc w:val="center"/>
              <w:rPr>
                <w:b/>
                <w:color w:val="000000"/>
                <w:sz w:val="22"/>
                <w:szCs w:val="22"/>
              </w:rPr>
            </w:pPr>
            <w:r w:rsidRPr="00D95B3A">
              <w:rPr>
                <w:b/>
                <w:color w:val="000000"/>
                <w:sz w:val="22"/>
                <w:szCs w:val="22"/>
              </w:rPr>
              <w:t>Rate</w:t>
            </w:r>
            <w:r w:rsidRPr="00D95B3A"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D95B3A" w:rsidR="00A92D0B" w:rsidP="004A6FD4" w:rsidRDefault="00A92D0B" w14:paraId="104D7982" w14:textId="77777777">
            <w:pPr>
              <w:keepNext/>
              <w:spacing w:before="60" w:after="60"/>
              <w:jc w:val="center"/>
              <w:rPr>
                <w:b/>
                <w:color w:val="000000"/>
                <w:sz w:val="22"/>
                <w:szCs w:val="22"/>
              </w:rPr>
            </w:pPr>
            <w:r w:rsidRPr="00D95B3A">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D95B3A" w:rsidR="00A92D0B" w:rsidP="004A6FD4" w:rsidRDefault="00A92D0B" w14:paraId="073B2BB9" w14:textId="77777777">
            <w:pPr>
              <w:keepNext/>
              <w:spacing w:before="60" w:after="60"/>
              <w:jc w:val="center"/>
              <w:rPr>
                <w:b/>
                <w:color w:val="000000"/>
                <w:sz w:val="22"/>
                <w:szCs w:val="22"/>
              </w:rPr>
            </w:pPr>
            <w:r w:rsidRPr="00D95B3A">
              <w:rPr>
                <w:b/>
                <w:color w:val="000000"/>
                <w:sz w:val="22"/>
                <w:szCs w:val="22"/>
              </w:rPr>
              <w:t>Total $</w:t>
            </w:r>
          </w:p>
        </w:tc>
        <w:tc>
          <w:tcPr>
            <w:tcW w:w="955" w:type="dxa"/>
            <w:tcBorders>
              <w:top w:val="single" w:color="auto" w:sz="4" w:space="0"/>
              <w:left w:val="single" w:color="auto" w:sz="4" w:space="0"/>
            </w:tcBorders>
            <w:vAlign w:val="bottom"/>
          </w:tcPr>
          <w:p w:rsidRPr="00D95B3A" w:rsidR="00A92D0B" w:rsidP="00D62CC4" w:rsidRDefault="00A92D0B" w14:paraId="0409143B" w14:textId="77777777">
            <w:pPr>
              <w:keepNext/>
              <w:spacing w:before="60" w:after="60"/>
              <w:jc w:val="center"/>
              <w:rPr>
                <w:b/>
                <w:color w:val="000000"/>
                <w:sz w:val="22"/>
                <w:szCs w:val="22"/>
              </w:rPr>
            </w:pPr>
            <w:r w:rsidRPr="00D95B3A">
              <w:rPr>
                <w:b/>
                <w:color w:val="000000"/>
                <w:sz w:val="22"/>
                <w:szCs w:val="22"/>
              </w:rPr>
              <w:t>Hours</w:t>
            </w:r>
          </w:p>
        </w:tc>
        <w:tc>
          <w:tcPr>
            <w:tcW w:w="1146" w:type="dxa"/>
            <w:tcBorders>
              <w:top w:val="single" w:color="auto" w:sz="4" w:space="0"/>
            </w:tcBorders>
            <w:vAlign w:val="bottom"/>
          </w:tcPr>
          <w:p w:rsidRPr="00D95B3A" w:rsidR="00A92D0B" w:rsidP="004A6FD4" w:rsidRDefault="00A92D0B" w14:paraId="6B59BB80" w14:textId="2C791D8E">
            <w:pPr>
              <w:keepNext/>
              <w:spacing w:before="60" w:after="60"/>
              <w:jc w:val="center"/>
              <w:rPr>
                <w:b/>
                <w:color w:val="000000"/>
                <w:sz w:val="22"/>
                <w:szCs w:val="22"/>
              </w:rPr>
            </w:pPr>
            <w:r w:rsidRPr="00D95B3A">
              <w:rPr>
                <w:b/>
                <w:color w:val="000000"/>
                <w:sz w:val="22"/>
                <w:szCs w:val="22"/>
              </w:rPr>
              <w:t xml:space="preserve">Rate </w:t>
            </w:r>
            <w:r w:rsidRPr="00D95B3A" w:rsidR="00B17005">
              <w:rPr>
                <w:b/>
                <w:color w:val="000000"/>
                <w:sz w:val="22"/>
                <w:szCs w:val="22"/>
              </w:rPr>
              <w:t>$</w:t>
            </w:r>
          </w:p>
        </w:tc>
        <w:tc>
          <w:tcPr>
            <w:tcW w:w="1881" w:type="dxa"/>
            <w:tcBorders>
              <w:top w:val="single" w:color="auto" w:sz="4" w:space="0"/>
            </w:tcBorders>
            <w:vAlign w:val="bottom"/>
          </w:tcPr>
          <w:p w:rsidRPr="00D95B3A" w:rsidR="00A92D0B" w:rsidP="004A6FD4" w:rsidRDefault="00A92D0B" w14:paraId="6C7B13CF" w14:textId="77777777">
            <w:pPr>
              <w:keepNext/>
              <w:spacing w:before="60" w:after="60"/>
              <w:jc w:val="center"/>
              <w:rPr>
                <w:b/>
                <w:color w:val="000000"/>
                <w:sz w:val="22"/>
                <w:szCs w:val="22"/>
              </w:rPr>
            </w:pPr>
            <w:r w:rsidRPr="00D95B3A">
              <w:rPr>
                <w:b/>
                <w:color w:val="000000"/>
                <w:sz w:val="22"/>
                <w:szCs w:val="22"/>
              </w:rPr>
              <w:t>Total $</w:t>
            </w:r>
          </w:p>
        </w:tc>
      </w:tr>
      <w:tr w:rsidRPr="007F620E" w:rsidR="00216C45" w:rsidTr="00CA28C3" w14:paraId="25086E67" w14:textId="77777777">
        <w:trPr>
          <w:jc w:val="center"/>
        </w:trPr>
        <w:tc>
          <w:tcPr>
            <w:tcW w:w="1489" w:type="dxa"/>
            <w:gridSpan w:val="2"/>
          </w:tcPr>
          <w:p w:rsidRPr="00505A17" w:rsidR="00216C45" w:rsidP="00216C45" w:rsidRDefault="00216C45" w14:paraId="386D0995" w14:textId="7C283EF6">
            <w:pPr>
              <w:spacing w:before="60" w:after="60"/>
              <w:rPr>
                <w:color w:val="000000"/>
                <w:sz w:val="22"/>
                <w:szCs w:val="22"/>
              </w:rPr>
            </w:pPr>
            <w:r w:rsidRPr="00505A17">
              <w:rPr>
                <w:sz w:val="22"/>
                <w:szCs w:val="22"/>
              </w:rPr>
              <w:t>Matthew Freedman, TURN Attorney</w:t>
            </w:r>
          </w:p>
        </w:tc>
        <w:tc>
          <w:tcPr>
            <w:tcW w:w="821" w:type="dxa"/>
            <w:gridSpan w:val="2"/>
            <w:vAlign w:val="center"/>
          </w:tcPr>
          <w:p w:rsidRPr="00505A17" w:rsidR="00216C45" w:rsidP="005073B8" w:rsidRDefault="00216C45" w14:paraId="4A155F1D" w14:textId="55A93294">
            <w:pPr>
              <w:spacing w:before="60" w:after="60"/>
              <w:jc w:val="center"/>
              <w:rPr>
                <w:color w:val="000000"/>
                <w:sz w:val="22"/>
                <w:szCs w:val="22"/>
              </w:rPr>
            </w:pPr>
            <w:r w:rsidRPr="00505A17">
              <w:rPr>
                <w:sz w:val="22"/>
                <w:szCs w:val="22"/>
              </w:rPr>
              <w:t>2024</w:t>
            </w:r>
          </w:p>
        </w:tc>
        <w:tc>
          <w:tcPr>
            <w:tcW w:w="884" w:type="dxa"/>
            <w:gridSpan w:val="2"/>
            <w:vAlign w:val="center"/>
          </w:tcPr>
          <w:p w:rsidRPr="00505A17" w:rsidR="00216C45" w:rsidP="005073B8" w:rsidRDefault="00216C45" w14:paraId="30EEA80A" w14:textId="1E2DD9FE">
            <w:pPr>
              <w:spacing w:before="60" w:after="60"/>
              <w:jc w:val="center"/>
              <w:rPr>
                <w:color w:val="000000"/>
                <w:sz w:val="22"/>
                <w:szCs w:val="22"/>
              </w:rPr>
            </w:pPr>
            <w:r w:rsidRPr="00505A17">
              <w:rPr>
                <w:color w:val="000000"/>
                <w:sz w:val="22"/>
                <w:szCs w:val="22"/>
              </w:rPr>
              <w:t>1.00</w:t>
            </w:r>
          </w:p>
        </w:tc>
        <w:tc>
          <w:tcPr>
            <w:tcW w:w="930" w:type="dxa"/>
            <w:vAlign w:val="center"/>
          </w:tcPr>
          <w:p w:rsidRPr="00505A17" w:rsidR="00216C45" w:rsidP="005073B8" w:rsidRDefault="00216C45" w14:paraId="4EB14C91" w14:textId="40FD5DD5">
            <w:pPr>
              <w:spacing w:before="60" w:after="60"/>
              <w:jc w:val="center"/>
              <w:rPr>
                <w:color w:val="000000"/>
                <w:sz w:val="22"/>
                <w:szCs w:val="22"/>
              </w:rPr>
            </w:pPr>
            <w:r w:rsidRPr="00505A17">
              <w:rPr>
                <w:color w:val="000000"/>
                <w:sz w:val="22"/>
                <w:szCs w:val="22"/>
              </w:rPr>
              <w:t>$370</w:t>
            </w:r>
          </w:p>
        </w:tc>
        <w:tc>
          <w:tcPr>
            <w:tcW w:w="1721" w:type="dxa"/>
            <w:gridSpan w:val="2"/>
            <w:tcBorders>
              <w:right w:val="single" w:color="auto" w:sz="4" w:space="0"/>
            </w:tcBorders>
            <w:vAlign w:val="center"/>
          </w:tcPr>
          <w:p w:rsidRPr="00505A17" w:rsidR="00216C45" w:rsidP="005073B8" w:rsidRDefault="00216C45" w14:paraId="02D334B7" w14:textId="45F417A3">
            <w:pPr>
              <w:spacing w:before="60" w:after="60"/>
              <w:jc w:val="center"/>
              <w:rPr>
                <w:color w:val="000000"/>
                <w:sz w:val="22"/>
                <w:szCs w:val="22"/>
              </w:rPr>
            </w:pPr>
            <w:r w:rsidRPr="00505A17">
              <w:rPr>
                <w:color w:val="000000"/>
                <w:sz w:val="22"/>
                <w:szCs w:val="22"/>
              </w:rPr>
              <w:t>50% of 2024 Hourly Rate</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216C45" w:rsidP="005073B8" w:rsidRDefault="00216C45" w14:paraId="7B9A0261" w14:textId="0A611A15">
            <w:pPr>
              <w:spacing w:before="60" w:after="60"/>
              <w:jc w:val="right"/>
              <w:rPr>
                <w:color w:val="000000"/>
                <w:sz w:val="22"/>
                <w:szCs w:val="22"/>
              </w:rPr>
            </w:pPr>
            <w:r w:rsidRPr="00505A17">
              <w:rPr>
                <w:color w:val="000000"/>
                <w:sz w:val="22"/>
                <w:szCs w:val="22"/>
              </w:rPr>
              <w:t xml:space="preserve">                 </w:t>
            </w:r>
            <w:r w:rsidRPr="00505A17" w:rsidR="005073B8">
              <w:rPr>
                <w:color w:val="000000"/>
                <w:sz w:val="22"/>
                <w:szCs w:val="22"/>
              </w:rPr>
              <w:t>$</w:t>
            </w:r>
            <w:r w:rsidRPr="00505A17">
              <w:rPr>
                <w:color w:val="000000"/>
                <w:sz w:val="22"/>
                <w:szCs w:val="22"/>
              </w:rPr>
              <w:t>370.00</w:t>
            </w:r>
          </w:p>
        </w:tc>
        <w:tc>
          <w:tcPr>
            <w:tcW w:w="955" w:type="dxa"/>
            <w:tcBorders>
              <w:left w:val="single" w:color="auto" w:sz="4" w:space="0"/>
              <w:right w:val="single" w:color="auto" w:sz="4" w:space="0"/>
            </w:tcBorders>
          </w:tcPr>
          <w:p w:rsidRPr="00D95B3A" w:rsidR="00216C45" w:rsidP="00D62CC4" w:rsidRDefault="007F69E0" w14:paraId="5E5A4264" w14:textId="4ABCF911">
            <w:pPr>
              <w:spacing w:before="60" w:after="60"/>
              <w:jc w:val="center"/>
              <w:rPr>
                <w:color w:val="000000"/>
              </w:rPr>
            </w:pPr>
            <w:r>
              <w:rPr>
                <w:color w:val="000000"/>
              </w:rPr>
              <w:t>1.00</w:t>
            </w:r>
          </w:p>
        </w:tc>
        <w:tc>
          <w:tcPr>
            <w:tcW w:w="1146" w:type="dxa"/>
            <w:tcBorders>
              <w:left w:val="single" w:color="auto" w:sz="4" w:space="0"/>
            </w:tcBorders>
          </w:tcPr>
          <w:p w:rsidRPr="00D95B3A" w:rsidR="00216C45" w:rsidP="00597289" w:rsidRDefault="002D7A51" w14:paraId="47B1F089" w14:textId="74442F62">
            <w:pPr>
              <w:spacing w:before="60" w:after="60"/>
              <w:jc w:val="center"/>
              <w:rPr>
                <w:color w:val="000000"/>
              </w:rPr>
            </w:pPr>
            <w:r>
              <w:rPr>
                <w:color w:val="000000"/>
              </w:rPr>
              <w:t>$370.00</w:t>
            </w:r>
          </w:p>
        </w:tc>
        <w:tc>
          <w:tcPr>
            <w:tcW w:w="1881" w:type="dxa"/>
          </w:tcPr>
          <w:p w:rsidRPr="00D95B3A" w:rsidR="00216C45" w:rsidP="00216C45" w:rsidRDefault="00455566" w14:paraId="10659B6D" w14:textId="4D865FDE">
            <w:pPr>
              <w:spacing w:before="60" w:after="60"/>
              <w:jc w:val="right"/>
              <w:rPr>
                <w:color w:val="000000"/>
              </w:rPr>
            </w:pPr>
            <w:r>
              <w:rPr>
                <w:color w:val="000000"/>
              </w:rPr>
              <w:t>$370.00</w:t>
            </w:r>
          </w:p>
        </w:tc>
      </w:tr>
      <w:tr w:rsidRPr="007F620E" w:rsidR="00216C45" w:rsidTr="00CA28C3" w14:paraId="7AB9EF54" w14:textId="77777777">
        <w:trPr>
          <w:jc w:val="center"/>
        </w:trPr>
        <w:tc>
          <w:tcPr>
            <w:tcW w:w="1489" w:type="dxa"/>
            <w:gridSpan w:val="2"/>
          </w:tcPr>
          <w:p w:rsidRPr="00505A17" w:rsidR="00216C45" w:rsidP="00216C45" w:rsidRDefault="00216C45" w14:paraId="4F803C09" w14:textId="048AEFCB">
            <w:pPr>
              <w:spacing w:before="60" w:after="60"/>
              <w:rPr>
                <w:color w:val="000000"/>
                <w:sz w:val="22"/>
                <w:szCs w:val="22"/>
              </w:rPr>
            </w:pPr>
            <w:r w:rsidRPr="00505A17">
              <w:rPr>
                <w:sz w:val="22"/>
                <w:szCs w:val="22"/>
              </w:rPr>
              <w:t>Matthew Freedman, TURN Attorney</w:t>
            </w:r>
          </w:p>
        </w:tc>
        <w:tc>
          <w:tcPr>
            <w:tcW w:w="821" w:type="dxa"/>
            <w:gridSpan w:val="2"/>
            <w:vAlign w:val="center"/>
          </w:tcPr>
          <w:p w:rsidRPr="00505A17" w:rsidR="00216C45" w:rsidP="005073B8" w:rsidRDefault="00216C45" w14:paraId="058BFE37" w14:textId="611E010E">
            <w:pPr>
              <w:spacing w:before="60" w:after="60"/>
              <w:jc w:val="center"/>
              <w:rPr>
                <w:color w:val="000000"/>
                <w:sz w:val="22"/>
                <w:szCs w:val="22"/>
              </w:rPr>
            </w:pPr>
            <w:r w:rsidRPr="00505A17">
              <w:rPr>
                <w:sz w:val="22"/>
                <w:szCs w:val="22"/>
              </w:rPr>
              <w:t>2025</w:t>
            </w:r>
          </w:p>
        </w:tc>
        <w:tc>
          <w:tcPr>
            <w:tcW w:w="884" w:type="dxa"/>
            <w:gridSpan w:val="2"/>
            <w:vAlign w:val="center"/>
          </w:tcPr>
          <w:p w:rsidRPr="00505A17" w:rsidR="00216C45" w:rsidP="005073B8" w:rsidRDefault="005073B8" w14:paraId="66A42865" w14:textId="55B60A27">
            <w:pPr>
              <w:spacing w:before="60" w:after="60"/>
              <w:jc w:val="center"/>
              <w:rPr>
                <w:color w:val="000000"/>
                <w:sz w:val="22"/>
                <w:szCs w:val="22"/>
              </w:rPr>
            </w:pPr>
            <w:r w:rsidRPr="00505A17">
              <w:rPr>
                <w:color w:val="000000"/>
                <w:sz w:val="22"/>
                <w:szCs w:val="22"/>
              </w:rPr>
              <w:t>12</w:t>
            </w:r>
            <w:r w:rsidRPr="00505A17" w:rsidR="00216C45">
              <w:rPr>
                <w:color w:val="000000"/>
                <w:sz w:val="22"/>
                <w:szCs w:val="22"/>
              </w:rPr>
              <w:t>.50</w:t>
            </w:r>
          </w:p>
        </w:tc>
        <w:tc>
          <w:tcPr>
            <w:tcW w:w="930" w:type="dxa"/>
            <w:vAlign w:val="center"/>
          </w:tcPr>
          <w:p w:rsidRPr="00505A17" w:rsidR="00216C45" w:rsidP="005073B8" w:rsidRDefault="00216C45" w14:paraId="42AE8F2C" w14:textId="53057DBC">
            <w:pPr>
              <w:spacing w:before="60" w:after="60"/>
              <w:jc w:val="center"/>
              <w:rPr>
                <w:color w:val="000000"/>
                <w:sz w:val="22"/>
                <w:szCs w:val="22"/>
              </w:rPr>
            </w:pPr>
            <w:r w:rsidRPr="00505A17">
              <w:rPr>
                <w:color w:val="000000"/>
                <w:sz w:val="22"/>
                <w:szCs w:val="22"/>
              </w:rPr>
              <w:t>$397.5</w:t>
            </w:r>
          </w:p>
        </w:tc>
        <w:tc>
          <w:tcPr>
            <w:tcW w:w="1721" w:type="dxa"/>
            <w:gridSpan w:val="2"/>
            <w:tcBorders>
              <w:right w:val="single" w:color="auto" w:sz="4" w:space="0"/>
            </w:tcBorders>
            <w:vAlign w:val="center"/>
          </w:tcPr>
          <w:p w:rsidRPr="00505A17" w:rsidR="00216C45" w:rsidP="005073B8" w:rsidRDefault="00216C45" w14:paraId="3DB754B7" w14:textId="7F0086DC">
            <w:pPr>
              <w:spacing w:before="60" w:after="60"/>
              <w:jc w:val="center"/>
              <w:rPr>
                <w:color w:val="000000"/>
                <w:sz w:val="22"/>
                <w:szCs w:val="22"/>
              </w:rPr>
            </w:pPr>
            <w:r w:rsidRPr="00505A17">
              <w:rPr>
                <w:color w:val="000000"/>
                <w:sz w:val="22"/>
                <w:szCs w:val="22"/>
              </w:rPr>
              <w:t>50% of 2025 Hourly Rate</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505A17" w:rsidR="00216C45" w:rsidP="005073B8" w:rsidRDefault="00216C45" w14:paraId="3D39C021" w14:textId="075292A8">
            <w:pPr>
              <w:spacing w:before="60" w:after="60"/>
              <w:jc w:val="right"/>
              <w:rPr>
                <w:color w:val="000000"/>
                <w:sz w:val="22"/>
                <w:szCs w:val="22"/>
              </w:rPr>
            </w:pPr>
            <w:r w:rsidRPr="00505A17">
              <w:rPr>
                <w:color w:val="000000"/>
                <w:sz w:val="22"/>
                <w:szCs w:val="22"/>
              </w:rPr>
              <w:t xml:space="preserve">                  </w:t>
            </w:r>
            <w:r w:rsidRPr="00505A17" w:rsidR="005073B8">
              <w:rPr>
                <w:color w:val="000000"/>
                <w:sz w:val="22"/>
                <w:szCs w:val="22"/>
              </w:rPr>
              <w:t>$4,968.75</w:t>
            </w:r>
          </w:p>
        </w:tc>
        <w:tc>
          <w:tcPr>
            <w:tcW w:w="955" w:type="dxa"/>
            <w:tcBorders>
              <w:left w:val="single" w:color="auto" w:sz="4" w:space="0"/>
              <w:right w:val="single" w:color="auto" w:sz="4" w:space="0"/>
            </w:tcBorders>
          </w:tcPr>
          <w:p w:rsidRPr="00D95B3A" w:rsidR="00216C45" w:rsidP="00D62CC4" w:rsidRDefault="007F69E0" w14:paraId="6B8C8F0C" w14:textId="7F16B877">
            <w:pPr>
              <w:spacing w:before="60" w:after="60"/>
              <w:jc w:val="center"/>
              <w:rPr>
                <w:color w:val="000000"/>
              </w:rPr>
            </w:pPr>
            <w:r>
              <w:rPr>
                <w:color w:val="000000"/>
              </w:rPr>
              <w:t>12.50</w:t>
            </w:r>
          </w:p>
        </w:tc>
        <w:tc>
          <w:tcPr>
            <w:tcW w:w="1146" w:type="dxa"/>
            <w:tcBorders>
              <w:left w:val="single" w:color="auto" w:sz="4" w:space="0"/>
            </w:tcBorders>
          </w:tcPr>
          <w:p w:rsidRPr="00D95B3A" w:rsidR="00216C45" w:rsidP="00597289" w:rsidRDefault="00752BB7" w14:paraId="0A58B021" w14:textId="114ED452">
            <w:pPr>
              <w:spacing w:before="60" w:after="60"/>
              <w:jc w:val="center"/>
              <w:rPr>
                <w:color w:val="000000"/>
              </w:rPr>
            </w:pPr>
            <w:r>
              <w:rPr>
                <w:color w:val="000000"/>
              </w:rPr>
              <w:t>$397.50</w:t>
            </w:r>
          </w:p>
        </w:tc>
        <w:tc>
          <w:tcPr>
            <w:tcW w:w="1881" w:type="dxa"/>
          </w:tcPr>
          <w:p w:rsidRPr="00D95B3A" w:rsidR="00216C45" w:rsidP="00216C45" w:rsidRDefault="00341CF7" w14:paraId="0769A3B4" w14:textId="7DBF9EF1">
            <w:pPr>
              <w:spacing w:before="60" w:after="60"/>
              <w:jc w:val="right"/>
              <w:rPr>
                <w:color w:val="000000"/>
              </w:rPr>
            </w:pPr>
            <w:r>
              <w:rPr>
                <w:color w:val="000000"/>
              </w:rPr>
              <w:t>$4,968.75</w:t>
            </w:r>
          </w:p>
        </w:tc>
      </w:tr>
      <w:tr w:rsidRPr="007F620E" w:rsidR="00E15DC3" w:rsidTr="005073B8" w14:paraId="266CEDD5" w14:textId="77777777">
        <w:trPr>
          <w:jc w:val="center"/>
        </w:trPr>
        <w:tc>
          <w:tcPr>
            <w:tcW w:w="7178" w:type="dxa"/>
            <w:gridSpan w:val="11"/>
            <w:tcBorders>
              <w:bottom w:val="single" w:color="auto" w:sz="4" w:space="0"/>
              <w:right w:val="single" w:color="auto" w:sz="24" w:space="0"/>
            </w:tcBorders>
            <w:vAlign w:val="center"/>
          </w:tcPr>
          <w:p w:rsidRPr="00D95B3A" w:rsidR="00E15DC3" w:rsidP="005073B8" w:rsidRDefault="00E15DC3" w14:paraId="4A1F5988" w14:textId="007C4877">
            <w:pPr>
              <w:tabs>
                <w:tab w:val="left" w:pos="957"/>
              </w:tabs>
              <w:spacing w:before="60" w:after="60"/>
              <w:ind w:right="162"/>
              <w:jc w:val="right"/>
              <w:rPr>
                <w:b/>
                <w:i/>
                <w:color w:val="000000"/>
              </w:rPr>
            </w:pPr>
            <w:r w:rsidRPr="00D95B3A">
              <w:rPr>
                <w:b/>
                <w:i/>
                <w:color w:val="000000"/>
              </w:rPr>
              <w:t>Subtotal: $</w:t>
            </w:r>
            <w:r w:rsidR="005073B8">
              <w:rPr>
                <w:b/>
                <w:i/>
                <w:color w:val="000000"/>
              </w:rPr>
              <w:t>5,338.75</w:t>
            </w:r>
          </w:p>
        </w:tc>
        <w:tc>
          <w:tcPr>
            <w:tcW w:w="3982" w:type="dxa"/>
            <w:gridSpan w:val="3"/>
            <w:tcBorders>
              <w:left w:val="single" w:color="auto" w:sz="24" w:space="0"/>
              <w:bottom w:val="single" w:color="auto" w:sz="4" w:space="0"/>
            </w:tcBorders>
            <w:vAlign w:val="bottom"/>
          </w:tcPr>
          <w:p w:rsidRPr="00D95B3A" w:rsidR="00E15DC3" w:rsidP="00691528" w:rsidRDefault="00E15DC3" w14:paraId="2FBAA587" w14:textId="518D6964">
            <w:pPr>
              <w:tabs>
                <w:tab w:val="left" w:pos="957"/>
              </w:tabs>
              <w:spacing w:before="60" w:after="60"/>
              <w:ind w:right="162"/>
              <w:jc w:val="right"/>
              <w:rPr>
                <w:b/>
                <w:i/>
                <w:color w:val="000000"/>
              </w:rPr>
            </w:pPr>
            <w:r w:rsidRPr="00D95B3A">
              <w:rPr>
                <w:b/>
                <w:i/>
                <w:color w:val="000000"/>
              </w:rPr>
              <w:t>Subtotal: $</w:t>
            </w:r>
            <w:r w:rsidR="00341CF7">
              <w:rPr>
                <w:b/>
                <w:i/>
                <w:color w:val="000000"/>
              </w:rPr>
              <w:t>5,338.75</w:t>
            </w:r>
          </w:p>
        </w:tc>
      </w:tr>
      <w:tr w:rsidRPr="007F620E" w:rsidR="00A92D0B" w:rsidTr="00EC6387" w14:paraId="06193E6C"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E6E6E6"/>
          </w:tcPr>
          <w:p w:rsidRPr="00D95B3A" w:rsidR="00A92D0B" w:rsidP="004A6FD4" w:rsidRDefault="00A92D0B" w14:paraId="3BECCA4A" w14:textId="77777777">
            <w:pPr>
              <w:keepNext/>
              <w:spacing w:before="60" w:after="60"/>
              <w:jc w:val="center"/>
              <w:rPr>
                <w:b/>
                <w:smallCaps/>
                <w:color w:val="000000"/>
              </w:rPr>
            </w:pPr>
            <w:r w:rsidRPr="00D95B3A">
              <w:rPr>
                <w:b/>
                <w:smallCaps/>
                <w:color w:val="000000"/>
              </w:rPr>
              <w:t>COSTS</w:t>
            </w:r>
          </w:p>
        </w:tc>
      </w:tr>
      <w:tr w:rsidRPr="007F620E" w:rsidR="00380703" w:rsidTr="00763797" w14:paraId="72A80274" w14:textId="77777777">
        <w:trPr>
          <w:jc w:val="center"/>
        </w:trPr>
        <w:tc>
          <w:tcPr>
            <w:tcW w:w="496" w:type="dxa"/>
            <w:tcBorders>
              <w:top w:val="single" w:color="auto" w:sz="4" w:space="0"/>
              <w:bottom w:val="single" w:color="auto" w:sz="4" w:space="0"/>
            </w:tcBorders>
          </w:tcPr>
          <w:p w:rsidRPr="00D95B3A" w:rsidR="00380703" w:rsidP="004A6FD4" w:rsidRDefault="00380703" w14:paraId="117C57EE" w14:textId="77777777">
            <w:pPr>
              <w:keepNext/>
              <w:spacing w:before="60" w:after="60"/>
              <w:jc w:val="center"/>
              <w:rPr>
                <w:b/>
                <w:color w:val="000000"/>
              </w:rPr>
            </w:pPr>
            <w:r w:rsidRPr="00D95B3A">
              <w:rPr>
                <w:b/>
                <w:color w:val="000000"/>
              </w:rPr>
              <w:t>#</w:t>
            </w:r>
          </w:p>
        </w:tc>
        <w:tc>
          <w:tcPr>
            <w:tcW w:w="1719" w:type="dxa"/>
            <w:gridSpan w:val="2"/>
            <w:tcBorders>
              <w:top w:val="single" w:color="auto" w:sz="4" w:space="0"/>
              <w:bottom w:val="single" w:color="auto" w:sz="4" w:space="0"/>
            </w:tcBorders>
          </w:tcPr>
          <w:p w:rsidRPr="00D95B3A" w:rsidR="00380703" w:rsidP="004A6FD4" w:rsidRDefault="00380703" w14:paraId="6A45FCC1" w14:textId="77777777">
            <w:pPr>
              <w:keepNext/>
              <w:spacing w:before="60" w:after="60"/>
              <w:jc w:val="center"/>
              <w:rPr>
                <w:b/>
                <w:color w:val="000000"/>
              </w:rPr>
            </w:pPr>
            <w:r w:rsidRPr="00D95B3A">
              <w:rPr>
                <w:b/>
                <w:color w:val="000000"/>
              </w:rPr>
              <w:t>Item</w:t>
            </w:r>
          </w:p>
        </w:tc>
        <w:tc>
          <w:tcPr>
            <w:tcW w:w="3630" w:type="dxa"/>
            <w:gridSpan w:val="6"/>
            <w:tcBorders>
              <w:top w:val="single" w:color="auto" w:sz="4" w:space="0"/>
              <w:left w:val="single" w:color="auto" w:sz="4" w:space="0"/>
              <w:bottom w:val="single" w:color="auto" w:sz="4" w:space="0"/>
              <w:right w:val="single" w:color="auto" w:sz="4" w:space="0"/>
            </w:tcBorders>
            <w:shd w:val="clear" w:color="auto" w:fill="FFFFFF"/>
          </w:tcPr>
          <w:p w:rsidRPr="00D95B3A" w:rsidR="00380703" w:rsidP="004A6FD4" w:rsidRDefault="00380703" w14:paraId="19FE7A44" w14:textId="77777777">
            <w:pPr>
              <w:keepNext/>
              <w:spacing w:before="60" w:after="60"/>
              <w:jc w:val="center"/>
              <w:rPr>
                <w:b/>
                <w:color w:val="000000"/>
              </w:rPr>
            </w:pPr>
            <w:r w:rsidRPr="00D95B3A">
              <w:rPr>
                <w:b/>
                <w:color w:val="000000"/>
              </w:rPr>
              <w:t>Detail</w:t>
            </w:r>
          </w:p>
        </w:tc>
        <w:tc>
          <w:tcPr>
            <w:tcW w:w="1333" w:type="dxa"/>
            <w:gridSpan w:val="2"/>
            <w:tcBorders>
              <w:top w:val="single" w:color="auto" w:sz="4" w:space="0"/>
              <w:left w:val="single" w:color="auto" w:sz="4" w:space="0"/>
              <w:bottom w:val="single" w:color="auto" w:sz="4" w:space="0"/>
              <w:right w:val="single" w:color="auto" w:sz="24" w:space="0"/>
            </w:tcBorders>
          </w:tcPr>
          <w:p w:rsidRPr="00D95B3A" w:rsidR="00380703" w:rsidP="004A6FD4" w:rsidRDefault="00380703" w14:paraId="52A549BC" w14:textId="77777777">
            <w:pPr>
              <w:keepNext/>
              <w:spacing w:before="60" w:after="60"/>
              <w:jc w:val="center"/>
              <w:rPr>
                <w:b/>
                <w:color w:val="000000"/>
              </w:rPr>
            </w:pPr>
            <w:r w:rsidRPr="00D95B3A">
              <w:rPr>
                <w:b/>
                <w:color w:val="000000"/>
              </w:rPr>
              <w:t>Amount</w:t>
            </w:r>
          </w:p>
        </w:tc>
        <w:tc>
          <w:tcPr>
            <w:tcW w:w="3982" w:type="dxa"/>
            <w:gridSpan w:val="3"/>
            <w:tcBorders>
              <w:top w:val="single" w:color="auto" w:sz="4" w:space="0"/>
              <w:left w:val="single" w:color="auto" w:sz="24" w:space="0"/>
            </w:tcBorders>
          </w:tcPr>
          <w:p w:rsidRPr="00D95B3A" w:rsidR="00380703" w:rsidP="004A6FD4" w:rsidRDefault="00380703" w14:paraId="2A0A92A1" w14:textId="77777777">
            <w:pPr>
              <w:keepNext/>
              <w:spacing w:before="60" w:after="60"/>
              <w:jc w:val="center"/>
              <w:rPr>
                <w:b/>
                <w:color w:val="000000"/>
              </w:rPr>
            </w:pPr>
            <w:r w:rsidRPr="00D95B3A">
              <w:rPr>
                <w:b/>
                <w:color w:val="000000"/>
              </w:rPr>
              <w:t>Amount</w:t>
            </w:r>
          </w:p>
        </w:tc>
      </w:tr>
      <w:tr w:rsidRPr="007F620E" w:rsidR="00216C45" w:rsidTr="00CA28C3" w14:paraId="14B6D61A" w14:textId="77777777">
        <w:trPr>
          <w:jc w:val="center"/>
        </w:trPr>
        <w:tc>
          <w:tcPr>
            <w:tcW w:w="496" w:type="dxa"/>
            <w:tcBorders>
              <w:bottom w:val="single" w:color="auto" w:sz="4" w:space="0"/>
            </w:tcBorders>
          </w:tcPr>
          <w:p w:rsidRPr="00023723" w:rsidR="00216C45" w:rsidP="00216C45" w:rsidRDefault="00216C45" w14:paraId="3272FF6C" w14:textId="77777777">
            <w:pPr>
              <w:spacing w:before="60" w:after="60"/>
              <w:rPr>
                <w:color w:val="000000"/>
                <w:sz w:val="22"/>
                <w:szCs w:val="22"/>
              </w:rPr>
            </w:pPr>
            <w:r w:rsidRPr="00023723">
              <w:rPr>
                <w:color w:val="000000"/>
                <w:sz w:val="22"/>
                <w:szCs w:val="22"/>
              </w:rPr>
              <w:t>1.</w:t>
            </w:r>
          </w:p>
        </w:tc>
        <w:tc>
          <w:tcPr>
            <w:tcW w:w="1719" w:type="dxa"/>
            <w:gridSpan w:val="2"/>
            <w:tcBorders>
              <w:bottom w:val="single" w:color="auto" w:sz="4" w:space="0"/>
            </w:tcBorders>
            <w:vAlign w:val="bottom"/>
          </w:tcPr>
          <w:p w:rsidRPr="00023723" w:rsidR="00216C45" w:rsidP="00216C45" w:rsidRDefault="00216C45" w14:paraId="00BD9FA4" w14:textId="3373B46B">
            <w:pPr>
              <w:spacing w:before="60" w:after="60"/>
              <w:rPr>
                <w:color w:val="000000"/>
                <w:sz w:val="22"/>
                <w:szCs w:val="22"/>
              </w:rPr>
            </w:pPr>
            <w:r w:rsidRPr="00023723">
              <w:rPr>
                <w:sz w:val="22"/>
                <w:szCs w:val="22"/>
              </w:rPr>
              <w:t>Travel for Helms tour - mileage expense</w:t>
            </w:r>
          </w:p>
        </w:tc>
        <w:tc>
          <w:tcPr>
            <w:tcW w:w="3630" w:type="dxa"/>
            <w:gridSpan w:val="6"/>
            <w:tcBorders>
              <w:top w:val="single" w:color="auto" w:sz="4" w:space="0"/>
              <w:left w:val="single" w:color="auto" w:sz="4" w:space="0"/>
              <w:bottom w:val="single" w:color="auto" w:sz="4" w:space="0"/>
              <w:right w:val="single" w:color="auto" w:sz="4" w:space="0"/>
            </w:tcBorders>
            <w:vAlign w:val="center"/>
          </w:tcPr>
          <w:p w:rsidRPr="00023723" w:rsidR="00216C45" w:rsidP="005073B8" w:rsidRDefault="00216C45" w14:paraId="05A1FC0C" w14:textId="19DAA937">
            <w:pPr>
              <w:spacing w:before="60" w:after="60"/>
              <w:jc w:val="center"/>
              <w:rPr>
                <w:color w:val="000000"/>
                <w:sz w:val="22"/>
                <w:szCs w:val="22"/>
              </w:rPr>
            </w:pPr>
            <w:r w:rsidRPr="00023723">
              <w:rPr>
                <w:color w:val="000000"/>
                <w:sz w:val="22"/>
                <w:szCs w:val="22"/>
              </w:rPr>
              <w:t>SF Bay Area to Helms and return - 486 miles x $0.67/mile</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023723" w:rsidR="00216C45" w:rsidP="005073B8" w:rsidRDefault="00216C45" w14:paraId="324F04F2" w14:textId="28EC49BB">
            <w:pPr>
              <w:spacing w:before="60" w:after="60"/>
              <w:jc w:val="right"/>
              <w:rPr>
                <w:color w:val="000000"/>
                <w:sz w:val="22"/>
                <w:szCs w:val="22"/>
              </w:rPr>
            </w:pPr>
            <w:r w:rsidRPr="00023723">
              <w:rPr>
                <w:color w:val="000000"/>
                <w:sz w:val="22"/>
                <w:szCs w:val="22"/>
              </w:rPr>
              <w:t>$325.62</w:t>
            </w:r>
          </w:p>
        </w:tc>
        <w:tc>
          <w:tcPr>
            <w:tcW w:w="3982" w:type="dxa"/>
            <w:gridSpan w:val="3"/>
            <w:tcBorders>
              <w:left w:val="single" w:color="auto" w:sz="24" w:space="0"/>
            </w:tcBorders>
          </w:tcPr>
          <w:p w:rsidRPr="00D95B3A" w:rsidR="00216C45" w:rsidP="00216C45" w:rsidRDefault="008F58A7" w14:paraId="1C7D79D0" w14:textId="41A62587">
            <w:pPr>
              <w:spacing w:before="60" w:after="60"/>
              <w:jc w:val="right"/>
              <w:rPr>
                <w:color w:val="000000"/>
              </w:rPr>
            </w:pPr>
            <w:r>
              <w:rPr>
                <w:color w:val="000000"/>
              </w:rPr>
              <w:t>$325.62</w:t>
            </w:r>
          </w:p>
        </w:tc>
      </w:tr>
      <w:tr w:rsidRPr="007F620E" w:rsidR="00216C45" w:rsidTr="00CA28C3" w14:paraId="5988A992" w14:textId="77777777">
        <w:trPr>
          <w:jc w:val="center"/>
        </w:trPr>
        <w:tc>
          <w:tcPr>
            <w:tcW w:w="496" w:type="dxa"/>
            <w:tcBorders>
              <w:bottom w:val="single" w:color="auto" w:sz="4" w:space="0"/>
            </w:tcBorders>
          </w:tcPr>
          <w:p w:rsidRPr="00023723" w:rsidR="00216C45" w:rsidP="00216C45" w:rsidRDefault="00216C45" w14:paraId="454061C0" w14:textId="77777777">
            <w:pPr>
              <w:spacing w:before="60" w:after="60"/>
              <w:rPr>
                <w:color w:val="000000"/>
                <w:sz w:val="22"/>
                <w:szCs w:val="22"/>
              </w:rPr>
            </w:pPr>
            <w:r w:rsidRPr="00023723">
              <w:rPr>
                <w:color w:val="000000"/>
                <w:sz w:val="22"/>
                <w:szCs w:val="22"/>
              </w:rPr>
              <w:t>2.</w:t>
            </w:r>
          </w:p>
        </w:tc>
        <w:tc>
          <w:tcPr>
            <w:tcW w:w="1719" w:type="dxa"/>
            <w:gridSpan w:val="2"/>
            <w:tcBorders>
              <w:bottom w:val="single" w:color="auto" w:sz="4" w:space="0"/>
            </w:tcBorders>
            <w:vAlign w:val="bottom"/>
          </w:tcPr>
          <w:p w:rsidRPr="00023723" w:rsidR="00216C45" w:rsidP="00216C45" w:rsidRDefault="00216C45" w14:paraId="51F2CAB8" w14:textId="78DD303B">
            <w:pPr>
              <w:spacing w:before="60" w:after="60"/>
              <w:rPr>
                <w:color w:val="000000"/>
                <w:sz w:val="22"/>
                <w:szCs w:val="22"/>
              </w:rPr>
            </w:pPr>
            <w:r w:rsidRPr="00023723">
              <w:rPr>
                <w:sz w:val="22"/>
                <w:szCs w:val="22"/>
              </w:rPr>
              <w:t>Lodging for Helms tour</w:t>
            </w:r>
          </w:p>
        </w:tc>
        <w:tc>
          <w:tcPr>
            <w:tcW w:w="3630" w:type="dxa"/>
            <w:gridSpan w:val="6"/>
            <w:tcBorders>
              <w:top w:val="single" w:color="auto" w:sz="4" w:space="0"/>
              <w:left w:val="single" w:color="auto" w:sz="4" w:space="0"/>
              <w:bottom w:val="single" w:color="auto" w:sz="4" w:space="0"/>
              <w:right w:val="single" w:color="auto" w:sz="4" w:space="0"/>
            </w:tcBorders>
            <w:vAlign w:val="center"/>
          </w:tcPr>
          <w:p w:rsidRPr="00023723" w:rsidR="00216C45" w:rsidP="005073B8" w:rsidRDefault="00216C45" w14:paraId="6A57CD68" w14:textId="749A6909">
            <w:pPr>
              <w:spacing w:before="60" w:after="60"/>
              <w:jc w:val="center"/>
              <w:rPr>
                <w:color w:val="000000"/>
                <w:sz w:val="22"/>
                <w:szCs w:val="22"/>
              </w:rPr>
            </w:pPr>
            <w:r w:rsidRPr="00023723">
              <w:rPr>
                <w:color w:val="000000"/>
                <w:sz w:val="22"/>
                <w:szCs w:val="22"/>
              </w:rPr>
              <w:t>1 night at Camp Edison (</w:t>
            </w:r>
            <w:proofErr w:type="gramStart"/>
            <w:r w:rsidRPr="00023723">
              <w:rPr>
                <w:color w:val="000000"/>
                <w:sz w:val="22"/>
                <w:szCs w:val="22"/>
              </w:rPr>
              <w:t>2 night</w:t>
            </w:r>
            <w:proofErr w:type="gramEnd"/>
            <w:r w:rsidRPr="00023723">
              <w:rPr>
                <w:color w:val="000000"/>
                <w:sz w:val="22"/>
                <w:szCs w:val="22"/>
              </w:rPr>
              <w:t xml:space="preserve"> minimum payment required)</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023723" w:rsidR="00216C45" w:rsidP="005073B8" w:rsidRDefault="00216C45" w14:paraId="45700372" w14:textId="0BD560E1">
            <w:pPr>
              <w:spacing w:before="60" w:after="60"/>
              <w:jc w:val="right"/>
              <w:rPr>
                <w:color w:val="000000"/>
                <w:sz w:val="22"/>
                <w:szCs w:val="22"/>
              </w:rPr>
            </w:pPr>
            <w:r w:rsidRPr="00023723">
              <w:rPr>
                <w:color w:val="000000"/>
                <w:sz w:val="22"/>
                <w:szCs w:val="22"/>
              </w:rPr>
              <w:t>$190.00</w:t>
            </w:r>
          </w:p>
        </w:tc>
        <w:tc>
          <w:tcPr>
            <w:tcW w:w="3982" w:type="dxa"/>
            <w:gridSpan w:val="3"/>
            <w:tcBorders>
              <w:left w:val="single" w:color="auto" w:sz="24" w:space="0"/>
            </w:tcBorders>
          </w:tcPr>
          <w:p w:rsidRPr="00D95B3A" w:rsidR="00216C45" w:rsidP="00216C45" w:rsidRDefault="008F58A7" w14:paraId="7540FF22" w14:textId="231F04F3">
            <w:pPr>
              <w:spacing w:before="60" w:after="60"/>
              <w:jc w:val="right"/>
              <w:rPr>
                <w:color w:val="000000"/>
              </w:rPr>
            </w:pPr>
            <w:r>
              <w:rPr>
                <w:color w:val="000000"/>
              </w:rPr>
              <w:t>$190.00</w:t>
            </w:r>
          </w:p>
        </w:tc>
      </w:tr>
      <w:tr w:rsidRPr="007F620E" w:rsidR="003B6A1B" w:rsidTr="00EC6387" w14:paraId="7D250EBF" w14:textId="77777777">
        <w:trPr>
          <w:jc w:val="center"/>
        </w:trPr>
        <w:tc>
          <w:tcPr>
            <w:tcW w:w="7178" w:type="dxa"/>
            <w:gridSpan w:val="11"/>
            <w:tcBorders>
              <w:bottom w:val="single" w:color="auto" w:sz="4" w:space="0"/>
              <w:right w:val="single" w:color="auto" w:sz="24" w:space="0"/>
            </w:tcBorders>
            <w:vAlign w:val="bottom"/>
          </w:tcPr>
          <w:p w:rsidRPr="00374FD1" w:rsidR="003B6A1B" w:rsidP="004A6FD4" w:rsidRDefault="003B6A1B" w14:paraId="6ADE275E" w14:textId="2EA39D2F">
            <w:pPr>
              <w:keepNext/>
              <w:tabs>
                <w:tab w:val="left" w:pos="957"/>
              </w:tabs>
              <w:spacing w:before="60" w:after="60"/>
              <w:ind w:right="158"/>
              <w:jc w:val="right"/>
              <w:rPr>
                <w:b/>
                <w:i/>
                <w:color w:val="000000"/>
              </w:rPr>
            </w:pPr>
            <w:r w:rsidRPr="007F620E">
              <w:rPr>
                <w:b/>
                <w:i/>
                <w:color w:val="000000"/>
              </w:rPr>
              <w:t xml:space="preserve">Subtotal: </w:t>
            </w:r>
            <w:r w:rsidRPr="00374FD1">
              <w:rPr>
                <w:b/>
                <w:i/>
                <w:color w:val="000000"/>
              </w:rPr>
              <w:t>$</w:t>
            </w:r>
            <w:r w:rsidR="00216C45">
              <w:rPr>
                <w:b/>
                <w:i/>
                <w:color w:val="000000"/>
              </w:rPr>
              <w:t>325.62</w:t>
            </w:r>
            <w:r w:rsidR="00617A73">
              <w:rPr>
                <w:rStyle w:val="FootnoteReference"/>
                <w:b/>
                <w:i/>
                <w:color w:val="000000"/>
              </w:rPr>
              <w:footnoteReference w:id="2"/>
            </w:r>
          </w:p>
        </w:tc>
        <w:tc>
          <w:tcPr>
            <w:tcW w:w="3982" w:type="dxa"/>
            <w:gridSpan w:val="3"/>
            <w:tcBorders>
              <w:left w:val="single" w:color="auto" w:sz="24" w:space="0"/>
            </w:tcBorders>
            <w:vAlign w:val="bottom"/>
          </w:tcPr>
          <w:p w:rsidRPr="00374FD1" w:rsidR="003B6A1B" w:rsidP="004A6FD4" w:rsidRDefault="003B6A1B" w14:paraId="67993F7A" w14:textId="4DC0CE7A">
            <w:pPr>
              <w:keepNext/>
              <w:tabs>
                <w:tab w:val="left" w:pos="957"/>
              </w:tabs>
              <w:spacing w:before="60" w:after="60"/>
              <w:ind w:right="158"/>
              <w:jc w:val="right"/>
              <w:rPr>
                <w:b/>
                <w:i/>
                <w:color w:val="000000"/>
              </w:rPr>
            </w:pPr>
            <w:r w:rsidRPr="007F620E">
              <w:rPr>
                <w:b/>
                <w:i/>
                <w:color w:val="000000"/>
              </w:rPr>
              <w:t xml:space="preserve">Subtotal: </w:t>
            </w:r>
            <w:r w:rsidRPr="00374FD1">
              <w:rPr>
                <w:b/>
                <w:i/>
                <w:color w:val="000000"/>
              </w:rPr>
              <w:t>$</w:t>
            </w:r>
            <w:r w:rsidR="00617A73">
              <w:rPr>
                <w:b/>
                <w:i/>
                <w:color w:val="000000"/>
              </w:rPr>
              <w:t>515.62</w:t>
            </w:r>
          </w:p>
        </w:tc>
      </w:tr>
      <w:tr w:rsidRPr="007F620E" w:rsidR="003B6A1B" w:rsidTr="00EC6387" w14:paraId="06E7371A" w14:textId="77777777">
        <w:trPr>
          <w:jc w:val="center"/>
        </w:trPr>
        <w:tc>
          <w:tcPr>
            <w:tcW w:w="7178" w:type="dxa"/>
            <w:gridSpan w:val="11"/>
            <w:tcBorders>
              <w:top w:val="single" w:color="auto" w:sz="4" w:space="0"/>
              <w:bottom w:val="single" w:color="auto" w:sz="4" w:space="0"/>
              <w:right w:val="single" w:color="auto" w:sz="24" w:space="0"/>
            </w:tcBorders>
            <w:shd w:val="clear" w:color="auto" w:fill="E6E6E6"/>
            <w:vAlign w:val="bottom"/>
          </w:tcPr>
          <w:p w:rsidRPr="00FE3BAE" w:rsidR="003B6A1B" w:rsidP="00FE3BAE" w:rsidRDefault="003B6A1B" w14:paraId="11B3B704" w14:textId="15CC71CF">
            <w:pPr>
              <w:tabs>
                <w:tab w:val="left" w:pos="957"/>
              </w:tabs>
              <w:spacing w:before="60" w:after="60"/>
              <w:ind w:right="72"/>
              <w:jc w:val="right"/>
              <w:rPr>
                <w:b/>
                <w:color w:val="000000"/>
              </w:rPr>
            </w:pPr>
            <w:r w:rsidRPr="00374FD1">
              <w:rPr>
                <w:b/>
                <w:i/>
                <w:color w:val="000000"/>
              </w:rPr>
              <w:t>TOTAL REQUEST: $</w:t>
            </w:r>
            <w:r w:rsidR="00216C45">
              <w:rPr>
                <w:b/>
                <w:i/>
                <w:color w:val="000000"/>
              </w:rPr>
              <w:t>1</w:t>
            </w:r>
            <w:r w:rsidR="005073B8">
              <w:rPr>
                <w:b/>
                <w:i/>
                <w:color w:val="000000"/>
              </w:rPr>
              <w:t>96,296.37</w:t>
            </w:r>
            <w:bookmarkStart w:name="_Ref220937763" w:id="0"/>
            <w:r w:rsidR="00617A73">
              <w:rPr>
                <w:rStyle w:val="FootnoteReference"/>
                <w:b/>
                <w:i/>
                <w:color w:val="000000"/>
              </w:rPr>
              <w:footnoteReference w:id="3"/>
            </w:r>
            <w:bookmarkEnd w:id="0"/>
          </w:p>
        </w:tc>
        <w:tc>
          <w:tcPr>
            <w:tcW w:w="3982" w:type="dxa"/>
            <w:gridSpan w:val="3"/>
            <w:tcBorders>
              <w:left w:val="single" w:color="auto" w:sz="24" w:space="0"/>
            </w:tcBorders>
            <w:shd w:val="clear" w:color="auto" w:fill="E6E6E6"/>
            <w:vAlign w:val="bottom"/>
          </w:tcPr>
          <w:p w:rsidRPr="00FE3BAE" w:rsidR="003B6A1B" w:rsidP="00FE3BAE" w:rsidRDefault="003B6A1B" w14:paraId="3680D139" w14:textId="0F35B496">
            <w:pPr>
              <w:tabs>
                <w:tab w:val="left" w:pos="957"/>
              </w:tabs>
              <w:spacing w:before="60" w:after="60"/>
              <w:ind w:right="72"/>
              <w:jc w:val="right"/>
              <w:rPr>
                <w:b/>
                <w:color w:val="000000"/>
              </w:rPr>
            </w:pPr>
            <w:r w:rsidRPr="00374FD1">
              <w:rPr>
                <w:b/>
                <w:i/>
                <w:color w:val="000000"/>
              </w:rPr>
              <w:t>TOTAL AWARD: $</w:t>
            </w:r>
            <w:r w:rsidR="00AB1D44">
              <w:rPr>
                <w:b/>
                <w:i/>
                <w:color w:val="000000"/>
              </w:rPr>
              <w:t>196,</w:t>
            </w:r>
            <w:r w:rsidR="00617A73">
              <w:rPr>
                <w:b/>
                <w:i/>
                <w:color w:val="000000"/>
              </w:rPr>
              <w:t>486.37</w:t>
            </w:r>
          </w:p>
        </w:tc>
      </w:tr>
      <w:tr w:rsidRPr="007F620E" w:rsidR="003B6A1B" w:rsidTr="00EC6387" w14:paraId="6A909BC1" w14:textId="77777777">
        <w:trPr>
          <w:jc w:val="center"/>
        </w:trPr>
        <w:tc>
          <w:tcPr>
            <w:tcW w:w="11160" w:type="dxa"/>
            <w:gridSpan w:val="14"/>
            <w:tcBorders>
              <w:top w:val="single" w:color="auto" w:sz="4" w:space="0"/>
              <w:bottom w:val="single" w:color="auto" w:sz="4" w:space="0"/>
            </w:tcBorders>
          </w:tcPr>
          <w:p w:rsidRPr="007F620E" w:rsidR="003B6A1B" w:rsidP="00D075B1" w:rsidRDefault="003B6A1B"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3B6A1B" w:rsidP="00963EEF" w:rsidRDefault="003B6A1B"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3B6A1B" w:rsidTr="00EC6387" w14:paraId="458B01A4" w14:textId="77777777">
        <w:trPr>
          <w:jc w:val="center"/>
        </w:trPr>
        <w:tc>
          <w:tcPr>
            <w:tcW w:w="11160" w:type="dxa"/>
            <w:gridSpan w:val="14"/>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3B6A1B" w:rsidP="004A6FD4" w:rsidRDefault="003B6A1B"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3B6A1B" w:rsidTr="00EC6387" w14:paraId="790C92C0" w14:textId="77777777">
        <w:trPr>
          <w:trHeight w:val="173"/>
          <w:jc w:val="center"/>
        </w:trPr>
        <w:tc>
          <w:tcPr>
            <w:tcW w:w="2692" w:type="dxa"/>
            <w:gridSpan w:val="5"/>
            <w:tcBorders>
              <w:top w:val="single" w:color="auto" w:sz="4" w:space="0"/>
              <w:bottom w:val="single" w:color="auto" w:sz="4" w:space="0"/>
            </w:tcBorders>
            <w:shd w:val="clear" w:color="auto" w:fill="FFFFFF"/>
            <w:vAlign w:val="bottom"/>
          </w:tcPr>
          <w:p w:rsidRPr="00C16981" w:rsidR="003B6A1B" w:rsidP="00E775D0" w:rsidRDefault="003B6A1B"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3B6A1B" w:rsidP="00E775D0" w:rsidRDefault="003B6A1B"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4"/>
            </w:r>
          </w:p>
        </w:tc>
        <w:tc>
          <w:tcPr>
            <w:tcW w:w="2291" w:type="dxa"/>
            <w:gridSpan w:val="2"/>
            <w:tcBorders>
              <w:top w:val="single" w:color="auto" w:sz="4" w:space="0"/>
              <w:bottom w:val="single" w:color="auto" w:sz="4" w:space="0"/>
            </w:tcBorders>
            <w:shd w:val="clear" w:color="auto" w:fill="FFFFFF"/>
            <w:vAlign w:val="bottom"/>
          </w:tcPr>
          <w:p w:rsidRPr="00C16981" w:rsidR="003B6A1B" w:rsidP="00E775D0" w:rsidRDefault="003B6A1B"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3B6A1B" w:rsidP="00E775D0" w:rsidRDefault="003B6A1B" w14:paraId="496B5DC1" w14:textId="77777777">
            <w:pPr>
              <w:keepNext/>
              <w:keepLines/>
              <w:spacing w:before="60" w:after="60"/>
              <w:jc w:val="center"/>
              <w:rPr>
                <w:b/>
                <w:sz w:val="22"/>
                <w:szCs w:val="22"/>
              </w:rPr>
            </w:pPr>
            <w:r w:rsidRPr="00C16981">
              <w:rPr>
                <w:b/>
                <w:sz w:val="22"/>
                <w:szCs w:val="22"/>
              </w:rPr>
              <w:t>Actions Affecting Eligibility (Yes/No?)</w:t>
            </w:r>
          </w:p>
          <w:p w:rsidRPr="00C16981" w:rsidR="003B6A1B" w:rsidP="00E775D0" w:rsidRDefault="003B6A1B"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751694" w:rsidTr="00CA28C3" w14:paraId="4DC5EE9B" w14:textId="77777777">
        <w:trPr>
          <w:trHeight w:val="172"/>
          <w:jc w:val="center"/>
        </w:trPr>
        <w:tc>
          <w:tcPr>
            <w:tcW w:w="2692" w:type="dxa"/>
            <w:gridSpan w:val="5"/>
            <w:tcBorders>
              <w:top w:val="single" w:color="auto" w:sz="4" w:space="0"/>
              <w:bottom w:val="single" w:color="auto" w:sz="4" w:space="0"/>
            </w:tcBorders>
          </w:tcPr>
          <w:p w:rsidRPr="007F620E" w:rsidR="00751694" w:rsidP="00751694" w:rsidRDefault="00751694" w14:paraId="7266B7BF" w14:textId="0089F128">
            <w:pPr>
              <w:keepLines/>
              <w:spacing w:before="60" w:after="60"/>
              <w:jc w:val="center"/>
              <w:rPr>
                <w:color w:val="000000"/>
              </w:rPr>
            </w:pPr>
            <w:r w:rsidRPr="00127ECA">
              <w:rPr>
                <w:color w:val="000000"/>
                <w:sz w:val="22"/>
                <w:szCs w:val="22"/>
              </w:rPr>
              <w:t>Matthew Freedman</w:t>
            </w:r>
          </w:p>
        </w:tc>
        <w:tc>
          <w:tcPr>
            <w:tcW w:w="1909" w:type="dxa"/>
            <w:gridSpan w:val="3"/>
            <w:tcBorders>
              <w:top w:val="single" w:color="auto" w:sz="4" w:space="0"/>
              <w:bottom w:val="single" w:color="auto" w:sz="4" w:space="0"/>
            </w:tcBorders>
          </w:tcPr>
          <w:p w:rsidRPr="007F620E" w:rsidR="00751694" w:rsidP="00751694" w:rsidRDefault="00751694" w14:paraId="69A41F15" w14:textId="47EC9381">
            <w:pPr>
              <w:keepLines/>
              <w:spacing w:before="60" w:after="60"/>
              <w:jc w:val="center"/>
              <w:rPr>
                <w:color w:val="000000"/>
              </w:rPr>
            </w:pPr>
            <w:r w:rsidRPr="00127ECA">
              <w:rPr>
                <w:color w:val="000000"/>
                <w:sz w:val="22"/>
                <w:szCs w:val="22"/>
              </w:rPr>
              <w:t>March 29, 2001</w:t>
            </w:r>
          </w:p>
        </w:tc>
        <w:tc>
          <w:tcPr>
            <w:tcW w:w="2291" w:type="dxa"/>
            <w:gridSpan w:val="2"/>
            <w:tcBorders>
              <w:top w:val="single" w:color="auto" w:sz="4" w:space="0"/>
              <w:bottom w:val="single" w:color="auto" w:sz="4" w:space="0"/>
            </w:tcBorders>
          </w:tcPr>
          <w:p w:rsidRPr="007F620E" w:rsidR="00751694" w:rsidP="00751694" w:rsidRDefault="00751694" w14:paraId="58495CD7" w14:textId="0CD2F678">
            <w:pPr>
              <w:keepLines/>
              <w:spacing w:before="60" w:after="60"/>
              <w:jc w:val="center"/>
              <w:rPr>
                <w:color w:val="000000"/>
              </w:rPr>
            </w:pPr>
            <w:r w:rsidRPr="00127ECA">
              <w:rPr>
                <w:color w:val="000000"/>
                <w:sz w:val="22"/>
                <w:szCs w:val="22"/>
              </w:rPr>
              <w:t>214812</w:t>
            </w:r>
          </w:p>
        </w:tc>
        <w:tc>
          <w:tcPr>
            <w:tcW w:w="4268" w:type="dxa"/>
            <w:gridSpan w:val="4"/>
            <w:tcBorders>
              <w:top w:val="single" w:color="auto" w:sz="4" w:space="0"/>
              <w:bottom w:val="single" w:color="auto" w:sz="4" w:space="0"/>
            </w:tcBorders>
          </w:tcPr>
          <w:p w:rsidRPr="007F620E" w:rsidR="00751694" w:rsidP="00751694" w:rsidRDefault="00751694" w14:paraId="117B99BF" w14:textId="5EB819FA">
            <w:pPr>
              <w:keepLines/>
              <w:spacing w:before="60" w:after="60"/>
              <w:jc w:val="center"/>
              <w:rPr>
                <w:color w:val="000000"/>
              </w:rPr>
            </w:pPr>
            <w:r w:rsidRPr="00127ECA">
              <w:rPr>
                <w:color w:val="000000"/>
                <w:sz w:val="22"/>
                <w:szCs w:val="22"/>
              </w:rPr>
              <w:t>No</w:t>
            </w:r>
          </w:p>
        </w:tc>
      </w:tr>
    </w:tbl>
    <w:p w:rsidRPr="006F1B13" w:rsidR="00A92D0B" w:rsidP="00B74F28" w:rsidRDefault="00A92D0B" w14:paraId="04BC309E" w14:textId="12E0343B">
      <w:pPr>
        <w:keepNext/>
        <w:numPr>
          <w:ilvl w:val="0"/>
          <w:numId w:val="9"/>
        </w:numPr>
        <w:spacing w:before="240" w:after="240"/>
        <w:rPr>
          <w:b/>
          <w:i/>
          <w:color w:val="000000"/>
          <w:u w:val="single"/>
        </w:rPr>
      </w:pPr>
      <w:r w:rsidRPr="005B5B44">
        <w:rPr>
          <w:b/>
          <w:color w:val="000000"/>
        </w:rPr>
        <w:t>Attachments</w:t>
      </w:r>
      <w:r w:rsidRPr="007F620E">
        <w:rPr>
          <w:b/>
        </w:rPr>
        <w:t xml:space="preserve"> Documenting Specific Claim and Comments on Part III</w:t>
      </w:r>
      <w:r w:rsidR="00C02649">
        <w:rPr>
          <w:b/>
        </w:rPr>
        <w:t>:</w:t>
      </w:r>
      <w:r w:rsidR="00CA28C3">
        <w:rPr>
          <w:rStyle w:val="FootnoteReference"/>
          <w:b/>
        </w:rPr>
        <w:footnoteReference w:id="5"/>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CA28C3" w14:paraId="71F47148" w14:textId="77777777">
        <w:tc>
          <w:tcPr>
            <w:tcW w:w="1795" w:type="dxa"/>
            <w:tcBorders>
              <w:bottom w:val="single" w:color="auto" w:sz="4" w:space="0"/>
            </w:tcBorders>
          </w:tcPr>
          <w:p w:rsidRPr="004232F2" w:rsidR="00A92D0B" w:rsidP="001A3CF3" w:rsidRDefault="004232F2" w14:paraId="7A5C03D8" w14:textId="02D69D90">
            <w:pPr>
              <w:tabs>
                <w:tab w:val="left" w:pos="1260"/>
              </w:tabs>
              <w:rPr>
                <w:b/>
                <w:bCs/>
                <w:color w:val="000000"/>
              </w:rPr>
            </w:pPr>
            <w:r w:rsidRPr="004232F2">
              <w:rPr>
                <w:b/>
                <w:bCs/>
                <w:color w:val="000000"/>
              </w:rPr>
              <w:t xml:space="preserve">Attachment </w:t>
            </w:r>
            <w:r w:rsidRPr="004232F2" w:rsidR="00A92D0B">
              <w:rPr>
                <w:b/>
                <w:bCs/>
                <w:color w:val="000000"/>
              </w:rPr>
              <w:t>1</w:t>
            </w:r>
          </w:p>
        </w:tc>
        <w:tc>
          <w:tcPr>
            <w:tcW w:w="7565" w:type="dxa"/>
            <w:tcBorders>
              <w:bottom w:val="single" w:color="auto" w:sz="4" w:space="0"/>
            </w:tcBorders>
          </w:tcPr>
          <w:p w:rsidRPr="00970429" w:rsidR="00A92D0B" w:rsidP="001A3CF3" w:rsidRDefault="00A92D0B" w14:paraId="370C67BC" w14:textId="77777777">
            <w:pPr>
              <w:tabs>
                <w:tab w:val="left" w:pos="1260"/>
              </w:tabs>
              <w:rPr>
                <w:b/>
                <w:bCs/>
                <w:color w:val="000000"/>
              </w:rPr>
            </w:pPr>
            <w:r w:rsidRPr="00970429">
              <w:rPr>
                <w:b/>
                <w:bCs/>
                <w:color w:val="000000"/>
              </w:rPr>
              <w:t>Certificate of Service</w:t>
            </w:r>
          </w:p>
        </w:tc>
      </w:tr>
      <w:tr w:rsidRPr="007F620E" w:rsidR="00A92D0B" w:rsidTr="00CA28C3" w14:paraId="72C869B0" w14:textId="77777777">
        <w:tc>
          <w:tcPr>
            <w:tcW w:w="1795" w:type="dxa"/>
          </w:tcPr>
          <w:p w:rsidRPr="004232F2" w:rsidR="00A92D0B" w:rsidP="001A3CF3" w:rsidRDefault="004232F2" w14:paraId="49AADD21" w14:textId="5D64FD9D">
            <w:pPr>
              <w:tabs>
                <w:tab w:val="left" w:pos="1260"/>
              </w:tabs>
              <w:rPr>
                <w:b/>
                <w:bCs/>
                <w:color w:val="000000"/>
              </w:rPr>
            </w:pPr>
            <w:r w:rsidRPr="004232F2">
              <w:rPr>
                <w:b/>
                <w:bCs/>
                <w:color w:val="000000"/>
              </w:rPr>
              <w:t xml:space="preserve">Attachment </w:t>
            </w:r>
            <w:r w:rsidRPr="004232F2" w:rsidR="0022302F">
              <w:rPr>
                <w:b/>
                <w:bCs/>
                <w:color w:val="000000"/>
              </w:rPr>
              <w:t>2</w:t>
            </w:r>
          </w:p>
        </w:tc>
        <w:tc>
          <w:tcPr>
            <w:tcW w:w="7565" w:type="dxa"/>
          </w:tcPr>
          <w:p w:rsidRPr="00970429" w:rsidR="00A92D0B" w:rsidP="001A3CF3" w:rsidRDefault="007C5BBB" w14:paraId="3AF20C23" w14:textId="0A704D57">
            <w:pPr>
              <w:tabs>
                <w:tab w:val="left" w:pos="1260"/>
              </w:tabs>
              <w:rPr>
                <w:b/>
                <w:bCs/>
                <w:color w:val="000000"/>
              </w:rPr>
            </w:pPr>
            <w:r w:rsidRPr="00970429">
              <w:rPr>
                <w:b/>
                <w:bCs/>
                <w:color w:val="000000"/>
              </w:rPr>
              <w:t>Attorney and Experts Time Sheet Detail</w:t>
            </w:r>
          </w:p>
        </w:tc>
      </w:tr>
      <w:tr w:rsidRPr="007F620E" w:rsidR="00751694" w:rsidTr="00CA28C3" w14:paraId="09716832" w14:textId="77777777">
        <w:tc>
          <w:tcPr>
            <w:tcW w:w="1795" w:type="dxa"/>
          </w:tcPr>
          <w:p w:rsidRPr="004232F2" w:rsidR="00751694" w:rsidP="001A3CF3" w:rsidRDefault="004232F2" w14:paraId="628BCC6B" w14:textId="06626680">
            <w:pPr>
              <w:tabs>
                <w:tab w:val="left" w:pos="1260"/>
              </w:tabs>
              <w:rPr>
                <w:b/>
                <w:bCs/>
                <w:color w:val="000000"/>
              </w:rPr>
            </w:pPr>
            <w:r w:rsidRPr="004232F2">
              <w:rPr>
                <w:b/>
                <w:bCs/>
                <w:color w:val="000000"/>
              </w:rPr>
              <w:t xml:space="preserve">Attachment </w:t>
            </w:r>
            <w:r w:rsidRPr="004232F2" w:rsidR="00751694">
              <w:rPr>
                <w:b/>
                <w:bCs/>
                <w:color w:val="000000"/>
              </w:rPr>
              <w:t>3</w:t>
            </w:r>
          </w:p>
        </w:tc>
        <w:tc>
          <w:tcPr>
            <w:tcW w:w="7565" w:type="dxa"/>
          </w:tcPr>
          <w:p w:rsidRPr="00970429" w:rsidR="00751694" w:rsidP="001A3CF3" w:rsidRDefault="006A4B71" w14:paraId="282E0B3A" w14:textId="1CCF85A2">
            <w:pPr>
              <w:tabs>
                <w:tab w:val="left" w:pos="1260"/>
              </w:tabs>
              <w:rPr>
                <w:b/>
                <w:bCs/>
                <w:color w:val="000000"/>
              </w:rPr>
            </w:pPr>
            <w:r w:rsidRPr="00970429">
              <w:rPr>
                <w:b/>
                <w:bCs/>
                <w:color w:val="000000"/>
              </w:rPr>
              <w:t>TURN hours Allocated by Issue</w:t>
            </w:r>
          </w:p>
        </w:tc>
      </w:tr>
      <w:tr w:rsidRPr="007F620E" w:rsidR="007C5BBB" w:rsidTr="00CA28C3" w14:paraId="14F89935" w14:textId="77777777">
        <w:tc>
          <w:tcPr>
            <w:tcW w:w="1795" w:type="dxa"/>
          </w:tcPr>
          <w:p w:rsidRPr="004232F2" w:rsidR="007C5BBB" w:rsidP="001A3CF3" w:rsidRDefault="004232F2" w14:paraId="1098D385" w14:textId="0802F6A6">
            <w:pPr>
              <w:tabs>
                <w:tab w:val="left" w:pos="1260"/>
              </w:tabs>
              <w:rPr>
                <w:b/>
                <w:bCs/>
                <w:color w:val="000000"/>
              </w:rPr>
            </w:pPr>
            <w:r w:rsidRPr="004232F2">
              <w:rPr>
                <w:b/>
                <w:bCs/>
                <w:color w:val="000000"/>
              </w:rPr>
              <w:t xml:space="preserve">Attachment </w:t>
            </w:r>
            <w:r w:rsidRPr="004232F2" w:rsidR="00751694">
              <w:rPr>
                <w:b/>
                <w:bCs/>
                <w:color w:val="000000"/>
              </w:rPr>
              <w:t>4</w:t>
            </w:r>
          </w:p>
        </w:tc>
        <w:tc>
          <w:tcPr>
            <w:tcW w:w="7565" w:type="dxa"/>
          </w:tcPr>
          <w:p w:rsidRPr="00970429" w:rsidR="007C5BBB" w:rsidP="001A3CF3" w:rsidRDefault="006A4B71" w14:paraId="51F73D54" w14:textId="172E19FF">
            <w:pPr>
              <w:tabs>
                <w:tab w:val="left" w:pos="1260"/>
              </w:tabs>
              <w:rPr>
                <w:b/>
                <w:bCs/>
                <w:color w:val="000000"/>
              </w:rPr>
            </w:pPr>
            <w:r w:rsidRPr="006A4B71">
              <w:rPr>
                <w:b/>
                <w:bCs/>
                <w:color w:val="000000"/>
              </w:rPr>
              <w:t>William Monsen (MRW) 2024 addendum to consulting agreement and 2025 invoice</w:t>
            </w:r>
          </w:p>
        </w:tc>
      </w:tr>
      <w:tr w:rsidRPr="007F620E" w:rsidR="00E24486" w:rsidTr="00CA28C3" w14:paraId="1224803D" w14:textId="77777777">
        <w:tc>
          <w:tcPr>
            <w:tcW w:w="1795" w:type="dxa"/>
          </w:tcPr>
          <w:p w:rsidRPr="004232F2" w:rsidR="00E24486" w:rsidP="001A3CF3" w:rsidRDefault="00E24486" w14:paraId="44326C3E" w14:textId="3CD074A5">
            <w:pPr>
              <w:tabs>
                <w:tab w:val="left" w:pos="1260"/>
              </w:tabs>
              <w:rPr>
                <w:b/>
                <w:bCs/>
                <w:color w:val="000000"/>
              </w:rPr>
            </w:pPr>
            <w:r>
              <w:rPr>
                <w:b/>
                <w:bCs/>
                <w:color w:val="000000"/>
              </w:rPr>
              <w:t>Attachment 5</w:t>
            </w:r>
          </w:p>
        </w:tc>
        <w:tc>
          <w:tcPr>
            <w:tcW w:w="7565" w:type="dxa"/>
          </w:tcPr>
          <w:p w:rsidRPr="00970429" w:rsidR="00E24486" w:rsidP="001A3CF3" w:rsidRDefault="00E24486" w14:paraId="5D6F4E87" w14:textId="6743864E">
            <w:pPr>
              <w:tabs>
                <w:tab w:val="left" w:pos="1260"/>
              </w:tabs>
              <w:rPr>
                <w:b/>
                <w:bCs/>
                <w:color w:val="000000"/>
              </w:rPr>
            </w:pPr>
            <w:r>
              <w:rPr>
                <w:b/>
                <w:bCs/>
                <w:color w:val="000000"/>
              </w:rPr>
              <w:t>Expense Detail</w:t>
            </w:r>
          </w:p>
        </w:tc>
      </w:tr>
      <w:tr w:rsidRPr="007F620E" w:rsidR="000803E6" w:rsidTr="00CA28C3" w14:paraId="7167F3E1" w14:textId="77777777">
        <w:tc>
          <w:tcPr>
            <w:tcW w:w="1795" w:type="dxa"/>
          </w:tcPr>
          <w:p w:rsidRPr="004232F2" w:rsidR="000803E6" w:rsidP="001A3CF3" w:rsidRDefault="004232F2" w14:paraId="49D610CF" w14:textId="5A5EDAC0">
            <w:pPr>
              <w:tabs>
                <w:tab w:val="left" w:pos="1260"/>
              </w:tabs>
              <w:rPr>
                <w:b/>
                <w:bCs/>
                <w:color w:val="000000"/>
              </w:rPr>
            </w:pPr>
            <w:r>
              <w:rPr>
                <w:b/>
                <w:bCs/>
                <w:color w:val="000000"/>
              </w:rPr>
              <w:t>Comment #1</w:t>
            </w:r>
          </w:p>
        </w:tc>
        <w:tc>
          <w:tcPr>
            <w:tcW w:w="7565" w:type="dxa"/>
          </w:tcPr>
          <w:p w:rsidRPr="004A7822" w:rsidR="000803E6" w:rsidP="001A3CF3" w:rsidRDefault="004232F2" w14:paraId="172B7EE5" w14:textId="660643EF">
            <w:pPr>
              <w:tabs>
                <w:tab w:val="left" w:pos="1260"/>
              </w:tabs>
              <w:rPr>
                <w:b/>
                <w:color w:val="000000"/>
              </w:rPr>
            </w:pPr>
            <w:r w:rsidRPr="004A7822">
              <w:rPr>
                <w:b/>
                <w:color w:val="000000"/>
              </w:rPr>
              <w:t>2025 Hourly Rate for William Monsen</w:t>
            </w:r>
          </w:p>
          <w:p w:rsidRPr="00211DBC" w:rsidR="004232F2" w:rsidP="004232F2" w:rsidRDefault="004232F2" w14:paraId="6DAC3D1B" w14:textId="43D1484B">
            <w:pPr>
              <w:spacing w:before="100" w:beforeAutospacing="1" w:after="100" w:afterAutospacing="1"/>
              <w:rPr>
                <w:color w:val="000000"/>
              </w:rPr>
            </w:pPr>
            <w:r w:rsidRPr="00211DBC">
              <w:rPr>
                <w:bCs/>
                <w:color w:val="000000"/>
              </w:rPr>
              <w:t xml:space="preserve">TURN requests that the Commission adopt a 2025 hourly rate of $410 for TURN </w:t>
            </w:r>
            <w:r w:rsidR="00A167D8">
              <w:rPr>
                <w:bCs/>
                <w:color w:val="000000"/>
              </w:rPr>
              <w:t xml:space="preserve">External </w:t>
            </w:r>
            <w:r w:rsidRPr="004A7822">
              <w:rPr>
                <w:bCs/>
                <w:color w:val="000000"/>
              </w:rPr>
              <w:t xml:space="preserve">Consultant William Monsen. This rate is equal to the rate authorized by the Commission </w:t>
            </w:r>
            <w:proofErr w:type="gramStart"/>
            <w:r w:rsidRPr="004A7822">
              <w:rPr>
                <w:bCs/>
                <w:color w:val="000000"/>
              </w:rPr>
              <w:t>in</w:t>
            </w:r>
            <w:proofErr w:type="gramEnd"/>
            <w:r w:rsidRPr="004A7822">
              <w:rPr>
                <w:bCs/>
                <w:color w:val="000000"/>
              </w:rPr>
              <w:t xml:space="preserve"> </w:t>
            </w:r>
            <w:r w:rsidRPr="004A7822">
              <w:t xml:space="preserve">D.25-10-059 </w:t>
            </w:r>
            <w:r w:rsidRPr="004A7822">
              <w:rPr>
                <w:bCs/>
                <w:color w:val="000000"/>
              </w:rPr>
              <w:t>for Mr. Monsen’s work for 2024 ($395) adjusted by the annual escalation</w:t>
            </w:r>
            <w:r w:rsidRPr="00211DBC">
              <w:rPr>
                <w:bCs/>
                <w:color w:val="000000"/>
              </w:rPr>
              <w:t xml:space="preserve"> methodology adopted in Resolution (Res.) ALJ-393.</w:t>
            </w:r>
          </w:p>
          <w:p w:rsidRPr="00211DBC" w:rsidR="004232F2" w:rsidP="004232F2" w:rsidRDefault="004232F2" w14:paraId="03B122F5" w14:textId="07B52703">
            <w:pPr>
              <w:spacing w:before="100" w:beforeAutospacing="1" w:after="100" w:afterAutospacing="1"/>
              <w:rPr>
                <w:color w:val="000000"/>
              </w:rPr>
            </w:pPr>
            <w:r w:rsidRPr="00211DBC">
              <w:rPr>
                <w:color w:val="000000"/>
              </w:rPr>
              <w:t>The annual escalation methodology adopted in Res. ALJ-393 is based on the annual percentage change in the Bureau of Labor Statistics Employment Cost Index, Table 5, for the Occupational Group “Management, Professional, and Related excluding Incentive Paid Occupations.” (Res. ALJ-393, p. 4; Intervenor Compensation Market Rate Study, Final Report, p. 8). The percent change for this occupational group for the 12-months ended December 2024 is 3.46% (</w:t>
            </w:r>
            <w:r w:rsidRPr="00211DBC">
              <w:rPr>
                <w:i/>
                <w:iCs/>
                <w:color w:val="000000"/>
              </w:rPr>
              <w:t>See</w:t>
            </w:r>
            <w:r w:rsidRPr="00211DBC">
              <w:rPr>
                <w:rStyle w:val="apple-converted-space"/>
                <w:i/>
                <w:iCs/>
                <w:color w:val="000000"/>
              </w:rPr>
              <w:t> </w:t>
            </w:r>
            <w:hyperlink w:history="1" r:id="rId8">
              <w:r w:rsidRPr="00211DBC">
                <w:rPr>
                  <w:rStyle w:val="Hyperlink"/>
                  <w:i/>
                  <w:iCs/>
                </w:rPr>
                <w:t>https://www.bls.gov/news.release/eci.t05.htm</w:t>
              </w:r>
            </w:hyperlink>
            <w:r w:rsidRPr="00211DBC">
              <w:rPr>
                <w:color w:val="000000"/>
              </w:rPr>
              <w:t xml:space="preserve">). The application of this escalation to Mr. Monsen’s 2024 rate yields $408.67 which is rounded to $410 (the nearest $5 increment). </w:t>
            </w:r>
          </w:p>
          <w:p w:rsidRPr="004232F2" w:rsidR="004232F2" w:rsidP="004232F2" w:rsidRDefault="004232F2" w14:paraId="344FB88E" w14:textId="3F3A8481">
            <w:pPr>
              <w:spacing w:before="100" w:beforeAutospacing="1" w:after="100" w:afterAutospacing="1"/>
              <w:rPr>
                <w:color w:val="000000"/>
                <w:sz w:val="22"/>
                <w:szCs w:val="22"/>
              </w:rPr>
            </w:pPr>
            <w:r w:rsidRPr="00211DBC">
              <w:rPr>
                <w:color w:val="000000"/>
              </w:rPr>
              <w:t xml:space="preserve">Mr. Monsen charged TURN $410 for his work in 2025. In attachment 3, TURN provides </w:t>
            </w:r>
            <w:r w:rsidR="00E3595D">
              <w:rPr>
                <w:color w:val="000000"/>
              </w:rPr>
              <w:t xml:space="preserve">a written agreement for 2024 assigning Mr. Monsen a $395 </w:t>
            </w:r>
            <w:r w:rsidR="00E3595D">
              <w:rPr>
                <w:color w:val="000000"/>
              </w:rPr>
              <w:lastRenderedPageBreak/>
              <w:t>hourly rate and an</w:t>
            </w:r>
            <w:r w:rsidRPr="00211DBC">
              <w:rPr>
                <w:color w:val="000000"/>
              </w:rPr>
              <w:t xml:space="preserve"> invoice </w:t>
            </w:r>
            <w:r w:rsidR="00E3595D">
              <w:rPr>
                <w:color w:val="000000"/>
              </w:rPr>
              <w:t>from 2025 showing a $410 hourly rate. These documents demonstrate that TURN was billed the rates being requested in this compensation request for Mr. Monsen’s services in both years.</w:t>
            </w:r>
          </w:p>
        </w:tc>
      </w:tr>
    </w:tbl>
    <w:p w:rsidRPr="007F620E" w:rsidR="00A92D0B" w:rsidP="005B5B44" w:rsidRDefault="00A92D0B" w14:paraId="0D8B7003" w14:textId="47FF92EB">
      <w:pPr>
        <w:keepNext/>
        <w:numPr>
          <w:ilvl w:val="0"/>
          <w:numId w:val="9"/>
        </w:numPr>
        <w:spacing w:before="240" w:after="240"/>
        <w:rPr>
          <w:b/>
          <w:color w:val="000000"/>
        </w:rPr>
      </w:pPr>
      <w:r w:rsidRPr="007F620E">
        <w:rPr>
          <w:b/>
          <w:color w:val="000000"/>
        </w:rPr>
        <w:lastRenderedPageBreak/>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527"/>
        <w:gridCol w:w="7833"/>
      </w:tblGrid>
      <w:tr w:rsidRPr="007F620E" w:rsidR="00A92D0B" w:rsidTr="001F2397" w14:paraId="52CD0603" w14:textId="77777777">
        <w:trPr>
          <w:tblHeader/>
        </w:trPr>
        <w:tc>
          <w:tcPr>
            <w:tcW w:w="1527"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33"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1F2397" w14:paraId="69DEE01C" w14:textId="77777777">
        <w:tc>
          <w:tcPr>
            <w:tcW w:w="1527" w:type="dxa"/>
          </w:tcPr>
          <w:p w:rsidRPr="007F620E" w:rsidR="00A92D0B" w:rsidP="00EB64CF" w:rsidRDefault="00716F0D" w14:paraId="1E6C8F3D" w14:textId="443C8282">
            <w:pPr>
              <w:tabs>
                <w:tab w:val="left" w:pos="1440"/>
              </w:tabs>
              <w:rPr>
                <w:color w:val="000000"/>
              </w:rPr>
            </w:pPr>
            <w:r>
              <w:rPr>
                <w:color w:val="000000"/>
              </w:rPr>
              <w:t>[1]</w:t>
            </w:r>
            <w:r w:rsidR="00F94F54">
              <w:rPr>
                <w:color w:val="000000"/>
              </w:rPr>
              <w:t xml:space="preserve"> Monsen </w:t>
            </w:r>
            <w:r w:rsidRPr="00165E44" w:rsidR="0050166C">
              <w:t>2024</w:t>
            </w:r>
            <w:r w:rsidR="00BE343A">
              <w:t xml:space="preserve"> and</w:t>
            </w:r>
            <w:r w:rsidRPr="00165E44" w:rsidR="0050166C">
              <w:t xml:space="preserve"> 2025 Hourly</w:t>
            </w:r>
            <w:r w:rsidR="00700E47">
              <w:t xml:space="preserve"> </w:t>
            </w:r>
            <w:r w:rsidRPr="00165E44" w:rsidR="0050166C">
              <w:t>Rates</w:t>
            </w:r>
          </w:p>
        </w:tc>
        <w:tc>
          <w:tcPr>
            <w:tcW w:w="7833" w:type="dxa"/>
          </w:tcPr>
          <w:p w:rsidR="00C46F48" w:rsidP="00C46F48" w:rsidRDefault="00A33242" w14:paraId="1CFF7F45" w14:textId="61BF1B72">
            <w:r>
              <w:t xml:space="preserve">TURN has confirmed that </w:t>
            </w:r>
            <w:r w:rsidR="00C46F48">
              <w:t>William Monsen</w:t>
            </w:r>
            <w:r w:rsidRPr="00165E44" w:rsidR="00C46F48">
              <w:t xml:space="preserve"> is a consultant. Pursuant to the Commission’s policy, </w:t>
            </w:r>
            <w:r w:rsidRPr="00165E44" w:rsidR="00C46F48">
              <w:rPr>
                <w:color w:val="000000"/>
              </w:rPr>
              <w:t>the rate requested by an intervenor must not exceed the rate billed to that intervenor by any outside consultant it hires, even if the consultant’s billed rate is below the floor for a given experience level.</w:t>
            </w:r>
            <w:r w:rsidR="00F827D9">
              <w:rPr>
                <w:rStyle w:val="FootnoteReference"/>
                <w:color w:val="000000"/>
              </w:rPr>
              <w:footnoteReference w:id="6"/>
            </w:r>
            <w:r w:rsidRPr="00165E44" w:rsidR="00C46F48">
              <w:rPr>
                <w:color w:val="000000"/>
              </w:rPr>
              <w:t xml:space="preserve"> Per the Intervenor Compensation Program Guide at 24, the Commission may audit the records and books of the intervenors to the extent necessary to verify the basis for the award (§1804(d)).</w:t>
            </w:r>
            <w:r w:rsidRPr="00165E44" w:rsidR="00C46F48">
              <w:t xml:space="preserve"> </w:t>
            </w:r>
          </w:p>
          <w:p w:rsidR="00B7439F" w:rsidP="00C46F48" w:rsidRDefault="00B7439F" w14:paraId="682CB599" w14:textId="77777777"/>
          <w:p w:rsidR="00656647" w:rsidP="00656647" w:rsidRDefault="00656647" w14:paraId="0CD4D90A" w14:textId="299D3420">
            <w:r>
              <w:t xml:space="preserve">TURN has confirmed that it paid William Monsen $395.00 per hour for work in this proceeding in 2024. We find this rate reasonable given Monsen’s experience and approve this rate here. </w:t>
            </w:r>
          </w:p>
          <w:p w:rsidR="00656647" w:rsidP="00656647" w:rsidRDefault="00656647" w14:paraId="5C971A8A" w14:textId="0EE5734A">
            <w:pPr>
              <w:rPr>
                <w:color w:val="000000" w:themeColor="text1"/>
              </w:rPr>
            </w:pPr>
          </w:p>
          <w:p w:rsidRPr="00165E44" w:rsidR="00656647" w:rsidP="00656647" w:rsidRDefault="00656647" w14:paraId="2BE20C08" w14:textId="4809AF0F">
            <w:pPr>
              <w:rPr>
                <w:color w:val="000000" w:themeColor="text1"/>
              </w:rPr>
            </w:pPr>
            <w:r>
              <w:t>TURN has confirmed that it paid William Monsen $410.00 per hour for work in this proceeding in 2025. We find this rate reasonable given Monsen’s experience and approve this rate here.</w:t>
            </w:r>
          </w:p>
          <w:p w:rsidRPr="00165E44" w:rsidR="00C46F48" w:rsidP="00C46F48" w:rsidRDefault="00C46F48" w14:paraId="3663A8B5" w14:textId="77777777"/>
          <w:p w:rsidR="00A92D0B" w:rsidP="00C46F48" w:rsidRDefault="00C46F48" w14:paraId="77773464" w14:textId="77777777">
            <w:pPr>
              <w:tabs>
                <w:tab w:val="left" w:pos="1440"/>
              </w:tabs>
            </w:pPr>
            <w:r w:rsidRPr="00165E44">
              <w:t xml:space="preserve">The award determined herein for </w:t>
            </w:r>
            <w:r>
              <w:t>Monsen’s</w:t>
            </w:r>
            <w:r w:rsidRPr="00165E44">
              <w:t xml:space="preserve"> contribution in this proceeding shall be paid in full to </w:t>
            </w:r>
            <w:r>
              <w:t>Monsen</w:t>
            </w:r>
            <w:r w:rsidRPr="00165E44">
              <w:t xml:space="preserve">, and no portion of this part of the award shall be kept by </w:t>
            </w:r>
            <w:r w:rsidRPr="00201E96">
              <w:t>TURN.</w:t>
            </w:r>
            <w:r w:rsidRPr="00201E96" w:rsidR="00304600">
              <w:t xml:space="preserve"> Additionally, the rates approved here are specific to work in this proceeding and the contract terms between the consultant and intervenor, as they are established in accordance with the Commission’s policy on consultant compensation, and the understanding that the consultant has not billed or collected compensation for the work performed until the final award is given.</w:t>
            </w:r>
          </w:p>
          <w:p w:rsidR="00702CD1" w:rsidP="00C46F48" w:rsidRDefault="00702CD1" w14:paraId="3459998C" w14:textId="77777777">
            <w:pPr>
              <w:tabs>
                <w:tab w:val="left" w:pos="1440"/>
              </w:tabs>
              <w:rPr>
                <w:color w:val="000000"/>
              </w:rPr>
            </w:pPr>
          </w:p>
          <w:p w:rsidRPr="007F620E" w:rsidR="00702CD1" w:rsidP="00C46F48" w:rsidRDefault="00702CD1" w14:paraId="45BFCB16" w14:textId="0CB8A934">
            <w:pPr>
              <w:tabs>
                <w:tab w:val="left" w:pos="1440"/>
              </w:tabs>
              <w:rPr>
                <w:color w:val="000000"/>
              </w:rPr>
            </w:pPr>
            <w:r w:rsidRPr="00702CD1">
              <w:rPr>
                <w:color w:val="000000"/>
              </w:rPr>
              <w:t xml:space="preserve">We reiterate that it is the responsibility of the intervenor to be forthcoming about engaging consultants and the terms of the contract,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 xml:space="preserve">TURN </w:t>
            </w:r>
            <w:r w:rsidRPr="00702CD1">
              <w:rPr>
                <w:color w:val="000000"/>
              </w:rPr>
              <w:t xml:space="preserve">did not provide all the documentation pertaining to the contract terms between Intervenor and Consultant in the </w:t>
            </w:r>
            <w:r w:rsidRPr="00702CD1">
              <w:rPr>
                <w:color w:val="000000"/>
              </w:rPr>
              <w:lastRenderedPageBreak/>
              <w:t>initial claim and waited until the Commission requested supplemental documentation which delays the processing of the claim.</w:t>
            </w:r>
          </w:p>
        </w:tc>
      </w:tr>
      <w:tr w:rsidRPr="007F620E" w:rsidR="001F2397" w:rsidTr="001F2397" w14:paraId="52155EFC" w14:textId="77777777">
        <w:tc>
          <w:tcPr>
            <w:tcW w:w="1527" w:type="dxa"/>
          </w:tcPr>
          <w:p w:rsidRPr="007F620E" w:rsidR="001F2397" w:rsidP="00201E96" w:rsidRDefault="001F2397" w14:paraId="26487933" w14:textId="7B7578EA">
            <w:pPr>
              <w:tabs>
                <w:tab w:val="left" w:pos="1440"/>
              </w:tabs>
              <w:rPr>
                <w:color w:val="000000"/>
              </w:rPr>
            </w:pPr>
            <w:r>
              <w:lastRenderedPageBreak/>
              <w:t>[</w:t>
            </w:r>
            <w:r w:rsidR="00716F0D">
              <w:t>2</w:t>
            </w:r>
            <w:r>
              <w:t>] Consultant Rate Disclaimer</w:t>
            </w:r>
          </w:p>
        </w:tc>
        <w:tc>
          <w:tcPr>
            <w:tcW w:w="7833" w:type="dxa"/>
          </w:tcPr>
          <w:p w:rsidRPr="008F2D19" w:rsidR="001F2397" w:rsidP="001F2397" w:rsidRDefault="001F2397" w14:paraId="5242D451" w14:textId="77777777">
            <w:pPr>
              <w:tabs>
                <w:tab w:val="left" w:pos="1440"/>
              </w:tabs>
            </w:pPr>
            <w:r w:rsidRPr="008F2D19">
              <w:t xml:space="preserve">The Commission takes this opportunity to remind all intervenors that they bear the burden of providing accurate, complete, and honest information </w:t>
            </w:r>
            <w:proofErr w:type="gramStart"/>
            <w:r w:rsidRPr="008F2D19">
              <w:t>in</w:t>
            </w:r>
            <w:proofErr w:type="gramEnd"/>
            <w:r w:rsidRPr="008F2D19">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8F2D19" w:rsidR="001F2397" w:rsidP="001F2397" w:rsidRDefault="001F2397" w14:paraId="68D7F8F2" w14:textId="77777777">
            <w:pPr>
              <w:tabs>
                <w:tab w:val="left" w:pos="1440"/>
              </w:tabs>
            </w:pPr>
          </w:p>
          <w:p w:rsidRPr="008F2D19" w:rsidR="001F2397" w:rsidP="001F2397" w:rsidRDefault="001F2397" w14:paraId="40764DBB" w14:textId="77777777">
            <w:pPr>
              <w:tabs>
                <w:tab w:val="left" w:pos="1440"/>
              </w:tabs>
            </w:pPr>
            <w:r w:rsidRPr="008F2D19">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8F2D19" w:rsidR="001F2397" w:rsidP="001F2397" w:rsidRDefault="001F2397" w14:paraId="1590D567" w14:textId="77777777">
            <w:pPr>
              <w:tabs>
                <w:tab w:val="left" w:pos="1440"/>
              </w:tabs>
            </w:pPr>
          </w:p>
          <w:p w:rsidRPr="007F620E" w:rsidR="001F2397" w:rsidP="001F2397" w:rsidRDefault="001F2397" w14:paraId="455E6A00" w14:textId="70579B6B">
            <w:pPr>
              <w:tabs>
                <w:tab w:val="left" w:pos="1440"/>
              </w:tabs>
              <w:rPr>
                <w:color w:val="000000"/>
              </w:rPr>
            </w:pPr>
            <w:r w:rsidRPr="008F2D19">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r w:rsidRPr="002F11D8">
              <w:t xml:space="preserve"> </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CA28C3" w14:paraId="6E7CD931" w14:textId="1D1D45B5">
            <w:pPr>
              <w:rPr>
                <w:color w:val="000000"/>
              </w:rPr>
            </w:pPr>
            <w:r>
              <w:rPr>
                <w:color w:val="000000"/>
              </w:rPr>
              <w:t>No</w:t>
            </w:r>
          </w:p>
        </w:tc>
      </w:tr>
    </w:tbl>
    <w:p w:rsidRPr="007F620E" w:rsidR="00A92D0B" w:rsidP="00B74F28" w:rsidRDefault="00A92D0B" w14:paraId="4660D7B4" w14:textId="0B036602">
      <w:pP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8"/>
        <w:gridCol w:w="2022"/>
      </w:tblGrid>
      <w:tr w:rsidRPr="007F620E" w:rsidR="00A92D0B" w:rsidTr="00CA28C3" w14:paraId="7A0D8740" w14:textId="77777777">
        <w:tc>
          <w:tcPr>
            <w:tcW w:w="733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22" w:type="dxa"/>
          </w:tcPr>
          <w:p w:rsidRPr="007F620E" w:rsidR="00A92D0B" w:rsidP="00DE3A5D" w:rsidRDefault="00201E96" w14:paraId="238D2D3F" w14:textId="148B4AED">
            <w:pPr>
              <w:keepNext/>
              <w:keepLines/>
              <w:spacing w:after="240"/>
              <w:rPr>
                <w:color w:val="000000"/>
              </w:rPr>
            </w:pPr>
            <w:r>
              <w:rPr>
                <w:color w:val="000000"/>
              </w:rPr>
              <w:t>Yes</w:t>
            </w:r>
          </w:p>
        </w:tc>
      </w:tr>
    </w:tbl>
    <w:p w:rsidR="00BE45D0" w:rsidRDefault="00BE45D0" w14:paraId="4C76EB64" w14:textId="77777777">
      <w:pPr>
        <w:jc w:val="center"/>
        <w:rPr>
          <w:b/>
          <w:color w:val="000000"/>
          <w:u w:val="single"/>
        </w:rPr>
      </w:pPr>
    </w:p>
    <w:p w:rsidRPr="007F620E" w:rsidR="00A92D0B" w:rsidP="00B74F28" w:rsidRDefault="00A92D0B" w14:paraId="186E115A" w14:textId="77777777">
      <w:pPr>
        <w:keepNext/>
        <w:spacing w:after="240"/>
        <w:jc w:val="center"/>
        <w:rPr>
          <w:b/>
          <w:color w:val="000000"/>
          <w:u w:val="single"/>
        </w:rPr>
      </w:pPr>
      <w:r w:rsidRPr="007F620E">
        <w:rPr>
          <w:b/>
          <w:color w:val="000000"/>
          <w:u w:val="single"/>
        </w:rPr>
        <w:t>FINDINGS OF FACT</w:t>
      </w:r>
    </w:p>
    <w:p w:rsidRPr="007F620E" w:rsidR="00A92D0B" w:rsidRDefault="007C5BBB" w14:paraId="7772A9DC" w14:textId="1B6ABC87">
      <w:pPr>
        <w:numPr>
          <w:ilvl w:val="0"/>
          <w:numId w:val="3"/>
        </w:numPr>
        <w:tabs>
          <w:tab w:val="num" w:pos="540"/>
        </w:tabs>
        <w:ind w:left="540" w:hanging="540"/>
      </w:pPr>
      <w:r>
        <w:t xml:space="preserve">The Utility Reform Network </w:t>
      </w:r>
      <w:r w:rsidRPr="007F620E" w:rsidR="00A92D0B">
        <w:t>has made a substantia</w:t>
      </w:r>
      <w:r w:rsidRPr="007F620E" w:rsidR="00DE3A5D">
        <w:t xml:space="preserve">l contribution to </w:t>
      </w:r>
      <w:r>
        <w:t>D.25-0</w:t>
      </w:r>
      <w:r w:rsidR="00586254">
        <w:t>9</w:t>
      </w:r>
      <w:r>
        <w:t>-01</w:t>
      </w:r>
      <w:r w:rsidR="00586254">
        <w:t>6</w:t>
      </w:r>
      <w:r w:rsidR="00D1345D">
        <w:t>.</w:t>
      </w:r>
    </w:p>
    <w:p w:rsidRPr="007F620E" w:rsidR="00A92D0B" w:rsidRDefault="00A92D0B" w14:paraId="04EB50FD" w14:textId="111B0E1B">
      <w:pPr>
        <w:numPr>
          <w:ilvl w:val="0"/>
          <w:numId w:val="3"/>
        </w:numPr>
        <w:tabs>
          <w:tab w:val="num" w:pos="540"/>
        </w:tabs>
        <w:spacing w:before="240"/>
      </w:pPr>
      <w:r w:rsidRPr="007F620E">
        <w:t>The requested hourly rates for</w:t>
      </w:r>
      <w:r w:rsidR="007C5BBB">
        <w:t xml:space="preserve"> The Utility Reform Network’s </w:t>
      </w:r>
      <w:r w:rsidRPr="007F620E">
        <w:t xml:space="preserve">representatives are comparable to market rates paid to experts and </w:t>
      </w:r>
      <w:proofErr w:type="gramStart"/>
      <w:r w:rsidRPr="007F620E">
        <w:t>advocates</w:t>
      </w:r>
      <w:proofErr w:type="gramEnd"/>
      <w:r w:rsidRPr="007F620E">
        <w:t xml:space="preserve"> having comparable training and experience and offering similar services</w:t>
      </w:r>
      <w:r w:rsidRPr="00427AA8" w:rsidR="00427AA8">
        <w:t xml:space="preserve">, and/or </w:t>
      </w:r>
      <w:proofErr w:type="gramStart"/>
      <w:r w:rsidRPr="00427AA8" w:rsidR="00427AA8">
        <w:t>reflect</w:t>
      </w:r>
      <w:proofErr w:type="gramEnd"/>
      <w:r w:rsidRPr="00427AA8" w:rsidR="00427AA8">
        <w:t xml:space="preserve"> the actual rates billed to, and paid by the intervenor, for consultant services rendered.</w:t>
      </w:r>
    </w:p>
    <w:p w:rsidRPr="007F620E" w:rsidR="00A92D0B" w:rsidRDefault="00A92D0B" w14:paraId="528EBB52" w14:textId="54EF2AA2">
      <w:pPr>
        <w:numPr>
          <w:ilvl w:val="0"/>
          <w:numId w:val="3"/>
        </w:numPr>
        <w:tabs>
          <w:tab w:val="num" w:pos="540"/>
        </w:tabs>
        <w:spacing w:before="240"/>
      </w:pPr>
      <w:r w:rsidRPr="007F620E">
        <w:t xml:space="preserve">The claimed costs and expenses are reasonable and commensurate with the work performed. </w:t>
      </w:r>
    </w:p>
    <w:p w:rsidRPr="007F620E" w:rsidR="00A92D0B" w:rsidRDefault="00A92D0B" w14:paraId="48B52895" w14:textId="7E387D26">
      <w:pPr>
        <w:numPr>
          <w:ilvl w:val="0"/>
          <w:numId w:val="3"/>
        </w:numPr>
        <w:tabs>
          <w:tab w:val="num" w:pos="540"/>
        </w:tabs>
        <w:spacing w:before="240"/>
      </w:pPr>
      <w:r w:rsidRPr="007F620E">
        <w:lastRenderedPageBreak/>
        <w:t xml:space="preserve">The total of reasonable </w:t>
      </w:r>
      <w:r w:rsidRPr="007F620E" w:rsidR="003C608A">
        <w:t xml:space="preserve">compensation </w:t>
      </w:r>
      <w:r w:rsidRPr="007F620E">
        <w:t xml:space="preserve">is </w:t>
      </w:r>
      <w:r w:rsidR="00617A73">
        <w:t>$196,486.37</w:t>
      </w:r>
      <w:r w:rsidR="00427AA8">
        <w:t>.</w:t>
      </w:r>
    </w:p>
    <w:p w:rsidRPr="007F620E" w:rsidR="00A92D0B" w:rsidP="00B74F28" w:rsidRDefault="00A92D0B" w14:paraId="5C773C3F" w14:textId="77777777">
      <w:pPr>
        <w:keepNext/>
        <w:spacing w:before="360" w:after="240"/>
        <w:jc w:val="center"/>
        <w:rPr>
          <w:b/>
          <w:color w:val="000000"/>
          <w:u w:val="single"/>
        </w:rPr>
      </w:pPr>
      <w:r w:rsidRPr="007F620E">
        <w:rPr>
          <w:b/>
          <w:color w:val="000000"/>
          <w:u w:val="single"/>
        </w:rPr>
        <w:t>CONCLUSION OF LAW</w:t>
      </w:r>
    </w:p>
    <w:p w:rsidRPr="007F620E" w:rsidR="00A92D0B" w:rsidP="00575494" w:rsidRDefault="00A92D0B" w14:paraId="654F2C27" w14:textId="1EC837EA">
      <w:pPr>
        <w:numPr>
          <w:ilvl w:val="0"/>
          <w:numId w:val="10"/>
        </w:numPr>
        <w:spacing w:before="240"/>
        <w:rPr>
          <w:color w:val="000000"/>
        </w:rPr>
      </w:pPr>
      <w:r w:rsidRPr="00575494">
        <w:t>The</w:t>
      </w:r>
      <w:r w:rsidRPr="007F620E">
        <w:rPr>
          <w:color w:val="000000"/>
        </w:rPr>
        <w:t xml:space="preserve"> Claim, with any adjustment set forth above, satisfies</w:t>
      </w:r>
      <w:r w:rsidR="00CA28C3">
        <w:rPr>
          <w:color w:val="000000"/>
        </w:rPr>
        <w:t xml:space="preserve"> </w:t>
      </w:r>
      <w:r w:rsidRPr="007F620E" w:rsidR="00DE3A5D">
        <w:rPr>
          <w:color w:val="000000"/>
        </w:rPr>
        <w:t>all requirements of Pub. Util.</w:t>
      </w:r>
      <w:r w:rsidRPr="007F620E">
        <w:rPr>
          <w:color w:val="000000"/>
        </w:rPr>
        <w:t xml:space="preserve"> Code §§ 1801-1812.</w:t>
      </w:r>
    </w:p>
    <w:p w:rsidRPr="007F620E" w:rsidR="00A92D0B" w:rsidP="00B74F28" w:rsidRDefault="00A92D0B" w14:paraId="0E2503A5" w14:textId="77777777">
      <w:pPr>
        <w:keepNext/>
        <w:spacing w:before="240" w:after="240"/>
        <w:jc w:val="center"/>
        <w:rPr>
          <w:b/>
          <w:color w:val="000000"/>
          <w:u w:val="single"/>
        </w:rPr>
      </w:pPr>
      <w:r w:rsidRPr="007F620E">
        <w:rPr>
          <w:b/>
          <w:color w:val="000000"/>
          <w:u w:val="single"/>
        </w:rPr>
        <w:t>ORDER</w:t>
      </w:r>
    </w:p>
    <w:p w:rsidRPr="007F620E" w:rsidR="00A92D0B" w:rsidP="00CE057B" w:rsidRDefault="007C5BBB" w14:paraId="33FB4E15" w14:textId="34B5D850">
      <w:pPr>
        <w:keepNext/>
        <w:numPr>
          <w:ilvl w:val="0"/>
          <w:numId w:val="4"/>
        </w:numPr>
        <w:tabs>
          <w:tab w:val="clear" w:pos="900"/>
          <w:tab w:val="num" w:pos="540"/>
        </w:tabs>
        <w:ind w:left="547" w:hanging="547"/>
        <w:rPr>
          <w:color w:val="000000"/>
        </w:rPr>
      </w:pPr>
      <w:r>
        <w:t xml:space="preserve">The Utility Reform Network </w:t>
      </w:r>
      <w:r w:rsidR="00831652">
        <w:t>is</w:t>
      </w:r>
      <w:r w:rsidRPr="00FE3BAE" w:rsidR="00FE3BAE">
        <w:t xml:space="preserve"> </w:t>
      </w:r>
      <w:r w:rsidRPr="00FE3BAE" w:rsidR="00A92D0B">
        <w:rPr>
          <w:color w:val="000000"/>
        </w:rPr>
        <w:t xml:space="preserve">awarded </w:t>
      </w:r>
      <w:r w:rsidR="00617A73">
        <w:rPr>
          <w:color w:val="000000"/>
        </w:rPr>
        <w:t>$196,486.37</w:t>
      </w:r>
      <w:r w:rsidR="000D2AE5">
        <w:rPr>
          <w:color w:val="000000"/>
        </w:rPr>
        <w:t>.</w:t>
      </w:r>
    </w:p>
    <w:p w:rsidR="00A92D0B" w:rsidRDefault="00A92D0B" w14:paraId="4AEF5671" w14:textId="3E047EA1">
      <w:pPr>
        <w:numPr>
          <w:ilvl w:val="0"/>
          <w:numId w:val="4"/>
        </w:numPr>
        <w:tabs>
          <w:tab w:val="clear" w:pos="900"/>
          <w:tab w:val="num" w:pos="540"/>
        </w:tabs>
        <w:spacing w:before="240"/>
        <w:ind w:left="547" w:hanging="547"/>
      </w:pPr>
      <w:r w:rsidRPr="007F620E">
        <w:t xml:space="preserve">Within 30 days of the effective date of this decision, </w:t>
      </w:r>
      <w:r w:rsidR="001B486B">
        <w:t xml:space="preserve">Pacific Gas and Electric Company </w:t>
      </w:r>
      <w:r w:rsidRPr="007F620E">
        <w:t xml:space="preserve">shall pay </w:t>
      </w:r>
      <w:r w:rsidR="007C5BBB">
        <w:t>The Utility Reform Network</w:t>
      </w:r>
      <w:r w:rsidRPr="0022302F" w:rsidR="00FE3BAE">
        <w:t xml:space="preserve"> </w:t>
      </w:r>
      <w:r w:rsidRPr="0022302F">
        <w:t xml:space="preserve">the </w:t>
      </w:r>
      <w:r w:rsidRPr="007F620E">
        <w:t xml:space="preserve">total award.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0D2AE5">
        <w:t>February 3, 2026</w:t>
      </w:r>
      <w:r w:rsidRPr="007F620E" w:rsidR="00357F1A">
        <w:t xml:space="preserve">, </w:t>
      </w:r>
      <w:r w:rsidRPr="007F620E">
        <w:t>the 75</w:t>
      </w:r>
      <w:r w:rsidRPr="007F620E">
        <w:rPr>
          <w:vertAlign w:val="superscript"/>
        </w:rPr>
        <w:t>th</w:t>
      </w:r>
      <w:r w:rsidRPr="007F620E">
        <w:t xml:space="preserve"> day after the filing of </w:t>
      </w:r>
      <w:r w:rsidR="007C5BBB">
        <w:t>The Utility Reform Network</w:t>
      </w:r>
      <w:r w:rsidRPr="003B6A1B" w:rsidR="00FE3BAE">
        <w:t>’s</w:t>
      </w:r>
      <w:r w:rsidRPr="003B6A1B" w:rsidR="00FE3BAE">
        <w:rPr>
          <w:b/>
        </w:rPr>
        <w:t xml:space="preserve"> </w:t>
      </w:r>
      <w:r w:rsidRPr="007F620E">
        <w:t>request, and continuing until full payment is made.</w:t>
      </w:r>
    </w:p>
    <w:p w:rsidRPr="007F620E" w:rsidR="00A92D0B" w:rsidP="00DE3A5D" w:rsidRDefault="00A92D0B" w14:paraId="5AD40C95" w14:textId="270126F4">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3268E9DF">
      <w:pPr>
        <w:keepNext/>
        <w:keepLines/>
        <w:spacing w:before="240"/>
        <w:ind w:left="547"/>
        <w:rPr>
          <w:color w:val="000000"/>
        </w:rPr>
      </w:pPr>
      <w:r w:rsidRPr="007F620E">
        <w:rPr>
          <w:color w:val="000000"/>
        </w:rPr>
        <w:t xml:space="preserve">Dated </w:t>
      </w:r>
      <w:r w:rsidR="005317F9">
        <w:rPr>
          <w:color w:val="000000"/>
        </w:rPr>
        <w:t>April 30, 2026</w:t>
      </w:r>
      <w:r w:rsidRPr="007F620E">
        <w:rPr>
          <w:color w:val="000000"/>
        </w:rPr>
        <w:t>, at San Francisco, California.</w:t>
      </w:r>
    </w:p>
    <w:p w:rsidRPr="007F620E" w:rsidR="00A92D0B" w:rsidRDefault="00A92D0B" w14:paraId="1A474D77" w14:textId="77777777"/>
    <w:p w:rsidR="00FE3BAE" w:rsidRDefault="00FE3BAE" w14:paraId="3C739AE2" w14:textId="71F3AFC8"/>
    <w:p w:rsidR="006B7228" w:rsidRDefault="006B7228" w14:paraId="03D2F8B0" w14:textId="77777777"/>
    <w:p w:rsidRPr="00FD1D96" w:rsidR="00FD1D96" w:rsidP="00FD1D96" w:rsidRDefault="00FD1D96" w14:paraId="319B8BA0" w14:textId="77777777">
      <w:pPr>
        <w:autoSpaceDE w:val="0"/>
        <w:autoSpaceDN w:val="0"/>
        <w:adjustRightInd w:val="0"/>
        <w:ind w:left="4320" w:firstLine="720"/>
        <w:jc w:val="both"/>
      </w:pPr>
      <w:r w:rsidRPr="00FD1D96">
        <w:t>JOHN REYNOLDS</w:t>
      </w:r>
    </w:p>
    <w:p w:rsidRPr="00FD1D96" w:rsidR="00FD1D96" w:rsidP="00FD1D96" w:rsidRDefault="00FD1D96" w14:paraId="37485390" w14:textId="690EFF32">
      <w:pPr>
        <w:autoSpaceDE w:val="0"/>
        <w:autoSpaceDN w:val="0"/>
        <w:adjustRightInd w:val="0"/>
        <w:ind w:left="1440"/>
        <w:jc w:val="both"/>
      </w:pPr>
      <w:r w:rsidRPr="00FD1D96">
        <w:tab/>
      </w:r>
      <w:r w:rsidRPr="00FD1D96">
        <w:tab/>
      </w:r>
      <w:r w:rsidRPr="00FD1D96">
        <w:tab/>
      </w:r>
      <w:r w:rsidRPr="00FD1D96">
        <w:tab/>
      </w:r>
      <w:r w:rsidRPr="00FD1D96">
        <w:tab/>
        <w:t xml:space="preserve">                     </w:t>
      </w:r>
      <w:r>
        <w:t xml:space="preserve"> </w:t>
      </w:r>
      <w:r w:rsidRPr="00FD1D96">
        <w:t>President</w:t>
      </w:r>
    </w:p>
    <w:p w:rsidRPr="00FD1D96" w:rsidR="00FD1D96" w:rsidP="00FD1D96" w:rsidRDefault="00FD1D96" w14:paraId="6CBA9E5E" w14:textId="77777777">
      <w:pPr>
        <w:autoSpaceDE w:val="0"/>
        <w:autoSpaceDN w:val="0"/>
        <w:adjustRightInd w:val="0"/>
        <w:ind w:left="4320" w:firstLine="720"/>
        <w:jc w:val="both"/>
      </w:pPr>
      <w:r w:rsidRPr="00FD1D96">
        <w:t>DARCIE L. HOUCK</w:t>
      </w:r>
    </w:p>
    <w:p w:rsidRPr="00FD1D96" w:rsidR="00FD1D96" w:rsidP="00FD1D96" w:rsidRDefault="00FD1D96" w14:paraId="4E5A5AEF" w14:textId="77777777">
      <w:pPr>
        <w:autoSpaceDE w:val="0"/>
        <w:autoSpaceDN w:val="0"/>
        <w:adjustRightInd w:val="0"/>
        <w:ind w:left="4320" w:firstLine="720"/>
        <w:jc w:val="both"/>
        <w:rPr>
          <w:color w:val="000000"/>
        </w:rPr>
      </w:pPr>
      <w:r w:rsidRPr="00FD1D96">
        <w:rPr>
          <w:color w:val="000000"/>
        </w:rPr>
        <w:t>KAREN DOUGLAS</w:t>
      </w:r>
    </w:p>
    <w:p w:rsidRPr="00FD1D96" w:rsidR="00FD1D96" w:rsidP="00FD1D96" w:rsidRDefault="00FD1D96" w14:paraId="7B5F541E" w14:textId="77777777">
      <w:pPr>
        <w:autoSpaceDE w:val="0"/>
        <w:autoSpaceDN w:val="0"/>
        <w:adjustRightInd w:val="0"/>
        <w:ind w:left="4320" w:firstLine="720"/>
        <w:jc w:val="both"/>
      </w:pPr>
      <w:r w:rsidRPr="00FD1D96">
        <w:t>CHRISTINE HARADA</w:t>
      </w:r>
    </w:p>
    <w:p w:rsidRPr="00FD1D96" w:rsidR="00FD1D96" w:rsidP="00FD1D96" w:rsidRDefault="00FD1D96" w14:paraId="132B062D" w14:textId="4C73D7AC">
      <w:pPr>
        <w:autoSpaceDE w:val="0"/>
        <w:autoSpaceDN w:val="0"/>
        <w:adjustRightInd w:val="0"/>
        <w:ind w:left="4320" w:firstLine="720"/>
        <w:jc w:val="both"/>
      </w:pPr>
      <w:r w:rsidRPr="00FD1D96">
        <w:t xml:space="preserve">           </w:t>
      </w:r>
      <w:r>
        <w:tab/>
        <w:t xml:space="preserve">          </w:t>
      </w:r>
      <w:r w:rsidRPr="00FD1D96">
        <w:t>Commissioners</w:t>
      </w:r>
    </w:p>
    <w:p w:rsidRPr="00FD1D96" w:rsidR="00E01962" w:rsidP="00E01962" w:rsidRDefault="00E01962" w14:paraId="3CF0F41E" w14:textId="77777777">
      <w:pPr>
        <w:pStyle w:val="standard"/>
        <w:keepNext/>
        <w:keepLines/>
        <w:rPr>
          <w:rFonts w:ascii="Times New Roman" w:hAnsi="Times New Roman"/>
          <w:sz w:val="24"/>
          <w:szCs w:val="24"/>
        </w:rPr>
      </w:pPr>
    </w:p>
    <w:p w:rsidRPr="00FD1D96" w:rsidR="00E01962" w:rsidP="006F36A2" w:rsidRDefault="00E01962" w14:paraId="02D1F1E0" w14:textId="77777777">
      <w:pPr>
        <w:keepNext/>
        <w:keepLines/>
        <w:autoSpaceDE w:val="0"/>
        <w:autoSpaceDN w:val="0"/>
        <w:adjustRightInd w:val="0"/>
        <w:ind w:left="5040"/>
      </w:pPr>
      <w:r w:rsidRPr="00FD1D96">
        <w:t>Commissioner Matthew Baker recused himself from this agenda item and was not part of the quorum in its consideration.</w:t>
      </w:r>
    </w:p>
    <w:p w:rsidR="00E01962" w:rsidRDefault="00E01962" w14:paraId="37D74F32" w14:textId="77777777">
      <w:pPr>
        <w:sectPr w:rsidR="00E01962" w:rsidSect="006B7228">
          <w:headerReference w:type="default" r:id="rId9"/>
          <w:footerReference w:type="default" r:id="rId10"/>
          <w:footerReference w:type="first" r:id="rId11"/>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DA516F" w14:paraId="16C5D6B1" w14:textId="498CFCBC">
            <w:r>
              <w:t>D2604042</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D90714" w14:paraId="6846FB87" w14:textId="52FB8EA8">
            <w:pPr>
              <w:jc w:val="center"/>
            </w:pPr>
            <w:r>
              <w:t>No</w:t>
            </w:r>
          </w:p>
        </w:tc>
      </w:tr>
      <w:tr w:rsidRPr="00B803D5" w:rsidR="00FE3BAE" w:rsidTr="006B5D17"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426F2C45" w14:textId="58A43BB4">
            <w:r>
              <w:t>D250</w:t>
            </w:r>
            <w:r w:rsidR="00586254">
              <w:t>9016</w:t>
            </w:r>
          </w:p>
        </w:tc>
      </w:tr>
      <w:tr w:rsidRPr="00B803D5" w:rsidR="00FE3BAE" w:rsidTr="006B5D17"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5B85688D" w14:textId="493E5280">
            <w:r>
              <w:t>A</w:t>
            </w:r>
            <w:r w:rsidR="00586254">
              <w:t>2312014</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D90714" w14:paraId="5E75C0F0" w14:textId="5A54615D">
            <w:r>
              <w:t>Justin Regnier</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1B486B" w14:paraId="7CA711B6" w14:textId="3EF7DC77">
            <w:r>
              <w:t xml:space="preserve">Pacific Gas and Electric Company </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48"/>
        <w:gridCol w:w="1447"/>
        <w:gridCol w:w="1499"/>
        <w:gridCol w:w="1574"/>
        <w:gridCol w:w="1393"/>
        <w:gridCol w:w="2479"/>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966939"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3008FB17" w14:textId="218B8B90">
            <w:pPr>
              <w:jc w:val="center"/>
            </w:pPr>
            <w:r>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586254" w14:paraId="63956769" w14:textId="608E6437">
            <w:pPr>
              <w:jc w:val="center"/>
            </w:pPr>
            <w:r>
              <w:t>11/20/25</w:t>
            </w:r>
          </w:p>
        </w:tc>
        <w:tc>
          <w:tcPr>
            <w:tcW w:w="1405" w:type="dxa"/>
            <w:tcBorders>
              <w:top w:val="single" w:color="auto" w:sz="4" w:space="0"/>
              <w:left w:val="single" w:color="auto" w:sz="4" w:space="0"/>
              <w:bottom w:val="single" w:color="auto" w:sz="4" w:space="0"/>
              <w:right w:val="single" w:color="auto" w:sz="4" w:space="0"/>
            </w:tcBorders>
            <w:hideMark/>
          </w:tcPr>
          <w:p w:rsidRPr="00E24486" w:rsidR="00FE3BAE" w:rsidP="00A23C17" w:rsidRDefault="00CC190D" w14:paraId="75AD20FA" w14:textId="290F0854">
            <w:pPr>
              <w:jc w:val="center"/>
            </w:pPr>
            <w:r w:rsidRPr="00E24486">
              <w:t>$</w:t>
            </w:r>
            <w:r w:rsidRPr="00E24486" w:rsidR="00E24486">
              <w:rPr>
                <w:color w:val="000000"/>
              </w:rPr>
              <w:t>196,296.37</w:t>
            </w:r>
            <w:r w:rsidR="005D153D">
              <w:fldChar w:fldCharType="begin"/>
            </w:r>
            <w:r w:rsidR="005D153D">
              <w:rPr>
                <w:color w:val="000000"/>
              </w:rPr>
              <w:instrText xml:space="preserve"> NOTEREF _Ref220937763 \f \h </w:instrText>
            </w:r>
            <w:r w:rsidR="005D153D">
              <w:fldChar w:fldCharType="separate"/>
            </w:r>
            <w:r w:rsidRPr="00597289" w:rsidR="00F827D9">
              <w:rPr>
                <w:rStyle w:val="FootnoteReference"/>
              </w:rPr>
              <w:t>3</w:t>
            </w:r>
            <w:r w:rsidR="005D153D">
              <w:fldChar w:fldCharType="end"/>
            </w:r>
          </w:p>
        </w:tc>
        <w:tc>
          <w:tcPr>
            <w:tcW w:w="1571" w:type="dxa"/>
            <w:tcBorders>
              <w:top w:val="single" w:color="auto" w:sz="4" w:space="0"/>
              <w:left w:val="single" w:color="auto" w:sz="4" w:space="0"/>
              <w:bottom w:val="single" w:color="auto" w:sz="4" w:space="0"/>
              <w:right w:val="single" w:color="auto" w:sz="4" w:space="0"/>
            </w:tcBorders>
            <w:hideMark/>
          </w:tcPr>
          <w:p w:rsidRPr="00D90714" w:rsidR="00FE3BAE" w:rsidP="00A23C17" w:rsidRDefault="005D153D" w14:paraId="0DD6FE00" w14:textId="20F0D0FD">
            <w:pPr>
              <w:jc w:val="center"/>
            </w:pPr>
            <w:r>
              <w:t>$196,486.37</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5D153D" w14:paraId="6B53C6F9" w14:textId="2E1D8E52">
            <w:pPr>
              <w:jc w:val="center"/>
            </w:pPr>
            <w:r>
              <w:t>Typographic error in request</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7C5BBB"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85603E" w:rsidTr="00966939"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0F0C6D6C" w14:textId="0B63F1B3">
            <w:pPr>
              <w:jc w:val="center"/>
            </w:pPr>
            <w:r w:rsidRPr="00966939">
              <w:t>Matthew</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6ACE7B68" w14:textId="62469117">
            <w:pPr>
              <w:jc w:val="center"/>
            </w:pPr>
            <w:r w:rsidRPr="00966939">
              <w:t>Freedman</w:t>
            </w:r>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0E61474F" w14:textId="508DA16E">
            <w:pPr>
              <w:jc w:val="center"/>
            </w:pPr>
            <w:r w:rsidRPr="00966939">
              <w:t>Attorney</w:t>
            </w:r>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44F9655C" w14:textId="3C85E484">
            <w:pPr>
              <w:jc w:val="center"/>
            </w:pPr>
            <w:r>
              <w:t>$740</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2EB25516" w14:textId="4071A3D9">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0A76FE98" w14:textId="740ACACE">
            <w:pPr>
              <w:jc w:val="center"/>
            </w:pPr>
            <w:r>
              <w:t>$740.00</w:t>
            </w:r>
          </w:p>
        </w:tc>
      </w:tr>
      <w:tr w:rsidRPr="00B803D5" w:rsidR="0085603E" w:rsidTr="00966939"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4CFDAB24" w14:textId="3B88EA60">
            <w:pPr>
              <w:jc w:val="center"/>
            </w:pPr>
            <w:r w:rsidRPr="00966939">
              <w:t>Matthew</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3A9B4F75" w14:textId="0E944011">
            <w:pPr>
              <w:jc w:val="center"/>
            </w:pPr>
            <w:r w:rsidRPr="00966939">
              <w:t>Freedman</w:t>
            </w:r>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73440B00" w14:textId="686A81D3">
            <w:pPr>
              <w:jc w:val="center"/>
            </w:pPr>
            <w:r w:rsidRPr="00966939">
              <w:t>Attorney</w:t>
            </w:r>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1466F47E" w14:textId="72D12536">
            <w:pPr>
              <w:jc w:val="center"/>
            </w:pPr>
            <w:r>
              <w:t>$795</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4CBE320E" w14:textId="4805002E">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37932A57" w14:textId="468D9023">
            <w:pPr>
              <w:jc w:val="center"/>
            </w:pPr>
            <w:r>
              <w:t>$795.00</w:t>
            </w:r>
          </w:p>
        </w:tc>
      </w:tr>
      <w:tr w:rsidRPr="00B803D5" w:rsidR="0085603E" w:rsidTr="00966939"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65C04662" w14:textId="393D4910">
            <w:pPr>
              <w:jc w:val="center"/>
            </w:pPr>
            <w:r w:rsidRPr="00966939">
              <w:t>Reina</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1C590887" w14:textId="4E4C6773">
            <w:pPr>
              <w:jc w:val="center"/>
            </w:pPr>
            <w:proofErr w:type="spellStart"/>
            <w:r w:rsidRPr="00966939">
              <w:t>Yanagiba</w:t>
            </w:r>
            <w:proofErr w:type="spellEnd"/>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1EA8DE3D" w14:textId="1AECE072">
            <w:pPr>
              <w:jc w:val="center"/>
            </w:pPr>
            <w:r w:rsidRPr="00966939">
              <w:t>Legal Assistant</w:t>
            </w:r>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4F6290AB" w14:textId="2A803004">
            <w:pPr>
              <w:jc w:val="center"/>
            </w:pPr>
            <w:r>
              <w:t>$100</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1354C70A" w14:textId="3551A21F">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36649915" w14:textId="3FDF5EE3">
            <w:pPr>
              <w:jc w:val="center"/>
            </w:pPr>
            <w:r>
              <w:t>$100.00</w:t>
            </w:r>
          </w:p>
        </w:tc>
      </w:tr>
      <w:tr w:rsidRPr="00B803D5" w:rsidR="0085603E" w:rsidTr="00966939"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71BF257F" w14:textId="0A7255EF">
            <w:pPr>
              <w:jc w:val="center"/>
            </w:pPr>
            <w:r w:rsidRPr="00966939">
              <w:t>Jennifer</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4D0E5B24" w14:textId="43EAA65E">
            <w:pPr>
              <w:jc w:val="center"/>
            </w:pPr>
            <w:r w:rsidRPr="00966939">
              <w:t>Dowdell</w:t>
            </w:r>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3ACB6465" w14:textId="13F98C65">
            <w:pPr>
              <w:jc w:val="center"/>
            </w:pPr>
            <w:r w:rsidRPr="00966939">
              <w:t>Expert</w:t>
            </w:r>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27D75B3F" w14:textId="64382612">
            <w:pPr>
              <w:jc w:val="center"/>
            </w:pPr>
            <w:r>
              <w:t>$495</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0BD45097" w14:textId="4A48FC3B">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6B245605" w14:textId="774811F0">
            <w:pPr>
              <w:jc w:val="center"/>
            </w:pPr>
            <w:r>
              <w:t>$495.00</w:t>
            </w:r>
          </w:p>
        </w:tc>
      </w:tr>
      <w:tr w:rsidRPr="00B803D5" w:rsidR="0085603E" w:rsidTr="00966939"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115C1393" w14:textId="60401D45">
            <w:pPr>
              <w:jc w:val="center"/>
            </w:pPr>
            <w:r w:rsidRPr="00966939">
              <w:t>Sylvie</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1467A27B" w14:textId="266F5906">
            <w:pPr>
              <w:jc w:val="center"/>
            </w:pPr>
            <w:r w:rsidRPr="00966939">
              <w:t>Ashford</w:t>
            </w:r>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66D10560" w14:textId="7E1E7D94">
            <w:pPr>
              <w:jc w:val="center"/>
            </w:pPr>
            <w:r w:rsidRPr="00966939">
              <w:t>Expert</w:t>
            </w:r>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7BC812A8" w14:textId="6C5A610F">
            <w:pPr>
              <w:jc w:val="center"/>
            </w:pPr>
            <w:r>
              <w:t>$245</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4580AE9E" w14:textId="1A602E04">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74B7B957" w14:textId="22E51E79">
            <w:pPr>
              <w:jc w:val="center"/>
            </w:pPr>
            <w:r>
              <w:t>$245.00</w:t>
            </w:r>
          </w:p>
        </w:tc>
      </w:tr>
      <w:tr w:rsidRPr="00B803D5" w:rsidR="0085603E" w:rsidTr="00966939"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1C03A89B" w14:textId="72F41B05">
            <w:pPr>
              <w:jc w:val="center"/>
            </w:pPr>
            <w:r w:rsidRPr="00966939">
              <w:t>William</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53680AFD" w14:textId="70D87223">
            <w:pPr>
              <w:jc w:val="center"/>
            </w:pPr>
            <w:r w:rsidRPr="00966939">
              <w:t>Monsen</w:t>
            </w:r>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597A6D17" w14:textId="32F45189">
            <w:pPr>
              <w:jc w:val="center"/>
            </w:pPr>
            <w:r w:rsidRPr="00966939">
              <w:t>Expert</w:t>
            </w:r>
            <w:bookmarkStart w:name="_Ref218521558" w:id="1"/>
            <w:r>
              <w:rPr>
                <w:rStyle w:val="FootnoteReference"/>
              </w:rPr>
              <w:footnoteReference w:id="7"/>
            </w:r>
            <w:bookmarkEnd w:id="1"/>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48B7FBBF" w14:textId="18BF0538">
            <w:pPr>
              <w:jc w:val="center"/>
            </w:pPr>
            <w:r>
              <w:t>$395</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5541B9E8" w14:textId="2F6B3A8B">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5585EC38" w14:textId="4ACECC37">
            <w:pPr>
              <w:jc w:val="center"/>
            </w:pPr>
            <w:r>
              <w:t>$395.00</w:t>
            </w:r>
          </w:p>
        </w:tc>
      </w:tr>
      <w:tr w:rsidRPr="00B803D5" w:rsidR="0085603E" w:rsidTr="00966939" w14:paraId="29AE69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360AC496" w14:textId="300FFD0E">
            <w:pPr>
              <w:jc w:val="center"/>
            </w:pPr>
            <w:r w:rsidRPr="00966939">
              <w:t>William</w:t>
            </w:r>
          </w:p>
        </w:tc>
        <w:tc>
          <w:tcPr>
            <w:tcW w:w="1725"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56248722" w14:textId="7EA2F971">
            <w:pPr>
              <w:jc w:val="center"/>
            </w:pPr>
            <w:r w:rsidRPr="00966939">
              <w:t>Monsen</w:t>
            </w:r>
          </w:p>
        </w:tc>
        <w:tc>
          <w:tcPr>
            <w:tcW w:w="2088" w:type="dxa"/>
            <w:tcBorders>
              <w:top w:val="single" w:color="auto" w:sz="4" w:space="0"/>
              <w:left w:val="single" w:color="auto" w:sz="4" w:space="0"/>
              <w:bottom w:val="single" w:color="auto" w:sz="4" w:space="0"/>
              <w:right w:val="single" w:color="auto" w:sz="4" w:space="0"/>
            </w:tcBorders>
          </w:tcPr>
          <w:p w:rsidRPr="00966939" w:rsidR="0085603E" w:rsidP="0085603E" w:rsidRDefault="0085603E" w14:paraId="5260F89F" w14:textId="2761CD1E">
            <w:pPr>
              <w:jc w:val="center"/>
            </w:pPr>
            <w:r w:rsidRPr="00966939">
              <w:t>Expert</w:t>
            </w:r>
            <w:r w:rsidR="005D153D">
              <w:rPr>
                <w:vertAlign w:val="superscript"/>
              </w:rPr>
              <w:fldChar w:fldCharType="begin"/>
            </w:r>
            <w:r w:rsidR="005D153D">
              <w:rPr>
                <w:vertAlign w:val="superscript"/>
              </w:rPr>
              <w:instrText xml:space="preserve"> NOTEREF _Ref218521558 \f \h </w:instrText>
            </w:r>
            <w:r w:rsidR="005D153D">
              <w:rPr>
                <w:vertAlign w:val="superscript"/>
              </w:rPr>
            </w:r>
            <w:r w:rsidR="005D153D">
              <w:rPr>
                <w:vertAlign w:val="superscript"/>
              </w:rPr>
              <w:fldChar w:fldCharType="separate"/>
            </w:r>
            <w:r w:rsidRPr="00597289" w:rsidR="00F827D9">
              <w:rPr>
                <w:rStyle w:val="FootnoteReference"/>
              </w:rPr>
              <w:t>7</w:t>
            </w:r>
            <w:r w:rsidR="005D153D">
              <w:rPr>
                <w:vertAlign w:val="superscript"/>
              </w:rPr>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6D2EBA5C" w14:textId="379FC09E">
            <w:pPr>
              <w:jc w:val="center"/>
            </w:pPr>
            <w:r>
              <w:t>$410</w:t>
            </w:r>
          </w:p>
        </w:tc>
        <w:tc>
          <w:tcPr>
            <w:tcW w:w="1725"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34B04A04" w14:textId="2C9FC483">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85603E" w:rsidP="0085603E" w:rsidRDefault="0085603E" w14:paraId="6A145930" w14:textId="7A7D4606">
            <w:pPr>
              <w:jc w:val="center"/>
            </w:pPr>
            <w:r>
              <w:t>$410.00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61498E" w:rsidR="0053618E" w:rsidP="0061498E" w:rsidRDefault="00FE3BAE" w14:paraId="555B469F" w14:textId="36D59D8A">
      <w:pPr>
        <w:jc w:val="center"/>
        <w:rPr>
          <w:b/>
        </w:rPr>
      </w:pPr>
      <w:r w:rsidRPr="00B803D5">
        <w:rPr>
          <w:b/>
        </w:rPr>
        <w:t xml:space="preserve">(END OF </w:t>
      </w:r>
      <w:r w:rsidRPr="00B803D5">
        <w:rPr>
          <w:b/>
          <w:szCs w:val="26"/>
        </w:rPr>
        <w:t>APPENDIX</w:t>
      </w:r>
      <w:r w:rsidRPr="00B803D5">
        <w:rPr>
          <w:b/>
        </w:rPr>
        <w:t>)</w:t>
      </w:r>
    </w:p>
    <w:sectPr w:rsidRPr="0061498E" w:rsidR="0053618E" w:rsidSect="006B7228">
      <w:footerReference w:type="default" r:id="rId1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3F3D" w14:textId="77777777" w:rsidR="006237A3" w:rsidRDefault="006237A3" w:rsidP="00885956">
      <w:r>
        <w:separator/>
      </w:r>
    </w:p>
  </w:endnote>
  <w:endnote w:type="continuationSeparator" w:id="0">
    <w:p w14:paraId="0E82C6B7" w14:textId="77777777" w:rsidR="006237A3" w:rsidRDefault="006237A3"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714EE07B" w:rsidR="00CF1129" w:rsidRDefault="00F1212E" w:rsidP="002060D4">
        <w:pPr>
          <w:pStyle w:val="Footer"/>
        </w:pPr>
        <w:r w:rsidRPr="00F1212E">
          <w:rPr>
            <w:sz w:val="16"/>
            <w:szCs w:val="16"/>
          </w:rPr>
          <w:t>606191504</w:t>
        </w:r>
        <w:r w:rsidR="002060D4">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C6DE" w14:textId="77777777" w:rsidR="006237A3" w:rsidRDefault="006237A3" w:rsidP="00885956">
      <w:r>
        <w:separator/>
      </w:r>
    </w:p>
  </w:footnote>
  <w:footnote w:type="continuationSeparator" w:id="0">
    <w:p w14:paraId="7AE57F53" w14:textId="77777777" w:rsidR="006237A3" w:rsidRDefault="006237A3"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55D1CFDE" w14:textId="08985397" w:rsidR="00617A73" w:rsidRDefault="00617A73">
      <w:pPr>
        <w:pStyle w:val="FootnoteText"/>
      </w:pPr>
      <w:r>
        <w:rPr>
          <w:rStyle w:val="FootnoteReference"/>
        </w:rPr>
        <w:footnoteRef/>
      </w:r>
      <w:r>
        <w:t xml:space="preserve"> The correct subtotal request is $515.62.</w:t>
      </w:r>
    </w:p>
  </w:footnote>
  <w:footnote w:id="3">
    <w:p w14:paraId="5F36CEAA" w14:textId="66536288" w:rsidR="00617A73" w:rsidRDefault="00617A73">
      <w:pPr>
        <w:pStyle w:val="FootnoteText"/>
      </w:pPr>
      <w:r>
        <w:rPr>
          <w:rStyle w:val="FootnoteReference"/>
        </w:rPr>
        <w:footnoteRef/>
      </w:r>
      <w:r>
        <w:t xml:space="preserve"> The correct total request is $196,486.37</w:t>
      </w:r>
      <w:r w:rsidR="005D153D">
        <w:t>.</w:t>
      </w:r>
    </w:p>
  </w:footnote>
  <w:footnote w:id="4">
    <w:p w14:paraId="2A44723A" w14:textId="1ADBB2F1" w:rsidR="003B6A1B" w:rsidRPr="00DE3A5D" w:rsidRDefault="003B6A1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190A02" w:rsidRPr="00057200">
          <w:rPr>
            <w:rStyle w:val="Hyperlink"/>
            <w:szCs w:val="22"/>
          </w:rPr>
          <w:t>http://members.calbar.ca.gov/fal/MemberSearch/QuickSearch</w:t>
        </w:r>
      </w:hyperlink>
      <w:r>
        <w:rPr>
          <w:color w:val="000000"/>
        </w:rPr>
        <w:t>.</w:t>
      </w:r>
    </w:p>
  </w:footnote>
  <w:footnote w:id="5">
    <w:p w14:paraId="4F7A36BB" w14:textId="62A99191" w:rsidR="00CA28C3" w:rsidRDefault="00CA28C3">
      <w:pPr>
        <w:pStyle w:val="FootnoteText"/>
      </w:pPr>
      <w:r>
        <w:rPr>
          <w:rStyle w:val="FootnoteReference"/>
        </w:rPr>
        <w:footnoteRef/>
      </w:r>
      <w:r>
        <w:t xml:space="preserve"> A</w:t>
      </w:r>
      <w:r w:rsidRPr="00CA28C3">
        <w:t xml:space="preserve">ttachments not </w:t>
      </w:r>
      <w:r w:rsidR="00B74F28">
        <w:t>included in</w:t>
      </w:r>
      <w:r w:rsidR="00634138">
        <w:t xml:space="preserve"> </w:t>
      </w:r>
      <w:r w:rsidRPr="00CA28C3">
        <w:t>final Decision</w:t>
      </w:r>
      <w:r>
        <w:t>.</w:t>
      </w:r>
    </w:p>
  </w:footnote>
  <w:footnote w:id="6">
    <w:p w14:paraId="7BF696AC" w14:textId="0E3B95A3" w:rsidR="00F827D9" w:rsidRDefault="00F827D9">
      <w:pPr>
        <w:pStyle w:val="FootnoteText"/>
      </w:pPr>
      <w:r>
        <w:rPr>
          <w:rStyle w:val="FootnoteReference"/>
        </w:rPr>
        <w:footnoteRef/>
      </w:r>
      <w:r>
        <w:t xml:space="preserve"> </w:t>
      </w:r>
      <w:r w:rsidRPr="00153DB0">
        <w:t>D.07-01-009, D.08-04-010, and ALJ Resolution ALJ 235.</w:t>
      </w:r>
    </w:p>
  </w:footnote>
  <w:footnote w:id="7">
    <w:p w14:paraId="61E8CA43" w14:textId="129DE27F" w:rsidR="0085603E" w:rsidRDefault="0085603E">
      <w:pPr>
        <w:pStyle w:val="FootnoteText"/>
      </w:pPr>
      <w:r>
        <w:rPr>
          <w:rStyle w:val="FootnoteReference"/>
        </w:rPr>
        <w:footnoteRef/>
      </w:r>
      <w:r>
        <w:t xml:space="preserve"> William Monsen served as a consultant to TURN</w:t>
      </w:r>
      <w:r w:rsidR="00B96874">
        <w:t>.</w:t>
      </w:r>
      <w:r w:rsidR="00DC183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B595" w14:textId="4A2189D1" w:rsidR="00916C6F" w:rsidRDefault="0062026D" w:rsidP="00916C6F">
    <w:pPr>
      <w:pStyle w:val="Header"/>
    </w:pPr>
    <w:r w:rsidRPr="0062026D">
      <w:t>A.23-12-</w:t>
    </w:r>
    <w:proofErr w:type="gramStart"/>
    <w:r w:rsidRPr="0062026D">
      <w:t>014</w:t>
    </w:r>
    <w:r w:rsidR="00916C6F">
      <w:t xml:space="preserve">  </w:t>
    </w:r>
    <w:r w:rsidR="00294DFC">
      <w:t>COM</w:t>
    </w:r>
    <w:proofErr w:type="gramEnd"/>
    <w:r w:rsidR="00916C6F">
      <w:t>/</w:t>
    </w:r>
    <w:r w:rsidR="009B78DE">
      <w:t>CHG</w:t>
    </w:r>
    <w:r w:rsidR="00916C6F">
      <w:t>/vj4</w:t>
    </w:r>
    <w:r w:rsidR="00916C6F">
      <w:tab/>
    </w:r>
    <w:r w:rsidR="00916C6F">
      <w:tab/>
      <w:t xml:space="preserve">   </w:t>
    </w:r>
  </w:p>
  <w:p w14:paraId="7537A4BD" w14:textId="21CD3FA2" w:rsidR="00873318" w:rsidRDefault="00873318" w:rsidP="00916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69C45759"/>
    <w:multiLevelType w:val="hybridMultilevel"/>
    <w:tmpl w:val="9A1231B0"/>
    <w:lvl w:ilvl="0" w:tplc="97BA58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9"/>
  </w:num>
  <w:num w:numId="2" w16cid:durableId="296566636">
    <w:abstractNumId w:val="0"/>
  </w:num>
  <w:num w:numId="3" w16cid:durableId="2098595014">
    <w:abstractNumId w:val="10"/>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 w:numId="11" w16cid:durableId="1534152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27BC"/>
    <w:rsid w:val="00003A49"/>
    <w:rsid w:val="000138F1"/>
    <w:rsid w:val="00021FB8"/>
    <w:rsid w:val="00023723"/>
    <w:rsid w:val="00026A15"/>
    <w:rsid w:val="00026C4B"/>
    <w:rsid w:val="00033559"/>
    <w:rsid w:val="00034198"/>
    <w:rsid w:val="00034492"/>
    <w:rsid w:val="00036F54"/>
    <w:rsid w:val="0004263F"/>
    <w:rsid w:val="00042EE4"/>
    <w:rsid w:val="000457AC"/>
    <w:rsid w:val="00045A2F"/>
    <w:rsid w:val="00046BA1"/>
    <w:rsid w:val="00054B34"/>
    <w:rsid w:val="0005538D"/>
    <w:rsid w:val="00055476"/>
    <w:rsid w:val="00055582"/>
    <w:rsid w:val="00055843"/>
    <w:rsid w:val="00055A96"/>
    <w:rsid w:val="0006120E"/>
    <w:rsid w:val="00062409"/>
    <w:rsid w:val="00072B93"/>
    <w:rsid w:val="00072C81"/>
    <w:rsid w:val="00073262"/>
    <w:rsid w:val="000737F2"/>
    <w:rsid w:val="0008013E"/>
    <w:rsid w:val="000803E6"/>
    <w:rsid w:val="0008668B"/>
    <w:rsid w:val="00087619"/>
    <w:rsid w:val="0009162B"/>
    <w:rsid w:val="00095473"/>
    <w:rsid w:val="000971C0"/>
    <w:rsid w:val="000A330B"/>
    <w:rsid w:val="000C1C8E"/>
    <w:rsid w:val="000C3CF1"/>
    <w:rsid w:val="000C6C37"/>
    <w:rsid w:val="000C6C79"/>
    <w:rsid w:val="000C7325"/>
    <w:rsid w:val="000D2AE5"/>
    <w:rsid w:val="000D6CA0"/>
    <w:rsid w:val="000D6DF8"/>
    <w:rsid w:val="000E15FF"/>
    <w:rsid w:val="000E1704"/>
    <w:rsid w:val="000E41D9"/>
    <w:rsid w:val="000E6ABD"/>
    <w:rsid w:val="000F2765"/>
    <w:rsid w:val="000F595C"/>
    <w:rsid w:val="000F75E6"/>
    <w:rsid w:val="000F7670"/>
    <w:rsid w:val="0010275A"/>
    <w:rsid w:val="00102E89"/>
    <w:rsid w:val="001030FA"/>
    <w:rsid w:val="0010480F"/>
    <w:rsid w:val="00104AB8"/>
    <w:rsid w:val="00110D89"/>
    <w:rsid w:val="00123103"/>
    <w:rsid w:val="00125492"/>
    <w:rsid w:val="001319E7"/>
    <w:rsid w:val="001346EB"/>
    <w:rsid w:val="001371DB"/>
    <w:rsid w:val="00137A02"/>
    <w:rsid w:val="00141A4E"/>
    <w:rsid w:val="00142C67"/>
    <w:rsid w:val="00150ED3"/>
    <w:rsid w:val="00151AA8"/>
    <w:rsid w:val="00151BFC"/>
    <w:rsid w:val="00152393"/>
    <w:rsid w:val="00152F94"/>
    <w:rsid w:val="001553B2"/>
    <w:rsid w:val="00157B9C"/>
    <w:rsid w:val="00157D3F"/>
    <w:rsid w:val="001653B1"/>
    <w:rsid w:val="00165D42"/>
    <w:rsid w:val="00171EBF"/>
    <w:rsid w:val="00175865"/>
    <w:rsid w:val="00180A43"/>
    <w:rsid w:val="00180E8C"/>
    <w:rsid w:val="001906FC"/>
    <w:rsid w:val="00190A02"/>
    <w:rsid w:val="00191EBB"/>
    <w:rsid w:val="0019418F"/>
    <w:rsid w:val="0019547E"/>
    <w:rsid w:val="001962EB"/>
    <w:rsid w:val="001A1D00"/>
    <w:rsid w:val="001A3CF3"/>
    <w:rsid w:val="001A76EE"/>
    <w:rsid w:val="001B4565"/>
    <w:rsid w:val="001B486B"/>
    <w:rsid w:val="001B555C"/>
    <w:rsid w:val="001C0C13"/>
    <w:rsid w:val="001C0DD1"/>
    <w:rsid w:val="001C21AE"/>
    <w:rsid w:val="001C5503"/>
    <w:rsid w:val="001C595C"/>
    <w:rsid w:val="001C6165"/>
    <w:rsid w:val="001D3ED2"/>
    <w:rsid w:val="001D5DAB"/>
    <w:rsid w:val="001E77CF"/>
    <w:rsid w:val="001E7EE2"/>
    <w:rsid w:val="001F1B32"/>
    <w:rsid w:val="001F238E"/>
    <w:rsid w:val="001F2397"/>
    <w:rsid w:val="001F3FE6"/>
    <w:rsid w:val="001F4D1B"/>
    <w:rsid w:val="00201D28"/>
    <w:rsid w:val="00201E96"/>
    <w:rsid w:val="00204E3A"/>
    <w:rsid w:val="002060D4"/>
    <w:rsid w:val="00206344"/>
    <w:rsid w:val="00206EBF"/>
    <w:rsid w:val="00211DBC"/>
    <w:rsid w:val="00212E10"/>
    <w:rsid w:val="0021391A"/>
    <w:rsid w:val="00214B22"/>
    <w:rsid w:val="00216BEB"/>
    <w:rsid w:val="00216C45"/>
    <w:rsid w:val="00217224"/>
    <w:rsid w:val="00217571"/>
    <w:rsid w:val="00221B2D"/>
    <w:rsid w:val="00221D46"/>
    <w:rsid w:val="00222459"/>
    <w:rsid w:val="0022302F"/>
    <w:rsid w:val="00226671"/>
    <w:rsid w:val="00230392"/>
    <w:rsid w:val="00237DDB"/>
    <w:rsid w:val="002415DC"/>
    <w:rsid w:val="002466F8"/>
    <w:rsid w:val="00246A4E"/>
    <w:rsid w:val="00246D7E"/>
    <w:rsid w:val="00250788"/>
    <w:rsid w:val="00255373"/>
    <w:rsid w:val="00256F00"/>
    <w:rsid w:val="00257414"/>
    <w:rsid w:val="00260518"/>
    <w:rsid w:val="00262DA4"/>
    <w:rsid w:val="00264333"/>
    <w:rsid w:val="00270E2E"/>
    <w:rsid w:val="002714E6"/>
    <w:rsid w:val="0027171A"/>
    <w:rsid w:val="00273208"/>
    <w:rsid w:val="00276970"/>
    <w:rsid w:val="00294DFC"/>
    <w:rsid w:val="002A6C07"/>
    <w:rsid w:val="002B13EF"/>
    <w:rsid w:val="002D21CA"/>
    <w:rsid w:val="002D4CAB"/>
    <w:rsid w:val="002D53AA"/>
    <w:rsid w:val="002D5893"/>
    <w:rsid w:val="002D64D8"/>
    <w:rsid w:val="002D7A51"/>
    <w:rsid w:val="002E58AC"/>
    <w:rsid w:val="002E5F83"/>
    <w:rsid w:val="002E77D8"/>
    <w:rsid w:val="00303C2B"/>
    <w:rsid w:val="00304600"/>
    <w:rsid w:val="00304F6F"/>
    <w:rsid w:val="00307CF0"/>
    <w:rsid w:val="003272CD"/>
    <w:rsid w:val="00341CF7"/>
    <w:rsid w:val="00343590"/>
    <w:rsid w:val="003501DD"/>
    <w:rsid w:val="00354937"/>
    <w:rsid w:val="00357623"/>
    <w:rsid w:val="00357F1A"/>
    <w:rsid w:val="00360DD8"/>
    <w:rsid w:val="003659F3"/>
    <w:rsid w:val="00374DDC"/>
    <w:rsid w:val="00374FD1"/>
    <w:rsid w:val="00377884"/>
    <w:rsid w:val="00380703"/>
    <w:rsid w:val="0038362F"/>
    <w:rsid w:val="003955FC"/>
    <w:rsid w:val="003A08ED"/>
    <w:rsid w:val="003B1782"/>
    <w:rsid w:val="003B5EAC"/>
    <w:rsid w:val="003B6A1B"/>
    <w:rsid w:val="003C608A"/>
    <w:rsid w:val="003D359B"/>
    <w:rsid w:val="003D4455"/>
    <w:rsid w:val="003E34FD"/>
    <w:rsid w:val="003E373D"/>
    <w:rsid w:val="003E3E43"/>
    <w:rsid w:val="003E4A08"/>
    <w:rsid w:val="003E5FB0"/>
    <w:rsid w:val="003F33EA"/>
    <w:rsid w:val="003F5893"/>
    <w:rsid w:val="003F5AE0"/>
    <w:rsid w:val="00405093"/>
    <w:rsid w:val="00406260"/>
    <w:rsid w:val="0041009D"/>
    <w:rsid w:val="00415365"/>
    <w:rsid w:val="004153F4"/>
    <w:rsid w:val="004179A7"/>
    <w:rsid w:val="004232F2"/>
    <w:rsid w:val="00424297"/>
    <w:rsid w:val="004244C4"/>
    <w:rsid w:val="00424CDC"/>
    <w:rsid w:val="00427AA8"/>
    <w:rsid w:val="00435C30"/>
    <w:rsid w:val="00440968"/>
    <w:rsid w:val="0044148C"/>
    <w:rsid w:val="00441678"/>
    <w:rsid w:val="0044295B"/>
    <w:rsid w:val="00445CB5"/>
    <w:rsid w:val="004461BD"/>
    <w:rsid w:val="00446F5E"/>
    <w:rsid w:val="00452E51"/>
    <w:rsid w:val="004534E7"/>
    <w:rsid w:val="00453D22"/>
    <w:rsid w:val="00455566"/>
    <w:rsid w:val="0046248A"/>
    <w:rsid w:val="004663B7"/>
    <w:rsid w:val="00467E65"/>
    <w:rsid w:val="0048053C"/>
    <w:rsid w:val="0048071B"/>
    <w:rsid w:val="00480BF6"/>
    <w:rsid w:val="004840D2"/>
    <w:rsid w:val="00490FD7"/>
    <w:rsid w:val="00493102"/>
    <w:rsid w:val="004A069B"/>
    <w:rsid w:val="004A1DA5"/>
    <w:rsid w:val="004A2A4B"/>
    <w:rsid w:val="004A6FD4"/>
    <w:rsid w:val="004A7822"/>
    <w:rsid w:val="004B6522"/>
    <w:rsid w:val="004B6883"/>
    <w:rsid w:val="004C0961"/>
    <w:rsid w:val="004C39A1"/>
    <w:rsid w:val="004C4FCA"/>
    <w:rsid w:val="004C5A08"/>
    <w:rsid w:val="004D3ECB"/>
    <w:rsid w:val="004D6B6D"/>
    <w:rsid w:val="004D779D"/>
    <w:rsid w:val="004E0395"/>
    <w:rsid w:val="004E3260"/>
    <w:rsid w:val="004E3939"/>
    <w:rsid w:val="004E3D93"/>
    <w:rsid w:val="004F080E"/>
    <w:rsid w:val="004F3247"/>
    <w:rsid w:val="0050166C"/>
    <w:rsid w:val="00505A17"/>
    <w:rsid w:val="005073B8"/>
    <w:rsid w:val="00515340"/>
    <w:rsid w:val="00516CE7"/>
    <w:rsid w:val="0051798B"/>
    <w:rsid w:val="005215EF"/>
    <w:rsid w:val="00521B5F"/>
    <w:rsid w:val="00521B86"/>
    <w:rsid w:val="00527FDB"/>
    <w:rsid w:val="005317F9"/>
    <w:rsid w:val="00533373"/>
    <w:rsid w:val="0053618E"/>
    <w:rsid w:val="00543150"/>
    <w:rsid w:val="00547145"/>
    <w:rsid w:val="00551967"/>
    <w:rsid w:val="0055228B"/>
    <w:rsid w:val="00556865"/>
    <w:rsid w:val="005607A5"/>
    <w:rsid w:val="00565B30"/>
    <w:rsid w:val="00567FEF"/>
    <w:rsid w:val="0057088A"/>
    <w:rsid w:val="0057320B"/>
    <w:rsid w:val="00575494"/>
    <w:rsid w:val="00575CD5"/>
    <w:rsid w:val="00581D24"/>
    <w:rsid w:val="00586254"/>
    <w:rsid w:val="005912FA"/>
    <w:rsid w:val="0059289A"/>
    <w:rsid w:val="00595E44"/>
    <w:rsid w:val="00597289"/>
    <w:rsid w:val="005A3018"/>
    <w:rsid w:val="005A53F1"/>
    <w:rsid w:val="005A54E4"/>
    <w:rsid w:val="005A63D4"/>
    <w:rsid w:val="005A65C2"/>
    <w:rsid w:val="005B3CA0"/>
    <w:rsid w:val="005B5B44"/>
    <w:rsid w:val="005C0280"/>
    <w:rsid w:val="005C0599"/>
    <w:rsid w:val="005C2F75"/>
    <w:rsid w:val="005C327F"/>
    <w:rsid w:val="005C48E2"/>
    <w:rsid w:val="005C7E25"/>
    <w:rsid w:val="005D153D"/>
    <w:rsid w:val="005D3A6C"/>
    <w:rsid w:val="005D731E"/>
    <w:rsid w:val="005D7765"/>
    <w:rsid w:val="005D7775"/>
    <w:rsid w:val="005E1632"/>
    <w:rsid w:val="005E1F01"/>
    <w:rsid w:val="005E35F0"/>
    <w:rsid w:val="005E4F3B"/>
    <w:rsid w:val="005E4F95"/>
    <w:rsid w:val="005E73B0"/>
    <w:rsid w:val="005F47AB"/>
    <w:rsid w:val="005F4D82"/>
    <w:rsid w:val="005F60F8"/>
    <w:rsid w:val="00601C2B"/>
    <w:rsid w:val="00602A84"/>
    <w:rsid w:val="0060439F"/>
    <w:rsid w:val="00610123"/>
    <w:rsid w:val="0061498E"/>
    <w:rsid w:val="00617A73"/>
    <w:rsid w:val="0062026D"/>
    <w:rsid w:val="00621A7C"/>
    <w:rsid w:val="006237A3"/>
    <w:rsid w:val="00625884"/>
    <w:rsid w:val="0063167E"/>
    <w:rsid w:val="00633540"/>
    <w:rsid w:val="00634138"/>
    <w:rsid w:val="00637BD1"/>
    <w:rsid w:val="00641D20"/>
    <w:rsid w:val="00644CEB"/>
    <w:rsid w:val="006459B9"/>
    <w:rsid w:val="006467D4"/>
    <w:rsid w:val="0065087E"/>
    <w:rsid w:val="00652DEA"/>
    <w:rsid w:val="00654665"/>
    <w:rsid w:val="00656647"/>
    <w:rsid w:val="00660152"/>
    <w:rsid w:val="00660D7E"/>
    <w:rsid w:val="006637D2"/>
    <w:rsid w:val="0067249B"/>
    <w:rsid w:val="00673595"/>
    <w:rsid w:val="00673EB1"/>
    <w:rsid w:val="00691528"/>
    <w:rsid w:val="00692738"/>
    <w:rsid w:val="00694EF1"/>
    <w:rsid w:val="006A4B71"/>
    <w:rsid w:val="006A7272"/>
    <w:rsid w:val="006B0BC7"/>
    <w:rsid w:val="006B509A"/>
    <w:rsid w:val="006B5D17"/>
    <w:rsid w:val="006B7228"/>
    <w:rsid w:val="006B7375"/>
    <w:rsid w:val="006C3538"/>
    <w:rsid w:val="006C59E6"/>
    <w:rsid w:val="006D1BE0"/>
    <w:rsid w:val="006D22E1"/>
    <w:rsid w:val="006D4B0E"/>
    <w:rsid w:val="006D67C9"/>
    <w:rsid w:val="006E1D1D"/>
    <w:rsid w:val="006F1651"/>
    <w:rsid w:val="006F1B13"/>
    <w:rsid w:val="006F36A2"/>
    <w:rsid w:val="006F3AA5"/>
    <w:rsid w:val="00700E47"/>
    <w:rsid w:val="007020CB"/>
    <w:rsid w:val="00702CD1"/>
    <w:rsid w:val="00703AD2"/>
    <w:rsid w:val="00703D5A"/>
    <w:rsid w:val="0070558F"/>
    <w:rsid w:val="007056FC"/>
    <w:rsid w:val="00707D67"/>
    <w:rsid w:val="00712393"/>
    <w:rsid w:val="00714B0B"/>
    <w:rsid w:val="00716F0D"/>
    <w:rsid w:val="00722AD6"/>
    <w:rsid w:val="007249AF"/>
    <w:rsid w:val="00732A67"/>
    <w:rsid w:val="00734386"/>
    <w:rsid w:val="0074620B"/>
    <w:rsid w:val="00751694"/>
    <w:rsid w:val="00752BB7"/>
    <w:rsid w:val="0075302A"/>
    <w:rsid w:val="00757147"/>
    <w:rsid w:val="00757B44"/>
    <w:rsid w:val="00760475"/>
    <w:rsid w:val="00762422"/>
    <w:rsid w:val="00763797"/>
    <w:rsid w:val="00767DB1"/>
    <w:rsid w:val="00771745"/>
    <w:rsid w:val="007748CB"/>
    <w:rsid w:val="00780C7B"/>
    <w:rsid w:val="0078451F"/>
    <w:rsid w:val="007846ED"/>
    <w:rsid w:val="00785231"/>
    <w:rsid w:val="00786CAD"/>
    <w:rsid w:val="00790105"/>
    <w:rsid w:val="00790C03"/>
    <w:rsid w:val="00794415"/>
    <w:rsid w:val="007969F4"/>
    <w:rsid w:val="007A2F35"/>
    <w:rsid w:val="007A3FCC"/>
    <w:rsid w:val="007A6892"/>
    <w:rsid w:val="007B2E99"/>
    <w:rsid w:val="007B5E72"/>
    <w:rsid w:val="007C1603"/>
    <w:rsid w:val="007C1B69"/>
    <w:rsid w:val="007C5BBB"/>
    <w:rsid w:val="007D2D44"/>
    <w:rsid w:val="007E0A78"/>
    <w:rsid w:val="007E22DD"/>
    <w:rsid w:val="007E3F69"/>
    <w:rsid w:val="007E455D"/>
    <w:rsid w:val="007E4C1A"/>
    <w:rsid w:val="007E59A6"/>
    <w:rsid w:val="007E71C3"/>
    <w:rsid w:val="007F20E0"/>
    <w:rsid w:val="007F2B9F"/>
    <w:rsid w:val="007F620E"/>
    <w:rsid w:val="007F69E0"/>
    <w:rsid w:val="007F6CF5"/>
    <w:rsid w:val="008006DC"/>
    <w:rsid w:val="00802101"/>
    <w:rsid w:val="00802701"/>
    <w:rsid w:val="00807044"/>
    <w:rsid w:val="00811DB1"/>
    <w:rsid w:val="00815F1F"/>
    <w:rsid w:val="0081626F"/>
    <w:rsid w:val="008168E2"/>
    <w:rsid w:val="0081778A"/>
    <w:rsid w:val="00820551"/>
    <w:rsid w:val="00820961"/>
    <w:rsid w:val="00831652"/>
    <w:rsid w:val="0083350A"/>
    <w:rsid w:val="0083442F"/>
    <w:rsid w:val="00834A14"/>
    <w:rsid w:val="0083603C"/>
    <w:rsid w:val="00837650"/>
    <w:rsid w:val="00844B63"/>
    <w:rsid w:val="00844C4C"/>
    <w:rsid w:val="0084797E"/>
    <w:rsid w:val="00853BFD"/>
    <w:rsid w:val="00855FD7"/>
    <w:rsid w:val="0085603E"/>
    <w:rsid w:val="00856B45"/>
    <w:rsid w:val="008607F0"/>
    <w:rsid w:val="00871610"/>
    <w:rsid w:val="00873318"/>
    <w:rsid w:val="00880855"/>
    <w:rsid w:val="008844B6"/>
    <w:rsid w:val="00885956"/>
    <w:rsid w:val="00886869"/>
    <w:rsid w:val="008948CF"/>
    <w:rsid w:val="008B0D95"/>
    <w:rsid w:val="008B2623"/>
    <w:rsid w:val="008B53B5"/>
    <w:rsid w:val="008B67E2"/>
    <w:rsid w:val="008C09F7"/>
    <w:rsid w:val="008C2208"/>
    <w:rsid w:val="008C36C9"/>
    <w:rsid w:val="008C3E1C"/>
    <w:rsid w:val="008C61F3"/>
    <w:rsid w:val="008E0AC8"/>
    <w:rsid w:val="008E182E"/>
    <w:rsid w:val="008E2F69"/>
    <w:rsid w:val="008E3450"/>
    <w:rsid w:val="008E345A"/>
    <w:rsid w:val="008E4336"/>
    <w:rsid w:val="008E6924"/>
    <w:rsid w:val="008F2B31"/>
    <w:rsid w:val="008F58A7"/>
    <w:rsid w:val="009014EB"/>
    <w:rsid w:val="00907C17"/>
    <w:rsid w:val="00911CFA"/>
    <w:rsid w:val="00915118"/>
    <w:rsid w:val="00916B82"/>
    <w:rsid w:val="00916C6F"/>
    <w:rsid w:val="00920E18"/>
    <w:rsid w:val="00925FAB"/>
    <w:rsid w:val="0092648A"/>
    <w:rsid w:val="00927174"/>
    <w:rsid w:val="00927EA0"/>
    <w:rsid w:val="0094174D"/>
    <w:rsid w:val="00942EE6"/>
    <w:rsid w:val="00947BFD"/>
    <w:rsid w:val="00955225"/>
    <w:rsid w:val="00956D0B"/>
    <w:rsid w:val="009611A7"/>
    <w:rsid w:val="00963EEF"/>
    <w:rsid w:val="0096409B"/>
    <w:rsid w:val="00965A6D"/>
    <w:rsid w:val="00966939"/>
    <w:rsid w:val="00970429"/>
    <w:rsid w:val="00970D19"/>
    <w:rsid w:val="00975A76"/>
    <w:rsid w:val="0099521D"/>
    <w:rsid w:val="009A62F6"/>
    <w:rsid w:val="009A6621"/>
    <w:rsid w:val="009B3539"/>
    <w:rsid w:val="009B78DE"/>
    <w:rsid w:val="009C1CC8"/>
    <w:rsid w:val="009E4265"/>
    <w:rsid w:val="009E48E4"/>
    <w:rsid w:val="009F1926"/>
    <w:rsid w:val="00A02D30"/>
    <w:rsid w:val="00A0464A"/>
    <w:rsid w:val="00A060B4"/>
    <w:rsid w:val="00A07A96"/>
    <w:rsid w:val="00A1556B"/>
    <w:rsid w:val="00A167D8"/>
    <w:rsid w:val="00A232E2"/>
    <w:rsid w:val="00A23930"/>
    <w:rsid w:val="00A24E91"/>
    <w:rsid w:val="00A319DE"/>
    <w:rsid w:val="00A33242"/>
    <w:rsid w:val="00A60203"/>
    <w:rsid w:val="00A61884"/>
    <w:rsid w:val="00A67E89"/>
    <w:rsid w:val="00A75D2D"/>
    <w:rsid w:val="00A7649B"/>
    <w:rsid w:val="00A82487"/>
    <w:rsid w:val="00A83A51"/>
    <w:rsid w:val="00A86489"/>
    <w:rsid w:val="00A86988"/>
    <w:rsid w:val="00A910F1"/>
    <w:rsid w:val="00A92D0B"/>
    <w:rsid w:val="00AA1582"/>
    <w:rsid w:val="00AA1740"/>
    <w:rsid w:val="00AA4C5B"/>
    <w:rsid w:val="00AA775A"/>
    <w:rsid w:val="00AB1D44"/>
    <w:rsid w:val="00AB2F7F"/>
    <w:rsid w:val="00AB3510"/>
    <w:rsid w:val="00AC5A4B"/>
    <w:rsid w:val="00AD5797"/>
    <w:rsid w:val="00AD742A"/>
    <w:rsid w:val="00AE1ED2"/>
    <w:rsid w:val="00AE429F"/>
    <w:rsid w:val="00AE6488"/>
    <w:rsid w:val="00AF287B"/>
    <w:rsid w:val="00AF61A9"/>
    <w:rsid w:val="00B00BCD"/>
    <w:rsid w:val="00B03003"/>
    <w:rsid w:val="00B11844"/>
    <w:rsid w:val="00B1474D"/>
    <w:rsid w:val="00B1593B"/>
    <w:rsid w:val="00B17005"/>
    <w:rsid w:val="00B27012"/>
    <w:rsid w:val="00B30F84"/>
    <w:rsid w:val="00B312DA"/>
    <w:rsid w:val="00B31565"/>
    <w:rsid w:val="00B3725A"/>
    <w:rsid w:val="00B41AAB"/>
    <w:rsid w:val="00B51A15"/>
    <w:rsid w:val="00B51BF8"/>
    <w:rsid w:val="00B51C2B"/>
    <w:rsid w:val="00B51F03"/>
    <w:rsid w:val="00B54991"/>
    <w:rsid w:val="00B55218"/>
    <w:rsid w:val="00B55CCD"/>
    <w:rsid w:val="00B55D78"/>
    <w:rsid w:val="00B561C1"/>
    <w:rsid w:val="00B62AC0"/>
    <w:rsid w:val="00B66CF5"/>
    <w:rsid w:val="00B70621"/>
    <w:rsid w:val="00B7439F"/>
    <w:rsid w:val="00B74F28"/>
    <w:rsid w:val="00B759C4"/>
    <w:rsid w:val="00B803D5"/>
    <w:rsid w:val="00B83C31"/>
    <w:rsid w:val="00B8602C"/>
    <w:rsid w:val="00B87900"/>
    <w:rsid w:val="00B916BF"/>
    <w:rsid w:val="00B947F4"/>
    <w:rsid w:val="00B96874"/>
    <w:rsid w:val="00BA1FC2"/>
    <w:rsid w:val="00BA3BFC"/>
    <w:rsid w:val="00BA44EC"/>
    <w:rsid w:val="00BA548C"/>
    <w:rsid w:val="00BB1BB7"/>
    <w:rsid w:val="00BB49BB"/>
    <w:rsid w:val="00BC1CAE"/>
    <w:rsid w:val="00BC1F12"/>
    <w:rsid w:val="00BC524D"/>
    <w:rsid w:val="00BD4617"/>
    <w:rsid w:val="00BE343A"/>
    <w:rsid w:val="00BE45D0"/>
    <w:rsid w:val="00BF2F45"/>
    <w:rsid w:val="00C02649"/>
    <w:rsid w:val="00C0471D"/>
    <w:rsid w:val="00C13B3F"/>
    <w:rsid w:val="00C14441"/>
    <w:rsid w:val="00C16981"/>
    <w:rsid w:val="00C17053"/>
    <w:rsid w:val="00C170A2"/>
    <w:rsid w:val="00C20FEA"/>
    <w:rsid w:val="00C213A6"/>
    <w:rsid w:val="00C319A2"/>
    <w:rsid w:val="00C326A7"/>
    <w:rsid w:val="00C33F15"/>
    <w:rsid w:val="00C372E0"/>
    <w:rsid w:val="00C40E03"/>
    <w:rsid w:val="00C4376F"/>
    <w:rsid w:val="00C43A38"/>
    <w:rsid w:val="00C46F48"/>
    <w:rsid w:val="00C47A2B"/>
    <w:rsid w:val="00C53612"/>
    <w:rsid w:val="00C575A4"/>
    <w:rsid w:val="00C66FA0"/>
    <w:rsid w:val="00C742D7"/>
    <w:rsid w:val="00C765A2"/>
    <w:rsid w:val="00C80771"/>
    <w:rsid w:val="00C901E2"/>
    <w:rsid w:val="00C91568"/>
    <w:rsid w:val="00C93EA7"/>
    <w:rsid w:val="00C93F70"/>
    <w:rsid w:val="00CA28C3"/>
    <w:rsid w:val="00CA7F5F"/>
    <w:rsid w:val="00CB0D58"/>
    <w:rsid w:val="00CC10AF"/>
    <w:rsid w:val="00CC190D"/>
    <w:rsid w:val="00CC4B40"/>
    <w:rsid w:val="00CC4F0F"/>
    <w:rsid w:val="00CC5771"/>
    <w:rsid w:val="00CC67D5"/>
    <w:rsid w:val="00CD6886"/>
    <w:rsid w:val="00CD7D17"/>
    <w:rsid w:val="00CE057B"/>
    <w:rsid w:val="00CE23C6"/>
    <w:rsid w:val="00CF1129"/>
    <w:rsid w:val="00CF1FDA"/>
    <w:rsid w:val="00CF6BC1"/>
    <w:rsid w:val="00D06E7A"/>
    <w:rsid w:val="00D075B1"/>
    <w:rsid w:val="00D10372"/>
    <w:rsid w:val="00D1345D"/>
    <w:rsid w:val="00D134EB"/>
    <w:rsid w:val="00D1778A"/>
    <w:rsid w:val="00D27671"/>
    <w:rsid w:val="00D27D5F"/>
    <w:rsid w:val="00D30039"/>
    <w:rsid w:val="00D30C4F"/>
    <w:rsid w:val="00D33408"/>
    <w:rsid w:val="00D36884"/>
    <w:rsid w:val="00D36927"/>
    <w:rsid w:val="00D37D2C"/>
    <w:rsid w:val="00D45472"/>
    <w:rsid w:val="00D51CAA"/>
    <w:rsid w:val="00D53BC1"/>
    <w:rsid w:val="00D55B00"/>
    <w:rsid w:val="00D56BCA"/>
    <w:rsid w:val="00D62CC4"/>
    <w:rsid w:val="00D660E8"/>
    <w:rsid w:val="00D74F4E"/>
    <w:rsid w:val="00D75107"/>
    <w:rsid w:val="00D76926"/>
    <w:rsid w:val="00D84F94"/>
    <w:rsid w:val="00D8769E"/>
    <w:rsid w:val="00D90714"/>
    <w:rsid w:val="00D90B47"/>
    <w:rsid w:val="00D95B3A"/>
    <w:rsid w:val="00DA3AEE"/>
    <w:rsid w:val="00DA516F"/>
    <w:rsid w:val="00DB275A"/>
    <w:rsid w:val="00DB708F"/>
    <w:rsid w:val="00DB7246"/>
    <w:rsid w:val="00DB7B75"/>
    <w:rsid w:val="00DC1834"/>
    <w:rsid w:val="00DC1EB7"/>
    <w:rsid w:val="00DC364D"/>
    <w:rsid w:val="00DC4780"/>
    <w:rsid w:val="00DC5171"/>
    <w:rsid w:val="00DC64BB"/>
    <w:rsid w:val="00DC6512"/>
    <w:rsid w:val="00DC7900"/>
    <w:rsid w:val="00DD0CE0"/>
    <w:rsid w:val="00DD52BB"/>
    <w:rsid w:val="00DE3A5D"/>
    <w:rsid w:val="00DE48AB"/>
    <w:rsid w:val="00DE56AA"/>
    <w:rsid w:val="00DE5C8A"/>
    <w:rsid w:val="00DE76CF"/>
    <w:rsid w:val="00DF793C"/>
    <w:rsid w:val="00DF7F04"/>
    <w:rsid w:val="00E00990"/>
    <w:rsid w:val="00E00FCE"/>
    <w:rsid w:val="00E01962"/>
    <w:rsid w:val="00E03003"/>
    <w:rsid w:val="00E100E7"/>
    <w:rsid w:val="00E15DC3"/>
    <w:rsid w:val="00E17B34"/>
    <w:rsid w:val="00E21EA5"/>
    <w:rsid w:val="00E24486"/>
    <w:rsid w:val="00E25078"/>
    <w:rsid w:val="00E3595D"/>
    <w:rsid w:val="00E364B8"/>
    <w:rsid w:val="00E375DA"/>
    <w:rsid w:val="00E3786F"/>
    <w:rsid w:val="00E37D3D"/>
    <w:rsid w:val="00E40140"/>
    <w:rsid w:val="00E516DC"/>
    <w:rsid w:val="00E52992"/>
    <w:rsid w:val="00E56E77"/>
    <w:rsid w:val="00E60942"/>
    <w:rsid w:val="00E61840"/>
    <w:rsid w:val="00E655BB"/>
    <w:rsid w:val="00E66FE7"/>
    <w:rsid w:val="00E707B3"/>
    <w:rsid w:val="00E72052"/>
    <w:rsid w:val="00E75E09"/>
    <w:rsid w:val="00E76D2D"/>
    <w:rsid w:val="00E770A3"/>
    <w:rsid w:val="00E775D0"/>
    <w:rsid w:val="00E81465"/>
    <w:rsid w:val="00E81881"/>
    <w:rsid w:val="00E83CB1"/>
    <w:rsid w:val="00E90149"/>
    <w:rsid w:val="00E9366A"/>
    <w:rsid w:val="00E93A72"/>
    <w:rsid w:val="00E959A0"/>
    <w:rsid w:val="00E967E2"/>
    <w:rsid w:val="00E96E37"/>
    <w:rsid w:val="00EA3BB2"/>
    <w:rsid w:val="00EA51E7"/>
    <w:rsid w:val="00EB0DBA"/>
    <w:rsid w:val="00EB2F10"/>
    <w:rsid w:val="00EB64CF"/>
    <w:rsid w:val="00EC20F1"/>
    <w:rsid w:val="00EC40F1"/>
    <w:rsid w:val="00EC5FA3"/>
    <w:rsid w:val="00EC6387"/>
    <w:rsid w:val="00ED6B6B"/>
    <w:rsid w:val="00ED7062"/>
    <w:rsid w:val="00EE4E67"/>
    <w:rsid w:val="00EF15DA"/>
    <w:rsid w:val="00EF4AD5"/>
    <w:rsid w:val="00EF6313"/>
    <w:rsid w:val="00EF7D58"/>
    <w:rsid w:val="00F028C8"/>
    <w:rsid w:val="00F04904"/>
    <w:rsid w:val="00F1212E"/>
    <w:rsid w:val="00F121CC"/>
    <w:rsid w:val="00F12C41"/>
    <w:rsid w:val="00F20061"/>
    <w:rsid w:val="00F20114"/>
    <w:rsid w:val="00F21890"/>
    <w:rsid w:val="00F26371"/>
    <w:rsid w:val="00F2682B"/>
    <w:rsid w:val="00F30DA8"/>
    <w:rsid w:val="00F34C1F"/>
    <w:rsid w:val="00F36BA8"/>
    <w:rsid w:val="00F3772B"/>
    <w:rsid w:val="00F421BF"/>
    <w:rsid w:val="00F47E87"/>
    <w:rsid w:val="00F568D3"/>
    <w:rsid w:val="00F63C29"/>
    <w:rsid w:val="00F642E3"/>
    <w:rsid w:val="00F650AE"/>
    <w:rsid w:val="00F7285E"/>
    <w:rsid w:val="00F74DB4"/>
    <w:rsid w:val="00F7579D"/>
    <w:rsid w:val="00F81778"/>
    <w:rsid w:val="00F827D9"/>
    <w:rsid w:val="00F85321"/>
    <w:rsid w:val="00F8584C"/>
    <w:rsid w:val="00F862A9"/>
    <w:rsid w:val="00F90C53"/>
    <w:rsid w:val="00F90E23"/>
    <w:rsid w:val="00F92BA9"/>
    <w:rsid w:val="00F93314"/>
    <w:rsid w:val="00F94F54"/>
    <w:rsid w:val="00F95ACF"/>
    <w:rsid w:val="00F97388"/>
    <w:rsid w:val="00FA461E"/>
    <w:rsid w:val="00FA4732"/>
    <w:rsid w:val="00FA7063"/>
    <w:rsid w:val="00FB0B80"/>
    <w:rsid w:val="00FB10BD"/>
    <w:rsid w:val="00FB22BF"/>
    <w:rsid w:val="00FC3AF0"/>
    <w:rsid w:val="00FC6CB0"/>
    <w:rsid w:val="00FC72B7"/>
    <w:rsid w:val="00FD0EF0"/>
    <w:rsid w:val="00FD1D96"/>
    <w:rsid w:val="00FD3481"/>
    <w:rsid w:val="00FD688E"/>
    <w:rsid w:val="00FE3BAE"/>
    <w:rsid w:val="00FE5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uiPriority w:val="99"/>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customStyle="1" w:styleId="apple-converted-space">
    <w:name w:val="apple-converted-space"/>
    <w:basedOn w:val="DefaultParagraphFont"/>
    <w:rsid w:val="004232F2"/>
  </w:style>
  <w:style w:type="character" w:styleId="UnresolvedMention">
    <w:name w:val="Unresolved Mention"/>
    <w:basedOn w:val="DefaultParagraphFont"/>
    <w:uiPriority w:val="99"/>
    <w:semiHidden/>
    <w:unhideWhenUsed/>
    <w:rsid w:val="0094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ci.t0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5084</ap:Words>
  <ap:Characters>28983</ap:Characters>
  <ap:Application>Microsoft Office Word</ap:Application>
  <ap:DocSecurity>0</ap:DocSecurity>
  <ap:Lines>241</ap:Lines>
  <ap:Paragraphs>67</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34000</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2026-05-05T09:46:48Z</dcterms:created>
  <dcterms:modified xsi:type="dcterms:W3CDTF">2026-05-05T09:46:48Z</dcterms:modified>
</cp:coreProperties>
</file>