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21E5" w:rsidP="004454FC" w:rsidRDefault="00D94E89" w14:paraId="720ADEB1" w14:textId="25CF68DF">
      <w:pPr>
        <w:pStyle w:val="Header"/>
        <w:tabs>
          <w:tab w:val="clear" w:pos="4680"/>
        </w:tabs>
        <w:ind w:firstLine="0"/>
      </w:pPr>
      <w:r>
        <w:t>COM</w:t>
      </w:r>
      <w:r w:rsidR="00FD21E5">
        <w:t>/nd3</w:t>
      </w:r>
      <w:r w:rsidR="004454FC">
        <w:tab/>
      </w:r>
      <w:r w:rsidRPr="004454FC" w:rsidR="004454FC">
        <w:rPr>
          <w:b/>
          <w:bCs/>
        </w:rPr>
        <w:t>Date of Issuance 5/6/2026</w:t>
      </w:r>
    </w:p>
    <w:p w:rsidR="00DA7B5D" w:rsidP="00FD21E5" w:rsidRDefault="00DA7B5D" w14:paraId="53EC5F43" w14:textId="77777777">
      <w:pPr>
        <w:spacing w:line="240" w:lineRule="auto"/>
        <w:ind w:firstLine="0"/>
        <w:rPr>
          <w:u w:val="single"/>
        </w:rPr>
      </w:pPr>
    </w:p>
    <w:p w:rsidR="006B72DC" w:rsidP="00FD21E5" w:rsidRDefault="006B72DC" w14:paraId="0D2A93E4" w14:textId="77777777">
      <w:pPr>
        <w:spacing w:line="240" w:lineRule="auto"/>
        <w:ind w:firstLine="0"/>
        <w:rPr>
          <w:u w:val="single"/>
        </w:rPr>
      </w:pPr>
    </w:p>
    <w:p w:rsidR="00DA7B5D" w:rsidP="00BB0243" w:rsidRDefault="00DA7B5D" w14:paraId="2E0F6947"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20469DC4" w14:textId="77777777">
      <w:pPr>
        <w:spacing w:line="240" w:lineRule="auto"/>
        <w:ind w:firstLine="0"/>
        <w:rPr>
          <w:rFonts w:ascii="Arial" w:hAnsi="Arial" w:cs="Arial"/>
          <w:sz w:val="24"/>
          <w:szCs w:val="24"/>
        </w:rPr>
      </w:pPr>
    </w:p>
    <w:tbl>
      <w:tblPr>
        <w:tblStyle w:val="TableGrid"/>
        <w:tblW w:w="9360" w:type="dxa"/>
        <w:tblLayout w:type="fixed"/>
        <w:tblLook w:val="04A0" w:firstRow="1" w:lastRow="0" w:firstColumn="1" w:lastColumn="0" w:noHBand="0" w:noVBand="1"/>
      </w:tblPr>
      <w:tblGrid>
        <w:gridCol w:w="4680"/>
        <w:gridCol w:w="4680"/>
      </w:tblGrid>
      <w:tr w:rsidR="00DA7B5D" w:rsidTr="00FD21E5" w14:paraId="73C29B95" w14:textId="77777777">
        <w:tc>
          <w:tcPr>
            <w:tcW w:w="5040" w:type="dxa"/>
            <w:tcBorders>
              <w:top w:val="nil"/>
              <w:left w:val="nil"/>
              <w:bottom w:val="single" w:color="auto" w:sz="4" w:space="0"/>
              <w:right w:val="single" w:color="auto" w:sz="4" w:space="0"/>
            </w:tcBorders>
          </w:tcPr>
          <w:p w:rsidR="00574003" w:rsidP="00C10B5F" w:rsidRDefault="00DC2386" w14:paraId="2CF3B992" w14:textId="7DA98C76">
            <w:pPr>
              <w:spacing w:line="240" w:lineRule="auto"/>
              <w:ind w:firstLine="0"/>
              <w:rPr>
                <w:rFonts w:cs="Arial"/>
                <w:szCs w:val="26"/>
              </w:rPr>
            </w:pPr>
            <w:r>
              <w:rPr>
                <w:rFonts w:cs="Arial"/>
                <w:szCs w:val="26"/>
              </w:rPr>
              <w:t xml:space="preserve">Order Instituting Rulemaking to </w:t>
            </w:r>
            <w:r w:rsidR="00D11CB5">
              <w:rPr>
                <w:rFonts w:cs="Arial"/>
                <w:szCs w:val="26"/>
              </w:rPr>
              <w:t>Refine</w:t>
            </w:r>
            <w:r w:rsidR="00EC6845">
              <w:rPr>
                <w:rFonts w:cs="Arial"/>
                <w:szCs w:val="26"/>
              </w:rPr>
              <w:t xml:space="preserve"> </w:t>
            </w:r>
            <w:r w:rsidR="00671478">
              <w:rPr>
                <w:rFonts w:cs="Arial"/>
                <w:szCs w:val="26"/>
              </w:rPr>
              <w:t>the</w:t>
            </w:r>
            <w:r>
              <w:rPr>
                <w:rFonts w:cs="Arial"/>
                <w:szCs w:val="26"/>
              </w:rPr>
              <w:t xml:space="preserve"> Risk</w:t>
            </w:r>
            <w:r w:rsidR="00C26B9E">
              <w:rPr>
                <w:rFonts w:cs="Arial"/>
                <w:szCs w:val="26"/>
              </w:rPr>
              <w:noBreakHyphen/>
            </w:r>
            <w:r>
              <w:rPr>
                <w:rFonts w:cs="Arial"/>
                <w:szCs w:val="26"/>
              </w:rPr>
              <w:t>Based Decision</w:t>
            </w:r>
            <w:r w:rsidR="00C26B9E">
              <w:rPr>
                <w:rFonts w:cs="Arial"/>
                <w:szCs w:val="26"/>
              </w:rPr>
              <w:noBreakHyphen/>
            </w:r>
            <w:r>
              <w:rPr>
                <w:rFonts w:cs="Arial"/>
                <w:szCs w:val="26"/>
              </w:rPr>
              <w:t>Making Framework for Electric and Gas Utilities.</w:t>
            </w:r>
          </w:p>
          <w:p w:rsidRPr="00DA7B5D" w:rsidR="00DA7B5D" w:rsidP="00C10B5F" w:rsidRDefault="00DA7B5D" w14:paraId="501F1AEE" w14:textId="1D22DD86">
            <w:pPr>
              <w:spacing w:line="240" w:lineRule="auto"/>
              <w:ind w:firstLine="0"/>
              <w:rPr>
                <w:rFonts w:cs="Arial"/>
                <w:szCs w:val="26"/>
              </w:rPr>
            </w:pPr>
          </w:p>
        </w:tc>
        <w:tc>
          <w:tcPr>
            <w:tcW w:w="5040" w:type="dxa"/>
            <w:tcBorders>
              <w:top w:val="nil"/>
              <w:left w:val="single" w:color="auto" w:sz="4" w:space="0"/>
              <w:bottom w:val="nil"/>
              <w:right w:val="nil"/>
            </w:tcBorders>
            <w:vAlign w:val="center"/>
          </w:tcPr>
          <w:p w:rsidRPr="00B4587E" w:rsidR="00B4587E" w:rsidP="00B4587E" w:rsidRDefault="00B4587E" w14:paraId="4E3ADFB5" w14:textId="77777777">
            <w:pPr>
              <w:spacing w:line="240" w:lineRule="exact"/>
              <w:ind w:firstLine="0"/>
              <w:jc w:val="center"/>
              <w:rPr>
                <w:rFonts w:ascii="Times New Roman" w:hAnsi="Times New Roman"/>
                <w:sz w:val="24"/>
              </w:rPr>
            </w:pPr>
            <w:r w:rsidRPr="00B4587E">
              <w:rPr>
                <w:rFonts w:ascii="Times New Roman" w:hAnsi="Times New Roman"/>
                <w:sz w:val="24"/>
              </w:rPr>
              <w:t>FILED</w:t>
            </w:r>
          </w:p>
          <w:p w:rsidRPr="00B4587E" w:rsidR="00B4587E" w:rsidP="00B4587E" w:rsidRDefault="00B4587E" w14:paraId="43A4FAF2" w14:textId="77777777">
            <w:pPr>
              <w:spacing w:line="240" w:lineRule="exact"/>
              <w:ind w:firstLine="0"/>
              <w:jc w:val="center"/>
              <w:rPr>
                <w:rFonts w:ascii="Times New Roman" w:hAnsi="Times New Roman"/>
                <w:sz w:val="24"/>
              </w:rPr>
            </w:pPr>
            <w:r w:rsidRPr="00B4587E">
              <w:rPr>
                <w:rFonts w:ascii="Times New Roman" w:hAnsi="Times New Roman"/>
                <w:sz w:val="24"/>
              </w:rPr>
              <w:t>PUBLIC UTILITIES COMMISSION</w:t>
            </w:r>
          </w:p>
          <w:p w:rsidR="00B4587E" w:rsidP="00B4587E" w:rsidRDefault="00B4587E" w14:paraId="03DAB3C5" w14:textId="619166AD">
            <w:pPr>
              <w:spacing w:line="240" w:lineRule="exact"/>
              <w:ind w:firstLine="0"/>
              <w:jc w:val="center"/>
              <w:rPr>
                <w:rFonts w:ascii="Times New Roman" w:hAnsi="Times New Roman"/>
                <w:sz w:val="24"/>
              </w:rPr>
            </w:pPr>
            <w:r w:rsidRPr="00B4587E">
              <w:rPr>
                <w:rFonts w:ascii="Times New Roman" w:hAnsi="Times New Roman"/>
                <w:sz w:val="24"/>
              </w:rPr>
              <w:t>APRIL 30, 2026</w:t>
            </w:r>
          </w:p>
          <w:p w:rsidR="00B4587E" w:rsidP="00B4587E" w:rsidRDefault="00B4587E" w14:paraId="484BC7C5" w14:textId="57FFCACB">
            <w:pPr>
              <w:spacing w:line="240" w:lineRule="exact"/>
              <w:ind w:firstLine="0"/>
              <w:jc w:val="center"/>
              <w:rPr>
                <w:rFonts w:ascii="Times New Roman" w:hAnsi="Times New Roman"/>
                <w:sz w:val="24"/>
              </w:rPr>
            </w:pPr>
            <w:r>
              <w:rPr>
                <w:rFonts w:ascii="Times New Roman" w:hAnsi="Times New Roman"/>
                <w:sz w:val="24"/>
              </w:rPr>
              <w:t>SAN FRANCISCO, CA</w:t>
            </w:r>
          </w:p>
          <w:p w:rsidRPr="001B6E57" w:rsidR="00DA7B5D" w:rsidP="001B6E57" w:rsidRDefault="001B6E57" w14:paraId="5458F52D" w14:textId="77777777">
            <w:pPr>
              <w:spacing w:line="240" w:lineRule="exact"/>
              <w:ind w:firstLine="0"/>
              <w:jc w:val="center"/>
              <w:rPr>
                <w:rFonts w:ascii="Times New Roman" w:hAnsi="Times New Roman"/>
                <w:sz w:val="24"/>
                <w:highlight w:val="cyan"/>
              </w:rPr>
            </w:pPr>
            <w:r w:rsidRPr="001B6E57">
              <w:rPr>
                <w:rFonts w:ascii="Times New Roman" w:hAnsi="Times New Roman"/>
                <w:sz w:val="24"/>
              </w:rPr>
              <w:t>R</w:t>
            </w:r>
            <w:r>
              <w:rPr>
                <w:rFonts w:ascii="Times New Roman" w:hAnsi="Times New Roman"/>
                <w:sz w:val="24"/>
              </w:rPr>
              <w:t xml:space="preserve">ULEMAKING </w:t>
            </w:r>
            <w:r w:rsidRPr="001B6E57">
              <w:rPr>
                <w:rFonts w:ascii="Times New Roman" w:hAnsi="Times New Roman"/>
                <w:sz w:val="24"/>
              </w:rPr>
              <w:t>26</w:t>
            </w:r>
            <w:r>
              <w:rPr>
                <w:rFonts w:ascii="Times New Roman" w:hAnsi="Times New Roman"/>
                <w:sz w:val="24"/>
              </w:rPr>
              <w:t>-</w:t>
            </w:r>
            <w:r w:rsidRPr="001B6E57">
              <w:rPr>
                <w:rFonts w:ascii="Times New Roman" w:hAnsi="Times New Roman"/>
                <w:sz w:val="24"/>
              </w:rPr>
              <w:t>04</w:t>
            </w:r>
            <w:r>
              <w:rPr>
                <w:rFonts w:ascii="Times New Roman" w:hAnsi="Times New Roman"/>
                <w:sz w:val="24"/>
              </w:rPr>
              <w:t>-</w:t>
            </w:r>
            <w:r w:rsidRPr="001B6E57">
              <w:rPr>
                <w:rFonts w:ascii="Times New Roman" w:hAnsi="Times New Roman"/>
                <w:sz w:val="24"/>
              </w:rPr>
              <w:t xml:space="preserve">016 </w:t>
            </w:r>
          </w:p>
        </w:tc>
      </w:tr>
    </w:tbl>
    <w:p w:rsidR="00DA7B5D" w:rsidP="008F0116" w:rsidRDefault="00DA7B5D" w14:paraId="0BD793F9" w14:textId="77777777">
      <w:pPr>
        <w:spacing w:line="240" w:lineRule="auto"/>
        <w:ind w:firstLine="0"/>
        <w:rPr>
          <w:rFonts w:ascii="Arial" w:hAnsi="Arial" w:cs="Arial"/>
          <w:sz w:val="24"/>
          <w:szCs w:val="24"/>
        </w:rPr>
      </w:pPr>
    </w:p>
    <w:p w:rsidR="00DA7B5D" w:rsidP="008F0116" w:rsidRDefault="00DA7B5D" w14:paraId="68548036" w14:textId="77777777">
      <w:pPr>
        <w:spacing w:line="240" w:lineRule="auto"/>
        <w:ind w:firstLine="0"/>
        <w:rPr>
          <w:rFonts w:ascii="Arial" w:hAnsi="Arial" w:cs="Arial"/>
          <w:sz w:val="24"/>
          <w:szCs w:val="24"/>
        </w:rPr>
      </w:pPr>
    </w:p>
    <w:p w:rsidRPr="0070466C" w:rsidR="0070466C" w:rsidP="0070466C" w:rsidRDefault="0070466C" w14:paraId="1D24BE76" w14:textId="15B0CBA0">
      <w:pPr>
        <w:pStyle w:val="Dummy"/>
        <w:jc w:val="center"/>
      </w:pPr>
      <w:r>
        <w:fldChar w:fldCharType="begin"/>
      </w:r>
      <w:r>
        <w:instrText xml:space="preserve"> REF Title \h </w:instrText>
      </w:r>
      <w:r>
        <w:fldChar w:fldCharType="separate"/>
      </w:r>
      <w:bookmarkStart w:name="_Toc224746099" w:id="0"/>
      <w:bookmarkStart w:name="_Toc228945611" w:id="1"/>
      <w:r w:rsidR="002D7141">
        <w:t>ORDER INSTITUTING RULEMAKING</w:t>
      </w:r>
      <w:r w:rsidR="002D7141">
        <w:br/>
        <w:t>TO REFINE THE RISK</w:t>
      </w:r>
      <w:r w:rsidR="002D7141">
        <w:noBreakHyphen/>
        <w:t>BASED DECISION</w:t>
      </w:r>
      <w:r w:rsidR="002D7141">
        <w:noBreakHyphen/>
        <w:t>MAKING FRAMEWORK</w:t>
      </w:r>
      <w:r w:rsidR="002D7141">
        <w:br/>
        <w:t>FOR ELECTRIC AND GAS UTILITIES</w:t>
      </w:r>
      <w:bookmarkEnd w:id="0"/>
      <w:bookmarkEnd w:id="1"/>
      <w:r>
        <w:fldChar w:fldCharType="end"/>
      </w:r>
    </w:p>
    <w:p w:rsidRPr="00662A4D" w:rsidR="00761102" w:rsidP="00662A4D" w:rsidRDefault="00761102" w14:paraId="29EBCE75" w14:textId="77777777">
      <w:pPr>
        <w:ind w:firstLine="0"/>
      </w:pPr>
    </w:p>
    <w:p w:rsidR="001D09EA" w:rsidP="001D09EA" w:rsidRDefault="001D09EA" w14:paraId="7E5F2005" w14:textId="77777777">
      <w:pPr>
        <w:sectPr w:rsidR="001D09EA" w:rsidSect="006B72DC">
          <w:headerReference w:type="default" r:id="rId11"/>
          <w:footerReference w:type="default" r:id="rId12"/>
          <w:headerReference w:type="first" r:id="rId13"/>
          <w:footerReference w:type="first" r:id="rId14"/>
          <w:pgSz w:w="12240" w:h="15840"/>
          <w:pgMar w:top="1728" w:right="1440" w:bottom="1440" w:left="1440" w:header="720" w:footer="720" w:gutter="0"/>
          <w:pgNumType w:start="1"/>
          <w:cols w:space="720"/>
          <w:titlePg/>
          <w:docGrid w:linePitch="360"/>
        </w:sectPr>
      </w:pPr>
    </w:p>
    <w:p w:rsidRPr="001E2A62" w:rsidR="00D50119" w:rsidP="00FE468C" w:rsidRDefault="00D50119" w14:paraId="5C7D6E79" w14:textId="248369A8">
      <w:pPr>
        <w:pStyle w:val="TOCHeading"/>
      </w:pPr>
      <w:r w:rsidRPr="001E2A62">
        <w:lastRenderedPageBreak/>
        <w:t>TABLE OF CONTENTS</w:t>
      </w:r>
    </w:p>
    <w:p w:rsidRPr="00D50119" w:rsidR="00D50119" w:rsidP="00FE468C" w:rsidRDefault="00D50119" w14:paraId="530403DA" w14:textId="77777777">
      <w:pPr>
        <w:tabs>
          <w:tab w:val="right" w:pos="9360"/>
        </w:tabs>
        <w:spacing w:line="240" w:lineRule="auto"/>
        <w:ind w:firstLine="0"/>
      </w:pPr>
      <w:r w:rsidRPr="00D50119">
        <w:rPr>
          <w:b/>
        </w:rPr>
        <w:t>Title</w:t>
      </w:r>
      <w:r>
        <w:tab/>
      </w:r>
      <w:r w:rsidRPr="00D50119">
        <w:rPr>
          <w:b/>
        </w:rPr>
        <w:t>Page</w:t>
      </w:r>
    </w:p>
    <w:sdt>
      <w:sdtPr>
        <w:id w:val="-1224440197"/>
        <w:docPartObj>
          <w:docPartGallery w:val="Table of Contents"/>
          <w:docPartUnique/>
        </w:docPartObj>
      </w:sdtPr>
      <w:sdtEndPr>
        <w:rPr>
          <w:b/>
          <w:bCs/>
          <w:noProof/>
        </w:rPr>
      </w:sdtEndPr>
      <w:sdtContent>
        <w:p w:rsidR="002D7141" w:rsidP="002D7141" w:rsidRDefault="008C7413" w14:paraId="219FA3AC" w14:textId="37EDB6A9">
          <w:pPr>
            <w:pStyle w:val="TOC1"/>
            <w:tabs>
              <w:tab w:val="right" w:leader="dot" w:pos="9350"/>
            </w:tabs>
            <w:ind w:left="0" w:firstLine="0"/>
            <w:rPr>
              <w:rFonts w:asciiTheme="minorHAnsi" w:hAnsiTheme="minorHAnsi" w:cstheme="minorBidi"/>
              <w:noProof/>
              <w:kern w:val="2"/>
              <w:sz w:val="24"/>
              <w:szCs w:val="24"/>
              <w14:ligatures w14:val="standardContextual"/>
            </w:rPr>
          </w:pPr>
          <w:r>
            <w:rPr>
              <w:rFonts w:asciiTheme="minorHAnsi" w:hAnsiTheme="minorHAnsi"/>
              <w:sz w:val="22"/>
            </w:rPr>
            <w:fldChar w:fldCharType="begin"/>
          </w:r>
          <w:r>
            <w:rPr>
              <w:rFonts w:asciiTheme="minorHAnsi" w:hAnsiTheme="minorHAnsi"/>
              <w:sz w:val="22"/>
            </w:rPr>
            <w:instrText xml:space="preserve"> TOC \o "1-6" \h \z \u </w:instrText>
          </w:r>
          <w:r>
            <w:rPr>
              <w:rFonts w:asciiTheme="minorHAnsi" w:hAnsiTheme="minorHAnsi"/>
              <w:sz w:val="22"/>
            </w:rPr>
            <w:fldChar w:fldCharType="separate"/>
          </w:r>
          <w:hyperlink w:history="1" w:anchor="_Toc228945611">
            <w:r w:rsidRPr="00D56FF1" w:rsidR="002D7141">
              <w:rPr>
                <w:rStyle w:val="Hyperlink"/>
                <w:noProof/>
              </w:rPr>
              <w:t>ORDER INSTITUTING RULEMAKING TO REFINE THE RISK</w:t>
            </w:r>
            <w:r w:rsidRPr="00D56FF1" w:rsidR="002D7141">
              <w:rPr>
                <w:rStyle w:val="Hyperlink"/>
                <w:noProof/>
              </w:rPr>
              <w:noBreakHyphen/>
              <w:t>BASED DECISION</w:t>
            </w:r>
            <w:r w:rsidRPr="00D56FF1" w:rsidR="002D7141">
              <w:rPr>
                <w:rStyle w:val="Hyperlink"/>
                <w:noProof/>
              </w:rPr>
              <w:noBreakHyphen/>
              <w:t>MAKING FRAMEWORK FOR ELECTRIC AND GAS UTILITIES</w:t>
            </w:r>
            <w:r w:rsidR="002D7141">
              <w:rPr>
                <w:noProof/>
                <w:webHidden/>
              </w:rPr>
              <w:tab/>
            </w:r>
            <w:r w:rsidR="002D7141">
              <w:rPr>
                <w:noProof/>
                <w:webHidden/>
              </w:rPr>
              <w:fldChar w:fldCharType="begin"/>
            </w:r>
            <w:r w:rsidR="002D7141">
              <w:rPr>
                <w:noProof/>
                <w:webHidden/>
              </w:rPr>
              <w:instrText xml:space="preserve"> PAGEREF _Toc228945611 \h </w:instrText>
            </w:r>
            <w:r w:rsidR="002D7141">
              <w:rPr>
                <w:noProof/>
                <w:webHidden/>
              </w:rPr>
            </w:r>
            <w:r w:rsidR="002D7141">
              <w:rPr>
                <w:noProof/>
                <w:webHidden/>
              </w:rPr>
              <w:fldChar w:fldCharType="separate"/>
            </w:r>
            <w:r w:rsidR="002D7141">
              <w:rPr>
                <w:noProof/>
                <w:webHidden/>
              </w:rPr>
              <w:t>1</w:t>
            </w:r>
            <w:r w:rsidR="002D7141">
              <w:rPr>
                <w:noProof/>
                <w:webHidden/>
              </w:rPr>
              <w:fldChar w:fldCharType="end"/>
            </w:r>
          </w:hyperlink>
        </w:p>
        <w:p w:rsidR="002D7141" w:rsidRDefault="002D7141" w14:paraId="0456CDE3" w14:textId="56DD605F">
          <w:pPr>
            <w:pStyle w:val="TOC1"/>
            <w:tabs>
              <w:tab w:val="right" w:leader="dot" w:pos="9350"/>
            </w:tabs>
            <w:rPr>
              <w:rFonts w:asciiTheme="minorHAnsi" w:hAnsiTheme="minorHAnsi" w:cstheme="minorBidi"/>
              <w:noProof/>
              <w:kern w:val="2"/>
              <w:sz w:val="24"/>
              <w:szCs w:val="24"/>
              <w14:ligatures w14:val="standardContextual"/>
            </w:rPr>
          </w:pPr>
          <w:hyperlink w:history="1" w:anchor="_Toc228945612">
            <w:r w:rsidRPr="00D56FF1">
              <w:rPr>
                <w:rStyle w:val="Hyperlink"/>
                <w:noProof/>
              </w:rPr>
              <w:t>Summary</w:t>
            </w:r>
            <w:r>
              <w:rPr>
                <w:noProof/>
                <w:webHidden/>
              </w:rPr>
              <w:tab/>
            </w:r>
            <w:r>
              <w:rPr>
                <w:noProof/>
                <w:webHidden/>
              </w:rPr>
              <w:fldChar w:fldCharType="begin"/>
            </w:r>
            <w:r>
              <w:rPr>
                <w:noProof/>
                <w:webHidden/>
              </w:rPr>
              <w:instrText xml:space="preserve"> PAGEREF _Toc228945612 \h </w:instrText>
            </w:r>
            <w:r>
              <w:rPr>
                <w:noProof/>
                <w:webHidden/>
              </w:rPr>
            </w:r>
            <w:r>
              <w:rPr>
                <w:noProof/>
                <w:webHidden/>
              </w:rPr>
              <w:fldChar w:fldCharType="separate"/>
            </w:r>
            <w:r>
              <w:rPr>
                <w:noProof/>
                <w:webHidden/>
              </w:rPr>
              <w:t>2</w:t>
            </w:r>
            <w:r>
              <w:rPr>
                <w:noProof/>
                <w:webHidden/>
              </w:rPr>
              <w:fldChar w:fldCharType="end"/>
            </w:r>
          </w:hyperlink>
        </w:p>
        <w:p w:rsidR="002D7141" w:rsidRDefault="002D7141" w14:paraId="11252D1F" w14:textId="3E80B9E0">
          <w:pPr>
            <w:pStyle w:val="TOC1"/>
            <w:tabs>
              <w:tab w:val="right" w:leader="dot" w:pos="9350"/>
            </w:tabs>
            <w:rPr>
              <w:rFonts w:asciiTheme="minorHAnsi" w:hAnsiTheme="minorHAnsi" w:cstheme="minorBidi"/>
              <w:noProof/>
              <w:kern w:val="2"/>
              <w:sz w:val="24"/>
              <w:szCs w:val="24"/>
              <w14:ligatures w14:val="standardContextual"/>
            </w:rPr>
          </w:pPr>
          <w:hyperlink w:history="1" w:anchor="_Toc228945613">
            <w:r w:rsidRPr="00D56FF1">
              <w:rPr>
                <w:rStyle w:val="Hyperlink"/>
                <w:noProof/>
              </w:rPr>
              <w:t>1.</w:t>
            </w:r>
            <w:r>
              <w:rPr>
                <w:rFonts w:asciiTheme="minorHAnsi" w:hAnsiTheme="minorHAnsi" w:cstheme="minorBidi"/>
                <w:noProof/>
                <w:kern w:val="2"/>
                <w:sz w:val="24"/>
                <w:szCs w:val="24"/>
                <w14:ligatures w14:val="standardContextual"/>
              </w:rPr>
              <w:tab/>
            </w:r>
            <w:r w:rsidRPr="00D56FF1">
              <w:rPr>
                <w:rStyle w:val="Hyperlink"/>
                <w:noProof/>
              </w:rPr>
              <w:t>Background</w:t>
            </w:r>
            <w:r>
              <w:rPr>
                <w:noProof/>
                <w:webHidden/>
              </w:rPr>
              <w:tab/>
            </w:r>
            <w:r>
              <w:rPr>
                <w:noProof/>
                <w:webHidden/>
              </w:rPr>
              <w:fldChar w:fldCharType="begin"/>
            </w:r>
            <w:r>
              <w:rPr>
                <w:noProof/>
                <w:webHidden/>
              </w:rPr>
              <w:instrText xml:space="preserve"> PAGEREF _Toc228945613 \h </w:instrText>
            </w:r>
            <w:r>
              <w:rPr>
                <w:noProof/>
                <w:webHidden/>
              </w:rPr>
            </w:r>
            <w:r>
              <w:rPr>
                <w:noProof/>
                <w:webHidden/>
              </w:rPr>
              <w:fldChar w:fldCharType="separate"/>
            </w:r>
            <w:r>
              <w:rPr>
                <w:noProof/>
                <w:webHidden/>
              </w:rPr>
              <w:t>3</w:t>
            </w:r>
            <w:r>
              <w:rPr>
                <w:noProof/>
                <w:webHidden/>
              </w:rPr>
              <w:fldChar w:fldCharType="end"/>
            </w:r>
          </w:hyperlink>
        </w:p>
        <w:p w:rsidR="002D7141" w:rsidRDefault="002D7141" w14:paraId="5A40C5D1" w14:textId="7F55285A">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8945614">
            <w:r w:rsidRPr="00D56FF1">
              <w:rPr>
                <w:rStyle w:val="Hyperlink"/>
                <w:noProof/>
              </w:rPr>
              <w:t>1.1.</w:t>
            </w:r>
            <w:r>
              <w:rPr>
                <w:rFonts w:asciiTheme="minorHAnsi" w:hAnsiTheme="minorHAnsi" w:cstheme="minorBidi"/>
                <w:noProof/>
                <w:kern w:val="2"/>
                <w:sz w:val="24"/>
                <w:szCs w:val="24"/>
                <w14:ligatures w14:val="standardContextual"/>
              </w:rPr>
              <w:tab/>
            </w:r>
            <w:r w:rsidRPr="00D56FF1">
              <w:rPr>
                <w:rStyle w:val="Hyperlink"/>
                <w:noProof/>
              </w:rPr>
              <w:t>Risk</w:t>
            </w:r>
            <w:r w:rsidRPr="00D56FF1">
              <w:rPr>
                <w:rStyle w:val="Hyperlink"/>
                <w:noProof/>
              </w:rPr>
              <w:noBreakHyphen/>
              <w:t>Based Decision</w:t>
            </w:r>
            <w:r w:rsidRPr="00D56FF1">
              <w:rPr>
                <w:rStyle w:val="Hyperlink"/>
                <w:noProof/>
              </w:rPr>
              <w:noBreakHyphen/>
              <w:t>Making Framework</w:t>
            </w:r>
            <w:r>
              <w:rPr>
                <w:noProof/>
                <w:webHidden/>
              </w:rPr>
              <w:tab/>
            </w:r>
            <w:r>
              <w:rPr>
                <w:noProof/>
                <w:webHidden/>
              </w:rPr>
              <w:fldChar w:fldCharType="begin"/>
            </w:r>
            <w:r>
              <w:rPr>
                <w:noProof/>
                <w:webHidden/>
              </w:rPr>
              <w:instrText xml:space="preserve"> PAGEREF _Toc228945614 \h </w:instrText>
            </w:r>
            <w:r>
              <w:rPr>
                <w:noProof/>
                <w:webHidden/>
              </w:rPr>
            </w:r>
            <w:r>
              <w:rPr>
                <w:noProof/>
                <w:webHidden/>
              </w:rPr>
              <w:fldChar w:fldCharType="separate"/>
            </w:r>
            <w:r>
              <w:rPr>
                <w:noProof/>
                <w:webHidden/>
              </w:rPr>
              <w:t>5</w:t>
            </w:r>
            <w:r>
              <w:rPr>
                <w:noProof/>
                <w:webHidden/>
              </w:rPr>
              <w:fldChar w:fldCharType="end"/>
            </w:r>
          </w:hyperlink>
        </w:p>
        <w:p w:rsidR="002D7141" w:rsidRDefault="002D7141" w14:paraId="01F1CEAD" w14:textId="0FC65DE5">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8945615">
            <w:r w:rsidRPr="00D56FF1">
              <w:rPr>
                <w:rStyle w:val="Hyperlink"/>
                <w:noProof/>
              </w:rPr>
              <w:t>1.2.</w:t>
            </w:r>
            <w:r>
              <w:rPr>
                <w:rFonts w:asciiTheme="minorHAnsi" w:hAnsiTheme="minorHAnsi" w:cstheme="minorBidi"/>
                <w:noProof/>
                <w:kern w:val="2"/>
                <w:sz w:val="24"/>
                <w:szCs w:val="24"/>
                <w14:ligatures w14:val="standardContextual"/>
              </w:rPr>
              <w:tab/>
            </w:r>
            <w:r w:rsidRPr="00D56FF1">
              <w:rPr>
                <w:rStyle w:val="Hyperlink"/>
                <w:noProof/>
              </w:rPr>
              <w:t>Risk Assessment and Mitigation Phase Proceedings</w:t>
            </w:r>
            <w:r>
              <w:rPr>
                <w:noProof/>
                <w:webHidden/>
              </w:rPr>
              <w:tab/>
            </w:r>
            <w:r>
              <w:rPr>
                <w:noProof/>
                <w:webHidden/>
              </w:rPr>
              <w:fldChar w:fldCharType="begin"/>
            </w:r>
            <w:r>
              <w:rPr>
                <w:noProof/>
                <w:webHidden/>
              </w:rPr>
              <w:instrText xml:space="preserve"> PAGEREF _Toc228945615 \h </w:instrText>
            </w:r>
            <w:r>
              <w:rPr>
                <w:noProof/>
                <w:webHidden/>
              </w:rPr>
            </w:r>
            <w:r>
              <w:rPr>
                <w:noProof/>
                <w:webHidden/>
              </w:rPr>
              <w:fldChar w:fldCharType="separate"/>
            </w:r>
            <w:r>
              <w:rPr>
                <w:noProof/>
                <w:webHidden/>
              </w:rPr>
              <w:t>6</w:t>
            </w:r>
            <w:r>
              <w:rPr>
                <w:noProof/>
                <w:webHidden/>
              </w:rPr>
              <w:fldChar w:fldCharType="end"/>
            </w:r>
          </w:hyperlink>
        </w:p>
        <w:p w:rsidR="002D7141" w:rsidRDefault="002D7141" w14:paraId="34927DF8" w14:textId="2F9C8664">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8945616">
            <w:r w:rsidRPr="00D56FF1">
              <w:rPr>
                <w:rStyle w:val="Hyperlink"/>
                <w:noProof/>
              </w:rPr>
              <w:t>1.3.</w:t>
            </w:r>
            <w:r>
              <w:rPr>
                <w:rFonts w:asciiTheme="minorHAnsi" w:hAnsiTheme="minorHAnsi" w:cstheme="minorBidi"/>
                <w:noProof/>
                <w:kern w:val="2"/>
                <w:sz w:val="24"/>
                <w:szCs w:val="24"/>
                <w14:ligatures w14:val="standardContextual"/>
              </w:rPr>
              <w:tab/>
            </w:r>
            <w:r w:rsidRPr="00D56FF1">
              <w:rPr>
                <w:rStyle w:val="Hyperlink"/>
                <w:noProof/>
              </w:rPr>
              <w:t>Affordability of Rates</w:t>
            </w:r>
            <w:r>
              <w:rPr>
                <w:noProof/>
                <w:webHidden/>
              </w:rPr>
              <w:tab/>
            </w:r>
            <w:r>
              <w:rPr>
                <w:noProof/>
                <w:webHidden/>
              </w:rPr>
              <w:fldChar w:fldCharType="begin"/>
            </w:r>
            <w:r>
              <w:rPr>
                <w:noProof/>
                <w:webHidden/>
              </w:rPr>
              <w:instrText xml:space="preserve"> PAGEREF _Toc228945616 \h </w:instrText>
            </w:r>
            <w:r>
              <w:rPr>
                <w:noProof/>
                <w:webHidden/>
              </w:rPr>
            </w:r>
            <w:r>
              <w:rPr>
                <w:noProof/>
                <w:webHidden/>
              </w:rPr>
              <w:fldChar w:fldCharType="separate"/>
            </w:r>
            <w:r>
              <w:rPr>
                <w:noProof/>
                <w:webHidden/>
              </w:rPr>
              <w:t>7</w:t>
            </w:r>
            <w:r>
              <w:rPr>
                <w:noProof/>
                <w:webHidden/>
              </w:rPr>
              <w:fldChar w:fldCharType="end"/>
            </w:r>
          </w:hyperlink>
        </w:p>
        <w:p w:rsidR="002D7141" w:rsidRDefault="002D7141" w14:paraId="72F752A2" w14:textId="7BF04F07">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8945617">
            <w:r w:rsidRPr="00D56FF1">
              <w:rPr>
                <w:rStyle w:val="Hyperlink"/>
                <w:noProof/>
              </w:rPr>
              <w:t>1.4.</w:t>
            </w:r>
            <w:r>
              <w:rPr>
                <w:rFonts w:asciiTheme="minorHAnsi" w:hAnsiTheme="minorHAnsi" w:cstheme="minorBidi"/>
                <w:noProof/>
                <w:kern w:val="2"/>
                <w:sz w:val="24"/>
                <w:szCs w:val="24"/>
                <w14:ligatures w14:val="standardContextual"/>
              </w:rPr>
              <w:tab/>
            </w:r>
            <w:r w:rsidRPr="00D56FF1">
              <w:rPr>
                <w:rStyle w:val="Hyperlink"/>
                <w:noProof/>
              </w:rPr>
              <w:t>Small and Multi</w:t>
            </w:r>
            <w:r w:rsidRPr="00D56FF1">
              <w:rPr>
                <w:rStyle w:val="Hyperlink"/>
                <w:noProof/>
              </w:rPr>
              <w:noBreakHyphen/>
              <w:t>Jurisdictional Utilities Risk Spending Accountability Reports Reporting</w:t>
            </w:r>
            <w:r>
              <w:rPr>
                <w:noProof/>
                <w:webHidden/>
              </w:rPr>
              <w:tab/>
            </w:r>
            <w:r>
              <w:rPr>
                <w:noProof/>
                <w:webHidden/>
              </w:rPr>
              <w:fldChar w:fldCharType="begin"/>
            </w:r>
            <w:r>
              <w:rPr>
                <w:noProof/>
                <w:webHidden/>
              </w:rPr>
              <w:instrText xml:space="preserve"> PAGEREF _Toc228945617 \h </w:instrText>
            </w:r>
            <w:r>
              <w:rPr>
                <w:noProof/>
                <w:webHidden/>
              </w:rPr>
            </w:r>
            <w:r>
              <w:rPr>
                <w:noProof/>
                <w:webHidden/>
              </w:rPr>
              <w:fldChar w:fldCharType="separate"/>
            </w:r>
            <w:r>
              <w:rPr>
                <w:noProof/>
                <w:webHidden/>
              </w:rPr>
              <w:t>8</w:t>
            </w:r>
            <w:r>
              <w:rPr>
                <w:noProof/>
                <w:webHidden/>
              </w:rPr>
              <w:fldChar w:fldCharType="end"/>
            </w:r>
          </w:hyperlink>
        </w:p>
        <w:p w:rsidR="002D7141" w:rsidRDefault="002D7141" w14:paraId="152A02E5" w14:textId="31B36133">
          <w:pPr>
            <w:pStyle w:val="TOC1"/>
            <w:tabs>
              <w:tab w:val="right" w:leader="dot" w:pos="9350"/>
            </w:tabs>
            <w:rPr>
              <w:rFonts w:asciiTheme="minorHAnsi" w:hAnsiTheme="minorHAnsi" w:cstheme="minorBidi"/>
              <w:noProof/>
              <w:kern w:val="2"/>
              <w:sz w:val="24"/>
              <w:szCs w:val="24"/>
              <w14:ligatures w14:val="standardContextual"/>
            </w:rPr>
          </w:pPr>
          <w:hyperlink w:history="1" w:anchor="_Toc228945618">
            <w:r w:rsidRPr="00D56FF1">
              <w:rPr>
                <w:rStyle w:val="Hyperlink"/>
                <w:noProof/>
              </w:rPr>
              <w:t>2.</w:t>
            </w:r>
            <w:r>
              <w:rPr>
                <w:rFonts w:asciiTheme="minorHAnsi" w:hAnsiTheme="minorHAnsi" w:cstheme="minorBidi"/>
                <w:noProof/>
                <w:kern w:val="2"/>
                <w:sz w:val="24"/>
                <w:szCs w:val="24"/>
                <w14:ligatures w14:val="standardContextual"/>
              </w:rPr>
              <w:tab/>
            </w:r>
            <w:r w:rsidRPr="00D56FF1">
              <w:rPr>
                <w:rStyle w:val="Hyperlink"/>
                <w:noProof/>
              </w:rPr>
              <w:t>Rulemaking Objectives</w:t>
            </w:r>
            <w:r>
              <w:rPr>
                <w:noProof/>
                <w:webHidden/>
              </w:rPr>
              <w:tab/>
            </w:r>
            <w:r>
              <w:rPr>
                <w:noProof/>
                <w:webHidden/>
              </w:rPr>
              <w:fldChar w:fldCharType="begin"/>
            </w:r>
            <w:r>
              <w:rPr>
                <w:noProof/>
                <w:webHidden/>
              </w:rPr>
              <w:instrText xml:space="preserve"> PAGEREF _Toc228945618 \h </w:instrText>
            </w:r>
            <w:r>
              <w:rPr>
                <w:noProof/>
                <w:webHidden/>
              </w:rPr>
            </w:r>
            <w:r>
              <w:rPr>
                <w:noProof/>
                <w:webHidden/>
              </w:rPr>
              <w:fldChar w:fldCharType="separate"/>
            </w:r>
            <w:r>
              <w:rPr>
                <w:noProof/>
                <w:webHidden/>
              </w:rPr>
              <w:t>9</w:t>
            </w:r>
            <w:r>
              <w:rPr>
                <w:noProof/>
                <w:webHidden/>
              </w:rPr>
              <w:fldChar w:fldCharType="end"/>
            </w:r>
          </w:hyperlink>
        </w:p>
        <w:p w:rsidR="002D7141" w:rsidRDefault="002D7141" w14:paraId="07BDD05B" w14:textId="4D2E13EB">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8945619">
            <w:r w:rsidRPr="00D56FF1">
              <w:rPr>
                <w:rStyle w:val="Hyperlink"/>
                <w:noProof/>
              </w:rPr>
              <w:t>2.1.</w:t>
            </w:r>
            <w:r>
              <w:rPr>
                <w:rFonts w:asciiTheme="minorHAnsi" w:hAnsiTheme="minorHAnsi" w:cstheme="minorBidi"/>
                <w:noProof/>
                <w:kern w:val="2"/>
                <w:sz w:val="24"/>
                <w:szCs w:val="24"/>
                <w14:ligatures w14:val="standardContextual"/>
              </w:rPr>
              <w:tab/>
            </w:r>
            <w:r w:rsidRPr="00D56FF1">
              <w:rPr>
                <w:rStyle w:val="Hyperlink"/>
                <w:noProof/>
              </w:rPr>
              <w:t>Risk Tolerance Standard</w:t>
            </w:r>
            <w:r>
              <w:rPr>
                <w:noProof/>
                <w:webHidden/>
              </w:rPr>
              <w:tab/>
            </w:r>
            <w:r>
              <w:rPr>
                <w:noProof/>
                <w:webHidden/>
              </w:rPr>
              <w:fldChar w:fldCharType="begin"/>
            </w:r>
            <w:r>
              <w:rPr>
                <w:noProof/>
                <w:webHidden/>
              </w:rPr>
              <w:instrText xml:space="preserve"> PAGEREF _Toc228945619 \h </w:instrText>
            </w:r>
            <w:r>
              <w:rPr>
                <w:noProof/>
                <w:webHidden/>
              </w:rPr>
            </w:r>
            <w:r>
              <w:rPr>
                <w:noProof/>
                <w:webHidden/>
              </w:rPr>
              <w:fldChar w:fldCharType="separate"/>
            </w:r>
            <w:r>
              <w:rPr>
                <w:noProof/>
                <w:webHidden/>
              </w:rPr>
              <w:t>9</w:t>
            </w:r>
            <w:r>
              <w:rPr>
                <w:noProof/>
                <w:webHidden/>
              </w:rPr>
              <w:fldChar w:fldCharType="end"/>
            </w:r>
          </w:hyperlink>
        </w:p>
        <w:p w:rsidR="002D7141" w:rsidRDefault="002D7141" w14:paraId="17EED946" w14:textId="692DD6D0">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8945620">
            <w:r w:rsidRPr="00D56FF1">
              <w:rPr>
                <w:rStyle w:val="Hyperlink"/>
                <w:noProof/>
              </w:rPr>
              <w:t>2.2.</w:t>
            </w:r>
            <w:r>
              <w:rPr>
                <w:rFonts w:asciiTheme="minorHAnsi" w:hAnsiTheme="minorHAnsi" w:cstheme="minorBidi"/>
                <w:noProof/>
                <w:kern w:val="2"/>
                <w:sz w:val="24"/>
                <w:szCs w:val="24"/>
                <w14:ligatures w14:val="standardContextual"/>
              </w:rPr>
              <w:tab/>
            </w:r>
            <w:r w:rsidRPr="00D56FF1">
              <w:rPr>
                <w:rStyle w:val="Hyperlink"/>
                <w:noProof/>
              </w:rPr>
              <w:t>Risk Assessment Mitigation Phase Application Schedule and Process</w:t>
            </w:r>
            <w:r>
              <w:rPr>
                <w:noProof/>
                <w:webHidden/>
              </w:rPr>
              <w:tab/>
            </w:r>
            <w:r>
              <w:rPr>
                <w:noProof/>
                <w:webHidden/>
              </w:rPr>
              <w:fldChar w:fldCharType="begin"/>
            </w:r>
            <w:r>
              <w:rPr>
                <w:noProof/>
                <w:webHidden/>
              </w:rPr>
              <w:instrText xml:space="preserve"> PAGEREF _Toc228945620 \h </w:instrText>
            </w:r>
            <w:r>
              <w:rPr>
                <w:noProof/>
                <w:webHidden/>
              </w:rPr>
            </w:r>
            <w:r>
              <w:rPr>
                <w:noProof/>
                <w:webHidden/>
              </w:rPr>
              <w:fldChar w:fldCharType="separate"/>
            </w:r>
            <w:r>
              <w:rPr>
                <w:noProof/>
                <w:webHidden/>
              </w:rPr>
              <w:t>10</w:t>
            </w:r>
            <w:r>
              <w:rPr>
                <w:noProof/>
                <w:webHidden/>
              </w:rPr>
              <w:fldChar w:fldCharType="end"/>
            </w:r>
          </w:hyperlink>
        </w:p>
        <w:p w:rsidR="002D7141" w:rsidRDefault="002D7141" w14:paraId="41121E55" w14:textId="1A7C84F4">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8945621">
            <w:r w:rsidRPr="00D56FF1">
              <w:rPr>
                <w:rStyle w:val="Hyperlink"/>
                <w:noProof/>
              </w:rPr>
              <w:t>2.3.</w:t>
            </w:r>
            <w:r>
              <w:rPr>
                <w:rFonts w:asciiTheme="minorHAnsi" w:hAnsiTheme="minorHAnsi" w:cstheme="minorBidi"/>
                <w:noProof/>
                <w:kern w:val="2"/>
                <w:sz w:val="24"/>
                <w:szCs w:val="24"/>
                <w14:ligatures w14:val="standardContextual"/>
              </w:rPr>
              <w:tab/>
            </w:r>
            <w:r w:rsidRPr="00D56FF1">
              <w:rPr>
                <w:rStyle w:val="Hyperlink"/>
                <w:noProof/>
              </w:rPr>
              <w:t>Benefit</w:t>
            </w:r>
            <w:r w:rsidRPr="00D56FF1">
              <w:rPr>
                <w:rStyle w:val="Hyperlink"/>
                <w:noProof/>
              </w:rPr>
              <w:noBreakHyphen/>
              <w:t>Cost Ratio Methodology Updates</w:t>
            </w:r>
            <w:r>
              <w:rPr>
                <w:noProof/>
                <w:webHidden/>
              </w:rPr>
              <w:tab/>
            </w:r>
            <w:r>
              <w:rPr>
                <w:noProof/>
                <w:webHidden/>
              </w:rPr>
              <w:fldChar w:fldCharType="begin"/>
            </w:r>
            <w:r>
              <w:rPr>
                <w:noProof/>
                <w:webHidden/>
              </w:rPr>
              <w:instrText xml:space="preserve"> PAGEREF _Toc228945621 \h </w:instrText>
            </w:r>
            <w:r>
              <w:rPr>
                <w:noProof/>
                <w:webHidden/>
              </w:rPr>
            </w:r>
            <w:r>
              <w:rPr>
                <w:noProof/>
                <w:webHidden/>
              </w:rPr>
              <w:fldChar w:fldCharType="separate"/>
            </w:r>
            <w:r>
              <w:rPr>
                <w:noProof/>
                <w:webHidden/>
              </w:rPr>
              <w:t>12</w:t>
            </w:r>
            <w:r>
              <w:rPr>
                <w:noProof/>
                <w:webHidden/>
              </w:rPr>
              <w:fldChar w:fldCharType="end"/>
            </w:r>
          </w:hyperlink>
        </w:p>
        <w:p w:rsidR="002D7141" w:rsidRDefault="002D7141" w14:paraId="6F227CCA" w14:textId="01CAE2A0">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8945622">
            <w:r w:rsidRPr="00D56FF1">
              <w:rPr>
                <w:rStyle w:val="Hyperlink"/>
                <w:noProof/>
              </w:rPr>
              <w:t>2.4.</w:t>
            </w:r>
            <w:r>
              <w:rPr>
                <w:rFonts w:asciiTheme="minorHAnsi" w:hAnsiTheme="minorHAnsi" w:cstheme="minorBidi"/>
                <w:noProof/>
                <w:kern w:val="2"/>
                <w:sz w:val="24"/>
                <w:szCs w:val="24"/>
                <w14:ligatures w14:val="standardContextual"/>
              </w:rPr>
              <w:tab/>
            </w:r>
            <w:r w:rsidRPr="00D56FF1">
              <w:rPr>
                <w:rStyle w:val="Hyperlink"/>
                <w:noProof/>
              </w:rPr>
              <w:t>Extending Risk Spending Accountability Reports Filing Requirements to Alpine Natural Gas Operating Company No. 1, LLC and West Coast Gas Company, Inc.</w:t>
            </w:r>
            <w:r>
              <w:rPr>
                <w:noProof/>
                <w:webHidden/>
              </w:rPr>
              <w:tab/>
            </w:r>
            <w:r>
              <w:rPr>
                <w:noProof/>
                <w:webHidden/>
              </w:rPr>
              <w:fldChar w:fldCharType="begin"/>
            </w:r>
            <w:r>
              <w:rPr>
                <w:noProof/>
                <w:webHidden/>
              </w:rPr>
              <w:instrText xml:space="preserve"> PAGEREF _Toc228945622 \h </w:instrText>
            </w:r>
            <w:r>
              <w:rPr>
                <w:noProof/>
                <w:webHidden/>
              </w:rPr>
            </w:r>
            <w:r>
              <w:rPr>
                <w:noProof/>
                <w:webHidden/>
              </w:rPr>
              <w:fldChar w:fldCharType="separate"/>
            </w:r>
            <w:r>
              <w:rPr>
                <w:noProof/>
                <w:webHidden/>
              </w:rPr>
              <w:t>13</w:t>
            </w:r>
            <w:r>
              <w:rPr>
                <w:noProof/>
                <w:webHidden/>
              </w:rPr>
              <w:fldChar w:fldCharType="end"/>
            </w:r>
          </w:hyperlink>
        </w:p>
        <w:p w:rsidR="002D7141" w:rsidRDefault="002D7141" w14:paraId="191A5064" w14:textId="388F2D84">
          <w:pPr>
            <w:pStyle w:val="TOC1"/>
            <w:tabs>
              <w:tab w:val="right" w:leader="dot" w:pos="9350"/>
            </w:tabs>
            <w:rPr>
              <w:rFonts w:asciiTheme="minorHAnsi" w:hAnsiTheme="minorHAnsi" w:cstheme="minorBidi"/>
              <w:noProof/>
              <w:kern w:val="2"/>
              <w:sz w:val="24"/>
              <w:szCs w:val="24"/>
              <w14:ligatures w14:val="standardContextual"/>
            </w:rPr>
          </w:pPr>
          <w:hyperlink w:history="1" w:anchor="_Toc228945623">
            <w:r w:rsidRPr="00D56FF1">
              <w:rPr>
                <w:rStyle w:val="Hyperlink"/>
                <w:noProof/>
              </w:rPr>
              <w:t>3.</w:t>
            </w:r>
            <w:r>
              <w:rPr>
                <w:rFonts w:asciiTheme="minorHAnsi" w:hAnsiTheme="minorHAnsi" w:cstheme="minorBidi"/>
                <w:noProof/>
                <w:kern w:val="2"/>
                <w:sz w:val="24"/>
                <w:szCs w:val="24"/>
                <w14:ligatures w14:val="standardContextual"/>
              </w:rPr>
              <w:tab/>
            </w:r>
            <w:r w:rsidRPr="00D56FF1">
              <w:rPr>
                <w:rStyle w:val="Hyperlink"/>
                <w:noProof/>
              </w:rPr>
              <w:t>Preliminary Scoping Memo</w:t>
            </w:r>
            <w:r>
              <w:rPr>
                <w:noProof/>
                <w:webHidden/>
              </w:rPr>
              <w:tab/>
            </w:r>
            <w:r>
              <w:rPr>
                <w:noProof/>
                <w:webHidden/>
              </w:rPr>
              <w:fldChar w:fldCharType="begin"/>
            </w:r>
            <w:r>
              <w:rPr>
                <w:noProof/>
                <w:webHidden/>
              </w:rPr>
              <w:instrText xml:space="preserve"> PAGEREF _Toc228945623 \h </w:instrText>
            </w:r>
            <w:r>
              <w:rPr>
                <w:noProof/>
                <w:webHidden/>
              </w:rPr>
            </w:r>
            <w:r>
              <w:rPr>
                <w:noProof/>
                <w:webHidden/>
              </w:rPr>
              <w:fldChar w:fldCharType="separate"/>
            </w:r>
            <w:r>
              <w:rPr>
                <w:noProof/>
                <w:webHidden/>
              </w:rPr>
              <w:t>14</w:t>
            </w:r>
            <w:r>
              <w:rPr>
                <w:noProof/>
                <w:webHidden/>
              </w:rPr>
              <w:fldChar w:fldCharType="end"/>
            </w:r>
          </w:hyperlink>
        </w:p>
        <w:p w:rsidR="002D7141" w:rsidRDefault="002D7141" w14:paraId="218ABB4F" w14:textId="7D9D6EC5">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8945624">
            <w:r w:rsidRPr="00D56FF1">
              <w:rPr>
                <w:rStyle w:val="Hyperlink"/>
                <w:noProof/>
              </w:rPr>
              <w:t>3.1.</w:t>
            </w:r>
            <w:r>
              <w:rPr>
                <w:rFonts w:asciiTheme="minorHAnsi" w:hAnsiTheme="minorHAnsi" w:cstheme="minorBidi"/>
                <w:noProof/>
                <w:kern w:val="2"/>
                <w:sz w:val="24"/>
                <w:szCs w:val="24"/>
                <w14:ligatures w14:val="standardContextual"/>
              </w:rPr>
              <w:tab/>
            </w:r>
            <w:r w:rsidRPr="00D56FF1">
              <w:rPr>
                <w:rStyle w:val="Hyperlink"/>
                <w:noProof/>
              </w:rPr>
              <w:t>Preliminary Scoping Issues</w:t>
            </w:r>
            <w:r>
              <w:rPr>
                <w:noProof/>
                <w:webHidden/>
              </w:rPr>
              <w:tab/>
            </w:r>
            <w:r>
              <w:rPr>
                <w:noProof/>
                <w:webHidden/>
              </w:rPr>
              <w:fldChar w:fldCharType="begin"/>
            </w:r>
            <w:r>
              <w:rPr>
                <w:noProof/>
                <w:webHidden/>
              </w:rPr>
              <w:instrText xml:space="preserve"> PAGEREF _Toc228945624 \h </w:instrText>
            </w:r>
            <w:r>
              <w:rPr>
                <w:noProof/>
                <w:webHidden/>
              </w:rPr>
            </w:r>
            <w:r>
              <w:rPr>
                <w:noProof/>
                <w:webHidden/>
              </w:rPr>
              <w:fldChar w:fldCharType="separate"/>
            </w:r>
            <w:r>
              <w:rPr>
                <w:noProof/>
                <w:webHidden/>
              </w:rPr>
              <w:t>14</w:t>
            </w:r>
            <w:r>
              <w:rPr>
                <w:noProof/>
                <w:webHidden/>
              </w:rPr>
              <w:fldChar w:fldCharType="end"/>
            </w:r>
          </w:hyperlink>
        </w:p>
        <w:p w:rsidR="002D7141" w:rsidRDefault="002D7141" w14:paraId="62409B44" w14:textId="33044ABB">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8945625">
            <w:r w:rsidRPr="00D56FF1">
              <w:rPr>
                <w:rStyle w:val="Hyperlink"/>
                <w:noProof/>
              </w:rPr>
              <w:t>3.2.</w:t>
            </w:r>
            <w:r>
              <w:rPr>
                <w:rFonts w:asciiTheme="minorHAnsi" w:hAnsiTheme="minorHAnsi" w:cstheme="minorBidi"/>
                <w:noProof/>
                <w:kern w:val="2"/>
                <w:sz w:val="24"/>
                <w:szCs w:val="24"/>
                <w14:ligatures w14:val="standardContextual"/>
              </w:rPr>
              <w:tab/>
            </w:r>
            <w:r w:rsidRPr="00D56FF1">
              <w:rPr>
                <w:rStyle w:val="Hyperlink"/>
                <w:noProof/>
              </w:rPr>
              <w:t>Preliminary Schedule</w:t>
            </w:r>
            <w:r>
              <w:rPr>
                <w:noProof/>
                <w:webHidden/>
              </w:rPr>
              <w:tab/>
            </w:r>
            <w:r>
              <w:rPr>
                <w:noProof/>
                <w:webHidden/>
              </w:rPr>
              <w:fldChar w:fldCharType="begin"/>
            </w:r>
            <w:r>
              <w:rPr>
                <w:noProof/>
                <w:webHidden/>
              </w:rPr>
              <w:instrText xml:space="preserve"> PAGEREF _Toc228945625 \h </w:instrText>
            </w:r>
            <w:r>
              <w:rPr>
                <w:noProof/>
                <w:webHidden/>
              </w:rPr>
            </w:r>
            <w:r>
              <w:rPr>
                <w:noProof/>
                <w:webHidden/>
              </w:rPr>
              <w:fldChar w:fldCharType="separate"/>
            </w:r>
            <w:r>
              <w:rPr>
                <w:noProof/>
                <w:webHidden/>
              </w:rPr>
              <w:t>15</w:t>
            </w:r>
            <w:r>
              <w:rPr>
                <w:noProof/>
                <w:webHidden/>
              </w:rPr>
              <w:fldChar w:fldCharType="end"/>
            </w:r>
          </w:hyperlink>
        </w:p>
        <w:p w:rsidR="002D7141" w:rsidRDefault="002D7141" w14:paraId="63916A2D" w14:textId="76745940">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8945626">
            <w:r w:rsidRPr="00D56FF1">
              <w:rPr>
                <w:rStyle w:val="Hyperlink"/>
                <w:noProof/>
              </w:rPr>
              <w:t>3.3.</w:t>
            </w:r>
            <w:r>
              <w:rPr>
                <w:rFonts w:asciiTheme="minorHAnsi" w:hAnsiTheme="minorHAnsi" w:cstheme="minorBidi"/>
                <w:noProof/>
                <w:kern w:val="2"/>
                <w:sz w:val="24"/>
                <w:szCs w:val="24"/>
                <w14:ligatures w14:val="standardContextual"/>
              </w:rPr>
              <w:tab/>
            </w:r>
            <w:r w:rsidRPr="00D56FF1">
              <w:rPr>
                <w:rStyle w:val="Hyperlink"/>
                <w:noProof/>
              </w:rPr>
              <w:t>Opportunity for Comments</w:t>
            </w:r>
            <w:r>
              <w:rPr>
                <w:noProof/>
                <w:webHidden/>
              </w:rPr>
              <w:tab/>
            </w:r>
            <w:r>
              <w:rPr>
                <w:noProof/>
                <w:webHidden/>
              </w:rPr>
              <w:fldChar w:fldCharType="begin"/>
            </w:r>
            <w:r>
              <w:rPr>
                <w:noProof/>
                <w:webHidden/>
              </w:rPr>
              <w:instrText xml:space="preserve"> PAGEREF _Toc228945626 \h </w:instrText>
            </w:r>
            <w:r>
              <w:rPr>
                <w:noProof/>
                <w:webHidden/>
              </w:rPr>
            </w:r>
            <w:r>
              <w:rPr>
                <w:noProof/>
                <w:webHidden/>
              </w:rPr>
              <w:fldChar w:fldCharType="separate"/>
            </w:r>
            <w:r>
              <w:rPr>
                <w:noProof/>
                <w:webHidden/>
              </w:rPr>
              <w:t>16</w:t>
            </w:r>
            <w:r>
              <w:rPr>
                <w:noProof/>
                <w:webHidden/>
              </w:rPr>
              <w:fldChar w:fldCharType="end"/>
            </w:r>
          </w:hyperlink>
        </w:p>
        <w:p w:rsidR="002D7141" w:rsidRDefault="002D7141" w14:paraId="5CA31E75" w14:textId="179E746A">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8945627">
            <w:r w:rsidRPr="00D56FF1">
              <w:rPr>
                <w:rStyle w:val="Hyperlink"/>
                <w:noProof/>
              </w:rPr>
              <w:t>3.4.</w:t>
            </w:r>
            <w:r>
              <w:rPr>
                <w:rFonts w:asciiTheme="minorHAnsi" w:hAnsiTheme="minorHAnsi" w:cstheme="minorBidi"/>
                <w:noProof/>
                <w:kern w:val="2"/>
                <w:sz w:val="24"/>
                <w:szCs w:val="24"/>
                <w14:ligatures w14:val="standardContextual"/>
              </w:rPr>
              <w:tab/>
            </w:r>
            <w:r w:rsidRPr="00D56FF1">
              <w:rPr>
                <w:rStyle w:val="Hyperlink"/>
                <w:noProof/>
              </w:rPr>
              <w:t>Categorization and Need for Hearing</w:t>
            </w:r>
            <w:r>
              <w:rPr>
                <w:noProof/>
                <w:webHidden/>
              </w:rPr>
              <w:tab/>
            </w:r>
            <w:r>
              <w:rPr>
                <w:noProof/>
                <w:webHidden/>
              </w:rPr>
              <w:fldChar w:fldCharType="begin"/>
            </w:r>
            <w:r>
              <w:rPr>
                <w:noProof/>
                <w:webHidden/>
              </w:rPr>
              <w:instrText xml:space="preserve"> PAGEREF _Toc228945627 \h </w:instrText>
            </w:r>
            <w:r>
              <w:rPr>
                <w:noProof/>
                <w:webHidden/>
              </w:rPr>
            </w:r>
            <w:r>
              <w:rPr>
                <w:noProof/>
                <w:webHidden/>
              </w:rPr>
              <w:fldChar w:fldCharType="separate"/>
            </w:r>
            <w:r>
              <w:rPr>
                <w:noProof/>
                <w:webHidden/>
              </w:rPr>
              <w:t>17</w:t>
            </w:r>
            <w:r>
              <w:rPr>
                <w:noProof/>
                <w:webHidden/>
              </w:rPr>
              <w:fldChar w:fldCharType="end"/>
            </w:r>
          </w:hyperlink>
        </w:p>
        <w:p w:rsidR="002D7141" w:rsidRDefault="002D7141" w14:paraId="78D44DBC" w14:textId="47FBD07C">
          <w:pPr>
            <w:pStyle w:val="TOC1"/>
            <w:tabs>
              <w:tab w:val="right" w:leader="dot" w:pos="9350"/>
            </w:tabs>
            <w:rPr>
              <w:rFonts w:asciiTheme="minorHAnsi" w:hAnsiTheme="minorHAnsi" w:cstheme="minorBidi"/>
              <w:noProof/>
              <w:kern w:val="2"/>
              <w:sz w:val="24"/>
              <w:szCs w:val="24"/>
              <w14:ligatures w14:val="standardContextual"/>
            </w:rPr>
          </w:pPr>
          <w:hyperlink w:history="1" w:anchor="_Toc228945628">
            <w:r w:rsidRPr="00D56FF1">
              <w:rPr>
                <w:rStyle w:val="Hyperlink"/>
                <w:noProof/>
              </w:rPr>
              <w:t>4.</w:t>
            </w:r>
            <w:r>
              <w:rPr>
                <w:rFonts w:asciiTheme="minorHAnsi" w:hAnsiTheme="minorHAnsi" w:cstheme="minorBidi"/>
                <w:noProof/>
                <w:kern w:val="2"/>
                <w:sz w:val="24"/>
                <w:szCs w:val="24"/>
                <w14:ligatures w14:val="standardContextual"/>
              </w:rPr>
              <w:tab/>
            </w:r>
            <w:r w:rsidRPr="00D56FF1">
              <w:rPr>
                <w:rStyle w:val="Hyperlink"/>
                <w:noProof/>
              </w:rPr>
              <w:t>Respondents</w:t>
            </w:r>
            <w:r>
              <w:rPr>
                <w:noProof/>
                <w:webHidden/>
              </w:rPr>
              <w:tab/>
            </w:r>
            <w:r>
              <w:rPr>
                <w:noProof/>
                <w:webHidden/>
              </w:rPr>
              <w:fldChar w:fldCharType="begin"/>
            </w:r>
            <w:r>
              <w:rPr>
                <w:noProof/>
                <w:webHidden/>
              </w:rPr>
              <w:instrText xml:space="preserve"> PAGEREF _Toc228945628 \h </w:instrText>
            </w:r>
            <w:r>
              <w:rPr>
                <w:noProof/>
                <w:webHidden/>
              </w:rPr>
            </w:r>
            <w:r>
              <w:rPr>
                <w:noProof/>
                <w:webHidden/>
              </w:rPr>
              <w:fldChar w:fldCharType="separate"/>
            </w:r>
            <w:r>
              <w:rPr>
                <w:noProof/>
                <w:webHidden/>
              </w:rPr>
              <w:t>18</w:t>
            </w:r>
            <w:r>
              <w:rPr>
                <w:noProof/>
                <w:webHidden/>
              </w:rPr>
              <w:fldChar w:fldCharType="end"/>
            </w:r>
          </w:hyperlink>
        </w:p>
        <w:p w:rsidR="002D7141" w:rsidRDefault="002D7141" w14:paraId="03B72055" w14:textId="3AF815E0">
          <w:pPr>
            <w:pStyle w:val="TOC1"/>
            <w:tabs>
              <w:tab w:val="right" w:leader="dot" w:pos="9350"/>
            </w:tabs>
            <w:rPr>
              <w:rFonts w:asciiTheme="minorHAnsi" w:hAnsiTheme="minorHAnsi" w:cstheme="minorBidi"/>
              <w:noProof/>
              <w:kern w:val="2"/>
              <w:sz w:val="24"/>
              <w:szCs w:val="24"/>
              <w14:ligatures w14:val="standardContextual"/>
            </w:rPr>
          </w:pPr>
          <w:hyperlink w:history="1" w:anchor="_Toc228945629">
            <w:r w:rsidRPr="00D56FF1">
              <w:rPr>
                <w:rStyle w:val="Hyperlink"/>
                <w:noProof/>
              </w:rPr>
              <w:t>5.</w:t>
            </w:r>
            <w:r>
              <w:rPr>
                <w:rFonts w:asciiTheme="minorHAnsi" w:hAnsiTheme="minorHAnsi" w:cstheme="minorBidi"/>
                <w:noProof/>
                <w:kern w:val="2"/>
                <w:sz w:val="24"/>
                <w:szCs w:val="24"/>
                <w14:ligatures w14:val="standardContextual"/>
              </w:rPr>
              <w:tab/>
            </w:r>
            <w:r w:rsidRPr="00D56FF1">
              <w:rPr>
                <w:rStyle w:val="Hyperlink"/>
                <w:noProof/>
              </w:rPr>
              <w:t>Service of Order Instituting Rulemaking</w:t>
            </w:r>
            <w:r>
              <w:rPr>
                <w:noProof/>
                <w:webHidden/>
              </w:rPr>
              <w:tab/>
            </w:r>
            <w:r>
              <w:rPr>
                <w:noProof/>
                <w:webHidden/>
              </w:rPr>
              <w:fldChar w:fldCharType="begin"/>
            </w:r>
            <w:r>
              <w:rPr>
                <w:noProof/>
                <w:webHidden/>
              </w:rPr>
              <w:instrText xml:space="preserve"> PAGEREF _Toc228945629 \h </w:instrText>
            </w:r>
            <w:r>
              <w:rPr>
                <w:noProof/>
                <w:webHidden/>
              </w:rPr>
            </w:r>
            <w:r>
              <w:rPr>
                <w:noProof/>
                <w:webHidden/>
              </w:rPr>
              <w:fldChar w:fldCharType="separate"/>
            </w:r>
            <w:r>
              <w:rPr>
                <w:noProof/>
                <w:webHidden/>
              </w:rPr>
              <w:t>18</w:t>
            </w:r>
            <w:r>
              <w:rPr>
                <w:noProof/>
                <w:webHidden/>
              </w:rPr>
              <w:fldChar w:fldCharType="end"/>
            </w:r>
          </w:hyperlink>
        </w:p>
        <w:p w:rsidR="002D7141" w:rsidRDefault="002D7141" w14:paraId="23601A3F" w14:textId="7A7735AE">
          <w:pPr>
            <w:pStyle w:val="TOC1"/>
            <w:tabs>
              <w:tab w:val="right" w:leader="dot" w:pos="9350"/>
            </w:tabs>
            <w:rPr>
              <w:rFonts w:asciiTheme="minorHAnsi" w:hAnsiTheme="minorHAnsi" w:cstheme="minorBidi"/>
              <w:noProof/>
              <w:kern w:val="2"/>
              <w:sz w:val="24"/>
              <w:szCs w:val="24"/>
              <w14:ligatures w14:val="standardContextual"/>
            </w:rPr>
          </w:pPr>
          <w:hyperlink w:history="1" w:anchor="_Toc228945630">
            <w:r w:rsidRPr="00D56FF1">
              <w:rPr>
                <w:rStyle w:val="Hyperlink"/>
                <w:noProof/>
              </w:rPr>
              <w:t>6.</w:t>
            </w:r>
            <w:r>
              <w:rPr>
                <w:rFonts w:asciiTheme="minorHAnsi" w:hAnsiTheme="minorHAnsi" w:cstheme="minorBidi"/>
                <w:noProof/>
                <w:kern w:val="2"/>
                <w:sz w:val="24"/>
                <w:szCs w:val="24"/>
                <w14:ligatures w14:val="standardContextual"/>
              </w:rPr>
              <w:tab/>
            </w:r>
            <w:r w:rsidRPr="00D56FF1">
              <w:rPr>
                <w:rStyle w:val="Hyperlink"/>
                <w:noProof/>
              </w:rPr>
              <w:t>Addition to Official Service List and Subscription Service</w:t>
            </w:r>
            <w:r>
              <w:rPr>
                <w:noProof/>
                <w:webHidden/>
              </w:rPr>
              <w:tab/>
            </w:r>
            <w:r>
              <w:rPr>
                <w:noProof/>
                <w:webHidden/>
              </w:rPr>
              <w:fldChar w:fldCharType="begin"/>
            </w:r>
            <w:r>
              <w:rPr>
                <w:noProof/>
                <w:webHidden/>
              </w:rPr>
              <w:instrText xml:space="preserve"> PAGEREF _Toc228945630 \h </w:instrText>
            </w:r>
            <w:r>
              <w:rPr>
                <w:noProof/>
                <w:webHidden/>
              </w:rPr>
            </w:r>
            <w:r>
              <w:rPr>
                <w:noProof/>
                <w:webHidden/>
              </w:rPr>
              <w:fldChar w:fldCharType="separate"/>
            </w:r>
            <w:r>
              <w:rPr>
                <w:noProof/>
                <w:webHidden/>
              </w:rPr>
              <w:t>20</w:t>
            </w:r>
            <w:r>
              <w:rPr>
                <w:noProof/>
                <w:webHidden/>
              </w:rPr>
              <w:fldChar w:fldCharType="end"/>
            </w:r>
          </w:hyperlink>
        </w:p>
        <w:p w:rsidR="002D7141" w:rsidRDefault="002D7141" w14:paraId="38DBB3A9" w14:textId="79479EC6">
          <w:pPr>
            <w:pStyle w:val="TOC1"/>
            <w:tabs>
              <w:tab w:val="right" w:leader="dot" w:pos="9350"/>
            </w:tabs>
            <w:rPr>
              <w:rFonts w:asciiTheme="minorHAnsi" w:hAnsiTheme="minorHAnsi" w:cstheme="minorBidi"/>
              <w:noProof/>
              <w:kern w:val="2"/>
              <w:sz w:val="24"/>
              <w:szCs w:val="24"/>
              <w14:ligatures w14:val="standardContextual"/>
            </w:rPr>
          </w:pPr>
          <w:hyperlink w:history="1" w:anchor="_Toc228945631">
            <w:r w:rsidRPr="00D56FF1">
              <w:rPr>
                <w:rStyle w:val="Hyperlink"/>
                <w:noProof/>
              </w:rPr>
              <w:t>7.</w:t>
            </w:r>
            <w:r>
              <w:rPr>
                <w:rFonts w:asciiTheme="minorHAnsi" w:hAnsiTheme="minorHAnsi" w:cstheme="minorBidi"/>
                <w:noProof/>
                <w:kern w:val="2"/>
                <w:sz w:val="24"/>
                <w:szCs w:val="24"/>
                <w14:ligatures w14:val="standardContextual"/>
              </w:rPr>
              <w:tab/>
            </w:r>
            <w:r w:rsidRPr="00D56FF1">
              <w:rPr>
                <w:rStyle w:val="Hyperlink"/>
                <w:noProof/>
              </w:rPr>
              <w:t>Filing and Service of Comments and Other Documents</w:t>
            </w:r>
            <w:r>
              <w:rPr>
                <w:noProof/>
                <w:webHidden/>
              </w:rPr>
              <w:tab/>
            </w:r>
            <w:r>
              <w:rPr>
                <w:noProof/>
                <w:webHidden/>
              </w:rPr>
              <w:fldChar w:fldCharType="begin"/>
            </w:r>
            <w:r>
              <w:rPr>
                <w:noProof/>
                <w:webHidden/>
              </w:rPr>
              <w:instrText xml:space="preserve"> PAGEREF _Toc228945631 \h </w:instrText>
            </w:r>
            <w:r>
              <w:rPr>
                <w:noProof/>
                <w:webHidden/>
              </w:rPr>
            </w:r>
            <w:r>
              <w:rPr>
                <w:noProof/>
                <w:webHidden/>
              </w:rPr>
              <w:fldChar w:fldCharType="separate"/>
            </w:r>
            <w:r>
              <w:rPr>
                <w:noProof/>
                <w:webHidden/>
              </w:rPr>
              <w:t>20</w:t>
            </w:r>
            <w:r>
              <w:rPr>
                <w:noProof/>
                <w:webHidden/>
              </w:rPr>
              <w:fldChar w:fldCharType="end"/>
            </w:r>
          </w:hyperlink>
        </w:p>
        <w:p w:rsidR="002D7141" w:rsidRDefault="002D7141" w14:paraId="5F882CE4" w14:textId="46EAB77B">
          <w:pPr>
            <w:pStyle w:val="TOC1"/>
            <w:tabs>
              <w:tab w:val="right" w:leader="dot" w:pos="9350"/>
            </w:tabs>
            <w:rPr>
              <w:rFonts w:asciiTheme="minorHAnsi" w:hAnsiTheme="minorHAnsi" w:cstheme="minorBidi"/>
              <w:noProof/>
              <w:kern w:val="2"/>
              <w:sz w:val="24"/>
              <w:szCs w:val="24"/>
              <w14:ligatures w14:val="standardContextual"/>
            </w:rPr>
          </w:pPr>
          <w:hyperlink w:history="1" w:anchor="_Toc228945632">
            <w:r w:rsidRPr="00D56FF1">
              <w:rPr>
                <w:rStyle w:val="Hyperlink"/>
                <w:noProof/>
              </w:rPr>
              <w:t>8.</w:t>
            </w:r>
            <w:r>
              <w:rPr>
                <w:rFonts w:asciiTheme="minorHAnsi" w:hAnsiTheme="minorHAnsi" w:cstheme="minorBidi"/>
                <w:noProof/>
                <w:kern w:val="2"/>
                <w:sz w:val="24"/>
                <w:szCs w:val="24"/>
                <w14:ligatures w14:val="standardContextual"/>
              </w:rPr>
              <w:tab/>
            </w:r>
            <w:r w:rsidRPr="00D56FF1">
              <w:rPr>
                <w:rStyle w:val="Hyperlink"/>
                <w:noProof/>
              </w:rPr>
              <w:t>Receiving Electronic Service from the Commission</w:t>
            </w:r>
            <w:r>
              <w:rPr>
                <w:noProof/>
                <w:webHidden/>
              </w:rPr>
              <w:tab/>
            </w:r>
            <w:r>
              <w:rPr>
                <w:noProof/>
                <w:webHidden/>
              </w:rPr>
              <w:fldChar w:fldCharType="begin"/>
            </w:r>
            <w:r>
              <w:rPr>
                <w:noProof/>
                <w:webHidden/>
              </w:rPr>
              <w:instrText xml:space="preserve"> PAGEREF _Toc228945632 \h </w:instrText>
            </w:r>
            <w:r>
              <w:rPr>
                <w:noProof/>
                <w:webHidden/>
              </w:rPr>
            </w:r>
            <w:r>
              <w:rPr>
                <w:noProof/>
                <w:webHidden/>
              </w:rPr>
              <w:fldChar w:fldCharType="separate"/>
            </w:r>
            <w:r>
              <w:rPr>
                <w:noProof/>
                <w:webHidden/>
              </w:rPr>
              <w:t>22</w:t>
            </w:r>
            <w:r>
              <w:rPr>
                <w:noProof/>
                <w:webHidden/>
              </w:rPr>
              <w:fldChar w:fldCharType="end"/>
            </w:r>
          </w:hyperlink>
        </w:p>
        <w:p w:rsidR="002D7141" w:rsidRDefault="002D7141" w14:paraId="062F0026" w14:textId="18B872B1">
          <w:pPr>
            <w:pStyle w:val="TOC1"/>
            <w:tabs>
              <w:tab w:val="right" w:leader="dot" w:pos="9350"/>
            </w:tabs>
            <w:rPr>
              <w:rFonts w:asciiTheme="minorHAnsi" w:hAnsiTheme="minorHAnsi" w:cstheme="minorBidi"/>
              <w:noProof/>
              <w:kern w:val="2"/>
              <w:sz w:val="24"/>
              <w:szCs w:val="24"/>
              <w14:ligatures w14:val="standardContextual"/>
            </w:rPr>
          </w:pPr>
          <w:hyperlink w:history="1" w:anchor="_Toc228945633">
            <w:r w:rsidRPr="00D56FF1">
              <w:rPr>
                <w:rStyle w:val="Hyperlink"/>
                <w:noProof/>
              </w:rPr>
              <w:t>9.</w:t>
            </w:r>
            <w:r>
              <w:rPr>
                <w:rFonts w:asciiTheme="minorHAnsi" w:hAnsiTheme="minorHAnsi" w:cstheme="minorBidi"/>
                <w:noProof/>
                <w:kern w:val="2"/>
                <w:sz w:val="24"/>
                <w:szCs w:val="24"/>
                <w14:ligatures w14:val="standardContextual"/>
              </w:rPr>
              <w:tab/>
            </w:r>
            <w:r w:rsidRPr="00D56FF1">
              <w:rPr>
                <w:rStyle w:val="Hyperlink"/>
                <w:noProof/>
              </w:rPr>
              <w:t>Intervenor Compensation</w:t>
            </w:r>
            <w:r>
              <w:rPr>
                <w:noProof/>
                <w:webHidden/>
              </w:rPr>
              <w:tab/>
            </w:r>
            <w:r>
              <w:rPr>
                <w:noProof/>
                <w:webHidden/>
              </w:rPr>
              <w:fldChar w:fldCharType="begin"/>
            </w:r>
            <w:r>
              <w:rPr>
                <w:noProof/>
                <w:webHidden/>
              </w:rPr>
              <w:instrText xml:space="preserve"> PAGEREF _Toc228945633 \h </w:instrText>
            </w:r>
            <w:r>
              <w:rPr>
                <w:noProof/>
                <w:webHidden/>
              </w:rPr>
            </w:r>
            <w:r>
              <w:rPr>
                <w:noProof/>
                <w:webHidden/>
              </w:rPr>
              <w:fldChar w:fldCharType="separate"/>
            </w:r>
            <w:r>
              <w:rPr>
                <w:noProof/>
                <w:webHidden/>
              </w:rPr>
              <w:t>22</w:t>
            </w:r>
            <w:r>
              <w:rPr>
                <w:noProof/>
                <w:webHidden/>
              </w:rPr>
              <w:fldChar w:fldCharType="end"/>
            </w:r>
          </w:hyperlink>
        </w:p>
        <w:p w:rsidR="002D7141" w:rsidRDefault="002D7141" w14:paraId="542552B3" w14:textId="71F50BC2">
          <w:pPr>
            <w:pStyle w:val="TOC1"/>
            <w:tabs>
              <w:tab w:val="right" w:leader="dot" w:pos="9350"/>
            </w:tabs>
            <w:rPr>
              <w:rFonts w:asciiTheme="minorHAnsi" w:hAnsiTheme="minorHAnsi" w:cstheme="minorBidi"/>
              <w:noProof/>
              <w:kern w:val="2"/>
              <w:sz w:val="24"/>
              <w:szCs w:val="24"/>
              <w14:ligatures w14:val="standardContextual"/>
            </w:rPr>
          </w:pPr>
          <w:hyperlink w:history="1" w:anchor="_Toc228945634">
            <w:r w:rsidRPr="00D56FF1">
              <w:rPr>
                <w:rStyle w:val="Hyperlink"/>
                <w:noProof/>
              </w:rPr>
              <w:t>10.</w:t>
            </w:r>
            <w:r>
              <w:rPr>
                <w:rFonts w:asciiTheme="minorHAnsi" w:hAnsiTheme="minorHAnsi" w:cstheme="minorBidi"/>
                <w:noProof/>
                <w:kern w:val="2"/>
                <w:sz w:val="24"/>
                <w:szCs w:val="24"/>
                <w14:ligatures w14:val="standardContextual"/>
              </w:rPr>
              <w:tab/>
            </w:r>
            <w:r w:rsidRPr="00D56FF1">
              <w:rPr>
                <w:rStyle w:val="Hyperlink"/>
                <w:noProof/>
              </w:rPr>
              <w:t>Public Advisor</w:t>
            </w:r>
            <w:r>
              <w:rPr>
                <w:noProof/>
                <w:webHidden/>
              </w:rPr>
              <w:tab/>
            </w:r>
            <w:r>
              <w:rPr>
                <w:noProof/>
                <w:webHidden/>
              </w:rPr>
              <w:fldChar w:fldCharType="begin"/>
            </w:r>
            <w:r>
              <w:rPr>
                <w:noProof/>
                <w:webHidden/>
              </w:rPr>
              <w:instrText xml:space="preserve"> PAGEREF _Toc228945634 \h </w:instrText>
            </w:r>
            <w:r>
              <w:rPr>
                <w:noProof/>
                <w:webHidden/>
              </w:rPr>
            </w:r>
            <w:r>
              <w:rPr>
                <w:noProof/>
                <w:webHidden/>
              </w:rPr>
              <w:fldChar w:fldCharType="separate"/>
            </w:r>
            <w:r>
              <w:rPr>
                <w:noProof/>
                <w:webHidden/>
              </w:rPr>
              <w:t>22</w:t>
            </w:r>
            <w:r>
              <w:rPr>
                <w:noProof/>
                <w:webHidden/>
              </w:rPr>
              <w:fldChar w:fldCharType="end"/>
            </w:r>
          </w:hyperlink>
        </w:p>
        <w:p w:rsidR="002D7141" w:rsidRDefault="002D7141" w14:paraId="36E26CE7" w14:textId="4E5E2071">
          <w:pPr>
            <w:pStyle w:val="TOC1"/>
            <w:tabs>
              <w:tab w:val="right" w:leader="dot" w:pos="9350"/>
            </w:tabs>
            <w:rPr>
              <w:rFonts w:asciiTheme="minorHAnsi" w:hAnsiTheme="minorHAnsi" w:cstheme="minorBidi"/>
              <w:noProof/>
              <w:kern w:val="2"/>
              <w:sz w:val="24"/>
              <w:szCs w:val="24"/>
              <w14:ligatures w14:val="standardContextual"/>
            </w:rPr>
          </w:pPr>
          <w:hyperlink w:history="1" w:anchor="_Toc228945635">
            <w:r w:rsidRPr="00D56FF1">
              <w:rPr>
                <w:rStyle w:val="Hyperlink"/>
                <w:noProof/>
              </w:rPr>
              <w:t>ORDER</w:t>
            </w:r>
            <w:r>
              <w:rPr>
                <w:noProof/>
                <w:webHidden/>
              </w:rPr>
              <w:tab/>
            </w:r>
            <w:r>
              <w:rPr>
                <w:noProof/>
                <w:webHidden/>
              </w:rPr>
              <w:fldChar w:fldCharType="begin"/>
            </w:r>
            <w:r>
              <w:rPr>
                <w:noProof/>
                <w:webHidden/>
              </w:rPr>
              <w:instrText xml:space="preserve"> PAGEREF _Toc228945635 \h </w:instrText>
            </w:r>
            <w:r>
              <w:rPr>
                <w:noProof/>
                <w:webHidden/>
              </w:rPr>
            </w:r>
            <w:r>
              <w:rPr>
                <w:noProof/>
                <w:webHidden/>
              </w:rPr>
              <w:fldChar w:fldCharType="separate"/>
            </w:r>
            <w:r>
              <w:rPr>
                <w:noProof/>
                <w:webHidden/>
              </w:rPr>
              <w:t>22</w:t>
            </w:r>
            <w:r>
              <w:rPr>
                <w:noProof/>
                <w:webHidden/>
              </w:rPr>
              <w:fldChar w:fldCharType="end"/>
            </w:r>
          </w:hyperlink>
        </w:p>
        <w:p w:rsidR="00D82A43" w:rsidP="008C7413" w:rsidRDefault="008C7413" w14:paraId="3E2A7D0E" w14:textId="2778A586">
          <w:pPr>
            <w:pStyle w:val="TOC1"/>
            <w:tabs>
              <w:tab w:val="right" w:leader="dot" w:pos="9350"/>
            </w:tabs>
          </w:pPr>
          <w:r>
            <w:rPr>
              <w:rFonts w:asciiTheme="minorHAnsi" w:hAnsiTheme="minorHAnsi"/>
              <w:sz w:val="22"/>
            </w:rPr>
            <w:fldChar w:fldCharType="end"/>
          </w:r>
        </w:p>
      </w:sdtContent>
    </w:sdt>
    <w:p w:rsidRPr="0098655A" w:rsidR="0098655A" w:rsidP="00D50119" w:rsidRDefault="00A86DF0" w14:paraId="7F0C6596" w14:textId="7667F24D">
      <w:pPr>
        <w:spacing w:line="240" w:lineRule="auto"/>
        <w:ind w:firstLine="0"/>
        <w:rPr>
          <w:rFonts w:cs="Arial"/>
          <w:szCs w:val="26"/>
        </w:rPr>
      </w:pPr>
      <w:r>
        <w:rPr>
          <w:rFonts w:cs="Arial"/>
          <w:b/>
          <w:szCs w:val="26"/>
        </w:rPr>
        <w:t>Appendix </w:t>
      </w:r>
      <w:r w:rsidRPr="0098655A" w:rsidR="0098655A">
        <w:rPr>
          <w:rFonts w:cs="Arial"/>
          <w:b/>
          <w:szCs w:val="26"/>
        </w:rPr>
        <w:t>A</w:t>
      </w:r>
      <w:r w:rsidRPr="0098655A" w:rsidR="0098655A">
        <w:rPr>
          <w:rFonts w:cs="Arial"/>
          <w:szCs w:val="26"/>
        </w:rPr>
        <w:t xml:space="preserve"> –</w:t>
      </w:r>
      <w:r w:rsidR="00E23CBB">
        <w:rPr>
          <w:rFonts w:cs="Arial"/>
          <w:szCs w:val="26"/>
        </w:rPr>
        <w:t xml:space="preserve"> </w:t>
      </w:r>
      <w:r w:rsidR="00A32898">
        <w:rPr>
          <w:rFonts w:cs="Arial"/>
          <w:szCs w:val="26"/>
        </w:rPr>
        <w:t>Substantive</w:t>
      </w:r>
      <w:r w:rsidRPr="004D4872" w:rsidR="004D4872">
        <w:rPr>
          <w:rFonts w:cs="Arial"/>
          <w:szCs w:val="26"/>
        </w:rPr>
        <w:t xml:space="preserve"> Questions</w:t>
      </w:r>
    </w:p>
    <w:p w:rsidR="001D09EA" w:rsidP="00D44DB6" w:rsidRDefault="001D09EA" w14:paraId="344E20FF" w14:textId="77777777">
      <w:pPr>
        <w:spacing w:line="240" w:lineRule="auto"/>
        <w:ind w:firstLine="0"/>
        <w:rPr>
          <w:rFonts w:cs="Arial"/>
          <w:i/>
          <w:szCs w:val="26"/>
        </w:rPr>
      </w:pPr>
    </w:p>
    <w:p w:rsidRPr="00D44DB6" w:rsidR="001D09EA" w:rsidP="00D44DB6" w:rsidRDefault="001D09EA" w14:paraId="43DAA6D4" w14:textId="77777777">
      <w:pPr>
        <w:spacing w:line="240" w:lineRule="auto"/>
        <w:ind w:firstLine="0"/>
        <w:rPr>
          <w:rFonts w:cs="Arial"/>
          <w:i/>
          <w:szCs w:val="26"/>
        </w:rPr>
        <w:sectPr w:rsidRPr="00D44DB6" w:rsidR="001D09EA" w:rsidSect="006B72DC">
          <w:pgSz w:w="12240" w:h="15840"/>
          <w:pgMar w:top="1728" w:right="1440" w:bottom="1440" w:left="1440" w:header="720" w:footer="720" w:gutter="0"/>
          <w:pgNumType w:fmt="lowerRoman" w:start="1"/>
          <w:cols w:space="720"/>
          <w:docGrid w:linePitch="360"/>
        </w:sectPr>
      </w:pPr>
    </w:p>
    <w:p w:rsidR="00393F61" w:rsidP="00161FBE" w:rsidRDefault="00161FBE" w14:paraId="5F32FF8D" w14:textId="405BAADC">
      <w:pPr>
        <w:pStyle w:val="Main"/>
      </w:pPr>
      <w:bookmarkStart w:name="Title" w:id="2"/>
      <w:r>
        <w:lastRenderedPageBreak/>
        <w:t>ORDER INSTITUTING RULEMAKING</w:t>
      </w:r>
      <w:r>
        <w:br/>
        <w:t>TO REFINE</w:t>
      </w:r>
      <w:r w:rsidR="005678DE">
        <w:t xml:space="preserve"> </w:t>
      </w:r>
      <w:r>
        <w:t>THE RISK</w:t>
      </w:r>
      <w:r w:rsidR="00C26B9E">
        <w:noBreakHyphen/>
      </w:r>
      <w:r>
        <w:t>BASED DECISION</w:t>
      </w:r>
      <w:r w:rsidR="00C26B9E">
        <w:noBreakHyphen/>
      </w:r>
      <w:r>
        <w:t>MAKING FRAMEWORK</w:t>
      </w:r>
      <w:r>
        <w:br/>
        <w:t>FOR ELECTRIC AND GAS UTILITIES</w:t>
      </w:r>
      <w:bookmarkEnd w:id="2"/>
    </w:p>
    <w:p w:rsidRPr="005A5FF9" w:rsidR="005A5FF9" w:rsidP="005A5FF9" w:rsidRDefault="005A5FF9" w14:paraId="036AE50D" w14:textId="77777777">
      <w:pPr>
        <w:pStyle w:val="Main"/>
        <w:jc w:val="left"/>
      </w:pPr>
    </w:p>
    <w:p w:rsidR="005A148C" w:rsidP="005A5FF9" w:rsidRDefault="005A148C" w14:paraId="257C2878" w14:textId="77777777">
      <w:pPr>
        <w:pStyle w:val="Dummy"/>
      </w:pPr>
      <w:bookmarkStart w:name="_Toc8123714" w:id="3"/>
      <w:bookmarkStart w:name="_Toc224746100" w:id="4"/>
      <w:bookmarkStart w:name="_Toc228945612" w:id="5"/>
      <w:r>
        <w:t>Summary</w:t>
      </w:r>
      <w:bookmarkEnd w:id="3"/>
      <w:bookmarkEnd w:id="4"/>
      <w:bookmarkEnd w:id="5"/>
    </w:p>
    <w:p w:rsidR="00432271" w:rsidP="00487BB9" w:rsidRDefault="00487BB9" w14:paraId="7282EF42" w14:textId="02BD1CFA">
      <w:pPr>
        <w:pStyle w:val="Standard"/>
      </w:pPr>
      <w:bookmarkStart w:name="_Toc8123715" w:id="6"/>
      <w:r w:rsidRPr="00CA3C0A">
        <w:t xml:space="preserve">The </w:t>
      </w:r>
      <w:r w:rsidR="00003CFD">
        <w:t xml:space="preserve">Commission </w:t>
      </w:r>
      <w:r w:rsidRPr="00CA3C0A">
        <w:t xml:space="preserve">initiates this </w:t>
      </w:r>
      <w:r>
        <w:t>r</w:t>
      </w:r>
      <w:r w:rsidRPr="00CA3C0A">
        <w:t xml:space="preserve">ulemaking to </w:t>
      </w:r>
      <w:r>
        <w:t xml:space="preserve">consider ways </w:t>
      </w:r>
      <w:r w:rsidRPr="00CA3C0A">
        <w:t xml:space="preserve">to </w:t>
      </w:r>
      <w:r w:rsidRPr="0035529F">
        <w:t>strengthen</w:t>
      </w:r>
      <w:r w:rsidRPr="00CA3C0A">
        <w:t xml:space="preserve"> </w:t>
      </w:r>
      <w:r>
        <w:t xml:space="preserve">the </w:t>
      </w:r>
      <w:r w:rsidRPr="00CA3C0A">
        <w:t>risk</w:t>
      </w:r>
      <w:r w:rsidR="00C26B9E">
        <w:noBreakHyphen/>
      </w:r>
      <w:r w:rsidRPr="00CA3C0A">
        <w:t>based decision</w:t>
      </w:r>
      <w:r w:rsidR="00C26B9E">
        <w:noBreakHyphen/>
      </w:r>
      <w:r w:rsidRPr="00CA3C0A">
        <w:t xml:space="preserve">making </w:t>
      </w:r>
      <w:r>
        <w:t>framework that regulated energy utilities use to assess, manage, mitigate and minimize safety risks.</w:t>
      </w:r>
      <w:r w:rsidR="00EE26DE">
        <w:t xml:space="preserve"> </w:t>
      </w:r>
      <w:r>
        <w:t xml:space="preserve">The rulemaking will build on </w:t>
      </w:r>
      <w:r w:rsidRPr="00487BB9">
        <w:t>requirements</w:t>
      </w:r>
      <w:r>
        <w:t xml:space="preserve"> for a utility risk framework </w:t>
      </w:r>
      <w:r w:rsidR="008F7669">
        <w:t xml:space="preserve">initially </w:t>
      </w:r>
      <w:r>
        <w:t>adopted</w:t>
      </w:r>
      <w:r w:rsidR="00D93171">
        <w:t xml:space="preserve"> </w:t>
      </w:r>
      <w:r w:rsidR="00D11CB5">
        <w:t xml:space="preserve">and developed </w:t>
      </w:r>
      <w:r w:rsidR="00D93171">
        <w:t>in</w:t>
      </w:r>
      <w:r>
        <w:t xml:space="preserve"> Application</w:t>
      </w:r>
      <w:r w:rsidR="003D4DF4">
        <w:t> </w:t>
      </w:r>
      <w:r>
        <w:t>15</w:t>
      </w:r>
      <w:r w:rsidR="00C26B9E">
        <w:noBreakHyphen/>
      </w:r>
      <w:r>
        <w:t>05</w:t>
      </w:r>
      <w:r w:rsidR="00C26B9E">
        <w:noBreakHyphen/>
      </w:r>
      <w:r>
        <w:t>002</w:t>
      </w:r>
      <w:r w:rsidR="003F324B">
        <w:t>,</w:t>
      </w:r>
      <w:r>
        <w:t xml:space="preserve"> et al</w:t>
      </w:r>
      <w:r w:rsidR="003F324B">
        <w:t>.</w:t>
      </w:r>
      <w:r w:rsidR="00B8230C">
        <w:t>,</w:t>
      </w:r>
      <w:r w:rsidR="00D11CB5">
        <w:t xml:space="preserve"> </w:t>
      </w:r>
      <w:r w:rsidRPr="00C34305" w:rsidR="00D11CB5">
        <w:rPr>
          <w:i/>
          <w:iCs/>
        </w:rPr>
        <w:t>Safety Model Assessment Proceeding</w:t>
      </w:r>
      <w:r w:rsidR="00D11CB5">
        <w:t>;</w:t>
      </w:r>
      <w:r w:rsidR="00B8230C">
        <w:t xml:space="preserve"> </w:t>
      </w:r>
      <w:r>
        <w:t>Rulemaking</w:t>
      </w:r>
      <w:r w:rsidR="00FC12BE">
        <w:t xml:space="preserve"> (R</w:t>
      </w:r>
      <w:r w:rsidR="00341241">
        <w:t>.</w:t>
      </w:r>
      <w:r w:rsidR="00FC12BE">
        <w:t>)</w:t>
      </w:r>
      <w:r w:rsidR="00C26B9E">
        <w:t> </w:t>
      </w:r>
      <w:r>
        <w:t>13</w:t>
      </w:r>
      <w:r w:rsidR="00C26B9E">
        <w:noBreakHyphen/>
      </w:r>
      <w:r>
        <w:t>11</w:t>
      </w:r>
      <w:r w:rsidR="00C26B9E">
        <w:noBreakHyphen/>
      </w:r>
      <w:r>
        <w:t xml:space="preserve">006, </w:t>
      </w:r>
      <w:r w:rsidRPr="00DD3874">
        <w:rPr>
          <w:i/>
          <w:iCs/>
        </w:rPr>
        <w:t>Risk</w:t>
      </w:r>
      <w:r w:rsidR="00C26B9E">
        <w:rPr>
          <w:i/>
          <w:iCs/>
        </w:rPr>
        <w:noBreakHyphen/>
      </w:r>
      <w:r w:rsidRPr="00DD3874">
        <w:rPr>
          <w:i/>
          <w:iCs/>
        </w:rPr>
        <w:t>Based Decision</w:t>
      </w:r>
      <w:r w:rsidR="00C26B9E">
        <w:rPr>
          <w:i/>
          <w:iCs/>
        </w:rPr>
        <w:noBreakHyphen/>
      </w:r>
      <w:r w:rsidRPr="00DD3874">
        <w:rPr>
          <w:i/>
          <w:iCs/>
        </w:rPr>
        <w:t xml:space="preserve">Making </w:t>
      </w:r>
      <w:r w:rsidR="00731EE1">
        <w:rPr>
          <w:i/>
          <w:iCs/>
        </w:rPr>
        <w:t>P</w:t>
      </w:r>
      <w:r w:rsidRPr="00DD3874">
        <w:rPr>
          <w:i/>
          <w:iCs/>
        </w:rPr>
        <w:t>roceeding</w:t>
      </w:r>
      <w:r w:rsidR="00EF3C8F">
        <w:t>;</w:t>
      </w:r>
      <w:r w:rsidR="00FC12BE">
        <w:t xml:space="preserve"> </w:t>
      </w:r>
      <w:r w:rsidR="002E1A17">
        <w:t xml:space="preserve">and </w:t>
      </w:r>
      <w:r w:rsidR="00FC12BE">
        <w:t>R</w:t>
      </w:r>
      <w:r w:rsidR="00341241">
        <w:t>.20</w:t>
      </w:r>
      <w:r w:rsidR="00C26B9E">
        <w:noBreakHyphen/>
      </w:r>
      <w:r w:rsidR="00341241">
        <w:t>07</w:t>
      </w:r>
      <w:r w:rsidR="00C26B9E">
        <w:noBreakHyphen/>
      </w:r>
      <w:r w:rsidR="00341241">
        <w:t>013</w:t>
      </w:r>
      <w:r w:rsidR="00D11CB5">
        <w:t>,</w:t>
      </w:r>
      <w:r w:rsidR="00341241">
        <w:t xml:space="preserve"> </w:t>
      </w:r>
      <w:r w:rsidRPr="00DD3874" w:rsidR="0082306A">
        <w:rPr>
          <w:rFonts w:cs="Arial"/>
          <w:i/>
          <w:iCs/>
          <w:szCs w:val="26"/>
        </w:rPr>
        <w:t xml:space="preserve">Order Instituting Rulemaking to Further Develop </w:t>
      </w:r>
      <w:r w:rsidRPr="00DD3874" w:rsidR="00CF605C">
        <w:rPr>
          <w:rFonts w:cs="Arial"/>
          <w:i/>
          <w:iCs/>
          <w:szCs w:val="26"/>
        </w:rPr>
        <w:t>a</w:t>
      </w:r>
      <w:r w:rsidRPr="00DD3874" w:rsidR="0082306A">
        <w:rPr>
          <w:rFonts w:cs="Arial"/>
          <w:i/>
          <w:iCs/>
          <w:szCs w:val="26"/>
        </w:rPr>
        <w:t xml:space="preserve"> Risk</w:t>
      </w:r>
      <w:r w:rsidR="00C26B9E">
        <w:rPr>
          <w:rFonts w:cs="Arial"/>
          <w:i/>
          <w:iCs/>
          <w:szCs w:val="26"/>
        </w:rPr>
        <w:noBreakHyphen/>
      </w:r>
      <w:r w:rsidRPr="00DD3874" w:rsidR="0082306A">
        <w:rPr>
          <w:rFonts w:cs="Arial"/>
          <w:i/>
          <w:iCs/>
          <w:szCs w:val="26"/>
        </w:rPr>
        <w:t>Based Decision</w:t>
      </w:r>
      <w:r w:rsidR="00C26B9E">
        <w:rPr>
          <w:rFonts w:cs="Arial"/>
          <w:i/>
          <w:iCs/>
          <w:szCs w:val="26"/>
        </w:rPr>
        <w:noBreakHyphen/>
      </w:r>
      <w:r w:rsidRPr="00DD3874" w:rsidR="0082306A">
        <w:rPr>
          <w:rFonts w:cs="Arial"/>
          <w:i/>
          <w:iCs/>
          <w:szCs w:val="26"/>
        </w:rPr>
        <w:t>Making Framework for Electric and Gas Utilities</w:t>
      </w:r>
      <w:r>
        <w:t>.</w:t>
      </w:r>
      <w:r w:rsidR="00EE26DE">
        <w:t xml:space="preserve"> </w:t>
      </w:r>
      <w:r>
        <w:t xml:space="preserve">Our goal is to </w:t>
      </w:r>
      <w:r w:rsidR="002E1A17">
        <w:t xml:space="preserve">continuously </w:t>
      </w:r>
      <w:r w:rsidR="00D377E0">
        <w:t>improve</w:t>
      </w:r>
      <w:r w:rsidR="002E1A17">
        <w:t xml:space="preserve"> </w:t>
      </w:r>
      <w:r>
        <w:t>the prioritization of safety by electric and gas utilities.</w:t>
      </w:r>
    </w:p>
    <w:p w:rsidR="00432271" w:rsidP="00035F99" w:rsidRDefault="00487BB9" w14:paraId="017E7B4A" w14:textId="7021EF6F">
      <w:pPr>
        <w:pStyle w:val="Standard"/>
      </w:pPr>
      <w:r w:rsidRPr="00D82240">
        <w:t xml:space="preserve">To accomplish this, the proceeding </w:t>
      </w:r>
      <w:r w:rsidR="001633E4">
        <w:t>has four objectives</w:t>
      </w:r>
      <w:r>
        <w:t>.</w:t>
      </w:r>
      <w:r w:rsidR="00EE26DE">
        <w:t xml:space="preserve"> </w:t>
      </w:r>
      <w:r>
        <w:t>First,</w:t>
      </w:r>
      <w:r w:rsidR="00D434E4">
        <w:t xml:space="preserve"> this proceeding will </w:t>
      </w:r>
      <w:r w:rsidR="003F5C29">
        <w:t xml:space="preserve">explore how </w:t>
      </w:r>
      <w:r w:rsidR="001633E4">
        <w:t>the Commission should</w:t>
      </w:r>
      <w:r w:rsidR="00F97CEA">
        <w:t xml:space="preserve"> </w:t>
      </w:r>
      <w:r w:rsidR="008221E5">
        <w:t xml:space="preserve">develop and incorporate risk tolerance into the </w:t>
      </w:r>
      <w:r w:rsidRPr="00D03230" w:rsidR="008B0FC4">
        <w:t>Risk</w:t>
      </w:r>
      <w:r w:rsidR="00C26B9E">
        <w:noBreakHyphen/>
      </w:r>
      <w:r w:rsidRPr="00D03230" w:rsidR="008B0FC4">
        <w:t>Based Decision</w:t>
      </w:r>
      <w:r w:rsidR="00C26B9E">
        <w:noBreakHyphen/>
      </w:r>
      <w:r w:rsidRPr="00D03230" w:rsidR="008B0FC4">
        <w:t>Making Framework</w:t>
      </w:r>
      <w:r w:rsidR="008B0FC4">
        <w:t xml:space="preserve"> to </w:t>
      </w:r>
      <w:r w:rsidR="00F23620">
        <w:t>improve the assessment of utility risk mitigation proposals in the General Rate</w:t>
      </w:r>
      <w:r w:rsidR="00EE4FCC">
        <w:t xml:space="preserve"> Case. Second, this proceeding </w:t>
      </w:r>
      <w:r w:rsidR="006A08B2">
        <w:t xml:space="preserve">will </w:t>
      </w:r>
      <w:r w:rsidR="00AA4552">
        <w:t xml:space="preserve">consider modifying </w:t>
      </w:r>
      <w:r w:rsidR="007743E5">
        <w:t>the schedule for</w:t>
      </w:r>
      <w:r w:rsidR="00DF072A">
        <w:t xml:space="preserve"> the</w:t>
      </w:r>
      <w:r w:rsidR="007743E5">
        <w:t xml:space="preserve"> Safety Policy Division</w:t>
      </w:r>
      <w:r w:rsidR="00337A8D">
        <w:t>’</w:t>
      </w:r>
      <w:r w:rsidR="001F6062">
        <w:t>s</w:t>
      </w:r>
      <w:r w:rsidR="008E4F56">
        <w:t xml:space="preserve"> (SPD)</w:t>
      </w:r>
      <w:r w:rsidR="001F6062">
        <w:t xml:space="preserve"> evaluations of </w:t>
      </w:r>
      <w:r w:rsidR="00D26D6C">
        <w:t>Risk Assessment Mitigation P</w:t>
      </w:r>
      <w:r w:rsidR="0094733F">
        <w:t>hase</w:t>
      </w:r>
      <w:r w:rsidR="00D26D6C">
        <w:t xml:space="preserve"> </w:t>
      </w:r>
      <w:r w:rsidR="001237BC">
        <w:t xml:space="preserve">filings </w:t>
      </w:r>
      <w:r w:rsidR="009A49B9">
        <w:t xml:space="preserve">to allow for additional time </w:t>
      </w:r>
      <w:r w:rsidR="003F5225">
        <w:t xml:space="preserve">for </w:t>
      </w:r>
      <w:r w:rsidR="008E4F56">
        <w:t xml:space="preserve">SPD </w:t>
      </w:r>
      <w:r w:rsidR="003F5225">
        <w:t>to complete the evaluation</w:t>
      </w:r>
      <w:r w:rsidR="002C3CDE">
        <w:t xml:space="preserve">, </w:t>
      </w:r>
      <w:r w:rsidR="007C793D">
        <w:t xml:space="preserve">as well as other procedural milestones. </w:t>
      </w:r>
      <w:r w:rsidR="001473D9">
        <w:t>Thi</w:t>
      </w:r>
      <w:r w:rsidR="004E7875">
        <w:t xml:space="preserve">rd, this proceeding will </w:t>
      </w:r>
      <w:r w:rsidR="0059296E">
        <w:t>consider improvements to Benefit</w:t>
      </w:r>
      <w:r w:rsidR="00C26B9E">
        <w:noBreakHyphen/>
      </w:r>
      <w:r w:rsidR="0059296E">
        <w:t xml:space="preserve">Cost </w:t>
      </w:r>
      <w:r w:rsidRPr="00EA504F" w:rsidR="0059296E">
        <w:t xml:space="preserve">Ratio </w:t>
      </w:r>
      <w:r w:rsidRPr="00035F99" w:rsidR="00B6586E">
        <w:t>method</w:t>
      </w:r>
      <w:r w:rsidRPr="00035F99" w:rsidR="00A3428A">
        <w:t>ology</w:t>
      </w:r>
      <w:r w:rsidRPr="00CE43D1" w:rsidR="00A3428A">
        <w:t xml:space="preserve"> </w:t>
      </w:r>
      <w:r w:rsidRPr="00CE43D1" w:rsidR="0032594E">
        <w:t xml:space="preserve">adopted </w:t>
      </w:r>
      <w:r w:rsidR="00DF072A">
        <w:t>and revised in</w:t>
      </w:r>
      <w:r w:rsidR="00A34C72">
        <w:t xml:space="preserve"> several decisions issued in</w:t>
      </w:r>
      <w:r w:rsidR="00073B37">
        <w:t xml:space="preserve"> R.</w:t>
      </w:r>
      <w:r w:rsidRPr="00CE43D1" w:rsidR="00132C78">
        <w:t>20</w:t>
      </w:r>
      <w:r w:rsidR="00C26B9E">
        <w:noBreakHyphen/>
      </w:r>
      <w:r w:rsidRPr="00CE43D1" w:rsidR="00132C78">
        <w:t>07</w:t>
      </w:r>
      <w:r w:rsidR="00C26B9E">
        <w:noBreakHyphen/>
      </w:r>
      <w:r w:rsidRPr="00CE43D1" w:rsidR="00132C78">
        <w:t>013</w:t>
      </w:r>
      <w:r w:rsidR="00132C78">
        <w:t>.</w:t>
      </w:r>
      <w:r w:rsidR="00EE26DE">
        <w:t xml:space="preserve"> </w:t>
      </w:r>
      <w:r w:rsidR="00F70748">
        <w:t xml:space="preserve">Fourth, this proceeding will </w:t>
      </w:r>
      <w:r w:rsidR="006E10F5">
        <w:t xml:space="preserve">assess the feasibility of </w:t>
      </w:r>
      <w:r w:rsidR="005925D8">
        <w:t xml:space="preserve">extending </w:t>
      </w:r>
      <w:r w:rsidR="00E95476">
        <w:t>Risk Spending Accountability Reports</w:t>
      </w:r>
      <w:r w:rsidDel="00E95476" w:rsidR="00E95476">
        <w:t xml:space="preserve"> </w:t>
      </w:r>
      <w:r w:rsidR="005925D8">
        <w:t xml:space="preserve">filing requirements to </w:t>
      </w:r>
      <w:r w:rsidR="00154831">
        <w:t xml:space="preserve">Alpine Natural Gas Operating Company No. 1, LLC </w:t>
      </w:r>
      <w:r w:rsidRPr="00D71D3F" w:rsidR="005925D8">
        <w:rPr>
          <w:rFonts w:eastAsia="Century" w:cs="Century"/>
        </w:rPr>
        <w:t>and West Coast Gas Company</w:t>
      </w:r>
      <w:r w:rsidR="00474BA0">
        <w:rPr>
          <w:rFonts w:eastAsia="Century" w:cs="Century"/>
        </w:rPr>
        <w:t>, Inc</w:t>
      </w:r>
      <w:r w:rsidRPr="00D71D3F" w:rsidR="005925D8">
        <w:rPr>
          <w:rFonts w:eastAsia="Century" w:cs="Century"/>
        </w:rPr>
        <w:t>.</w:t>
      </w:r>
    </w:p>
    <w:p w:rsidR="005A148C" w:rsidP="00510D93" w:rsidRDefault="002C7FE9" w14:paraId="75F77C4C" w14:textId="7C988049">
      <w:pPr>
        <w:pStyle w:val="Heading1"/>
      </w:pPr>
      <w:bookmarkStart w:name="_Toc224746101" w:id="7"/>
      <w:bookmarkStart w:name="_Toc228945613" w:id="8"/>
      <w:r w:rsidRPr="00121089">
        <w:lastRenderedPageBreak/>
        <w:t>Background</w:t>
      </w:r>
      <w:bookmarkEnd w:id="6"/>
      <w:bookmarkEnd w:id="7"/>
      <w:bookmarkEnd w:id="8"/>
    </w:p>
    <w:p w:rsidR="00432271" w:rsidP="00222FD2" w:rsidRDefault="00165FE4" w14:paraId="4F22F5B6" w14:textId="5201DAA8">
      <w:pPr>
        <w:pStyle w:val="Standard"/>
      </w:pPr>
      <w:r>
        <w:t xml:space="preserve">The Commission adopted </w:t>
      </w:r>
      <w:r w:rsidR="00B46C1C">
        <w:t xml:space="preserve">the </w:t>
      </w:r>
      <w:r>
        <w:t xml:space="preserve">initial </w:t>
      </w:r>
      <w:r w:rsidR="00D32D42">
        <w:t xml:space="preserve">Safety </w:t>
      </w:r>
      <w:r w:rsidR="00B45264">
        <w:t>Model Assessment Proceeding (S</w:t>
      </w:r>
      <w:r w:rsidR="00C26B9E">
        <w:noBreakHyphen/>
      </w:r>
      <w:r w:rsidR="00B45264">
        <w:t>MAP)</w:t>
      </w:r>
      <w:r w:rsidR="00D32D42">
        <w:t>,</w:t>
      </w:r>
      <w:r w:rsidR="00B45264">
        <w:t xml:space="preserve"> Risk Assessment Mitigation Phase (RAMP), </w:t>
      </w:r>
      <w:r w:rsidR="00D32D42">
        <w:t xml:space="preserve">and </w:t>
      </w:r>
      <w:r w:rsidR="00B45264">
        <w:t xml:space="preserve">Risk Spending Accountability Reports (RSAR) </w:t>
      </w:r>
      <w:r w:rsidR="00860657">
        <w:t xml:space="preserve">requirements </w:t>
      </w:r>
      <w:r w:rsidR="001B4FF6">
        <w:t>in Decision (D.)</w:t>
      </w:r>
      <w:r w:rsidR="00FA2D2B">
        <w:t> </w:t>
      </w:r>
      <w:r w:rsidR="001B4FF6">
        <w:t>14</w:t>
      </w:r>
      <w:r w:rsidR="00C26B9E">
        <w:noBreakHyphen/>
      </w:r>
      <w:r w:rsidR="001B4FF6">
        <w:t>12</w:t>
      </w:r>
      <w:r w:rsidR="00C26B9E">
        <w:noBreakHyphen/>
      </w:r>
      <w:r w:rsidR="001B4FF6">
        <w:t xml:space="preserve">025 </w:t>
      </w:r>
      <w:r w:rsidR="00B44442">
        <w:t xml:space="preserve">in </w:t>
      </w:r>
      <w:r w:rsidR="00860657">
        <w:t xml:space="preserve">Rulemaking </w:t>
      </w:r>
      <w:r>
        <w:t>(R.)</w:t>
      </w:r>
      <w:r w:rsidR="00FA2D2B">
        <w:t> </w:t>
      </w:r>
      <w:r>
        <w:t>13</w:t>
      </w:r>
      <w:r w:rsidR="00C26B9E">
        <w:noBreakHyphen/>
      </w:r>
      <w:r>
        <w:t>11</w:t>
      </w:r>
      <w:r w:rsidR="00C26B9E">
        <w:noBreakHyphen/>
      </w:r>
      <w:r>
        <w:t>006</w:t>
      </w:r>
      <w:r w:rsidR="00B46C1C">
        <w:t>,</w:t>
      </w:r>
      <w:r>
        <w:t xml:space="preserve"> </w:t>
      </w:r>
      <w:r w:rsidRPr="00CE43D1" w:rsidR="00997E36">
        <w:rPr>
          <w:i/>
          <w:iCs/>
        </w:rPr>
        <w:t>Rulemaking to</w:t>
      </w:r>
      <w:r>
        <w:t xml:space="preserve"> </w:t>
      </w:r>
      <w:r w:rsidRPr="74D12532">
        <w:rPr>
          <w:i/>
          <w:iCs/>
        </w:rPr>
        <w:t>Develop a Risk</w:t>
      </w:r>
      <w:r w:rsidR="00C26B9E">
        <w:rPr>
          <w:i/>
          <w:iCs/>
        </w:rPr>
        <w:noBreakHyphen/>
      </w:r>
      <w:r w:rsidRPr="74D12532">
        <w:rPr>
          <w:i/>
          <w:iCs/>
        </w:rPr>
        <w:t>Based Decision</w:t>
      </w:r>
      <w:r w:rsidR="00C26B9E">
        <w:rPr>
          <w:i/>
          <w:iCs/>
        </w:rPr>
        <w:noBreakHyphen/>
      </w:r>
      <w:r w:rsidRPr="74D12532">
        <w:rPr>
          <w:i/>
          <w:iCs/>
        </w:rPr>
        <w:t xml:space="preserve">Making Framework to Evaluate Safety and Reliability Improvements and Revise the General Rate Case Plan for Energy </w:t>
      </w:r>
      <w:r w:rsidRPr="00DC6040">
        <w:rPr>
          <w:i/>
          <w:iCs/>
        </w:rPr>
        <w:t>Utilities</w:t>
      </w:r>
      <w:r w:rsidRPr="0035529F">
        <w:t>.</w:t>
      </w:r>
      <w:r w:rsidR="00EE26DE">
        <w:t xml:space="preserve"> </w:t>
      </w:r>
      <w:r>
        <w:t>The Commission further refined</w:t>
      </w:r>
      <w:r w:rsidR="00EC2E95">
        <w:t xml:space="preserve"> </w:t>
      </w:r>
      <w:r>
        <w:t xml:space="preserve">RAMP and RSAR requirements and adopted </w:t>
      </w:r>
      <w:r w:rsidR="00F24106">
        <w:t>Safety Performance Metrics (</w:t>
      </w:r>
      <w:r>
        <w:t>SPM</w:t>
      </w:r>
      <w:r w:rsidR="00F24106">
        <w:t>)</w:t>
      </w:r>
      <w:r>
        <w:t xml:space="preserve"> report requirements in D.19</w:t>
      </w:r>
      <w:r w:rsidR="00C26B9E">
        <w:noBreakHyphen/>
      </w:r>
      <w:r>
        <w:t>04</w:t>
      </w:r>
      <w:r w:rsidR="00C26B9E">
        <w:noBreakHyphen/>
      </w:r>
      <w:r>
        <w:t xml:space="preserve">020, </w:t>
      </w:r>
      <w:r w:rsidRPr="74D12532">
        <w:rPr>
          <w:i/>
          <w:iCs/>
        </w:rPr>
        <w:t>Phase Two Decision Adopting Risk Spending Accountability Report Requirements and Safety Performance Metrics for Investor</w:t>
      </w:r>
      <w:r w:rsidR="00C26B9E">
        <w:rPr>
          <w:i/>
          <w:iCs/>
        </w:rPr>
        <w:noBreakHyphen/>
      </w:r>
      <w:r w:rsidRPr="74D12532">
        <w:rPr>
          <w:i/>
          <w:iCs/>
        </w:rPr>
        <w:t>Owned Utilities and Adopting a Safety Model Approach for Small and Multijurisdictional Utilities</w:t>
      </w:r>
      <w:r w:rsidR="00B46C1C">
        <w:rPr>
          <w:i/>
          <w:iCs/>
        </w:rPr>
        <w:t>;</w:t>
      </w:r>
      <w:r w:rsidR="002F7461">
        <w:rPr>
          <w:i/>
          <w:iCs/>
        </w:rPr>
        <w:t xml:space="preserve"> </w:t>
      </w:r>
      <w:r w:rsidR="00B46C1C">
        <w:t>and</w:t>
      </w:r>
      <w:r w:rsidR="002F7461">
        <w:t xml:space="preserve"> Application (A.)</w:t>
      </w:r>
      <w:r w:rsidR="009C21CB">
        <w:t> </w:t>
      </w:r>
      <w:r w:rsidR="002F7461">
        <w:t>15</w:t>
      </w:r>
      <w:r w:rsidR="00C26B9E">
        <w:noBreakHyphen/>
      </w:r>
      <w:r w:rsidR="002F7461">
        <w:t>05</w:t>
      </w:r>
      <w:r w:rsidR="00C26B9E">
        <w:noBreakHyphen/>
      </w:r>
      <w:r w:rsidR="002F7461">
        <w:t>002, et al</w:t>
      </w:r>
      <w:r w:rsidR="009C21CB">
        <w:t>.</w:t>
      </w:r>
      <w:r w:rsidR="002F7461">
        <w:t xml:space="preserve">, </w:t>
      </w:r>
      <w:r w:rsidRPr="74D12532" w:rsidR="002F7461">
        <w:rPr>
          <w:i/>
          <w:iCs/>
        </w:rPr>
        <w:t>the Safety Model Assessment Proceeding</w:t>
      </w:r>
      <w:r>
        <w:t>.</w:t>
      </w:r>
      <w:r w:rsidR="00EE26DE">
        <w:t xml:space="preserve"> </w:t>
      </w:r>
      <w:r>
        <w:t>In D.18</w:t>
      </w:r>
      <w:r w:rsidR="00C26B9E">
        <w:noBreakHyphen/>
      </w:r>
      <w:r>
        <w:t>12</w:t>
      </w:r>
      <w:r w:rsidR="00C26B9E">
        <w:noBreakHyphen/>
      </w:r>
      <w:r>
        <w:t xml:space="preserve">014, </w:t>
      </w:r>
      <w:r w:rsidRPr="74D12532">
        <w:rPr>
          <w:i/>
          <w:iCs/>
        </w:rPr>
        <w:t>Phase Two Decision Adopting Safety Model Assessment Proceeding Settlement Agreement with Modifications</w:t>
      </w:r>
      <w:r>
        <w:t>, the Commission adopted detailed and standardized requirements for a risk</w:t>
      </w:r>
      <w:r w:rsidR="00C26B9E">
        <w:noBreakHyphen/>
      </w:r>
      <w:r>
        <w:t>based decision</w:t>
      </w:r>
      <w:r w:rsidR="00C26B9E">
        <w:noBreakHyphen/>
      </w:r>
      <w:r>
        <w:t>making framework (RDF) for the investor</w:t>
      </w:r>
      <w:r w:rsidR="00C26B9E">
        <w:noBreakHyphen/>
      </w:r>
      <w:r>
        <w:t>owned utilities (</w:t>
      </w:r>
      <w:r w:rsidR="0068521C">
        <w:t>collectively</w:t>
      </w:r>
      <w:r w:rsidR="00494FF9">
        <w:t>,</w:t>
      </w:r>
      <w:r w:rsidR="0068521C">
        <w:t xml:space="preserve"> </w:t>
      </w:r>
      <w:r>
        <w:t>IOUs</w:t>
      </w:r>
      <w:r w:rsidR="0068521C">
        <w:t xml:space="preserve"> or utilities</w:t>
      </w:r>
      <w:r>
        <w:t>). D.18</w:t>
      </w:r>
      <w:r w:rsidR="00C26B9E">
        <w:noBreakHyphen/>
      </w:r>
      <w:r>
        <w:t>12</w:t>
      </w:r>
      <w:r w:rsidR="00C26B9E">
        <w:noBreakHyphen/>
      </w:r>
      <w:r>
        <w:t>014 also reviewed progress on the S</w:t>
      </w:r>
      <w:r w:rsidR="00C26B9E">
        <w:noBreakHyphen/>
      </w:r>
      <w:r>
        <w:t>MAP Long</w:t>
      </w:r>
      <w:r w:rsidR="00C26B9E">
        <w:noBreakHyphen/>
      </w:r>
      <w:r>
        <w:t>Term Roadmap adopted in D.16</w:t>
      </w:r>
      <w:r w:rsidR="00C26B9E">
        <w:noBreakHyphen/>
      </w:r>
      <w:r>
        <w:t>08</w:t>
      </w:r>
      <w:r w:rsidR="00C26B9E">
        <w:noBreakHyphen/>
      </w:r>
      <w:r>
        <w:t xml:space="preserve">018, </w:t>
      </w:r>
      <w:r w:rsidRPr="0035529F">
        <w:rPr>
          <w:i/>
          <w:iCs/>
        </w:rPr>
        <w:t>Interim Decision Adopting the Multi</w:t>
      </w:r>
      <w:r w:rsidR="00C26B9E">
        <w:rPr>
          <w:i/>
          <w:iCs/>
        </w:rPr>
        <w:noBreakHyphen/>
      </w:r>
      <w:r w:rsidRPr="0035529F">
        <w:rPr>
          <w:i/>
          <w:iCs/>
        </w:rPr>
        <w:t>Attribute Approach (or Utility Equivalent Features) and Directing Utilities to Take Steps Towards a More Uniform Risk Management Framework</w:t>
      </w:r>
      <w:r>
        <w:t>.</w:t>
      </w:r>
      <w:r>
        <w:rPr>
          <w:rStyle w:val="FootnoteReference"/>
        </w:rPr>
        <w:footnoteReference w:id="2"/>
      </w:r>
    </w:p>
    <w:p w:rsidR="00683B2C" w:rsidP="004B454C" w:rsidRDefault="00222FD2" w14:paraId="111702B2" w14:textId="6967B8E3">
      <w:pPr>
        <w:pStyle w:val="Standard"/>
      </w:pPr>
      <w:r>
        <w:t>The predecessor of this rulemaking, R.20</w:t>
      </w:r>
      <w:r w:rsidR="00C26B9E">
        <w:noBreakHyphen/>
      </w:r>
      <w:r>
        <w:t>07</w:t>
      </w:r>
      <w:r w:rsidR="00C26B9E">
        <w:noBreakHyphen/>
      </w:r>
      <w:r>
        <w:t>013</w:t>
      </w:r>
      <w:r w:rsidR="00F25061">
        <w:t>,</w:t>
      </w:r>
      <w:r w:rsidR="005E5B81">
        <w:t xml:space="preserve"> </w:t>
      </w:r>
      <w:r w:rsidRPr="00365CD4" w:rsidR="005E5B81">
        <w:rPr>
          <w:i/>
          <w:iCs/>
        </w:rPr>
        <w:t>Rulemaking to Further Develop a Risk</w:t>
      </w:r>
      <w:r w:rsidR="00C26B9E">
        <w:rPr>
          <w:i/>
          <w:iCs/>
        </w:rPr>
        <w:noBreakHyphen/>
      </w:r>
      <w:r w:rsidRPr="00365CD4" w:rsidR="005E5B81">
        <w:rPr>
          <w:i/>
          <w:iCs/>
        </w:rPr>
        <w:t>Based Decision</w:t>
      </w:r>
      <w:r w:rsidR="00C26B9E">
        <w:rPr>
          <w:i/>
          <w:iCs/>
        </w:rPr>
        <w:noBreakHyphen/>
      </w:r>
      <w:r w:rsidRPr="00365CD4" w:rsidR="005E5B81">
        <w:rPr>
          <w:i/>
          <w:iCs/>
        </w:rPr>
        <w:t>Making Framework for Electric and Gas Utilities</w:t>
      </w:r>
      <w:r w:rsidRPr="00C34305" w:rsidR="00B46C1C">
        <w:t>,</w:t>
      </w:r>
      <w:r w:rsidR="00F25061">
        <w:rPr>
          <w:i/>
          <w:iCs/>
        </w:rPr>
        <w:t xml:space="preserve"> </w:t>
      </w:r>
      <w:r w:rsidR="00CE4429">
        <w:t xml:space="preserve">continued the improvements to the </w:t>
      </w:r>
      <w:r w:rsidR="00760049">
        <w:t>RDF</w:t>
      </w:r>
      <w:r w:rsidRPr="005E5B81" w:rsidR="005E5B81">
        <w:t>.</w:t>
      </w:r>
      <w:r w:rsidR="00721F98">
        <w:t xml:space="preserve"> D.</w:t>
      </w:r>
      <w:r w:rsidR="00B21423">
        <w:t>21</w:t>
      </w:r>
      <w:r w:rsidR="00C26B9E">
        <w:noBreakHyphen/>
      </w:r>
      <w:r w:rsidR="00B21423">
        <w:t>11</w:t>
      </w:r>
      <w:r w:rsidR="00C26B9E">
        <w:noBreakHyphen/>
      </w:r>
      <w:r w:rsidR="00B21423">
        <w:t xml:space="preserve">009, </w:t>
      </w:r>
      <w:r w:rsidRPr="00365CD4" w:rsidR="00B21423">
        <w:rPr>
          <w:i/>
          <w:iCs/>
        </w:rPr>
        <w:t xml:space="preserve">Decision Addressing </w:t>
      </w:r>
      <w:r w:rsidR="00DA158A">
        <w:rPr>
          <w:i/>
          <w:iCs/>
        </w:rPr>
        <w:t>Phase </w:t>
      </w:r>
      <w:r w:rsidRPr="00365CD4" w:rsidR="00B21423">
        <w:rPr>
          <w:i/>
          <w:iCs/>
        </w:rPr>
        <w:t>I, Track</w:t>
      </w:r>
      <w:r w:rsidR="00B75821">
        <w:rPr>
          <w:i/>
          <w:iCs/>
        </w:rPr>
        <w:t> </w:t>
      </w:r>
      <w:r w:rsidRPr="00365CD4" w:rsidR="00B21423">
        <w:rPr>
          <w:i/>
          <w:iCs/>
        </w:rPr>
        <w:t>1 and 2 Issues</w:t>
      </w:r>
      <w:r w:rsidR="00B21423">
        <w:t xml:space="preserve">, </w:t>
      </w:r>
      <w:r w:rsidR="00A6392D">
        <w:t>modified the</w:t>
      </w:r>
      <w:r w:rsidRPr="00A6392D" w:rsidR="00A6392D">
        <w:t xml:space="preserve"> </w:t>
      </w:r>
      <w:r w:rsidR="00962465">
        <w:t>SPMs</w:t>
      </w:r>
      <w:r w:rsidRPr="00A6392D" w:rsidR="00A6392D">
        <w:t xml:space="preserve"> adopted in D.19</w:t>
      </w:r>
      <w:r w:rsidR="00C26B9E">
        <w:noBreakHyphen/>
      </w:r>
      <w:r w:rsidRPr="00A6392D" w:rsidR="00A6392D">
        <w:t>04</w:t>
      </w:r>
      <w:r w:rsidR="00C26B9E">
        <w:noBreakHyphen/>
      </w:r>
      <w:r w:rsidRPr="00A6392D" w:rsidR="00A6392D">
        <w:t>020</w:t>
      </w:r>
      <w:r w:rsidR="00E40B1B">
        <w:t xml:space="preserve">, </w:t>
      </w:r>
      <w:r w:rsidR="00B7436B">
        <w:t>direct</w:t>
      </w:r>
      <w:r w:rsidR="000455E0">
        <w:t>ed</w:t>
      </w:r>
      <w:r w:rsidR="00132BBC">
        <w:t xml:space="preserve"> </w:t>
      </w:r>
      <w:r w:rsidR="00132BBC">
        <w:lastRenderedPageBreak/>
        <w:t>Souther</w:t>
      </w:r>
      <w:r w:rsidR="00FC2C2B">
        <w:t>n</w:t>
      </w:r>
      <w:r w:rsidR="00132BBC">
        <w:t xml:space="preserve"> California</w:t>
      </w:r>
      <w:r w:rsidR="00FC2C2B">
        <w:t xml:space="preserve"> Edison</w:t>
      </w:r>
      <w:r w:rsidR="00B75821">
        <w:t xml:space="preserve"> Company</w:t>
      </w:r>
      <w:r w:rsidR="00FC2C2B">
        <w:t xml:space="preserve"> (SCE)</w:t>
      </w:r>
      <w:r w:rsidR="00132BBC">
        <w:t xml:space="preserve"> </w:t>
      </w:r>
      <w:r w:rsidR="00FC2C2B">
        <w:t xml:space="preserve">to test approved </w:t>
      </w:r>
      <w:r w:rsidR="00B7436B">
        <w:t>t</w:t>
      </w:r>
      <w:r w:rsidR="00FC2C2B">
        <w:t xml:space="preserve">ransparency </w:t>
      </w:r>
      <w:r w:rsidR="00B7436B">
        <w:t>g</w:t>
      </w:r>
      <w:r w:rsidR="00FC2C2B">
        <w:t>uidelines</w:t>
      </w:r>
      <w:r w:rsidR="00053548">
        <w:t xml:space="preserve"> in its 2022 RAMP, </w:t>
      </w:r>
      <w:r w:rsidR="003766DA">
        <w:t>adopted a S</w:t>
      </w:r>
      <w:r w:rsidR="00C26B9E">
        <w:noBreakHyphen/>
      </w:r>
      <w:r w:rsidR="003766DA">
        <w:t xml:space="preserve">MAP Revised Lexicon, </w:t>
      </w:r>
      <w:r w:rsidR="00053548">
        <w:t xml:space="preserve">and </w:t>
      </w:r>
      <w:r w:rsidR="000455E0">
        <w:t xml:space="preserve">adopted other minor modifications to the </w:t>
      </w:r>
      <w:r w:rsidR="00871B88">
        <w:t xml:space="preserve">RDF </w:t>
      </w:r>
      <w:r w:rsidRPr="00871B88" w:rsidR="00871B88">
        <w:t>adopted in D.18</w:t>
      </w:r>
      <w:r w:rsidR="00C26B9E">
        <w:noBreakHyphen/>
      </w:r>
      <w:r w:rsidRPr="00871B88" w:rsidR="00871B88">
        <w:t>12</w:t>
      </w:r>
      <w:r w:rsidR="00C26B9E">
        <w:noBreakHyphen/>
      </w:r>
      <w:r w:rsidRPr="00871B88" w:rsidR="00871B88">
        <w:t>014</w:t>
      </w:r>
      <w:r w:rsidR="000455E0">
        <w:t>.</w:t>
      </w:r>
      <w:r w:rsidR="00F47AC5">
        <w:rPr>
          <w:rStyle w:val="FootnoteReference"/>
        </w:rPr>
        <w:footnoteReference w:id="3"/>
      </w:r>
      <w:r w:rsidR="000455E0">
        <w:t xml:space="preserve"> </w:t>
      </w:r>
      <w:r w:rsidR="004B0015">
        <w:t>D.22</w:t>
      </w:r>
      <w:r w:rsidR="00C26B9E">
        <w:noBreakHyphen/>
      </w:r>
      <w:r w:rsidR="004B0015">
        <w:t>10</w:t>
      </w:r>
      <w:r w:rsidR="00C26B9E">
        <w:noBreakHyphen/>
      </w:r>
      <w:r w:rsidR="004B0015">
        <w:t xml:space="preserve">002, </w:t>
      </w:r>
      <w:r w:rsidRPr="00365CD4" w:rsidR="004B0015">
        <w:rPr>
          <w:i/>
          <w:iCs/>
        </w:rPr>
        <w:t xml:space="preserve">Decision Addressing </w:t>
      </w:r>
      <w:r w:rsidR="00DA158A">
        <w:rPr>
          <w:i/>
          <w:iCs/>
        </w:rPr>
        <w:t>Phase </w:t>
      </w:r>
      <w:r w:rsidRPr="00365CD4" w:rsidR="004B0015">
        <w:rPr>
          <w:i/>
          <w:iCs/>
        </w:rPr>
        <w:t xml:space="preserve">I </w:t>
      </w:r>
      <w:r w:rsidR="00915C03">
        <w:rPr>
          <w:i/>
          <w:iCs/>
        </w:rPr>
        <w:t>Tracks </w:t>
      </w:r>
      <w:r w:rsidRPr="00365CD4" w:rsidR="004B0015">
        <w:rPr>
          <w:i/>
          <w:iCs/>
        </w:rPr>
        <w:t>3 and 4 Issues</w:t>
      </w:r>
      <w:r w:rsidR="004B0015">
        <w:t>,</w:t>
      </w:r>
      <w:r w:rsidR="00C043CD">
        <w:t xml:space="preserve"> </w:t>
      </w:r>
      <w:r w:rsidRPr="002F4C9E" w:rsidR="002F4C9E">
        <w:t>refine</w:t>
      </w:r>
      <w:r w:rsidR="002F4C9E">
        <w:t>d</w:t>
      </w:r>
      <w:r w:rsidRPr="002F4C9E" w:rsidR="002F4C9E">
        <w:t xml:space="preserve"> certain reporting requirements for the</w:t>
      </w:r>
      <w:r w:rsidR="00B21423">
        <w:t xml:space="preserve"> </w:t>
      </w:r>
      <w:r w:rsidR="002F4C9E">
        <w:t>RSAR</w:t>
      </w:r>
      <w:r w:rsidR="002361DB">
        <w:t xml:space="preserve"> and</w:t>
      </w:r>
      <w:r w:rsidR="002F4C9E">
        <w:t xml:space="preserve"> </w:t>
      </w:r>
      <w:r w:rsidR="00967D91">
        <w:t>updated requirements for utility</w:t>
      </w:r>
      <w:r w:rsidR="00337A8D">
        <w:t>’</w:t>
      </w:r>
      <w:r w:rsidR="00967D91">
        <w:t xml:space="preserve">s RAMP and </w:t>
      </w:r>
      <w:r w:rsidR="00903E48">
        <w:t xml:space="preserve">subsequent </w:t>
      </w:r>
      <w:r w:rsidR="00915C03">
        <w:t>General Rate Case (</w:t>
      </w:r>
      <w:r w:rsidR="00903E48">
        <w:t>GRC</w:t>
      </w:r>
      <w:r w:rsidR="00915C03">
        <w:t>)</w:t>
      </w:r>
      <w:r w:rsidR="00903E48">
        <w:t xml:space="preserve"> filings</w:t>
      </w:r>
      <w:r w:rsidR="00F9274E">
        <w:t>.</w:t>
      </w:r>
      <w:r w:rsidR="00F9274E">
        <w:rPr>
          <w:rStyle w:val="FootnoteReference"/>
        </w:rPr>
        <w:footnoteReference w:id="4"/>
      </w:r>
      <w:r w:rsidR="00F9274E">
        <w:t xml:space="preserve"> </w:t>
      </w:r>
      <w:r w:rsidR="0080489E">
        <w:t>D.</w:t>
      </w:r>
      <w:r w:rsidR="0011360A">
        <w:t>22</w:t>
      </w:r>
      <w:r w:rsidR="00C26B9E">
        <w:noBreakHyphen/>
      </w:r>
      <w:r w:rsidR="0011360A">
        <w:t>12</w:t>
      </w:r>
      <w:r w:rsidR="00C26B9E">
        <w:noBreakHyphen/>
      </w:r>
      <w:r w:rsidR="0011360A">
        <w:t xml:space="preserve">027, </w:t>
      </w:r>
      <w:r w:rsidR="00DA158A">
        <w:rPr>
          <w:i/>
          <w:iCs/>
        </w:rPr>
        <w:t>Phase </w:t>
      </w:r>
      <w:r w:rsidRPr="00365CD4" w:rsidR="0011360A">
        <w:rPr>
          <w:i/>
          <w:iCs/>
        </w:rPr>
        <w:t>I</w:t>
      </w:r>
      <w:r w:rsidR="0011360A">
        <w:rPr>
          <w:i/>
          <w:iCs/>
        </w:rPr>
        <w:t>I</w:t>
      </w:r>
      <w:r w:rsidRPr="00365CD4" w:rsidR="0011360A">
        <w:rPr>
          <w:i/>
          <w:iCs/>
        </w:rPr>
        <w:t xml:space="preserve"> Decision Adopting Modifications </w:t>
      </w:r>
      <w:r w:rsidR="0011360A">
        <w:rPr>
          <w:i/>
          <w:iCs/>
        </w:rPr>
        <w:t>t</w:t>
      </w:r>
      <w:r w:rsidRPr="00365CD4" w:rsidR="0011360A">
        <w:rPr>
          <w:i/>
          <w:iCs/>
        </w:rPr>
        <w:t xml:space="preserve">o </w:t>
      </w:r>
      <w:r w:rsidR="0011360A">
        <w:rPr>
          <w:i/>
          <w:iCs/>
        </w:rPr>
        <w:t>t</w:t>
      </w:r>
      <w:r w:rsidRPr="00365CD4" w:rsidR="0011360A">
        <w:rPr>
          <w:i/>
          <w:iCs/>
        </w:rPr>
        <w:t>he Risk</w:t>
      </w:r>
      <w:r w:rsidR="00C26B9E">
        <w:rPr>
          <w:i/>
          <w:iCs/>
        </w:rPr>
        <w:noBreakHyphen/>
      </w:r>
      <w:r w:rsidRPr="00365CD4" w:rsidR="0011360A">
        <w:rPr>
          <w:i/>
          <w:iCs/>
        </w:rPr>
        <w:t>Based Decision</w:t>
      </w:r>
      <w:r w:rsidR="00C26B9E">
        <w:rPr>
          <w:i/>
          <w:iCs/>
        </w:rPr>
        <w:noBreakHyphen/>
      </w:r>
      <w:r w:rsidRPr="00365CD4" w:rsidR="0011360A">
        <w:rPr>
          <w:i/>
          <w:iCs/>
        </w:rPr>
        <w:t xml:space="preserve">Making Framework Adopted </w:t>
      </w:r>
      <w:r w:rsidR="0011360A">
        <w:rPr>
          <w:i/>
          <w:iCs/>
        </w:rPr>
        <w:t>i</w:t>
      </w:r>
      <w:r w:rsidRPr="00365CD4" w:rsidR="0011360A">
        <w:rPr>
          <w:i/>
          <w:iCs/>
        </w:rPr>
        <w:t>n Decision</w:t>
      </w:r>
      <w:r w:rsidR="004160A0">
        <w:rPr>
          <w:i/>
          <w:iCs/>
        </w:rPr>
        <w:t> </w:t>
      </w:r>
      <w:r w:rsidRPr="00365CD4" w:rsidR="0011360A">
        <w:rPr>
          <w:i/>
          <w:iCs/>
        </w:rPr>
        <w:t>18</w:t>
      </w:r>
      <w:r w:rsidR="00C26B9E">
        <w:rPr>
          <w:i/>
          <w:iCs/>
        </w:rPr>
        <w:noBreakHyphen/>
      </w:r>
      <w:r w:rsidRPr="00365CD4" w:rsidR="0011360A">
        <w:rPr>
          <w:i/>
          <w:iCs/>
        </w:rPr>
        <w:t>12</w:t>
      </w:r>
      <w:r w:rsidR="00C26B9E">
        <w:rPr>
          <w:i/>
          <w:iCs/>
        </w:rPr>
        <w:noBreakHyphen/>
      </w:r>
      <w:r w:rsidRPr="00365CD4" w:rsidR="0011360A">
        <w:rPr>
          <w:i/>
          <w:iCs/>
        </w:rPr>
        <w:t xml:space="preserve">014 </w:t>
      </w:r>
      <w:r w:rsidR="0011360A">
        <w:rPr>
          <w:i/>
          <w:iCs/>
        </w:rPr>
        <w:t>a</w:t>
      </w:r>
      <w:r w:rsidRPr="00365CD4" w:rsidR="0011360A">
        <w:rPr>
          <w:i/>
          <w:iCs/>
        </w:rPr>
        <w:t xml:space="preserve">nd Directing Environmental </w:t>
      </w:r>
      <w:r w:rsidR="004160A0">
        <w:rPr>
          <w:i/>
          <w:iCs/>
        </w:rPr>
        <w:t>and</w:t>
      </w:r>
      <w:r w:rsidRPr="00365CD4" w:rsidR="0011360A">
        <w:rPr>
          <w:i/>
          <w:iCs/>
        </w:rPr>
        <w:t xml:space="preserve"> Social Justice Pilots</w:t>
      </w:r>
      <w:r w:rsidR="0011360A">
        <w:t>,</w:t>
      </w:r>
      <w:r w:rsidR="00DC147D">
        <w:t xml:space="preserve"> </w:t>
      </w:r>
      <w:r w:rsidRPr="00DC147D" w:rsidR="00DC147D">
        <w:t>replace</w:t>
      </w:r>
      <w:r w:rsidR="00E235CB">
        <w:t>d</w:t>
      </w:r>
      <w:r w:rsidRPr="00DC147D" w:rsidR="00DC147D">
        <w:t xml:space="preserve"> the </w:t>
      </w:r>
      <w:r w:rsidR="00337A8D">
        <w:t>“</w:t>
      </w:r>
      <w:r w:rsidRPr="00DC147D" w:rsidR="00DC147D">
        <w:t>Multi</w:t>
      </w:r>
      <w:r w:rsidR="00C26B9E">
        <w:noBreakHyphen/>
      </w:r>
      <w:r w:rsidRPr="00DC147D" w:rsidR="00DC147D">
        <w:t>Attribute Value Function</w:t>
      </w:r>
      <w:r w:rsidR="00337A8D">
        <w:t>”</w:t>
      </w:r>
      <w:r w:rsidRPr="00DC147D" w:rsidR="00DC147D">
        <w:t xml:space="preserve"> adopted in D.18</w:t>
      </w:r>
      <w:r w:rsidR="00C26B9E">
        <w:noBreakHyphen/>
      </w:r>
      <w:r w:rsidRPr="00DC147D" w:rsidR="00DC147D">
        <w:t>12</w:t>
      </w:r>
      <w:r w:rsidR="00C26B9E">
        <w:noBreakHyphen/>
      </w:r>
      <w:r w:rsidRPr="00DC147D" w:rsidR="00DC147D">
        <w:t>014 with a Cost</w:t>
      </w:r>
      <w:r w:rsidR="00C26B9E">
        <w:noBreakHyphen/>
      </w:r>
      <w:r w:rsidRPr="00DC147D" w:rsidR="00DC147D">
        <w:t xml:space="preserve">Benefit Approach that includes standardized dollar valuations of Safety, Electric </w:t>
      </w:r>
      <w:r w:rsidRPr="00F66FE9" w:rsidR="00DC147D">
        <w:t>Reliability and Gas Reliability Consequences from Risk Events</w:t>
      </w:r>
      <w:r w:rsidRPr="00F66FE9" w:rsidR="00311918">
        <w:t>, and direct</w:t>
      </w:r>
      <w:r w:rsidRPr="00F66FE9" w:rsidR="009A6461">
        <w:t>ed</w:t>
      </w:r>
      <w:r w:rsidRPr="00F66FE9" w:rsidR="00311918">
        <w:t xml:space="preserve"> the IOUs to undertake Environmental and Social Justice Pilots</w:t>
      </w:r>
      <w:r w:rsidRPr="00F66FE9" w:rsidR="006423D4">
        <w:t xml:space="preserve"> (ESJ Pilots).</w:t>
      </w:r>
      <w:r w:rsidRPr="00F66FE9" w:rsidR="006423D4">
        <w:rPr>
          <w:rStyle w:val="FootnoteReference"/>
        </w:rPr>
        <w:footnoteReference w:id="5"/>
      </w:r>
      <w:r w:rsidR="00B27163">
        <w:t xml:space="preserve"> D.24</w:t>
      </w:r>
      <w:r w:rsidR="00C26B9E">
        <w:noBreakHyphen/>
      </w:r>
      <w:r w:rsidR="00B27163">
        <w:t>05</w:t>
      </w:r>
      <w:r w:rsidR="00C26B9E">
        <w:noBreakHyphen/>
      </w:r>
      <w:r w:rsidR="00B27163">
        <w:t xml:space="preserve">064, </w:t>
      </w:r>
      <w:r w:rsidR="00DA158A">
        <w:rPr>
          <w:i/>
          <w:iCs/>
        </w:rPr>
        <w:t>Phase </w:t>
      </w:r>
      <w:r w:rsidRPr="00365CD4" w:rsidR="00B27163">
        <w:rPr>
          <w:i/>
          <w:iCs/>
        </w:rPr>
        <w:t>3 Decision</w:t>
      </w:r>
      <w:r w:rsidR="00B27163">
        <w:t>,</w:t>
      </w:r>
      <w:r w:rsidR="00B52414">
        <w:t xml:space="preserve"> </w:t>
      </w:r>
      <w:r w:rsidR="00472678">
        <w:t>modifie</w:t>
      </w:r>
      <w:r w:rsidR="00973FB9">
        <w:t>d</w:t>
      </w:r>
      <w:r w:rsidR="00472678">
        <w:t xml:space="preserve"> D.22</w:t>
      </w:r>
      <w:r w:rsidR="00C26B9E">
        <w:noBreakHyphen/>
      </w:r>
      <w:r w:rsidR="00472678">
        <w:t>12</w:t>
      </w:r>
      <w:r w:rsidR="00C26B9E">
        <w:noBreakHyphen/>
      </w:r>
      <w:r w:rsidR="00472678">
        <w:t xml:space="preserve">007 and </w:t>
      </w:r>
      <w:r w:rsidR="00B52414">
        <w:t>require</w:t>
      </w:r>
      <w:r w:rsidR="00973FB9">
        <w:t>d</w:t>
      </w:r>
      <w:r w:rsidR="00B52414">
        <w:t xml:space="preserve"> the IOUs </w:t>
      </w:r>
      <w:r w:rsidR="003A745D">
        <w:t xml:space="preserve">to present </w:t>
      </w:r>
      <w:r w:rsidR="00F6617B">
        <w:t>benefit</w:t>
      </w:r>
      <w:r w:rsidR="00C26B9E">
        <w:noBreakHyphen/>
      </w:r>
      <w:r w:rsidR="00F6617B">
        <w:t>cost</w:t>
      </w:r>
      <w:r w:rsidR="003A745D">
        <w:t xml:space="preserve"> ratios (</w:t>
      </w:r>
      <w:r w:rsidR="00F6617B">
        <w:t>BCR</w:t>
      </w:r>
      <w:r w:rsidR="003A745D">
        <w:t>)</w:t>
      </w:r>
      <w:r w:rsidR="00113F3D">
        <w:rPr>
          <w:rStyle w:val="FootnoteReference"/>
        </w:rPr>
        <w:footnoteReference w:id="6"/>
      </w:r>
      <w:r w:rsidR="003A745D">
        <w:t xml:space="preserve"> </w:t>
      </w:r>
      <w:r w:rsidR="00A62A0D">
        <w:t>for each GRC post</w:t>
      </w:r>
      <w:r w:rsidR="00C26B9E">
        <w:noBreakHyphen/>
      </w:r>
      <w:r w:rsidR="00A62A0D">
        <w:t>test year rather tha</w:t>
      </w:r>
      <w:r w:rsidR="000D2DFC">
        <w:t>n an</w:t>
      </w:r>
      <w:r w:rsidR="00A62A0D">
        <w:t xml:space="preserve"> aggregate</w:t>
      </w:r>
      <w:r w:rsidR="00B1282C">
        <w:t xml:space="preserve"> </w:t>
      </w:r>
      <w:r w:rsidR="001A239F">
        <w:t xml:space="preserve">BCR </w:t>
      </w:r>
      <w:r w:rsidR="000D2DFC">
        <w:t>for the entire post</w:t>
      </w:r>
      <w:r w:rsidR="00C26B9E">
        <w:noBreakHyphen/>
      </w:r>
      <w:r w:rsidR="000D2DFC">
        <w:t>test year period</w:t>
      </w:r>
      <w:r w:rsidR="003E5B58">
        <w:t>,</w:t>
      </w:r>
      <w:r w:rsidR="00B1282C">
        <w:t xml:space="preserve"> </w:t>
      </w:r>
      <w:r w:rsidR="008A63F6">
        <w:t>adopt</w:t>
      </w:r>
      <w:r w:rsidR="003E5B58">
        <w:t>ed</w:t>
      </w:r>
      <w:r w:rsidR="008A63F6">
        <w:t xml:space="preserve"> additional require</w:t>
      </w:r>
      <w:r w:rsidR="003E5B58">
        <w:t>ment</w:t>
      </w:r>
      <w:r w:rsidR="008A63F6">
        <w:t xml:space="preserve">s for </w:t>
      </w:r>
      <w:r w:rsidR="001A239F">
        <w:t>BCR</w:t>
      </w:r>
      <w:r w:rsidR="008A63F6">
        <w:t xml:space="preserve"> calculation</w:t>
      </w:r>
      <w:r w:rsidR="00A62A0D">
        <w:t>,</w:t>
      </w:r>
      <w:r w:rsidR="00472678">
        <w:t xml:space="preserve"> modifie</w:t>
      </w:r>
      <w:r w:rsidR="00345E2A">
        <w:t>d</w:t>
      </w:r>
      <w:r w:rsidR="00472678">
        <w:t xml:space="preserve"> the </w:t>
      </w:r>
      <w:r w:rsidRPr="00E638A7" w:rsidR="00E638A7">
        <w:t>Transparency Pilot Guidelines appended to D.21</w:t>
      </w:r>
      <w:r w:rsidR="00C26B9E">
        <w:noBreakHyphen/>
      </w:r>
      <w:r w:rsidRPr="00E638A7" w:rsidR="00E638A7">
        <w:t>11</w:t>
      </w:r>
      <w:r w:rsidR="00C26B9E">
        <w:noBreakHyphen/>
      </w:r>
      <w:r w:rsidRPr="00E638A7" w:rsidR="00E638A7">
        <w:t>009</w:t>
      </w:r>
      <w:r w:rsidR="001959B4">
        <w:t>, i</w:t>
      </w:r>
      <w:r w:rsidRPr="001959B4" w:rsidR="001959B4">
        <w:t>dentifie</w:t>
      </w:r>
      <w:r w:rsidR="006D5BBE">
        <w:t>d</w:t>
      </w:r>
      <w:r w:rsidRPr="001959B4" w:rsidR="001959B4">
        <w:t xml:space="preserve"> best practices for tranche granularity when implementing the RDF</w:t>
      </w:r>
      <w:r w:rsidR="00AD1A08">
        <w:t>, m</w:t>
      </w:r>
      <w:r w:rsidRPr="00AD1A08" w:rsidR="00AD1A08">
        <w:t>odifie</w:t>
      </w:r>
      <w:r w:rsidR="00A4643C">
        <w:t>d</w:t>
      </w:r>
      <w:r w:rsidRPr="00AD1A08" w:rsidR="00AD1A08">
        <w:t xml:space="preserve"> the risk scaling requirements of the RDF</w:t>
      </w:r>
      <w:r w:rsidR="00AD1A08">
        <w:t xml:space="preserve">, </w:t>
      </w:r>
      <w:r w:rsidR="00B46C1C">
        <w:t xml:space="preserve">and </w:t>
      </w:r>
      <w:r w:rsidR="005E26AD">
        <w:t>direct</w:t>
      </w:r>
      <w:r w:rsidR="003C7D6A">
        <w:t>ed</w:t>
      </w:r>
      <w:r w:rsidR="005E26AD">
        <w:t xml:space="preserve"> the IOUs to test </w:t>
      </w:r>
      <w:r w:rsidR="00524D60">
        <w:t xml:space="preserve">integration </w:t>
      </w:r>
      <w:r w:rsidR="00D35C80">
        <w:t>of climate</w:t>
      </w:r>
      <w:r w:rsidR="00C26B9E">
        <w:noBreakHyphen/>
      </w:r>
      <w:r w:rsidR="00D35C80">
        <w:t>based data into the RDF</w:t>
      </w:r>
      <w:r w:rsidR="003D620F">
        <w:t>. D.25</w:t>
      </w:r>
      <w:r w:rsidR="00C26B9E">
        <w:noBreakHyphen/>
      </w:r>
      <w:r w:rsidR="003D620F">
        <w:t>08</w:t>
      </w:r>
      <w:r w:rsidR="00C26B9E">
        <w:noBreakHyphen/>
      </w:r>
      <w:r w:rsidR="003D620F">
        <w:t xml:space="preserve">032, </w:t>
      </w:r>
      <w:r w:rsidR="00DA158A">
        <w:rPr>
          <w:i/>
          <w:iCs/>
        </w:rPr>
        <w:t>Phase </w:t>
      </w:r>
      <w:r w:rsidRPr="00365CD4" w:rsidR="003D620F">
        <w:rPr>
          <w:i/>
          <w:iCs/>
        </w:rPr>
        <w:t>4 Decision</w:t>
      </w:r>
      <w:r w:rsidR="003D620F">
        <w:t xml:space="preserve">, </w:t>
      </w:r>
      <w:r w:rsidR="006668DA">
        <w:t>adopt</w:t>
      </w:r>
      <w:r w:rsidR="00D8422A">
        <w:t>ed</w:t>
      </w:r>
      <w:r w:rsidR="006668DA">
        <w:t xml:space="preserve"> several risk related </w:t>
      </w:r>
      <w:r w:rsidR="005C19DD">
        <w:t>requirements to the RDF including</w:t>
      </w:r>
      <w:r w:rsidR="00C6501E">
        <w:t xml:space="preserve"> </w:t>
      </w:r>
      <w:r w:rsidR="005C19DD">
        <w:t xml:space="preserve">representation of Consequence of Risk Event </w:t>
      </w:r>
      <w:r w:rsidR="00674829">
        <w:t xml:space="preserve">as probability </w:t>
      </w:r>
      <w:r w:rsidR="00674829">
        <w:lastRenderedPageBreak/>
        <w:t>distribution, incorpora</w:t>
      </w:r>
      <w:r w:rsidR="002E4B7A">
        <w:t>tion</w:t>
      </w:r>
      <w:r w:rsidR="00674829">
        <w:t xml:space="preserve"> </w:t>
      </w:r>
      <w:r w:rsidR="00ED66CE">
        <w:t xml:space="preserve">of </w:t>
      </w:r>
      <w:r w:rsidR="00674829">
        <w:t>Ov</w:t>
      </w:r>
      <w:r w:rsidR="002E4B7A">
        <w:t>e</w:t>
      </w:r>
      <w:r w:rsidR="00674829">
        <w:t xml:space="preserve">rall </w:t>
      </w:r>
      <w:r w:rsidR="002E4B7A">
        <w:t>R</w:t>
      </w:r>
      <w:r w:rsidR="00674829">
        <w:t>esidual Risk reporting</w:t>
      </w:r>
      <w:r w:rsidR="0033205D">
        <w:t xml:space="preserve">, presentation of optimized risk mitigation portfolios </w:t>
      </w:r>
      <w:r w:rsidR="00C43846">
        <w:t>with utility RAMP filings, and other risk related refinements</w:t>
      </w:r>
      <w:r w:rsidR="00CB2DBB">
        <w:t xml:space="preserve">; </w:t>
      </w:r>
      <w:r w:rsidR="000C2389">
        <w:t xml:space="preserve">however, </w:t>
      </w:r>
      <w:r w:rsidR="00CB6CFC">
        <w:t xml:space="preserve">the decision </w:t>
      </w:r>
      <w:r w:rsidR="00CB2DBB">
        <w:t>decline</w:t>
      </w:r>
      <w:r w:rsidR="00CB6CFC">
        <w:t>d</w:t>
      </w:r>
      <w:r w:rsidR="00CB2DBB">
        <w:t xml:space="preserve"> to adopt a </w:t>
      </w:r>
      <w:r w:rsidR="002E432A">
        <w:t xml:space="preserve">risk tolerance standard </w:t>
      </w:r>
      <w:r w:rsidR="00CB6CFC">
        <w:t>and delegated it to a successor proceeding.</w:t>
      </w:r>
      <w:r w:rsidR="00CB6CFC">
        <w:rPr>
          <w:rStyle w:val="FootnoteReference"/>
        </w:rPr>
        <w:footnoteReference w:id="7"/>
      </w:r>
    </w:p>
    <w:p w:rsidR="00F1138D" w:rsidP="003824F1" w:rsidRDefault="00F1138D" w14:paraId="4CF07BAC" w14:textId="3DEC9BE8">
      <w:pPr>
        <w:pStyle w:val="Heading2"/>
      </w:pPr>
      <w:bookmarkStart w:name="_Toc42863416" w:id="9"/>
      <w:bookmarkStart w:name="_Toc43362491" w:id="10"/>
      <w:bookmarkStart w:name="_Toc224746102" w:id="11"/>
      <w:bookmarkStart w:name="_Toc8123720" w:id="12"/>
      <w:bookmarkStart w:name="_Toc228945614" w:id="13"/>
      <w:r>
        <w:t>Risk</w:t>
      </w:r>
      <w:r w:rsidR="00C26B9E">
        <w:noBreakHyphen/>
      </w:r>
      <w:r>
        <w:t>Based Decision</w:t>
      </w:r>
      <w:r w:rsidR="00C26B9E">
        <w:noBreakHyphen/>
      </w:r>
      <w:r>
        <w:t>Making Framework</w:t>
      </w:r>
      <w:bookmarkEnd w:id="9"/>
      <w:bookmarkEnd w:id="10"/>
      <w:bookmarkEnd w:id="11"/>
      <w:bookmarkEnd w:id="13"/>
    </w:p>
    <w:p w:rsidR="00432271" w:rsidP="00304A8D" w:rsidRDefault="00F1138D" w14:paraId="391ED842" w14:textId="3D6B7EE4">
      <w:pPr>
        <w:pStyle w:val="Standard"/>
      </w:pPr>
      <w:r>
        <w:t xml:space="preserve">The </w:t>
      </w:r>
      <w:r w:rsidR="00C923E9">
        <w:t>latest iteration of the RDF adopted in D.25</w:t>
      </w:r>
      <w:r w:rsidR="00C26B9E">
        <w:noBreakHyphen/>
      </w:r>
      <w:r w:rsidR="00C923E9">
        <w:t>08</w:t>
      </w:r>
      <w:r w:rsidR="00C26B9E">
        <w:noBreakHyphen/>
      </w:r>
      <w:r w:rsidR="00C923E9">
        <w:t xml:space="preserve">032 </w:t>
      </w:r>
      <w:r>
        <w:t xml:space="preserve">sets forth minimum requirements for IOU risk assessment models and the </w:t>
      </w:r>
      <w:r w:rsidR="00EE1362">
        <w:t xml:space="preserve">presentation of the </w:t>
      </w:r>
      <w:r w:rsidRPr="00304A8D" w:rsidR="00EE1362">
        <w:t>results</w:t>
      </w:r>
      <w:r w:rsidR="00EE1362">
        <w:t xml:space="preserve"> of these models in IOU RAMP filings.</w:t>
      </w:r>
      <w:r w:rsidR="00EE1362">
        <w:rPr>
          <w:rStyle w:val="FootnoteReference"/>
        </w:rPr>
        <w:footnoteReference w:id="8"/>
      </w:r>
      <w:r w:rsidR="00EE26DE">
        <w:t xml:space="preserve"> </w:t>
      </w:r>
      <w:r w:rsidR="00EE1362">
        <w:t>In brief</w:t>
      </w:r>
      <w:r w:rsidR="00292150">
        <w:t xml:space="preserve"> and general terms</w:t>
      </w:r>
      <w:r w:rsidR="00EE1362">
        <w:t>, the RDF requires the utilities to:</w:t>
      </w:r>
    </w:p>
    <w:p w:rsidR="00432271" w:rsidP="00B14AE0" w:rsidRDefault="00A07420" w14:paraId="15B42C90" w14:textId="65D9ECE7">
      <w:pPr>
        <w:pStyle w:val="BlockQuoteBullet1"/>
        <w:numPr>
          <w:ilvl w:val="0"/>
          <w:numId w:val="5"/>
        </w:numPr>
        <w:tabs>
          <w:tab w:val="clear" w:pos="360"/>
        </w:tabs>
        <w:ind w:left="1080"/>
      </w:pPr>
      <w:r>
        <w:t>Build Cost</w:t>
      </w:r>
      <w:r w:rsidR="00C26B9E">
        <w:noBreakHyphen/>
      </w:r>
      <w:r>
        <w:t>Benefit Approach</w:t>
      </w:r>
      <w:r w:rsidR="00337A8D">
        <w:t xml:space="preserve">:  </w:t>
      </w:r>
      <w:r w:rsidR="00C27EE8">
        <w:t>T</w:t>
      </w:r>
      <w:r w:rsidR="00583BA7">
        <w:t>his step outlines how</w:t>
      </w:r>
      <w:r w:rsidR="00913328">
        <w:t xml:space="preserve"> to organize </w:t>
      </w:r>
      <w:r w:rsidR="004B7D0E">
        <w:t>and display risk attributes</w:t>
      </w:r>
      <w:r w:rsidR="00D07BBE">
        <w:t xml:space="preserve"> or proxy attributes</w:t>
      </w:r>
      <w:r w:rsidR="002777C7">
        <w:t xml:space="preserve">, or reasons why a utility would </w:t>
      </w:r>
      <w:r w:rsidR="009D338D">
        <w:t xml:space="preserve">undertake a mitigation, </w:t>
      </w:r>
      <w:r w:rsidR="00DB195A">
        <w:t>that are measurable and can be monetized</w:t>
      </w:r>
      <w:r w:rsidR="00A24115">
        <w:t xml:space="preserve">, as well as how to apply scaling functions to express different </w:t>
      </w:r>
      <w:r w:rsidR="00C5080B">
        <w:t>attitudes towards risks (</w:t>
      </w:r>
      <w:r w:rsidR="00882DE0">
        <w:t>more or less risk</w:t>
      </w:r>
      <w:r w:rsidR="002E5C44">
        <w:t xml:space="preserve"> averse).</w:t>
      </w:r>
    </w:p>
    <w:p w:rsidR="00432271" w:rsidP="00B14AE0" w:rsidRDefault="00A07420" w14:paraId="7129A1E5" w14:textId="762DBD36">
      <w:pPr>
        <w:pStyle w:val="BlockQuoteBullet1"/>
        <w:numPr>
          <w:ilvl w:val="0"/>
          <w:numId w:val="5"/>
        </w:numPr>
        <w:tabs>
          <w:tab w:val="clear" w:pos="360"/>
        </w:tabs>
        <w:ind w:left="1080"/>
      </w:pPr>
      <w:r>
        <w:t>Identify Risks for the Enterprise Risk Register</w:t>
      </w:r>
      <w:r w:rsidR="00791705">
        <w:t xml:space="preserve"> (ERR)</w:t>
      </w:r>
      <w:r w:rsidR="00337A8D">
        <w:t xml:space="preserve">: </w:t>
      </w:r>
      <w:r w:rsidR="00C27EE8">
        <w:t>T</w:t>
      </w:r>
      <w:r w:rsidR="00A76A81">
        <w:t xml:space="preserve">his step identifies the risks that </w:t>
      </w:r>
      <w:r w:rsidR="00381B86">
        <w:t xml:space="preserve">a utility may face </w:t>
      </w:r>
      <w:r w:rsidR="0017219A">
        <w:t xml:space="preserve">and is the starting point </w:t>
      </w:r>
      <w:r w:rsidR="004F04AE">
        <w:t xml:space="preserve">for identifying risks to </w:t>
      </w:r>
      <w:r w:rsidR="00EA53D7">
        <w:t>be</w:t>
      </w:r>
      <w:r w:rsidR="004F04AE">
        <w:t xml:space="preserve"> included in the RAMP filing</w:t>
      </w:r>
      <w:r w:rsidR="0051485D">
        <w:t>.</w:t>
      </w:r>
    </w:p>
    <w:p w:rsidR="00432271" w:rsidP="00B14AE0" w:rsidRDefault="008B0334" w14:paraId="4F356F51" w14:textId="29CC34DC">
      <w:pPr>
        <w:pStyle w:val="BlockQuoteBullet1"/>
        <w:numPr>
          <w:ilvl w:val="0"/>
          <w:numId w:val="5"/>
        </w:numPr>
        <w:tabs>
          <w:tab w:val="clear" w:pos="360"/>
        </w:tabs>
        <w:ind w:left="1080"/>
      </w:pPr>
      <w:r>
        <w:t xml:space="preserve">Prepare the </w:t>
      </w:r>
      <w:r w:rsidR="00302006">
        <w:t xml:space="preserve">Risk Assessment and Risk </w:t>
      </w:r>
      <w:r w:rsidR="0051485D">
        <w:t>R</w:t>
      </w:r>
      <w:r w:rsidR="00302006">
        <w:t>anking for RAMP</w:t>
      </w:r>
      <w:r w:rsidR="00337A8D">
        <w:t xml:space="preserve">: </w:t>
      </w:r>
      <w:r w:rsidR="00C27EE8">
        <w:t>U</w:t>
      </w:r>
      <w:r w:rsidR="004B4559">
        <w:t>sing the cost</w:t>
      </w:r>
      <w:r w:rsidR="00C26B9E">
        <w:noBreakHyphen/>
      </w:r>
      <w:r w:rsidR="004B4559">
        <w:t xml:space="preserve">benefit </w:t>
      </w:r>
      <w:r w:rsidR="00C03AEC">
        <w:t>approach,</w:t>
      </w:r>
      <w:r w:rsidR="004B4559">
        <w:t xml:space="preserve"> </w:t>
      </w:r>
      <w:r w:rsidR="00791705">
        <w:t>the utility will rank the risks included in the ERR</w:t>
      </w:r>
      <w:r w:rsidR="009A0F85">
        <w:t xml:space="preserve"> and </w:t>
      </w:r>
      <w:r w:rsidR="00CE2774">
        <w:t xml:space="preserve">will identify the top 40% risks with a </w:t>
      </w:r>
      <w:r w:rsidR="0096534E">
        <w:t>s</w:t>
      </w:r>
      <w:r w:rsidR="00CE2774">
        <w:t xml:space="preserve">afety </w:t>
      </w:r>
      <w:r w:rsidR="0096534E">
        <w:t>r</w:t>
      </w:r>
      <w:r w:rsidR="00CE2774">
        <w:t xml:space="preserve">isk </w:t>
      </w:r>
      <w:r w:rsidR="0096534E">
        <w:t>v</w:t>
      </w:r>
      <w:r w:rsidR="00CE2774">
        <w:t>alue greater than zero dollars</w:t>
      </w:r>
      <w:r w:rsidR="001A7809">
        <w:t>,</w:t>
      </w:r>
      <w:r w:rsidR="00997913">
        <w:t xml:space="preserve"> </w:t>
      </w:r>
      <w:r w:rsidRPr="00A609A2" w:rsidR="00A609A2">
        <w:t xml:space="preserve">compute a monetized </w:t>
      </w:r>
      <w:r w:rsidR="007B4F2E">
        <w:t>r</w:t>
      </w:r>
      <w:r w:rsidRPr="00A609A2" w:rsidR="00A609A2">
        <w:t xml:space="preserve">isk </w:t>
      </w:r>
      <w:r w:rsidR="007B4F2E">
        <w:t>v</w:t>
      </w:r>
      <w:r w:rsidRPr="00A609A2" w:rsidR="00A609A2">
        <w:t>alue</w:t>
      </w:r>
      <w:r w:rsidR="007B4F2E">
        <w:t>,</w:t>
      </w:r>
      <w:r w:rsidR="00DA276F">
        <w:t xml:space="preserve"> and finally identify the consequences </w:t>
      </w:r>
      <w:r w:rsidR="00073843">
        <w:t>and frequency of each risk event</w:t>
      </w:r>
      <w:r w:rsidR="00CE2774">
        <w:t>.</w:t>
      </w:r>
      <w:r w:rsidR="00073843">
        <w:rPr>
          <w:rStyle w:val="FootnoteReference"/>
        </w:rPr>
        <w:footnoteReference w:id="9"/>
      </w:r>
    </w:p>
    <w:p w:rsidR="00302006" w:rsidP="00B14AE0" w:rsidRDefault="00302006" w14:paraId="2BB0BC26" w14:textId="4A80E81C">
      <w:pPr>
        <w:pStyle w:val="BlockQuoteBullet1"/>
        <w:numPr>
          <w:ilvl w:val="0"/>
          <w:numId w:val="5"/>
        </w:numPr>
        <w:tabs>
          <w:tab w:val="clear" w:pos="360"/>
        </w:tabs>
        <w:ind w:left="1080"/>
      </w:pPr>
      <w:r>
        <w:t>Select Enterprise Risks for RAMP</w:t>
      </w:r>
      <w:r w:rsidR="00337A8D">
        <w:t xml:space="preserve">: </w:t>
      </w:r>
      <w:r w:rsidR="00C27EE8">
        <w:t>T</w:t>
      </w:r>
      <w:r w:rsidR="00FF5726">
        <w:t xml:space="preserve">he </w:t>
      </w:r>
      <w:r w:rsidR="00BD37B6">
        <w:t>analysis performed in the previous step</w:t>
      </w:r>
      <w:r w:rsidR="0042374F">
        <w:t xml:space="preserve"> will inform</w:t>
      </w:r>
      <w:r w:rsidR="00B6025E">
        <w:t xml:space="preserve"> a preliminary selection of </w:t>
      </w:r>
      <w:r w:rsidR="00B6025E">
        <w:lastRenderedPageBreak/>
        <w:t xml:space="preserve">risks </w:t>
      </w:r>
      <w:r w:rsidR="00A03199">
        <w:t xml:space="preserve">which the utility will present </w:t>
      </w:r>
      <w:r w:rsidR="00B6025E">
        <w:t>to stakeholders</w:t>
      </w:r>
      <w:r w:rsidR="00B04968">
        <w:t xml:space="preserve">, including </w:t>
      </w:r>
      <w:r w:rsidR="00B46C1C">
        <w:t xml:space="preserve">Commission </w:t>
      </w:r>
      <w:r w:rsidR="00B04968">
        <w:t>staff,</w:t>
      </w:r>
      <w:r w:rsidR="00B6025E">
        <w:t xml:space="preserve"> </w:t>
      </w:r>
      <w:r w:rsidR="00C94F4A">
        <w:t>in</w:t>
      </w:r>
      <w:r w:rsidR="00B6025E">
        <w:t xml:space="preserve"> a publicly noticed </w:t>
      </w:r>
      <w:r w:rsidR="00B04968">
        <w:t>workshop</w:t>
      </w:r>
      <w:r w:rsidR="00200A71">
        <w:t xml:space="preserve">. Based on feedback received, </w:t>
      </w:r>
      <w:r w:rsidRPr="00200A71" w:rsidR="00200A71">
        <w:t>the utility will make its determination of the final list of risks to be addressed in its RAMP</w:t>
      </w:r>
      <w:r w:rsidR="00D84D2A">
        <w:t>.</w:t>
      </w:r>
    </w:p>
    <w:p w:rsidR="00EE1362" w:rsidP="00B14AE0" w:rsidRDefault="008B0334" w14:paraId="479939F7" w14:textId="4BDC97E4">
      <w:pPr>
        <w:pStyle w:val="BlockQuoteBullet1"/>
        <w:numPr>
          <w:ilvl w:val="0"/>
          <w:numId w:val="5"/>
        </w:numPr>
        <w:tabs>
          <w:tab w:val="clear" w:pos="360"/>
        </w:tabs>
        <w:ind w:left="1080"/>
      </w:pPr>
      <w:r>
        <w:t xml:space="preserve">Analysis of </w:t>
      </w:r>
      <w:r w:rsidR="0056531B">
        <w:t xml:space="preserve">Mitigation </w:t>
      </w:r>
      <w:r>
        <w:t xml:space="preserve"> of</w:t>
      </w:r>
      <w:r w:rsidR="0056531B">
        <w:t xml:space="preserve"> Risks </w:t>
      </w:r>
      <w:r>
        <w:t xml:space="preserve">for the </w:t>
      </w:r>
      <w:r w:rsidR="0056531B">
        <w:t>R</w:t>
      </w:r>
      <w:r w:rsidR="00C27EE8">
        <w:t>AMP</w:t>
      </w:r>
      <w:r w:rsidR="00337A8D">
        <w:t xml:space="preserve">: </w:t>
      </w:r>
      <w:r w:rsidR="00C27EE8">
        <w:t>T</w:t>
      </w:r>
      <w:r w:rsidR="00812C68">
        <w:t>he utility will calculate the level of risk before and after a proposed mitigation is applied</w:t>
      </w:r>
      <w:r w:rsidR="00767A7F">
        <w:t xml:space="preserve"> and</w:t>
      </w:r>
      <w:r w:rsidR="00812C68">
        <w:t xml:space="preserve"> identify all assets and drivers associated with the risk event.</w:t>
      </w:r>
      <w:r w:rsidR="00812C68">
        <w:rPr>
          <w:rStyle w:val="FootnoteReference"/>
        </w:rPr>
        <w:footnoteReference w:id="10"/>
      </w:r>
      <w:r w:rsidR="00812C68">
        <w:t xml:space="preserve"> The utilit</w:t>
      </w:r>
      <w:r w:rsidR="00C27EE8">
        <w:t>y</w:t>
      </w:r>
      <w:r w:rsidR="00812C68">
        <w:t xml:space="preserve"> will then combine assets or systems associated with the event into tranches, identify mitigations for each tranche and calculate the B</w:t>
      </w:r>
      <w:r w:rsidR="007E21F1">
        <w:t>C</w:t>
      </w:r>
      <w:r w:rsidR="00812C68">
        <w:t>R for that tranche of assets.</w:t>
      </w:r>
      <w:r w:rsidR="00812C68">
        <w:rPr>
          <w:rStyle w:val="FootnoteReference"/>
        </w:rPr>
        <w:footnoteReference w:id="11"/>
      </w:r>
      <w:r w:rsidR="00812C68">
        <w:t xml:space="preserve"> The B</w:t>
      </w:r>
      <w:r w:rsidR="007E21F1">
        <w:t>C</w:t>
      </w:r>
      <w:r w:rsidR="00812C68">
        <w:t xml:space="preserve">R is calculated by dividing </w:t>
      </w:r>
      <w:r w:rsidRPr="00936E15" w:rsidR="00812C68">
        <w:t xml:space="preserve">the dollar value of </w:t>
      </w:r>
      <w:r w:rsidR="00812C68">
        <w:t>m</w:t>
      </w:r>
      <w:r w:rsidRPr="00936E15" w:rsidR="00812C68">
        <w:t xml:space="preserve">itigation </w:t>
      </w:r>
      <w:r w:rsidR="00812C68">
        <w:t>b</w:t>
      </w:r>
      <w:r w:rsidRPr="00936E15" w:rsidR="00812C68">
        <w:t xml:space="preserve">enefit by the </w:t>
      </w:r>
      <w:r w:rsidR="00812C68">
        <w:t>m</w:t>
      </w:r>
      <w:r w:rsidRPr="00936E15" w:rsidR="00812C68">
        <w:t>itigation cost estimate</w:t>
      </w:r>
      <w:r w:rsidR="00812C68">
        <w:t xml:space="preserve">. </w:t>
      </w:r>
      <w:r w:rsidR="00C27EE8">
        <w:t>Finally, t</w:t>
      </w:r>
      <w:r w:rsidR="00812C68">
        <w:t>he utilit</w:t>
      </w:r>
      <w:r w:rsidR="00C27EE8">
        <w:t>y</w:t>
      </w:r>
      <w:r w:rsidR="00812C68">
        <w:t xml:space="preserve"> will </w:t>
      </w:r>
      <w:r w:rsidR="00557D75">
        <w:t xml:space="preserve">construct </w:t>
      </w:r>
      <w:r w:rsidR="00DE24F7">
        <w:t xml:space="preserve">four optimized enterprise portfolios </w:t>
      </w:r>
      <w:r w:rsidR="00573AEF">
        <w:t>with differing budget scenarios</w:t>
      </w:r>
      <w:r w:rsidR="00FF5726">
        <w:t>,</w:t>
      </w:r>
      <w:r w:rsidR="001E05E3">
        <w:t xml:space="preserve"> each showing the risk mitigation portfolios that result for each enterprise risk </w:t>
      </w:r>
      <w:r w:rsidR="00190EF4">
        <w:t>presented in the RAMP.</w:t>
      </w:r>
    </w:p>
    <w:p w:rsidR="00EE1362" w:rsidP="00EE1362" w:rsidRDefault="00EE1362" w14:paraId="427065B1" w14:textId="1A6F1C9D">
      <w:pPr>
        <w:pStyle w:val="Heading2"/>
      </w:pPr>
      <w:bookmarkStart w:name="_Toc42863417" w:id="14"/>
      <w:bookmarkStart w:name="_Toc43362492" w:id="15"/>
      <w:bookmarkStart w:name="_Toc224746103" w:id="16"/>
      <w:bookmarkStart w:name="_Toc228945615" w:id="17"/>
      <w:r>
        <w:t>Risk Assessment and Mitigation</w:t>
      </w:r>
      <w:r w:rsidR="00011634">
        <w:br/>
      </w:r>
      <w:r>
        <w:t>Phase Proceedings</w:t>
      </w:r>
      <w:bookmarkEnd w:id="14"/>
      <w:bookmarkEnd w:id="15"/>
      <w:bookmarkEnd w:id="16"/>
      <w:bookmarkEnd w:id="17"/>
    </w:p>
    <w:p w:rsidR="00EF13AE" w:rsidP="00C27EE8" w:rsidRDefault="00AC28E6" w14:paraId="76560662" w14:textId="451E92A6">
      <w:pPr>
        <w:pStyle w:val="Standard"/>
      </w:pPr>
      <w:r>
        <w:t xml:space="preserve">The RDF process is the vehicle </w:t>
      </w:r>
      <w:r w:rsidR="006A087D">
        <w:t xml:space="preserve">that sets </w:t>
      </w:r>
      <w:r>
        <w:t>requirements for the RAMP</w:t>
      </w:r>
      <w:r w:rsidR="006A087D">
        <w:t xml:space="preserve"> filing</w:t>
      </w:r>
      <w:r>
        <w:t>.</w:t>
      </w:r>
      <w:r w:rsidR="00C27EE8">
        <w:t xml:space="preserve"> </w:t>
      </w:r>
      <w:r>
        <w:t>The objective of the RAMP is to provide the Commission with an opportunity to verify that a utility appropriately incorporated RDF</w:t>
      </w:r>
      <w:r w:rsidR="000578FD">
        <w:t xml:space="preserve"> direction</w:t>
      </w:r>
      <w:r w:rsidR="00BC5BB6">
        <w:t>.</w:t>
      </w:r>
      <w:r w:rsidR="00EE7519">
        <w:t xml:space="preserve"> </w:t>
      </w:r>
      <w:r w:rsidR="005C00DD">
        <w:t xml:space="preserve">The process is initiated by </w:t>
      </w:r>
      <w:r w:rsidR="001B6016">
        <w:t>the utility</w:t>
      </w:r>
      <w:r w:rsidR="005C00DD">
        <w:t xml:space="preserve"> </w:t>
      </w:r>
      <w:r w:rsidR="00ED3E53">
        <w:t xml:space="preserve">filing </w:t>
      </w:r>
      <w:r w:rsidR="00B26C4F">
        <w:t xml:space="preserve">a </w:t>
      </w:r>
      <w:r w:rsidR="005C00DD">
        <w:t>RAMP</w:t>
      </w:r>
      <w:r w:rsidR="00B26C4F">
        <w:t xml:space="preserve"> application</w:t>
      </w:r>
      <w:r w:rsidR="005C00DD">
        <w:t xml:space="preserve"> </w:t>
      </w:r>
      <w:r w:rsidR="001B6016">
        <w:t>and hosting a</w:t>
      </w:r>
      <w:r w:rsidR="00C802D2">
        <w:t xml:space="preserve"> workshop</w:t>
      </w:r>
      <w:r w:rsidR="005C00DD">
        <w:t xml:space="preserve">. </w:t>
      </w:r>
      <w:r w:rsidR="00C27EE8">
        <w:t xml:space="preserve">Next, </w:t>
      </w:r>
      <w:r w:rsidR="005E2525">
        <w:t xml:space="preserve">Safety </w:t>
      </w:r>
      <w:r w:rsidR="00542896">
        <w:t>Policy Division (</w:t>
      </w:r>
      <w:r w:rsidR="00EE7519">
        <w:t>SPD</w:t>
      </w:r>
      <w:r w:rsidR="00542896">
        <w:t>)</w:t>
      </w:r>
      <w:r w:rsidR="00EE7519">
        <w:t xml:space="preserve"> staff </w:t>
      </w:r>
      <w:r w:rsidR="00C802D2">
        <w:t>issues an</w:t>
      </w:r>
      <w:r w:rsidR="00EE7519">
        <w:t xml:space="preserve"> evaluation on th</w:t>
      </w:r>
      <w:r w:rsidR="00BB7180">
        <w:t>e utility RAMP filing</w:t>
      </w:r>
      <w:r w:rsidR="009125DB">
        <w:t xml:space="preserve"> which is entered into the record of the RAMP proceeding.</w:t>
      </w:r>
      <w:r w:rsidR="00BB7180">
        <w:t xml:space="preserve"> </w:t>
      </w:r>
      <w:r w:rsidR="009125DB">
        <w:t xml:space="preserve">Parties </w:t>
      </w:r>
      <w:r w:rsidR="00145A8F">
        <w:t>have an opportunity to</w:t>
      </w:r>
      <w:r w:rsidRPr="00054BB2">
        <w:t xml:space="preserve"> suggest modifications to a utility</w:t>
      </w:r>
      <w:r w:rsidR="00337A8D">
        <w:t>’</w:t>
      </w:r>
      <w:r w:rsidRPr="00054BB2">
        <w:t xml:space="preserve">s proposed safety approach </w:t>
      </w:r>
      <w:r w:rsidRPr="00054BB2">
        <w:lastRenderedPageBreak/>
        <w:t>before that approach and</w:t>
      </w:r>
      <w:r>
        <w:t xml:space="preserve"> </w:t>
      </w:r>
      <w:r w:rsidRPr="00054BB2">
        <w:t xml:space="preserve">related funding authorization requests are considered in the </w:t>
      </w:r>
      <w:r w:rsidRPr="00F24E02">
        <w:t>utility</w:t>
      </w:r>
      <w:r w:rsidR="00337A8D">
        <w:t>’</w:t>
      </w:r>
      <w:r w:rsidRPr="00F24E02">
        <w:t>s GRC.</w:t>
      </w:r>
      <w:r w:rsidRPr="003824F1" w:rsidR="00A360F7">
        <w:rPr>
          <w:rStyle w:val="FootnoteReference"/>
        </w:rPr>
        <w:footnoteReference w:id="12"/>
      </w:r>
    </w:p>
    <w:p w:rsidR="00432271" w:rsidP="00365CD4" w:rsidRDefault="00120E7C" w14:paraId="20480A1C" w14:textId="2D708E67">
      <w:pPr>
        <w:pStyle w:val="Standard"/>
      </w:pPr>
      <w:r>
        <w:t>D.22</w:t>
      </w:r>
      <w:r w:rsidR="00C26B9E">
        <w:noBreakHyphen/>
      </w:r>
      <w:r>
        <w:t>10</w:t>
      </w:r>
      <w:r w:rsidR="00C26B9E">
        <w:noBreakHyphen/>
      </w:r>
      <w:r>
        <w:t>002 established</w:t>
      </w:r>
      <w:r w:rsidR="00811FB3">
        <w:t xml:space="preserve"> requirements for</w:t>
      </w:r>
      <w:r>
        <w:t xml:space="preserve"> how </w:t>
      </w:r>
      <w:r w:rsidR="0087579B">
        <w:t>utilitie</w:t>
      </w:r>
      <w:r>
        <w:t xml:space="preserve">s </w:t>
      </w:r>
      <w:r w:rsidR="00472DE8">
        <w:t xml:space="preserve">should </w:t>
      </w:r>
      <w:r>
        <w:t xml:space="preserve">reflect in their GRC applications the changes made to their risk model calculations based on recommendations for curing deficiencies identified in the RAMP </w:t>
      </w:r>
      <w:r w:rsidR="00E91DB7">
        <w:t>filings</w:t>
      </w:r>
      <w:r>
        <w:t>.</w:t>
      </w:r>
      <w:r w:rsidR="00257525">
        <w:t xml:space="preserve"> </w:t>
      </w:r>
      <w:r w:rsidR="007036EE">
        <w:t xml:space="preserve">The aim of these combined activities is </w:t>
      </w:r>
      <w:r w:rsidRPr="00082C62" w:rsidR="007036EE">
        <w:t xml:space="preserve">to ensure that </w:t>
      </w:r>
      <w:r w:rsidR="007036EE">
        <w:t xml:space="preserve">the </w:t>
      </w:r>
      <w:r w:rsidRPr="00082C62" w:rsidR="007036EE">
        <w:t>energy utilit</w:t>
      </w:r>
      <w:r w:rsidR="007036EE">
        <w:t xml:space="preserve">ies prioritize </w:t>
      </w:r>
      <w:r w:rsidRPr="00082C62" w:rsidR="007036EE">
        <w:t>safety in their GRC application</w:t>
      </w:r>
      <w:r w:rsidR="007036EE">
        <w:t xml:space="preserve">s consistent with </w:t>
      </w:r>
      <w:r w:rsidR="00EA67EC">
        <w:t xml:space="preserve">Public Utilities </w:t>
      </w:r>
      <w:r w:rsidR="00C27EE8">
        <w:t xml:space="preserve">Code </w:t>
      </w:r>
      <w:r w:rsidR="00EA67EC">
        <w:t>(Pub. Util. Code</w:t>
      </w:r>
      <w:r w:rsidR="00C27EE8">
        <w:t>)</w:t>
      </w:r>
      <w:r w:rsidR="00EA67EC">
        <w:t xml:space="preserve"> </w:t>
      </w:r>
      <w:r w:rsidR="00B33264">
        <w:t>Section </w:t>
      </w:r>
      <w:r w:rsidR="007036EE">
        <w:t>451.</w:t>
      </w:r>
      <w:bookmarkEnd w:id="12"/>
    </w:p>
    <w:p w:rsidR="005B46A3" w:rsidP="00307116" w:rsidRDefault="00307116" w14:paraId="439C299F" w14:textId="1FA1E12C">
      <w:pPr>
        <w:pStyle w:val="Heading2"/>
      </w:pPr>
      <w:bookmarkStart w:name="_Toc224746104" w:id="18"/>
      <w:bookmarkStart w:name="_Toc228945616" w:id="19"/>
      <w:r>
        <w:t>Affordability of Rates</w:t>
      </w:r>
      <w:bookmarkEnd w:id="18"/>
      <w:bookmarkEnd w:id="19"/>
    </w:p>
    <w:p w:rsidR="00A71EEB" w:rsidP="00A71EEB" w:rsidRDefault="00DA57D3" w14:paraId="79B8E958" w14:textId="517E2EFC">
      <w:pPr>
        <w:pStyle w:val="Standard"/>
      </w:pPr>
      <w:r w:rsidRPr="00A95A89">
        <w:t xml:space="preserve">The Commission </w:t>
      </w:r>
      <w:r>
        <w:t xml:space="preserve">is </w:t>
      </w:r>
      <w:r w:rsidRPr="00A95A89">
        <w:t>mandate</w:t>
      </w:r>
      <w:r>
        <w:t>d</w:t>
      </w:r>
      <w:r w:rsidRPr="00A95A89">
        <w:t xml:space="preserve"> to ensure Californians have</w:t>
      </w:r>
      <w:r>
        <w:t xml:space="preserve"> safe, reliable, and</w:t>
      </w:r>
      <w:r w:rsidRPr="00A95A89">
        <w:t xml:space="preserve"> affordable access to energy</w:t>
      </w:r>
      <w:r>
        <w:t>. A</w:t>
      </w:r>
      <w:r w:rsidRPr="00A95A89">
        <w:t xml:space="preserve">ffordability </w:t>
      </w:r>
      <w:r>
        <w:t>is defined as</w:t>
      </w:r>
      <w:r w:rsidRPr="00A95A89">
        <w:t xml:space="preserve"> </w:t>
      </w:r>
      <w:r w:rsidR="00337A8D">
        <w:t>“</w:t>
      </w:r>
      <w:r w:rsidRPr="00A95A89">
        <w:t>the degree to which a representative household is able to pay for an essential utility service charge, given its socioeconomic</w:t>
      </w:r>
      <w:r>
        <w:t xml:space="preserve"> status.</w:t>
      </w:r>
      <w:r w:rsidR="00337A8D">
        <w:t>”</w:t>
      </w:r>
      <w:r>
        <w:rPr>
          <w:rStyle w:val="FootnoteReference"/>
        </w:rPr>
        <w:footnoteReference w:id="13"/>
      </w:r>
    </w:p>
    <w:p w:rsidR="008B0334" w:rsidP="00AE6CBE" w:rsidRDefault="00134E23" w14:paraId="2058166E" w14:textId="098980CB">
      <w:pPr>
        <w:pStyle w:val="Standard"/>
      </w:pPr>
      <w:r>
        <w:t>The</w:t>
      </w:r>
      <w:r w:rsidR="007A1E15">
        <w:t xml:space="preserve"> </w:t>
      </w:r>
      <w:r>
        <w:t xml:space="preserve">2025 Senate Bill </w:t>
      </w:r>
      <w:r w:rsidR="00432271">
        <w:t>(SB) </w:t>
      </w:r>
      <w:r>
        <w:t>695</w:t>
      </w:r>
      <w:r w:rsidR="00C620A0">
        <w:rPr>
          <w:rStyle w:val="FootnoteReference"/>
        </w:rPr>
        <w:footnoteReference w:id="14"/>
      </w:r>
      <w:r>
        <w:t xml:space="preserve"> Report</w:t>
      </w:r>
      <w:r w:rsidR="007561D2">
        <w:t xml:space="preserve"> </w:t>
      </w:r>
      <w:r w:rsidRPr="0035529F" w:rsidR="00DB7608">
        <w:t xml:space="preserve">notes that </w:t>
      </w:r>
      <w:r w:rsidRPr="0035529F" w:rsidR="00735E18">
        <w:t>o</w:t>
      </w:r>
      <w:r w:rsidRPr="0035529F" w:rsidR="00DB7608">
        <w:t>ne of the largest contributors to rate increases is the increase in safety and reliability investments</w:t>
      </w:r>
      <w:r w:rsidR="00DB7608">
        <w:t xml:space="preserve">, </w:t>
      </w:r>
      <w:r w:rsidR="00307A7D">
        <w:t>in particular</w:t>
      </w:r>
      <w:r w:rsidR="00DB7608">
        <w:t xml:space="preserve"> wildfire mitigation.</w:t>
      </w:r>
      <w:r w:rsidR="00C7567E">
        <w:t xml:space="preserve"> Wildfire</w:t>
      </w:r>
      <w:r w:rsidR="00C908EA">
        <w:t>-</w:t>
      </w:r>
      <w:r w:rsidR="00C7567E">
        <w:t>related operational expenses (</w:t>
      </w:r>
      <w:r w:rsidRPr="009C21CB" w:rsidR="009C21CB">
        <w:rPr>
          <w:i/>
          <w:iCs/>
        </w:rPr>
        <w:t>e.g.</w:t>
      </w:r>
      <w:r w:rsidR="009C21CB">
        <w:t xml:space="preserve">, </w:t>
      </w:r>
      <w:r w:rsidR="00C7567E">
        <w:t>vegetation management</w:t>
      </w:r>
      <w:r w:rsidR="00735E18">
        <w:t>)</w:t>
      </w:r>
      <w:r w:rsidR="00C7567E">
        <w:t xml:space="preserve"> and </w:t>
      </w:r>
      <w:r w:rsidRPr="00A63BB8" w:rsidR="00A63BB8">
        <w:t>capital expenditures</w:t>
      </w:r>
      <w:r w:rsidR="00735E18">
        <w:t xml:space="preserve"> </w:t>
      </w:r>
      <w:r w:rsidR="00AA7A6E">
        <w:t>(</w:t>
      </w:r>
      <w:r w:rsidRPr="009C21CB" w:rsidR="009C21CB">
        <w:rPr>
          <w:i/>
          <w:iCs/>
        </w:rPr>
        <w:t>e.g.</w:t>
      </w:r>
      <w:r w:rsidR="009C21CB">
        <w:t xml:space="preserve">, </w:t>
      </w:r>
      <w:r w:rsidRPr="009262A2" w:rsidR="009262A2">
        <w:t>installing covered conductor or undergrounding portions of a distribution system</w:t>
      </w:r>
      <w:r w:rsidR="00AA7A6E">
        <w:t xml:space="preserve">) </w:t>
      </w:r>
      <w:r w:rsidR="00986825">
        <w:t xml:space="preserve">made up 27% of </w:t>
      </w:r>
      <w:r w:rsidRPr="0052498B" w:rsidR="00713148">
        <w:t>Pacific Gas and Electric Company</w:t>
      </w:r>
      <w:r w:rsidR="00713148">
        <w:t>’s (</w:t>
      </w:r>
      <w:r w:rsidR="00986825">
        <w:t>PG&amp;E</w:t>
      </w:r>
      <w:r w:rsidR="00713148">
        <w:t>)</w:t>
      </w:r>
      <w:r w:rsidR="00986825">
        <w:t xml:space="preserve"> and 17% of </w:t>
      </w:r>
      <w:r w:rsidR="004970ED">
        <w:t xml:space="preserve">both </w:t>
      </w:r>
      <w:r w:rsidR="00986825">
        <w:t>SCE</w:t>
      </w:r>
      <w:r w:rsidR="00C908EA">
        <w:t>’s</w:t>
      </w:r>
      <w:r w:rsidR="00986825">
        <w:t xml:space="preserve"> and </w:t>
      </w:r>
      <w:r w:rsidR="00ED2DF3">
        <w:t>San </w:t>
      </w:r>
      <w:r w:rsidRPr="0052498B" w:rsidR="00ED2DF3">
        <w:t>Diego Gas</w:t>
      </w:r>
      <w:r w:rsidR="00ED2DF3">
        <w:t xml:space="preserve"> &amp; </w:t>
      </w:r>
      <w:r w:rsidRPr="0052498B" w:rsidR="00ED2DF3">
        <w:t>Electric Company</w:t>
      </w:r>
      <w:r w:rsidR="00ED2DF3">
        <w:t>’s (</w:t>
      </w:r>
      <w:r w:rsidR="00986825">
        <w:t>SDG&amp;E</w:t>
      </w:r>
      <w:r w:rsidR="00ED2DF3">
        <w:t>)</w:t>
      </w:r>
      <w:r w:rsidR="00986825">
        <w:t xml:space="preserve"> total revenue requirement in 2024</w:t>
      </w:r>
      <w:r w:rsidR="008B0334">
        <w:t xml:space="preserve">. </w:t>
      </w:r>
      <w:r w:rsidR="00C916FF">
        <w:t>In terms of bill impact, w</w:t>
      </w:r>
      <w:r w:rsidR="008B0334">
        <w:t xml:space="preserve">ildfire </w:t>
      </w:r>
      <w:r w:rsidR="00C916FF">
        <w:t xml:space="preserve">mitigation results in about $250 to $490 </w:t>
      </w:r>
      <w:r w:rsidR="00C916FF">
        <w:lastRenderedPageBreak/>
        <w:t xml:space="preserve">annual costs for bundled residential customers. Monthly wildfire mitigation represents </w:t>
      </w:r>
      <w:r w:rsidR="001F53B2">
        <w:t xml:space="preserve">on average </w:t>
      </w:r>
      <w:r w:rsidR="008B0334">
        <w:t xml:space="preserve">19% </w:t>
      </w:r>
      <w:r w:rsidR="00C916FF">
        <w:t>(</w:t>
      </w:r>
      <w:r w:rsidR="008B0334">
        <w:t>PG&amp;E</w:t>
      </w:r>
      <w:r w:rsidR="00C916FF">
        <w:t>)</w:t>
      </w:r>
      <w:r w:rsidR="008B0334">
        <w:t xml:space="preserve">, 17% </w:t>
      </w:r>
      <w:r w:rsidR="00C916FF">
        <w:t>(</w:t>
      </w:r>
      <w:r w:rsidR="008B0334">
        <w:t>SCE</w:t>
      </w:r>
      <w:r w:rsidR="00C916FF">
        <w:t>),</w:t>
      </w:r>
      <w:r w:rsidR="008B0334">
        <w:t xml:space="preserve"> and 14%</w:t>
      </w:r>
      <w:r w:rsidR="00C916FF">
        <w:t xml:space="preserve"> (</w:t>
      </w:r>
      <w:r w:rsidR="008B0334">
        <w:t>SDG&amp;E</w:t>
      </w:r>
      <w:r w:rsidR="00C916FF">
        <w:t xml:space="preserve">) of bundled </w:t>
      </w:r>
      <w:r w:rsidR="00CD0902">
        <w:t xml:space="preserve">residential </w:t>
      </w:r>
      <w:r w:rsidR="00C916FF">
        <w:t xml:space="preserve">bills </w:t>
      </w:r>
      <w:r w:rsidR="008B0334">
        <w:t>as shown in Table</w:t>
      </w:r>
      <w:r w:rsidR="00F5035E">
        <w:t> </w:t>
      </w:r>
      <w:r w:rsidR="008B0334">
        <w:t>1</w:t>
      </w:r>
      <w:r w:rsidR="00CD0902">
        <w:t>.</w:t>
      </w:r>
      <w:r w:rsidR="00CD0902">
        <w:rPr>
          <w:rStyle w:val="FootnoteReference"/>
        </w:rPr>
        <w:footnoteReference w:id="15"/>
      </w:r>
    </w:p>
    <w:p w:rsidR="006B3D73" w:rsidP="00EC20AA" w:rsidRDefault="00431F0F" w14:paraId="5FE0F502" w14:textId="3E350D68">
      <w:pPr>
        <w:pStyle w:val="TableTitleBody"/>
      </w:pPr>
      <w:r w:rsidRPr="00EC20AA">
        <w:t>Table </w:t>
      </w:r>
      <w:r w:rsidRPr="00EC20AA" w:rsidR="006B3D73">
        <w:t>1</w:t>
      </w:r>
      <w:r w:rsidR="008F4C64">
        <w:t xml:space="preserve"> — </w:t>
      </w:r>
      <w:r w:rsidRPr="00EC20AA" w:rsidR="005742B4">
        <w:t>PG&amp;E, SCE, and SDG&amp;E Wildfire</w:t>
      </w:r>
      <w:r w:rsidRPr="00EC20AA" w:rsidR="00C26B9E">
        <w:noBreakHyphen/>
      </w:r>
      <w:r w:rsidRPr="00EC20AA" w:rsidR="005742B4">
        <w:t>Related Portion of Average Monthly Bill, Bundled Residential Non</w:t>
      </w:r>
      <w:r w:rsidRPr="00EC20AA" w:rsidR="00C26B9E">
        <w:noBreakHyphen/>
      </w:r>
      <w:r w:rsidRPr="00EC20AA" w:rsidR="005742B4">
        <w:t>CARE</w:t>
      </w:r>
      <w:r w:rsidRPr="00516C72" w:rsidR="00B7662F">
        <w:rPr>
          <w:rStyle w:val="FootnoteReference"/>
          <w:b w:val="0"/>
          <w:bCs w:val="0"/>
        </w:rPr>
        <w:footnoteReference w:id="16"/>
      </w:r>
      <w:r w:rsidRPr="00EC20AA" w:rsidR="005742B4">
        <w:t xml:space="preserve"> Customers (Year</w:t>
      </w:r>
      <w:r w:rsidRPr="00EC20AA" w:rsidR="00C26B9E">
        <w:noBreakHyphen/>
      </w:r>
      <w:r w:rsidRPr="00EC20AA" w:rsidR="005742B4">
        <w:t>End 2024)</w:t>
      </w:r>
      <w:r w:rsidRPr="00516C72" w:rsidR="00264CA3">
        <w:rPr>
          <w:rStyle w:val="FootnoteReference"/>
          <w:b w:val="0"/>
          <w:bCs w:val="0"/>
        </w:rPr>
        <w:footnoteReference w:id="17"/>
      </w:r>
    </w:p>
    <w:p w:rsidRPr="007C42C9" w:rsidR="009571F5" w:rsidP="00F26128" w:rsidRDefault="009571F5" w14:paraId="4EA7CBC3" w14:textId="437709FB">
      <w:pPr>
        <w:pStyle w:val="Standard"/>
        <w:spacing w:after="120" w:line="240" w:lineRule="auto"/>
        <w:ind w:firstLine="0"/>
        <w:jc w:val="center"/>
      </w:pPr>
      <w:r w:rsidRPr="009571F5">
        <w:rPr>
          <w:noProof/>
        </w:rPr>
        <w:drawing>
          <wp:inline distT="0" distB="0" distL="0" distR="0" wp14:anchorId="48C6BB7F" wp14:editId="28AE61EF">
            <wp:extent cx="5943600" cy="1503680"/>
            <wp:effectExtent l="0" t="0" r="0" b="1270"/>
            <wp:docPr id="1455292761"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292761" name="Picture 1" descr="Table&#10;&#10;AI-generated content may be incorrect."/>
                    <pic:cNvPicPr/>
                  </pic:nvPicPr>
                  <pic:blipFill>
                    <a:blip r:embed="rId15"/>
                    <a:stretch>
                      <a:fillRect/>
                    </a:stretch>
                  </pic:blipFill>
                  <pic:spPr>
                    <a:xfrm>
                      <a:off x="0" y="0"/>
                      <a:ext cx="5943600" cy="1503680"/>
                    </a:xfrm>
                    <a:prstGeom prst="rect">
                      <a:avLst/>
                    </a:prstGeom>
                  </pic:spPr>
                </pic:pic>
              </a:graphicData>
            </a:graphic>
          </wp:inline>
        </w:drawing>
      </w:r>
    </w:p>
    <w:p w:rsidR="00432271" w:rsidP="005550D7" w:rsidRDefault="00652CFC" w14:paraId="1DAB91DC" w14:textId="77777777">
      <w:pPr>
        <w:pStyle w:val="Standard"/>
      </w:pPr>
      <w:r w:rsidRPr="005550D7">
        <w:t>Therefore</w:t>
      </w:r>
      <w:r>
        <w:t>,</w:t>
      </w:r>
      <w:r w:rsidR="00CF1209">
        <w:t xml:space="preserve"> the balance between </w:t>
      </w:r>
      <w:r w:rsidR="004D3518">
        <w:t xml:space="preserve">the level of risk </w:t>
      </w:r>
      <w:r w:rsidR="00AE6CBE">
        <w:t xml:space="preserve">management </w:t>
      </w:r>
      <w:r w:rsidR="004D3518">
        <w:t xml:space="preserve">and </w:t>
      </w:r>
      <w:r w:rsidR="003E1438">
        <w:t xml:space="preserve">rate affordability </w:t>
      </w:r>
      <w:r>
        <w:t>is a priority concern for the Commission.</w:t>
      </w:r>
    </w:p>
    <w:p w:rsidR="0043372A" w:rsidP="004345A5" w:rsidRDefault="003A105E" w14:paraId="08CAFEED" w14:textId="4FFC5090">
      <w:pPr>
        <w:pStyle w:val="Heading2"/>
      </w:pPr>
      <w:bookmarkStart w:name="_Toc224746105" w:id="20"/>
      <w:bookmarkStart w:name="_Toc228945617" w:id="21"/>
      <w:r>
        <w:t xml:space="preserve">Small </w:t>
      </w:r>
      <w:r w:rsidR="00C63C87">
        <w:t xml:space="preserve">and </w:t>
      </w:r>
      <w:r>
        <w:t>Mu</w:t>
      </w:r>
      <w:r w:rsidR="006D7454">
        <w:t>lti</w:t>
      </w:r>
      <w:r w:rsidR="00C26B9E">
        <w:noBreakHyphen/>
      </w:r>
      <w:r>
        <w:t>Jurisdictional</w:t>
      </w:r>
      <w:r w:rsidR="00FA2D2B">
        <w:br/>
      </w:r>
      <w:r>
        <w:t xml:space="preserve">Utilities </w:t>
      </w:r>
      <w:r w:rsidRPr="009C3A18" w:rsidR="009C3A18">
        <w:t>Risk Spending Accountability Reports</w:t>
      </w:r>
      <w:r w:rsidR="00371354">
        <w:t xml:space="preserve"> </w:t>
      </w:r>
      <w:r>
        <w:t>Reporting</w:t>
      </w:r>
      <w:bookmarkEnd w:id="20"/>
      <w:bookmarkEnd w:id="21"/>
    </w:p>
    <w:p w:rsidRPr="003A2249" w:rsidR="00E81DB0" w:rsidP="003A2249" w:rsidRDefault="00BA72EA" w14:paraId="77028306" w14:textId="7090E6DF">
      <w:pPr>
        <w:pStyle w:val="Standard"/>
        <w:keepNext/>
      </w:pPr>
      <w:r>
        <w:t>Pub.</w:t>
      </w:r>
      <w:r w:rsidR="00B33264">
        <w:t> </w:t>
      </w:r>
      <w:r>
        <w:t>Util</w:t>
      </w:r>
      <w:r w:rsidR="00B33264">
        <w:t>.</w:t>
      </w:r>
      <w:r>
        <w:t xml:space="preserve"> Code </w:t>
      </w:r>
      <w:r w:rsidR="00B33264">
        <w:t>Section </w:t>
      </w:r>
      <w:r w:rsidR="00AF14B7">
        <w:t>591(a)</w:t>
      </w:r>
      <w:r w:rsidR="00DD0264">
        <w:t xml:space="preserve"> directs the Commission to</w:t>
      </w:r>
      <w:r w:rsidR="00C908EA">
        <w:t>:</w:t>
      </w:r>
    </w:p>
    <w:p w:rsidR="00AC50C5" w:rsidP="003A2249" w:rsidRDefault="00C908EA" w14:paraId="6FF780FA" w14:textId="6FADEB63">
      <w:pPr>
        <w:pStyle w:val="BlockQuote0"/>
      </w:pPr>
      <w:r>
        <w:t>[R]</w:t>
      </w:r>
      <w:r w:rsidRPr="00DD0264" w:rsidR="00DD0264">
        <w:t>equire an electrical or gas corporation to annually notify the commission, as part of an ongoing proceeding or in a report otherwise required to be submitted to the commission, of each time since that notification was last provided that capital or expense revenue authorized by the commission for maintenance, safety, or reliability was redirected by the electrical or gas corporation to other purposes.</w:t>
      </w:r>
    </w:p>
    <w:p w:rsidR="00432271" w:rsidP="00E14D53" w:rsidRDefault="004E4879" w14:paraId="74B9691D" w14:textId="5D8EF3E0">
      <w:pPr>
        <w:pStyle w:val="Standard"/>
      </w:pPr>
      <w:r w:rsidRPr="004E4879">
        <w:lastRenderedPageBreak/>
        <w:t>D.14</w:t>
      </w:r>
      <w:r w:rsidR="00C26B9E">
        <w:noBreakHyphen/>
      </w:r>
      <w:r w:rsidRPr="004E4879">
        <w:t>12</w:t>
      </w:r>
      <w:r w:rsidR="00C26B9E">
        <w:noBreakHyphen/>
      </w:r>
      <w:r w:rsidRPr="004E4879">
        <w:t xml:space="preserve">025 </w:t>
      </w:r>
      <w:r w:rsidR="00A51359">
        <w:t xml:space="preserve">adopted RSAR requirements </w:t>
      </w:r>
      <w:r w:rsidR="001F12AF">
        <w:t xml:space="preserve">for the large </w:t>
      </w:r>
      <w:r w:rsidR="00832615">
        <w:t>IOUs</w:t>
      </w:r>
      <w:r w:rsidRPr="004E4879">
        <w:t>.</w:t>
      </w:r>
      <w:r w:rsidR="00121E35">
        <w:rPr>
          <w:rStyle w:val="FootnoteReference"/>
        </w:rPr>
        <w:footnoteReference w:id="18"/>
      </w:r>
      <w:r w:rsidR="001F12AF">
        <w:t xml:space="preserve"> </w:t>
      </w:r>
      <w:r w:rsidR="00F12E40">
        <w:t xml:space="preserve">To establish compliance with </w:t>
      </w:r>
      <w:r w:rsidR="00B33264">
        <w:t>Pub. Util.</w:t>
      </w:r>
      <w:r w:rsidR="00F12E40">
        <w:t xml:space="preserve"> Code </w:t>
      </w:r>
      <w:r w:rsidR="0065152C">
        <w:t>Section </w:t>
      </w:r>
      <w:r w:rsidR="00F12E40">
        <w:t xml:space="preserve">591, the Commission directed the </w:t>
      </w:r>
      <w:r w:rsidR="002C5552">
        <w:t>IOUs to include information on</w:t>
      </w:r>
      <w:r w:rsidR="00CD01EB">
        <w:t xml:space="preserve"> redirection </w:t>
      </w:r>
      <w:r w:rsidR="004B4C8B">
        <w:t>of maintenance program spending in their annual RSARs</w:t>
      </w:r>
      <w:r w:rsidR="00C962BB">
        <w:t xml:space="preserve"> as well as a </w:t>
      </w:r>
      <w:r w:rsidR="002C624D">
        <w:t>requirement</w:t>
      </w:r>
      <w:r w:rsidR="00C962BB">
        <w:t xml:space="preserve"> for </w:t>
      </w:r>
      <w:r w:rsidRPr="00F806D6" w:rsidR="00F806D6">
        <w:t>Bear Valley Electric Service, Inc.</w:t>
      </w:r>
      <w:r w:rsidR="000B3D17">
        <w:t xml:space="preserve"> (B</w:t>
      </w:r>
      <w:r w:rsidR="00885C45">
        <w:t>VE</w:t>
      </w:r>
      <w:r w:rsidR="00C908EA">
        <w:t>S</w:t>
      </w:r>
      <w:r w:rsidR="000B3D17">
        <w:t>)</w:t>
      </w:r>
      <w:r w:rsidRPr="00F806D6" w:rsidR="00F806D6">
        <w:t>, PacifiCorp d.b.a. Pacific Power</w:t>
      </w:r>
      <w:r w:rsidR="00905C28">
        <w:t xml:space="preserve"> (Pacifi</w:t>
      </w:r>
      <w:r w:rsidR="008C1144">
        <w:t>C</w:t>
      </w:r>
      <w:r w:rsidR="00905C28">
        <w:t>orp)</w:t>
      </w:r>
      <w:r w:rsidRPr="00F806D6" w:rsidR="00F806D6">
        <w:t>, Liberty Utilities (CalPeco Electric) LLC</w:t>
      </w:r>
      <w:r w:rsidR="00885C45">
        <w:t xml:space="preserve"> (Liberty)</w:t>
      </w:r>
      <w:r w:rsidRPr="00F806D6" w:rsidR="00F806D6">
        <w:t>, and Southwest Gas</w:t>
      </w:r>
      <w:r w:rsidR="00FE0576">
        <w:t xml:space="preserve"> Corporation</w:t>
      </w:r>
      <w:r w:rsidR="00F806D6">
        <w:t xml:space="preserve"> </w:t>
      </w:r>
      <w:r w:rsidR="00885C45">
        <w:t xml:space="preserve">(SWG) </w:t>
      </w:r>
      <w:r w:rsidR="00935D41">
        <w:t>to file</w:t>
      </w:r>
      <w:r w:rsidR="002C624D">
        <w:t xml:space="preserve"> </w:t>
      </w:r>
      <w:r w:rsidR="008542F5">
        <w:t xml:space="preserve">RSARs </w:t>
      </w:r>
      <w:r w:rsidR="002C624D">
        <w:t xml:space="preserve">in the applicable GRC proceeding </w:t>
      </w:r>
      <w:r w:rsidR="000142A0">
        <w:t xml:space="preserve">where risk mitigation activities </w:t>
      </w:r>
      <w:r w:rsidR="009B67F2">
        <w:t>were</w:t>
      </w:r>
      <w:r w:rsidR="00B41D19">
        <w:t xml:space="preserve"> authorized</w:t>
      </w:r>
      <w:r w:rsidR="009B67F2">
        <w:t xml:space="preserve"> </w:t>
      </w:r>
      <w:r w:rsidR="0ABF49D0">
        <w:t xml:space="preserve">and in the current or most recent GRC at the time if its filing </w:t>
      </w:r>
      <w:r w:rsidR="009B67F2">
        <w:t xml:space="preserve">and </w:t>
      </w:r>
      <w:r w:rsidR="77A8CF0C">
        <w:t>continuing</w:t>
      </w:r>
      <w:r w:rsidR="009B67F2">
        <w:t xml:space="preserve"> annually</w:t>
      </w:r>
      <w:r w:rsidR="004B4C8B">
        <w:t>.</w:t>
      </w:r>
      <w:r w:rsidR="00742862">
        <w:rPr>
          <w:rStyle w:val="FootnoteReference"/>
        </w:rPr>
        <w:footnoteReference w:id="19"/>
      </w:r>
      <w:r w:rsidR="00F12E40">
        <w:t xml:space="preserve"> </w:t>
      </w:r>
      <w:r w:rsidRPr="00E14D53" w:rsidR="00E14D53">
        <w:t>D.22</w:t>
      </w:r>
      <w:r w:rsidR="00C26B9E">
        <w:noBreakHyphen/>
      </w:r>
      <w:r w:rsidRPr="00E14D53" w:rsidR="00E14D53">
        <w:t>10</w:t>
      </w:r>
      <w:r w:rsidR="00C26B9E">
        <w:noBreakHyphen/>
      </w:r>
      <w:r w:rsidRPr="00E14D53" w:rsidR="00E14D53">
        <w:t>002</w:t>
      </w:r>
      <w:r w:rsidR="001F0FDF">
        <w:t xml:space="preserve"> adopted modifications to the RSAR requirements and </w:t>
      </w:r>
      <w:r w:rsidR="0059076A">
        <w:t xml:space="preserve">adopted a schedule for </w:t>
      </w:r>
      <w:r w:rsidR="00DE0394">
        <w:t>B</w:t>
      </w:r>
      <w:r w:rsidR="00077DD5">
        <w:t>V</w:t>
      </w:r>
      <w:r w:rsidR="00DE0394">
        <w:t>E</w:t>
      </w:r>
      <w:r w:rsidR="00C908EA">
        <w:t>S</w:t>
      </w:r>
      <w:r w:rsidR="00DE0394">
        <w:t xml:space="preserve">, </w:t>
      </w:r>
      <w:r w:rsidR="00905C28">
        <w:t>Pacifi</w:t>
      </w:r>
      <w:r w:rsidR="2C21B14B">
        <w:t>C</w:t>
      </w:r>
      <w:r w:rsidR="00905C28">
        <w:t xml:space="preserve">orp, </w:t>
      </w:r>
      <w:r w:rsidR="00077DD5">
        <w:t>Liberty</w:t>
      </w:r>
      <w:r w:rsidR="00D53DD7">
        <w:t>,</w:t>
      </w:r>
      <w:r w:rsidR="00077DD5">
        <w:t xml:space="preserve"> and SWG</w:t>
      </w:r>
      <w:r w:rsidR="0059076A">
        <w:t xml:space="preserve"> </w:t>
      </w:r>
      <w:r w:rsidR="008963B9">
        <w:t>to file RSARs.</w:t>
      </w:r>
    </w:p>
    <w:p w:rsidR="00432271" w:rsidP="00A12081" w:rsidRDefault="00A12081" w14:paraId="621D334D" w14:textId="77777777">
      <w:pPr>
        <w:pStyle w:val="Heading1"/>
      </w:pPr>
      <w:bookmarkStart w:name="_Toc224746106" w:id="22"/>
      <w:bookmarkStart w:name="_Toc228945618" w:id="23"/>
      <w:r>
        <w:t>Rulemaking Objectives</w:t>
      </w:r>
      <w:bookmarkEnd w:id="22"/>
      <w:bookmarkEnd w:id="23"/>
    </w:p>
    <w:p w:rsidR="00432271" w:rsidP="00825EEE" w:rsidRDefault="007F4193" w14:paraId="6A0D2DBD" w14:textId="4D6E9B78">
      <w:pPr>
        <w:pStyle w:val="Standard"/>
        <w:rPr>
          <w:rFonts w:eastAsia="Century" w:cs="Century"/>
        </w:rPr>
      </w:pPr>
      <w:r>
        <w:t xml:space="preserve">This rulemaking </w:t>
      </w:r>
      <w:r w:rsidR="004D3CE3">
        <w:t xml:space="preserve">has </w:t>
      </w:r>
      <w:r w:rsidR="00077DD5">
        <w:t>four</w:t>
      </w:r>
      <w:r w:rsidR="004D3CE3">
        <w:t xml:space="preserve"> objectives</w:t>
      </w:r>
      <w:r>
        <w:t xml:space="preserve">. </w:t>
      </w:r>
      <w:r w:rsidR="004D3CE3">
        <w:t>The first objective is to consider incorporation of</w:t>
      </w:r>
      <w:r>
        <w:t xml:space="preserve"> a</w:t>
      </w:r>
      <w:r w:rsidR="00694DE8">
        <w:t xml:space="preserve"> r</w:t>
      </w:r>
      <w:r>
        <w:t xml:space="preserve">isk </w:t>
      </w:r>
      <w:r w:rsidR="00694DE8">
        <w:t>t</w:t>
      </w:r>
      <w:r>
        <w:t xml:space="preserve">olerance </w:t>
      </w:r>
      <w:r w:rsidR="00694DE8">
        <w:t>s</w:t>
      </w:r>
      <w:r>
        <w:t xml:space="preserve">tandard into the RDF. </w:t>
      </w:r>
      <w:r w:rsidR="004D3CE3">
        <w:t xml:space="preserve">The second objective is to improve the </w:t>
      </w:r>
      <w:r w:rsidR="003C43B9">
        <w:t xml:space="preserve">schedule and </w:t>
      </w:r>
      <w:r w:rsidR="004D3CE3">
        <w:t xml:space="preserve">process for considering </w:t>
      </w:r>
      <w:r>
        <w:t xml:space="preserve">RAMP </w:t>
      </w:r>
      <w:r w:rsidR="004D3CE3">
        <w:t>a</w:t>
      </w:r>
      <w:r>
        <w:t xml:space="preserve">pplications. </w:t>
      </w:r>
      <w:r w:rsidR="004D3CE3">
        <w:t>The third objective is to</w:t>
      </w:r>
      <w:r w:rsidR="0035712B">
        <w:t xml:space="preserve"> further</w:t>
      </w:r>
      <w:r w:rsidR="004D3CE3">
        <w:t xml:space="preserve"> improve</w:t>
      </w:r>
      <w:r>
        <w:t xml:space="preserve"> the </w:t>
      </w:r>
      <w:r w:rsidR="008620F5">
        <w:t>BCR</w:t>
      </w:r>
      <w:r>
        <w:t xml:space="preserve"> calculation. </w:t>
      </w:r>
      <w:r w:rsidR="00371354">
        <w:t xml:space="preserve">The fourth objective is to </w:t>
      </w:r>
      <w:r w:rsidR="00BB716F">
        <w:t xml:space="preserve">consider </w:t>
      </w:r>
      <w:r w:rsidR="005925D8">
        <w:t>extending</w:t>
      </w:r>
      <w:r w:rsidR="00BB716F">
        <w:t xml:space="preserve"> RSAR filing requirements to </w:t>
      </w:r>
      <w:r w:rsidR="00154831">
        <w:t xml:space="preserve">Alpine Natural Gas Operating Company No. 1, LLC </w:t>
      </w:r>
      <w:r w:rsidRPr="00D71D3F" w:rsidR="00C109D5">
        <w:rPr>
          <w:rFonts w:eastAsia="Century" w:cs="Century"/>
        </w:rPr>
        <w:t>(Alpine) and West Coast Gas Company</w:t>
      </w:r>
      <w:r w:rsidR="00474BA0">
        <w:rPr>
          <w:rFonts w:eastAsia="Century" w:cs="Century"/>
        </w:rPr>
        <w:t>, Inc.</w:t>
      </w:r>
      <w:r w:rsidRPr="00D71D3F" w:rsidR="00C109D5">
        <w:rPr>
          <w:rFonts w:eastAsia="Century" w:cs="Century"/>
        </w:rPr>
        <w:t xml:space="preserve"> (WCG).</w:t>
      </w:r>
    </w:p>
    <w:p w:rsidR="007F4193" w:rsidP="00342080" w:rsidRDefault="00230D08" w14:paraId="721ACF9D" w14:textId="5A076DD3">
      <w:pPr>
        <w:pStyle w:val="Heading2"/>
      </w:pPr>
      <w:bookmarkStart w:name="_Toc224746107" w:id="24"/>
      <w:bookmarkStart w:name="_Toc228945619" w:id="25"/>
      <w:r>
        <w:t>Risk Tolerance Standard</w:t>
      </w:r>
      <w:bookmarkEnd w:id="24"/>
      <w:bookmarkEnd w:id="25"/>
    </w:p>
    <w:p w:rsidRPr="003F64A6" w:rsidR="00E05BD1" w:rsidP="00825EEE" w:rsidRDefault="00E05BD1" w14:paraId="52737B0A" w14:textId="46A6C748">
      <w:pPr>
        <w:pStyle w:val="Standard"/>
        <w:rPr>
          <w:lang w:val="en-ZW"/>
        </w:rPr>
      </w:pPr>
      <w:r>
        <w:rPr>
          <w:lang w:val="en-ZW"/>
        </w:rPr>
        <w:t xml:space="preserve">The Commission in </w:t>
      </w:r>
      <w:r w:rsidR="008620F5">
        <w:rPr>
          <w:lang w:val="en-ZW"/>
        </w:rPr>
        <w:t>D.</w:t>
      </w:r>
      <w:r>
        <w:rPr>
          <w:lang w:val="en-ZW"/>
        </w:rPr>
        <w:t>25</w:t>
      </w:r>
      <w:r w:rsidR="00C26B9E">
        <w:rPr>
          <w:lang w:val="en-ZW"/>
        </w:rPr>
        <w:noBreakHyphen/>
      </w:r>
      <w:r>
        <w:rPr>
          <w:lang w:val="en-ZW"/>
        </w:rPr>
        <w:t>08</w:t>
      </w:r>
      <w:r w:rsidR="00C26B9E">
        <w:rPr>
          <w:lang w:val="en-ZW"/>
        </w:rPr>
        <w:noBreakHyphen/>
      </w:r>
      <w:r>
        <w:rPr>
          <w:lang w:val="en-ZW"/>
        </w:rPr>
        <w:t>032 defined r</w:t>
      </w:r>
      <w:r w:rsidRPr="00C21375">
        <w:rPr>
          <w:lang w:val="en-ZW"/>
        </w:rPr>
        <w:t>isk tolerance</w:t>
      </w:r>
      <w:r w:rsidRPr="00AF3D42">
        <w:rPr>
          <w:lang w:val="en-ZW"/>
        </w:rPr>
        <w:t xml:space="preserve"> </w:t>
      </w:r>
      <w:r>
        <w:rPr>
          <w:lang w:val="en-ZW"/>
        </w:rPr>
        <w:t>as</w:t>
      </w:r>
      <w:r w:rsidRPr="00AF3D42">
        <w:rPr>
          <w:lang w:val="en-ZW"/>
        </w:rPr>
        <w:t xml:space="preserve"> </w:t>
      </w:r>
      <w:r w:rsidR="00337A8D">
        <w:rPr>
          <w:lang w:val="en-ZW"/>
        </w:rPr>
        <w:t>“</w:t>
      </w:r>
      <w:r w:rsidRPr="00AF3D42">
        <w:rPr>
          <w:lang w:val="en-ZW"/>
        </w:rPr>
        <w:t xml:space="preserve">the maximum amount of overall residual risk remaining in a system managed by the utilities that is deemed acceptable to ratepayers after implementation of Controls and Mitigations, weighed against the costs needed for that incremental risk </w:t>
      </w:r>
      <w:r w:rsidRPr="00AF3D42">
        <w:rPr>
          <w:lang w:val="en-ZW"/>
        </w:rPr>
        <w:lastRenderedPageBreak/>
        <w:t>reduction.</w:t>
      </w:r>
      <w:r w:rsidR="00337A8D">
        <w:rPr>
          <w:lang w:val="en-ZW"/>
        </w:rPr>
        <w:t>”</w:t>
      </w:r>
      <w:r>
        <w:rPr>
          <w:rStyle w:val="FootnoteReference"/>
        </w:rPr>
        <w:footnoteReference w:id="20"/>
      </w:r>
      <w:r w:rsidRPr="003C7C22">
        <w:t xml:space="preserve"> </w:t>
      </w:r>
      <w:r>
        <w:t xml:space="preserve">In addition, the Commission stated that </w:t>
      </w:r>
      <w:r w:rsidR="00337A8D">
        <w:t>“</w:t>
      </w:r>
      <w:r>
        <w:t>[t]</w:t>
      </w:r>
      <w:r w:rsidRPr="003C7C22">
        <w:t>he development of a risk tolerance standard will allow the Commission to answer the question of how much risk reduction is sufficient, given the cost of that risk reduction, and allow the Commission to appropriately weigh safety and affordability.</w:t>
      </w:r>
      <w:r w:rsidR="00337A8D">
        <w:t>”</w:t>
      </w:r>
      <w:r>
        <w:rPr>
          <w:rStyle w:val="FootnoteReference"/>
        </w:rPr>
        <w:footnoteReference w:id="21"/>
      </w:r>
    </w:p>
    <w:p w:rsidR="00432271" w:rsidP="00825EEE" w:rsidRDefault="00E05BD1" w14:paraId="375F12F3" w14:textId="6B11225C">
      <w:pPr>
        <w:pStyle w:val="Standard"/>
      </w:pPr>
      <w:r>
        <w:t>Th</w:t>
      </w:r>
      <w:r w:rsidR="003C7C29">
        <w:t>is</w:t>
      </w:r>
      <w:r>
        <w:t xml:space="preserve"> rulemaking will seek proposals to incorporate risk tolerance into the RDF with the main objective of improving decision making processes in GRC</w:t>
      </w:r>
      <w:r w:rsidR="00915C03">
        <w:t>s</w:t>
      </w:r>
      <w:r>
        <w:t xml:space="preserve">. As proposed, the rulemaking will </w:t>
      </w:r>
      <w:r w:rsidR="002D3D72">
        <w:t>ent</w:t>
      </w:r>
      <w:r w:rsidR="00C710E6">
        <w:t>ertain</w:t>
      </w:r>
      <w:r>
        <w:t xml:space="preserve"> proposals that should:</w:t>
      </w:r>
    </w:p>
    <w:p w:rsidR="00432271" w:rsidP="00B14AE0" w:rsidRDefault="00E05BD1" w14:paraId="62BF14EC" w14:textId="77777777">
      <w:pPr>
        <w:pStyle w:val="BlockQuoteBullet1"/>
        <w:numPr>
          <w:ilvl w:val="0"/>
          <w:numId w:val="7"/>
        </w:numPr>
        <w:ind w:left="1080"/>
      </w:pPr>
      <w:r>
        <w:t>Build upon previously adopted direction for portfolio optimization and budget scenario development, as well as Residual Risk</w:t>
      </w:r>
      <w:r>
        <w:rPr>
          <w:rStyle w:val="FootnoteReference"/>
        </w:rPr>
        <w:footnoteReference w:id="22"/>
      </w:r>
      <w:r>
        <w:t xml:space="preserve"> to express how much unmitigated risk is left in the utility system that ratepayers would be expected to tolerate for each portfolio;</w:t>
      </w:r>
    </w:p>
    <w:p w:rsidR="00432271" w:rsidP="00B14AE0" w:rsidRDefault="00E05BD1" w14:paraId="2ED9EBAE" w14:textId="77777777">
      <w:pPr>
        <w:pStyle w:val="BlockQuoteBullet1"/>
        <w:numPr>
          <w:ilvl w:val="0"/>
          <w:numId w:val="7"/>
        </w:numPr>
        <w:ind w:left="1080"/>
      </w:pPr>
      <w:r>
        <w:t>Propose an approach to quantifying risk tolerance that represents California ratepayers; and</w:t>
      </w:r>
    </w:p>
    <w:p w:rsidR="00432271" w:rsidP="00B14AE0" w:rsidRDefault="00E05BD1" w14:paraId="3EF3CC2A" w14:textId="77777777">
      <w:pPr>
        <w:pStyle w:val="BlockQuoteBullet1"/>
        <w:numPr>
          <w:ilvl w:val="0"/>
          <w:numId w:val="7"/>
        </w:numPr>
        <w:ind w:left="1080"/>
      </w:pPr>
      <w:r>
        <w:t>Identify necessary modifications for incorporation of recommendations into the RDF.</w:t>
      </w:r>
    </w:p>
    <w:p w:rsidR="00BA6A23" w:rsidP="00EF06D1" w:rsidRDefault="00CE1C37" w14:paraId="72177484" w14:textId="277F7394">
      <w:pPr>
        <w:pStyle w:val="Standard"/>
      </w:pPr>
      <w:r>
        <w:t xml:space="preserve">Ultimately, the </w:t>
      </w:r>
      <w:r w:rsidR="004D3CE3">
        <w:t>purpose for considering a</w:t>
      </w:r>
      <w:r>
        <w:t xml:space="preserve"> risk tolerance standard is to</w:t>
      </w:r>
      <w:r w:rsidR="00BA6A23">
        <w:t xml:space="preserve"> allow the Commission</w:t>
      </w:r>
      <w:r w:rsidR="00EF06D1">
        <w:t xml:space="preserve">, in a </w:t>
      </w:r>
      <w:r w:rsidR="00C2230F">
        <w:t>utility</w:t>
      </w:r>
      <w:r w:rsidR="00EF06D1">
        <w:t xml:space="preserve"> GRC</w:t>
      </w:r>
      <w:r w:rsidR="00F578A4">
        <w:t xml:space="preserve"> Phase</w:t>
      </w:r>
      <w:r w:rsidR="00260B09">
        <w:t> </w:t>
      </w:r>
      <w:r w:rsidR="00F578A4">
        <w:t>1 proceeding</w:t>
      </w:r>
      <w:r w:rsidR="00EF06D1">
        <w:t>,</w:t>
      </w:r>
      <w:r w:rsidR="00BA6A23">
        <w:t xml:space="preserve"> to better assess trade</w:t>
      </w:r>
      <w:r w:rsidR="00C26B9E">
        <w:noBreakHyphen/>
      </w:r>
      <w:r w:rsidR="00BA6A23">
        <w:t>offs between risk mitigation and affordability</w:t>
      </w:r>
      <w:r>
        <w:t xml:space="preserve"> </w:t>
      </w:r>
      <w:r w:rsidR="00717ADB">
        <w:t xml:space="preserve">as well as the progress the </w:t>
      </w:r>
      <w:r w:rsidR="00C2230F">
        <w:t xml:space="preserve">utilities </w:t>
      </w:r>
      <w:r w:rsidR="005D336A">
        <w:t>are making towards mitigating risk</w:t>
      </w:r>
      <w:r>
        <w:t>.</w:t>
      </w:r>
    </w:p>
    <w:p w:rsidR="002F3A62" w:rsidP="007E67EA" w:rsidRDefault="007E67EA" w14:paraId="2987D0CA" w14:textId="335B1777">
      <w:pPr>
        <w:pStyle w:val="Heading2"/>
      </w:pPr>
      <w:bookmarkStart w:name="_Toc224746108" w:id="26"/>
      <w:bookmarkStart w:name="_Toc228945620" w:id="27"/>
      <w:r w:rsidRPr="007E67EA">
        <w:t xml:space="preserve">Risk Assessment Mitigation Phase </w:t>
      </w:r>
      <w:r w:rsidR="003C43B9">
        <w:t xml:space="preserve">Application </w:t>
      </w:r>
      <w:r w:rsidRPr="007E67EA">
        <w:t>Schedule</w:t>
      </w:r>
      <w:r w:rsidR="003C43B9">
        <w:t xml:space="preserve"> and Process</w:t>
      </w:r>
      <w:bookmarkEnd w:id="26"/>
      <w:bookmarkEnd w:id="27"/>
    </w:p>
    <w:p w:rsidR="00432271" w:rsidP="00825EEE" w:rsidRDefault="00970012" w14:paraId="28B53F96" w14:textId="4DE9E78E">
      <w:pPr>
        <w:pStyle w:val="Standard"/>
        <w:rPr>
          <w:lang w:val="en-ZW"/>
        </w:rPr>
      </w:pPr>
      <w:r>
        <w:rPr>
          <w:lang w:val="en-ZW"/>
        </w:rPr>
        <w:t>In D.20</w:t>
      </w:r>
      <w:r w:rsidR="00C26B9E">
        <w:rPr>
          <w:lang w:val="en-ZW"/>
        </w:rPr>
        <w:noBreakHyphen/>
      </w:r>
      <w:r>
        <w:rPr>
          <w:lang w:val="en-ZW"/>
        </w:rPr>
        <w:t>01</w:t>
      </w:r>
      <w:r w:rsidR="00C26B9E">
        <w:rPr>
          <w:lang w:val="en-ZW"/>
        </w:rPr>
        <w:noBreakHyphen/>
      </w:r>
      <w:r>
        <w:rPr>
          <w:lang w:val="en-ZW"/>
        </w:rPr>
        <w:t xml:space="preserve">002, the Commission adopted a revised GRC application filing schedule </w:t>
      </w:r>
      <w:r w:rsidR="00A16E4B">
        <w:rPr>
          <w:lang w:val="en-ZW"/>
        </w:rPr>
        <w:t xml:space="preserve">(Rate Case Plan) </w:t>
      </w:r>
      <w:r>
        <w:rPr>
          <w:lang w:val="en-ZW"/>
        </w:rPr>
        <w:t xml:space="preserve">that transitioned the </w:t>
      </w:r>
      <w:r w:rsidRPr="00EB5098">
        <w:rPr>
          <w:lang w:val="en-ZW"/>
        </w:rPr>
        <w:t>three</w:t>
      </w:r>
      <w:r w:rsidR="00C26B9E">
        <w:rPr>
          <w:lang w:val="en-ZW"/>
        </w:rPr>
        <w:noBreakHyphen/>
      </w:r>
      <w:r w:rsidRPr="00EB5098">
        <w:rPr>
          <w:lang w:val="en-ZW"/>
        </w:rPr>
        <w:t xml:space="preserve">year </w:t>
      </w:r>
      <w:r>
        <w:rPr>
          <w:lang w:val="en-ZW"/>
        </w:rPr>
        <w:t>GRC</w:t>
      </w:r>
      <w:r w:rsidRPr="00EB5098">
        <w:rPr>
          <w:lang w:val="en-ZW"/>
        </w:rPr>
        <w:t xml:space="preserve"> cycle to the </w:t>
      </w:r>
      <w:r w:rsidRPr="00EB5098">
        <w:rPr>
          <w:lang w:val="en-ZW"/>
        </w:rPr>
        <w:lastRenderedPageBreak/>
        <w:t>four</w:t>
      </w:r>
      <w:r w:rsidR="00C26B9E">
        <w:rPr>
          <w:lang w:val="en-ZW"/>
        </w:rPr>
        <w:noBreakHyphen/>
      </w:r>
      <w:r w:rsidRPr="00EB5098">
        <w:rPr>
          <w:lang w:val="en-ZW"/>
        </w:rPr>
        <w:t xml:space="preserve">year </w:t>
      </w:r>
      <w:r>
        <w:rPr>
          <w:lang w:val="en-ZW"/>
        </w:rPr>
        <w:t>GRC</w:t>
      </w:r>
      <w:r w:rsidRPr="00EB5098">
        <w:rPr>
          <w:lang w:val="en-ZW"/>
        </w:rPr>
        <w:t xml:space="preserve"> cycle</w:t>
      </w:r>
      <w:r>
        <w:rPr>
          <w:lang w:val="en-ZW"/>
        </w:rPr>
        <w:t>, which included a filing deadline for the RAMP evaluation.</w:t>
      </w:r>
      <w:r>
        <w:rPr>
          <w:rStyle w:val="FootnoteReference"/>
          <w:lang w:val="en-ZW"/>
        </w:rPr>
        <w:footnoteReference w:id="23"/>
      </w:r>
    </w:p>
    <w:p w:rsidR="0008021B" w:rsidP="00E4465A" w:rsidRDefault="00431F0F" w14:paraId="2F3A1324" w14:textId="68588642">
      <w:pPr>
        <w:pStyle w:val="TableTitleBody"/>
        <w:rPr>
          <w:lang w:val="en-ZW"/>
        </w:rPr>
      </w:pPr>
      <w:r>
        <w:rPr>
          <w:lang w:val="en-ZW"/>
        </w:rPr>
        <w:t>Table </w:t>
      </w:r>
      <w:r w:rsidRPr="00825EEE" w:rsidR="0008021B">
        <w:rPr>
          <w:lang w:val="en-ZW"/>
        </w:rPr>
        <w:t>2</w:t>
      </w:r>
      <w:r w:rsidR="008B1F2F">
        <w:rPr>
          <w:lang w:val="en-ZW"/>
        </w:rPr>
        <w:t> —</w:t>
      </w:r>
      <w:r w:rsidRPr="00825EEE" w:rsidR="0008021B">
        <w:rPr>
          <w:lang w:val="en-ZW"/>
        </w:rPr>
        <w:t xml:space="preserve"> </w:t>
      </w:r>
      <w:r w:rsidRPr="00825EEE" w:rsidR="007B338E">
        <w:rPr>
          <w:lang w:val="en-ZW"/>
        </w:rPr>
        <w:t xml:space="preserve">Adopted revised GRC </w:t>
      </w:r>
      <w:r w:rsidR="00F578A4">
        <w:rPr>
          <w:lang w:val="en-ZW"/>
        </w:rPr>
        <w:t>Phase</w:t>
      </w:r>
      <w:r w:rsidR="00FE1397">
        <w:rPr>
          <w:lang w:val="en-ZW"/>
        </w:rPr>
        <w:t> </w:t>
      </w:r>
      <w:r w:rsidR="00F578A4">
        <w:rPr>
          <w:lang w:val="en-ZW"/>
        </w:rPr>
        <w:t xml:space="preserve">1 </w:t>
      </w:r>
      <w:r w:rsidRPr="00825EEE" w:rsidR="007B338E">
        <w:rPr>
          <w:lang w:val="en-ZW"/>
        </w:rPr>
        <w:t>Application</w:t>
      </w:r>
      <w:r w:rsidR="00C64B6E">
        <w:rPr>
          <w:lang w:val="en-ZW"/>
        </w:rPr>
        <w:t xml:space="preserve"> </w:t>
      </w:r>
      <w:r w:rsidRPr="00825EEE" w:rsidR="007B338E">
        <w:rPr>
          <w:lang w:val="en-ZW"/>
        </w:rPr>
        <w:t>Filing Schedule</w:t>
      </w:r>
      <w:r w:rsidR="00C64B6E">
        <w:rPr>
          <w:lang w:val="en-ZW"/>
        </w:rPr>
        <w:br/>
      </w:r>
      <w:r w:rsidRPr="00825EEE" w:rsidR="007B338E">
        <w:rPr>
          <w:lang w:val="en-ZW"/>
        </w:rPr>
        <w:t xml:space="preserve">Effective </w:t>
      </w:r>
      <w:r w:rsidR="00337A8D">
        <w:rPr>
          <w:lang w:val="en-ZW"/>
        </w:rPr>
        <w:t>June </w:t>
      </w:r>
      <w:r w:rsidRPr="00825EEE" w:rsidR="007B338E">
        <w:rPr>
          <w:lang w:val="en-ZW"/>
        </w:rPr>
        <w:t>30, 2020</w:t>
      </w:r>
      <w:r w:rsidRPr="00461F99" w:rsidR="007B338E">
        <w:rPr>
          <w:rStyle w:val="FootnoteReference"/>
          <w:b w:val="0"/>
          <w:bCs w:val="0"/>
          <w:lang w:val="en-ZW"/>
        </w:rPr>
        <w:footnoteReference w:id="24"/>
      </w:r>
    </w:p>
    <w:p w:rsidR="007E67EA" w:rsidP="00825EEE" w:rsidRDefault="00BB6BA7" w14:paraId="13DC54EF" w14:textId="1C347F9A">
      <w:pPr>
        <w:pStyle w:val="Standard"/>
        <w:ind w:firstLine="0"/>
      </w:pPr>
      <w:r w:rsidRPr="0028048F">
        <w:rPr>
          <w:noProof/>
          <w:lang w:val="en-ZW"/>
        </w:rPr>
        <w:drawing>
          <wp:inline distT="0" distB="0" distL="0" distR="0" wp14:anchorId="251009E5" wp14:editId="50A135B7">
            <wp:extent cx="5943600" cy="1582420"/>
            <wp:effectExtent l="0" t="0" r="0" b="0"/>
            <wp:docPr id="695016177"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016177" name="Picture 1" descr="Table&#10;&#10;AI-generated content may be incorrect."/>
                    <pic:cNvPicPr/>
                  </pic:nvPicPr>
                  <pic:blipFill rotWithShape="1">
                    <a:blip r:embed="rId16"/>
                    <a:srcRect t="25210"/>
                    <a:stretch>
                      <a:fillRect/>
                    </a:stretch>
                  </pic:blipFill>
                  <pic:spPr bwMode="auto">
                    <a:xfrm>
                      <a:off x="0" y="0"/>
                      <a:ext cx="5943600" cy="1582420"/>
                    </a:xfrm>
                    <a:prstGeom prst="rect">
                      <a:avLst/>
                    </a:prstGeom>
                    <a:ln>
                      <a:noFill/>
                    </a:ln>
                    <a:extLst>
                      <a:ext uri="{53640926-AAD7-44D8-BBD7-CCE9431645EC}">
                        <a14:shadowObscured xmlns:a14="http://schemas.microsoft.com/office/drawing/2010/main"/>
                      </a:ext>
                    </a:extLst>
                  </pic:spPr>
                </pic:pic>
              </a:graphicData>
            </a:graphic>
          </wp:inline>
        </w:drawing>
      </w:r>
    </w:p>
    <w:p w:rsidR="00432271" w:rsidP="00825EEE" w:rsidRDefault="00365FC7" w14:paraId="66313D45" w14:textId="743ADE99">
      <w:pPr>
        <w:pStyle w:val="StandardTableSub"/>
        <w:rPr>
          <w:lang w:val="en-ZW"/>
        </w:rPr>
      </w:pPr>
      <w:r>
        <w:rPr>
          <w:lang w:val="en-ZW"/>
        </w:rPr>
        <w:t>Since the adoption of this revised schedule, the RAMP requirements have become more complex and produce more data to be reviewed. SPD</w:t>
      </w:r>
      <w:r w:rsidR="006C69E0">
        <w:rPr>
          <w:lang w:val="en-ZW"/>
        </w:rPr>
        <w:t xml:space="preserve"> staff</w:t>
      </w:r>
      <w:r>
        <w:rPr>
          <w:lang w:val="en-ZW"/>
        </w:rPr>
        <w:t xml:space="preserve"> has found that 110 days is not enough time to complete a thorough and detailed evaluation of a RAMP report and associated workpapers. Since 2020, the Commission has granted SPD more time to complete its evaluation report for every RAMP filed. In Sempra</w:t>
      </w:r>
      <w:r w:rsidR="00337A8D">
        <w:rPr>
          <w:lang w:val="en-ZW"/>
        </w:rPr>
        <w:t>’</w:t>
      </w:r>
      <w:r>
        <w:rPr>
          <w:lang w:val="en-ZW"/>
        </w:rPr>
        <w:t>s 2021 RAMP (A.21</w:t>
      </w:r>
      <w:r w:rsidR="00C26B9E">
        <w:rPr>
          <w:lang w:val="en-ZW"/>
        </w:rPr>
        <w:noBreakHyphen/>
      </w:r>
      <w:r>
        <w:rPr>
          <w:lang w:val="en-ZW"/>
        </w:rPr>
        <w:t>05</w:t>
      </w:r>
      <w:r w:rsidR="00C26B9E">
        <w:rPr>
          <w:lang w:val="en-ZW"/>
        </w:rPr>
        <w:noBreakHyphen/>
      </w:r>
      <w:r>
        <w:rPr>
          <w:lang w:val="en-ZW"/>
        </w:rPr>
        <w:t>011/A.21</w:t>
      </w:r>
      <w:r w:rsidR="00C26B9E">
        <w:rPr>
          <w:lang w:val="en-ZW"/>
        </w:rPr>
        <w:noBreakHyphen/>
      </w:r>
      <w:r>
        <w:rPr>
          <w:lang w:val="en-ZW"/>
        </w:rPr>
        <w:t>05</w:t>
      </w:r>
      <w:r w:rsidR="00C26B9E">
        <w:rPr>
          <w:lang w:val="en-ZW"/>
        </w:rPr>
        <w:noBreakHyphen/>
      </w:r>
      <w:r>
        <w:rPr>
          <w:lang w:val="en-ZW"/>
        </w:rPr>
        <w:t xml:space="preserve">014), the due date was extended to </w:t>
      </w:r>
      <w:r w:rsidR="009958CE">
        <w:rPr>
          <w:lang w:val="en-ZW"/>
        </w:rPr>
        <w:t>November </w:t>
      </w:r>
      <w:r>
        <w:rPr>
          <w:lang w:val="en-ZW"/>
        </w:rPr>
        <w:t>5.</w:t>
      </w:r>
      <w:r>
        <w:rPr>
          <w:rStyle w:val="FootnoteReference"/>
          <w:lang w:val="en-ZW"/>
        </w:rPr>
        <w:footnoteReference w:id="25"/>
      </w:r>
      <w:r>
        <w:rPr>
          <w:lang w:val="en-ZW"/>
        </w:rPr>
        <w:t xml:space="preserve"> In SCE</w:t>
      </w:r>
      <w:r w:rsidR="00337A8D">
        <w:rPr>
          <w:lang w:val="en-ZW"/>
        </w:rPr>
        <w:t>’</w:t>
      </w:r>
      <w:r>
        <w:rPr>
          <w:lang w:val="en-ZW"/>
        </w:rPr>
        <w:t>s 2022 RAMP (A.22</w:t>
      </w:r>
      <w:r w:rsidR="00C26B9E">
        <w:rPr>
          <w:lang w:val="en-ZW"/>
        </w:rPr>
        <w:noBreakHyphen/>
      </w:r>
      <w:r>
        <w:rPr>
          <w:lang w:val="en-ZW"/>
        </w:rPr>
        <w:t>05</w:t>
      </w:r>
      <w:r w:rsidR="00C26B9E">
        <w:rPr>
          <w:lang w:val="en-ZW"/>
        </w:rPr>
        <w:noBreakHyphen/>
      </w:r>
      <w:r>
        <w:rPr>
          <w:lang w:val="en-ZW"/>
        </w:rPr>
        <w:t xml:space="preserve">013), the due date was extended to </w:t>
      </w:r>
      <w:r w:rsidR="009958CE">
        <w:rPr>
          <w:lang w:val="en-ZW"/>
        </w:rPr>
        <w:t>November </w:t>
      </w:r>
      <w:r>
        <w:rPr>
          <w:lang w:val="en-ZW"/>
        </w:rPr>
        <w:t>10.</w:t>
      </w:r>
      <w:r>
        <w:rPr>
          <w:rStyle w:val="FootnoteReference"/>
          <w:lang w:val="en-ZW"/>
        </w:rPr>
        <w:footnoteReference w:id="26"/>
      </w:r>
      <w:r>
        <w:rPr>
          <w:lang w:val="en-ZW"/>
        </w:rPr>
        <w:t xml:space="preserve"> In PG&amp;E</w:t>
      </w:r>
      <w:r w:rsidR="00337A8D">
        <w:rPr>
          <w:lang w:val="en-ZW"/>
        </w:rPr>
        <w:t>’</w:t>
      </w:r>
      <w:r>
        <w:rPr>
          <w:lang w:val="en-ZW"/>
        </w:rPr>
        <w:t>s 2024 RAMP (A.24</w:t>
      </w:r>
      <w:r w:rsidR="00C26B9E">
        <w:rPr>
          <w:lang w:val="en-ZW"/>
        </w:rPr>
        <w:noBreakHyphen/>
      </w:r>
      <w:r>
        <w:rPr>
          <w:lang w:val="en-ZW"/>
        </w:rPr>
        <w:t>05</w:t>
      </w:r>
      <w:r w:rsidR="00C26B9E">
        <w:rPr>
          <w:lang w:val="en-ZW"/>
        </w:rPr>
        <w:noBreakHyphen/>
      </w:r>
      <w:r>
        <w:rPr>
          <w:lang w:val="en-ZW"/>
        </w:rPr>
        <w:t xml:space="preserve">008), the due date was extended to </w:t>
      </w:r>
      <w:r w:rsidR="009958CE">
        <w:rPr>
          <w:lang w:val="en-ZW"/>
        </w:rPr>
        <w:t>November </w:t>
      </w:r>
      <w:r>
        <w:rPr>
          <w:lang w:val="en-ZW"/>
        </w:rPr>
        <w:t>8.</w:t>
      </w:r>
      <w:r>
        <w:rPr>
          <w:rStyle w:val="FootnoteReference"/>
          <w:lang w:val="en-ZW"/>
        </w:rPr>
        <w:footnoteReference w:id="27"/>
      </w:r>
      <w:r>
        <w:rPr>
          <w:lang w:val="en-ZW"/>
        </w:rPr>
        <w:t xml:space="preserve"> In Sempra</w:t>
      </w:r>
      <w:r w:rsidR="00337A8D">
        <w:rPr>
          <w:lang w:val="en-ZW"/>
        </w:rPr>
        <w:t>’</w:t>
      </w:r>
      <w:r>
        <w:rPr>
          <w:lang w:val="en-ZW"/>
        </w:rPr>
        <w:t>s 2025 RAMP (A.25</w:t>
      </w:r>
      <w:r w:rsidR="00C26B9E">
        <w:rPr>
          <w:lang w:val="en-ZW"/>
        </w:rPr>
        <w:noBreakHyphen/>
      </w:r>
      <w:r>
        <w:rPr>
          <w:lang w:val="en-ZW"/>
        </w:rPr>
        <w:t>05</w:t>
      </w:r>
      <w:r w:rsidR="00C26B9E">
        <w:rPr>
          <w:lang w:val="en-ZW"/>
        </w:rPr>
        <w:noBreakHyphen/>
      </w:r>
      <w:r>
        <w:rPr>
          <w:lang w:val="en-ZW"/>
        </w:rPr>
        <w:t>010/A.25</w:t>
      </w:r>
      <w:r w:rsidR="00C26B9E">
        <w:rPr>
          <w:lang w:val="en-ZW"/>
        </w:rPr>
        <w:noBreakHyphen/>
      </w:r>
      <w:r>
        <w:rPr>
          <w:lang w:val="en-ZW"/>
        </w:rPr>
        <w:t>05</w:t>
      </w:r>
      <w:r w:rsidR="00C26B9E">
        <w:rPr>
          <w:lang w:val="en-ZW"/>
        </w:rPr>
        <w:noBreakHyphen/>
      </w:r>
      <w:r>
        <w:rPr>
          <w:lang w:val="en-ZW"/>
        </w:rPr>
        <w:t xml:space="preserve">013), the due date was extended to </w:t>
      </w:r>
      <w:r w:rsidR="00337A8D">
        <w:rPr>
          <w:lang w:val="en-ZW"/>
        </w:rPr>
        <w:t>October </w:t>
      </w:r>
      <w:r>
        <w:rPr>
          <w:lang w:val="en-ZW"/>
        </w:rPr>
        <w:t>10.</w:t>
      </w:r>
      <w:r>
        <w:rPr>
          <w:rStyle w:val="FootnoteReference"/>
          <w:lang w:val="en-ZW"/>
        </w:rPr>
        <w:footnoteReference w:id="28"/>
      </w:r>
      <w:r>
        <w:rPr>
          <w:lang w:val="en-ZW"/>
        </w:rPr>
        <w:t xml:space="preserve"> </w:t>
      </w:r>
      <w:r w:rsidR="00F578A4">
        <w:rPr>
          <w:lang w:val="en-ZW"/>
        </w:rPr>
        <w:t xml:space="preserve">In the </w:t>
      </w:r>
      <w:r w:rsidR="00F578A4">
        <w:rPr>
          <w:lang w:val="en-ZW"/>
        </w:rPr>
        <w:lastRenderedPageBreak/>
        <w:t>examples above</w:t>
      </w:r>
      <w:r>
        <w:rPr>
          <w:lang w:val="en-ZW"/>
        </w:rPr>
        <w:t xml:space="preserve">, the Commission </w:t>
      </w:r>
      <w:r w:rsidR="00F578A4">
        <w:rPr>
          <w:lang w:val="en-ZW"/>
        </w:rPr>
        <w:t xml:space="preserve">has generally </w:t>
      </w:r>
      <w:r>
        <w:rPr>
          <w:lang w:val="en-ZW"/>
        </w:rPr>
        <w:t xml:space="preserve">granted </w:t>
      </w:r>
      <w:r w:rsidR="00F578A4">
        <w:rPr>
          <w:lang w:val="en-ZW"/>
        </w:rPr>
        <w:t xml:space="preserve">extensions to SPD of </w:t>
      </w:r>
      <w:r>
        <w:rPr>
          <w:lang w:val="en-ZW"/>
        </w:rPr>
        <w:t>about two months.</w:t>
      </w:r>
    </w:p>
    <w:p w:rsidR="00365FC7" w:rsidP="00365FC7" w:rsidRDefault="00365FC7" w14:paraId="58F776E1" w14:textId="0D96614A">
      <w:pPr>
        <w:pStyle w:val="Standard"/>
      </w:pPr>
      <w:r>
        <w:t>This rulemaking will consider modifying the schedule for SPD</w:t>
      </w:r>
      <w:r w:rsidR="00337A8D">
        <w:t>’</w:t>
      </w:r>
      <w:r>
        <w:t>s evaluation of utility RAMPs to allow additional time, starting with PG&amp;E</w:t>
      </w:r>
      <w:r w:rsidR="00337A8D">
        <w:t>’</w:t>
      </w:r>
      <w:r>
        <w:t xml:space="preserve">s 2028 RAMP application. This rulemaking will also address the role of informal comments by parties, including if informal comments should continue to be provided. Informal comments are normally filed after RAMP applications </w:t>
      </w:r>
      <w:r w:rsidR="00901471">
        <w:t>are filed; h</w:t>
      </w:r>
      <w:r w:rsidR="0020728D">
        <w:t>owever</w:t>
      </w:r>
      <w:r w:rsidR="00901471">
        <w:t>,</w:t>
      </w:r>
      <w:r w:rsidR="0020728D">
        <w:t xml:space="preserve"> these are not part of the adopted </w:t>
      </w:r>
      <w:r w:rsidR="00521003">
        <w:t>Rate Case Plan</w:t>
      </w:r>
      <w:r>
        <w:t>.</w:t>
      </w:r>
    </w:p>
    <w:p w:rsidR="00901471" w:rsidP="005E3EB8" w:rsidRDefault="005E3EB8" w14:paraId="120EB52C" w14:textId="6D4B3D1F">
      <w:pPr>
        <w:pStyle w:val="Heading2"/>
      </w:pPr>
      <w:bookmarkStart w:name="_Toc224746109" w:id="28"/>
      <w:bookmarkStart w:name="_Toc228945621" w:id="29"/>
      <w:r w:rsidRPr="005E3EB8">
        <w:t>Benefit</w:t>
      </w:r>
      <w:r w:rsidR="00C26B9E">
        <w:noBreakHyphen/>
      </w:r>
      <w:r w:rsidRPr="005E3EB8">
        <w:t>Cost Ratio Methodology Updates</w:t>
      </w:r>
      <w:bookmarkEnd w:id="28"/>
      <w:bookmarkEnd w:id="29"/>
    </w:p>
    <w:p w:rsidR="00432271" w:rsidP="00825EEE" w:rsidRDefault="00D11594" w14:paraId="027B70C3" w14:textId="094D92E7">
      <w:pPr>
        <w:pStyle w:val="Standard"/>
      </w:pPr>
      <w:r w:rsidRPr="0098B59A">
        <w:rPr>
          <w:lang w:val="en-ZW"/>
        </w:rPr>
        <w:t xml:space="preserve">The RDF does not provide explicit direction on how </w:t>
      </w:r>
      <w:r w:rsidR="00EB4A01">
        <w:rPr>
          <w:lang w:val="en-ZW"/>
        </w:rPr>
        <w:t>operations and maintenance (</w:t>
      </w:r>
      <w:r w:rsidRPr="0098B59A">
        <w:rPr>
          <w:lang w:val="en-ZW"/>
        </w:rPr>
        <w:t>O&amp;M</w:t>
      </w:r>
      <w:r w:rsidR="00EB4A01">
        <w:rPr>
          <w:lang w:val="en-ZW"/>
        </w:rPr>
        <w:t>)</w:t>
      </w:r>
      <w:r w:rsidRPr="0098B59A">
        <w:rPr>
          <w:lang w:val="en-ZW"/>
        </w:rPr>
        <w:t xml:space="preserve"> expense</w:t>
      </w:r>
      <w:r>
        <w:rPr>
          <w:lang w:val="en-ZW"/>
        </w:rPr>
        <w:t>s</w:t>
      </w:r>
      <w:r w:rsidRPr="0098B59A">
        <w:rPr>
          <w:lang w:val="en-ZW"/>
        </w:rPr>
        <w:t xml:space="preserve"> should be treated in BCRs. Each utility has applied a unique approach to treating O&amp;M expenses. </w:t>
      </w:r>
      <w:r>
        <w:t>Lack of clear standardization of methods leads to inconsistent treatment of O&amp;M costs in utility filings, increases staff and parties</w:t>
      </w:r>
      <w:r w:rsidR="00337A8D">
        <w:t>’</w:t>
      </w:r>
      <w:r>
        <w:t xml:space="preserve"> time for scrutinizing different approaches, and reduces transparency in the GRC process. Clarification to the RDF methodology would address the inconsistency that is sometimes evident in RAMP evaluations.</w:t>
      </w:r>
    </w:p>
    <w:p w:rsidR="00432271" w:rsidP="00D11594" w:rsidRDefault="00D03A14" w14:paraId="54F13861" w14:textId="249A4F8E">
      <w:pPr>
        <w:pStyle w:val="Standard"/>
      </w:pPr>
      <w:r w:rsidRPr="003824F1">
        <w:rPr>
          <w:lang w:val="en-ZW"/>
        </w:rPr>
        <w:t>In addition,</w:t>
      </w:r>
      <w:r>
        <w:rPr>
          <w:b/>
          <w:bCs/>
          <w:lang w:val="en-ZW"/>
        </w:rPr>
        <w:t xml:space="preserve"> </w:t>
      </w:r>
      <w:r>
        <w:rPr>
          <w:lang w:val="en-ZW"/>
        </w:rPr>
        <w:t>t</w:t>
      </w:r>
      <w:r w:rsidRPr="0098B59A" w:rsidR="00D11594">
        <w:rPr>
          <w:lang w:val="en-ZW"/>
        </w:rPr>
        <w:t xml:space="preserve">he RAMP Data Template and Guidelines, as adopted in </w:t>
      </w:r>
      <w:r w:rsidR="00A86DF0">
        <w:rPr>
          <w:lang w:val="en-ZW"/>
        </w:rPr>
        <w:t>Appendix </w:t>
      </w:r>
      <w:r w:rsidRPr="0098B59A" w:rsidR="00D11594">
        <w:rPr>
          <w:lang w:val="en-ZW"/>
        </w:rPr>
        <w:t>D to D.25</w:t>
      </w:r>
      <w:r w:rsidR="00C26B9E">
        <w:rPr>
          <w:lang w:val="en-ZW"/>
        </w:rPr>
        <w:noBreakHyphen/>
      </w:r>
      <w:r w:rsidRPr="0098B59A" w:rsidR="00D11594">
        <w:rPr>
          <w:lang w:val="en-ZW"/>
        </w:rPr>
        <w:t>08</w:t>
      </w:r>
      <w:r w:rsidR="00C26B9E">
        <w:rPr>
          <w:lang w:val="en-ZW"/>
        </w:rPr>
        <w:noBreakHyphen/>
      </w:r>
      <w:r w:rsidRPr="0098B59A" w:rsidR="00D11594">
        <w:rPr>
          <w:lang w:val="en-ZW"/>
        </w:rPr>
        <w:t xml:space="preserve">032, introduced an optional </w:t>
      </w:r>
      <w:r w:rsidR="008E691B">
        <w:rPr>
          <w:lang w:val="en-ZW"/>
        </w:rPr>
        <w:t>P</w:t>
      </w:r>
      <w:r w:rsidR="007C1F79">
        <w:rPr>
          <w:lang w:val="en-ZW"/>
        </w:rPr>
        <w:t xml:space="preserve">resent </w:t>
      </w:r>
      <w:r w:rsidR="008E691B">
        <w:rPr>
          <w:lang w:val="en-ZW"/>
        </w:rPr>
        <w:t>V</w:t>
      </w:r>
      <w:r w:rsidR="007C1F79">
        <w:rPr>
          <w:lang w:val="en-ZW"/>
        </w:rPr>
        <w:t xml:space="preserve">alue </w:t>
      </w:r>
      <w:r w:rsidR="008E691B">
        <w:rPr>
          <w:lang w:val="en-ZW"/>
        </w:rPr>
        <w:t>R</w:t>
      </w:r>
      <w:r w:rsidR="007C1F79">
        <w:rPr>
          <w:lang w:val="en-ZW"/>
        </w:rPr>
        <w:t xml:space="preserve">evenue </w:t>
      </w:r>
      <w:r w:rsidR="008E691B">
        <w:rPr>
          <w:lang w:val="en-ZW"/>
        </w:rPr>
        <w:t>R</w:t>
      </w:r>
      <w:r w:rsidR="007C1F79">
        <w:rPr>
          <w:lang w:val="en-ZW"/>
        </w:rPr>
        <w:t>equirement (</w:t>
      </w:r>
      <w:r w:rsidRPr="0098B59A" w:rsidR="00D11594">
        <w:rPr>
          <w:lang w:val="en-ZW"/>
        </w:rPr>
        <w:t>PVRR</w:t>
      </w:r>
      <w:r w:rsidR="007C1F79">
        <w:rPr>
          <w:lang w:val="en-ZW"/>
        </w:rPr>
        <w:t>)</w:t>
      </w:r>
      <w:r w:rsidRPr="0098B59A" w:rsidR="00D11594">
        <w:rPr>
          <w:lang w:val="en-ZW"/>
        </w:rPr>
        <w:t xml:space="preserve"> field to capture the financial </w:t>
      </w:r>
      <w:r w:rsidR="00D11594">
        <w:rPr>
          <w:lang w:val="en-ZW"/>
        </w:rPr>
        <w:t>information</w:t>
      </w:r>
      <w:r w:rsidRPr="0098B59A" w:rsidR="00D11594">
        <w:rPr>
          <w:lang w:val="en-ZW"/>
        </w:rPr>
        <w:t xml:space="preserve"> the utility used in its </w:t>
      </w:r>
      <w:r w:rsidR="00D11594">
        <w:rPr>
          <w:lang w:val="en-ZW"/>
        </w:rPr>
        <w:t>GRC</w:t>
      </w:r>
      <w:r w:rsidRPr="0098B59A" w:rsidR="00D11594">
        <w:rPr>
          <w:lang w:val="en-ZW"/>
        </w:rPr>
        <w:t xml:space="preserve"> and long</w:t>
      </w:r>
      <w:r w:rsidR="00C26B9E">
        <w:rPr>
          <w:lang w:val="en-ZW"/>
        </w:rPr>
        <w:noBreakHyphen/>
      </w:r>
      <w:r w:rsidRPr="0098B59A" w:rsidR="00D11594">
        <w:rPr>
          <w:lang w:val="en-ZW"/>
        </w:rPr>
        <w:t xml:space="preserve">term planning to evaluate the cost implications of investments or programs over the life of the asset. </w:t>
      </w:r>
      <w:r w:rsidR="00D11594">
        <w:t>In D.25</w:t>
      </w:r>
      <w:r w:rsidR="00C26B9E">
        <w:noBreakHyphen/>
      </w:r>
      <w:r w:rsidR="00D11594">
        <w:t>08</w:t>
      </w:r>
      <w:r w:rsidR="00C26B9E">
        <w:noBreakHyphen/>
      </w:r>
      <w:r w:rsidR="00D11594">
        <w:t>032, the Commission recognize</w:t>
      </w:r>
      <w:r w:rsidR="00637B43">
        <w:t>d</w:t>
      </w:r>
      <w:r w:rsidR="00D11594">
        <w:t xml:space="preserve"> that a PVRR will make BCR calculations more accurate and representative of the </w:t>
      </w:r>
      <w:r w:rsidR="00D11594">
        <w:lastRenderedPageBreak/>
        <w:t>lifetime costs of a risk reporting unit</w:t>
      </w:r>
      <w:r w:rsidR="00D11594">
        <w:rPr>
          <w:rStyle w:val="FootnoteReference"/>
        </w:rPr>
        <w:footnoteReference w:id="29"/>
      </w:r>
      <w:r w:rsidR="00D11594">
        <w:t xml:space="preserve"> and suggests a successor proceeding discuss whether a PVRR metric should be required in BCR calculations.</w:t>
      </w:r>
      <w:r w:rsidR="00D11594">
        <w:rPr>
          <w:rStyle w:val="FootnoteReference"/>
        </w:rPr>
        <w:footnoteReference w:id="30"/>
      </w:r>
    </w:p>
    <w:p w:rsidR="00432271" w:rsidP="00D11594" w:rsidRDefault="00C06CDD" w14:paraId="1401A4FC" w14:textId="04B79FCE">
      <w:pPr>
        <w:pStyle w:val="Standard"/>
      </w:pPr>
      <w:r>
        <w:t>T</w:t>
      </w:r>
      <w:r w:rsidR="00A512ED">
        <w:t>h</w:t>
      </w:r>
      <w:r>
        <w:t xml:space="preserve">is rulemaking will consider necessary improvements to these two aspects of </w:t>
      </w:r>
      <w:r w:rsidR="00D13A28">
        <w:t xml:space="preserve">BCR </w:t>
      </w:r>
      <w:r w:rsidR="009B7ED9">
        <w:t xml:space="preserve">calculation to </w:t>
      </w:r>
      <w:r w:rsidR="00EF2AC0">
        <w:t xml:space="preserve">increase transparency and improve assessment of risk mitigations </w:t>
      </w:r>
      <w:r w:rsidR="0089041C">
        <w:t>that are part of the RAMP.</w:t>
      </w:r>
    </w:p>
    <w:p w:rsidR="00E2191D" w:rsidP="00C620A0" w:rsidRDefault="00E50867" w14:paraId="1658D85A" w14:textId="3F72750C">
      <w:pPr>
        <w:pStyle w:val="Standard"/>
      </w:pPr>
      <w:r>
        <w:t xml:space="preserve">On </w:t>
      </w:r>
      <w:r w:rsidR="00337A8D">
        <w:t>February </w:t>
      </w:r>
      <w:r w:rsidR="00AE6B66">
        <w:t>9</w:t>
      </w:r>
      <w:r>
        <w:t>, 202</w:t>
      </w:r>
      <w:r w:rsidR="00281BC0">
        <w:t>6</w:t>
      </w:r>
      <w:r w:rsidR="00F0708B">
        <w:t>,</w:t>
      </w:r>
      <w:r w:rsidR="00281BC0">
        <w:t xml:space="preserve"> PG&amp;E, SCE and SDG&amp;E filed </w:t>
      </w:r>
      <w:r w:rsidR="00D7750C">
        <w:t>A.26</w:t>
      </w:r>
      <w:r w:rsidR="00C26B9E">
        <w:noBreakHyphen/>
      </w:r>
      <w:r w:rsidR="00D7750C">
        <w:t>02</w:t>
      </w:r>
      <w:r w:rsidR="00C26B9E">
        <w:noBreakHyphen/>
      </w:r>
      <w:r w:rsidR="00D7750C">
        <w:t xml:space="preserve">005 </w:t>
      </w:r>
      <w:r w:rsidR="00337A8D">
        <w:t>“</w:t>
      </w:r>
      <w:r w:rsidRPr="003824F1" w:rsidR="00D7750C">
        <w:rPr>
          <w:i/>
          <w:iCs/>
        </w:rPr>
        <w:t xml:space="preserve">Joint Application of Pacific Gas and Electric Company (U39E), Southern California Edison (U338E) and </w:t>
      </w:r>
      <w:r w:rsidR="005870CF">
        <w:rPr>
          <w:i/>
          <w:iCs/>
        </w:rPr>
        <w:t>San </w:t>
      </w:r>
      <w:r w:rsidRPr="003824F1" w:rsidR="00D7750C">
        <w:rPr>
          <w:i/>
          <w:iCs/>
        </w:rPr>
        <w:t>Diego Gas</w:t>
      </w:r>
      <w:r w:rsidR="005870CF">
        <w:rPr>
          <w:i/>
          <w:iCs/>
        </w:rPr>
        <w:t xml:space="preserve"> &amp; </w:t>
      </w:r>
      <w:r w:rsidRPr="003824F1" w:rsidR="00D7750C">
        <w:rPr>
          <w:i/>
          <w:iCs/>
        </w:rPr>
        <w:t xml:space="preserve">Electric Company (U902E) Requesting Commission Approval of Proposals for a BCR Calculation Methodology, Audit Methodology, and Cost Recovery Conditions as Specified in </w:t>
      </w:r>
      <w:r w:rsidR="00EA67EC">
        <w:rPr>
          <w:i/>
          <w:iCs/>
        </w:rPr>
        <w:t>Resolution </w:t>
      </w:r>
      <w:r w:rsidRPr="003824F1" w:rsidR="00D7750C">
        <w:rPr>
          <w:i/>
          <w:iCs/>
        </w:rPr>
        <w:t>SPD</w:t>
      </w:r>
      <w:r w:rsidR="00C26B9E">
        <w:rPr>
          <w:i/>
          <w:iCs/>
        </w:rPr>
        <w:noBreakHyphen/>
      </w:r>
      <w:r w:rsidRPr="003824F1" w:rsidR="00D7750C">
        <w:rPr>
          <w:i/>
          <w:iCs/>
        </w:rPr>
        <w:t>37</w:t>
      </w:r>
      <w:r w:rsidR="00B64610">
        <w:rPr>
          <w:i/>
          <w:iCs/>
        </w:rPr>
        <w:t>.</w:t>
      </w:r>
      <w:r w:rsidR="00337A8D">
        <w:t>”</w:t>
      </w:r>
    </w:p>
    <w:p w:rsidR="00D03A14" w:rsidP="00D11594" w:rsidRDefault="003A62A2" w14:paraId="267DDE76" w14:textId="7CC2DDF5">
      <w:pPr>
        <w:pStyle w:val="Standard"/>
      </w:pPr>
      <w:r>
        <w:t xml:space="preserve">As noted in the application, </w:t>
      </w:r>
      <w:r w:rsidR="00337A8D">
        <w:t>“</w:t>
      </w:r>
      <w:r w:rsidR="00D942E9">
        <w:t>[t]</w:t>
      </w:r>
      <w:r w:rsidRPr="00D942E9" w:rsidR="00D942E9">
        <w:t xml:space="preserve">he processes, methodologies, cost recovery conditions and other considerations addressed in this proceeding apply only to a </w:t>
      </w:r>
      <w:r w:rsidR="00241D5D">
        <w:t>[</w:t>
      </w:r>
      <w:r w:rsidRPr="00D942E9" w:rsidR="00D942E9">
        <w:t>SB</w:t>
      </w:r>
      <w:r w:rsidR="00241D5D">
        <w:t>]</w:t>
      </w:r>
      <w:r w:rsidR="00432271">
        <w:t> </w:t>
      </w:r>
      <w:r w:rsidRPr="00D942E9" w:rsidR="00D942E9">
        <w:t>884 10</w:t>
      </w:r>
      <w:r w:rsidR="00C26B9E">
        <w:noBreakHyphen/>
      </w:r>
      <w:r w:rsidRPr="00D942E9" w:rsidR="00D942E9">
        <w:t>year undergrounding program and are not applicable to other programs or proceedings</w:t>
      </w:r>
      <w:r w:rsidR="00D942E9">
        <w:t>.</w:t>
      </w:r>
      <w:r w:rsidR="00337A8D">
        <w:t>”</w:t>
      </w:r>
      <w:r w:rsidRPr="00D942E9" w:rsidR="00D942E9">
        <w:t xml:space="preserve"> </w:t>
      </w:r>
      <w:r w:rsidR="0075371C">
        <w:t>Still, methods considered in A.26-02-005 may inform work in this proceeding.</w:t>
      </w:r>
    </w:p>
    <w:p w:rsidR="008542F5" w:rsidP="00CE43D1" w:rsidRDefault="00411667" w14:paraId="09BCF569" w14:textId="1020F078">
      <w:pPr>
        <w:pStyle w:val="Heading2"/>
      </w:pPr>
      <w:bookmarkStart w:name="_Toc224746110" w:id="30"/>
      <w:bookmarkStart w:name="_Toc228945622" w:id="31"/>
      <w:r>
        <w:t xml:space="preserve">Extending </w:t>
      </w:r>
      <w:r w:rsidRPr="009C3A18" w:rsidR="009C3A18">
        <w:t>Risk Spending Accountability</w:t>
      </w:r>
      <w:r w:rsidR="009C3A18">
        <w:br/>
      </w:r>
      <w:r w:rsidRPr="009C3A18" w:rsidR="009C3A18">
        <w:t>Reports</w:t>
      </w:r>
      <w:r>
        <w:t xml:space="preserve"> Filing Requirements </w:t>
      </w:r>
      <w:r w:rsidR="00B10D65">
        <w:t>to</w:t>
      </w:r>
      <w:r w:rsidR="00686B23">
        <w:br/>
      </w:r>
      <w:r w:rsidR="00A4043F">
        <w:t>Alpine Natural Gas Operating</w:t>
      </w:r>
      <w:r w:rsidR="00A4043F">
        <w:br/>
        <w:t xml:space="preserve">Company No. 1, LLC </w:t>
      </w:r>
      <w:r w:rsidR="00B10D65">
        <w:t>and</w:t>
      </w:r>
      <w:r w:rsidR="00A4043F">
        <w:br/>
      </w:r>
      <w:r w:rsidR="00B10D65">
        <w:t>W</w:t>
      </w:r>
      <w:r w:rsidR="0049031D">
        <w:t xml:space="preserve">est </w:t>
      </w:r>
      <w:r w:rsidR="00B10D65">
        <w:t>C</w:t>
      </w:r>
      <w:r w:rsidR="0049031D">
        <w:t>oast</w:t>
      </w:r>
      <w:r w:rsidR="00A4043F">
        <w:t xml:space="preserve"> </w:t>
      </w:r>
      <w:r w:rsidR="00B10D65">
        <w:t>G</w:t>
      </w:r>
      <w:r w:rsidR="0049031D">
        <w:t>as</w:t>
      </w:r>
      <w:r w:rsidR="00474BA0">
        <w:t xml:space="preserve"> Company, Inc.</w:t>
      </w:r>
      <w:bookmarkEnd w:id="30"/>
      <w:bookmarkEnd w:id="31"/>
    </w:p>
    <w:p w:rsidR="00432271" w:rsidP="00C34305" w:rsidRDefault="00F44FEC" w14:paraId="42704B15" w14:textId="582DF5CA">
      <w:pPr>
        <w:pStyle w:val="Standard"/>
      </w:pPr>
      <w:r>
        <w:t>D.22</w:t>
      </w:r>
      <w:r w:rsidR="00C26B9E">
        <w:noBreakHyphen/>
      </w:r>
      <w:r w:rsidR="00532A65">
        <w:t>10</w:t>
      </w:r>
      <w:r w:rsidR="00C26B9E">
        <w:noBreakHyphen/>
      </w:r>
      <w:r w:rsidR="00532A65">
        <w:t xml:space="preserve">002 </w:t>
      </w:r>
      <w:r w:rsidR="006E661B">
        <w:t xml:space="preserve">established RSAR filing requirements </w:t>
      </w:r>
      <w:r w:rsidR="002C1069">
        <w:t>for</w:t>
      </w:r>
      <w:r w:rsidR="00532A65">
        <w:t xml:space="preserve"> </w:t>
      </w:r>
      <w:r w:rsidR="00885C45">
        <w:t>B</w:t>
      </w:r>
      <w:r w:rsidR="006E661B">
        <w:t>V</w:t>
      </w:r>
      <w:r w:rsidR="00885C45">
        <w:t>E</w:t>
      </w:r>
      <w:r w:rsidR="00C908EA">
        <w:t>S</w:t>
      </w:r>
      <w:r w:rsidR="00885C45">
        <w:t xml:space="preserve">, </w:t>
      </w:r>
      <w:r w:rsidR="008C1144">
        <w:t>PacifiCorp</w:t>
      </w:r>
      <w:r w:rsidR="006E661B">
        <w:t>, Liberty, and SWG</w:t>
      </w:r>
      <w:r w:rsidR="00FD5927">
        <w:t xml:space="preserve"> but did not name the other </w:t>
      </w:r>
      <w:r w:rsidR="00F52877">
        <w:t>s</w:t>
      </w:r>
      <w:r w:rsidRPr="005510E2" w:rsidR="005510E2">
        <w:t xml:space="preserve">mall and </w:t>
      </w:r>
      <w:r w:rsidR="00F52877">
        <w:t>m</w:t>
      </w:r>
      <w:r w:rsidRPr="005510E2" w:rsidR="005510E2">
        <w:t>ulti</w:t>
      </w:r>
      <w:r w:rsidR="00C26B9E">
        <w:noBreakHyphen/>
      </w:r>
      <w:r w:rsidR="00F52877">
        <w:t>j</w:t>
      </w:r>
      <w:r w:rsidRPr="005510E2" w:rsidR="005510E2">
        <w:t xml:space="preserve">urisdictional </w:t>
      </w:r>
      <w:r w:rsidR="00F52877">
        <w:t>u</w:t>
      </w:r>
      <w:r w:rsidRPr="005510E2" w:rsidR="005510E2">
        <w:t>tilities (SMJUs</w:t>
      </w:r>
      <w:r w:rsidRPr="005510E2" w:rsidR="0067353C">
        <w:t>)</w:t>
      </w:r>
      <w:r w:rsidR="00F52877">
        <w:t>:</w:t>
      </w:r>
      <w:r w:rsidR="005510E2">
        <w:t xml:space="preserve"> </w:t>
      </w:r>
      <w:r w:rsidR="00FD5927">
        <w:t>Alpine</w:t>
      </w:r>
      <w:r w:rsidR="00154831">
        <w:t>,</w:t>
      </w:r>
      <w:r w:rsidR="00FD5927">
        <w:t xml:space="preserve"> and </w:t>
      </w:r>
      <w:r w:rsidR="005C444A">
        <w:t>WCG</w:t>
      </w:r>
      <w:r w:rsidR="001B7C82">
        <w:t xml:space="preserve">. </w:t>
      </w:r>
      <w:r w:rsidR="00F7740C">
        <w:t xml:space="preserve">As there is </w:t>
      </w:r>
      <w:r w:rsidR="00FB379D">
        <w:t>no explicit requirement for these utilities to file RSAR</w:t>
      </w:r>
      <w:r w:rsidR="00DD6875">
        <w:t>s, filing is optional</w:t>
      </w:r>
      <w:r w:rsidR="005A0BCA">
        <w:t xml:space="preserve">. So far, neither Alpine </w:t>
      </w:r>
      <w:r w:rsidR="004F0E96">
        <w:t>nor</w:t>
      </w:r>
      <w:r w:rsidR="005A0BCA">
        <w:t xml:space="preserve"> WCG </w:t>
      </w:r>
      <w:r w:rsidR="004F0E96">
        <w:t xml:space="preserve">have </w:t>
      </w:r>
      <w:r w:rsidR="005A0BCA">
        <w:lastRenderedPageBreak/>
        <w:t xml:space="preserve">filed </w:t>
      </w:r>
      <w:r w:rsidR="00EC0CB2">
        <w:t>RS</w:t>
      </w:r>
      <w:r w:rsidR="005A0BCA">
        <w:t xml:space="preserve">ARs. </w:t>
      </w:r>
      <w:r w:rsidR="004F0E96">
        <w:t xml:space="preserve">There may be legitimate reasons to not require </w:t>
      </w:r>
      <w:r w:rsidR="00CB42B7">
        <w:t>these utilities to file RSARs</w:t>
      </w:r>
      <w:r w:rsidR="00F52877">
        <w:t>.</w:t>
      </w:r>
      <w:r w:rsidR="00CB42B7">
        <w:t xml:space="preserve"> </w:t>
      </w:r>
      <w:r w:rsidR="00F52877">
        <w:t>H</w:t>
      </w:r>
      <w:r w:rsidR="00CB42B7">
        <w:t>owever</w:t>
      </w:r>
      <w:r w:rsidR="00D31B91">
        <w:t xml:space="preserve">, </w:t>
      </w:r>
      <w:r w:rsidR="008A3AAC">
        <w:t>requiring reporting</w:t>
      </w:r>
      <w:r w:rsidR="00F52877">
        <w:t xml:space="preserve"> would comply </w:t>
      </w:r>
      <w:r w:rsidR="00E250C5">
        <w:t xml:space="preserve">with </w:t>
      </w:r>
      <w:r w:rsidR="00B33264">
        <w:t>Pub. Util.</w:t>
      </w:r>
      <w:r w:rsidR="00E250C5">
        <w:t xml:space="preserve"> Code </w:t>
      </w:r>
      <w:r w:rsidR="00B33264">
        <w:t>Section </w:t>
      </w:r>
      <w:r w:rsidR="00E250C5">
        <w:t>591</w:t>
      </w:r>
      <w:r w:rsidR="00F52877">
        <w:t>, and would provide</w:t>
      </w:r>
      <w:r w:rsidR="00C727F4">
        <w:t xml:space="preserve"> transparency and accountability in utility safety</w:t>
      </w:r>
      <w:r w:rsidR="008A3AAC">
        <w:t xml:space="preserve"> program spending.</w:t>
      </w:r>
    </w:p>
    <w:p w:rsidR="00432271" w:rsidP="00C33961" w:rsidRDefault="001B7C82" w14:paraId="578BA52B" w14:textId="77777777">
      <w:pPr>
        <w:pStyle w:val="Standard"/>
      </w:pPr>
      <w:r>
        <w:t xml:space="preserve">This rulemaking will consider the </w:t>
      </w:r>
      <w:r w:rsidR="00FC1F47">
        <w:t xml:space="preserve">benefits and </w:t>
      </w:r>
      <w:r w:rsidR="00E11D93">
        <w:t>barriers</w:t>
      </w:r>
      <w:r>
        <w:t xml:space="preserve"> of extending reporting requirements adopted </w:t>
      </w:r>
      <w:r w:rsidR="00097941">
        <w:t>i</w:t>
      </w:r>
      <w:r w:rsidR="004C0BD4">
        <w:t>n</w:t>
      </w:r>
      <w:r>
        <w:t xml:space="preserve"> D.22</w:t>
      </w:r>
      <w:r w:rsidR="00C26B9E">
        <w:noBreakHyphen/>
      </w:r>
      <w:r>
        <w:t>10</w:t>
      </w:r>
      <w:r w:rsidR="00C26B9E">
        <w:noBreakHyphen/>
      </w:r>
      <w:r>
        <w:t xml:space="preserve">002 to all </w:t>
      </w:r>
      <w:r w:rsidR="0009436C">
        <w:t>SMJUs</w:t>
      </w:r>
      <w:r>
        <w:t xml:space="preserve"> operating in California.</w:t>
      </w:r>
    </w:p>
    <w:p w:rsidR="00553EB3" w:rsidP="00553EB3" w:rsidRDefault="00553EB3" w14:paraId="70DF2E1F" w14:textId="77777777">
      <w:pPr>
        <w:pStyle w:val="Heading1"/>
      </w:pPr>
      <w:bookmarkStart w:name="_Toc224746111" w:id="32"/>
      <w:bookmarkStart w:name="_Toc228945623" w:id="33"/>
      <w:r>
        <w:t>Preliminary Scoping Memo</w:t>
      </w:r>
      <w:bookmarkEnd w:id="33"/>
    </w:p>
    <w:p w:rsidR="00553EB3" w:rsidP="00553EB3" w:rsidRDefault="00553EB3" w14:paraId="11DCD23A" w14:textId="77947E03">
      <w:pPr>
        <w:pStyle w:val="Standard"/>
      </w:pPr>
      <w:r>
        <w:t>This rulemaking will be conducted in accordance with Article</w:t>
      </w:r>
      <w:r w:rsidR="005655EC">
        <w:t> </w:t>
      </w:r>
      <w:r>
        <w:t>6 of the Commission’s Rules of Practice and Procedure (Rules). As required by Rule</w:t>
      </w:r>
      <w:r w:rsidR="005655EC">
        <w:t> </w:t>
      </w:r>
      <w:r>
        <w:t>7.1(d), this OIR includes a preliminary scoping memo as set forth below and preliminarily determines the category of this proceeding and the need for hearing.</w:t>
      </w:r>
    </w:p>
    <w:p w:rsidRPr="00553EB3" w:rsidR="00553EB3" w:rsidP="00553EB3" w:rsidRDefault="00553EB3" w14:paraId="7A5AADC8" w14:textId="54072A5A">
      <w:pPr>
        <w:pStyle w:val="Standard"/>
      </w:pPr>
      <w:r>
        <w:t>In response to this OIR, parties will have the opportunity to provide comments on the preliminary schedule, issues, category, and need for hearing, as set forth below. After a prehearing conference, the assigned Commissioner will issue a Scoping Memo and Ruling that will establish the issues and procedural path in greater detail.</w:t>
      </w:r>
    </w:p>
    <w:p w:rsidR="00310388" w:rsidP="00553EB3" w:rsidRDefault="00310388" w14:paraId="29230347" w14:textId="68FD46A2">
      <w:pPr>
        <w:pStyle w:val="Heading2"/>
      </w:pPr>
      <w:bookmarkStart w:name="_Toc228945624" w:id="34"/>
      <w:r>
        <w:t xml:space="preserve">Preliminary </w:t>
      </w:r>
      <w:r w:rsidR="00073513">
        <w:t>S</w:t>
      </w:r>
      <w:r>
        <w:t xml:space="preserve">coping </w:t>
      </w:r>
      <w:r w:rsidR="00073513">
        <w:t>I</w:t>
      </w:r>
      <w:r>
        <w:t>ssues</w:t>
      </w:r>
      <w:bookmarkEnd w:id="32"/>
      <w:bookmarkEnd w:id="34"/>
    </w:p>
    <w:p w:rsidR="00310388" w:rsidP="00C34305" w:rsidRDefault="00E1023B" w14:paraId="6FB95DC7" w14:textId="7119F014">
      <w:pPr>
        <w:pStyle w:val="Standard"/>
      </w:pPr>
      <w:r>
        <w:t xml:space="preserve">The preliminary list </w:t>
      </w:r>
      <w:r w:rsidRPr="00F52877">
        <w:t>of</w:t>
      </w:r>
      <w:r>
        <w:t xml:space="preserve"> issues</w:t>
      </w:r>
      <w:r w:rsidR="00CA63B2">
        <w:t xml:space="preserve"> </w:t>
      </w:r>
      <w:r w:rsidR="00553EB3">
        <w:t>for the scope of</w:t>
      </w:r>
      <w:r>
        <w:t xml:space="preserve"> this rulemaking are as follows</w:t>
      </w:r>
      <w:r w:rsidR="00553EB3">
        <w:t>:</w:t>
      </w:r>
    </w:p>
    <w:p w:rsidRPr="003824F1" w:rsidR="00E1023B" w:rsidP="00AF1116" w:rsidRDefault="000845D7" w14:paraId="6A4903A6" w14:textId="121D336E">
      <w:pPr>
        <w:pStyle w:val="Section"/>
      </w:pPr>
      <w:r w:rsidRPr="003824F1">
        <w:t>Risk Tolerance</w:t>
      </w:r>
    </w:p>
    <w:p w:rsidR="00FF5571" w:rsidP="00B14AE0" w:rsidRDefault="007961A2" w14:paraId="02952E4C" w14:textId="4E582D0B">
      <w:pPr>
        <w:pStyle w:val="BlockQuoteH025"/>
        <w:numPr>
          <w:ilvl w:val="6"/>
          <w:numId w:val="6"/>
        </w:numPr>
        <w:tabs>
          <w:tab w:val="clear" w:pos="1080"/>
        </w:tabs>
      </w:pPr>
      <w:r w:rsidRPr="002A618C">
        <w:t>Should</w:t>
      </w:r>
      <w:r>
        <w:t xml:space="preserve"> the Commission adopt a Risk Tolerance </w:t>
      </w:r>
      <w:r w:rsidR="00197850">
        <w:t>S</w:t>
      </w:r>
      <w:r>
        <w:t xml:space="preserve">tandard or </w:t>
      </w:r>
      <w:r w:rsidR="00197850">
        <w:t>F</w:t>
      </w:r>
      <w:r>
        <w:t xml:space="preserve">ramework </w:t>
      </w:r>
      <w:r w:rsidR="004F5C99">
        <w:t xml:space="preserve">for </w:t>
      </w:r>
      <w:r w:rsidR="00252EAC">
        <w:t>the RDF</w:t>
      </w:r>
      <w:r>
        <w:t>?</w:t>
      </w:r>
      <w:r w:rsidR="001B7230">
        <w:t xml:space="preserve"> If so, what standard or framework </w:t>
      </w:r>
      <w:r w:rsidR="00020AF6">
        <w:t>should</w:t>
      </w:r>
      <w:r w:rsidR="001B7230">
        <w:t xml:space="preserve"> the Commission adopt?</w:t>
      </w:r>
    </w:p>
    <w:p w:rsidR="00655073" w:rsidP="00B14AE0" w:rsidRDefault="00655073" w14:paraId="086975C1" w14:textId="7ABE107A">
      <w:pPr>
        <w:pStyle w:val="BlockQuoteH025"/>
        <w:numPr>
          <w:ilvl w:val="6"/>
          <w:numId w:val="6"/>
        </w:numPr>
        <w:tabs>
          <w:tab w:val="clear" w:pos="1080"/>
        </w:tabs>
      </w:pPr>
      <w:r>
        <w:t xml:space="preserve">How should a </w:t>
      </w:r>
      <w:r w:rsidR="00254CB1">
        <w:t>R</w:t>
      </w:r>
      <w:r>
        <w:t>isk Tolerance Standard or Framework inform risk mitigation investments in GRC</w:t>
      </w:r>
      <w:r w:rsidR="00CA63B2">
        <w:t xml:space="preserve"> Phase</w:t>
      </w:r>
      <w:r w:rsidR="00E6008A">
        <w:t> </w:t>
      </w:r>
      <w:r w:rsidR="00CA63B2">
        <w:t>1 applications</w:t>
      </w:r>
      <w:r>
        <w:t>?</w:t>
      </w:r>
    </w:p>
    <w:p w:rsidR="00432271" w:rsidP="00B14AE0" w:rsidRDefault="00124CA2" w14:paraId="40535A0C" w14:textId="09D9B083">
      <w:pPr>
        <w:pStyle w:val="BlockQuoteH025"/>
        <w:numPr>
          <w:ilvl w:val="6"/>
          <w:numId w:val="6"/>
        </w:numPr>
        <w:tabs>
          <w:tab w:val="clear" w:pos="1080"/>
        </w:tabs>
      </w:pPr>
      <w:r>
        <w:lastRenderedPageBreak/>
        <w:t>Should</w:t>
      </w:r>
      <w:r w:rsidR="00645DBA">
        <w:t xml:space="preserve"> </w:t>
      </w:r>
      <w:r>
        <w:t>the Commission</w:t>
      </w:r>
      <w:r w:rsidR="00645DBA">
        <w:t xml:space="preserve">, and if so how, </w:t>
      </w:r>
      <w:r>
        <w:t xml:space="preserve">adopt a </w:t>
      </w:r>
      <w:r w:rsidR="00515AFD">
        <w:t xml:space="preserve">benchmark that reflects the level of </w:t>
      </w:r>
      <w:r w:rsidR="00E5752F">
        <w:t xml:space="preserve">common </w:t>
      </w:r>
      <w:r w:rsidR="00515AFD">
        <w:t>risk</w:t>
      </w:r>
      <w:r w:rsidR="00E5752F">
        <w:t>s</w:t>
      </w:r>
      <w:r w:rsidR="00515AFD">
        <w:t xml:space="preserve"> California utility customers </w:t>
      </w:r>
      <w:r w:rsidR="003348A2">
        <w:t xml:space="preserve">face in their everyday </w:t>
      </w:r>
      <w:r w:rsidR="00D4307D">
        <w:t xml:space="preserve">lives? </w:t>
      </w:r>
      <w:r w:rsidR="00EC572B">
        <w:t xml:space="preserve">How should this benchmark </w:t>
      </w:r>
      <w:r w:rsidR="00515AFD">
        <w:t xml:space="preserve">inform </w:t>
      </w:r>
      <w:r w:rsidR="00044B9A">
        <w:t>risk mitigation investments in GRC</w:t>
      </w:r>
      <w:r w:rsidR="00CA63B2">
        <w:t xml:space="preserve"> Phase</w:t>
      </w:r>
      <w:r w:rsidR="00F423B5">
        <w:t> </w:t>
      </w:r>
      <w:r w:rsidR="00CA63B2">
        <w:t>1 applications</w:t>
      </w:r>
      <w:r w:rsidR="00044B9A">
        <w:t>?</w:t>
      </w:r>
    </w:p>
    <w:p w:rsidRPr="00B74881" w:rsidR="009500FA" w:rsidP="00AF1116" w:rsidRDefault="009500FA" w14:paraId="52A524BE" w14:textId="234C472D">
      <w:pPr>
        <w:pStyle w:val="Section"/>
      </w:pPr>
      <w:r w:rsidRPr="00B74881">
        <w:t>RAMP Schedule and Process</w:t>
      </w:r>
    </w:p>
    <w:p w:rsidR="00F46D1E" w:rsidP="00B14AE0" w:rsidRDefault="00F46D1E" w14:paraId="2AA329AA" w14:textId="7FD93C52">
      <w:pPr>
        <w:pStyle w:val="BlockQuoteH025"/>
        <w:numPr>
          <w:ilvl w:val="6"/>
          <w:numId w:val="6"/>
        </w:numPr>
        <w:tabs>
          <w:tab w:val="clear" w:pos="1080"/>
        </w:tabs>
      </w:pPr>
      <w:r>
        <w:t xml:space="preserve">Should the Commission modify the Rate Case Plan to allow the </w:t>
      </w:r>
      <w:r w:rsidR="00142061">
        <w:t>SPD</w:t>
      </w:r>
      <w:r>
        <w:t xml:space="preserve"> more time to complete its evaluation of a utility</w:t>
      </w:r>
      <w:r w:rsidR="00337A8D">
        <w:t>’</w:t>
      </w:r>
      <w:r>
        <w:t>s RAMP application</w:t>
      </w:r>
      <w:r w:rsidRPr="001A0524">
        <w:t>?</w:t>
      </w:r>
    </w:p>
    <w:p w:rsidR="00432271" w:rsidP="00B14AE0" w:rsidRDefault="00F46D1E" w14:paraId="4AC966E6" w14:textId="77777777">
      <w:pPr>
        <w:pStyle w:val="BlockQuoteH025"/>
        <w:numPr>
          <w:ilvl w:val="6"/>
          <w:numId w:val="6"/>
        </w:numPr>
        <w:tabs>
          <w:tab w:val="clear" w:pos="1080"/>
        </w:tabs>
      </w:pPr>
      <w:r>
        <w:t xml:space="preserve">Should the </w:t>
      </w:r>
      <w:r w:rsidR="00142061">
        <w:t>structure of</w:t>
      </w:r>
      <w:r w:rsidR="0039525F">
        <w:t xml:space="preserve"> the formal schedule allow</w:t>
      </w:r>
      <w:r>
        <w:t xml:space="preserve"> parties </w:t>
      </w:r>
      <w:r w:rsidR="0039525F">
        <w:t xml:space="preserve">the option </w:t>
      </w:r>
      <w:r>
        <w:t>to provide informal comments on RAMP filings in addition to formal comments on RAMP filings and SPD evaluation report?</w:t>
      </w:r>
    </w:p>
    <w:p w:rsidRPr="00B74881" w:rsidR="00464EB2" w:rsidP="00AF1116" w:rsidRDefault="00464EB2" w14:paraId="2AB1C137" w14:textId="58B249E3">
      <w:pPr>
        <w:pStyle w:val="Section"/>
      </w:pPr>
      <w:r w:rsidRPr="00B74881">
        <w:t xml:space="preserve">Improvements to RDF </w:t>
      </w:r>
      <w:r w:rsidR="00142061">
        <w:t>BC</w:t>
      </w:r>
      <w:r w:rsidRPr="00B74881">
        <w:t>R Calculations</w:t>
      </w:r>
    </w:p>
    <w:p w:rsidR="00B82734" w:rsidP="00B14AE0" w:rsidRDefault="00B82734" w14:paraId="1C20A1F8" w14:textId="52E6A10D">
      <w:pPr>
        <w:pStyle w:val="BlockQuoteH025"/>
        <w:numPr>
          <w:ilvl w:val="6"/>
          <w:numId w:val="6"/>
        </w:numPr>
        <w:tabs>
          <w:tab w:val="clear" w:pos="1080"/>
        </w:tabs>
      </w:pPr>
      <w:r>
        <w:t xml:space="preserve">Should the Commission adopt a standard method </w:t>
      </w:r>
      <w:r w:rsidR="00DB6252">
        <w:t>to treat</w:t>
      </w:r>
      <w:r>
        <w:t xml:space="preserve"> O&amp;M expenses </w:t>
      </w:r>
      <w:r w:rsidR="00DB6252">
        <w:t>in the calculation of</w:t>
      </w:r>
      <w:r>
        <w:t xml:space="preserve"> </w:t>
      </w:r>
      <w:r w:rsidR="0044452B">
        <w:t>BCRs</w:t>
      </w:r>
      <w:r>
        <w:t>?</w:t>
      </w:r>
    </w:p>
    <w:p w:rsidR="0027282A" w:rsidP="00B14AE0" w:rsidRDefault="0027282A" w14:paraId="1C5484A1" w14:textId="61DE5E96">
      <w:pPr>
        <w:pStyle w:val="BlockQuoteH025"/>
        <w:numPr>
          <w:ilvl w:val="6"/>
          <w:numId w:val="6"/>
        </w:numPr>
        <w:tabs>
          <w:tab w:val="clear" w:pos="1080"/>
        </w:tabs>
      </w:pPr>
      <w:r>
        <w:t xml:space="preserve">Should </w:t>
      </w:r>
      <w:r w:rsidR="001A3426">
        <w:t>the Commission require</w:t>
      </w:r>
      <w:r w:rsidRPr="008A43DA">
        <w:t xml:space="preserve"> </w:t>
      </w:r>
      <w:r w:rsidR="009872C7">
        <w:t xml:space="preserve">BCR calculations to be </w:t>
      </w:r>
      <w:r w:rsidR="00DC6BEF">
        <w:t xml:space="preserve">based on </w:t>
      </w:r>
      <w:r w:rsidRPr="008A43DA">
        <w:t xml:space="preserve">an estimated ratepayer </w:t>
      </w:r>
      <w:r>
        <w:t>PVRR</w:t>
      </w:r>
      <w:r w:rsidRPr="008A43DA">
        <w:t xml:space="preserve"> </w:t>
      </w:r>
      <w:r w:rsidR="004E00FC">
        <w:t>in the RDF</w:t>
      </w:r>
      <w:r w:rsidRPr="008A43DA">
        <w:t>?</w:t>
      </w:r>
    </w:p>
    <w:p w:rsidR="00432271" w:rsidP="00AF1116" w:rsidRDefault="00306F15" w14:paraId="06A9F5DF" w14:textId="77777777">
      <w:pPr>
        <w:pStyle w:val="Section"/>
      </w:pPr>
      <w:r w:rsidRPr="00B74881">
        <w:t>S</w:t>
      </w:r>
      <w:r w:rsidRPr="00B74881" w:rsidR="003F16B1">
        <w:t>MJU Reporting</w:t>
      </w:r>
    </w:p>
    <w:p w:rsidRPr="00310388" w:rsidR="000845D7" w:rsidP="00B14AE0" w:rsidRDefault="00CB2D0F" w14:paraId="4F9F3A9A" w14:textId="65F8976F">
      <w:pPr>
        <w:pStyle w:val="BlockQuoteH025"/>
        <w:numPr>
          <w:ilvl w:val="6"/>
          <w:numId w:val="6"/>
        </w:numPr>
        <w:tabs>
          <w:tab w:val="clear" w:pos="1080"/>
        </w:tabs>
      </w:pPr>
      <w:r>
        <w:t xml:space="preserve">Should the Commission require Alpine and WCG to file RSAR reports </w:t>
      </w:r>
      <w:r w:rsidR="00D53F3B">
        <w:t xml:space="preserve">based on the requirements for other utilities in </w:t>
      </w:r>
      <w:r>
        <w:t>D.22</w:t>
      </w:r>
      <w:r w:rsidR="00C26B9E">
        <w:noBreakHyphen/>
      </w:r>
      <w:r>
        <w:t>10</w:t>
      </w:r>
      <w:r w:rsidR="00C26B9E">
        <w:noBreakHyphen/>
      </w:r>
      <w:r>
        <w:t>002</w:t>
      </w:r>
      <w:r w:rsidR="00020AF6">
        <w:t>?</w:t>
      </w:r>
    </w:p>
    <w:p w:rsidR="00432271" w:rsidP="00C34305" w:rsidRDefault="00553EB3" w14:paraId="549B2517" w14:textId="364752E3">
      <w:pPr>
        <w:pStyle w:val="Heading2"/>
      </w:pPr>
      <w:bookmarkStart w:name="_Toc224746112" w:id="35"/>
      <w:bookmarkStart w:name="_Toc228945625" w:id="36"/>
      <w:r>
        <w:t xml:space="preserve">Preliminary </w:t>
      </w:r>
      <w:r w:rsidR="00310388">
        <w:t>Schedule</w:t>
      </w:r>
      <w:bookmarkEnd w:id="35"/>
      <w:bookmarkEnd w:id="36"/>
    </w:p>
    <w:p w:rsidR="00432271" w:rsidP="00C34305" w:rsidRDefault="00083980" w14:paraId="6D972246" w14:textId="54496BB9">
      <w:pPr>
        <w:pStyle w:val="Standard"/>
      </w:pPr>
      <w:r>
        <w:t>The preliminary schedule for this proceeding is</w:t>
      </w:r>
      <w:r w:rsidR="00D53F3B">
        <w:t xml:space="preserve"> pr</w:t>
      </w:r>
      <w:r w:rsidR="00553EB3">
        <w:t xml:space="preserve">esented </w:t>
      </w:r>
      <w:r>
        <w:t>below.</w:t>
      </w:r>
    </w:p>
    <w:tbl>
      <w:tblPr>
        <w:tblStyle w:val="TableGrid"/>
        <w:tblW w:w="9360" w:type="dxa"/>
        <w:tblLayout w:type="fixed"/>
        <w:tblCellMar>
          <w:top w:w="58" w:type="dxa"/>
          <w:bottom w:w="58" w:type="dxa"/>
        </w:tblCellMar>
        <w:tblLook w:val="04A0" w:firstRow="1" w:lastRow="0" w:firstColumn="1" w:lastColumn="0" w:noHBand="0" w:noVBand="1"/>
      </w:tblPr>
      <w:tblGrid>
        <w:gridCol w:w="6025"/>
        <w:gridCol w:w="3335"/>
      </w:tblGrid>
      <w:tr w:rsidR="002F4A28" w:rsidTr="009576E8" w14:paraId="2459A315" w14:textId="77777777">
        <w:trPr>
          <w:tblHeader/>
        </w:trPr>
        <w:tc>
          <w:tcPr>
            <w:tcW w:w="6025" w:type="dxa"/>
          </w:tcPr>
          <w:p w:rsidR="002F4A28" w:rsidP="00AF1116" w:rsidRDefault="000F4D41" w14:paraId="2D18947E" w14:textId="56DEAD52">
            <w:pPr>
              <w:keepNext/>
              <w:spacing w:line="240" w:lineRule="auto"/>
              <w:ind w:firstLine="0"/>
              <w:jc w:val="center"/>
              <w:rPr>
                <w:b/>
                <w:bCs/>
              </w:rPr>
            </w:pPr>
            <w:r>
              <w:rPr>
                <w:b/>
                <w:bCs/>
              </w:rPr>
              <w:t>E</w:t>
            </w:r>
            <w:r w:rsidR="00553EB3">
              <w:rPr>
                <w:b/>
                <w:bCs/>
              </w:rPr>
              <w:t>vent</w:t>
            </w:r>
          </w:p>
        </w:tc>
        <w:tc>
          <w:tcPr>
            <w:tcW w:w="3335" w:type="dxa"/>
          </w:tcPr>
          <w:p w:rsidR="002F4A28" w:rsidP="00AF1116" w:rsidRDefault="000F4D41" w14:paraId="23057B58" w14:textId="78C0FBDA">
            <w:pPr>
              <w:keepNext/>
              <w:spacing w:line="240" w:lineRule="auto"/>
              <w:ind w:firstLine="0"/>
              <w:jc w:val="center"/>
              <w:rPr>
                <w:b/>
                <w:bCs/>
              </w:rPr>
            </w:pPr>
            <w:r>
              <w:rPr>
                <w:b/>
                <w:bCs/>
              </w:rPr>
              <w:t>D</w:t>
            </w:r>
            <w:r w:rsidR="00553EB3">
              <w:rPr>
                <w:b/>
                <w:bCs/>
              </w:rPr>
              <w:t>ate</w:t>
            </w:r>
          </w:p>
        </w:tc>
      </w:tr>
      <w:tr w:rsidRPr="00593128" w:rsidR="002F4A28" w:rsidTr="009576E8" w14:paraId="28CA778A" w14:textId="77777777">
        <w:tc>
          <w:tcPr>
            <w:tcW w:w="6025" w:type="dxa"/>
          </w:tcPr>
          <w:p w:rsidRPr="00594CED" w:rsidR="002F4A28" w:rsidP="00AF1116" w:rsidRDefault="002F4A28" w14:paraId="4E1B7FAF" w14:textId="77777777">
            <w:pPr>
              <w:pStyle w:val="Standard"/>
              <w:keepNext/>
              <w:spacing w:line="240" w:lineRule="auto"/>
              <w:ind w:firstLine="0"/>
            </w:pPr>
            <w:r w:rsidRPr="00594CED">
              <w:t>Comments on OIR filed and served</w:t>
            </w:r>
          </w:p>
        </w:tc>
        <w:tc>
          <w:tcPr>
            <w:tcW w:w="3335" w:type="dxa"/>
          </w:tcPr>
          <w:p w:rsidRPr="00594CED" w:rsidR="002F4A28" w:rsidP="00AF1116" w:rsidRDefault="002F4A28" w14:paraId="0FFE45DA" w14:textId="77777777">
            <w:pPr>
              <w:keepNext/>
              <w:spacing w:line="240" w:lineRule="auto"/>
              <w:ind w:firstLine="0"/>
              <w:jc w:val="center"/>
            </w:pPr>
            <w:r w:rsidRPr="00594CED">
              <w:t>30 days after OIR issued</w:t>
            </w:r>
          </w:p>
        </w:tc>
      </w:tr>
      <w:tr w:rsidRPr="00593128" w:rsidR="002F4A28" w:rsidTr="009576E8" w14:paraId="3E70AF66" w14:textId="77777777">
        <w:tc>
          <w:tcPr>
            <w:tcW w:w="6025" w:type="dxa"/>
          </w:tcPr>
          <w:p w:rsidRPr="00594CED" w:rsidR="002F4A28" w:rsidP="00AF1116" w:rsidRDefault="002F4A28" w14:paraId="7A58BD93" w14:textId="77777777">
            <w:pPr>
              <w:pStyle w:val="Standard"/>
              <w:spacing w:line="240" w:lineRule="auto"/>
              <w:ind w:firstLine="0"/>
            </w:pPr>
            <w:r w:rsidRPr="00594CED">
              <w:t>Replies on OIR filed and served</w:t>
            </w:r>
          </w:p>
        </w:tc>
        <w:tc>
          <w:tcPr>
            <w:tcW w:w="3335" w:type="dxa"/>
          </w:tcPr>
          <w:p w:rsidRPr="00594CED" w:rsidR="002F4A28" w:rsidP="00AF1116" w:rsidRDefault="001D7708" w14:paraId="396DA571" w14:textId="2D67666F">
            <w:pPr>
              <w:spacing w:line="240" w:lineRule="auto"/>
              <w:ind w:firstLine="0"/>
              <w:jc w:val="center"/>
            </w:pPr>
            <w:r>
              <w:t>40</w:t>
            </w:r>
            <w:r w:rsidRPr="00594CED" w:rsidR="002F4A28">
              <w:t xml:space="preserve"> days after OIR </w:t>
            </w:r>
            <w:r w:rsidR="00A73975">
              <w:t>i</w:t>
            </w:r>
            <w:r w:rsidRPr="00594CED" w:rsidR="002F4A28">
              <w:t>ssued</w:t>
            </w:r>
          </w:p>
        </w:tc>
      </w:tr>
      <w:tr w:rsidRPr="00593128" w:rsidR="002F4A28" w:rsidTr="009576E8" w14:paraId="38CB20AB" w14:textId="77777777">
        <w:tc>
          <w:tcPr>
            <w:tcW w:w="6025" w:type="dxa"/>
          </w:tcPr>
          <w:p w:rsidRPr="00594CED" w:rsidR="002F4A28" w:rsidP="00AF1116" w:rsidRDefault="002F4A28" w14:paraId="0405C39C" w14:textId="6E963767">
            <w:pPr>
              <w:pStyle w:val="Standard"/>
              <w:spacing w:line="240" w:lineRule="auto"/>
              <w:ind w:firstLine="0"/>
            </w:pPr>
            <w:r w:rsidRPr="00594CED">
              <w:t>Prehearing Conference</w:t>
            </w:r>
            <w:r w:rsidR="00947E3F">
              <w:t xml:space="preserve"> held</w:t>
            </w:r>
          </w:p>
        </w:tc>
        <w:tc>
          <w:tcPr>
            <w:tcW w:w="3335" w:type="dxa"/>
          </w:tcPr>
          <w:p w:rsidR="00234B1A" w:rsidP="00AF1116" w:rsidRDefault="00947E3F" w14:paraId="2004D8EB" w14:textId="77777777">
            <w:pPr>
              <w:spacing w:line="240" w:lineRule="auto"/>
              <w:ind w:firstLine="0"/>
              <w:jc w:val="center"/>
            </w:pPr>
            <w:r>
              <w:t>Within</w:t>
            </w:r>
            <w:r w:rsidR="00D53F3B">
              <w:t xml:space="preserve"> </w:t>
            </w:r>
            <w:r w:rsidRPr="00594CED" w:rsidR="002F4A28">
              <w:t>60 days</w:t>
            </w:r>
          </w:p>
          <w:p w:rsidRPr="00594CED" w:rsidR="002F4A28" w:rsidP="00AF1116" w:rsidRDefault="002F4A28" w14:paraId="6C2DEC32" w14:textId="7199454F">
            <w:pPr>
              <w:spacing w:line="240" w:lineRule="auto"/>
              <w:ind w:firstLine="0"/>
              <w:jc w:val="center"/>
            </w:pPr>
            <w:r w:rsidRPr="00594CED">
              <w:t>after OIR issued</w:t>
            </w:r>
          </w:p>
        </w:tc>
      </w:tr>
      <w:tr w:rsidRPr="00784B27" w:rsidR="002F4A28" w:rsidTr="009576E8" w14:paraId="4FF959E3" w14:textId="77777777">
        <w:tc>
          <w:tcPr>
            <w:tcW w:w="6025" w:type="dxa"/>
          </w:tcPr>
          <w:p w:rsidRPr="00746DFA" w:rsidR="002F4A28" w:rsidP="00AF1116" w:rsidRDefault="002F4A28" w14:paraId="63B1062D" w14:textId="19E3346E">
            <w:pPr>
              <w:pStyle w:val="Standard"/>
              <w:spacing w:line="240" w:lineRule="auto"/>
              <w:ind w:firstLine="0"/>
            </w:pPr>
            <w:r w:rsidRPr="00746DFA">
              <w:t>Scoping Memo</w:t>
            </w:r>
          </w:p>
        </w:tc>
        <w:tc>
          <w:tcPr>
            <w:tcW w:w="3335" w:type="dxa"/>
          </w:tcPr>
          <w:p w:rsidR="00234B1A" w:rsidP="00AF1116" w:rsidRDefault="00947E3F" w14:paraId="1D7EFC9A" w14:textId="77777777">
            <w:pPr>
              <w:spacing w:line="240" w:lineRule="auto"/>
              <w:ind w:firstLine="0"/>
              <w:jc w:val="center"/>
            </w:pPr>
            <w:r>
              <w:t>Around</w:t>
            </w:r>
            <w:r w:rsidR="00D53F3B">
              <w:t xml:space="preserve"> 90</w:t>
            </w:r>
            <w:r w:rsidRPr="00746DFA" w:rsidR="00D53F3B">
              <w:t xml:space="preserve"> </w:t>
            </w:r>
            <w:r w:rsidRPr="00746DFA" w:rsidR="002F4A28">
              <w:t>days</w:t>
            </w:r>
          </w:p>
          <w:p w:rsidRPr="00746DFA" w:rsidR="002F4A28" w:rsidP="00AF1116" w:rsidRDefault="002F4A28" w14:paraId="1946E62F" w14:textId="7A3D51FB">
            <w:pPr>
              <w:spacing w:line="240" w:lineRule="auto"/>
              <w:ind w:firstLine="0"/>
              <w:jc w:val="center"/>
            </w:pPr>
            <w:r w:rsidRPr="00746DFA">
              <w:t>after OIR issued</w:t>
            </w:r>
          </w:p>
        </w:tc>
      </w:tr>
      <w:tr w:rsidRPr="00593128" w:rsidR="002F4A28" w:rsidTr="009576E8" w14:paraId="2920A673" w14:textId="77777777">
        <w:tc>
          <w:tcPr>
            <w:tcW w:w="6025" w:type="dxa"/>
          </w:tcPr>
          <w:p w:rsidR="00014558" w:rsidP="00AF1116" w:rsidRDefault="002F4A28" w14:paraId="75C0DC46" w14:textId="77777777">
            <w:pPr>
              <w:pStyle w:val="Standard"/>
              <w:spacing w:line="240" w:lineRule="auto"/>
              <w:ind w:firstLine="0"/>
            </w:pPr>
            <w:r w:rsidRPr="00594CED">
              <w:t>Comments on Scoping Memo</w:t>
            </w:r>
            <w:r w:rsidR="00D53F3B">
              <w:t xml:space="preserve"> and replies</w:t>
            </w:r>
          </w:p>
          <w:p w:rsidRPr="00594CED" w:rsidR="002F4A28" w:rsidP="00AF1116" w:rsidRDefault="002F4A28" w14:paraId="2BFA37E0" w14:textId="3AE4C75C">
            <w:pPr>
              <w:pStyle w:val="Standard"/>
              <w:spacing w:line="240" w:lineRule="auto"/>
              <w:ind w:firstLine="0"/>
            </w:pPr>
            <w:r w:rsidRPr="00594CED">
              <w:lastRenderedPageBreak/>
              <w:t>filed and served</w:t>
            </w:r>
          </w:p>
        </w:tc>
        <w:tc>
          <w:tcPr>
            <w:tcW w:w="3335" w:type="dxa"/>
          </w:tcPr>
          <w:p w:rsidRPr="00594CED" w:rsidR="002F4A28" w:rsidP="00AF1116" w:rsidRDefault="002F4A28" w14:paraId="393E611F" w14:textId="57F43B8B">
            <w:pPr>
              <w:spacing w:line="240" w:lineRule="auto"/>
              <w:ind w:firstLine="0"/>
              <w:jc w:val="center"/>
            </w:pPr>
            <w:r w:rsidRPr="00594CED">
              <w:lastRenderedPageBreak/>
              <w:t>Q</w:t>
            </w:r>
            <w:r w:rsidR="004272B0">
              <w:t>3</w:t>
            </w:r>
            <w:r w:rsidRPr="00594CED">
              <w:t xml:space="preserve"> 2026</w:t>
            </w:r>
          </w:p>
        </w:tc>
      </w:tr>
      <w:tr w:rsidRPr="00593128" w:rsidR="002F4A28" w:rsidTr="009576E8" w14:paraId="47EF9A25" w14:textId="77777777">
        <w:tc>
          <w:tcPr>
            <w:tcW w:w="6025" w:type="dxa"/>
          </w:tcPr>
          <w:p w:rsidR="002F4A28" w:rsidP="00AF1116" w:rsidRDefault="002F4A28" w14:paraId="64693448" w14:textId="0B87E6C6">
            <w:pPr>
              <w:spacing w:line="240" w:lineRule="auto"/>
              <w:ind w:firstLine="0"/>
            </w:pPr>
            <w:r>
              <w:t>Ruling Seeking Party Proposals on Risk Tolerance</w:t>
            </w:r>
          </w:p>
        </w:tc>
        <w:tc>
          <w:tcPr>
            <w:tcW w:w="3335" w:type="dxa"/>
          </w:tcPr>
          <w:p w:rsidR="002F4A28" w:rsidP="00AF1116" w:rsidRDefault="002F4A28" w14:paraId="3307A91D" w14:textId="661272ED">
            <w:pPr>
              <w:spacing w:line="240" w:lineRule="auto"/>
              <w:ind w:firstLine="0"/>
              <w:jc w:val="center"/>
            </w:pPr>
            <w:r>
              <w:t>Q3 2026</w:t>
            </w:r>
          </w:p>
        </w:tc>
      </w:tr>
      <w:tr w:rsidRPr="00593128" w:rsidR="002F4A28" w:rsidTr="009576E8" w14:paraId="2A45C7FB" w14:textId="77777777">
        <w:tc>
          <w:tcPr>
            <w:tcW w:w="6025" w:type="dxa"/>
          </w:tcPr>
          <w:p w:rsidR="002F4A28" w:rsidP="00AF1116" w:rsidRDefault="002F4A28" w14:paraId="4DF96AC3" w14:textId="77777777">
            <w:pPr>
              <w:spacing w:line="240" w:lineRule="auto"/>
              <w:ind w:firstLine="0"/>
            </w:pPr>
            <w:r>
              <w:t xml:space="preserve">Workshop(s) </w:t>
            </w:r>
          </w:p>
        </w:tc>
        <w:tc>
          <w:tcPr>
            <w:tcW w:w="3335" w:type="dxa"/>
          </w:tcPr>
          <w:p w:rsidR="002F4A28" w:rsidP="00AF1116" w:rsidRDefault="002F4A28" w14:paraId="74819533" w14:textId="6CCFE35C">
            <w:pPr>
              <w:spacing w:line="240" w:lineRule="auto"/>
              <w:ind w:firstLine="0"/>
              <w:jc w:val="center"/>
            </w:pPr>
            <w:r>
              <w:t>Q3</w:t>
            </w:r>
            <w:r w:rsidR="00C26B9E">
              <w:noBreakHyphen/>
            </w:r>
            <w:r>
              <w:t>Q4 2026</w:t>
            </w:r>
          </w:p>
        </w:tc>
      </w:tr>
      <w:tr w:rsidRPr="00593128" w:rsidR="002F4A28" w:rsidTr="009576E8" w14:paraId="70470F0B" w14:textId="77777777">
        <w:tc>
          <w:tcPr>
            <w:tcW w:w="6025" w:type="dxa"/>
          </w:tcPr>
          <w:p w:rsidR="002F4A28" w:rsidP="00AF1116" w:rsidRDefault="002F4A28" w14:paraId="1CDE86A4" w14:textId="77777777">
            <w:pPr>
              <w:spacing w:line="240" w:lineRule="auto"/>
              <w:ind w:firstLine="0"/>
            </w:pPr>
            <w:r>
              <w:t xml:space="preserve">Party Risk Tolerance Proposals </w:t>
            </w:r>
          </w:p>
        </w:tc>
        <w:tc>
          <w:tcPr>
            <w:tcW w:w="3335" w:type="dxa"/>
          </w:tcPr>
          <w:p w:rsidR="002F4A28" w:rsidP="00AF1116" w:rsidRDefault="002F4A28" w14:paraId="1FE005B1" w14:textId="7E522486">
            <w:pPr>
              <w:spacing w:line="240" w:lineRule="auto"/>
              <w:ind w:firstLine="0"/>
              <w:jc w:val="center"/>
            </w:pPr>
            <w:r>
              <w:t>Q4 2026</w:t>
            </w:r>
          </w:p>
        </w:tc>
      </w:tr>
      <w:tr w:rsidRPr="00593128" w:rsidR="009143D6" w:rsidTr="009576E8" w14:paraId="5D4CDD91" w14:textId="77777777">
        <w:tc>
          <w:tcPr>
            <w:tcW w:w="6025" w:type="dxa"/>
          </w:tcPr>
          <w:p w:rsidRPr="00150D2E" w:rsidR="009143D6" w:rsidP="00AF1116" w:rsidRDefault="009143D6" w14:paraId="3FE43B3C" w14:textId="1F2E3F0D">
            <w:pPr>
              <w:spacing w:line="240" w:lineRule="auto"/>
              <w:ind w:firstLine="0"/>
            </w:pPr>
            <w:r w:rsidRPr="00150D2E">
              <w:t>Ruling on BCR Modifications</w:t>
            </w:r>
          </w:p>
        </w:tc>
        <w:tc>
          <w:tcPr>
            <w:tcW w:w="3335" w:type="dxa"/>
          </w:tcPr>
          <w:p w:rsidRPr="00150D2E" w:rsidR="009143D6" w:rsidP="00AF1116" w:rsidRDefault="007163F1" w14:paraId="31C13CF9" w14:textId="30501C4C">
            <w:pPr>
              <w:spacing w:line="240" w:lineRule="auto"/>
              <w:ind w:firstLine="0"/>
              <w:jc w:val="center"/>
            </w:pPr>
            <w:r>
              <w:t xml:space="preserve">Q1 </w:t>
            </w:r>
            <w:r w:rsidRPr="00150D2E" w:rsidR="009143D6">
              <w:t>20</w:t>
            </w:r>
            <w:r>
              <w:t>2</w:t>
            </w:r>
            <w:r w:rsidRPr="00150D2E" w:rsidR="009143D6">
              <w:t>7</w:t>
            </w:r>
          </w:p>
        </w:tc>
      </w:tr>
      <w:tr w:rsidRPr="00593128" w:rsidR="009143D6" w:rsidTr="009576E8" w14:paraId="6517E63E" w14:textId="77777777">
        <w:tc>
          <w:tcPr>
            <w:tcW w:w="6025" w:type="dxa"/>
          </w:tcPr>
          <w:p w:rsidR="009143D6" w:rsidP="00AF1116" w:rsidRDefault="009143D6" w14:paraId="1434902B" w14:textId="7EF2F6D4">
            <w:pPr>
              <w:spacing w:line="240" w:lineRule="auto"/>
              <w:ind w:firstLine="0"/>
            </w:pPr>
            <w:r>
              <w:t>Comments on Ruling on BCR Modifications</w:t>
            </w:r>
          </w:p>
        </w:tc>
        <w:tc>
          <w:tcPr>
            <w:tcW w:w="3335" w:type="dxa"/>
          </w:tcPr>
          <w:p w:rsidR="009143D6" w:rsidP="00AF1116" w:rsidRDefault="007163F1" w14:paraId="3F8B7BC4" w14:textId="0687B30E">
            <w:pPr>
              <w:spacing w:line="240" w:lineRule="auto"/>
              <w:ind w:firstLine="0"/>
              <w:jc w:val="center"/>
            </w:pPr>
            <w:r>
              <w:t>Q1</w:t>
            </w:r>
            <w:r w:rsidRPr="00150D2E" w:rsidR="002726F2">
              <w:t xml:space="preserve"> </w:t>
            </w:r>
            <w:r w:rsidRPr="00150D2E" w:rsidR="0050396F">
              <w:t>20</w:t>
            </w:r>
            <w:r>
              <w:t>2</w:t>
            </w:r>
            <w:r w:rsidRPr="00150D2E" w:rsidR="0050396F">
              <w:t>7</w:t>
            </w:r>
          </w:p>
        </w:tc>
      </w:tr>
      <w:tr w:rsidRPr="00593128" w:rsidR="002F4A28" w:rsidTr="009576E8" w14:paraId="7A01A4FD" w14:textId="77777777">
        <w:tc>
          <w:tcPr>
            <w:tcW w:w="6025" w:type="dxa"/>
          </w:tcPr>
          <w:p w:rsidR="002F4A28" w:rsidP="00AF1116" w:rsidRDefault="002F4A28" w14:paraId="71191E97" w14:textId="73E5A16F">
            <w:pPr>
              <w:spacing w:line="240" w:lineRule="auto"/>
              <w:ind w:firstLine="0"/>
            </w:pPr>
            <w:r>
              <w:t>Replies on Ruling on BCR Modifications</w:t>
            </w:r>
          </w:p>
        </w:tc>
        <w:tc>
          <w:tcPr>
            <w:tcW w:w="3335" w:type="dxa"/>
          </w:tcPr>
          <w:p w:rsidR="002F4A28" w:rsidP="00AF1116" w:rsidRDefault="002F4A28" w14:paraId="6BB781F6" w14:textId="0C5A4D94">
            <w:pPr>
              <w:spacing w:line="240" w:lineRule="auto"/>
              <w:ind w:firstLine="0"/>
              <w:jc w:val="center"/>
            </w:pPr>
            <w:r>
              <w:t>Q1 2027</w:t>
            </w:r>
          </w:p>
        </w:tc>
      </w:tr>
      <w:tr w:rsidRPr="00593128" w:rsidR="002F4A28" w:rsidTr="009576E8" w14:paraId="68BCFFD0" w14:textId="77777777">
        <w:tc>
          <w:tcPr>
            <w:tcW w:w="6025" w:type="dxa"/>
          </w:tcPr>
          <w:p w:rsidR="002F4A28" w:rsidP="00AF1116" w:rsidRDefault="002F4A28" w14:paraId="2C236A09" w14:textId="77777777">
            <w:pPr>
              <w:spacing w:line="240" w:lineRule="auto"/>
              <w:ind w:firstLine="0"/>
            </w:pPr>
            <w:r>
              <w:t xml:space="preserve">Comments on Risk Tolerance Party Proposals </w:t>
            </w:r>
          </w:p>
        </w:tc>
        <w:tc>
          <w:tcPr>
            <w:tcW w:w="3335" w:type="dxa"/>
          </w:tcPr>
          <w:p w:rsidR="002F4A28" w:rsidP="00AF1116" w:rsidRDefault="002F4A28" w14:paraId="65A792F0" w14:textId="7F5EE28E">
            <w:pPr>
              <w:spacing w:line="240" w:lineRule="auto"/>
              <w:ind w:firstLine="0"/>
              <w:jc w:val="center"/>
            </w:pPr>
            <w:r>
              <w:t>Q1 2027</w:t>
            </w:r>
          </w:p>
        </w:tc>
      </w:tr>
      <w:tr w:rsidRPr="00593128" w:rsidR="002F4A28" w:rsidTr="009576E8" w14:paraId="1B1DCE4C" w14:textId="77777777">
        <w:tc>
          <w:tcPr>
            <w:tcW w:w="6025" w:type="dxa"/>
          </w:tcPr>
          <w:p w:rsidR="002F4A28" w:rsidP="00AF1116" w:rsidRDefault="002F4A28" w14:paraId="35AECDB7" w14:textId="77777777">
            <w:pPr>
              <w:spacing w:line="240" w:lineRule="auto"/>
              <w:ind w:firstLine="0"/>
            </w:pPr>
            <w:r>
              <w:t xml:space="preserve">Replies on Risk Tolerance Party Proposals </w:t>
            </w:r>
          </w:p>
        </w:tc>
        <w:tc>
          <w:tcPr>
            <w:tcW w:w="3335" w:type="dxa"/>
          </w:tcPr>
          <w:p w:rsidR="002F4A28" w:rsidP="00AF1116" w:rsidRDefault="002F4A28" w14:paraId="0E16C8B0" w14:textId="76265FD6">
            <w:pPr>
              <w:spacing w:line="240" w:lineRule="auto"/>
              <w:ind w:firstLine="0"/>
              <w:jc w:val="center"/>
            </w:pPr>
            <w:r>
              <w:t>Q1 2027</w:t>
            </w:r>
          </w:p>
        </w:tc>
      </w:tr>
      <w:tr w:rsidRPr="00594CED" w:rsidR="002F4A28" w:rsidTr="009576E8" w14:paraId="47A9A7C4" w14:textId="77777777">
        <w:tc>
          <w:tcPr>
            <w:tcW w:w="6025" w:type="dxa"/>
          </w:tcPr>
          <w:p w:rsidRPr="00746DFA" w:rsidR="002F4A28" w:rsidP="00AF1116" w:rsidRDefault="002F4A28" w14:paraId="61800296" w14:textId="77777777">
            <w:pPr>
              <w:keepNext/>
              <w:spacing w:line="240" w:lineRule="auto"/>
              <w:ind w:firstLine="0"/>
            </w:pPr>
            <w:r w:rsidRPr="00746DFA">
              <w:t xml:space="preserve">Proposed Decision </w:t>
            </w:r>
          </w:p>
        </w:tc>
        <w:tc>
          <w:tcPr>
            <w:tcW w:w="3335" w:type="dxa"/>
          </w:tcPr>
          <w:p w:rsidRPr="00746DFA" w:rsidR="002F4A28" w:rsidP="00AF1116" w:rsidRDefault="002F4A28" w14:paraId="06F0318D" w14:textId="3937977E">
            <w:pPr>
              <w:keepNext/>
              <w:spacing w:line="240" w:lineRule="auto"/>
              <w:ind w:firstLine="0"/>
              <w:jc w:val="center"/>
            </w:pPr>
            <w:r w:rsidRPr="00746DFA">
              <w:t>Q2 2027</w:t>
            </w:r>
          </w:p>
        </w:tc>
      </w:tr>
      <w:tr w:rsidRPr="00594CED" w:rsidR="002F4A28" w:rsidTr="009576E8" w14:paraId="787F9C84" w14:textId="77777777">
        <w:tc>
          <w:tcPr>
            <w:tcW w:w="6025" w:type="dxa"/>
          </w:tcPr>
          <w:p w:rsidRPr="00746DFA" w:rsidR="002F4A28" w:rsidP="00AF1116" w:rsidRDefault="005A65F0" w14:paraId="5295F739" w14:textId="46C2D1B0">
            <w:pPr>
              <w:spacing w:line="240" w:lineRule="auto"/>
              <w:ind w:firstLine="0"/>
            </w:pPr>
            <w:r>
              <w:t>Final</w:t>
            </w:r>
            <w:r w:rsidRPr="00746DFA" w:rsidR="002F4A28">
              <w:t xml:space="preserve"> Decision</w:t>
            </w:r>
          </w:p>
        </w:tc>
        <w:tc>
          <w:tcPr>
            <w:tcW w:w="3335" w:type="dxa"/>
          </w:tcPr>
          <w:p w:rsidRPr="00746DFA" w:rsidR="002F4A28" w:rsidP="00AF1116" w:rsidRDefault="002F4A28" w14:paraId="5E3A2A8F" w14:textId="24BB9544">
            <w:pPr>
              <w:spacing w:line="240" w:lineRule="auto"/>
              <w:ind w:firstLine="0"/>
              <w:jc w:val="center"/>
            </w:pPr>
            <w:r w:rsidRPr="00746DFA">
              <w:t>Q2 2027</w:t>
            </w:r>
          </w:p>
        </w:tc>
      </w:tr>
    </w:tbl>
    <w:p w:rsidR="00432271" w:rsidP="00C34305" w:rsidRDefault="00857828" w14:paraId="6C051EC6" w14:textId="6B1E75D4">
      <w:pPr>
        <w:pStyle w:val="Standard"/>
      </w:pPr>
      <w:r w:rsidRPr="00A55C36">
        <w:t xml:space="preserve">The assigned Commissioner or the assigned Administrative Law Judge (ALJ) may change the schedule to promote </w:t>
      </w:r>
      <w:r w:rsidR="009E317C">
        <w:t xml:space="preserve">the </w:t>
      </w:r>
      <w:r w:rsidRPr="00A55C36">
        <w:t>efficient and fair administration of this proceeding.</w:t>
      </w:r>
    </w:p>
    <w:p w:rsidR="00857828" w:rsidP="00857828" w:rsidRDefault="00857828" w14:paraId="33534417" w14:textId="665C5D9F">
      <w:pPr>
        <w:pStyle w:val="Standard"/>
      </w:pPr>
      <w:r>
        <w:t>It is the Commission</w:t>
      </w:r>
      <w:r w:rsidR="00337A8D">
        <w:t>’</w:t>
      </w:r>
      <w:r>
        <w:t xml:space="preserve">s intent to complete this proceeding within 18 months of the date this decision is adopted </w:t>
      </w:r>
      <w:r w:rsidR="009E317C">
        <w:t>in accordance with Pub.</w:t>
      </w:r>
      <w:r w:rsidR="009576E8">
        <w:t> </w:t>
      </w:r>
      <w:r w:rsidR="009E317C">
        <w:t xml:space="preserve">Util. Code </w:t>
      </w:r>
      <w:r w:rsidR="00B33264">
        <w:t>Section </w:t>
      </w:r>
      <w:r>
        <w:t>1701.5(b).</w:t>
      </w:r>
    </w:p>
    <w:p w:rsidR="00857828" w:rsidP="00857828" w:rsidRDefault="00857828" w14:paraId="1C67F914" w14:textId="364D6873">
      <w:pPr>
        <w:pStyle w:val="Standard"/>
      </w:pPr>
      <w:r>
        <w:t>Notice of workshops and public meetings in this proceeding will be served to the service list of this proceeding and posted on the Commission</w:t>
      </w:r>
      <w:r w:rsidR="00337A8D">
        <w:t>’</w:t>
      </w:r>
      <w:r>
        <w:t>s Daily Calendar. The public will be informed if a decision</w:t>
      </w:r>
      <w:r w:rsidR="00C26B9E">
        <w:noBreakHyphen/>
      </w:r>
      <w:r>
        <w:t>maker or advisor may be present at those meetings or workshops.</w:t>
      </w:r>
    </w:p>
    <w:p w:rsidRPr="00073513" w:rsidR="00073513" w:rsidP="00C34305" w:rsidRDefault="00F10DC8" w14:paraId="2DC8946C" w14:textId="45346047">
      <w:pPr>
        <w:pStyle w:val="Heading2"/>
      </w:pPr>
      <w:bookmarkStart w:name="_Toc224746113" w:id="37"/>
      <w:bookmarkStart w:name="_Toc228945626" w:id="38"/>
      <w:r>
        <w:t>Opportunity for Comments</w:t>
      </w:r>
      <w:bookmarkEnd w:id="37"/>
      <w:bookmarkEnd w:id="38"/>
    </w:p>
    <w:p w:rsidR="006269EB" w:rsidP="006269EB" w:rsidRDefault="006269EB" w14:paraId="36E87BA8" w14:textId="21574222">
      <w:pPr>
        <w:pStyle w:val="Standard"/>
      </w:pPr>
      <w:bookmarkStart w:name="_Toc8123721" w:id="39"/>
      <w:r>
        <w:t xml:space="preserve">Pursuant to </w:t>
      </w:r>
      <w:r w:rsidR="00AF1116">
        <w:t>Rule 1.4</w:t>
      </w:r>
      <w:r w:rsidR="004E25AE">
        <w:t>(a)</w:t>
      </w:r>
      <w:r w:rsidR="00AF1116">
        <w:t>(2)</w:t>
      </w:r>
      <w:r>
        <w:t>, all entities and persons that submit comments on this OIR will automatically become parties</w:t>
      </w:r>
      <w:r w:rsidR="004E25AE">
        <w:t xml:space="preserve"> to this rulemaking</w:t>
      </w:r>
      <w:r>
        <w:t>.</w:t>
      </w:r>
    </w:p>
    <w:p w:rsidR="00087919" w:rsidP="00087919" w:rsidRDefault="00C146A8" w14:paraId="4DDF86FF" w14:textId="3A1C8742">
      <w:pPr>
        <w:pStyle w:val="Standard"/>
      </w:pPr>
      <w:r>
        <w:lastRenderedPageBreak/>
        <w:t>This OIR requests comments on the substantive questions in Appendix</w:t>
      </w:r>
      <w:r w:rsidR="008060C6">
        <w:t> </w:t>
      </w:r>
      <w:r w:rsidR="00087919">
        <w:t>A relating to Risk Tolerance, BCR Modifications, RAMP Schedule/Process, and SMJU Reporting</w:t>
      </w:r>
      <w:r>
        <w:t>.</w:t>
      </w:r>
    </w:p>
    <w:p w:rsidR="006269EB" w:rsidP="00087919" w:rsidRDefault="006269EB" w14:paraId="0FDCBE1E" w14:textId="47365860">
      <w:pPr>
        <w:pStyle w:val="Standard"/>
      </w:pPr>
      <w:r>
        <w:t xml:space="preserve">This OIR </w:t>
      </w:r>
      <w:r w:rsidR="00C146A8">
        <w:t xml:space="preserve">also </w:t>
      </w:r>
      <w:r>
        <w:t>solicits party comments on the following scoping and procedural questions:</w:t>
      </w:r>
    </w:p>
    <w:p w:rsidR="006269EB" w:rsidP="00B14AE0" w:rsidRDefault="006269EB" w14:paraId="22762F76" w14:textId="5AACBD51">
      <w:pPr>
        <w:pStyle w:val="BlockQuoteH025"/>
        <w:numPr>
          <w:ilvl w:val="7"/>
          <w:numId w:val="10"/>
        </w:numPr>
      </w:pPr>
      <w:r>
        <w:t>Whether changes to the preliminary scope of issues</w:t>
      </w:r>
      <w:r w:rsidR="00E254D4">
        <w:t xml:space="preserve"> should be made</w:t>
      </w:r>
      <w:r>
        <w:t>;</w:t>
      </w:r>
    </w:p>
    <w:p w:rsidR="006269EB" w:rsidP="00B14AE0" w:rsidRDefault="006269EB" w14:paraId="2B077BF0" w14:textId="77777777">
      <w:pPr>
        <w:pStyle w:val="BlockQuoteH025"/>
        <w:numPr>
          <w:ilvl w:val="7"/>
          <w:numId w:val="6"/>
        </w:numPr>
      </w:pPr>
      <w:r>
        <w:t>Whether there are objections to the preliminary categorization of this proceeding;</w:t>
      </w:r>
    </w:p>
    <w:p w:rsidR="006269EB" w:rsidP="00B14AE0" w:rsidRDefault="006269EB" w14:paraId="592A7742" w14:textId="77777777">
      <w:pPr>
        <w:pStyle w:val="BlockQuoteH025"/>
        <w:numPr>
          <w:ilvl w:val="7"/>
          <w:numId w:val="6"/>
        </w:numPr>
      </w:pPr>
      <w:r>
        <w:t>Whether evidentiary hearings are needed;</w:t>
      </w:r>
    </w:p>
    <w:p w:rsidR="006269EB" w:rsidP="00C34305" w:rsidRDefault="006269EB" w14:paraId="7AC2D829" w14:textId="0718764A">
      <w:pPr>
        <w:pStyle w:val="ListAlpha"/>
      </w:pPr>
      <w:r>
        <w:t xml:space="preserve">Whether </w:t>
      </w:r>
      <w:r w:rsidRPr="005A65F0" w:rsidR="005A65F0">
        <w:t>to hold workshop</w:t>
      </w:r>
      <w:r w:rsidR="005A65F0">
        <w:t>(</w:t>
      </w:r>
      <w:r w:rsidRPr="005A65F0" w:rsidR="005A65F0">
        <w:t>s</w:t>
      </w:r>
      <w:r w:rsidR="005A65F0">
        <w:t>)</w:t>
      </w:r>
      <w:r w:rsidRPr="005A65F0" w:rsidR="005A65F0">
        <w:t xml:space="preserve"> on any of the following topics: Risk Tolerance, BCR Modifications, RAMP Schedule/Process, and/or SMJU Reporting</w:t>
      </w:r>
      <w:r>
        <w:t>; and</w:t>
      </w:r>
    </w:p>
    <w:p w:rsidR="00432271" w:rsidP="00B14AE0" w:rsidRDefault="006269EB" w14:paraId="4470C046" w14:textId="77777777">
      <w:pPr>
        <w:pStyle w:val="BlockQuoteH025"/>
        <w:numPr>
          <w:ilvl w:val="7"/>
          <w:numId w:val="6"/>
        </w:numPr>
      </w:pPr>
      <w:r>
        <w:t>Whether there are any additional procedural issues that may impact just and efficient conduct of this OIR.</w:t>
      </w:r>
    </w:p>
    <w:p w:rsidRPr="002E7934" w:rsidR="006269EB" w:rsidP="00C34305" w:rsidRDefault="006269EB" w14:paraId="2A673751" w14:textId="3B5E6057">
      <w:pPr>
        <w:pStyle w:val="Heading2"/>
      </w:pPr>
      <w:bookmarkStart w:name="_Toc224746114" w:id="40"/>
      <w:bookmarkStart w:name="_Toc228945627" w:id="41"/>
      <w:r w:rsidRPr="002E7934">
        <w:t>Categorization and Need for Hearing</w:t>
      </w:r>
      <w:bookmarkEnd w:id="40"/>
      <w:bookmarkEnd w:id="41"/>
    </w:p>
    <w:p w:rsidR="006269EB" w:rsidP="00825EEE" w:rsidRDefault="009C21CB" w14:paraId="54C1EB4D" w14:textId="7ED14B56">
      <w:pPr>
        <w:pStyle w:val="Standard"/>
      </w:pPr>
      <w:r>
        <w:t>Rule </w:t>
      </w:r>
      <w:r w:rsidR="006269EB">
        <w:t>7.1(d) requires that an OIR preliminarily determine the category of the proceeding and the need for a hearing. We preliminarily determine that this proceeding is quasi</w:t>
      </w:r>
      <w:r w:rsidR="00C26B9E">
        <w:noBreakHyphen/>
      </w:r>
      <w:r w:rsidR="006269EB">
        <w:t xml:space="preserve">legislative as defined in </w:t>
      </w:r>
      <w:r>
        <w:t>Rule </w:t>
      </w:r>
      <w:r w:rsidR="006269EB">
        <w:t>1.</w:t>
      </w:r>
      <w:r w:rsidR="00466603">
        <w:t>3</w:t>
      </w:r>
      <w:r w:rsidR="006269EB">
        <w:t>(</w:t>
      </w:r>
      <w:r w:rsidR="00666D5C">
        <w:t>f</w:t>
      </w:r>
      <w:r w:rsidR="006269EB">
        <w:t xml:space="preserve">). This </w:t>
      </w:r>
      <w:r w:rsidR="00666D5C">
        <w:t xml:space="preserve">preliminary </w:t>
      </w:r>
      <w:r w:rsidR="006269EB">
        <w:t>determination is not appealable, but shall be confirmed or changed via ruling by the assigned Commissioner. The assigned Commissioner</w:t>
      </w:r>
      <w:r w:rsidR="00337A8D">
        <w:t>’</w:t>
      </w:r>
      <w:r w:rsidR="006269EB">
        <w:t xml:space="preserve">s determination as to category is subject to appeal pursuant to </w:t>
      </w:r>
      <w:r w:rsidR="00055DD0">
        <w:t>Rule </w:t>
      </w:r>
      <w:r w:rsidR="006269EB">
        <w:t>7.6.</w:t>
      </w:r>
    </w:p>
    <w:p w:rsidR="006269EB" w:rsidP="00825EEE" w:rsidRDefault="006269EB" w14:paraId="2E6CD0C0" w14:textId="77777777">
      <w:pPr>
        <w:pStyle w:val="Standard"/>
      </w:pPr>
      <w:r>
        <w:t>We anticipate that the issues in this proceeding may be resolved through a combination of filed comments and workshop(s), and that evidentiary hearings will not be necessary. Any person who objects to the preliminary hearing determination shall state the objections in their comments on this OIR. The assigned Commissioner will determine the need for hearing in the scoping ruling.</w:t>
      </w:r>
    </w:p>
    <w:p w:rsidRPr="0052498B" w:rsidR="003B4CD6" w:rsidP="0035529F" w:rsidRDefault="003B4CD6" w14:paraId="3DACECB1" w14:textId="77777777">
      <w:pPr>
        <w:pStyle w:val="Heading1"/>
      </w:pPr>
      <w:bookmarkStart w:name="_Toc224746115" w:id="42"/>
      <w:bookmarkStart w:name="_Toc228945628" w:id="43"/>
      <w:r w:rsidRPr="0052498B">
        <w:lastRenderedPageBreak/>
        <w:t>Respondents</w:t>
      </w:r>
      <w:bookmarkEnd w:id="42"/>
      <w:bookmarkEnd w:id="43"/>
    </w:p>
    <w:p w:rsidR="00432271" w:rsidP="003B4CD6" w:rsidRDefault="005123BB" w14:paraId="23A8A4E7" w14:textId="40FE715F">
      <w:pPr>
        <w:pStyle w:val="Standard"/>
      </w:pPr>
      <w:r>
        <w:t>Alpine</w:t>
      </w:r>
      <w:r w:rsidR="00362DB2">
        <w:t xml:space="preserve">, </w:t>
      </w:r>
      <w:r w:rsidR="001F53B2">
        <w:t xml:space="preserve">BVES, </w:t>
      </w:r>
      <w:r w:rsidRPr="0052498B" w:rsidR="001F53B2">
        <w:t>Liberty Utilities (CalPeco Electric)</w:t>
      </w:r>
      <w:r w:rsidR="001F53B2">
        <w:t>,</w:t>
      </w:r>
      <w:r w:rsidRPr="001F53B2" w:rsidR="001F53B2">
        <w:t xml:space="preserve"> </w:t>
      </w:r>
      <w:r w:rsidRPr="0052498B" w:rsidR="001F53B2">
        <w:t>PacifiCorp</w:t>
      </w:r>
      <w:r w:rsidR="001F53B2">
        <w:t>, PG&amp;E, SCE, SDG&amp;E</w:t>
      </w:r>
      <w:r w:rsidRPr="0052498B" w:rsidR="001F53B2">
        <w:t>, Southern California Gas Company</w:t>
      </w:r>
      <w:r w:rsidR="001F53B2">
        <w:t xml:space="preserve">, SWG, and </w:t>
      </w:r>
      <w:r w:rsidR="00774AC4">
        <w:t>WCGC</w:t>
      </w:r>
      <w:r w:rsidRPr="0052498B" w:rsidR="003B4CD6">
        <w:t xml:space="preserve"> are named as respondents to this proceeding.</w:t>
      </w:r>
    </w:p>
    <w:p w:rsidR="00666D5C" w:rsidP="00666D5C" w:rsidRDefault="00666D5C" w14:paraId="54079D16" w14:textId="475FD72E">
      <w:pPr>
        <w:pStyle w:val="Standard"/>
      </w:pPr>
      <w:r w:rsidRPr="00666D5C">
        <w:t>Respondents are parties to the proceeding (</w:t>
      </w:r>
      <w:r w:rsidRPr="00D91885">
        <w:rPr>
          <w:i/>
          <w:iCs/>
        </w:rPr>
        <w:t>see</w:t>
      </w:r>
      <w:r w:rsidRPr="00666D5C">
        <w:t xml:space="preserve"> Rule</w:t>
      </w:r>
      <w:r w:rsidR="000955C3">
        <w:t> </w:t>
      </w:r>
      <w:r w:rsidRPr="00666D5C">
        <w:t>1.4(d))</w:t>
      </w:r>
      <w:r>
        <w:t>.</w:t>
      </w:r>
      <w:r w:rsidRPr="00666D5C">
        <w:t xml:space="preserve"> </w:t>
      </w:r>
      <w:r>
        <w:t>W</w:t>
      </w:r>
      <w:r w:rsidRPr="00666D5C">
        <w:t>ithin 15 days of the effective date of this OIR, each respondent shall inform the Commission’s Process Office of the contact information for a single representative; other representatives and persons affiliated with the respondents may be placed on the Information Only service list. The request must be sent to the Commission’s Process Office by email (</w:t>
      </w:r>
      <w:hyperlink w:history="1" r:id="rId17">
        <w:r w:rsidRPr="00D7300C">
          <w:rPr>
            <w:rStyle w:val="Hyperlink"/>
          </w:rPr>
          <w:t>Process_Office@cpuc.ca.gov</w:t>
        </w:r>
      </w:hyperlink>
      <w:r w:rsidRPr="00666D5C">
        <w:t>). Please include the Docket Number of this rulemaking in the request.</w:t>
      </w:r>
    </w:p>
    <w:p w:rsidR="00432271" w:rsidP="0035529F" w:rsidRDefault="004639A1" w14:paraId="634CC61F" w14:textId="77777777">
      <w:pPr>
        <w:pStyle w:val="Heading1"/>
      </w:pPr>
      <w:bookmarkStart w:name="_Toc88569645" w:id="44"/>
      <w:bookmarkStart w:name="_Toc224746116" w:id="45"/>
      <w:bookmarkStart w:name="_Toc228945629" w:id="46"/>
      <w:bookmarkEnd w:id="39"/>
      <w:r w:rsidRPr="009A7F58">
        <w:t xml:space="preserve">Service of </w:t>
      </w:r>
      <w:bookmarkEnd w:id="44"/>
      <w:r w:rsidRPr="009A7F58">
        <w:t>Order Instituting Rulemaking</w:t>
      </w:r>
      <w:bookmarkEnd w:id="45"/>
      <w:bookmarkEnd w:id="46"/>
    </w:p>
    <w:p w:rsidR="00432271" w:rsidP="004639A1" w:rsidRDefault="004639A1" w14:paraId="6B5ED1B9" w14:textId="3DB4964A">
      <w:pPr>
        <w:pStyle w:val="Standard"/>
      </w:pPr>
      <w:r w:rsidRPr="009A7F58">
        <w:t xml:space="preserve">This OIR shall be served to all proceeding respondents. In the interest of broad notice, this OIR will </w:t>
      </w:r>
      <w:r w:rsidR="00666D5C">
        <w:t xml:space="preserve">also </w:t>
      </w:r>
      <w:r w:rsidRPr="009A7F58">
        <w:t>be served on the official service lists for the following proceedings:</w:t>
      </w:r>
    </w:p>
    <w:p w:rsidR="00AB14B5" w:rsidP="00B14AE0" w:rsidRDefault="00AB14B5" w14:paraId="16719AF4" w14:textId="33FA9DA9">
      <w:pPr>
        <w:pStyle w:val="BlockQuoteH033"/>
        <w:numPr>
          <w:ilvl w:val="1"/>
          <w:numId w:val="3"/>
        </w:numPr>
        <w:ind w:left="1195" w:hanging="475"/>
      </w:pPr>
      <w:r>
        <w:t>R.20</w:t>
      </w:r>
      <w:r w:rsidR="00C26B9E">
        <w:noBreakHyphen/>
      </w:r>
      <w:r>
        <w:t>07</w:t>
      </w:r>
      <w:r w:rsidR="00C26B9E">
        <w:noBreakHyphen/>
      </w:r>
      <w:r>
        <w:t>013</w:t>
      </w:r>
      <w:r w:rsidR="00337A8D">
        <w:t xml:space="preserve">:  </w:t>
      </w:r>
      <w:r>
        <w:t xml:space="preserve">Order Instituting Rulemaking to Further Develop </w:t>
      </w:r>
      <w:r w:rsidR="00EA67EC">
        <w:t xml:space="preserve">a </w:t>
      </w:r>
      <w:r>
        <w:t>Risk</w:t>
      </w:r>
      <w:r w:rsidR="00C26B9E">
        <w:noBreakHyphen/>
      </w:r>
      <w:r>
        <w:t>Based Decision</w:t>
      </w:r>
      <w:r w:rsidR="00C26B9E">
        <w:noBreakHyphen/>
      </w:r>
      <w:r>
        <w:t>Making Framework for Electric and Gas Utilities.</w:t>
      </w:r>
    </w:p>
    <w:p w:rsidR="00AB14B5" w:rsidP="00B14AE0" w:rsidRDefault="00AB14B5" w14:paraId="1F525344" w14:textId="15A5AA2C">
      <w:pPr>
        <w:pStyle w:val="BlockQuoteH033"/>
        <w:numPr>
          <w:ilvl w:val="1"/>
          <w:numId w:val="3"/>
        </w:numPr>
        <w:ind w:left="1195" w:hanging="475"/>
      </w:pPr>
      <w:r>
        <w:t>A.25</w:t>
      </w:r>
      <w:r w:rsidR="00C26B9E">
        <w:noBreakHyphen/>
      </w:r>
      <w:r>
        <w:t>05</w:t>
      </w:r>
      <w:r w:rsidR="00C26B9E">
        <w:noBreakHyphen/>
      </w:r>
      <w:r>
        <w:t>009</w:t>
      </w:r>
      <w:r w:rsidR="00337A8D">
        <w:t xml:space="preserve">:  </w:t>
      </w:r>
      <w:r w:rsidRPr="00E00480">
        <w:t xml:space="preserve">Application of Pacific Gas and Electric Company for Authority, Among Other Things, to Increase Rates and Charges for Electric and Gas Service Effective on </w:t>
      </w:r>
      <w:r w:rsidR="00337A8D">
        <w:t>January </w:t>
      </w:r>
      <w:r w:rsidRPr="00E00480">
        <w:t xml:space="preserve">1, </w:t>
      </w:r>
      <w:r w:rsidR="002A5B3A">
        <w:t>202</w:t>
      </w:r>
      <w:r w:rsidRPr="00C22879">
        <w:t>7 (</w:t>
      </w:r>
      <w:r w:rsidR="00AD1C03">
        <w:t>U </w:t>
      </w:r>
      <w:r w:rsidRPr="00C22879">
        <w:t>3</w:t>
      </w:r>
      <w:r w:rsidR="00AD1C03">
        <w:t>9 M</w:t>
      </w:r>
      <w:r w:rsidRPr="00C22879">
        <w:t>)</w:t>
      </w:r>
      <w:r>
        <w:t>.</w:t>
      </w:r>
    </w:p>
    <w:p w:rsidR="00AB14B5" w:rsidP="00B14AE0" w:rsidRDefault="00AB14B5" w14:paraId="34511C43" w14:textId="277C61B8">
      <w:pPr>
        <w:pStyle w:val="BlockQuoteH033"/>
        <w:numPr>
          <w:ilvl w:val="1"/>
          <w:numId w:val="3"/>
        </w:numPr>
        <w:ind w:left="1195" w:hanging="475"/>
      </w:pPr>
      <w:r>
        <w:t>A.23</w:t>
      </w:r>
      <w:r w:rsidR="00C26B9E">
        <w:noBreakHyphen/>
      </w:r>
      <w:r>
        <w:t>05</w:t>
      </w:r>
      <w:r w:rsidR="00C26B9E">
        <w:noBreakHyphen/>
      </w:r>
      <w:r>
        <w:t>010</w:t>
      </w:r>
      <w:r w:rsidR="00337A8D">
        <w:t xml:space="preserve">:  </w:t>
      </w:r>
      <w:r w:rsidRPr="00C22879">
        <w:t>Application of Southern California Edison Company (</w:t>
      </w:r>
      <w:r w:rsidR="00AD1C03">
        <w:t>U </w:t>
      </w:r>
      <w:r w:rsidRPr="00C22879">
        <w:t>338</w:t>
      </w:r>
      <w:r w:rsidR="00C26B9E">
        <w:noBreakHyphen/>
      </w:r>
      <w:r w:rsidRPr="00C22879">
        <w:t xml:space="preserve">E) </w:t>
      </w:r>
      <w:r w:rsidR="00696AC8">
        <w:t>for</w:t>
      </w:r>
      <w:r w:rsidRPr="00C22879">
        <w:t xml:space="preserve"> Authority to Increase Its Authorized Revenues for Electric Service</w:t>
      </w:r>
      <w:r w:rsidR="00774275">
        <w:t xml:space="preserve"> in </w:t>
      </w:r>
      <w:r w:rsidRPr="00C22879">
        <w:t>2025, Among Other Things, and to Reflect That Increase in Rates.</w:t>
      </w:r>
    </w:p>
    <w:p w:rsidR="00AB14B5" w:rsidP="00B14AE0" w:rsidRDefault="00AB14B5" w14:paraId="26B617E6" w14:textId="1A70378F">
      <w:pPr>
        <w:pStyle w:val="BlockQuoteH033"/>
        <w:numPr>
          <w:ilvl w:val="1"/>
          <w:numId w:val="3"/>
        </w:numPr>
        <w:ind w:left="1195" w:hanging="475"/>
      </w:pPr>
      <w:r>
        <w:t>A.22</w:t>
      </w:r>
      <w:r w:rsidR="00C26B9E">
        <w:noBreakHyphen/>
      </w:r>
      <w:r>
        <w:t>05</w:t>
      </w:r>
      <w:r w:rsidR="00C26B9E">
        <w:noBreakHyphen/>
      </w:r>
      <w:r>
        <w:t>015/016</w:t>
      </w:r>
      <w:r w:rsidR="00337A8D">
        <w:t xml:space="preserve">:  </w:t>
      </w:r>
      <w:r w:rsidRPr="007E194D">
        <w:t xml:space="preserve">Application of Southern California Gas Company (U904G) for Authority, Among Other Things, to Update </w:t>
      </w:r>
      <w:r w:rsidRPr="007E194D" w:rsidR="00EA67EC">
        <w:t xml:space="preserve">Its </w:t>
      </w:r>
      <w:r w:rsidRPr="007E194D">
        <w:t xml:space="preserve">Gas Revenue Requirement and Base Rates Effective on </w:t>
      </w:r>
      <w:r w:rsidR="00337A8D">
        <w:t>January </w:t>
      </w:r>
      <w:r w:rsidRPr="007E194D">
        <w:t>1, 2024.</w:t>
      </w:r>
    </w:p>
    <w:p w:rsidR="00AB14B5" w:rsidP="00B14AE0" w:rsidRDefault="00AB14B5" w14:paraId="32BF9910" w14:textId="71EE4268">
      <w:pPr>
        <w:pStyle w:val="BlockQuoteH033"/>
        <w:numPr>
          <w:ilvl w:val="1"/>
          <w:numId w:val="3"/>
        </w:numPr>
        <w:ind w:left="1195" w:hanging="475"/>
      </w:pPr>
      <w:r w:rsidRPr="00FB1C11">
        <w:lastRenderedPageBreak/>
        <w:t>A.22</w:t>
      </w:r>
      <w:r w:rsidR="00C26B9E">
        <w:noBreakHyphen/>
      </w:r>
      <w:r w:rsidRPr="00FB1C11">
        <w:t>08</w:t>
      </w:r>
      <w:r w:rsidR="00C26B9E">
        <w:noBreakHyphen/>
      </w:r>
      <w:r w:rsidRPr="00FB1C11">
        <w:t>010</w:t>
      </w:r>
      <w:r w:rsidR="00337A8D">
        <w:t xml:space="preserve">:  </w:t>
      </w:r>
      <w:r w:rsidRPr="00526A53">
        <w:t xml:space="preserve">Application of Bear Valley Electric Service, Inc. (U913E) for Authority to, Among Other Things, Increase Rates and Charges, and Authorized Revenues, for Electric Service Effective </w:t>
      </w:r>
      <w:r w:rsidR="00337A8D">
        <w:t>January </w:t>
      </w:r>
      <w:r w:rsidRPr="00526A53">
        <w:t>1, 2023.</w:t>
      </w:r>
    </w:p>
    <w:p w:rsidR="00AB14B5" w:rsidP="00B14AE0" w:rsidRDefault="00AB14B5" w14:paraId="7B5FD1BA" w14:textId="48A74916">
      <w:pPr>
        <w:pStyle w:val="BlockQuoteH033"/>
        <w:numPr>
          <w:ilvl w:val="1"/>
          <w:numId w:val="3"/>
        </w:numPr>
        <w:ind w:left="1195" w:hanging="475"/>
      </w:pPr>
      <w:r>
        <w:t>A.24</w:t>
      </w:r>
      <w:r w:rsidR="00C26B9E">
        <w:noBreakHyphen/>
      </w:r>
      <w:r>
        <w:t>09</w:t>
      </w:r>
      <w:r w:rsidR="00C26B9E">
        <w:noBreakHyphen/>
      </w:r>
      <w:r>
        <w:t>010</w:t>
      </w:r>
      <w:r w:rsidR="00337A8D">
        <w:t xml:space="preserve">:  </w:t>
      </w:r>
      <w:r w:rsidRPr="007D65CD">
        <w:t>Application of Liberty Utilities (CalPeco Electric) LLC (</w:t>
      </w:r>
      <w:r w:rsidR="00AD1C03">
        <w:t>U </w:t>
      </w:r>
      <w:r w:rsidRPr="007D65CD">
        <w:t>933</w:t>
      </w:r>
      <w:r w:rsidR="00C26B9E">
        <w:noBreakHyphen/>
      </w:r>
      <w:r w:rsidRPr="007D65CD">
        <w:t xml:space="preserve">E) for Authority to Among Other Things, Increase Its Authorized Revenues for Electric Service, Establish Marginal Costs, Allocate Revenues, </w:t>
      </w:r>
      <w:r w:rsidRPr="007D65CD" w:rsidR="008C1144">
        <w:t xml:space="preserve">and </w:t>
      </w:r>
      <w:r w:rsidRPr="007D65CD">
        <w:t xml:space="preserve">Design Rates, as of </w:t>
      </w:r>
      <w:r w:rsidR="00337A8D">
        <w:t>January </w:t>
      </w:r>
      <w:r w:rsidRPr="007D65CD">
        <w:t>1, 2025</w:t>
      </w:r>
      <w:r>
        <w:t>.</w:t>
      </w:r>
    </w:p>
    <w:p w:rsidR="00AB14B5" w:rsidP="00B14AE0" w:rsidRDefault="00AB14B5" w14:paraId="25FDC163" w14:textId="5BD07C01">
      <w:pPr>
        <w:pStyle w:val="BlockQuoteH033"/>
        <w:numPr>
          <w:ilvl w:val="1"/>
          <w:numId w:val="3"/>
        </w:numPr>
        <w:ind w:left="1195" w:hanging="475"/>
      </w:pPr>
      <w:r>
        <w:t>A.22</w:t>
      </w:r>
      <w:r w:rsidR="00C26B9E">
        <w:noBreakHyphen/>
      </w:r>
      <w:r>
        <w:t>05</w:t>
      </w:r>
      <w:r w:rsidR="00C26B9E">
        <w:noBreakHyphen/>
      </w:r>
      <w:r>
        <w:t>006</w:t>
      </w:r>
      <w:r w:rsidR="00337A8D">
        <w:t xml:space="preserve">:  </w:t>
      </w:r>
      <w:r w:rsidRPr="00162A98">
        <w:t xml:space="preserve">In the Matter of the Application of </w:t>
      </w:r>
      <w:r w:rsidRPr="00162A98" w:rsidR="008C1144">
        <w:t>Pacifi</w:t>
      </w:r>
      <w:r w:rsidR="008C1144">
        <w:t>C</w:t>
      </w:r>
      <w:r w:rsidRPr="00162A98" w:rsidR="008C1144">
        <w:t>orp</w:t>
      </w:r>
      <w:r w:rsidRPr="00162A98">
        <w:t xml:space="preserve"> (U901E), for an Order Authorizing a General Rate Increase Effective </w:t>
      </w:r>
      <w:r w:rsidR="00337A8D">
        <w:t>January </w:t>
      </w:r>
      <w:r w:rsidRPr="00162A98">
        <w:t>1, 2023.</w:t>
      </w:r>
    </w:p>
    <w:p w:rsidR="00AB14B5" w:rsidP="00B14AE0" w:rsidRDefault="00AB14B5" w14:paraId="12F0AD56" w14:textId="04BCDE8D">
      <w:pPr>
        <w:pStyle w:val="BlockQuoteH033"/>
        <w:numPr>
          <w:ilvl w:val="1"/>
          <w:numId w:val="3"/>
        </w:numPr>
        <w:ind w:left="1195" w:hanging="475"/>
      </w:pPr>
      <w:r>
        <w:t>A.24</w:t>
      </w:r>
      <w:r w:rsidR="00C26B9E">
        <w:noBreakHyphen/>
      </w:r>
      <w:r>
        <w:t>05</w:t>
      </w:r>
      <w:r w:rsidR="00C26B9E">
        <w:noBreakHyphen/>
      </w:r>
      <w:r>
        <w:t>002</w:t>
      </w:r>
      <w:r w:rsidR="00337A8D">
        <w:t xml:space="preserve">:  </w:t>
      </w:r>
      <w:r w:rsidRPr="00EB4A32">
        <w:t xml:space="preserve">Application of West Coast Gas Company to Revise </w:t>
      </w:r>
      <w:r w:rsidRPr="00EB4A32" w:rsidR="00B63AF3">
        <w:t xml:space="preserve">Its </w:t>
      </w:r>
      <w:r w:rsidRPr="00EB4A32">
        <w:t>Gas Rates and Tariffs (U910G)</w:t>
      </w:r>
      <w:r w:rsidR="00947100">
        <w:t>.</w:t>
      </w:r>
    </w:p>
    <w:p w:rsidR="00AB14B5" w:rsidP="00B14AE0" w:rsidRDefault="00AB14B5" w14:paraId="363682D3" w14:textId="1921281F">
      <w:pPr>
        <w:pStyle w:val="BlockQuoteH033"/>
        <w:numPr>
          <w:ilvl w:val="1"/>
          <w:numId w:val="3"/>
        </w:numPr>
        <w:ind w:left="1195" w:hanging="475"/>
      </w:pPr>
      <w:r>
        <w:t>A.25</w:t>
      </w:r>
      <w:r w:rsidR="00C26B9E">
        <w:noBreakHyphen/>
      </w:r>
      <w:r>
        <w:t>05</w:t>
      </w:r>
      <w:r w:rsidR="00C26B9E">
        <w:noBreakHyphen/>
      </w:r>
      <w:r>
        <w:t>010/013</w:t>
      </w:r>
      <w:r w:rsidR="00337A8D">
        <w:t xml:space="preserve">:  </w:t>
      </w:r>
      <w:r w:rsidRPr="005434E3">
        <w:t>Application of Southern California Gas Company (U904G) to Submit Its 2025 Risk Assessment and Mitigation Phase Report.</w:t>
      </w:r>
    </w:p>
    <w:p w:rsidR="002876FC" w:rsidP="00B14AE0" w:rsidRDefault="00AB14B5" w14:paraId="3F9FF64F" w14:textId="1588D11F">
      <w:pPr>
        <w:pStyle w:val="BlockQuoteH033"/>
        <w:numPr>
          <w:ilvl w:val="1"/>
          <w:numId w:val="3"/>
        </w:numPr>
        <w:ind w:left="1195" w:hanging="475"/>
      </w:pPr>
      <w:r>
        <w:t>A.24</w:t>
      </w:r>
      <w:r w:rsidR="00C26B9E">
        <w:noBreakHyphen/>
      </w:r>
      <w:r>
        <w:t>05</w:t>
      </w:r>
      <w:r w:rsidR="00C26B9E">
        <w:noBreakHyphen/>
      </w:r>
      <w:r>
        <w:t>008</w:t>
      </w:r>
      <w:r w:rsidR="00337A8D">
        <w:t xml:space="preserve">:  </w:t>
      </w:r>
      <w:r w:rsidRPr="00D2540F">
        <w:t>Application of Pacific Gas and Electric Company (</w:t>
      </w:r>
      <w:r w:rsidR="00AD1C03">
        <w:t>U </w:t>
      </w:r>
      <w:r w:rsidRPr="00D2540F">
        <w:t>3</w:t>
      </w:r>
      <w:r w:rsidR="00AD1C03">
        <w:t>9 M</w:t>
      </w:r>
      <w:r w:rsidRPr="00D2540F">
        <w:t>) to Submit Its 2024 Risk Assessment and Mitigation Phase Report</w:t>
      </w:r>
      <w:r w:rsidR="00947100">
        <w:t>.</w:t>
      </w:r>
    </w:p>
    <w:p w:rsidR="002876FC" w:rsidP="00B14AE0" w:rsidRDefault="00AB14B5" w14:paraId="012CF9EC" w14:textId="5FD45796">
      <w:pPr>
        <w:pStyle w:val="BlockQuoteH033"/>
        <w:numPr>
          <w:ilvl w:val="1"/>
          <w:numId w:val="3"/>
        </w:numPr>
        <w:ind w:left="1195" w:hanging="475"/>
      </w:pPr>
      <w:r>
        <w:t>A.22</w:t>
      </w:r>
      <w:r w:rsidR="00C26B9E">
        <w:noBreakHyphen/>
      </w:r>
      <w:r>
        <w:t>05</w:t>
      </w:r>
      <w:r w:rsidR="00C26B9E">
        <w:noBreakHyphen/>
      </w:r>
      <w:r>
        <w:t>013</w:t>
      </w:r>
      <w:r w:rsidR="00337A8D">
        <w:t xml:space="preserve">:  </w:t>
      </w:r>
      <w:r w:rsidRPr="00613D53">
        <w:t>Application of Southern California Edison Company (U338E) Regarding 2022 Risk Assessment Mitigation Phase.</w:t>
      </w:r>
    </w:p>
    <w:p w:rsidR="00A448DE" w:rsidP="00B14AE0" w:rsidRDefault="00A448DE" w14:paraId="54A2EAE8" w14:textId="7D1CAC3D">
      <w:pPr>
        <w:pStyle w:val="BlockQuoteH033"/>
        <w:numPr>
          <w:ilvl w:val="1"/>
          <w:numId w:val="3"/>
        </w:numPr>
        <w:ind w:left="1195" w:hanging="475"/>
      </w:pPr>
      <w:r>
        <w:t xml:space="preserve">A.26-02-005: </w:t>
      </w:r>
      <w:r w:rsidRPr="00CB4AFD" w:rsidR="00CB4AFD">
        <w:t>Joint Application of Pacific Gas and Electric Company (U39E), Southern California Edison (U338E) and San</w:t>
      </w:r>
      <w:r w:rsidR="00880CB3">
        <w:t> </w:t>
      </w:r>
      <w:r w:rsidRPr="00CB4AFD" w:rsidR="00CB4AFD">
        <w:t>Diego Gas</w:t>
      </w:r>
      <w:r w:rsidR="00880CB3">
        <w:t> </w:t>
      </w:r>
      <w:r w:rsidRPr="00CB4AFD" w:rsidR="00CB4AFD">
        <w:t>&amp; Electric Company (U902E) Requesting Commission Approval of Proposals for a BCR Calculation Methodology, Audit Methodology, and Cost Recovery Conditions as Specified in Resolution</w:t>
      </w:r>
      <w:r w:rsidR="00880CB3">
        <w:t> </w:t>
      </w:r>
      <w:r w:rsidRPr="00CB4AFD" w:rsidR="00CB4AFD">
        <w:t>SPD-37.</w:t>
      </w:r>
    </w:p>
    <w:p w:rsidRPr="009A7F58" w:rsidR="004639A1" w:rsidP="002876FC" w:rsidRDefault="004639A1" w14:paraId="4683F05B" w14:textId="77777777">
      <w:pPr>
        <w:pStyle w:val="Standard"/>
      </w:pPr>
      <w:r w:rsidRPr="009A7F58">
        <w:t>Other than respondents, service of the OIR does not confer party status or place any person who has received such service on the official service list for this proceeding. Instructions for obtaining party status or being placed on the official service list are given below.</w:t>
      </w:r>
    </w:p>
    <w:p w:rsidR="004639A1" w:rsidP="0035529F" w:rsidRDefault="004639A1" w14:paraId="4EA8A1CF" w14:textId="77777777">
      <w:pPr>
        <w:pStyle w:val="Heading1"/>
      </w:pPr>
      <w:bookmarkStart w:name="_Toc224746117" w:id="47"/>
      <w:bookmarkStart w:name="_Toc228945630" w:id="48"/>
      <w:r>
        <w:lastRenderedPageBreak/>
        <w:t>A</w:t>
      </w:r>
      <w:r w:rsidRPr="00AD226A">
        <w:t>ddition to Official Service List</w:t>
      </w:r>
      <w:r>
        <w:t xml:space="preserve"> and</w:t>
      </w:r>
      <w:r>
        <w:br/>
        <w:t>Subscription Service</w:t>
      </w:r>
      <w:bookmarkEnd w:id="47"/>
      <w:bookmarkEnd w:id="48"/>
    </w:p>
    <w:p w:rsidR="004639A1" w:rsidP="004639A1" w:rsidRDefault="004639A1" w14:paraId="3654585E" w14:textId="140CACF1">
      <w:pPr>
        <w:pStyle w:val="Standard"/>
      </w:pPr>
      <w:r>
        <w:t xml:space="preserve">Addition to the official service list is governed by </w:t>
      </w:r>
      <w:r w:rsidR="009C21CB">
        <w:t>Rule </w:t>
      </w:r>
      <w:r>
        <w:t xml:space="preserve">1.9(f). Upon request, any person will be added to the </w:t>
      </w:r>
      <w:r w:rsidR="00337A8D">
        <w:t>“</w:t>
      </w:r>
      <w:r>
        <w:t>Information Only</w:t>
      </w:r>
      <w:r w:rsidR="00337A8D">
        <w:t>”</w:t>
      </w:r>
      <w:r>
        <w:t xml:space="preserve"> category of the official service list. Any person intending to make such a request should do so promptly in order to ensure timely electronic service of all</w:t>
      </w:r>
      <w:r w:rsidRPr="001E731E">
        <w:t xml:space="preserve"> </w:t>
      </w:r>
      <w:r>
        <w:t>comments and other documents and correspondence in the proceeding. (</w:t>
      </w:r>
      <w:r w:rsidRPr="00CD4E73">
        <w:rPr>
          <w:i/>
          <w:iCs/>
        </w:rPr>
        <w:t>See</w:t>
      </w:r>
      <w:r>
        <w:t xml:space="preserve"> </w:t>
      </w:r>
      <w:r w:rsidR="009C21CB">
        <w:t>Rule </w:t>
      </w:r>
      <w:r>
        <w:t xml:space="preserve">1.9(f).) The request must be sent to the Process Office at </w:t>
      </w:r>
      <w:hyperlink w:history="1" r:id="rId18">
        <w:r w:rsidRPr="00CD4E73">
          <w:rPr>
            <w:rStyle w:val="Hyperlink"/>
          </w:rPr>
          <w:t>process_office@cpuc.ca.gov</w:t>
        </w:r>
      </w:hyperlink>
      <w:r>
        <w:t>) or letter (Process Office, California Public Utilities Commission, 505</w:t>
      </w:r>
      <w:r w:rsidR="00582EF0">
        <w:t> </w:t>
      </w:r>
      <w:r>
        <w:t>Van</w:t>
      </w:r>
      <w:r w:rsidR="00582EF0">
        <w:t> </w:t>
      </w:r>
      <w:r>
        <w:t xml:space="preserve">Ness Avenue, </w:t>
      </w:r>
      <w:r w:rsidR="005870CF">
        <w:t>San </w:t>
      </w:r>
      <w:r>
        <w:t>Francisco, California 94102). Please include the Docket Number of this rulemaking in the request.</w:t>
      </w:r>
    </w:p>
    <w:p w:rsidR="00432271" w:rsidP="004639A1" w:rsidRDefault="004639A1" w14:paraId="3FA44CC2" w14:textId="713908CC">
      <w:pPr>
        <w:pStyle w:val="Standard"/>
      </w:pPr>
      <w:r>
        <w:t>Persons who file responsive comments to this OIR will automatically become parties to the proceeding (</w:t>
      </w:r>
      <w:r w:rsidRPr="009C21CB">
        <w:rPr>
          <w:i/>
          <w:iCs/>
        </w:rPr>
        <w:t>see</w:t>
      </w:r>
      <w:r>
        <w:t xml:space="preserve"> </w:t>
      </w:r>
      <w:r w:rsidR="009C21CB">
        <w:t>Rule </w:t>
      </w:r>
      <w:r>
        <w:t xml:space="preserve">1.4(a)(2)) and will be added to the </w:t>
      </w:r>
      <w:r w:rsidR="00337A8D">
        <w:t>“</w:t>
      </w:r>
      <w:r>
        <w:t>Parties</w:t>
      </w:r>
      <w:r w:rsidR="00337A8D">
        <w:t>”</w:t>
      </w:r>
      <w:r>
        <w:t xml:space="preserve"> category of the official service list upon such filing.</w:t>
      </w:r>
    </w:p>
    <w:p w:rsidR="004639A1" w:rsidP="004639A1" w:rsidRDefault="004639A1" w14:paraId="07FFEE16" w14:textId="568CC68B">
      <w:pPr>
        <w:pStyle w:val="Standard"/>
      </w:pPr>
      <w:r>
        <w:t xml:space="preserve">In order to assure service of comments and other documents and correspondence in advance of obtaining party status, persons should promptly request addition to the </w:t>
      </w:r>
      <w:r w:rsidR="00337A8D">
        <w:t>“</w:t>
      </w:r>
      <w:r>
        <w:t>Information Only</w:t>
      </w:r>
      <w:r w:rsidR="00337A8D">
        <w:t>”</w:t>
      </w:r>
      <w:r>
        <w:t xml:space="preserve"> category as described above; they will be removed from that category upon obtaining party status.</w:t>
      </w:r>
    </w:p>
    <w:p w:rsidRPr="00AD226A" w:rsidR="004639A1" w:rsidP="004639A1" w:rsidRDefault="004639A1" w14:paraId="005D7DDD" w14:textId="28C46B73">
      <w:pPr>
        <w:pStyle w:val="Standard"/>
      </w:pPr>
      <w:r w:rsidRPr="00223576">
        <w:t>Persons may monitor the proceeding by subscribing to receive electronic copies of documents in this proceeding that are published on the Commission</w:t>
      </w:r>
      <w:r w:rsidR="00337A8D">
        <w:t>’</w:t>
      </w:r>
      <w:r w:rsidRPr="00223576">
        <w:t>s website. There is no need to be on the official service list in order to use the subscription service. Instructions for enrolling in the subscription service are available on the Commission</w:t>
      </w:r>
      <w:r w:rsidR="00337A8D">
        <w:t>’</w:t>
      </w:r>
      <w:r w:rsidRPr="00223576">
        <w:t xml:space="preserve">s website at </w:t>
      </w:r>
      <w:hyperlink w:history="1" r:id="rId19">
        <w:r w:rsidRPr="00CD4E73">
          <w:rPr>
            <w:rStyle w:val="Hyperlink"/>
          </w:rPr>
          <w:t>http://subscribecpuc.cpuc.ca.gov/</w:t>
        </w:r>
      </w:hyperlink>
      <w:r w:rsidRPr="00223576">
        <w:t>.</w:t>
      </w:r>
    </w:p>
    <w:p w:rsidR="004639A1" w:rsidP="0035529F" w:rsidRDefault="004639A1" w14:paraId="1DB23FC9" w14:textId="4A3ECA1A">
      <w:pPr>
        <w:pStyle w:val="Heading1"/>
      </w:pPr>
      <w:bookmarkStart w:name="_Toc224746118" w:id="49"/>
      <w:bookmarkStart w:name="_Toc228945631" w:id="50"/>
      <w:r>
        <w:t>Filing and Service of Comments</w:t>
      </w:r>
      <w:r w:rsidR="002C41D0">
        <w:br/>
      </w:r>
      <w:r>
        <w:t>and</w:t>
      </w:r>
      <w:r w:rsidR="002C41D0">
        <w:t xml:space="preserve"> </w:t>
      </w:r>
      <w:r>
        <w:t>Other Documents</w:t>
      </w:r>
      <w:bookmarkEnd w:id="49"/>
      <w:bookmarkEnd w:id="50"/>
    </w:p>
    <w:p w:rsidR="004639A1" w:rsidP="004639A1" w:rsidRDefault="004639A1" w14:paraId="5A45B3D9" w14:textId="3F72AC92">
      <w:pPr>
        <w:pStyle w:val="Standard"/>
      </w:pPr>
      <w:r>
        <w:t>Filing and service of comments and other documents in the proceeding are governed by the Commission</w:t>
      </w:r>
      <w:r w:rsidR="00337A8D">
        <w:t>’</w:t>
      </w:r>
      <w:r>
        <w:t xml:space="preserve">s Rules. Parties are instructed to only serve </w:t>
      </w:r>
      <w:r>
        <w:lastRenderedPageBreak/>
        <w:t>documents on the assigned Commissioner, advisors to the assigned Commissioner, and the assigned ALJ by electronic copy and not by paper copy, unless specifically instructed to do otherwise.</w:t>
      </w:r>
    </w:p>
    <w:p w:rsidR="004639A1" w:rsidP="004639A1" w:rsidRDefault="004639A1" w14:paraId="3F116C0A" w14:textId="6BFD0C74">
      <w:pPr>
        <w:pStyle w:val="Standard"/>
      </w:pPr>
      <w:r w:rsidRPr="00364F12">
        <w:t>When serving any document, each party must ensure that it is using the current official service list on the Commission</w:t>
      </w:r>
      <w:r w:rsidR="00337A8D">
        <w:t>’</w:t>
      </w:r>
      <w:r w:rsidRPr="00364F12">
        <w:t>s website.</w:t>
      </w:r>
    </w:p>
    <w:p w:rsidRPr="00666D5C" w:rsidR="00666D5C" w:rsidP="00666D5C" w:rsidRDefault="00666D5C" w14:paraId="6891EFC1" w14:textId="3C7FE814">
      <w:pPr>
        <w:pStyle w:val="Standard"/>
        <w:rPr>
          <w:i/>
          <w:iCs/>
        </w:rPr>
      </w:pPr>
      <w:r w:rsidRPr="00666D5C">
        <w:t>This proceeding will follow the electronic service protocol set forth in Rule</w:t>
      </w:r>
      <w:r w:rsidR="00042978">
        <w:t> </w:t>
      </w:r>
      <w:r w:rsidRPr="00666D5C">
        <w:t>1.10. All parties to this proceeding shall serve documents and pleadings using electronic mail whenever possible, transmitted no later than 5:00</w:t>
      </w:r>
      <w:r w:rsidR="00042978">
        <w:t> </w:t>
      </w:r>
      <w:r w:rsidRPr="00666D5C">
        <w:t>p.m. on the date scheduled for service to occur.</w:t>
      </w:r>
    </w:p>
    <w:p w:rsidRPr="00364F12" w:rsidR="00666D5C" w:rsidP="00666D5C" w:rsidRDefault="00666D5C" w14:paraId="51EA29EB" w14:textId="4B5B037E">
      <w:pPr>
        <w:pStyle w:val="Standard"/>
      </w:pPr>
      <w:r w:rsidRPr="00666D5C">
        <w:t>When serving documents on Commissioners or their personal advisors, whether or not they are on the official service list, parties must only provide electronic service. Parties must not send hard copies of documents to Commissioners, their personal advisors, or the ALJ unless specifically instructed to do so.</w:t>
      </w:r>
    </w:p>
    <w:p w:rsidRPr="00364F12" w:rsidR="004639A1" w:rsidP="004639A1" w:rsidRDefault="004639A1" w14:paraId="1A6A9E2B" w14:textId="41E0B730">
      <w:pPr>
        <w:pStyle w:val="Standard"/>
      </w:pPr>
      <w:r w:rsidRPr="00364F12">
        <w:t xml:space="preserve">Persons who are not parties but wish to receive electronic service of documents filed in the proceeding may contact the Process Office at </w:t>
      </w:r>
      <w:hyperlink w:history="1" r:id="rId20">
        <w:r w:rsidRPr="00364F12">
          <w:rPr>
            <w:rStyle w:val="Hyperlink"/>
          </w:rPr>
          <w:t>process_office@cpuc.ca.gov</w:t>
        </w:r>
      </w:hyperlink>
      <w:r w:rsidRPr="00364F12">
        <w:t xml:space="preserve"> to request addition to the </w:t>
      </w:r>
      <w:r w:rsidR="00337A8D">
        <w:t>“</w:t>
      </w:r>
      <w:r w:rsidRPr="00364F12">
        <w:t>Information Only</w:t>
      </w:r>
      <w:r w:rsidR="00337A8D">
        <w:t>”</w:t>
      </w:r>
      <w:r w:rsidRPr="00364F12">
        <w:t xml:space="preserve"> category of the official service list pursuant to </w:t>
      </w:r>
      <w:r w:rsidR="009C21CB">
        <w:t>Rule </w:t>
      </w:r>
      <w:r w:rsidRPr="00364F12">
        <w:t>1.9(f).</w:t>
      </w:r>
    </w:p>
    <w:p w:rsidR="004639A1" w:rsidP="004639A1" w:rsidRDefault="004639A1" w14:paraId="074285A1" w14:textId="1DF869D2">
      <w:pPr>
        <w:pStyle w:val="Standard"/>
      </w:pPr>
      <w:r w:rsidRPr="00364F12">
        <w:t>The Commission encourages those who seek information</w:t>
      </w:r>
      <w:r w:rsidR="00C26B9E">
        <w:noBreakHyphen/>
      </w:r>
      <w:r w:rsidRPr="00364F12">
        <w:t>only status on the service list to consider the Commission</w:t>
      </w:r>
      <w:r w:rsidR="00337A8D">
        <w:t>’</w:t>
      </w:r>
      <w:r w:rsidRPr="00364F12">
        <w:t>s subscription service as an alternative. The subscription service sends individual notifications to each subscriber of formal e</w:t>
      </w:r>
      <w:r w:rsidR="00C26B9E">
        <w:noBreakHyphen/>
      </w:r>
      <w:r w:rsidRPr="00364F12">
        <w:t>filings accepted by the Commission. Notices sent through subscription service are less likely to be flagged by spam or other filters. Notifications can be for a specific proceeding, a range of documents and daily or weekly digests.</w:t>
      </w:r>
    </w:p>
    <w:p w:rsidR="00432271" w:rsidP="0035529F" w:rsidRDefault="004639A1" w14:paraId="2AD07917" w14:textId="77777777">
      <w:pPr>
        <w:pStyle w:val="Heading1"/>
      </w:pPr>
      <w:bookmarkStart w:name="_Toc224746119" w:id="51"/>
      <w:bookmarkStart w:name="_Toc228945632" w:id="52"/>
      <w:r>
        <w:lastRenderedPageBreak/>
        <w:t>Receiving Electronic Service from the Commission</w:t>
      </w:r>
      <w:bookmarkEnd w:id="51"/>
      <w:bookmarkEnd w:id="52"/>
    </w:p>
    <w:p w:rsidR="004639A1" w:rsidP="004639A1" w:rsidRDefault="004639A1" w14:paraId="7C58067B" w14:textId="1E23C9EE">
      <w:pPr>
        <w:pStyle w:val="Standard"/>
      </w:pPr>
      <w:r>
        <w:t>Parties and other persons on the service list are advised that it is the responsibility of each person or entity on the service list for Commission proceedings to ensure their ability to receive emails from the Commission.</w:t>
      </w:r>
      <w:r w:rsidR="00EE26DE">
        <w:t xml:space="preserve"> </w:t>
      </w:r>
      <w:r>
        <w:t xml:space="preserve">Please add </w:t>
      </w:r>
      <w:r w:rsidR="00337A8D">
        <w:t>“</w:t>
      </w:r>
      <w:r>
        <w:t>@cpuc.ca.gov</w:t>
      </w:r>
      <w:r w:rsidR="00337A8D">
        <w:t>”</w:t>
      </w:r>
      <w:r>
        <w:t xml:space="preserve"> to your email safe sender list and update your email screening practices, settings and filters to ensure receipt of emails from the Commission.</w:t>
      </w:r>
    </w:p>
    <w:p w:rsidR="004639A1" w:rsidP="0035529F" w:rsidRDefault="004639A1" w14:paraId="57FD9C49" w14:textId="77777777">
      <w:pPr>
        <w:pStyle w:val="Heading1"/>
      </w:pPr>
      <w:bookmarkStart w:name="_Toc224746120" w:id="53"/>
      <w:bookmarkStart w:name="_Toc228945633" w:id="54"/>
      <w:r>
        <w:t>Intervenor Compensation</w:t>
      </w:r>
      <w:bookmarkEnd w:id="53"/>
      <w:bookmarkEnd w:id="54"/>
    </w:p>
    <w:p w:rsidR="004639A1" w:rsidP="004639A1" w:rsidRDefault="004639A1" w14:paraId="3761833F" w14:textId="12E87105">
      <w:pPr>
        <w:pStyle w:val="Standard"/>
      </w:pPr>
      <w:r w:rsidRPr="001B3B1B">
        <w:t xml:space="preserve">Intervenor compensation is permitted in this proceeding. Pursuant to </w:t>
      </w:r>
      <w:r w:rsidRPr="005A0467" w:rsidR="005A0467">
        <w:t>Pub</w:t>
      </w:r>
      <w:r w:rsidR="005A0467">
        <w:t>.</w:t>
      </w:r>
      <w:r w:rsidR="008E4716">
        <w:t> </w:t>
      </w:r>
      <w:r w:rsidRPr="005A0467" w:rsidR="005A0467">
        <w:t>Util</w:t>
      </w:r>
      <w:r w:rsidR="005A0467">
        <w:t>.</w:t>
      </w:r>
      <w:r w:rsidRPr="005A0467" w:rsidR="005A0467">
        <w:t xml:space="preserve"> Code </w:t>
      </w:r>
      <w:r w:rsidR="00B33264">
        <w:t>Section </w:t>
      </w:r>
      <w:r w:rsidRPr="001B3B1B">
        <w:t>1804(a)(1), a customer who intends to seek an award of compensation must file and serve a notice of intent to claim compensation within 30 days after the prehearing conference.</w:t>
      </w:r>
    </w:p>
    <w:p w:rsidR="004639A1" w:rsidP="0035529F" w:rsidRDefault="004639A1" w14:paraId="32F4E2DA" w14:textId="77777777">
      <w:pPr>
        <w:pStyle w:val="Heading1"/>
      </w:pPr>
      <w:bookmarkStart w:name="_Toc224746121" w:id="55"/>
      <w:bookmarkStart w:name="_Toc228945634" w:id="56"/>
      <w:r>
        <w:t>Public Advisor</w:t>
      </w:r>
      <w:bookmarkEnd w:id="55"/>
      <w:bookmarkEnd w:id="56"/>
    </w:p>
    <w:p w:rsidR="004639A1" w:rsidP="001D7708" w:rsidRDefault="004639A1" w14:paraId="77AF8C4D" w14:textId="0F9D1FFC">
      <w:pPr>
        <w:pStyle w:val="Standard"/>
      </w:pPr>
      <w:r w:rsidRPr="004A222F">
        <w:t xml:space="preserve">Any person interested in participating in this </w:t>
      </w:r>
      <w:r w:rsidRPr="001D7708">
        <w:t>proceeding</w:t>
      </w:r>
      <w:r w:rsidRPr="004A222F">
        <w:t xml:space="preserve"> who is unfamiliar with the Commission</w:t>
      </w:r>
      <w:r w:rsidR="00337A8D">
        <w:t>’</w:t>
      </w:r>
      <w:r w:rsidRPr="004A222F">
        <w:t xml:space="preserve">s procedures or has questions about the electronic filing procedures is encouraged to obtain more information at </w:t>
      </w:r>
      <w:hyperlink w:history="1" r:id="rId21">
        <w:r w:rsidRPr="00CD4E73">
          <w:rPr>
            <w:rStyle w:val="Hyperlink"/>
          </w:rPr>
          <w:t>https://www.cpuc.ca.gov/about</w:t>
        </w:r>
        <w:r w:rsidR="00C26B9E">
          <w:rPr>
            <w:rStyle w:val="Hyperlink"/>
          </w:rPr>
          <w:noBreakHyphen/>
        </w:r>
        <w:r w:rsidRPr="00CD4E73">
          <w:rPr>
            <w:rStyle w:val="Hyperlink"/>
          </w:rPr>
          <w:t>cpuc/divisions/news</w:t>
        </w:r>
        <w:r w:rsidR="00C26B9E">
          <w:rPr>
            <w:rStyle w:val="Hyperlink"/>
          </w:rPr>
          <w:noBreakHyphen/>
        </w:r>
        <w:r w:rsidRPr="00CD4E73">
          <w:rPr>
            <w:rStyle w:val="Hyperlink"/>
          </w:rPr>
          <w:t>and</w:t>
        </w:r>
        <w:r w:rsidR="00C26B9E">
          <w:rPr>
            <w:rStyle w:val="Hyperlink"/>
          </w:rPr>
          <w:noBreakHyphen/>
        </w:r>
        <w:r w:rsidRPr="00CD4E73">
          <w:rPr>
            <w:rStyle w:val="Hyperlink"/>
          </w:rPr>
          <w:t>public</w:t>
        </w:r>
        <w:r w:rsidR="00C26B9E">
          <w:rPr>
            <w:rStyle w:val="Hyperlink"/>
          </w:rPr>
          <w:noBreakHyphen/>
        </w:r>
        <w:r w:rsidRPr="00CD4E73">
          <w:rPr>
            <w:rStyle w:val="Hyperlink"/>
          </w:rPr>
          <w:t>information</w:t>
        </w:r>
        <w:r w:rsidR="00C26B9E">
          <w:rPr>
            <w:rStyle w:val="Hyperlink"/>
          </w:rPr>
          <w:noBreakHyphen/>
        </w:r>
        <w:r w:rsidRPr="00CD4E73">
          <w:rPr>
            <w:rStyle w:val="Hyperlink"/>
          </w:rPr>
          <w:t>office/public</w:t>
        </w:r>
        <w:r w:rsidR="00C26B9E">
          <w:rPr>
            <w:rStyle w:val="Hyperlink"/>
          </w:rPr>
          <w:noBreakHyphen/>
        </w:r>
        <w:r w:rsidRPr="00CD4E73">
          <w:rPr>
            <w:rStyle w:val="Hyperlink"/>
          </w:rPr>
          <w:t>advisors</w:t>
        </w:r>
        <w:r w:rsidR="00C26B9E">
          <w:rPr>
            <w:rStyle w:val="Hyperlink"/>
          </w:rPr>
          <w:noBreakHyphen/>
        </w:r>
        <w:r w:rsidRPr="00CD4E73">
          <w:rPr>
            <w:rStyle w:val="Hyperlink"/>
          </w:rPr>
          <w:t>office</w:t>
        </w:r>
      </w:hyperlink>
      <w:r>
        <w:t xml:space="preserve"> </w:t>
      </w:r>
      <w:r w:rsidRPr="004A222F">
        <w:t>or contact the Commission</w:t>
      </w:r>
      <w:r w:rsidR="00337A8D">
        <w:t>’</w:t>
      </w:r>
      <w:r w:rsidRPr="004A222F">
        <w:t xml:space="preserve">s Public Advisor at </w:t>
      </w:r>
      <w:r>
        <w:t>1</w:t>
      </w:r>
      <w:r w:rsidR="00C26B9E">
        <w:noBreakHyphen/>
      </w:r>
      <w:r w:rsidRPr="004A222F">
        <w:t>866</w:t>
      </w:r>
      <w:r w:rsidR="00C26B9E">
        <w:noBreakHyphen/>
      </w:r>
      <w:r w:rsidRPr="004A222F">
        <w:t>849</w:t>
      </w:r>
      <w:r w:rsidR="00C26B9E">
        <w:noBreakHyphen/>
      </w:r>
      <w:r w:rsidRPr="004A222F">
        <w:t xml:space="preserve">8390 or </w:t>
      </w:r>
      <w:r>
        <w:t>1</w:t>
      </w:r>
      <w:r w:rsidR="00C26B9E">
        <w:noBreakHyphen/>
      </w:r>
      <w:r w:rsidRPr="004A222F">
        <w:t>866</w:t>
      </w:r>
      <w:r w:rsidR="00C26B9E">
        <w:noBreakHyphen/>
      </w:r>
      <w:r w:rsidRPr="004A222F">
        <w:t>836</w:t>
      </w:r>
      <w:r w:rsidR="00C26B9E">
        <w:noBreakHyphen/>
      </w:r>
      <w:r w:rsidRPr="004A222F">
        <w:t xml:space="preserve">7825 (TTY), or send an </w:t>
      </w:r>
      <w:r w:rsidR="00494FF9">
        <w:t>email</w:t>
      </w:r>
      <w:r w:rsidRPr="004A222F">
        <w:t xml:space="preserve"> to </w:t>
      </w:r>
      <w:hyperlink w:history="1" r:id="rId22">
        <w:r w:rsidRPr="00CD4E73">
          <w:rPr>
            <w:rStyle w:val="Hyperlink"/>
          </w:rPr>
          <w:t>public.advisor@cpuc.ca.gov</w:t>
        </w:r>
      </w:hyperlink>
      <w:r w:rsidRPr="004A222F">
        <w:t>.</w:t>
      </w:r>
    </w:p>
    <w:p w:rsidR="004639A1" w:rsidP="004639A1" w:rsidRDefault="004639A1" w14:paraId="24A64E46" w14:textId="77777777">
      <w:pPr>
        <w:pStyle w:val="Mainex"/>
      </w:pPr>
      <w:bookmarkStart w:name="_Toc224746122" w:id="57"/>
      <w:bookmarkStart w:name="_Toc228945635" w:id="58"/>
      <w:r>
        <w:t>ORDER</w:t>
      </w:r>
      <w:bookmarkEnd w:id="57"/>
      <w:bookmarkEnd w:id="58"/>
    </w:p>
    <w:p w:rsidR="004639A1" w:rsidP="00456D11" w:rsidRDefault="004639A1" w14:paraId="1B15A747" w14:textId="77777777">
      <w:pPr>
        <w:pStyle w:val="Standard"/>
        <w:keepNext/>
      </w:pPr>
      <w:r w:rsidRPr="00456D11">
        <w:rPr>
          <w:b/>
          <w:bCs/>
        </w:rPr>
        <w:t>IT IS ORDERED</w:t>
      </w:r>
      <w:r>
        <w:t xml:space="preserve"> that:</w:t>
      </w:r>
    </w:p>
    <w:p w:rsidR="004639A1" w:rsidP="00B14AE0" w:rsidRDefault="004639A1" w14:paraId="28BF0C16" w14:textId="355934A6">
      <w:pPr>
        <w:pStyle w:val="OP"/>
        <w:numPr>
          <w:ilvl w:val="0"/>
          <w:numId w:val="11"/>
        </w:numPr>
      </w:pPr>
      <w:r>
        <w:t xml:space="preserve">This Order Instituting Rulemaking is adopted pursuant to </w:t>
      </w:r>
      <w:r w:rsidR="009C21CB">
        <w:t>Rule </w:t>
      </w:r>
      <w:r>
        <w:t xml:space="preserve">6.1 of the </w:t>
      </w:r>
      <w:r w:rsidR="005870CF">
        <w:t xml:space="preserve">California Public Utilities </w:t>
      </w:r>
      <w:r>
        <w:t>Commission</w:t>
      </w:r>
      <w:r w:rsidR="00337A8D">
        <w:t>’</w:t>
      </w:r>
      <w:r>
        <w:t>s Rules of Practice and Procedure.</w:t>
      </w:r>
    </w:p>
    <w:p w:rsidR="004639A1" w:rsidP="00B14AE0" w:rsidRDefault="004639A1" w14:paraId="443F71CC" w14:textId="75A1C3AC">
      <w:pPr>
        <w:pStyle w:val="OP"/>
        <w:numPr>
          <w:ilvl w:val="0"/>
          <w:numId w:val="11"/>
        </w:numPr>
      </w:pPr>
      <w:r>
        <w:t>The preliminary categorization of this rulemaking is quasi</w:t>
      </w:r>
      <w:r w:rsidR="00C26B9E">
        <w:noBreakHyphen/>
      </w:r>
      <w:r>
        <w:t>legislative.</w:t>
      </w:r>
    </w:p>
    <w:p w:rsidR="00432271" w:rsidP="00B14AE0" w:rsidRDefault="004639A1" w14:paraId="2754E378" w14:textId="77777777">
      <w:pPr>
        <w:pStyle w:val="OP"/>
        <w:numPr>
          <w:ilvl w:val="0"/>
          <w:numId w:val="11"/>
        </w:numPr>
      </w:pPr>
      <w:r>
        <w:t>The preliminary determination is that hearings are not needed.</w:t>
      </w:r>
    </w:p>
    <w:p w:rsidR="00432271" w:rsidP="00B14AE0" w:rsidRDefault="004639A1" w14:paraId="71F2BE17" w14:textId="77777777">
      <w:pPr>
        <w:pStyle w:val="OP"/>
        <w:numPr>
          <w:ilvl w:val="0"/>
          <w:numId w:val="11"/>
        </w:numPr>
      </w:pPr>
      <w:r>
        <w:lastRenderedPageBreak/>
        <w:t xml:space="preserve">The preliminary scope of issues is as stated above in </w:t>
      </w:r>
      <w:r w:rsidR="00B33264">
        <w:t>Section </w:t>
      </w:r>
      <w:r w:rsidR="00ED4390">
        <w:t>3</w:t>
      </w:r>
      <w:r>
        <w:t xml:space="preserve"> and is adopted.</w:t>
      </w:r>
    </w:p>
    <w:p w:rsidR="004639A1" w:rsidP="00B14AE0" w:rsidRDefault="004639A1" w14:paraId="059D215F" w14:textId="0E38CC03">
      <w:pPr>
        <w:pStyle w:val="OP"/>
        <w:numPr>
          <w:ilvl w:val="0"/>
          <w:numId w:val="11"/>
        </w:numPr>
      </w:pPr>
      <w:r>
        <w:t xml:space="preserve">The preliminary schedule for this rulemaking is as stated above in </w:t>
      </w:r>
      <w:r w:rsidR="00B33264">
        <w:t>Section </w:t>
      </w:r>
      <w:r w:rsidR="001D7708">
        <w:t>3</w:t>
      </w:r>
      <w:r>
        <w:t xml:space="preserve"> and is adopted.</w:t>
      </w:r>
    </w:p>
    <w:p w:rsidRPr="00A5481D" w:rsidR="00432271" w:rsidP="00261831" w:rsidRDefault="00261831" w14:paraId="4F2A2B9D" w14:textId="01644235">
      <w:pPr>
        <w:pStyle w:val="OP"/>
        <w:numPr>
          <w:ilvl w:val="0"/>
          <w:numId w:val="11"/>
        </w:numPr>
      </w:pPr>
      <w:r w:rsidRPr="00A5481D">
        <w:t>Alpine Natural Gas Operating Company No.</w:t>
      </w:r>
      <w:r w:rsidR="00E20824">
        <w:t> </w:t>
      </w:r>
      <w:r w:rsidRPr="00A5481D">
        <w:t>1, LLC, Bear Valley Electric Service, Liberty Utilities (CalPeco Electric), Inc</w:t>
      </w:r>
      <w:r w:rsidR="00FD25F3">
        <w:t>.</w:t>
      </w:r>
      <w:r w:rsidRPr="00A5481D">
        <w:t xml:space="preserve">, </w:t>
      </w:r>
      <w:r w:rsidR="004639A1">
        <w:t xml:space="preserve">Pacific Gas and Electric Company, </w:t>
      </w:r>
      <w:r w:rsidRPr="00A5481D">
        <w:t>PacifiCorp d.b.a. Pacific Power</w:t>
      </w:r>
      <w:r>
        <w:t xml:space="preserve">, </w:t>
      </w:r>
      <w:r w:rsidR="005870CF">
        <w:t>San </w:t>
      </w:r>
      <w:r w:rsidR="004639A1">
        <w:t>Diego Gas</w:t>
      </w:r>
      <w:r w:rsidR="005870CF">
        <w:t xml:space="preserve"> &amp; </w:t>
      </w:r>
      <w:r w:rsidR="004639A1">
        <w:t xml:space="preserve">Electric Company, </w:t>
      </w:r>
      <w:r>
        <w:t>Southern California Edison Company</w:t>
      </w:r>
      <w:r w:rsidR="004732E5">
        <w:t>,</w:t>
      </w:r>
      <w:r>
        <w:t xml:space="preserve"> </w:t>
      </w:r>
      <w:r w:rsidR="004639A1">
        <w:t>Southern California Gas Company, Southwest Gas Corporation, West Coast Gas Company, Inc., are respondents to this Order Instituting Rulemaking.</w:t>
      </w:r>
      <w:r w:rsidR="006E6820">
        <w:t xml:space="preserve"> </w:t>
      </w:r>
    </w:p>
    <w:p w:rsidR="004639A1" w:rsidP="00B14AE0" w:rsidRDefault="001D7708" w14:paraId="7DC9A537" w14:textId="151ECB73">
      <w:pPr>
        <w:pStyle w:val="OP"/>
        <w:numPr>
          <w:ilvl w:val="0"/>
          <w:numId w:val="11"/>
        </w:numPr>
      </w:pPr>
      <w:r>
        <w:t>Respondents to this Order Instituting Rulemaking shall and a</w:t>
      </w:r>
      <w:r w:rsidR="004639A1">
        <w:t xml:space="preserve">ny </w:t>
      </w:r>
      <w:r>
        <w:t xml:space="preserve">other </w:t>
      </w:r>
      <w:r w:rsidR="004639A1">
        <w:t xml:space="preserve">person may file comments responding to this Order Instituting Rulemaking within </w:t>
      </w:r>
      <w:r w:rsidR="00ED4390">
        <w:t>30</w:t>
      </w:r>
      <w:r w:rsidR="004639A1">
        <w:t xml:space="preserve"> days of the issuance of this order, and any person may file reply comments within </w:t>
      </w:r>
      <w:r>
        <w:t>40</w:t>
      </w:r>
      <w:r w:rsidR="004639A1">
        <w:t xml:space="preserve"> days after the issuance of this order.</w:t>
      </w:r>
    </w:p>
    <w:p w:rsidR="00432271" w:rsidP="00B14AE0" w:rsidRDefault="004639A1" w14:paraId="79A8FC33" w14:textId="77777777">
      <w:pPr>
        <w:pStyle w:val="OP"/>
        <w:numPr>
          <w:ilvl w:val="0"/>
          <w:numId w:val="11"/>
        </w:numPr>
      </w:pPr>
      <w:r>
        <w:t>The Executive Director will cause this Order Instituting Rulemaking to be served on all respondents and on the service lists for the following Commission proceedings:</w:t>
      </w:r>
    </w:p>
    <w:p w:rsidR="00B073ED" w:rsidP="00B14AE0" w:rsidRDefault="00B073ED" w14:paraId="7D82143A" w14:textId="4F9993CF">
      <w:pPr>
        <w:pStyle w:val="BlockQuoteH033"/>
        <w:numPr>
          <w:ilvl w:val="1"/>
          <w:numId w:val="11"/>
        </w:numPr>
        <w:ind w:left="1195" w:hanging="475"/>
      </w:pPr>
      <w:r>
        <w:t>Rulemaking</w:t>
      </w:r>
      <w:r w:rsidR="004732E5">
        <w:t> </w:t>
      </w:r>
      <w:r>
        <w:t>20</w:t>
      </w:r>
      <w:r w:rsidR="00C26B9E">
        <w:noBreakHyphen/>
      </w:r>
      <w:r>
        <w:t>07</w:t>
      </w:r>
      <w:r w:rsidR="00C26B9E">
        <w:noBreakHyphen/>
      </w:r>
      <w:r>
        <w:t>013</w:t>
      </w:r>
      <w:r w:rsidR="00337A8D">
        <w:t xml:space="preserve">:  </w:t>
      </w:r>
      <w:r>
        <w:t xml:space="preserve">Order Instituting Rulemaking to Further Develop </w:t>
      </w:r>
      <w:r w:rsidR="004460CD">
        <w:t>a</w:t>
      </w:r>
      <w:r>
        <w:t xml:space="preserve"> Risk</w:t>
      </w:r>
      <w:r w:rsidR="00C26B9E">
        <w:noBreakHyphen/>
      </w:r>
      <w:r>
        <w:t>Based Decision</w:t>
      </w:r>
      <w:r w:rsidR="00C26B9E">
        <w:noBreakHyphen/>
      </w:r>
      <w:r>
        <w:t>Making Framework for Electric and Gas Utilities.</w:t>
      </w:r>
    </w:p>
    <w:p w:rsidR="00B073ED" w:rsidP="00B14AE0" w:rsidRDefault="00B073ED" w14:paraId="024EF248" w14:textId="6255E0B5">
      <w:pPr>
        <w:pStyle w:val="BlockQuoteH033"/>
        <w:numPr>
          <w:ilvl w:val="1"/>
          <w:numId w:val="11"/>
        </w:numPr>
        <w:ind w:left="1195" w:hanging="475"/>
      </w:pPr>
      <w:r>
        <w:t>Application (A.)</w:t>
      </w:r>
      <w:r w:rsidR="004460CD">
        <w:t> </w:t>
      </w:r>
      <w:r>
        <w:t>25</w:t>
      </w:r>
      <w:r w:rsidR="00C26B9E">
        <w:noBreakHyphen/>
      </w:r>
      <w:r>
        <w:t>05</w:t>
      </w:r>
      <w:r w:rsidR="00C26B9E">
        <w:noBreakHyphen/>
      </w:r>
      <w:r>
        <w:t>009</w:t>
      </w:r>
      <w:r w:rsidR="00337A8D">
        <w:t xml:space="preserve">:  </w:t>
      </w:r>
      <w:r w:rsidRPr="00E00480">
        <w:t xml:space="preserve">Application of Pacific Gas and Electric Company for Authority, Among Other Things, to Increase Rates and Charges for Electric and Gas Service Effective on </w:t>
      </w:r>
      <w:r w:rsidR="00337A8D">
        <w:t>January </w:t>
      </w:r>
      <w:r w:rsidRPr="00E00480">
        <w:t>1, 202</w:t>
      </w:r>
      <w:r w:rsidRPr="00C22879">
        <w:t>7 (</w:t>
      </w:r>
      <w:r w:rsidR="00AD1C03">
        <w:t>U </w:t>
      </w:r>
      <w:r w:rsidRPr="00C22879">
        <w:t>3</w:t>
      </w:r>
      <w:r w:rsidR="00AD1C03">
        <w:t>9 M</w:t>
      </w:r>
      <w:r w:rsidRPr="00C22879">
        <w:t>)</w:t>
      </w:r>
      <w:r>
        <w:t>.</w:t>
      </w:r>
    </w:p>
    <w:p w:rsidR="00B073ED" w:rsidP="00B14AE0" w:rsidRDefault="00B073ED" w14:paraId="29B1555A" w14:textId="42D093BB">
      <w:pPr>
        <w:pStyle w:val="BlockQuoteH033"/>
        <w:numPr>
          <w:ilvl w:val="1"/>
          <w:numId w:val="11"/>
        </w:numPr>
        <w:ind w:left="1195" w:hanging="475"/>
      </w:pPr>
      <w:r>
        <w:t>A.23</w:t>
      </w:r>
      <w:r w:rsidR="00C26B9E">
        <w:noBreakHyphen/>
      </w:r>
      <w:r>
        <w:t>05</w:t>
      </w:r>
      <w:r w:rsidR="00C26B9E">
        <w:noBreakHyphen/>
      </w:r>
      <w:r>
        <w:t>010</w:t>
      </w:r>
      <w:r w:rsidR="00337A8D">
        <w:t xml:space="preserve">:  </w:t>
      </w:r>
      <w:r w:rsidRPr="00C22879">
        <w:t>Application of Southern California Edison Company (</w:t>
      </w:r>
      <w:r w:rsidR="00AD1C03">
        <w:t>U </w:t>
      </w:r>
      <w:r w:rsidRPr="00C22879">
        <w:t>338</w:t>
      </w:r>
      <w:r w:rsidR="00C26B9E">
        <w:noBreakHyphen/>
      </w:r>
      <w:r w:rsidRPr="00C22879">
        <w:t xml:space="preserve">E) </w:t>
      </w:r>
      <w:r w:rsidR="00696AC8">
        <w:t>for</w:t>
      </w:r>
      <w:r w:rsidRPr="00C22879">
        <w:t xml:space="preserve"> Authority to Increase Its Authorized Revenues for Electric Service</w:t>
      </w:r>
      <w:r w:rsidR="00774275">
        <w:t xml:space="preserve"> in </w:t>
      </w:r>
      <w:r w:rsidRPr="00C22879">
        <w:t>2025, Among Other Things, and to Reflect That Increase in Rates.</w:t>
      </w:r>
    </w:p>
    <w:p w:rsidR="00B073ED" w:rsidP="00B14AE0" w:rsidRDefault="00B073ED" w14:paraId="13242316" w14:textId="606316F8">
      <w:pPr>
        <w:pStyle w:val="BlockQuoteH033"/>
        <w:numPr>
          <w:ilvl w:val="1"/>
          <w:numId w:val="11"/>
        </w:numPr>
        <w:ind w:left="1195" w:hanging="475"/>
      </w:pPr>
      <w:r>
        <w:lastRenderedPageBreak/>
        <w:t>A.22</w:t>
      </w:r>
      <w:r w:rsidR="00C26B9E">
        <w:noBreakHyphen/>
      </w:r>
      <w:r>
        <w:t>05</w:t>
      </w:r>
      <w:r w:rsidR="00C26B9E">
        <w:noBreakHyphen/>
      </w:r>
      <w:r>
        <w:t>015/016</w:t>
      </w:r>
      <w:r w:rsidR="00337A8D">
        <w:t xml:space="preserve">:  </w:t>
      </w:r>
      <w:r w:rsidRPr="007E194D">
        <w:t xml:space="preserve">Application of Southern California Gas Company (U904G) for Authority, Among Other Things, to Update </w:t>
      </w:r>
      <w:r w:rsidR="00793664">
        <w:t>Its</w:t>
      </w:r>
      <w:r w:rsidRPr="007E194D">
        <w:t xml:space="preserve"> Gas Revenue Requirement and Base Rates Effective on </w:t>
      </w:r>
      <w:r w:rsidR="00337A8D">
        <w:t>January </w:t>
      </w:r>
      <w:r w:rsidRPr="007E194D">
        <w:t>1, 2024.</w:t>
      </w:r>
    </w:p>
    <w:p w:rsidR="00B073ED" w:rsidP="00B14AE0" w:rsidRDefault="00B073ED" w14:paraId="6C62AEBF" w14:textId="42D4FA0A">
      <w:pPr>
        <w:pStyle w:val="BlockQuoteH033"/>
        <w:numPr>
          <w:ilvl w:val="1"/>
          <w:numId w:val="11"/>
        </w:numPr>
        <w:ind w:left="1195" w:hanging="475"/>
      </w:pPr>
      <w:r w:rsidRPr="00FB1C11">
        <w:t>A.22</w:t>
      </w:r>
      <w:r w:rsidR="00C26B9E">
        <w:noBreakHyphen/>
      </w:r>
      <w:r w:rsidRPr="00FB1C11">
        <w:t>08</w:t>
      </w:r>
      <w:r w:rsidR="00C26B9E">
        <w:noBreakHyphen/>
      </w:r>
      <w:r w:rsidRPr="00FB1C11">
        <w:t>010</w:t>
      </w:r>
      <w:r w:rsidR="00337A8D">
        <w:t xml:space="preserve">:  </w:t>
      </w:r>
      <w:r w:rsidRPr="00526A53" w:rsidR="00526A53">
        <w:t xml:space="preserve">Application of Bear Valley Electric Service, Inc. (U913E) for Authority to, Among Other Things, Increase Rates and Charges, and Authorized Revenues, for Electric Service Effective </w:t>
      </w:r>
      <w:r w:rsidR="00337A8D">
        <w:t>January </w:t>
      </w:r>
      <w:r w:rsidRPr="00526A53" w:rsidR="00526A53">
        <w:t>1, 2023.</w:t>
      </w:r>
    </w:p>
    <w:p w:rsidR="00B073ED" w:rsidP="00B14AE0" w:rsidRDefault="00B073ED" w14:paraId="20D6D897" w14:textId="7CA15B8C">
      <w:pPr>
        <w:pStyle w:val="BlockQuoteH033"/>
        <w:numPr>
          <w:ilvl w:val="1"/>
          <w:numId w:val="11"/>
        </w:numPr>
        <w:ind w:left="1195" w:hanging="475"/>
      </w:pPr>
      <w:r>
        <w:t>A.24</w:t>
      </w:r>
      <w:r w:rsidR="001D7708">
        <w:t>-</w:t>
      </w:r>
      <w:r>
        <w:t>09</w:t>
      </w:r>
      <w:r w:rsidR="001D7708">
        <w:t>-</w:t>
      </w:r>
      <w:r>
        <w:t>010</w:t>
      </w:r>
      <w:r w:rsidR="00337A8D">
        <w:t xml:space="preserve">:  </w:t>
      </w:r>
      <w:r w:rsidRPr="007D65CD">
        <w:t>Application of Liberty Utilities (CalPeco Electric) LLC (</w:t>
      </w:r>
      <w:r w:rsidR="00AD1C03">
        <w:t>U </w:t>
      </w:r>
      <w:r w:rsidRPr="007D65CD">
        <w:t>933</w:t>
      </w:r>
      <w:r w:rsidR="00C26B9E">
        <w:noBreakHyphen/>
      </w:r>
      <w:r w:rsidRPr="007D65CD">
        <w:t xml:space="preserve">E) for Authority to Among Other Things, Increase Its Authorized Revenues for Electric Service, Establish Marginal Costs, Allocate Revenues, </w:t>
      </w:r>
      <w:r w:rsidRPr="007D65CD" w:rsidR="004560D8">
        <w:t xml:space="preserve">and </w:t>
      </w:r>
      <w:r w:rsidRPr="007D65CD">
        <w:t xml:space="preserve">Design Rates, as of </w:t>
      </w:r>
      <w:r w:rsidR="00337A8D">
        <w:t>January </w:t>
      </w:r>
      <w:r w:rsidRPr="007D65CD">
        <w:t>1, 2025</w:t>
      </w:r>
      <w:r>
        <w:t>.</w:t>
      </w:r>
    </w:p>
    <w:p w:rsidR="00B073ED" w:rsidP="00B14AE0" w:rsidRDefault="00B073ED" w14:paraId="6D3FCE6D" w14:textId="33F4B7FD">
      <w:pPr>
        <w:pStyle w:val="BlockQuoteH033"/>
        <w:numPr>
          <w:ilvl w:val="1"/>
          <w:numId w:val="11"/>
        </w:numPr>
        <w:ind w:left="1195" w:hanging="475"/>
      </w:pPr>
      <w:r>
        <w:t>A.22</w:t>
      </w:r>
      <w:r w:rsidR="00C26B9E">
        <w:noBreakHyphen/>
      </w:r>
      <w:r>
        <w:t>05</w:t>
      </w:r>
      <w:r w:rsidR="00C26B9E">
        <w:noBreakHyphen/>
      </w:r>
      <w:r>
        <w:t>006</w:t>
      </w:r>
      <w:r w:rsidR="00337A8D">
        <w:t xml:space="preserve">:  </w:t>
      </w:r>
      <w:r w:rsidRPr="00162A98">
        <w:t xml:space="preserve">In the Matter of the Application of </w:t>
      </w:r>
      <w:r w:rsidRPr="00162A98" w:rsidR="004560D8">
        <w:t>Pacifi</w:t>
      </w:r>
      <w:r w:rsidR="004560D8">
        <w:t>C</w:t>
      </w:r>
      <w:r w:rsidRPr="00162A98" w:rsidR="004560D8">
        <w:t xml:space="preserve">orp </w:t>
      </w:r>
      <w:r w:rsidRPr="00162A98">
        <w:t xml:space="preserve">(U901E) for an Order Authorizing a General Rate Increase Effective </w:t>
      </w:r>
      <w:r w:rsidR="00337A8D">
        <w:t>January </w:t>
      </w:r>
      <w:r w:rsidRPr="00162A98">
        <w:t>1, 2023.</w:t>
      </w:r>
    </w:p>
    <w:p w:rsidR="00675D02" w:rsidP="00B14AE0" w:rsidRDefault="00EB4A32" w14:paraId="717DC758" w14:textId="29FFE6AB">
      <w:pPr>
        <w:pStyle w:val="BlockQuoteH033"/>
        <w:numPr>
          <w:ilvl w:val="1"/>
          <w:numId w:val="11"/>
        </w:numPr>
        <w:ind w:left="1195" w:hanging="475"/>
      </w:pPr>
      <w:r>
        <w:t>A.24</w:t>
      </w:r>
      <w:r w:rsidR="00C26B9E">
        <w:noBreakHyphen/>
      </w:r>
      <w:r>
        <w:t>05</w:t>
      </w:r>
      <w:r w:rsidR="00C26B9E">
        <w:noBreakHyphen/>
      </w:r>
      <w:r>
        <w:t>002</w:t>
      </w:r>
      <w:r w:rsidR="00337A8D">
        <w:t xml:space="preserve">:  </w:t>
      </w:r>
      <w:r w:rsidRPr="00EB4A32">
        <w:t xml:space="preserve">Application of West Coast Gas Company to Revise </w:t>
      </w:r>
      <w:r w:rsidR="00793664">
        <w:t>Its</w:t>
      </w:r>
      <w:r w:rsidRPr="00EB4A32">
        <w:t xml:space="preserve"> Gas Rates and Tariffs (U910G)</w:t>
      </w:r>
    </w:p>
    <w:p w:rsidR="00B073ED" w:rsidP="00B14AE0" w:rsidRDefault="00B073ED" w14:paraId="43DF26EE" w14:textId="5C6F7AA1">
      <w:pPr>
        <w:pStyle w:val="BlockQuoteH033"/>
        <w:numPr>
          <w:ilvl w:val="1"/>
          <w:numId w:val="11"/>
        </w:numPr>
        <w:ind w:left="1195" w:hanging="475"/>
      </w:pPr>
      <w:r>
        <w:t>A.25</w:t>
      </w:r>
      <w:r w:rsidR="00C26B9E">
        <w:noBreakHyphen/>
      </w:r>
      <w:r>
        <w:t>05</w:t>
      </w:r>
      <w:r w:rsidR="00C26B9E">
        <w:noBreakHyphen/>
      </w:r>
      <w:r>
        <w:t>010/013</w:t>
      </w:r>
      <w:r w:rsidR="00337A8D">
        <w:t xml:space="preserve">:  </w:t>
      </w:r>
      <w:r w:rsidRPr="005434E3">
        <w:t>Application of Southern California Gas Company (U904G) to Submit Its 2025 Risk Assessment and Mitigation Phase Report.</w:t>
      </w:r>
    </w:p>
    <w:p w:rsidR="00B073ED" w:rsidP="00B14AE0" w:rsidRDefault="00B073ED" w14:paraId="62E551B3" w14:textId="36CC8C10">
      <w:pPr>
        <w:pStyle w:val="BlockQuoteH033"/>
        <w:numPr>
          <w:ilvl w:val="1"/>
          <w:numId w:val="11"/>
        </w:numPr>
        <w:ind w:left="1195" w:hanging="475"/>
      </w:pPr>
      <w:r>
        <w:t>A.24</w:t>
      </w:r>
      <w:r w:rsidR="00C26B9E">
        <w:noBreakHyphen/>
      </w:r>
      <w:r>
        <w:t>05</w:t>
      </w:r>
      <w:r w:rsidR="00C26B9E">
        <w:noBreakHyphen/>
      </w:r>
      <w:r>
        <w:t>008</w:t>
      </w:r>
      <w:r w:rsidR="00337A8D">
        <w:t xml:space="preserve">:  </w:t>
      </w:r>
      <w:r w:rsidRPr="00D2540F">
        <w:t>Application of Pacific Gas and Electric Company (</w:t>
      </w:r>
      <w:r w:rsidR="00AD1C03">
        <w:t>U </w:t>
      </w:r>
      <w:r w:rsidRPr="00D2540F">
        <w:t>3</w:t>
      </w:r>
      <w:r w:rsidR="00AD1C03">
        <w:t>9 M</w:t>
      </w:r>
      <w:r w:rsidRPr="00D2540F">
        <w:t>) to Submit Its 2024 Risk Assessment and Mitigation Phase Report</w:t>
      </w:r>
      <w:r w:rsidR="00107246">
        <w:t>.</w:t>
      </w:r>
    </w:p>
    <w:p w:rsidR="004639A1" w:rsidP="00B14AE0" w:rsidRDefault="00B073ED" w14:paraId="7974C013" w14:textId="63B36E4A">
      <w:pPr>
        <w:pStyle w:val="BlockQuoteH033"/>
        <w:numPr>
          <w:ilvl w:val="1"/>
          <w:numId w:val="11"/>
        </w:numPr>
        <w:ind w:left="1195" w:hanging="475"/>
      </w:pPr>
      <w:r>
        <w:t>A.22</w:t>
      </w:r>
      <w:r w:rsidR="00C26B9E">
        <w:noBreakHyphen/>
      </w:r>
      <w:r>
        <w:t>05</w:t>
      </w:r>
      <w:r w:rsidR="00C26B9E">
        <w:noBreakHyphen/>
      </w:r>
      <w:r>
        <w:t>013</w:t>
      </w:r>
      <w:r w:rsidR="00337A8D">
        <w:t xml:space="preserve">:  </w:t>
      </w:r>
      <w:r w:rsidRPr="00613D53">
        <w:t>Application of Southern California Edison Company (U338E) Regarding 2022 Risk Assessment Mitigation Phase.</w:t>
      </w:r>
    </w:p>
    <w:p w:rsidR="00491546" w:rsidP="00A5481D" w:rsidRDefault="00491546" w14:paraId="746FAAD3" w14:textId="1BD09D35">
      <w:pPr>
        <w:pStyle w:val="BlockQuoteH033"/>
        <w:numPr>
          <w:ilvl w:val="1"/>
          <w:numId w:val="11"/>
        </w:numPr>
        <w:ind w:left="1195" w:hanging="475"/>
      </w:pPr>
      <w:r>
        <w:t xml:space="preserve">A.26-02-005: </w:t>
      </w:r>
      <w:r w:rsidRPr="00CB4AFD">
        <w:t>Joint Application of Pacific Gas and Electric Company (U39E), Southern California Edison (U338E) and San</w:t>
      </w:r>
      <w:r w:rsidR="00F10760">
        <w:t> </w:t>
      </w:r>
      <w:r w:rsidRPr="00CB4AFD">
        <w:t>Diego Gas</w:t>
      </w:r>
      <w:r w:rsidR="00F10760">
        <w:t> </w:t>
      </w:r>
      <w:r w:rsidRPr="00CB4AFD">
        <w:t>&amp; Electric Company (U902E) Requesting Commission Approval of Proposals for a BCR Calculation Methodology, Audit Methodology, and Cost Recovery Conditions as Specified in Resolution</w:t>
      </w:r>
      <w:r w:rsidR="00A00B79">
        <w:t> </w:t>
      </w:r>
      <w:r w:rsidRPr="00CB4AFD">
        <w:t>SPD-37.</w:t>
      </w:r>
    </w:p>
    <w:p w:rsidR="004639A1" w:rsidP="00B14AE0" w:rsidRDefault="004639A1" w14:paraId="0EF988C6" w14:textId="77777777">
      <w:pPr>
        <w:pStyle w:val="OP"/>
        <w:numPr>
          <w:ilvl w:val="0"/>
          <w:numId w:val="11"/>
        </w:numPr>
      </w:pPr>
      <w:r>
        <w:t xml:space="preserve">Any party that expects to claim intervenor compensation for its participation in this Rulemaking must file its notice of intent to claim intervenor </w:t>
      </w:r>
      <w:r>
        <w:lastRenderedPageBreak/>
        <w:t>compensation within 30 days of the prehearing conference, or if no prehearing conference is held, within 30 days after the issuance of the scoping ruling.</w:t>
      </w:r>
    </w:p>
    <w:p w:rsidR="008F0116" w:rsidP="005A5FF9" w:rsidRDefault="008F0116" w14:paraId="188AFE61" w14:textId="77777777">
      <w:pPr>
        <w:pStyle w:val="Standard"/>
        <w:keepNext/>
      </w:pPr>
      <w:r>
        <w:t>This order is effective today.</w:t>
      </w:r>
    </w:p>
    <w:p w:rsidR="001D09EA" w:rsidP="005A5FF9" w:rsidRDefault="008F0116" w14:paraId="4A574F3A" w14:textId="1F076C24">
      <w:pPr>
        <w:pStyle w:val="Standard"/>
        <w:keepNext/>
      </w:pPr>
      <w:r>
        <w:t xml:space="preserve">Dated </w:t>
      </w:r>
      <w:r w:rsidR="00880C70">
        <w:t>April 30, 2026</w:t>
      </w:r>
      <w:r>
        <w:t>, at San Francisco, California</w:t>
      </w:r>
      <w:r w:rsidR="001D09EA">
        <w:t>.</w:t>
      </w:r>
    </w:p>
    <w:p w:rsidRPr="00132251" w:rsidR="00F45FE9" w:rsidP="00F45FE9" w:rsidRDefault="00F45FE9" w14:paraId="1C65D0FA" w14:textId="77777777">
      <w:pPr>
        <w:pStyle w:val="SigSpaceBA"/>
      </w:pPr>
      <w:bookmarkStart w:name="_Hlk125015643" w:id="59"/>
    </w:p>
    <w:p w:rsidRPr="00132251" w:rsidR="00F45FE9" w:rsidP="00F45FE9" w:rsidRDefault="00F45FE9" w14:paraId="090ECC35" w14:textId="77777777">
      <w:pPr>
        <w:pStyle w:val="SigBlockBA-Cmr"/>
      </w:pPr>
      <w:r w:rsidRPr="00132251">
        <w:t>JOHN REYNOLDS</w:t>
      </w:r>
    </w:p>
    <w:p w:rsidRPr="00132251" w:rsidR="00F45FE9" w:rsidP="00F45FE9" w:rsidRDefault="00F45FE9" w14:paraId="17BCC860" w14:textId="77777777">
      <w:pPr>
        <w:pStyle w:val="SigBlockBA-Title"/>
      </w:pPr>
      <w:r w:rsidRPr="00132251">
        <w:t>President</w:t>
      </w:r>
    </w:p>
    <w:p w:rsidRPr="00132251" w:rsidR="00F45FE9" w:rsidP="00F45FE9" w:rsidRDefault="00F45FE9" w14:paraId="405FCA6A" w14:textId="77777777">
      <w:pPr>
        <w:pStyle w:val="SigBlockBA-Cmr"/>
      </w:pPr>
      <w:r w:rsidRPr="00132251">
        <w:t>DARCIE L. HOUCK</w:t>
      </w:r>
    </w:p>
    <w:p w:rsidRPr="00132251" w:rsidR="00F45FE9" w:rsidP="00F45FE9" w:rsidRDefault="00F45FE9" w14:paraId="35E51F8C" w14:textId="77777777">
      <w:pPr>
        <w:pStyle w:val="SigBlockBA-Cmr"/>
      </w:pPr>
      <w:r w:rsidRPr="001A0FB9">
        <w:t>KAREN DOUGLAS</w:t>
      </w:r>
    </w:p>
    <w:p w:rsidR="00F45FE9" w:rsidP="00F45FE9" w:rsidRDefault="00F45FE9" w14:paraId="31F80BF0" w14:textId="77777777">
      <w:pPr>
        <w:pStyle w:val="SigBlockBA-Cmr"/>
      </w:pPr>
      <w:r>
        <w:t>MATTHEW BAKER</w:t>
      </w:r>
    </w:p>
    <w:p w:rsidRPr="00132251" w:rsidR="00F45FE9" w:rsidP="00F45FE9" w:rsidRDefault="00F45FE9" w14:paraId="13EEB402" w14:textId="77777777">
      <w:pPr>
        <w:pStyle w:val="SigBlockBA-Cmr"/>
      </w:pPr>
      <w:r>
        <w:t>CHRISTINE HARADA</w:t>
      </w:r>
    </w:p>
    <w:p w:rsidR="001D09EA" w:rsidP="00F45FE9" w:rsidRDefault="00F45FE9" w14:paraId="6B72AD64" w14:textId="66AC8597">
      <w:pPr>
        <w:pStyle w:val="SigBlockBA-Title"/>
      </w:pPr>
      <w:r w:rsidRPr="00132251">
        <w:t>Commissioners</w:t>
      </w:r>
      <w:bookmarkEnd w:id="59"/>
    </w:p>
    <w:p w:rsidR="001D09EA" w:rsidP="001D09EA" w:rsidRDefault="001D09EA" w14:paraId="2BF9E10E" w14:textId="77777777">
      <w:pPr>
        <w:ind w:firstLine="0"/>
        <w:sectPr w:rsidR="001D09EA" w:rsidSect="006B72DC">
          <w:footerReference w:type="default" r:id="rId23"/>
          <w:pgSz w:w="12240" w:h="15840"/>
          <w:pgMar w:top="1728" w:right="1440" w:bottom="1440" w:left="1440" w:header="720" w:footer="720" w:gutter="0"/>
          <w:pgNumType w:start="2"/>
          <w:cols w:space="720"/>
          <w:docGrid w:linePitch="360"/>
        </w:sectPr>
      </w:pPr>
    </w:p>
    <w:p w:rsidR="001D0FCD" w:rsidP="001D0FCD" w:rsidRDefault="001D0FCD" w14:paraId="382FD38E" w14:textId="77777777">
      <w:pPr>
        <w:ind w:firstLine="0"/>
      </w:pPr>
    </w:p>
    <w:p w:rsidR="001D0FCD" w:rsidP="001D0FCD" w:rsidRDefault="001D0FCD" w14:paraId="1DD3B060" w14:textId="77777777">
      <w:pPr>
        <w:ind w:firstLine="0"/>
      </w:pPr>
    </w:p>
    <w:p w:rsidR="001D0FCD" w:rsidP="001D0FCD" w:rsidRDefault="001D0FCD" w14:paraId="5D2218C8" w14:textId="77777777">
      <w:pPr>
        <w:ind w:firstLine="0"/>
      </w:pPr>
    </w:p>
    <w:p w:rsidR="001D0FCD" w:rsidP="001D0FCD" w:rsidRDefault="001D0FCD" w14:paraId="001D9C8F" w14:textId="77777777">
      <w:pPr>
        <w:ind w:firstLine="0"/>
      </w:pPr>
    </w:p>
    <w:p w:rsidR="001D0FCD" w:rsidP="001D0FCD" w:rsidRDefault="001D0FCD" w14:paraId="0B0BBCA5" w14:textId="77777777">
      <w:pPr>
        <w:ind w:firstLine="0"/>
      </w:pPr>
    </w:p>
    <w:p w:rsidR="001D0FCD" w:rsidP="001D0FCD" w:rsidRDefault="001D0FCD" w14:paraId="5C50BD3D" w14:textId="77777777">
      <w:pPr>
        <w:ind w:firstLine="0"/>
      </w:pPr>
    </w:p>
    <w:p w:rsidR="001D0FCD" w:rsidP="001D0FCD" w:rsidRDefault="001D0FCD" w14:paraId="2078B754" w14:textId="77777777">
      <w:pPr>
        <w:ind w:firstLine="0"/>
      </w:pPr>
    </w:p>
    <w:p w:rsidR="001D0FCD" w:rsidP="001D0FCD" w:rsidRDefault="001D0FCD" w14:paraId="521DC477" w14:textId="77777777">
      <w:pPr>
        <w:ind w:firstLine="0"/>
        <w:jc w:val="center"/>
        <w:rPr>
          <w:b/>
          <w:bCs/>
          <w:sz w:val="50"/>
        </w:rPr>
      </w:pPr>
      <w:r>
        <w:rPr>
          <w:b/>
          <w:bCs/>
          <w:sz w:val="50"/>
        </w:rPr>
        <w:t>APPENDIX A</w:t>
      </w:r>
    </w:p>
    <w:p w:rsidR="001D09EA" w:rsidP="001D09EA" w:rsidRDefault="001D09EA" w14:paraId="2AD34CDA" w14:textId="77777777">
      <w:pPr>
        <w:ind w:firstLine="0"/>
      </w:pPr>
    </w:p>
    <w:p w:rsidR="001D09EA" w:rsidP="001D09EA" w:rsidRDefault="001D09EA" w14:paraId="431CD0F1" w14:textId="77777777">
      <w:pPr>
        <w:ind w:firstLine="0"/>
        <w:sectPr w:rsidR="001D09EA" w:rsidSect="006B72DC">
          <w:footerReference w:type="default" r:id="rId24"/>
          <w:pgSz w:w="12240" w:h="15840"/>
          <w:pgMar w:top="1728" w:right="1440" w:bottom="1440" w:left="1440" w:header="720" w:footer="720" w:gutter="0"/>
          <w:pgNumType w:start="1"/>
          <w:cols w:space="720"/>
          <w:docGrid w:linePitch="360"/>
        </w:sectPr>
      </w:pPr>
    </w:p>
    <w:p w:rsidRPr="0035529F" w:rsidR="00714CF2" w:rsidP="0035529F" w:rsidRDefault="00A86DF0" w14:paraId="51397695" w14:textId="2266A580">
      <w:pPr>
        <w:jc w:val="center"/>
        <w:rPr>
          <w:b/>
          <w:bCs/>
        </w:rPr>
      </w:pPr>
      <w:r>
        <w:rPr>
          <w:b/>
          <w:bCs/>
        </w:rPr>
        <w:lastRenderedPageBreak/>
        <w:t>Appendix </w:t>
      </w:r>
      <w:r w:rsidRPr="0035529F" w:rsidR="00DD2BF6">
        <w:rPr>
          <w:b/>
          <w:bCs/>
        </w:rPr>
        <w:t xml:space="preserve">A – </w:t>
      </w:r>
      <w:r w:rsidR="00C146A8">
        <w:rPr>
          <w:b/>
          <w:bCs/>
        </w:rPr>
        <w:t xml:space="preserve">Substantive </w:t>
      </w:r>
      <w:r w:rsidRPr="0035529F" w:rsidR="00DD2BF6">
        <w:rPr>
          <w:b/>
          <w:bCs/>
        </w:rPr>
        <w:t>Questions</w:t>
      </w:r>
    </w:p>
    <w:p w:rsidRPr="001822F7" w:rsidR="00143F29" w:rsidP="001822F7" w:rsidRDefault="00143F29" w14:paraId="4E8A7745" w14:textId="12FA3FED">
      <w:pPr>
        <w:pStyle w:val="QuestionSection"/>
      </w:pPr>
      <w:r w:rsidRPr="001822F7">
        <w:t>Risk Tolerance</w:t>
      </w:r>
    </w:p>
    <w:p w:rsidR="00B77E83" w:rsidP="001822F7" w:rsidRDefault="00B77E83" w14:paraId="29D25672" w14:textId="3A0435A3">
      <w:pPr>
        <w:pStyle w:val="Question"/>
      </w:pPr>
      <w:r>
        <w:t>Should the definition of Risk Tolerance be updated to reflect affordability concerns?</w:t>
      </w:r>
    </w:p>
    <w:p w:rsidR="003A4201" w:rsidP="00B14AE0" w:rsidRDefault="003A4201" w14:paraId="25F16256" w14:textId="70521B30">
      <w:pPr>
        <w:pStyle w:val="ListParagraph"/>
        <w:numPr>
          <w:ilvl w:val="0"/>
          <w:numId w:val="8"/>
        </w:numPr>
        <w:spacing w:after="160" w:line="278" w:lineRule="auto"/>
      </w:pPr>
      <w:r>
        <w:t>What Risk Tolerance requirements should the Commission incorporate into the RDF to improve the assessment of utility risk mitigation proposals in the GRC?</w:t>
      </w:r>
    </w:p>
    <w:p w:rsidR="00843A58" w:rsidP="001822F7" w:rsidRDefault="00843A58" w14:paraId="601D62AE" w14:textId="40A056C1">
      <w:pPr>
        <w:pStyle w:val="Question"/>
      </w:pPr>
      <w:r>
        <w:t>Should the Commission adopt a Risk Tolerance Standard or a Framework?</w:t>
      </w:r>
    </w:p>
    <w:p w:rsidR="00432271" w:rsidP="001822F7" w:rsidRDefault="009B3860" w14:paraId="3AD9790F" w14:textId="77777777">
      <w:pPr>
        <w:pStyle w:val="Question"/>
      </w:pPr>
      <w:r>
        <w:t>How should Risk Tolerance capture the relationship between acceptable level of risk mitigation, tolerance for unmitigated risk, and affordability of rates?</w:t>
      </w:r>
    </w:p>
    <w:p w:rsidR="00C5643D" w:rsidP="001822F7" w:rsidRDefault="00C5643D" w14:paraId="6DDD9463" w14:textId="1FD7F4DD">
      <w:pPr>
        <w:pStyle w:val="Question"/>
      </w:pPr>
      <w:r>
        <w:t>Should the Commission ask parties to develop Risk Tolerance proposals? If so, what guidance should the Commission provide to parties to develop Risk Tolerance proposals?</w:t>
      </w:r>
    </w:p>
    <w:p w:rsidR="00C5643D" w:rsidP="00B14AE0" w:rsidRDefault="00C5643D" w14:paraId="68929538" w14:textId="1EECCB2C">
      <w:pPr>
        <w:pStyle w:val="Question"/>
        <w:numPr>
          <w:ilvl w:val="1"/>
          <w:numId w:val="8"/>
        </w:numPr>
      </w:pPr>
      <w:r>
        <w:t xml:space="preserve">What specific issues and questions </w:t>
      </w:r>
      <w:r w:rsidR="004977D6">
        <w:t>must parties</w:t>
      </w:r>
      <w:r>
        <w:t xml:space="preserve"> address in their Risk Tolerance proposals?</w:t>
      </w:r>
    </w:p>
    <w:p w:rsidR="00C5643D" w:rsidP="00B14AE0" w:rsidRDefault="00C5643D" w14:paraId="1BB1EABA" w14:textId="77777777">
      <w:pPr>
        <w:pStyle w:val="Question"/>
        <w:numPr>
          <w:ilvl w:val="1"/>
          <w:numId w:val="8"/>
        </w:numPr>
      </w:pPr>
      <w:r>
        <w:t>Should Risk Tolerance proposals build upon previously adopted direction for portfolio optimization and budget scenario development to express how much Residual Risk is acceptable to ratepayers in the utility system after application of risk mitigation activities for each portfolio?</w:t>
      </w:r>
    </w:p>
    <w:p w:rsidR="00432271" w:rsidP="00B14AE0" w:rsidRDefault="00C5643D" w14:paraId="361A2D2B" w14:textId="08AEA173">
      <w:pPr>
        <w:pStyle w:val="Question"/>
        <w:numPr>
          <w:ilvl w:val="1"/>
          <w:numId w:val="8"/>
        </w:numPr>
      </w:pPr>
      <w:r>
        <w:t>Should proposals explain how the benchmark of common risks and the Residual Risk remaining in a utility</w:t>
      </w:r>
      <w:r w:rsidR="00337A8D">
        <w:t>’</w:t>
      </w:r>
      <w:r>
        <w:t>s system be used to determine a tolerable level of Residual Risk in a utility</w:t>
      </w:r>
      <w:r w:rsidR="00337A8D">
        <w:t>’</w:t>
      </w:r>
      <w:r>
        <w:t>s system?</w:t>
      </w:r>
    </w:p>
    <w:p w:rsidR="00432271" w:rsidP="00B14AE0" w:rsidRDefault="00402AFB" w14:paraId="2FC3EC22" w14:textId="77777777">
      <w:pPr>
        <w:pStyle w:val="Question"/>
        <w:numPr>
          <w:ilvl w:val="1"/>
          <w:numId w:val="8"/>
        </w:numPr>
      </w:pPr>
      <w:r>
        <w:t xml:space="preserve">What additional methods, inputs, data sets, </w:t>
      </w:r>
      <w:r w:rsidRPr="009C21CB" w:rsidR="009C21CB">
        <w:rPr>
          <w:i/>
          <w:iCs/>
        </w:rPr>
        <w:t>etc.</w:t>
      </w:r>
      <w:r>
        <w:t>, if any, should the Commission adopt to support the determination of a Risk Tolerance Standard or Framework?</w:t>
      </w:r>
    </w:p>
    <w:p w:rsidR="00A16B13" w:rsidP="001822F7" w:rsidRDefault="00A16B13" w14:paraId="35E6791A" w14:textId="2543A955">
      <w:pPr>
        <w:pStyle w:val="Question"/>
      </w:pPr>
      <w:r>
        <w:t xml:space="preserve">Should the Commission solicit party proposals on </w:t>
      </w:r>
      <w:r w:rsidR="00F81A55">
        <w:t xml:space="preserve">a </w:t>
      </w:r>
      <w:r w:rsidR="00873368">
        <w:t xml:space="preserve">benchmark </w:t>
      </w:r>
      <w:r w:rsidRPr="00C67EB9" w:rsidR="00873368">
        <w:t xml:space="preserve">that reflects the level of </w:t>
      </w:r>
      <w:r w:rsidR="00F81A55">
        <w:t>common risks</w:t>
      </w:r>
      <w:r w:rsidRPr="00C67EB9" w:rsidR="00873368">
        <w:t xml:space="preserve"> California utility customers could be reasonably expected to tolerate in their daily lives</w:t>
      </w:r>
      <w:r w:rsidR="00873368">
        <w:t>?</w:t>
      </w:r>
    </w:p>
    <w:p w:rsidR="008D7BEE" w:rsidP="001822F7" w:rsidRDefault="008D7BEE" w14:paraId="41821991" w14:textId="0E2D1B2C">
      <w:pPr>
        <w:pStyle w:val="Question"/>
      </w:pPr>
      <w:r>
        <w:lastRenderedPageBreak/>
        <w:t xml:space="preserve">How should a </w:t>
      </w:r>
      <w:r w:rsidR="00AC3EFF">
        <w:t xml:space="preserve">benchmark </w:t>
      </w:r>
      <w:r w:rsidRPr="0035529F" w:rsidR="00E215E3">
        <w:t xml:space="preserve">that reflects the level of </w:t>
      </w:r>
      <w:r w:rsidR="005C445E">
        <w:t>common risks</w:t>
      </w:r>
      <w:r w:rsidRPr="0035529F" w:rsidR="00E215E3">
        <w:t xml:space="preserve"> California utility customers could be reasonably expected to tolerate in their daily lives</w:t>
      </w:r>
      <w:r w:rsidR="00E215E3">
        <w:t xml:space="preserve"> be calculated?</w:t>
      </w:r>
    </w:p>
    <w:p w:rsidR="008D7BEE" w:rsidP="00B14AE0" w:rsidRDefault="00AC3EFF" w14:paraId="141C584E" w14:textId="4AFA9B5A">
      <w:pPr>
        <w:pStyle w:val="Question"/>
        <w:numPr>
          <w:ilvl w:val="1"/>
          <w:numId w:val="8"/>
        </w:numPr>
      </w:pPr>
      <w:r>
        <w:t>W</w:t>
      </w:r>
      <w:r w:rsidRPr="000F7CED" w:rsidR="008D7BEE">
        <w:t xml:space="preserve">hat </w:t>
      </w:r>
      <w:r w:rsidR="008D7BEE">
        <w:t xml:space="preserve">common </w:t>
      </w:r>
      <w:r w:rsidRPr="000F7CED" w:rsidR="008D7BEE">
        <w:t xml:space="preserve">risk factors </w:t>
      </w:r>
      <w:r w:rsidR="008D7BEE">
        <w:t>(</w:t>
      </w:r>
      <w:r w:rsidRPr="009C21CB" w:rsidR="009C21CB">
        <w:rPr>
          <w:i/>
          <w:iCs/>
        </w:rPr>
        <w:t>e.g.</w:t>
      </w:r>
      <w:r w:rsidR="008D7BEE">
        <w:t xml:space="preserve">, </w:t>
      </w:r>
      <w:r w:rsidRPr="00716B2B" w:rsidR="008D7BEE">
        <w:t xml:space="preserve">motor vehicle accidents, </w:t>
      </w:r>
      <w:r w:rsidR="008D7BEE">
        <w:t>commercial and/or private airplane</w:t>
      </w:r>
      <w:r w:rsidRPr="00716B2B" w:rsidR="008D7BEE">
        <w:t xml:space="preserve"> </w:t>
      </w:r>
      <w:r w:rsidR="008D7BEE">
        <w:t>accidents</w:t>
      </w:r>
      <w:r w:rsidRPr="00716B2B" w:rsidR="008D7BEE">
        <w:t>, violent assault</w:t>
      </w:r>
      <w:r w:rsidR="008D7BEE">
        <w:t>s</w:t>
      </w:r>
      <w:r w:rsidRPr="00716B2B" w:rsidR="008D7BEE">
        <w:t>, drowning</w:t>
      </w:r>
      <w:r w:rsidR="008D7BEE">
        <w:t>s</w:t>
      </w:r>
      <w:r w:rsidRPr="00716B2B" w:rsidR="008D7BEE">
        <w:t xml:space="preserve">, housefires, </w:t>
      </w:r>
      <w:r w:rsidRPr="009C21CB" w:rsidR="009C21CB">
        <w:rPr>
          <w:i/>
          <w:iCs/>
        </w:rPr>
        <w:t>etc.</w:t>
      </w:r>
      <w:r w:rsidR="008D7BEE">
        <w:t>)</w:t>
      </w:r>
      <w:r w:rsidRPr="00716B2B" w:rsidR="008D7BEE">
        <w:t xml:space="preserve"> </w:t>
      </w:r>
      <w:r w:rsidRPr="000F7CED" w:rsidR="008D7BEE">
        <w:t>should be included in this benchmark and how should these factors be accounted for</w:t>
      </w:r>
      <w:r w:rsidR="008D7BEE">
        <w:t>?</w:t>
      </w:r>
    </w:p>
    <w:p w:rsidR="008D7BEE" w:rsidP="00B14AE0" w:rsidRDefault="008D7BEE" w14:paraId="1E745A2A" w14:textId="77777777">
      <w:pPr>
        <w:pStyle w:val="Question"/>
        <w:numPr>
          <w:ilvl w:val="1"/>
          <w:numId w:val="8"/>
        </w:numPr>
      </w:pPr>
      <w:r>
        <w:t>What data sources should be used to calculate this benchmark?</w:t>
      </w:r>
    </w:p>
    <w:p w:rsidR="008D7BEE" w:rsidP="00B14AE0" w:rsidRDefault="008D7BEE" w14:paraId="70B3CF14" w14:textId="63AFBA9D">
      <w:pPr>
        <w:pStyle w:val="Question"/>
        <w:numPr>
          <w:ilvl w:val="1"/>
          <w:numId w:val="8"/>
        </w:numPr>
      </w:pPr>
      <w:r>
        <w:t xml:space="preserve">How should the Commission use this benchmark to determine whether the </w:t>
      </w:r>
      <w:r w:rsidR="00F313DF">
        <w:t>R</w:t>
      </w:r>
      <w:r>
        <w:t xml:space="preserve">esidual </w:t>
      </w:r>
      <w:r w:rsidR="00F313DF">
        <w:t>R</w:t>
      </w:r>
      <w:r>
        <w:t>isk remaining in a system managed by utilities after implementation of Controls and Mitigations is acceptable to ratepayers?</w:t>
      </w:r>
    </w:p>
    <w:p w:rsidR="008D7BEE" w:rsidP="00B14AE0" w:rsidRDefault="008D7BEE" w14:paraId="3D1C1998" w14:textId="77777777">
      <w:pPr>
        <w:pStyle w:val="Question"/>
        <w:numPr>
          <w:ilvl w:val="1"/>
          <w:numId w:val="8"/>
        </w:numPr>
      </w:pPr>
      <w:r>
        <w:t>How often should this benchmark be calculated and updated?</w:t>
      </w:r>
    </w:p>
    <w:p w:rsidR="008D7BEE" w:rsidP="00B14AE0" w:rsidRDefault="008D7BEE" w14:paraId="7A0EA246" w14:textId="4355AC31">
      <w:pPr>
        <w:pStyle w:val="Question"/>
        <w:numPr>
          <w:ilvl w:val="1"/>
          <w:numId w:val="8"/>
        </w:numPr>
      </w:pPr>
      <w:r>
        <w:t>Should this benchmark be representative of all California utility customers or representative of each utility</w:t>
      </w:r>
      <w:r w:rsidR="00337A8D">
        <w:t>’</w:t>
      </w:r>
      <w:r>
        <w:t>s customers?</w:t>
      </w:r>
    </w:p>
    <w:p w:rsidR="00143F29" w:rsidP="001822F7" w:rsidRDefault="00356F96" w14:paraId="1AD4A86F" w14:textId="6796F75E">
      <w:pPr>
        <w:pStyle w:val="Question"/>
      </w:pPr>
      <w:r>
        <w:t xml:space="preserve">What other additional considerations should the Commission take into </w:t>
      </w:r>
      <w:r w:rsidR="00FE3138">
        <w:t xml:space="preserve">account with regards to the incorporation of a </w:t>
      </w:r>
      <w:r w:rsidR="00C543C7">
        <w:t>R</w:t>
      </w:r>
      <w:r w:rsidR="00FE3138">
        <w:t>isk Tolerance Standard or Framework?</w:t>
      </w:r>
    </w:p>
    <w:p w:rsidR="009A5C3A" w:rsidP="007911E0" w:rsidRDefault="009A5C3A" w14:paraId="37B1EAC3" w14:textId="4F441070">
      <w:pPr>
        <w:pStyle w:val="QuestionSection"/>
        <w:rPr>
          <w:b w:val="0"/>
          <w:bCs w:val="0"/>
        </w:rPr>
      </w:pPr>
      <w:r>
        <w:t>RAMP</w:t>
      </w:r>
    </w:p>
    <w:p w:rsidR="00944081" w:rsidP="001822F7" w:rsidRDefault="00944081" w14:paraId="7B06C7FA" w14:textId="77777777">
      <w:pPr>
        <w:pStyle w:val="Question"/>
      </w:pPr>
      <w:r>
        <w:t>Should the Commission also modify the due dates for filing opening and reply comments on RAMP submission and the SPD report?</w:t>
      </w:r>
    </w:p>
    <w:p w:rsidR="00432271" w:rsidP="001822F7" w:rsidRDefault="00944081" w14:paraId="549DFF15" w14:textId="77777777">
      <w:pPr>
        <w:pStyle w:val="Question"/>
      </w:pPr>
      <w:r>
        <w:t>How should the formal schedule account for the optional informal comments?</w:t>
      </w:r>
    </w:p>
    <w:p w:rsidRPr="0035529F" w:rsidR="00356F96" w:rsidP="007911E0" w:rsidRDefault="00143F29" w14:paraId="12C12CAE" w14:textId="0A46AE6B">
      <w:pPr>
        <w:pStyle w:val="QuestionSection"/>
        <w:rPr>
          <w:b w:val="0"/>
          <w:bCs w:val="0"/>
        </w:rPr>
      </w:pPr>
      <w:r w:rsidRPr="0035529F">
        <w:t>Benefit</w:t>
      </w:r>
      <w:r w:rsidR="00C26B9E">
        <w:rPr>
          <w:b w:val="0"/>
          <w:bCs w:val="0"/>
        </w:rPr>
        <w:noBreakHyphen/>
      </w:r>
      <w:r w:rsidR="00AE4113">
        <w:t>Cost</w:t>
      </w:r>
      <w:r w:rsidRPr="0035529F">
        <w:t xml:space="preserve"> Ratio</w:t>
      </w:r>
    </w:p>
    <w:p w:rsidR="00143F29" w:rsidP="001822F7" w:rsidRDefault="00143F29" w14:paraId="425A0781" w14:textId="77777777">
      <w:pPr>
        <w:pStyle w:val="Question"/>
      </w:pPr>
      <w:r>
        <w:t>Should the Commission examine how utilities treated O&amp;M expenses in past RAMP filings, the problems these different treatments created, and the lessons learned?</w:t>
      </w:r>
    </w:p>
    <w:p w:rsidR="00143F29" w:rsidP="001822F7" w:rsidRDefault="00143F29" w14:paraId="12DEB031" w14:textId="649DCAF5">
      <w:pPr>
        <w:pStyle w:val="Question"/>
      </w:pPr>
      <w:r>
        <w:t xml:space="preserve">Should the Commission examine how other industries, governmental agencies, academia, </w:t>
      </w:r>
      <w:r w:rsidRPr="009C21CB" w:rsidR="009C21CB">
        <w:rPr>
          <w:i/>
          <w:iCs/>
        </w:rPr>
        <w:t>etc.</w:t>
      </w:r>
      <w:r w:rsidR="009C21CB">
        <w:t>,</w:t>
      </w:r>
      <w:r>
        <w:t xml:space="preserve"> treat O&amp;M expenses when calculating BCRs?</w:t>
      </w:r>
    </w:p>
    <w:p w:rsidR="00432271" w:rsidP="001822F7" w:rsidRDefault="00143F29" w14:paraId="29ECDB2B" w14:textId="77777777">
      <w:pPr>
        <w:pStyle w:val="Question"/>
      </w:pPr>
      <w:r>
        <w:t xml:space="preserve">Should the Commission adopt a standard method for calculating </w:t>
      </w:r>
      <w:r w:rsidR="00BF27FA">
        <w:t>a</w:t>
      </w:r>
      <w:r>
        <w:t xml:space="preserve"> PVRR</w:t>
      </w:r>
      <w:r w:rsidR="00BF27FA">
        <w:t xml:space="preserve"> metric</w:t>
      </w:r>
      <w:r w:rsidR="00093F68">
        <w:t xml:space="preserve"> or multiplier</w:t>
      </w:r>
      <w:r>
        <w:t>?</w:t>
      </w:r>
    </w:p>
    <w:p w:rsidR="00143F29" w:rsidP="00B14AE0" w:rsidRDefault="00143F29" w14:paraId="722BB716" w14:textId="4C4FBC05">
      <w:pPr>
        <w:pStyle w:val="Question"/>
        <w:numPr>
          <w:ilvl w:val="1"/>
          <w:numId w:val="8"/>
        </w:numPr>
      </w:pPr>
      <w:r>
        <w:lastRenderedPageBreak/>
        <w:t>If so, what requirements should this standard method include and what costs (</w:t>
      </w:r>
      <w:r w:rsidRPr="009C21CB" w:rsidR="009C21CB">
        <w:rPr>
          <w:i/>
          <w:iCs/>
        </w:rPr>
        <w:t>e.g.</w:t>
      </w:r>
      <w:r>
        <w:t xml:space="preserve">, rate of return, taxes, </w:t>
      </w:r>
      <w:r w:rsidRPr="009C21CB" w:rsidR="009C21CB">
        <w:rPr>
          <w:i/>
          <w:iCs/>
        </w:rPr>
        <w:t>etc.</w:t>
      </w:r>
      <w:r>
        <w:t xml:space="preserve">) should the PVRR </w:t>
      </w:r>
      <w:r w:rsidR="00BF27FA">
        <w:t xml:space="preserve">metric </w:t>
      </w:r>
      <w:r w:rsidR="00B217C3">
        <w:t xml:space="preserve">or multiplier </w:t>
      </w:r>
      <w:r>
        <w:t>account for?</w:t>
      </w:r>
    </w:p>
    <w:p w:rsidR="00143F29" w:rsidP="001822F7" w:rsidRDefault="00143F29" w14:paraId="121BB25E" w14:textId="43AA089E">
      <w:pPr>
        <w:pStyle w:val="Question"/>
      </w:pPr>
      <w:r>
        <w:t>Should the Commission examine how PG&amp;E calculated its PVRR multiplier to estimate costs in its 2024 RAMP?</w:t>
      </w:r>
    </w:p>
    <w:p w:rsidR="00432271" w:rsidP="001822F7" w:rsidRDefault="00143F29" w14:paraId="7837FD16" w14:textId="6182EF73">
      <w:pPr>
        <w:pStyle w:val="Question"/>
      </w:pPr>
      <w:r>
        <w:t>Should the Commission adopt a similar approach as PG&amp;E</w:t>
      </w:r>
      <w:r w:rsidR="00337A8D">
        <w:t>’</w:t>
      </w:r>
      <w:r>
        <w:t xml:space="preserve">s, with modifications as the Commission deems necessary, for calculating a PVRR </w:t>
      </w:r>
      <w:r w:rsidR="00B217C3">
        <w:t xml:space="preserve">metric or </w:t>
      </w:r>
      <w:r>
        <w:t>multiplier to be applied to the cost of capital projects and programs presented in RAMPs?</w:t>
      </w:r>
    </w:p>
    <w:p w:rsidR="00143F29" w:rsidP="001822F7" w:rsidRDefault="00143F29" w14:paraId="678DBF65" w14:textId="7EA0C1CE">
      <w:pPr>
        <w:pStyle w:val="Question"/>
      </w:pPr>
      <w:r>
        <w:t xml:space="preserve">Should the PVRR </w:t>
      </w:r>
      <w:r w:rsidR="006050D3">
        <w:t xml:space="preserve">metric or multiplier </w:t>
      </w:r>
      <w:r>
        <w:t>be calculated and applied at the R</w:t>
      </w:r>
      <w:r w:rsidR="00ED0F90">
        <w:t>isk Reporting Unit (RRU)</w:t>
      </w:r>
      <w:r>
        <w:t>, program, risk, line of business, enterprise, or other level?</w:t>
      </w:r>
    </w:p>
    <w:p w:rsidR="00483FD1" w:rsidP="001822F7" w:rsidRDefault="00557D04" w14:paraId="359F4514" w14:textId="6D19669E">
      <w:pPr>
        <w:pStyle w:val="Question"/>
      </w:pPr>
      <w:r>
        <w:t xml:space="preserve">Which interest </w:t>
      </w:r>
      <w:r w:rsidR="00817F0A">
        <w:t xml:space="preserve">rate or </w:t>
      </w:r>
      <w:r>
        <w:t>rates should be used to calculate the PVRR metric or multiplier?</w:t>
      </w:r>
    </w:p>
    <w:p w:rsidR="00143F29" w:rsidP="001822F7" w:rsidRDefault="00143F29" w14:paraId="43F48119" w14:textId="77777777">
      <w:pPr>
        <w:pStyle w:val="Question"/>
      </w:pPr>
      <w:r>
        <w:t>Should the Commission modify the RDF, RAMP Data Template Guidelines, and other guidelines/requirements as necessary to explicitly specify that costs of capital projects and programs used in BCR calculations must be based on the estimated PVRR?</w:t>
      </w:r>
    </w:p>
    <w:p w:rsidR="00235EEF" w:rsidP="001822F7" w:rsidRDefault="00235EEF" w14:paraId="4EFDA0FA" w14:textId="39A1CB3F">
      <w:pPr>
        <w:pStyle w:val="Question"/>
      </w:pPr>
      <w:r w:rsidRPr="00DE4965">
        <w:t xml:space="preserve">Should the Commission address other outstanding issues relating to </w:t>
      </w:r>
      <w:r>
        <w:t>BCR methodology and/or calculation</w:t>
      </w:r>
      <w:r w:rsidRPr="00DE4965">
        <w:t>?</w:t>
      </w:r>
      <w:r>
        <w:t xml:space="preserve"> If so, which ones</w:t>
      </w:r>
      <w:r w:rsidR="009D6A54">
        <w:t xml:space="preserve"> and why?</w:t>
      </w:r>
    </w:p>
    <w:p w:rsidR="00600169" w:rsidP="007911E0" w:rsidRDefault="00600169" w14:paraId="0718D68D" w14:textId="2C4DE563">
      <w:pPr>
        <w:pStyle w:val="QuestionSection"/>
        <w:rPr>
          <w:b w:val="0"/>
          <w:bCs w:val="0"/>
        </w:rPr>
      </w:pPr>
      <w:r>
        <w:t>SMJU Reporting</w:t>
      </w:r>
    </w:p>
    <w:p w:rsidR="00432271" w:rsidP="001822F7" w:rsidRDefault="00393856" w14:paraId="4A0B7219" w14:textId="77777777">
      <w:pPr>
        <w:pStyle w:val="Question"/>
      </w:pPr>
      <w:r w:rsidRPr="002A1B8A">
        <w:t xml:space="preserve">What </w:t>
      </w:r>
      <w:r>
        <w:t>barriers to extending RSAR requirements to Alpine and WCG should the Commission consider?</w:t>
      </w:r>
    </w:p>
    <w:p w:rsidRPr="00370639" w:rsidR="001822F7" w:rsidP="00370639" w:rsidRDefault="001822F7" w14:paraId="32AAB981" w14:textId="129B67D3">
      <w:pPr>
        <w:pStyle w:val="Standard"/>
        <w:keepNext/>
      </w:pPr>
    </w:p>
    <w:p w:rsidR="001822F7" w:rsidP="001822F7" w:rsidRDefault="001822F7" w14:paraId="16D3DBFD" w14:textId="77777777">
      <w:pPr>
        <w:pStyle w:val="Standard"/>
        <w:keepNext/>
      </w:pPr>
    </w:p>
    <w:p w:rsidR="00370639" w:rsidP="001822F7" w:rsidRDefault="00370639" w14:paraId="17B73481" w14:textId="77777777">
      <w:pPr>
        <w:pStyle w:val="Standard"/>
        <w:keepNext/>
      </w:pPr>
    </w:p>
    <w:p w:rsidRPr="00B91AF1" w:rsidR="001822F7" w:rsidP="001822F7" w:rsidRDefault="001822F7" w14:paraId="05DFBDC7" w14:textId="77AB4C5C">
      <w:pPr>
        <w:pStyle w:val="Standard"/>
        <w:keepNext/>
        <w:ind w:firstLine="0"/>
        <w:jc w:val="center"/>
        <w:rPr>
          <w:b/>
          <w:bCs/>
        </w:rPr>
      </w:pPr>
      <w:r w:rsidRPr="00B91AF1">
        <w:rPr>
          <w:b/>
          <w:bCs/>
        </w:rPr>
        <w:t>(END OF APPENDIX A)</w:t>
      </w:r>
    </w:p>
    <w:sectPr w:rsidRPr="00B91AF1" w:rsidR="001822F7" w:rsidSect="006B72DC">
      <w:footerReference w:type="default" r:id="rId25"/>
      <w:pgSz w:w="12240" w:h="15840"/>
      <w:pgMar w:top="1728"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FE656" w14:textId="77777777" w:rsidR="007E63DC" w:rsidRDefault="007E63DC" w:rsidP="0098138E">
      <w:pPr>
        <w:spacing w:line="240" w:lineRule="auto"/>
      </w:pPr>
      <w:r>
        <w:separator/>
      </w:r>
    </w:p>
  </w:endnote>
  <w:endnote w:type="continuationSeparator" w:id="0">
    <w:p w14:paraId="086A2289" w14:textId="77777777" w:rsidR="007E63DC" w:rsidRDefault="007E63DC"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charset w:val="00"/>
    <w:family w:val="roman"/>
    <w:pitch w:val="default"/>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C46B5" w14:textId="69F27A98" w:rsidR="00E23CBB" w:rsidRDefault="00C26B9E" w:rsidP="0096530B">
    <w:pPr>
      <w:spacing w:line="240" w:lineRule="auto"/>
      <w:ind w:firstLine="0"/>
      <w:jc w:val="center"/>
    </w:pPr>
    <w:r>
      <w:noBreakHyphen/>
    </w:r>
    <w:r w:rsidR="00EE4315">
      <w:t xml:space="preserve"> </w:t>
    </w:r>
    <w:sdt>
      <w:sdtPr>
        <w:id w:val="1793169647"/>
        <w:docPartObj>
          <w:docPartGallery w:val="Page Numbers (Bottom of Page)"/>
          <w:docPartUnique/>
        </w:docPartObj>
      </w:sdtPr>
      <w:sdtEndPr>
        <w:rPr>
          <w:noProof/>
        </w:rPr>
      </w:sdtEndPr>
      <w:sdtContent>
        <w:r w:rsidR="00E23CBB">
          <w:fldChar w:fldCharType="begin"/>
        </w:r>
        <w:r w:rsidR="00E23CBB">
          <w:instrText xml:space="preserve"> PAGE   \* MERGEFORMAT </w:instrText>
        </w:r>
        <w:r w:rsidR="00E23CBB">
          <w:fldChar w:fldCharType="separate"/>
        </w:r>
        <w:r w:rsidR="00E23CBB">
          <w:rPr>
            <w:noProof/>
          </w:rPr>
          <w:t>2</w:t>
        </w:r>
        <w:r w:rsidR="00E23CBB">
          <w:rPr>
            <w:noProof/>
          </w:rPr>
          <w:fldChar w:fldCharType="end"/>
        </w:r>
        <w:r w:rsidR="00EE4315">
          <w:rPr>
            <w:noProof/>
          </w:rPr>
          <w:t xml:space="preserve"> </w:t>
        </w:r>
        <w:r>
          <w:rPr>
            <w:noProof/>
          </w:rPr>
          <w:noBreakHyphen/>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B1425" w14:textId="10A4A0F7" w:rsidR="0096530B" w:rsidRDefault="005F4131" w:rsidP="0096530B">
    <w:pPr>
      <w:pStyle w:val="Footer"/>
      <w:ind w:firstLine="0"/>
    </w:pPr>
    <w:r w:rsidRPr="005F4131">
      <w:rPr>
        <w:sz w:val="16"/>
      </w:rPr>
      <w:t>606216455</w:t>
    </w:r>
    <w:r w:rsidR="0096530B">
      <w:tab/>
    </w:r>
    <w:r w:rsidR="00C26B9E">
      <w:noBreakHyphen/>
    </w:r>
    <w:r w:rsidR="0096530B">
      <w:t xml:space="preserve"> </w:t>
    </w:r>
    <w:r w:rsidR="0096530B">
      <w:fldChar w:fldCharType="begin"/>
    </w:r>
    <w:r w:rsidR="0096530B">
      <w:instrText xml:space="preserve"> PAGE   \* MERGEFORMAT </w:instrText>
    </w:r>
    <w:r w:rsidR="0096530B">
      <w:fldChar w:fldCharType="separate"/>
    </w:r>
    <w:r w:rsidR="0096530B">
      <w:rPr>
        <w:noProof/>
      </w:rPr>
      <w:t>1</w:t>
    </w:r>
    <w:r w:rsidR="0096530B">
      <w:rPr>
        <w:noProof/>
      </w:rPr>
      <w:fldChar w:fldCharType="end"/>
    </w:r>
    <w:r w:rsidR="0096530B">
      <w:t xml:space="preserve"> </w:t>
    </w:r>
    <w:r w:rsidR="00C26B9E">
      <w:noBreakHyphen/>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0BF2B" w14:textId="1F8E12FB" w:rsidR="00E23CBB" w:rsidRDefault="00C26B9E" w:rsidP="0096530B">
    <w:pPr>
      <w:spacing w:line="240" w:lineRule="auto"/>
      <w:ind w:firstLine="0"/>
      <w:jc w:val="center"/>
    </w:pPr>
    <w:r>
      <w:noBreakHyphen/>
    </w:r>
    <w:sdt>
      <w:sdtPr>
        <w:id w:val="-1034043401"/>
        <w:docPartObj>
          <w:docPartGallery w:val="Page Numbers (Bottom of Page)"/>
          <w:docPartUnique/>
        </w:docPartObj>
      </w:sdtPr>
      <w:sdtEndPr>
        <w:rPr>
          <w:noProof/>
        </w:rPr>
      </w:sdtEndPr>
      <w:sdtContent>
        <w:r w:rsidR="00EE4315">
          <w:t xml:space="preserve"> </w:t>
        </w:r>
        <w:r w:rsidR="00E23CBB">
          <w:fldChar w:fldCharType="begin"/>
        </w:r>
        <w:r w:rsidR="00E23CBB">
          <w:instrText xml:space="preserve"> PAGE   \* MERGEFORMAT </w:instrText>
        </w:r>
        <w:r w:rsidR="00E23CBB">
          <w:fldChar w:fldCharType="separate"/>
        </w:r>
        <w:r w:rsidR="00E23CBB">
          <w:rPr>
            <w:noProof/>
          </w:rPr>
          <w:t>2</w:t>
        </w:r>
        <w:r w:rsidR="00E23CBB">
          <w:rPr>
            <w:noProof/>
          </w:rPr>
          <w:fldChar w:fldCharType="end"/>
        </w:r>
        <w:r w:rsidR="00EE4315">
          <w:rPr>
            <w:noProof/>
          </w:rPr>
          <w:t xml:space="preserve"> </w:t>
        </w:r>
        <w:r>
          <w:rPr>
            <w:noProof/>
          </w:rPr>
          <w:noBreakHyphen/>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11EF6" w14:textId="7D1D7797" w:rsidR="001D09EA" w:rsidRPr="001D09EA" w:rsidRDefault="001D09EA" w:rsidP="001D09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26A9D" w14:textId="52E588F9" w:rsidR="001D09EA" w:rsidRDefault="00C26B9E" w:rsidP="0096530B">
    <w:pPr>
      <w:spacing w:line="240" w:lineRule="auto"/>
      <w:ind w:firstLine="0"/>
      <w:jc w:val="center"/>
    </w:pPr>
    <w:r>
      <w:noBreakHyphen/>
    </w:r>
    <w:sdt>
      <w:sdtPr>
        <w:id w:val="863020345"/>
        <w:docPartObj>
          <w:docPartGallery w:val="Page Numbers (Bottom of Page)"/>
          <w:docPartUnique/>
        </w:docPartObj>
      </w:sdtPr>
      <w:sdtEndPr>
        <w:rPr>
          <w:noProof/>
        </w:rPr>
      </w:sdtEndPr>
      <w:sdtContent>
        <w:r w:rsidR="001D09EA">
          <w:t xml:space="preserve"> </w:t>
        </w:r>
        <w:r w:rsidR="001D09EA">
          <w:fldChar w:fldCharType="begin"/>
        </w:r>
        <w:r w:rsidR="001D09EA">
          <w:instrText xml:space="preserve"> PAGE   \* MERGEFORMAT </w:instrText>
        </w:r>
        <w:r w:rsidR="001D09EA">
          <w:fldChar w:fldCharType="separate"/>
        </w:r>
        <w:r w:rsidR="001D09EA">
          <w:rPr>
            <w:noProof/>
          </w:rPr>
          <w:t>2</w:t>
        </w:r>
        <w:r w:rsidR="001D09EA">
          <w:rPr>
            <w:noProof/>
          </w:rPr>
          <w:fldChar w:fldCharType="end"/>
        </w:r>
        <w:r w:rsidR="001D09EA">
          <w:rPr>
            <w:noProof/>
          </w:rPr>
          <w:t xml:space="preserve"> </w:t>
        </w:r>
        <w:r>
          <w:rPr>
            <w:noProof/>
          </w:rPr>
          <w:noBreakHyphen/>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49A57" w14:textId="77777777" w:rsidR="007E63DC" w:rsidRDefault="007E63DC" w:rsidP="00DF58E7">
      <w:pPr>
        <w:spacing w:line="240" w:lineRule="auto"/>
        <w:ind w:firstLine="0"/>
      </w:pPr>
      <w:r>
        <w:separator/>
      </w:r>
    </w:p>
  </w:footnote>
  <w:footnote w:type="continuationSeparator" w:id="0">
    <w:p w14:paraId="6CD1A235" w14:textId="77777777" w:rsidR="007E63DC" w:rsidRDefault="007E63DC" w:rsidP="00DF58E7">
      <w:pPr>
        <w:spacing w:line="240" w:lineRule="auto"/>
        <w:ind w:firstLine="0"/>
      </w:pPr>
      <w:r>
        <w:continuationSeparator/>
      </w:r>
    </w:p>
  </w:footnote>
  <w:footnote w:type="continuationNotice" w:id="1">
    <w:p w14:paraId="1EE62DF2" w14:textId="77777777" w:rsidR="007E63DC" w:rsidRPr="00DF58E7" w:rsidRDefault="007E63DC" w:rsidP="00DF58E7">
      <w:pPr>
        <w:spacing w:line="240" w:lineRule="auto"/>
        <w:ind w:firstLine="0"/>
        <w:jc w:val="right"/>
        <w:rPr>
          <w:i/>
          <w:sz w:val="22"/>
        </w:rPr>
      </w:pPr>
      <w:r w:rsidRPr="00DF58E7">
        <w:rPr>
          <w:i/>
          <w:sz w:val="22"/>
        </w:rPr>
        <w:t>Footnote continued on next page.</w:t>
      </w:r>
    </w:p>
  </w:footnote>
  <w:footnote w:id="2">
    <w:p w14:paraId="5D35560E" w14:textId="18EA9B2D" w:rsidR="00165FE4" w:rsidRDefault="00165FE4" w:rsidP="00165FE4">
      <w:pPr>
        <w:pStyle w:val="FootnoteText"/>
      </w:pPr>
      <w:r>
        <w:rPr>
          <w:rStyle w:val="FootnoteReference"/>
        </w:rPr>
        <w:footnoteRef/>
      </w:r>
      <w:r>
        <w:t xml:space="preserve"> D.18</w:t>
      </w:r>
      <w:r w:rsidR="00C26B9E">
        <w:noBreakHyphen/>
      </w:r>
      <w:r>
        <w:t>12</w:t>
      </w:r>
      <w:r w:rsidR="00C26B9E">
        <w:noBreakHyphen/>
      </w:r>
      <w:r>
        <w:t xml:space="preserve">014 at </w:t>
      </w:r>
      <w:r w:rsidR="00432271">
        <w:t>S</w:t>
      </w:r>
      <w:r>
        <w:t>ections</w:t>
      </w:r>
      <w:r w:rsidR="00432271">
        <w:t> </w:t>
      </w:r>
      <w:r>
        <w:t>5</w:t>
      </w:r>
      <w:r w:rsidR="00432271">
        <w:noBreakHyphen/>
      </w:r>
      <w:r>
        <w:t>6.</w:t>
      </w:r>
    </w:p>
  </w:footnote>
  <w:footnote w:id="3">
    <w:p w14:paraId="1B954CCE" w14:textId="01B6361E" w:rsidR="00F47AC5" w:rsidRPr="00365CD4" w:rsidRDefault="00F47AC5">
      <w:pPr>
        <w:pStyle w:val="FootnoteText"/>
        <w:rPr>
          <w:lang w:val="en-ZW"/>
        </w:rPr>
      </w:pPr>
      <w:r>
        <w:rPr>
          <w:rStyle w:val="FootnoteReference"/>
        </w:rPr>
        <w:footnoteRef/>
      </w:r>
      <w:r>
        <w:t xml:space="preserve"> </w:t>
      </w:r>
      <w:r>
        <w:rPr>
          <w:lang w:val="en-ZW"/>
        </w:rPr>
        <w:t>D.</w:t>
      </w:r>
      <w:r w:rsidR="00AF6FD2">
        <w:rPr>
          <w:lang w:val="en-ZW"/>
        </w:rPr>
        <w:t>21</w:t>
      </w:r>
      <w:r w:rsidR="00C26B9E">
        <w:rPr>
          <w:lang w:val="en-ZW"/>
        </w:rPr>
        <w:noBreakHyphen/>
      </w:r>
      <w:r w:rsidR="00AF6FD2">
        <w:rPr>
          <w:lang w:val="en-ZW"/>
        </w:rPr>
        <w:t>11</w:t>
      </w:r>
      <w:r w:rsidR="00C26B9E">
        <w:rPr>
          <w:lang w:val="en-ZW"/>
        </w:rPr>
        <w:noBreakHyphen/>
      </w:r>
      <w:r w:rsidR="00AF6FD2">
        <w:rPr>
          <w:lang w:val="en-ZW"/>
        </w:rPr>
        <w:t>009 at 2.</w:t>
      </w:r>
    </w:p>
  </w:footnote>
  <w:footnote w:id="4">
    <w:p w14:paraId="0D6C051B" w14:textId="1B7FF31F" w:rsidR="00F9274E" w:rsidRPr="00365CD4" w:rsidRDefault="00F9274E">
      <w:pPr>
        <w:pStyle w:val="FootnoteText"/>
        <w:rPr>
          <w:lang w:val="en-ZW"/>
        </w:rPr>
      </w:pPr>
      <w:r>
        <w:rPr>
          <w:rStyle w:val="FootnoteReference"/>
        </w:rPr>
        <w:footnoteRef/>
      </w:r>
      <w:r>
        <w:t xml:space="preserve"> </w:t>
      </w:r>
      <w:r>
        <w:rPr>
          <w:lang w:val="en-ZW"/>
        </w:rPr>
        <w:t>D.22</w:t>
      </w:r>
      <w:r w:rsidR="00C26B9E">
        <w:rPr>
          <w:lang w:val="en-ZW"/>
        </w:rPr>
        <w:noBreakHyphen/>
      </w:r>
      <w:r w:rsidR="00372533">
        <w:rPr>
          <w:lang w:val="en-ZW"/>
        </w:rPr>
        <w:t>10</w:t>
      </w:r>
      <w:r w:rsidR="00C26B9E">
        <w:rPr>
          <w:lang w:val="en-ZW"/>
        </w:rPr>
        <w:noBreakHyphen/>
      </w:r>
      <w:r w:rsidR="00372533">
        <w:rPr>
          <w:lang w:val="en-ZW"/>
        </w:rPr>
        <w:t>002 at 2.</w:t>
      </w:r>
    </w:p>
  </w:footnote>
  <w:footnote w:id="5">
    <w:p w14:paraId="29CE67EE" w14:textId="7AA56835" w:rsidR="006423D4" w:rsidRPr="00365CD4" w:rsidRDefault="006423D4">
      <w:pPr>
        <w:pStyle w:val="FootnoteText"/>
        <w:rPr>
          <w:lang w:val="en-ZW"/>
        </w:rPr>
      </w:pPr>
      <w:r>
        <w:rPr>
          <w:rStyle w:val="FootnoteReference"/>
        </w:rPr>
        <w:footnoteRef/>
      </w:r>
      <w:r>
        <w:t xml:space="preserve"> </w:t>
      </w:r>
      <w:r w:rsidR="000B6FA1">
        <w:rPr>
          <w:lang w:val="en-ZW"/>
        </w:rPr>
        <w:t>D.22</w:t>
      </w:r>
      <w:r w:rsidR="00C26B9E">
        <w:rPr>
          <w:lang w:val="en-ZW"/>
        </w:rPr>
        <w:noBreakHyphen/>
      </w:r>
      <w:r w:rsidR="000B6FA1">
        <w:rPr>
          <w:lang w:val="en-ZW"/>
        </w:rPr>
        <w:t>12</w:t>
      </w:r>
      <w:r w:rsidR="00C26B9E">
        <w:rPr>
          <w:lang w:val="en-ZW"/>
        </w:rPr>
        <w:noBreakHyphen/>
      </w:r>
      <w:r w:rsidR="000B6FA1">
        <w:rPr>
          <w:lang w:val="en-ZW"/>
        </w:rPr>
        <w:t>007</w:t>
      </w:r>
      <w:r w:rsidR="00440BA4">
        <w:rPr>
          <w:lang w:val="en-ZW"/>
        </w:rPr>
        <w:t xml:space="preserve"> at 2.</w:t>
      </w:r>
    </w:p>
  </w:footnote>
  <w:footnote w:id="6">
    <w:p w14:paraId="41C33473" w14:textId="13A58A64" w:rsidR="00113F3D" w:rsidRDefault="00113F3D">
      <w:pPr>
        <w:pStyle w:val="FootnoteText"/>
      </w:pPr>
      <w:r>
        <w:rPr>
          <w:rStyle w:val="FootnoteReference"/>
        </w:rPr>
        <w:footnoteRef/>
      </w:r>
      <w:r>
        <w:t xml:space="preserve"> Cost</w:t>
      </w:r>
      <w:r w:rsidR="00C26B9E">
        <w:noBreakHyphen/>
      </w:r>
      <w:r>
        <w:t xml:space="preserve">Benefit Ratio </w:t>
      </w:r>
      <w:r w:rsidR="006017EF">
        <w:t xml:space="preserve">(CBR) </w:t>
      </w:r>
      <w:r>
        <w:t>and Benefit</w:t>
      </w:r>
      <w:r w:rsidR="00C26B9E">
        <w:noBreakHyphen/>
      </w:r>
      <w:r>
        <w:t xml:space="preserve">Cost Ratio </w:t>
      </w:r>
      <w:r w:rsidR="006017EF">
        <w:t xml:space="preserve">(BCR) </w:t>
      </w:r>
      <w:r w:rsidR="00CA6530">
        <w:t xml:space="preserve">are used interchangeably. </w:t>
      </w:r>
      <w:r w:rsidR="00E26DAB">
        <w:t>D.25</w:t>
      </w:r>
      <w:r w:rsidR="00C26B9E">
        <w:noBreakHyphen/>
      </w:r>
      <w:r w:rsidR="00844EED">
        <w:t>08</w:t>
      </w:r>
      <w:r w:rsidR="00C26B9E">
        <w:noBreakHyphen/>
      </w:r>
      <w:r w:rsidR="00844EED">
        <w:t xml:space="preserve">032 </w:t>
      </w:r>
      <w:r w:rsidR="00B652CB">
        <w:t xml:space="preserve">revised </w:t>
      </w:r>
      <w:r w:rsidR="006017EF">
        <w:t>CBR to BCR.</w:t>
      </w:r>
    </w:p>
  </w:footnote>
  <w:footnote w:id="7">
    <w:p w14:paraId="6608E615" w14:textId="7B4FD833" w:rsidR="00CB6CFC" w:rsidRPr="00365CD4" w:rsidRDefault="00CB6CFC">
      <w:pPr>
        <w:pStyle w:val="FootnoteText"/>
        <w:rPr>
          <w:lang w:val="en-ZW"/>
        </w:rPr>
      </w:pPr>
      <w:r>
        <w:rPr>
          <w:rStyle w:val="FootnoteReference"/>
        </w:rPr>
        <w:footnoteRef/>
      </w:r>
      <w:r>
        <w:t xml:space="preserve"> </w:t>
      </w:r>
      <w:r>
        <w:rPr>
          <w:lang w:val="en-ZW"/>
        </w:rPr>
        <w:t>D</w:t>
      </w:r>
      <w:r w:rsidR="000310F6">
        <w:rPr>
          <w:lang w:val="en-ZW"/>
        </w:rPr>
        <w:t>.25</w:t>
      </w:r>
      <w:r w:rsidR="00C26B9E">
        <w:rPr>
          <w:lang w:val="en-ZW"/>
        </w:rPr>
        <w:noBreakHyphen/>
      </w:r>
      <w:r w:rsidR="000310F6">
        <w:rPr>
          <w:lang w:val="en-ZW"/>
        </w:rPr>
        <w:t>08</w:t>
      </w:r>
      <w:r w:rsidR="00C26B9E">
        <w:rPr>
          <w:lang w:val="en-ZW"/>
        </w:rPr>
        <w:noBreakHyphen/>
      </w:r>
      <w:r w:rsidR="000310F6">
        <w:rPr>
          <w:lang w:val="en-ZW"/>
        </w:rPr>
        <w:t>032 at 2, 21.</w:t>
      </w:r>
    </w:p>
  </w:footnote>
  <w:footnote w:id="8">
    <w:p w14:paraId="0F853FBF" w14:textId="1526C90A" w:rsidR="00EE1362" w:rsidRDefault="00EE1362" w:rsidP="00EE1362">
      <w:pPr>
        <w:pStyle w:val="FootnoteText"/>
      </w:pPr>
      <w:r>
        <w:rPr>
          <w:rStyle w:val="FootnoteReference"/>
        </w:rPr>
        <w:footnoteRef/>
      </w:r>
      <w:r>
        <w:t xml:space="preserve"> </w:t>
      </w:r>
      <w:r w:rsidRPr="009C21CB">
        <w:rPr>
          <w:i/>
          <w:iCs/>
        </w:rPr>
        <w:t>See</w:t>
      </w:r>
      <w:r>
        <w:t xml:space="preserve"> D.</w:t>
      </w:r>
      <w:r w:rsidR="008A429B">
        <w:t>25</w:t>
      </w:r>
      <w:r w:rsidR="00C26B9E">
        <w:noBreakHyphen/>
      </w:r>
      <w:r w:rsidR="008A429B">
        <w:t>08</w:t>
      </w:r>
      <w:r w:rsidR="00C26B9E">
        <w:noBreakHyphen/>
      </w:r>
      <w:r w:rsidR="008A429B">
        <w:t>032</w:t>
      </w:r>
      <w:r>
        <w:t xml:space="preserve"> and, in particular, </w:t>
      </w:r>
      <w:r w:rsidR="00A86DF0">
        <w:t>Attachment </w:t>
      </w:r>
      <w:r>
        <w:t xml:space="preserve">A, </w:t>
      </w:r>
      <w:r w:rsidR="00A86DF0">
        <w:t>Appendix </w:t>
      </w:r>
      <w:r>
        <w:t>A for a full list of RDF requirements.</w:t>
      </w:r>
    </w:p>
  </w:footnote>
  <w:footnote w:id="9">
    <w:p w14:paraId="71132307" w14:textId="6B0CC794" w:rsidR="00073843" w:rsidRPr="003824F1" w:rsidRDefault="00073843">
      <w:pPr>
        <w:pStyle w:val="FootnoteText"/>
        <w:rPr>
          <w:lang w:val="en-ZW"/>
        </w:rPr>
      </w:pPr>
      <w:r>
        <w:rPr>
          <w:rStyle w:val="FootnoteReference"/>
        </w:rPr>
        <w:footnoteRef/>
      </w:r>
      <w:r>
        <w:t xml:space="preserve"> </w:t>
      </w:r>
      <w:r w:rsidR="009B4DE1" w:rsidRPr="009B4DE1">
        <w:t xml:space="preserve">Risk </w:t>
      </w:r>
      <w:r w:rsidR="00EC083F">
        <w:t>e</w:t>
      </w:r>
      <w:r w:rsidR="009B4DE1" w:rsidRPr="009B4DE1">
        <w:t>vent</w:t>
      </w:r>
      <w:r w:rsidR="009B4DE1">
        <w:t xml:space="preserve"> is a</w:t>
      </w:r>
      <w:r w:rsidR="009B4DE1" w:rsidRPr="009B4DE1">
        <w:t xml:space="preserve">n occurrence or change of a particular set of circumstances that may have potentially adverse </w:t>
      </w:r>
      <w:r w:rsidR="009B4DE1">
        <w:t>c</w:t>
      </w:r>
      <w:r w:rsidR="009B4DE1" w:rsidRPr="009B4DE1">
        <w:t>onsequences and may require action to address.</w:t>
      </w:r>
    </w:p>
  </w:footnote>
  <w:footnote w:id="10">
    <w:p w14:paraId="50D2C1C4" w14:textId="2BB0E97E" w:rsidR="00812C68" w:rsidRPr="00C67EB9" w:rsidRDefault="00812C68" w:rsidP="00812C68">
      <w:pPr>
        <w:pStyle w:val="FootnoteText"/>
        <w:rPr>
          <w:lang w:val="en-ZW"/>
        </w:rPr>
      </w:pPr>
      <w:r>
        <w:rPr>
          <w:rStyle w:val="FootnoteReference"/>
        </w:rPr>
        <w:footnoteRef/>
      </w:r>
      <w:r>
        <w:t xml:space="preserve"> For instance, for a wildfire risk event</w:t>
      </w:r>
      <w:r w:rsidR="007606FB">
        <w:t>,</w:t>
      </w:r>
      <w:r>
        <w:t xml:space="preserve"> the causes of wildfire</w:t>
      </w:r>
      <w:r w:rsidR="00E03FE0">
        <w:t xml:space="preserve">, such as </w:t>
      </w:r>
      <w:r w:rsidR="00B535BC">
        <w:t>equipment malfunction, and</w:t>
      </w:r>
      <w:r>
        <w:t xml:space="preserve"> the assets that could cause the wildfire</w:t>
      </w:r>
      <w:r w:rsidR="00B535BC">
        <w:t>,</w:t>
      </w:r>
      <w:r>
        <w:t xml:space="preserve"> such as </w:t>
      </w:r>
      <w:r w:rsidRPr="00A506E0">
        <w:t>overhead wires and transformers</w:t>
      </w:r>
      <w:r>
        <w:t>.</w:t>
      </w:r>
    </w:p>
  </w:footnote>
  <w:footnote w:id="11">
    <w:p w14:paraId="40605F55" w14:textId="645156B9" w:rsidR="00812C68" w:rsidRPr="00C67EB9" w:rsidRDefault="00812C68" w:rsidP="00812C68">
      <w:pPr>
        <w:pStyle w:val="FootnoteText"/>
        <w:rPr>
          <w:lang w:val="en-ZW"/>
        </w:rPr>
      </w:pPr>
      <w:r>
        <w:rPr>
          <w:rStyle w:val="FootnoteReference"/>
        </w:rPr>
        <w:footnoteRef/>
      </w:r>
      <w:r>
        <w:t xml:space="preserve"> </w:t>
      </w:r>
      <w:r>
        <w:rPr>
          <w:lang w:val="en-ZW"/>
        </w:rPr>
        <w:t>D.24</w:t>
      </w:r>
      <w:r w:rsidR="00C26B9E">
        <w:rPr>
          <w:lang w:val="en-ZW"/>
        </w:rPr>
        <w:noBreakHyphen/>
      </w:r>
      <w:r>
        <w:rPr>
          <w:lang w:val="en-ZW"/>
        </w:rPr>
        <w:t>05</w:t>
      </w:r>
      <w:r w:rsidR="00C26B9E">
        <w:rPr>
          <w:lang w:val="en-ZW"/>
        </w:rPr>
        <w:noBreakHyphen/>
      </w:r>
      <w:r>
        <w:rPr>
          <w:lang w:val="en-ZW"/>
        </w:rPr>
        <w:t>064 adopted a tranching method, but utilities are allowed to propose alternative methods.</w:t>
      </w:r>
    </w:p>
  </w:footnote>
  <w:footnote w:id="12">
    <w:p w14:paraId="3EF54160" w14:textId="3C489798" w:rsidR="00A360F7" w:rsidRPr="00094A27" w:rsidRDefault="00A360F7" w:rsidP="00A360F7">
      <w:pPr>
        <w:pStyle w:val="FootnoteText"/>
        <w:rPr>
          <w:lang w:val="en-ZW"/>
        </w:rPr>
      </w:pPr>
      <w:r>
        <w:rPr>
          <w:rStyle w:val="FootnoteReference"/>
        </w:rPr>
        <w:footnoteRef/>
      </w:r>
      <w:r>
        <w:t xml:space="preserve"> D.14</w:t>
      </w:r>
      <w:r w:rsidR="00C26B9E">
        <w:noBreakHyphen/>
      </w:r>
      <w:r>
        <w:t>12</w:t>
      </w:r>
      <w:r w:rsidR="00C26B9E">
        <w:noBreakHyphen/>
      </w:r>
      <w:r>
        <w:t>025 at 35</w:t>
      </w:r>
      <w:r w:rsidR="00C26B9E">
        <w:noBreakHyphen/>
      </w:r>
      <w:r>
        <w:t>39. The current process has evolved since originally adopted, but its main milestones have remained</w:t>
      </w:r>
      <w:r w:rsidR="00337A8D">
        <w:t xml:space="preserve">: </w:t>
      </w:r>
      <w:r w:rsidR="00C27EE8">
        <w:t xml:space="preserve">before the utility files a </w:t>
      </w:r>
      <w:r>
        <w:t xml:space="preserve">GRC </w:t>
      </w:r>
      <w:r w:rsidR="00C27EE8">
        <w:t>Phase</w:t>
      </w:r>
      <w:r w:rsidR="00F9742D">
        <w:t> </w:t>
      </w:r>
      <w:r w:rsidR="00C27EE8">
        <w:t>1 application</w:t>
      </w:r>
      <w:r>
        <w:t xml:space="preserve">, </w:t>
      </w:r>
      <w:r w:rsidR="00C27EE8">
        <w:t xml:space="preserve">the </w:t>
      </w:r>
      <w:r>
        <w:t>Commission staff evaluat</w:t>
      </w:r>
      <w:r w:rsidR="00C27EE8">
        <w:t>es</w:t>
      </w:r>
      <w:r>
        <w:t xml:space="preserve"> the RAMP filing</w:t>
      </w:r>
      <w:r w:rsidR="00C27EE8">
        <w:t>, and then parties comment on the</w:t>
      </w:r>
      <w:r>
        <w:t xml:space="preserve"> Commission staff</w:t>
      </w:r>
      <w:r w:rsidR="00C27EE8">
        <w:t>’s</w:t>
      </w:r>
      <w:r>
        <w:t xml:space="preserve"> evaluation.</w:t>
      </w:r>
    </w:p>
  </w:footnote>
  <w:footnote w:id="13">
    <w:p w14:paraId="3ED3C9B3" w14:textId="18F816DE" w:rsidR="00DA57D3" w:rsidRDefault="00DA57D3" w:rsidP="00DA57D3">
      <w:pPr>
        <w:pStyle w:val="FootnoteText"/>
      </w:pPr>
      <w:r>
        <w:rPr>
          <w:rStyle w:val="FootnoteReference"/>
        </w:rPr>
        <w:footnoteRef/>
      </w:r>
      <w:r>
        <w:t xml:space="preserve"> D.20</w:t>
      </w:r>
      <w:r w:rsidR="00C26B9E">
        <w:noBreakHyphen/>
      </w:r>
      <w:r>
        <w:t>07</w:t>
      </w:r>
      <w:r w:rsidR="00C26B9E">
        <w:noBreakHyphen/>
      </w:r>
      <w:r>
        <w:t xml:space="preserve">032 at </w:t>
      </w:r>
      <w:r w:rsidR="00432271">
        <w:t>Conclusion of Law (</w:t>
      </w:r>
      <w:r>
        <w:t>CoL</w:t>
      </w:r>
      <w:r w:rsidR="00432271">
        <w:t>) </w:t>
      </w:r>
      <w:r>
        <w:t>1 and CoL</w:t>
      </w:r>
      <w:r w:rsidR="00432271">
        <w:t> </w:t>
      </w:r>
      <w:r>
        <w:t>6.</w:t>
      </w:r>
    </w:p>
  </w:footnote>
  <w:footnote w:id="14">
    <w:p w14:paraId="078163E7" w14:textId="5C7C000D" w:rsidR="00C620A0" w:rsidRPr="00C620A0" w:rsidRDefault="00C620A0" w:rsidP="00C620A0">
      <w:pPr>
        <w:pStyle w:val="FootnoteText"/>
      </w:pPr>
      <w:r>
        <w:rPr>
          <w:rStyle w:val="FootnoteReference"/>
        </w:rPr>
        <w:footnoteRef/>
      </w:r>
      <w:r>
        <w:t xml:space="preserve"> </w:t>
      </w:r>
      <w:r w:rsidRPr="00C620A0">
        <w:t>SB</w:t>
      </w:r>
      <w:r w:rsidR="001D2D0F">
        <w:t> </w:t>
      </w:r>
      <w:r w:rsidRPr="00C620A0">
        <w:t>695 (Kehoe), Stats.</w:t>
      </w:r>
      <w:r w:rsidR="001D2D0F">
        <w:t> </w:t>
      </w:r>
      <w:r w:rsidRPr="00C620A0">
        <w:t>2009, ch.</w:t>
      </w:r>
      <w:r w:rsidR="001D2D0F">
        <w:t> </w:t>
      </w:r>
      <w:r w:rsidRPr="00C620A0">
        <w:t>337</w:t>
      </w:r>
      <w:r w:rsidR="00C738CD">
        <w:t>.</w:t>
      </w:r>
    </w:p>
  </w:footnote>
  <w:footnote w:id="15">
    <w:p w14:paraId="1891A4C7" w14:textId="3E5BCADC" w:rsidR="00CD0902" w:rsidRPr="006B3D73" w:rsidRDefault="00CD0902">
      <w:pPr>
        <w:pStyle w:val="FootnoteText"/>
      </w:pPr>
      <w:r>
        <w:rPr>
          <w:rStyle w:val="FootnoteReference"/>
        </w:rPr>
        <w:footnoteRef/>
      </w:r>
      <w:r>
        <w:t xml:space="preserve"> </w:t>
      </w:r>
      <w:r w:rsidR="00C908EA">
        <w:t>Commission’s</w:t>
      </w:r>
      <w:r w:rsidR="00C908EA" w:rsidRPr="007C42C9">
        <w:t xml:space="preserve"> </w:t>
      </w:r>
      <w:r w:rsidRPr="007C42C9">
        <w:t>202</w:t>
      </w:r>
      <w:r>
        <w:t>5</w:t>
      </w:r>
      <w:r w:rsidRPr="007C42C9">
        <w:t xml:space="preserve"> SB</w:t>
      </w:r>
      <w:r w:rsidR="00432271">
        <w:t> </w:t>
      </w:r>
      <w:r w:rsidRPr="007C42C9">
        <w:t>695 Report</w:t>
      </w:r>
      <w:r w:rsidR="00270242">
        <w:t xml:space="preserve"> </w:t>
      </w:r>
      <w:r w:rsidR="00337A8D">
        <w:t>“</w:t>
      </w:r>
      <w:r w:rsidR="00270242" w:rsidRPr="003824F1">
        <w:rPr>
          <w:i/>
          <w:iCs/>
        </w:rPr>
        <w:t xml:space="preserve">2025 Senate </w:t>
      </w:r>
      <w:r w:rsidR="00B53D29">
        <w:rPr>
          <w:i/>
          <w:iCs/>
        </w:rPr>
        <w:t>Bill </w:t>
      </w:r>
      <w:r w:rsidR="00270242" w:rsidRPr="003824F1">
        <w:rPr>
          <w:i/>
          <w:iCs/>
        </w:rPr>
        <w:t>695</w:t>
      </w:r>
      <w:r w:rsidR="00CF1D5F" w:rsidRPr="003824F1">
        <w:rPr>
          <w:i/>
          <w:iCs/>
        </w:rPr>
        <w:t xml:space="preserve"> Report, report to t</w:t>
      </w:r>
      <w:r w:rsidR="004842B5">
        <w:rPr>
          <w:i/>
          <w:iCs/>
        </w:rPr>
        <w:t>h</w:t>
      </w:r>
      <w:r w:rsidR="00CF1D5F" w:rsidRPr="003824F1">
        <w:rPr>
          <w:i/>
          <w:iCs/>
        </w:rPr>
        <w:t xml:space="preserve">e Governor and Legislature on Actions to Limit Utility Cost and rate Increase Pursuant to </w:t>
      </w:r>
      <w:r w:rsidR="00AC50C5" w:rsidRPr="003824F1">
        <w:rPr>
          <w:i/>
          <w:iCs/>
        </w:rPr>
        <w:t xml:space="preserve">Public Utilities Code </w:t>
      </w:r>
      <w:r w:rsidR="00B33264">
        <w:rPr>
          <w:i/>
          <w:iCs/>
        </w:rPr>
        <w:t>Section </w:t>
      </w:r>
      <w:r w:rsidR="00AC50C5" w:rsidRPr="003824F1">
        <w:rPr>
          <w:i/>
          <w:iCs/>
        </w:rPr>
        <w:t>913.1</w:t>
      </w:r>
      <w:r w:rsidR="00337A8D">
        <w:t>”</w:t>
      </w:r>
      <w:r>
        <w:t xml:space="preserve"> at</w:t>
      </w:r>
      <w:r w:rsidR="00033750">
        <w:t> </w:t>
      </w:r>
      <w:r>
        <w:t>2</w:t>
      </w:r>
      <w:r w:rsidR="00AC50C5">
        <w:t>.</w:t>
      </w:r>
      <w:r>
        <w:t xml:space="preserve"> </w:t>
      </w:r>
      <w:r w:rsidR="00AC50C5">
        <w:t>B</w:t>
      </w:r>
      <w:r>
        <w:t>ased on typical customer usage of 500</w:t>
      </w:r>
      <w:r w:rsidR="00033750">
        <w:t> kilowatt-hour</w:t>
      </w:r>
      <w:r w:rsidR="00F31037">
        <w:t>s</w:t>
      </w:r>
      <w:r w:rsidR="00033750">
        <w:t xml:space="preserve"> (</w:t>
      </w:r>
      <w:r>
        <w:t>kWh</w:t>
      </w:r>
      <w:r w:rsidR="00033750">
        <w:t>)</w:t>
      </w:r>
      <w:r w:rsidR="00BD4CAB">
        <w:t xml:space="preserve"> (</w:t>
      </w:r>
      <w:r w:rsidR="00BD4CAB" w:rsidRPr="00BD4CAB">
        <w:t>PG&amp;E climate zone</w:t>
      </w:r>
      <w:r w:rsidR="00033750">
        <w:t> </w:t>
      </w:r>
      <w:r w:rsidR="00BD4CAB" w:rsidRPr="00BD4CAB">
        <w:t>X, SCE climate zone</w:t>
      </w:r>
      <w:r w:rsidR="00033750">
        <w:t> </w:t>
      </w:r>
      <w:r w:rsidR="00BD4CAB" w:rsidRPr="00BD4CAB">
        <w:t>9) and 400</w:t>
      </w:r>
      <w:r w:rsidR="00033750">
        <w:t> </w:t>
      </w:r>
      <w:r w:rsidR="00BD4CAB" w:rsidRPr="00BD4CAB">
        <w:t xml:space="preserve">kWh (SDG&amp;E Inland climate zone). </w:t>
      </w:r>
      <w:r w:rsidR="00174461">
        <w:t>Available at</w:t>
      </w:r>
      <w:r w:rsidR="00337A8D">
        <w:t xml:space="preserve">: </w:t>
      </w:r>
      <w:hyperlink r:id="rId1" w:history="1">
        <w:r w:rsidR="00EE521A" w:rsidRPr="00EE521A">
          <w:rPr>
            <w:rStyle w:val="Hyperlink"/>
          </w:rPr>
          <w:t>https://www.cpuc.ca.gov/</w:t>
        </w:r>
        <w:r w:rsidR="00D37C7E">
          <w:rPr>
            <w:rStyle w:val="Hyperlink"/>
          </w:rPr>
          <w:t>-</w:t>
        </w:r>
        <w:r w:rsidR="00EE521A" w:rsidRPr="00EE521A">
          <w:rPr>
            <w:rStyle w:val="Hyperlink"/>
          </w:rPr>
          <w:t>/media/cpuc</w:t>
        </w:r>
        <w:r w:rsidR="00D37C7E">
          <w:rPr>
            <w:rStyle w:val="Hyperlink"/>
          </w:rPr>
          <w:t>-</w:t>
        </w:r>
        <w:r w:rsidR="00EE521A" w:rsidRPr="00EE521A">
          <w:rPr>
            <w:rStyle w:val="Hyperlink"/>
          </w:rPr>
          <w:t>website/divisions/office</w:t>
        </w:r>
        <w:r w:rsidR="00D37C7E">
          <w:rPr>
            <w:rStyle w:val="Hyperlink"/>
          </w:rPr>
          <w:t>-</w:t>
        </w:r>
        <w:r w:rsidR="00EE521A" w:rsidRPr="00EE521A">
          <w:rPr>
            <w:rStyle w:val="Hyperlink"/>
          </w:rPr>
          <w:t>of</w:t>
        </w:r>
        <w:r w:rsidR="00D37C7E">
          <w:rPr>
            <w:rStyle w:val="Hyperlink"/>
          </w:rPr>
          <w:t>-</w:t>
        </w:r>
        <w:r w:rsidR="00EE521A" w:rsidRPr="00EE521A">
          <w:rPr>
            <w:rStyle w:val="Hyperlink"/>
          </w:rPr>
          <w:t>governmental</w:t>
        </w:r>
        <w:r w:rsidR="00D37C7E">
          <w:rPr>
            <w:rStyle w:val="Hyperlink"/>
          </w:rPr>
          <w:t>-</w:t>
        </w:r>
        <w:r w:rsidR="00EE521A" w:rsidRPr="00EE521A">
          <w:rPr>
            <w:rStyle w:val="Hyperlink"/>
          </w:rPr>
          <w:t>affairs</w:t>
        </w:r>
        <w:r w:rsidR="00D37C7E">
          <w:rPr>
            <w:rStyle w:val="Hyperlink"/>
          </w:rPr>
          <w:t>-</w:t>
        </w:r>
        <w:r w:rsidR="00EE521A" w:rsidRPr="00EE521A">
          <w:rPr>
            <w:rStyle w:val="Hyperlink"/>
          </w:rPr>
          <w:t>division/reports/2025/2025</w:t>
        </w:r>
        <w:r w:rsidR="00D37C7E">
          <w:rPr>
            <w:rStyle w:val="Hyperlink"/>
          </w:rPr>
          <w:t>-</w:t>
        </w:r>
        <w:r w:rsidR="00EE521A" w:rsidRPr="00EE521A">
          <w:rPr>
            <w:rStyle w:val="Hyperlink"/>
          </w:rPr>
          <w:t>sb</w:t>
        </w:r>
        <w:r w:rsidR="00D37C7E">
          <w:rPr>
            <w:rStyle w:val="Hyperlink"/>
          </w:rPr>
          <w:t>-</w:t>
        </w:r>
        <w:r w:rsidR="00EE521A" w:rsidRPr="00EE521A">
          <w:rPr>
            <w:rStyle w:val="Hyperlink"/>
          </w:rPr>
          <w:t>695</w:t>
        </w:r>
        <w:r w:rsidR="00D37C7E">
          <w:rPr>
            <w:rStyle w:val="Hyperlink"/>
          </w:rPr>
          <w:t>-</w:t>
        </w:r>
        <w:r w:rsidR="00EE521A" w:rsidRPr="00EE521A">
          <w:rPr>
            <w:rStyle w:val="Hyperlink"/>
          </w:rPr>
          <w:t>report_093025.pdf</w:t>
        </w:r>
      </w:hyperlink>
      <w:r w:rsidR="00D37C7E">
        <w:t>.</w:t>
      </w:r>
    </w:p>
  </w:footnote>
  <w:footnote w:id="16">
    <w:p w14:paraId="591273B4" w14:textId="30A3896A" w:rsidR="00B7662F" w:rsidRDefault="00B7662F">
      <w:pPr>
        <w:pStyle w:val="FootnoteText"/>
      </w:pPr>
      <w:r>
        <w:rPr>
          <w:rStyle w:val="FootnoteReference"/>
        </w:rPr>
        <w:footnoteRef/>
      </w:r>
      <w:r>
        <w:t xml:space="preserve"> </w:t>
      </w:r>
      <w:r w:rsidRPr="00B7662F">
        <w:t>California Alternate Rates for Energy</w:t>
      </w:r>
      <w:r>
        <w:t>.</w:t>
      </w:r>
    </w:p>
  </w:footnote>
  <w:footnote w:id="17">
    <w:p w14:paraId="67F6194F" w14:textId="44CB748F" w:rsidR="00264CA3" w:rsidRPr="003824F1" w:rsidRDefault="00264CA3">
      <w:pPr>
        <w:pStyle w:val="FootnoteText"/>
        <w:rPr>
          <w:lang w:val="en-ZW"/>
        </w:rPr>
      </w:pPr>
      <w:r>
        <w:rPr>
          <w:rStyle w:val="FootnoteReference"/>
        </w:rPr>
        <w:footnoteRef/>
      </w:r>
      <w:r>
        <w:t xml:space="preserve"> </w:t>
      </w:r>
      <w:r w:rsidR="00C908EA">
        <w:t>Commission’s</w:t>
      </w:r>
      <w:r w:rsidR="00C908EA" w:rsidRPr="007C42C9">
        <w:t xml:space="preserve"> </w:t>
      </w:r>
      <w:r w:rsidR="00E9608A" w:rsidRPr="007C42C9">
        <w:t>202</w:t>
      </w:r>
      <w:r w:rsidR="00E9608A">
        <w:t>5</w:t>
      </w:r>
      <w:r w:rsidR="00E9608A" w:rsidRPr="007C42C9">
        <w:t xml:space="preserve"> </w:t>
      </w:r>
      <w:r w:rsidR="00432271">
        <w:t>SB </w:t>
      </w:r>
      <w:r w:rsidR="00E9608A" w:rsidRPr="007C42C9">
        <w:t>695 Report</w:t>
      </w:r>
      <w:r w:rsidR="00E9608A">
        <w:t xml:space="preserve"> at 38.</w:t>
      </w:r>
    </w:p>
  </w:footnote>
  <w:footnote w:id="18">
    <w:p w14:paraId="295178EB" w14:textId="790614D5" w:rsidR="00121E35" w:rsidRPr="00CE43D1" w:rsidRDefault="00121E35">
      <w:pPr>
        <w:pStyle w:val="FootnoteText"/>
        <w:rPr>
          <w:lang w:val="en-ZW"/>
        </w:rPr>
      </w:pPr>
      <w:r>
        <w:rPr>
          <w:rStyle w:val="FootnoteReference"/>
        </w:rPr>
        <w:footnoteRef/>
      </w:r>
      <w:r>
        <w:t xml:space="preserve"> </w:t>
      </w:r>
      <w:r>
        <w:rPr>
          <w:lang w:val="en-ZW"/>
        </w:rPr>
        <w:t>D.14</w:t>
      </w:r>
      <w:r w:rsidR="00C26B9E">
        <w:rPr>
          <w:lang w:val="en-ZW"/>
        </w:rPr>
        <w:noBreakHyphen/>
      </w:r>
      <w:r>
        <w:rPr>
          <w:lang w:val="en-ZW"/>
        </w:rPr>
        <w:t>12</w:t>
      </w:r>
      <w:r w:rsidR="00C26B9E">
        <w:rPr>
          <w:lang w:val="en-ZW"/>
        </w:rPr>
        <w:noBreakHyphen/>
      </w:r>
      <w:r w:rsidR="00785FDB">
        <w:rPr>
          <w:lang w:val="en-ZW"/>
        </w:rPr>
        <w:t>025</w:t>
      </w:r>
      <w:r w:rsidR="00420BDA">
        <w:rPr>
          <w:lang w:val="en-ZW"/>
        </w:rPr>
        <w:t xml:space="preserve"> at</w:t>
      </w:r>
      <w:r w:rsidR="00785FDB">
        <w:rPr>
          <w:lang w:val="en-ZW"/>
        </w:rPr>
        <w:t xml:space="preserve"> 43</w:t>
      </w:r>
      <w:r w:rsidR="00C26B9E">
        <w:rPr>
          <w:lang w:val="en-ZW"/>
        </w:rPr>
        <w:noBreakHyphen/>
      </w:r>
      <w:r w:rsidR="00785FDB">
        <w:rPr>
          <w:lang w:val="en-ZW"/>
        </w:rPr>
        <w:t xml:space="preserve">48. The RSAR is </w:t>
      </w:r>
      <w:r w:rsidR="005D0AAF">
        <w:rPr>
          <w:lang w:val="en-ZW"/>
        </w:rPr>
        <w:t xml:space="preserve">an annual report </w:t>
      </w:r>
      <w:r w:rsidR="00BF4604">
        <w:rPr>
          <w:lang w:val="en-ZW"/>
        </w:rPr>
        <w:t>that compares a utility</w:t>
      </w:r>
      <w:r w:rsidR="00337A8D">
        <w:rPr>
          <w:lang w:val="en-ZW"/>
        </w:rPr>
        <w:t>’</w:t>
      </w:r>
      <w:r w:rsidR="00BF4604">
        <w:rPr>
          <w:lang w:val="en-ZW"/>
        </w:rPr>
        <w:t xml:space="preserve">s </w:t>
      </w:r>
      <w:r w:rsidR="00855B62">
        <w:rPr>
          <w:lang w:val="en-ZW"/>
        </w:rPr>
        <w:t xml:space="preserve">GRC projected spending to the actual spending on risk mitigation projects </w:t>
      </w:r>
      <w:r w:rsidR="00B3468A">
        <w:rPr>
          <w:lang w:val="en-ZW"/>
        </w:rPr>
        <w:t>and explains discrepancies.</w:t>
      </w:r>
    </w:p>
  </w:footnote>
  <w:footnote w:id="19">
    <w:p w14:paraId="2909AFCD" w14:textId="661C7CEC" w:rsidR="00742862" w:rsidRPr="00CE43D1" w:rsidRDefault="00742862">
      <w:pPr>
        <w:pStyle w:val="FootnoteText"/>
        <w:rPr>
          <w:lang w:val="en-ZW"/>
        </w:rPr>
      </w:pPr>
      <w:r>
        <w:rPr>
          <w:rStyle w:val="FootnoteReference"/>
        </w:rPr>
        <w:footnoteRef/>
      </w:r>
      <w:r>
        <w:t xml:space="preserve"> </w:t>
      </w:r>
      <w:r>
        <w:rPr>
          <w:lang w:val="en-ZW"/>
        </w:rPr>
        <w:t>D.19</w:t>
      </w:r>
      <w:r w:rsidR="00C26B9E">
        <w:rPr>
          <w:lang w:val="en-ZW"/>
        </w:rPr>
        <w:noBreakHyphen/>
      </w:r>
      <w:r>
        <w:rPr>
          <w:lang w:val="en-ZW"/>
        </w:rPr>
        <w:t>04</w:t>
      </w:r>
      <w:r w:rsidR="00C26B9E">
        <w:rPr>
          <w:lang w:val="en-ZW"/>
        </w:rPr>
        <w:noBreakHyphen/>
      </w:r>
      <w:r>
        <w:rPr>
          <w:lang w:val="en-ZW"/>
        </w:rPr>
        <w:t>020 at 37</w:t>
      </w:r>
      <w:r w:rsidR="00B41D19">
        <w:rPr>
          <w:lang w:val="en-ZW"/>
        </w:rPr>
        <w:t>, 50</w:t>
      </w:r>
      <w:r w:rsidR="00047BB1">
        <w:rPr>
          <w:lang w:val="en-ZW"/>
        </w:rPr>
        <w:t>, Ordering Paragraph</w:t>
      </w:r>
      <w:r w:rsidR="00917C65">
        <w:rPr>
          <w:lang w:val="en-ZW"/>
        </w:rPr>
        <w:t> </w:t>
      </w:r>
      <w:r w:rsidR="00047BB1">
        <w:rPr>
          <w:lang w:val="en-ZW"/>
        </w:rPr>
        <w:t>13</w:t>
      </w:r>
      <w:r>
        <w:rPr>
          <w:lang w:val="en-ZW"/>
        </w:rPr>
        <w:t>.</w:t>
      </w:r>
    </w:p>
  </w:footnote>
  <w:footnote w:id="20">
    <w:p w14:paraId="34B1D10B" w14:textId="075CF037" w:rsidR="00E05BD1" w:rsidRPr="003C7C22" w:rsidRDefault="00E05BD1" w:rsidP="00E05BD1">
      <w:pPr>
        <w:pStyle w:val="FootnoteText"/>
        <w:rPr>
          <w:lang w:val="en-ZW"/>
        </w:rPr>
      </w:pPr>
      <w:r>
        <w:rPr>
          <w:rStyle w:val="FootnoteReference"/>
        </w:rPr>
        <w:footnoteRef/>
      </w:r>
      <w:r>
        <w:t xml:space="preserve"> </w:t>
      </w:r>
      <w:r>
        <w:rPr>
          <w:lang w:val="en-ZW"/>
        </w:rPr>
        <w:t>D.25</w:t>
      </w:r>
      <w:r w:rsidR="00C26B9E">
        <w:rPr>
          <w:lang w:val="en-ZW"/>
        </w:rPr>
        <w:noBreakHyphen/>
      </w:r>
      <w:r>
        <w:rPr>
          <w:lang w:val="en-ZW"/>
        </w:rPr>
        <w:t>08</w:t>
      </w:r>
      <w:r w:rsidR="00C26B9E">
        <w:rPr>
          <w:lang w:val="en-ZW"/>
        </w:rPr>
        <w:noBreakHyphen/>
      </w:r>
      <w:r>
        <w:rPr>
          <w:lang w:val="en-ZW"/>
        </w:rPr>
        <w:t>032 at 9.</w:t>
      </w:r>
    </w:p>
  </w:footnote>
  <w:footnote w:id="21">
    <w:p w14:paraId="24AD6292" w14:textId="58CE75B7" w:rsidR="00E05BD1" w:rsidRPr="00E242EE" w:rsidRDefault="00E05BD1" w:rsidP="00E05BD1">
      <w:pPr>
        <w:pStyle w:val="FootnoteText"/>
        <w:rPr>
          <w:lang w:val="en-ZW"/>
        </w:rPr>
      </w:pPr>
      <w:r>
        <w:rPr>
          <w:rStyle w:val="FootnoteReference"/>
        </w:rPr>
        <w:footnoteRef/>
      </w:r>
      <w:r>
        <w:t xml:space="preserve"> </w:t>
      </w:r>
      <w:r>
        <w:rPr>
          <w:lang w:val="en-ZW"/>
        </w:rPr>
        <w:t>D.25</w:t>
      </w:r>
      <w:r w:rsidR="00C26B9E">
        <w:rPr>
          <w:lang w:val="en-ZW"/>
        </w:rPr>
        <w:noBreakHyphen/>
      </w:r>
      <w:r>
        <w:rPr>
          <w:lang w:val="en-ZW"/>
        </w:rPr>
        <w:t>08</w:t>
      </w:r>
      <w:r w:rsidR="00C26B9E">
        <w:rPr>
          <w:lang w:val="en-ZW"/>
        </w:rPr>
        <w:noBreakHyphen/>
      </w:r>
      <w:r>
        <w:rPr>
          <w:lang w:val="en-ZW"/>
        </w:rPr>
        <w:t>032 at 10.</w:t>
      </w:r>
    </w:p>
  </w:footnote>
  <w:footnote w:id="22">
    <w:p w14:paraId="2AAB5122" w14:textId="3FACFB75" w:rsidR="00E05BD1" w:rsidRPr="00A57D4B" w:rsidRDefault="00E05BD1" w:rsidP="00E05BD1">
      <w:pPr>
        <w:pStyle w:val="FootnoteText"/>
        <w:rPr>
          <w:lang w:val="en-ZW"/>
        </w:rPr>
      </w:pPr>
      <w:r>
        <w:rPr>
          <w:rStyle w:val="FootnoteReference"/>
        </w:rPr>
        <w:footnoteRef/>
      </w:r>
      <w:r>
        <w:t xml:space="preserve"> Residual Risk is the r</w:t>
      </w:r>
      <w:r w:rsidRPr="00AD261C">
        <w:t>isk remaining after application of Mitigations, including Mitigations classified as Controls for a given GRC cycle</w:t>
      </w:r>
      <w:r>
        <w:t>. D.25</w:t>
      </w:r>
      <w:r w:rsidR="00C26B9E">
        <w:noBreakHyphen/>
      </w:r>
      <w:r>
        <w:t>08</w:t>
      </w:r>
      <w:r w:rsidR="00C26B9E">
        <w:noBreakHyphen/>
      </w:r>
      <w:r>
        <w:t xml:space="preserve">032, </w:t>
      </w:r>
      <w:r w:rsidR="00A86DF0">
        <w:t>Appendix </w:t>
      </w:r>
      <w:r>
        <w:t>A at A</w:t>
      </w:r>
      <w:r w:rsidR="00C26B9E">
        <w:noBreakHyphen/>
      </w:r>
      <w:r>
        <w:t>6.</w:t>
      </w:r>
    </w:p>
  </w:footnote>
  <w:footnote w:id="23">
    <w:p w14:paraId="764E68E9" w14:textId="32AA8F42" w:rsidR="00970012" w:rsidRPr="00B264FF" w:rsidRDefault="00970012" w:rsidP="00970012">
      <w:pPr>
        <w:pStyle w:val="FootnoteText"/>
        <w:rPr>
          <w:lang w:val="en-ZW"/>
        </w:rPr>
      </w:pPr>
      <w:r>
        <w:rPr>
          <w:rStyle w:val="FootnoteReference"/>
        </w:rPr>
        <w:footnoteRef/>
      </w:r>
      <w:r>
        <w:t xml:space="preserve"> </w:t>
      </w:r>
      <w:r w:rsidRPr="00B264FF">
        <w:t xml:space="preserve">At the time, the risk assessment section was part of </w:t>
      </w:r>
      <w:r w:rsidR="00DC1FF8">
        <w:t>the</w:t>
      </w:r>
      <w:r w:rsidR="00DC1FF8" w:rsidRPr="00DC1FF8">
        <w:t xml:space="preserve"> </w:t>
      </w:r>
      <w:r w:rsidR="00595F38">
        <w:t xml:space="preserve">Commission’s </w:t>
      </w:r>
      <w:r w:rsidR="00DC1FF8" w:rsidRPr="00DC1FF8">
        <w:t>Safety and Enforcement Division</w:t>
      </w:r>
      <w:r w:rsidR="00DC1FF8">
        <w:t xml:space="preserve"> (</w:t>
      </w:r>
      <w:r w:rsidRPr="00B264FF">
        <w:t>SED</w:t>
      </w:r>
      <w:r w:rsidR="00DC1FF8">
        <w:t>)</w:t>
      </w:r>
      <w:r w:rsidRPr="00B264FF">
        <w:t>, so the schedule refers to SED rather than SPD.</w:t>
      </w:r>
    </w:p>
  </w:footnote>
  <w:footnote w:id="24">
    <w:p w14:paraId="0683EB2C" w14:textId="41FC4E2D" w:rsidR="007B338E" w:rsidRPr="003824F1" w:rsidRDefault="007B338E">
      <w:pPr>
        <w:pStyle w:val="FootnoteText"/>
        <w:rPr>
          <w:lang w:val="en-ZW"/>
        </w:rPr>
      </w:pPr>
      <w:r>
        <w:rPr>
          <w:rStyle w:val="FootnoteReference"/>
        </w:rPr>
        <w:footnoteRef/>
      </w:r>
      <w:r>
        <w:t xml:space="preserve"> </w:t>
      </w:r>
      <w:r w:rsidR="00F92004">
        <w:t>D.</w:t>
      </w:r>
      <w:r w:rsidR="006D577A">
        <w:t>20</w:t>
      </w:r>
      <w:r w:rsidR="00C26B9E">
        <w:noBreakHyphen/>
      </w:r>
      <w:r w:rsidR="006D577A">
        <w:t>01</w:t>
      </w:r>
      <w:r w:rsidR="00C26B9E">
        <w:noBreakHyphen/>
      </w:r>
      <w:r w:rsidR="006D577A">
        <w:t>002 at 49.</w:t>
      </w:r>
    </w:p>
  </w:footnote>
  <w:footnote w:id="25">
    <w:p w14:paraId="7F8372B0" w14:textId="6867842E" w:rsidR="00365FC7" w:rsidRDefault="00365FC7" w:rsidP="00365FC7">
      <w:pPr>
        <w:pStyle w:val="FootnoteText"/>
      </w:pPr>
      <w:r>
        <w:rPr>
          <w:rStyle w:val="FootnoteReference"/>
        </w:rPr>
        <w:footnoteRef/>
      </w:r>
      <w:r>
        <w:t xml:space="preserve"> </w:t>
      </w:r>
      <w:r w:rsidRPr="007A420F">
        <w:t>A.21</w:t>
      </w:r>
      <w:r w:rsidR="00C26B9E">
        <w:noBreakHyphen/>
      </w:r>
      <w:r w:rsidRPr="007A420F">
        <w:t>05</w:t>
      </w:r>
      <w:r w:rsidR="00C26B9E">
        <w:noBreakHyphen/>
      </w:r>
      <w:r w:rsidRPr="007A420F">
        <w:t>011</w:t>
      </w:r>
      <w:r>
        <w:t xml:space="preserve"> and </w:t>
      </w:r>
      <w:r w:rsidRPr="007A420F">
        <w:t>A.21</w:t>
      </w:r>
      <w:r w:rsidR="00C26B9E">
        <w:noBreakHyphen/>
      </w:r>
      <w:r w:rsidRPr="007A420F">
        <w:t>05</w:t>
      </w:r>
      <w:r w:rsidR="00C26B9E">
        <w:noBreakHyphen/>
      </w:r>
      <w:r w:rsidRPr="007A420F">
        <w:t>014</w:t>
      </w:r>
      <w:r>
        <w:t>, E</w:t>
      </w:r>
      <w:r w:rsidR="00C26B9E">
        <w:noBreakHyphen/>
      </w:r>
      <w:r>
        <w:t>Mail Ruling Modifying the Procedural Schedule</w:t>
      </w:r>
      <w:r w:rsidR="000B21DF">
        <w:t xml:space="preserve"> at </w:t>
      </w:r>
      <w:r>
        <w:t>2.</w:t>
      </w:r>
    </w:p>
  </w:footnote>
  <w:footnote w:id="26">
    <w:p w14:paraId="70D3B4B5" w14:textId="074FDC35" w:rsidR="00365FC7" w:rsidRDefault="00365FC7" w:rsidP="00365FC7">
      <w:pPr>
        <w:pStyle w:val="FootnoteText"/>
      </w:pPr>
      <w:r>
        <w:rPr>
          <w:rStyle w:val="FootnoteReference"/>
        </w:rPr>
        <w:footnoteRef/>
      </w:r>
      <w:r>
        <w:t xml:space="preserve"> A.22</w:t>
      </w:r>
      <w:r w:rsidR="00C26B9E">
        <w:noBreakHyphen/>
      </w:r>
      <w:r>
        <w:t>05</w:t>
      </w:r>
      <w:r w:rsidR="00C26B9E">
        <w:noBreakHyphen/>
      </w:r>
      <w:r>
        <w:t>013, E</w:t>
      </w:r>
      <w:r w:rsidR="00C26B9E">
        <w:noBreakHyphen/>
      </w:r>
      <w:r>
        <w:t>Mail Ruling Revising the Procedural Schedule</w:t>
      </w:r>
      <w:r w:rsidR="000B21DF">
        <w:t xml:space="preserve"> at </w:t>
      </w:r>
      <w:r>
        <w:t>2.</w:t>
      </w:r>
    </w:p>
  </w:footnote>
  <w:footnote w:id="27">
    <w:p w14:paraId="04C87DD1" w14:textId="12FA433A" w:rsidR="00365FC7" w:rsidRDefault="00365FC7" w:rsidP="00365FC7">
      <w:pPr>
        <w:pStyle w:val="FootnoteText"/>
      </w:pPr>
      <w:r>
        <w:rPr>
          <w:rStyle w:val="FootnoteReference"/>
        </w:rPr>
        <w:footnoteRef/>
      </w:r>
      <w:r>
        <w:t xml:space="preserve"> A.24</w:t>
      </w:r>
      <w:r w:rsidR="00C26B9E">
        <w:noBreakHyphen/>
      </w:r>
      <w:r>
        <w:t>05</w:t>
      </w:r>
      <w:r w:rsidR="00C26B9E">
        <w:noBreakHyphen/>
      </w:r>
      <w:r>
        <w:t>008, Assigned Commissioner</w:t>
      </w:r>
      <w:r w:rsidR="00337A8D">
        <w:t>’</w:t>
      </w:r>
      <w:r>
        <w:t>s Scoping Memo and Ruling</w:t>
      </w:r>
      <w:r w:rsidR="000B21DF">
        <w:t xml:space="preserve"> at </w:t>
      </w:r>
      <w:r>
        <w:t>3</w:t>
      </w:r>
      <w:r w:rsidR="00C26B9E">
        <w:noBreakHyphen/>
      </w:r>
      <w:r>
        <w:t>4.</w:t>
      </w:r>
    </w:p>
  </w:footnote>
  <w:footnote w:id="28">
    <w:p w14:paraId="1A8F6A5C" w14:textId="445BCB0D" w:rsidR="00365FC7" w:rsidRDefault="00365FC7" w:rsidP="00365FC7">
      <w:pPr>
        <w:pStyle w:val="FootnoteText"/>
      </w:pPr>
      <w:r>
        <w:rPr>
          <w:rStyle w:val="FootnoteReference"/>
        </w:rPr>
        <w:footnoteRef/>
      </w:r>
      <w:r>
        <w:t xml:space="preserve"> </w:t>
      </w:r>
      <w:r w:rsidRPr="00255C0C">
        <w:t>A.25</w:t>
      </w:r>
      <w:r w:rsidR="00C26B9E">
        <w:noBreakHyphen/>
      </w:r>
      <w:r w:rsidRPr="00255C0C">
        <w:t>05</w:t>
      </w:r>
      <w:r w:rsidR="00C26B9E">
        <w:noBreakHyphen/>
      </w:r>
      <w:r w:rsidRPr="00255C0C">
        <w:t>010</w:t>
      </w:r>
      <w:r>
        <w:t xml:space="preserve"> and </w:t>
      </w:r>
      <w:r w:rsidRPr="00255C0C">
        <w:t>A.25</w:t>
      </w:r>
      <w:r w:rsidR="00C26B9E">
        <w:noBreakHyphen/>
      </w:r>
      <w:r w:rsidRPr="00255C0C">
        <w:t>05</w:t>
      </w:r>
      <w:r w:rsidR="00C26B9E">
        <w:noBreakHyphen/>
      </w:r>
      <w:r w:rsidRPr="00255C0C">
        <w:t>013</w:t>
      </w:r>
      <w:r>
        <w:t>, Assigned Commissioner</w:t>
      </w:r>
      <w:r w:rsidR="00337A8D">
        <w:t>’</w:t>
      </w:r>
      <w:r>
        <w:t>s Scoping Memo and Ruling</w:t>
      </w:r>
      <w:r w:rsidR="000B21DF">
        <w:t xml:space="preserve"> at </w:t>
      </w:r>
      <w:r>
        <w:t>5.</w:t>
      </w:r>
    </w:p>
  </w:footnote>
  <w:footnote w:id="29">
    <w:p w14:paraId="34D41F78" w14:textId="2E08F820" w:rsidR="00D11594" w:rsidRDefault="00D11594" w:rsidP="00D11594">
      <w:pPr>
        <w:pStyle w:val="FootnoteText"/>
      </w:pPr>
      <w:r>
        <w:rPr>
          <w:rStyle w:val="FootnoteReference"/>
        </w:rPr>
        <w:footnoteRef/>
      </w:r>
      <w:r>
        <w:t xml:space="preserve"> A risk reporting unit is a </w:t>
      </w:r>
      <w:r w:rsidR="00C61415">
        <w:t>C</w:t>
      </w:r>
      <w:r w:rsidR="00850A7B">
        <w:t>ommission</w:t>
      </w:r>
      <w:r w:rsidRPr="008309FA">
        <w:t xml:space="preserve"> jurisdictional effort within Electric Operations or Gas Operations that simultaneously removes or mitigates the risk associated with a group of contiguous assets or systems that exhibit high levels of risk.</w:t>
      </w:r>
      <w:r>
        <w:t xml:space="preserve"> D.25</w:t>
      </w:r>
      <w:r w:rsidR="00C26B9E">
        <w:noBreakHyphen/>
      </w:r>
      <w:r>
        <w:t>08</w:t>
      </w:r>
      <w:r w:rsidR="00C26B9E">
        <w:noBreakHyphen/>
      </w:r>
      <w:r>
        <w:t xml:space="preserve">032, </w:t>
      </w:r>
      <w:r w:rsidR="00A86DF0">
        <w:t>Appendix </w:t>
      </w:r>
      <w:r>
        <w:t>A at A</w:t>
      </w:r>
      <w:r w:rsidR="00C26B9E">
        <w:noBreakHyphen/>
      </w:r>
      <w:r>
        <w:t>7.</w:t>
      </w:r>
    </w:p>
  </w:footnote>
  <w:footnote w:id="30">
    <w:p w14:paraId="48C81B22" w14:textId="3873831D" w:rsidR="00D11594" w:rsidRPr="001A0524" w:rsidRDefault="00D11594" w:rsidP="00D11594">
      <w:pPr>
        <w:pStyle w:val="FootnoteText"/>
        <w:rPr>
          <w:lang w:val="en-ZW"/>
        </w:rPr>
      </w:pPr>
      <w:r>
        <w:rPr>
          <w:rStyle w:val="FootnoteReference"/>
        </w:rPr>
        <w:footnoteRef/>
      </w:r>
      <w:r>
        <w:t xml:space="preserve"> </w:t>
      </w:r>
      <w:r>
        <w:rPr>
          <w:lang w:val="en-ZW"/>
        </w:rPr>
        <w:t>D.25</w:t>
      </w:r>
      <w:r w:rsidR="00C26B9E">
        <w:rPr>
          <w:lang w:val="en-ZW"/>
        </w:rPr>
        <w:noBreakHyphen/>
      </w:r>
      <w:r>
        <w:rPr>
          <w:lang w:val="en-ZW"/>
        </w:rPr>
        <w:t>08</w:t>
      </w:r>
      <w:r w:rsidR="00C26B9E">
        <w:rPr>
          <w:lang w:val="en-ZW"/>
        </w:rPr>
        <w:noBreakHyphen/>
      </w:r>
      <w:r>
        <w:rPr>
          <w:lang w:val="en-ZW"/>
        </w:rPr>
        <w:t>023 at 121.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C72CA" w14:textId="32B4D56E" w:rsidR="00E23CBB" w:rsidRDefault="00C93BD0" w:rsidP="00EE4315">
    <w:pPr>
      <w:pStyle w:val="Header"/>
      <w:tabs>
        <w:tab w:val="clear" w:pos="4680"/>
      </w:tabs>
      <w:ind w:firstLine="0"/>
      <w:rPr>
        <w:b/>
      </w:rPr>
    </w:pPr>
    <w:r w:rsidRPr="00C93BD0">
      <w:rPr>
        <w:rFonts w:cs="Arial"/>
        <w:szCs w:val="26"/>
      </w:rPr>
      <w:t>R</w:t>
    </w:r>
    <w:r>
      <w:rPr>
        <w:rFonts w:cs="Arial"/>
        <w:szCs w:val="26"/>
      </w:rPr>
      <w:t>.</w:t>
    </w:r>
    <w:r w:rsidRPr="00C93BD0">
      <w:rPr>
        <w:rFonts w:cs="Arial"/>
        <w:szCs w:val="26"/>
      </w:rPr>
      <w:t>26</w:t>
    </w:r>
    <w:r>
      <w:rPr>
        <w:rFonts w:cs="Arial"/>
        <w:szCs w:val="26"/>
      </w:rPr>
      <w:t>-</w:t>
    </w:r>
    <w:r w:rsidRPr="00C93BD0">
      <w:rPr>
        <w:rFonts w:cs="Arial"/>
        <w:szCs w:val="26"/>
      </w:rPr>
      <w:t>04</w:t>
    </w:r>
    <w:r>
      <w:rPr>
        <w:rFonts w:cs="Arial"/>
        <w:szCs w:val="26"/>
      </w:rPr>
      <w:t>-</w:t>
    </w:r>
    <w:r w:rsidRPr="00C93BD0">
      <w:rPr>
        <w:rFonts w:cs="Arial"/>
        <w:szCs w:val="26"/>
      </w:rPr>
      <w:t>016</w:t>
    </w:r>
    <w:r w:rsidR="001D0FCD">
      <w:t xml:space="preserve">  </w:t>
    </w:r>
    <w:r w:rsidR="00F96A0F">
      <w:t>COM</w:t>
    </w:r>
    <w:r w:rsidR="001D09EA">
      <w:t>/nd3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4F5D1" w14:textId="77777777" w:rsidR="00C616FB" w:rsidRPr="0077027E" w:rsidRDefault="00C616FB" w:rsidP="0077027E">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303F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973BD3"/>
    <w:multiLevelType w:val="multilevel"/>
    <w:tmpl w:val="EEF49A00"/>
    <w:lvl w:ilvl="0">
      <w:start w:val="1"/>
      <w:numFmt w:val="decimal"/>
      <w:pStyle w:val="Question"/>
      <w:lvlText w:val="%1."/>
      <w:lvlJc w:val="left"/>
      <w:pPr>
        <w:ind w:left="475" w:hanging="475"/>
      </w:pPr>
      <w:rPr>
        <w:rFonts w:hint="default"/>
      </w:rPr>
    </w:lvl>
    <w:lvl w:ilvl="1">
      <w:start w:val="1"/>
      <w:numFmt w:val="decimal"/>
      <w:lvlText w:val="%1.%2."/>
      <w:lvlJc w:val="left"/>
      <w:pPr>
        <w:ind w:left="1152" w:hanging="67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16458D"/>
    <w:multiLevelType w:val="multilevel"/>
    <w:tmpl w:val="0BF86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6C1C14"/>
    <w:multiLevelType w:val="multilevel"/>
    <w:tmpl w:val="AB9E3B98"/>
    <w:styleLink w:val="FoFCoLOP"/>
    <w:lvl w:ilvl="0">
      <w:start w:val="1"/>
      <w:numFmt w:val="decimal"/>
      <w:pStyle w:val="FoF"/>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4" w15:restartNumberingAfterBreak="0">
    <w:nsid w:val="15F056CB"/>
    <w:multiLevelType w:val="multilevel"/>
    <w:tmpl w:val="AB9E3B98"/>
    <w:numStyleLink w:val="FoFCoLOP"/>
  </w:abstractNum>
  <w:abstractNum w:abstractNumId="5" w15:restartNumberingAfterBreak="0">
    <w:nsid w:val="331F6D42"/>
    <w:multiLevelType w:val="multilevel"/>
    <w:tmpl w:val="3C526EDE"/>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6" w15:restartNumberingAfterBreak="0">
    <w:nsid w:val="4070400A"/>
    <w:multiLevelType w:val="multilevel"/>
    <w:tmpl w:val="AB9E3B98"/>
    <w:numStyleLink w:val="FoFCoLOP"/>
  </w:abstractNum>
  <w:abstractNum w:abstractNumId="7" w15:restartNumberingAfterBreak="0">
    <w:nsid w:val="61A25780"/>
    <w:multiLevelType w:val="multilevel"/>
    <w:tmpl w:val="90C66904"/>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ind w:left="1584" w:hanging="864"/>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8" w15:restartNumberingAfterBreak="0">
    <w:nsid w:val="679D3B22"/>
    <w:multiLevelType w:val="multilevel"/>
    <w:tmpl w:val="68864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2B281C"/>
    <w:multiLevelType w:val="multilevel"/>
    <w:tmpl w:val="4A447C1E"/>
    <w:lvl w:ilvl="0">
      <w:start w:val="1"/>
      <w:numFmt w:val="decimal"/>
      <w:lvlText w:val="%1."/>
      <w:lvlJc w:val="right"/>
      <w:pPr>
        <w:ind w:left="0" w:firstLine="540"/>
      </w:pPr>
      <w:rPr>
        <w:rFonts w:hint="default"/>
      </w:rPr>
    </w:lvl>
    <w:lvl w:ilvl="1">
      <w:start w:val="1"/>
      <w:numFmt w:val="lowerLetter"/>
      <w:lvlText w:val="(%2)"/>
      <w:lvlJc w:val="lef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10" w15:restartNumberingAfterBreak="0">
    <w:nsid w:val="70745D47"/>
    <w:multiLevelType w:val="multilevel"/>
    <w:tmpl w:val="7B365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9A0AFE"/>
    <w:multiLevelType w:val="multilevel"/>
    <w:tmpl w:val="4A447C1E"/>
    <w:lvl w:ilvl="0">
      <w:start w:val="1"/>
      <w:numFmt w:val="decimal"/>
      <w:lvlText w:val="%1."/>
      <w:lvlJc w:val="right"/>
      <w:pPr>
        <w:ind w:left="0" w:firstLine="540"/>
      </w:pPr>
      <w:rPr>
        <w:rFonts w:hint="default"/>
      </w:rPr>
    </w:lvl>
    <w:lvl w:ilvl="1">
      <w:start w:val="1"/>
      <w:numFmt w:val="lowerLetter"/>
      <w:lvlText w:val="(%2)"/>
      <w:lvlJc w:val="lef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12" w15:restartNumberingAfterBreak="0">
    <w:nsid w:val="7CCA2DA4"/>
    <w:multiLevelType w:val="hybridMultilevel"/>
    <w:tmpl w:val="5A606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774137">
    <w:abstractNumId w:val="3"/>
  </w:num>
  <w:num w:numId="2" w16cid:durableId="701521005">
    <w:abstractNumId w:val="4"/>
  </w:num>
  <w:num w:numId="3" w16cid:durableId="2017029027">
    <w:abstractNumId w:val="11"/>
  </w:num>
  <w:num w:numId="4" w16cid:durableId="973756952">
    <w:abstractNumId w:val="5"/>
  </w:num>
  <w:num w:numId="5" w16cid:durableId="816924040">
    <w:abstractNumId w:val="0"/>
  </w:num>
  <w:num w:numId="6" w16cid:durableId="1714382259">
    <w:abstractNumId w:val="7"/>
  </w:num>
  <w:num w:numId="7" w16cid:durableId="255789295">
    <w:abstractNumId w:val="12"/>
  </w:num>
  <w:num w:numId="8" w16cid:durableId="855188859">
    <w:abstractNumId w:val="1"/>
  </w:num>
  <w:num w:numId="9" w16cid:durableId="1780487257">
    <w:abstractNumId w:val="6"/>
  </w:num>
  <w:num w:numId="10" w16cid:durableId="713114792">
    <w:abstractNumId w:val="7"/>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1" w16cid:durableId="1672373026">
    <w:abstractNumId w:val="9"/>
  </w:num>
  <w:num w:numId="12" w16cid:durableId="45761040">
    <w:abstractNumId w:val="2"/>
  </w:num>
  <w:num w:numId="13" w16cid:durableId="1135291145">
    <w:abstractNumId w:val="10"/>
  </w:num>
  <w:num w:numId="14" w16cid:durableId="76796796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2AB"/>
    <w:rsid w:val="00000F6A"/>
    <w:rsid w:val="00003CFD"/>
    <w:rsid w:val="00003E8C"/>
    <w:rsid w:val="00007B69"/>
    <w:rsid w:val="00011634"/>
    <w:rsid w:val="000142A0"/>
    <w:rsid w:val="00014558"/>
    <w:rsid w:val="0001483D"/>
    <w:rsid w:val="00016A75"/>
    <w:rsid w:val="0001707F"/>
    <w:rsid w:val="00020AF6"/>
    <w:rsid w:val="000233E1"/>
    <w:rsid w:val="0002497B"/>
    <w:rsid w:val="00026392"/>
    <w:rsid w:val="00027D8C"/>
    <w:rsid w:val="000310F6"/>
    <w:rsid w:val="00033750"/>
    <w:rsid w:val="00035F99"/>
    <w:rsid w:val="00042978"/>
    <w:rsid w:val="00042FB8"/>
    <w:rsid w:val="00044B9A"/>
    <w:rsid w:val="000455E0"/>
    <w:rsid w:val="00047BB1"/>
    <w:rsid w:val="00053548"/>
    <w:rsid w:val="00055DD0"/>
    <w:rsid w:val="00056C01"/>
    <w:rsid w:val="000578FD"/>
    <w:rsid w:val="00060A0A"/>
    <w:rsid w:val="0006321F"/>
    <w:rsid w:val="00065DA8"/>
    <w:rsid w:val="000674CC"/>
    <w:rsid w:val="00070D3B"/>
    <w:rsid w:val="0007115A"/>
    <w:rsid w:val="00073513"/>
    <w:rsid w:val="00073843"/>
    <w:rsid w:val="00073B37"/>
    <w:rsid w:val="00074600"/>
    <w:rsid w:val="00075BB0"/>
    <w:rsid w:val="0007799F"/>
    <w:rsid w:val="00077DD5"/>
    <w:rsid w:val="0008021B"/>
    <w:rsid w:val="00082F65"/>
    <w:rsid w:val="00083980"/>
    <w:rsid w:val="000845D7"/>
    <w:rsid w:val="0008715F"/>
    <w:rsid w:val="00087744"/>
    <w:rsid w:val="00087919"/>
    <w:rsid w:val="0009109E"/>
    <w:rsid w:val="00092E32"/>
    <w:rsid w:val="00093F68"/>
    <w:rsid w:val="0009409D"/>
    <w:rsid w:val="0009436C"/>
    <w:rsid w:val="000955C3"/>
    <w:rsid w:val="00096185"/>
    <w:rsid w:val="0009706C"/>
    <w:rsid w:val="000973C8"/>
    <w:rsid w:val="0009748D"/>
    <w:rsid w:val="00097941"/>
    <w:rsid w:val="00097D26"/>
    <w:rsid w:val="000A2AA9"/>
    <w:rsid w:val="000A4054"/>
    <w:rsid w:val="000A5054"/>
    <w:rsid w:val="000A56F2"/>
    <w:rsid w:val="000A6E05"/>
    <w:rsid w:val="000B12FA"/>
    <w:rsid w:val="000B1E31"/>
    <w:rsid w:val="000B21DF"/>
    <w:rsid w:val="000B37FF"/>
    <w:rsid w:val="000B3D17"/>
    <w:rsid w:val="000B6FA1"/>
    <w:rsid w:val="000B7886"/>
    <w:rsid w:val="000C08BF"/>
    <w:rsid w:val="000C2389"/>
    <w:rsid w:val="000C25C7"/>
    <w:rsid w:val="000C3B9A"/>
    <w:rsid w:val="000C4E45"/>
    <w:rsid w:val="000C5213"/>
    <w:rsid w:val="000D235B"/>
    <w:rsid w:val="000D25A8"/>
    <w:rsid w:val="000D2DFC"/>
    <w:rsid w:val="000D402C"/>
    <w:rsid w:val="000D4D7B"/>
    <w:rsid w:val="000E1E13"/>
    <w:rsid w:val="000E270A"/>
    <w:rsid w:val="000E4C53"/>
    <w:rsid w:val="000E5715"/>
    <w:rsid w:val="000F0FEE"/>
    <w:rsid w:val="000F344A"/>
    <w:rsid w:val="000F3A4D"/>
    <w:rsid w:val="000F48C6"/>
    <w:rsid w:val="000F4D41"/>
    <w:rsid w:val="000F533C"/>
    <w:rsid w:val="000F6BE3"/>
    <w:rsid w:val="000F75ED"/>
    <w:rsid w:val="00107246"/>
    <w:rsid w:val="00110AFE"/>
    <w:rsid w:val="00110E67"/>
    <w:rsid w:val="00111C56"/>
    <w:rsid w:val="00111DB6"/>
    <w:rsid w:val="0011268D"/>
    <w:rsid w:val="0011360A"/>
    <w:rsid w:val="0011364B"/>
    <w:rsid w:val="00113F3D"/>
    <w:rsid w:val="00115E28"/>
    <w:rsid w:val="00120E7C"/>
    <w:rsid w:val="00121089"/>
    <w:rsid w:val="00121E35"/>
    <w:rsid w:val="001237BC"/>
    <w:rsid w:val="00124CA2"/>
    <w:rsid w:val="001267A8"/>
    <w:rsid w:val="00132BBC"/>
    <w:rsid w:val="00132C78"/>
    <w:rsid w:val="0013378D"/>
    <w:rsid w:val="00134C52"/>
    <w:rsid w:val="00134E23"/>
    <w:rsid w:val="00135D96"/>
    <w:rsid w:val="001377B0"/>
    <w:rsid w:val="00137B97"/>
    <w:rsid w:val="00141778"/>
    <w:rsid w:val="00142061"/>
    <w:rsid w:val="00143097"/>
    <w:rsid w:val="00143F29"/>
    <w:rsid w:val="00145A8F"/>
    <w:rsid w:val="001473D9"/>
    <w:rsid w:val="00150DDB"/>
    <w:rsid w:val="0015173F"/>
    <w:rsid w:val="00151C69"/>
    <w:rsid w:val="00153756"/>
    <w:rsid w:val="00154831"/>
    <w:rsid w:val="00160058"/>
    <w:rsid w:val="00161FBE"/>
    <w:rsid w:val="00162A69"/>
    <w:rsid w:val="00162A98"/>
    <w:rsid w:val="001633E4"/>
    <w:rsid w:val="001646CA"/>
    <w:rsid w:val="00164FEC"/>
    <w:rsid w:val="00165FE4"/>
    <w:rsid w:val="00166809"/>
    <w:rsid w:val="00170A09"/>
    <w:rsid w:val="00170EA7"/>
    <w:rsid w:val="0017219A"/>
    <w:rsid w:val="0017318E"/>
    <w:rsid w:val="00174461"/>
    <w:rsid w:val="00174C1D"/>
    <w:rsid w:val="00175D57"/>
    <w:rsid w:val="00180A46"/>
    <w:rsid w:val="001822F7"/>
    <w:rsid w:val="00182644"/>
    <w:rsid w:val="00184A8F"/>
    <w:rsid w:val="00190EF4"/>
    <w:rsid w:val="001931E7"/>
    <w:rsid w:val="0019355E"/>
    <w:rsid w:val="001953BD"/>
    <w:rsid w:val="001959B4"/>
    <w:rsid w:val="00197850"/>
    <w:rsid w:val="001A239F"/>
    <w:rsid w:val="001A2696"/>
    <w:rsid w:val="001A3426"/>
    <w:rsid w:val="001A7809"/>
    <w:rsid w:val="001B1FE4"/>
    <w:rsid w:val="001B4FF6"/>
    <w:rsid w:val="001B6016"/>
    <w:rsid w:val="001B6E57"/>
    <w:rsid w:val="001B7230"/>
    <w:rsid w:val="001B755A"/>
    <w:rsid w:val="001B7946"/>
    <w:rsid w:val="001B7C82"/>
    <w:rsid w:val="001C3195"/>
    <w:rsid w:val="001C363F"/>
    <w:rsid w:val="001C5CAA"/>
    <w:rsid w:val="001C709B"/>
    <w:rsid w:val="001D0212"/>
    <w:rsid w:val="001D02E1"/>
    <w:rsid w:val="001D09EA"/>
    <w:rsid w:val="001D0FCD"/>
    <w:rsid w:val="001D2D0F"/>
    <w:rsid w:val="001D3894"/>
    <w:rsid w:val="001D5253"/>
    <w:rsid w:val="001D7693"/>
    <w:rsid w:val="001D7708"/>
    <w:rsid w:val="001D7C03"/>
    <w:rsid w:val="001E05E3"/>
    <w:rsid w:val="001E2A62"/>
    <w:rsid w:val="001F0B64"/>
    <w:rsid w:val="001F0FDF"/>
    <w:rsid w:val="001F12AF"/>
    <w:rsid w:val="001F2819"/>
    <w:rsid w:val="001F3631"/>
    <w:rsid w:val="001F408C"/>
    <w:rsid w:val="001F53B2"/>
    <w:rsid w:val="001F6062"/>
    <w:rsid w:val="00200351"/>
    <w:rsid w:val="00200A71"/>
    <w:rsid w:val="002024A1"/>
    <w:rsid w:val="002043EC"/>
    <w:rsid w:val="0020728D"/>
    <w:rsid w:val="00212002"/>
    <w:rsid w:val="00212222"/>
    <w:rsid w:val="0022060B"/>
    <w:rsid w:val="00222006"/>
    <w:rsid w:val="00222FD2"/>
    <w:rsid w:val="002255FC"/>
    <w:rsid w:val="00230D08"/>
    <w:rsid w:val="002327B3"/>
    <w:rsid w:val="0023377C"/>
    <w:rsid w:val="00234427"/>
    <w:rsid w:val="00234B1A"/>
    <w:rsid w:val="002355A7"/>
    <w:rsid w:val="002356E8"/>
    <w:rsid w:val="00235EEF"/>
    <w:rsid w:val="00235F75"/>
    <w:rsid w:val="002361DB"/>
    <w:rsid w:val="00240559"/>
    <w:rsid w:val="00241D5D"/>
    <w:rsid w:val="00241E79"/>
    <w:rsid w:val="00242E6F"/>
    <w:rsid w:val="00243DC0"/>
    <w:rsid w:val="002451F1"/>
    <w:rsid w:val="00247477"/>
    <w:rsid w:val="00252EAC"/>
    <w:rsid w:val="00253B06"/>
    <w:rsid w:val="0025428E"/>
    <w:rsid w:val="00254CB1"/>
    <w:rsid w:val="00257525"/>
    <w:rsid w:val="00257A8D"/>
    <w:rsid w:val="00260B09"/>
    <w:rsid w:val="00261831"/>
    <w:rsid w:val="0026199D"/>
    <w:rsid w:val="00261A1A"/>
    <w:rsid w:val="00264CA3"/>
    <w:rsid w:val="002654C8"/>
    <w:rsid w:val="00267C9E"/>
    <w:rsid w:val="00270242"/>
    <w:rsid w:val="00270440"/>
    <w:rsid w:val="002709EA"/>
    <w:rsid w:val="002715BF"/>
    <w:rsid w:val="00271CC6"/>
    <w:rsid w:val="00272268"/>
    <w:rsid w:val="002726F2"/>
    <w:rsid w:val="0027282A"/>
    <w:rsid w:val="002747D6"/>
    <w:rsid w:val="002777C7"/>
    <w:rsid w:val="00281BC0"/>
    <w:rsid w:val="0028251A"/>
    <w:rsid w:val="00284D8D"/>
    <w:rsid w:val="00286452"/>
    <w:rsid w:val="002876FC"/>
    <w:rsid w:val="00287BC5"/>
    <w:rsid w:val="00292150"/>
    <w:rsid w:val="002921DF"/>
    <w:rsid w:val="002936DC"/>
    <w:rsid w:val="00293DEE"/>
    <w:rsid w:val="00297414"/>
    <w:rsid w:val="002A0B5D"/>
    <w:rsid w:val="002A1B8A"/>
    <w:rsid w:val="002A37BF"/>
    <w:rsid w:val="002A5B3A"/>
    <w:rsid w:val="002A618C"/>
    <w:rsid w:val="002A7AAD"/>
    <w:rsid w:val="002B05D0"/>
    <w:rsid w:val="002B105B"/>
    <w:rsid w:val="002B1A63"/>
    <w:rsid w:val="002B1D29"/>
    <w:rsid w:val="002B22F7"/>
    <w:rsid w:val="002B4493"/>
    <w:rsid w:val="002C1069"/>
    <w:rsid w:val="002C1ECD"/>
    <w:rsid w:val="002C237E"/>
    <w:rsid w:val="002C3CDE"/>
    <w:rsid w:val="002C41D0"/>
    <w:rsid w:val="002C5552"/>
    <w:rsid w:val="002C624D"/>
    <w:rsid w:val="002C67F4"/>
    <w:rsid w:val="002C6F7C"/>
    <w:rsid w:val="002C7FE9"/>
    <w:rsid w:val="002D056D"/>
    <w:rsid w:val="002D0DC5"/>
    <w:rsid w:val="002D2E1C"/>
    <w:rsid w:val="002D3D72"/>
    <w:rsid w:val="002D4EFD"/>
    <w:rsid w:val="002D7141"/>
    <w:rsid w:val="002E1A17"/>
    <w:rsid w:val="002E432A"/>
    <w:rsid w:val="002E4B7A"/>
    <w:rsid w:val="002E5C44"/>
    <w:rsid w:val="002F12B7"/>
    <w:rsid w:val="002F2022"/>
    <w:rsid w:val="002F2AB9"/>
    <w:rsid w:val="002F3A62"/>
    <w:rsid w:val="002F4A28"/>
    <w:rsid w:val="002F4C9E"/>
    <w:rsid w:val="002F7461"/>
    <w:rsid w:val="0030098F"/>
    <w:rsid w:val="00302006"/>
    <w:rsid w:val="0030453C"/>
    <w:rsid w:val="003048A8"/>
    <w:rsid w:val="00304A8D"/>
    <w:rsid w:val="00306F15"/>
    <w:rsid w:val="00307116"/>
    <w:rsid w:val="0030720B"/>
    <w:rsid w:val="00307A7D"/>
    <w:rsid w:val="00310388"/>
    <w:rsid w:val="00310607"/>
    <w:rsid w:val="00311511"/>
    <w:rsid w:val="00311918"/>
    <w:rsid w:val="003123E6"/>
    <w:rsid w:val="00312B0F"/>
    <w:rsid w:val="00315A97"/>
    <w:rsid w:val="00316071"/>
    <w:rsid w:val="00316174"/>
    <w:rsid w:val="0032516A"/>
    <w:rsid w:val="0032594E"/>
    <w:rsid w:val="00325CA4"/>
    <w:rsid w:val="00327DA2"/>
    <w:rsid w:val="00327DA9"/>
    <w:rsid w:val="003300FA"/>
    <w:rsid w:val="00330AAF"/>
    <w:rsid w:val="0033205D"/>
    <w:rsid w:val="003348A2"/>
    <w:rsid w:val="00337A8D"/>
    <w:rsid w:val="00341241"/>
    <w:rsid w:val="00342080"/>
    <w:rsid w:val="00343E5C"/>
    <w:rsid w:val="00344FB8"/>
    <w:rsid w:val="003451A5"/>
    <w:rsid w:val="0034537E"/>
    <w:rsid w:val="00345E2A"/>
    <w:rsid w:val="00347C11"/>
    <w:rsid w:val="0035529F"/>
    <w:rsid w:val="00356E53"/>
    <w:rsid w:val="00356F96"/>
    <w:rsid w:val="0035712B"/>
    <w:rsid w:val="0036017B"/>
    <w:rsid w:val="00362755"/>
    <w:rsid w:val="00362AA6"/>
    <w:rsid w:val="00362DB2"/>
    <w:rsid w:val="00365CD4"/>
    <w:rsid w:val="00365FC7"/>
    <w:rsid w:val="00367C98"/>
    <w:rsid w:val="00370639"/>
    <w:rsid w:val="00371354"/>
    <w:rsid w:val="00372533"/>
    <w:rsid w:val="00373B93"/>
    <w:rsid w:val="003748D4"/>
    <w:rsid w:val="00375C44"/>
    <w:rsid w:val="003766DA"/>
    <w:rsid w:val="00380CD1"/>
    <w:rsid w:val="00381B86"/>
    <w:rsid w:val="003824F1"/>
    <w:rsid w:val="00391BCC"/>
    <w:rsid w:val="00393856"/>
    <w:rsid w:val="00393903"/>
    <w:rsid w:val="00393F61"/>
    <w:rsid w:val="00394076"/>
    <w:rsid w:val="0039525F"/>
    <w:rsid w:val="00396407"/>
    <w:rsid w:val="003970E4"/>
    <w:rsid w:val="003A02CA"/>
    <w:rsid w:val="003A04F2"/>
    <w:rsid w:val="003A0E70"/>
    <w:rsid w:val="003A0EEA"/>
    <w:rsid w:val="003A105E"/>
    <w:rsid w:val="003A2249"/>
    <w:rsid w:val="003A38F0"/>
    <w:rsid w:val="003A4201"/>
    <w:rsid w:val="003A62A2"/>
    <w:rsid w:val="003A6DF7"/>
    <w:rsid w:val="003A745D"/>
    <w:rsid w:val="003B0332"/>
    <w:rsid w:val="003B2BE2"/>
    <w:rsid w:val="003B4CD6"/>
    <w:rsid w:val="003B4F29"/>
    <w:rsid w:val="003B6A99"/>
    <w:rsid w:val="003C0572"/>
    <w:rsid w:val="003C3C97"/>
    <w:rsid w:val="003C43B9"/>
    <w:rsid w:val="003C680D"/>
    <w:rsid w:val="003C7C29"/>
    <w:rsid w:val="003C7D6A"/>
    <w:rsid w:val="003D098C"/>
    <w:rsid w:val="003D2F28"/>
    <w:rsid w:val="003D4DF4"/>
    <w:rsid w:val="003D620F"/>
    <w:rsid w:val="003D6C2C"/>
    <w:rsid w:val="003D6DFE"/>
    <w:rsid w:val="003E1438"/>
    <w:rsid w:val="003E5B58"/>
    <w:rsid w:val="003F069A"/>
    <w:rsid w:val="003F16B1"/>
    <w:rsid w:val="003F324B"/>
    <w:rsid w:val="003F3871"/>
    <w:rsid w:val="003F4329"/>
    <w:rsid w:val="003F4AE0"/>
    <w:rsid w:val="003F5225"/>
    <w:rsid w:val="003F5C29"/>
    <w:rsid w:val="00402AFB"/>
    <w:rsid w:val="00405CD2"/>
    <w:rsid w:val="0041077D"/>
    <w:rsid w:val="0041083A"/>
    <w:rsid w:val="004112C6"/>
    <w:rsid w:val="00411667"/>
    <w:rsid w:val="00412534"/>
    <w:rsid w:val="00412C83"/>
    <w:rsid w:val="00414A3E"/>
    <w:rsid w:val="004160A0"/>
    <w:rsid w:val="00420BDA"/>
    <w:rsid w:val="0042374F"/>
    <w:rsid w:val="00423877"/>
    <w:rsid w:val="00423C3B"/>
    <w:rsid w:val="00424615"/>
    <w:rsid w:val="00425FA4"/>
    <w:rsid w:val="00426014"/>
    <w:rsid w:val="0042698F"/>
    <w:rsid w:val="004272B0"/>
    <w:rsid w:val="00427F98"/>
    <w:rsid w:val="004309A8"/>
    <w:rsid w:val="00431F0F"/>
    <w:rsid w:val="00432271"/>
    <w:rsid w:val="00432E34"/>
    <w:rsid w:val="0043372A"/>
    <w:rsid w:val="004345A5"/>
    <w:rsid w:val="00437C04"/>
    <w:rsid w:val="00437F42"/>
    <w:rsid w:val="00440BA4"/>
    <w:rsid w:val="00441D63"/>
    <w:rsid w:val="00443496"/>
    <w:rsid w:val="0044452B"/>
    <w:rsid w:val="004454FC"/>
    <w:rsid w:val="004460CD"/>
    <w:rsid w:val="0044617E"/>
    <w:rsid w:val="00447E6E"/>
    <w:rsid w:val="00450A7E"/>
    <w:rsid w:val="0045106E"/>
    <w:rsid w:val="004539F4"/>
    <w:rsid w:val="004560D8"/>
    <w:rsid w:val="00456D11"/>
    <w:rsid w:val="00460088"/>
    <w:rsid w:val="004606E4"/>
    <w:rsid w:val="0046078B"/>
    <w:rsid w:val="00460B7D"/>
    <w:rsid w:val="004611CB"/>
    <w:rsid w:val="004614D2"/>
    <w:rsid w:val="00461F99"/>
    <w:rsid w:val="004626CD"/>
    <w:rsid w:val="004639A1"/>
    <w:rsid w:val="004648A6"/>
    <w:rsid w:val="00464EB2"/>
    <w:rsid w:val="00466603"/>
    <w:rsid w:val="0047073D"/>
    <w:rsid w:val="00472678"/>
    <w:rsid w:val="00472DE8"/>
    <w:rsid w:val="004732E5"/>
    <w:rsid w:val="00473A5F"/>
    <w:rsid w:val="00474BA0"/>
    <w:rsid w:val="00480CB0"/>
    <w:rsid w:val="00481598"/>
    <w:rsid w:val="00482FB3"/>
    <w:rsid w:val="004834AA"/>
    <w:rsid w:val="00483603"/>
    <w:rsid w:val="00483FD1"/>
    <w:rsid w:val="004842B5"/>
    <w:rsid w:val="00484D2A"/>
    <w:rsid w:val="0048544F"/>
    <w:rsid w:val="0048575D"/>
    <w:rsid w:val="00487067"/>
    <w:rsid w:val="00487BB9"/>
    <w:rsid w:val="00487BE9"/>
    <w:rsid w:val="0049031D"/>
    <w:rsid w:val="00491546"/>
    <w:rsid w:val="00494FF9"/>
    <w:rsid w:val="0049654F"/>
    <w:rsid w:val="004970ED"/>
    <w:rsid w:val="004977D6"/>
    <w:rsid w:val="004A1EAD"/>
    <w:rsid w:val="004A32D2"/>
    <w:rsid w:val="004A47BE"/>
    <w:rsid w:val="004A5F0C"/>
    <w:rsid w:val="004B0015"/>
    <w:rsid w:val="004B34EA"/>
    <w:rsid w:val="004B454C"/>
    <w:rsid w:val="004B4559"/>
    <w:rsid w:val="004B4C8B"/>
    <w:rsid w:val="004B5494"/>
    <w:rsid w:val="004B7D0E"/>
    <w:rsid w:val="004C0BD4"/>
    <w:rsid w:val="004C359E"/>
    <w:rsid w:val="004C4EAB"/>
    <w:rsid w:val="004C7A2B"/>
    <w:rsid w:val="004C7D3A"/>
    <w:rsid w:val="004D3518"/>
    <w:rsid w:val="004D3717"/>
    <w:rsid w:val="004D3CE3"/>
    <w:rsid w:val="004D4872"/>
    <w:rsid w:val="004D6271"/>
    <w:rsid w:val="004D7F91"/>
    <w:rsid w:val="004E00FC"/>
    <w:rsid w:val="004E1260"/>
    <w:rsid w:val="004E25AE"/>
    <w:rsid w:val="004E4879"/>
    <w:rsid w:val="004E5894"/>
    <w:rsid w:val="004E7875"/>
    <w:rsid w:val="004F04AE"/>
    <w:rsid w:val="004F0E96"/>
    <w:rsid w:val="004F4FD8"/>
    <w:rsid w:val="004F5C99"/>
    <w:rsid w:val="004F6537"/>
    <w:rsid w:val="004F7EA1"/>
    <w:rsid w:val="005018A8"/>
    <w:rsid w:val="0050396F"/>
    <w:rsid w:val="00505A39"/>
    <w:rsid w:val="00510D93"/>
    <w:rsid w:val="005123BB"/>
    <w:rsid w:val="00512D48"/>
    <w:rsid w:val="0051388D"/>
    <w:rsid w:val="005139B6"/>
    <w:rsid w:val="00514486"/>
    <w:rsid w:val="0051485D"/>
    <w:rsid w:val="00515AFD"/>
    <w:rsid w:val="00516C72"/>
    <w:rsid w:val="00521003"/>
    <w:rsid w:val="00522536"/>
    <w:rsid w:val="00522C88"/>
    <w:rsid w:val="005240BF"/>
    <w:rsid w:val="00524D60"/>
    <w:rsid w:val="00526A53"/>
    <w:rsid w:val="00530B45"/>
    <w:rsid w:val="00532A65"/>
    <w:rsid w:val="005335D7"/>
    <w:rsid w:val="005352AB"/>
    <w:rsid w:val="00535F7B"/>
    <w:rsid w:val="00537390"/>
    <w:rsid w:val="00537AB4"/>
    <w:rsid w:val="00542896"/>
    <w:rsid w:val="005434E3"/>
    <w:rsid w:val="00546CD3"/>
    <w:rsid w:val="005510E2"/>
    <w:rsid w:val="00553656"/>
    <w:rsid w:val="00553EB3"/>
    <w:rsid w:val="005550D7"/>
    <w:rsid w:val="0055663F"/>
    <w:rsid w:val="00557D04"/>
    <w:rsid w:val="00557D75"/>
    <w:rsid w:val="00561159"/>
    <w:rsid w:val="00561269"/>
    <w:rsid w:val="005614C8"/>
    <w:rsid w:val="00564DCB"/>
    <w:rsid w:val="0056531B"/>
    <w:rsid w:val="005655EC"/>
    <w:rsid w:val="00566E8C"/>
    <w:rsid w:val="005678DE"/>
    <w:rsid w:val="00573AEF"/>
    <w:rsid w:val="00574003"/>
    <w:rsid w:val="005742B4"/>
    <w:rsid w:val="00574497"/>
    <w:rsid w:val="00581014"/>
    <w:rsid w:val="00582EF0"/>
    <w:rsid w:val="00583BA7"/>
    <w:rsid w:val="00585390"/>
    <w:rsid w:val="005862AC"/>
    <w:rsid w:val="005870CF"/>
    <w:rsid w:val="005872A1"/>
    <w:rsid w:val="0059076A"/>
    <w:rsid w:val="005925D8"/>
    <w:rsid w:val="0059296E"/>
    <w:rsid w:val="005939A5"/>
    <w:rsid w:val="005945E3"/>
    <w:rsid w:val="00594CED"/>
    <w:rsid w:val="005952D6"/>
    <w:rsid w:val="00595F38"/>
    <w:rsid w:val="00597EF7"/>
    <w:rsid w:val="005A0467"/>
    <w:rsid w:val="005A0BCA"/>
    <w:rsid w:val="005A148C"/>
    <w:rsid w:val="005A42B8"/>
    <w:rsid w:val="005A5FF9"/>
    <w:rsid w:val="005A65F0"/>
    <w:rsid w:val="005B10FF"/>
    <w:rsid w:val="005B186C"/>
    <w:rsid w:val="005B46A3"/>
    <w:rsid w:val="005B79C9"/>
    <w:rsid w:val="005C00DD"/>
    <w:rsid w:val="005C19DD"/>
    <w:rsid w:val="005C221D"/>
    <w:rsid w:val="005C3417"/>
    <w:rsid w:val="005C444A"/>
    <w:rsid w:val="005C445E"/>
    <w:rsid w:val="005C4D54"/>
    <w:rsid w:val="005C58FA"/>
    <w:rsid w:val="005C5DE5"/>
    <w:rsid w:val="005D068C"/>
    <w:rsid w:val="005D0AAF"/>
    <w:rsid w:val="005D336A"/>
    <w:rsid w:val="005D71BC"/>
    <w:rsid w:val="005E0556"/>
    <w:rsid w:val="005E229C"/>
    <w:rsid w:val="005E2525"/>
    <w:rsid w:val="005E26AD"/>
    <w:rsid w:val="005E2AB4"/>
    <w:rsid w:val="005E3454"/>
    <w:rsid w:val="005E3EB8"/>
    <w:rsid w:val="005E4D56"/>
    <w:rsid w:val="005E5B81"/>
    <w:rsid w:val="005E66EE"/>
    <w:rsid w:val="005F0BA0"/>
    <w:rsid w:val="005F4131"/>
    <w:rsid w:val="00600169"/>
    <w:rsid w:val="00601771"/>
    <w:rsid w:val="006017EF"/>
    <w:rsid w:val="00602EAB"/>
    <w:rsid w:val="00603238"/>
    <w:rsid w:val="006050D3"/>
    <w:rsid w:val="006063DF"/>
    <w:rsid w:val="00607154"/>
    <w:rsid w:val="006116A1"/>
    <w:rsid w:val="006125C1"/>
    <w:rsid w:val="00613D53"/>
    <w:rsid w:val="00621B08"/>
    <w:rsid w:val="00622BD8"/>
    <w:rsid w:val="006242EE"/>
    <w:rsid w:val="006269EB"/>
    <w:rsid w:val="00632207"/>
    <w:rsid w:val="006334C3"/>
    <w:rsid w:val="0063491C"/>
    <w:rsid w:val="00634C2D"/>
    <w:rsid w:val="0063590A"/>
    <w:rsid w:val="00637B43"/>
    <w:rsid w:val="00641A5C"/>
    <w:rsid w:val="006423D4"/>
    <w:rsid w:val="00643A89"/>
    <w:rsid w:val="00644A45"/>
    <w:rsid w:val="00645DBA"/>
    <w:rsid w:val="0065152C"/>
    <w:rsid w:val="00651CCA"/>
    <w:rsid w:val="00651E2D"/>
    <w:rsid w:val="00652CFC"/>
    <w:rsid w:val="00655073"/>
    <w:rsid w:val="006555FB"/>
    <w:rsid w:val="006578EE"/>
    <w:rsid w:val="00660269"/>
    <w:rsid w:val="00661AFE"/>
    <w:rsid w:val="00662A4D"/>
    <w:rsid w:val="00662FEB"/>
    <w:rsid w:val="006668DA"/>
    <w:rsid w:val="00666D5C"/>
    <w:rsid w:val="00670904"/>
    <w:rsid w:val="00671478"/>
    <w:rsid w:val="0067241C"/>
    <w:rsid w:val="006730A8"/>
    <w:rsid w:val="0067353C"/>
    <w:rsid w:val="00673E69"/>
    <w:rsid w:val="00674829"/>
    <w:rsid w:val="00675D02"/>
    <w:rsid w:val="00680F19"/>
    <w:rsid w:val="00681B7F"/>
    <w:rsid w:val="00683824"/>
    <w:rsid w:val="00683B2C"/>
    <w:rsid w:val="0068521C"/>
    <w:rsid w:val="0068592E"/>
    <w:rsid w:val="00686B23"/>
    <w:rsid w:val="0069468A"/>
    <w:rsid w:val="00694DE8"/>
    <w:rsid w:val="006958F2"/>
    <w:rsid w:val="00696AC8"/>
    <w:rsid w:val="00697257"/>
    <w:rsid w:val="006A087D"/>
    <w:rsid w:val="006A08B2"/>
    <w:rsid w:val="006B379C"/>
    <w:rsid w:val="006B3D73"/>
    <w:rsid w:val="006B54F8"/>
    <w:rsid w:val="006B58AC"/>
    <w:rsid w:val="006B72DC"/>
    <w:rsid w:val="006C1F10"/>
    <w:rsid w:val="006C69E0"/>
    <w:rsid w:val="006C6A35"/>
    <w:rsid w:val="006D1493"/>
    <w:rsid w:val="006D2E75"/>
    <w:rsid w:val="006D529B"/>
    <w:rsid w:val="006D577A"/>
    <w:rsid w:val="006D5BBE"/>
    <w:rsid w:val="006D729D"/>
    <w:rsid w:val="006D7454"/>
    <w:rsid w:val="006E03D0"/>
    <w:rsid w:val="006E10F5"/>
    <w:rsid w:val="006E154E"/>
    <w:rsid w:val="006E18FA"/>
    <w:rsid w:val="006E2450"/>
    <w:rsid w:val="006E2B37"/>
    <w:rsid w:val="006E4762"/>
    <w:rsid w:val="006E5E28"/>
    <w:rsid w:val="006E6574"/>
    <w:rsid w:val="006E661B"/>
    <w:rsid w:val="006E6820"/>
    <w:rsid w:val="006E768F"/>
    <w:rsid w:val="006F4315"/>
    <w:rsid w:val="006F5CDB"/>
    <w:rsid w:val="00700348"/>
    <w:rsid w:val="00700744"/>
    <w:rsid w:val="007036EE"/>
    <w:rsid w:val="0070466C"/>
    <w:rsid w:val="00707420"/>
    <w:rsid w:val="00711855"/>
    <w:rsid w:val="00713148"/>
    <w:rsid w:val="007137A0"/>
    <w:rsid w:val="00714CF2"/>
    <w:rsid w:val="007156B9"/>
    <w:rsid w:val="007163F1"/>
    <w:rsid w:val="0071786E"/>
    <w:rsid w:val="00717ADB"/>
    <w:rsid w:val="00720817"/>
    <w:rsid w:val="00720A5B"/>
    <w:rsid w:val="00721F98"/>
    <w:rsid w:val="00722850"/>
    <w:rsid w:val="00723A1D"/>
    <w:rsid w:val="0072568A"/>
    <w:rsid w:val="0072768D"/>
    <w:rsid w:val="00731EE1"/>
    <w:rsid w:val="00731F57"/>
    <w:rsid w:val="0073353F"/>
    <w:rsid w:val="00734811"/>
    <w:rsid w:val="00735A91"/>
    <w:rsid w:val="00735E18"/>
    <w:rsid w:val="0073750B"/>
    <w:rsid w:val="00742862"/>
    <w:rsid w:val="00742E45"/>
    <w:rsid w:val="007447AF"/>
    <w:rsid w:val="00745797"/>
    <w:rsid w:val="00746DFA"/>
    <w:rsid w:val="007475F9"/>
    <w:rsid w:val="00750816"/>
    <w:rsid w:val="00753243"/>
    <w:rsid w:val="0075371C"/>
    <w:rsid w:val="00754475"/>
    <w:rsid w:val="007561D2"/>
    <w:rsid w:val="00756DC6"/>
    <w:rsid w:val="00760049"/>
    <w:rsid w:val="007606FB"/>
    <w:rsid w:val="0076083B"/>
    <w:rsid w:val="00760FC6"/>
    <w:rsid w:val="00761102"/>
    <w:rsid w:val="00762282"/>
    <w:rsid w:val="007657C1"/>
    <w:rsid w:val="00765866"/>
    <w:rsid w:val="00766919"/>
    <w:rsid w:val="00767A7F"/>
    <w:rsid w:val="0077027E"/>
    <w:rsid w:val="00774275"/>
    <w:rsid w:val="007743E5"/>
    <w:rsid w:val="00774AC4"/>
    <w:rsid w:val="00775618"/>
    <w:rsid w:val="0077738B"/>
    <w:rsid w:val="0077755F"/>
    <w:rsid w:val="00781E46"/>
    <w:rsid w:val="00785C39"/>
    <w:rsid w:val="00785FDB"/>
    <w:rsid w:val="007911E0"/>
    <w:rsid w:val="00791705"/>
    <w:rsid w:val="00791810"/>
    <w:rsid w:val="00791F30"/>
    <w:rsid w:val="00793664"/>
    <w:rsid w:val="007961A2"/>
    <w:rsid w:val="007974A3"/>
    <w:rsid w:val="007A1E15"/>
    <w:rsid w:val="007A3BEE"/>
    <w:rsid w:val="007A406D"/>
    <w:rsid w:val="007A4EB7"/>
    <w:rsid w:val="007A5260"/>
    <w:rsid w:val="007A58CB"/>
    <w:rsid w:val="007A5BA7"/>
    <w:rsid w:val="007A62B0"/>
    <w:rsid w:val="007B338E"/>
    <w:rsid w:val="007B38B4"/>
    <w:rsid w:val="007B4F2E"/>
    <w:rsid w:val="007B6C91"/>
    <w:rsid w:val="007B6E35"/>
    <w:rsid w:val="007B7CBB"/>
    <w:rsid w:val="007C19FF"/>
    <w:rsid w:val="007C1F79"/>
    <w:rsid w:val="007C43F0"/>
    <w:rsid w:val="007C4559"/>
    <w:rsid w:val="007C5A0C"/>
    <w:rsid w:val="007C793D"/>
    <w:rsid w:val="007D0C19"/>
    <w:rsid w:val="007D39A8"/>
    <w:rsid w:val="007D5A3C"/>
    <w:rsid w:val="007D65CD"/>
    <w:rsid w:val="007D6BD9"/>
    <w:rsid w:val="007E0FEE"/>
    <w:rsid w:val="007E194D"/>
    <w:rsid w:val="007E21F1"/>
    <w:rsid w:val="007E500F"/>
    <w:rsid w:val="007E63DC"/>
    <w:rsid w:val="007E67EA"/>
    <w:rsid w:val="007E7889"/>
    <w:rsid w:val="007F2017"/>
    <w:rsid w:val="007F2686"/>
    <w:rsid w:val="007F32A1"/>
    <w:rsid w:val="007F3971"/>
    <w:rsid w:val="007F3D1B"/>
    <w:rsid w:val="007F3F5B"/>
    <w:rsid w:val="007F4193"/>
    <w:rsid w:val="00802184"/>
    <w:rsid w:val="0080390E"/>
    <w:rsid w:val="0080489E"/>
    <w:rsid w:val="008060C6"/>
    <w:rsid w:val="008062F8"/>
    <w:rsid w:val="00811FB3"/>
    <w:rsid w:val="00812C68"/>
    <w:rsid w:val="008145EB"/>
    <w:rsid w:val="008159CF"/>
    <w:rsid w:val="00815A52"/>
    <w:rsid w:val="00816340"/>
    <w:rsid w:val="00816E05"/>
    <w:rsid w:val="00817F0A"/>
    <w:rsid w:val="008205B6"/>
    <w:rsid w:val="00821860"/>
    <w:rsid w:val="008218D3"/>
    <w:rsid w:val="008221E5"/>
    <w:rsid w:val="0082306A"/>
    <w:rsid w:val="00824FE3"/>
    <w:rsid w:val="00825EEE"/>
    <w:rsid w:val="00832615"/>
    <w:rsid w:val="008338BF"/>
    <w:rsid w:val="008339BB"/>
    <w:rsid w:val="00840C6D"/>
    <w:rsid w:val="0084186E"/>
    <w:rsid w:val="00843A58"/>
    <w:rsid w:val="00844948"/>
    <w:rsid w:val="00844EED"/>
    <w:rsid w:val="00850A7B"/>
    <w:rsid w:val="00853E31"/>
    <w:rsid w:val="008542F5"/>
    <w:rsid w:val="00855B62"/>
    <w:rsid w:val="00857828"/>
    <w:rsid w:val="00860657"/>
    <w:rsid w:val="008620F5"/>
    <w:rsid w:val="0086419A"/>
    <w:rsid w:val="008669CA"/>
    <w:rsid w:val="0087023B"/>
    <w:rsid w:val="00871911"/>
    <w:rsid w:val="00871AF5"/>
    <w:rsid w:val="00871B88"/>
    <w:rsid w:val="00873368"/>
    <w:rsid w:val="0087579B"/>
    <w:rsid w:val="008766DD"/>
    <w:rsid w:val="0087749C"/>
    <w:rsid w:val="00880C70"/>
    <w:rsid w:val="00880CB3"/>
    <w:rsid w:val="00881A73"/>
    <w:rsid w:val="00882D59"/>
    <w:rsid w:val="00882DE0"/>
    <w:rsid w:val="008833D3"/>
    <w:rsid w:val="00885C45"/>
    <w:rsid w:val="0089041C"/>
    <w:rsid w:val="0089044F"/>
    <w:rsid w:val="00891897"/>
    <w:rsid w:val="0089462C"/>
    <w:rsid w:val="008963B9"/>
    <w:rsid w:val="008A08BF"/>
    <w:rsid w:val="008A179F"/>
    <w:rsid w:val="008A3AAC"/>
    <w:rsid w:val="008A429B"/>
    <w:rsid w:val="008A4E16"/>
    <w:rsid w:val="008A634A"/>
    <w:rsid w:val="008A63F6"/>
    <w:rsid w:val="008B0334"/>
    <w:rsid w:val="008B0864"/>
    <w:rsid w:val="008B0FC4"/>
    <w:rsid w:val="008B175A"/>
    <w:rsid w:val="008B1F2F"/>
    <w:rsid w:val="008B6C1F"/>
    <w:rsid w:val="008C1144"/>
    <w:rsid w:val="008C12BD"/>
    <w:rsid w:val="008C12F1"/>
    <w:rsid w:val="008C3CB7"/>
    <w:rsid w:val="008C7413"/>
    <w:rsid w:val="008D16B7"/>
    <w:rsid w:val="008D7BEE"/>
    <w:rsid w:val="008E0D27"/>
    <w:rsid w:val="008E4369"/>
    <w:rsid w:val="008E4716"/>
    <w:rsid w:val="008E4E7C"/>
    <w:rsid w:val="008E4F56"/>
    <w:rsid w:val="008E691B"/>
    <w:rsid w:val="008E6AE6"/>
    <w:rsid w:val="008F0055"/>
    <w:rsid w:val="008F0116"/>
    <w:rsid w:val="008F0DDD"/>
    <w:rsid w:val="008F143D"/>
    <w:rsid w:val="008F4C64"/>
    <w:rsid w:val="008F7669"/>
    <w:rsid w:val="00901471"/>
    <w:rsid w:val="0090305F"/>
    <w:rsid w:val="00903E48"/>
    <w:rsid w:val="00905C28"/>
    <w:rsid w:val="0091209D"/>
    <w:rsid w:val="009125DB"/>
    <w:rsid w:val="00913328"/>
    <w:rsid w:val="0091388F"/>
    <w:rsid w:val="009143D6"/>
    <w:rsid w:val="00914CE5"/>
    <w:rsid w:val="00915C03"/>
    <w:rsid w:val="00917C65"/>
    <w:rsid w:val="009262A2"/>
    <w:rsid w:val="00932785"/>
    <w:rsid w:val="00932865"/>
    <w:rsid w:val="00932964"/>
    <w:rsid w:val="00935D41"/>
    <w:rsid w:val="00936E15"/>
    <w:rsid w:val="0094127D"/>
    <w:rsid w:val="00944081"/>
    <w:rsid w:val="00944388"/>
    <w:rsid w:val="00947100"/>
    <w:rsid w:val="0094733F"/>
    <w:rsid w:val="00947E3F"/>
    <w:rsid w:val="009500FA"/>
    <w:rsid w:val="0095405B"/>
    <w:rsid w:val="00954FA0"/>
    <w:rsid w:val="0095552B"/>
    <w:rsid w:val="00956DE8"/>
    <w:rsid w:val="009571F5"/>
    <w:rsid w:val="009576E8"/>
    <w:rsid w:val="00960121"/>
    <w:rsid w:val="0096053E"/>
    <w:rsid w:val="00962465"/>
    <w:rsid w:val="00962C81"/>
    <w:rsid w:val="00964941"/>
    <w:rsid w:val="00965066"/>
    <w:rsid w:val="0096530B"/>
    <w:rsid w:val="0096534E"/>
    <w:rsid w:val="00966512"/>
    <w:rsid w:val="00967D91"/>
    <w:rsid w:val="00970012"/>
    <w:rsid w:val="00973FB9"/>
    <w:rsid w:val="009765E9"/>
    <w:rsid w:val="00980C11"/>
    <w:rsid w:val="0098138E"/>
    <w:rsid w:val="009822EA"/>
    <w:rsid w:val="0098655A"/>
    <w:rsid w:val="00986825"/>
    <w:rsid w:val="009872C7"/>
    <w:rsid w:val="00990A7B"/>
    <w:rsid w:val="009958CE"/>
    <w:rsid w:val="00997913"/>
    <w:rsid w:val="00997E36"/>
    <w:rsid w:val="009A0F85"/>
    <w:rsid w:val="009A1CC7"/>
    <w:rsid w:val="009A3483"/>
    <w:rsid w:val="009A49A0"/>
    <w:rsid w:val="009A49B9"/>
    <w:rsid w:val="009A4D3F"/>
    <w:rsid w:val="009A5C3A"/>
    <w:rsid w:val="009A6461"/>
    <w:rsid w:val="009A6A2B"/>
    <w:rsid w:val="009A6E36"/>
    <w:rsid w:val="009B0246"/>
    <w:rsid w:val="009B16D4"/>
    <w:rsid w:val="009B3860"/>
    <w:rsid w:val="009B4896"/>
    <w:rsid w:val="009B4DE1"/>
    <w:rsid w:val="009B67F2"/>
    <w:rsid w:val="009B7ED9"/>
    <w:rsid w:val="009C0B49"/>
    <w:rsid w:val="009C16F2"/>
    <w:rsid w:val="009C21CB"/>
    <w:rsid w:val="009C28D9"/>
    <w:rsid w:val="009C29D5"/>
    <w:rsid w:val="009C3A18"/>
    <w:rsid w:val="009C538E"/>
    <w:rsid w:val="009D2451"/>
    <w:rsid w:val="009D338D"/>
    <w:rsid w:val="009D6994"/>
    <w:rsid w:val="009D6A54"/>
    <w:rsid w:val="009E317C"/>
    <w:rsid w:val="009E32A5"/>
    <w:rsid w:val="009E36D8"/>
    <w:rsid w:val="009E397E"/>
    <w:rsid w:val="009E476F"/>
    <w:rsid w:val="009E6052"/>
    <w:rsid w:val="009E7599"/>
    <w:rsid w:val="009E7C7F"/>
    <w:rsid w:val="009F3589"/>
    <w:rsid w:val="00A00B79"/>
    <w:rsid w:val="00A03199"/>
    <w:rsid w:val="00A03442"/>
    <w:rsid w:val="00A05444"/>
    <w:rsid w:val="00A07420"/>
    <w:rsid w:val="00A11075"/>
    <w:rsid w:val="00A12081"/>
    <w:rsid w:val="00A15DD7"/>
    <w:rsid w:val="00A16B13"/>
    <w:rsid w:val="00A16E4B"/>
    <w:rsid w:val="00A17CE0"/>
    <w:rsid w:val="00A21FA2"/>
    <w:rsid w:val="00A23D48"/>
    <w:rsid w:val="00A24115"/>
    <w:rsid w:val="00A24A9C"/>
    <w:rsid w:val="00A27E50"/>
    <w:rsid w:val="00A32898"/>
    <w:rsid w:val="00A3428A"/>
    <w:rsid w:val="00A346AC"/>
    <w:rsid w:val="00A34C72"/>
    <w:rsid w:val="00A360F7"/>
    <w:rsid w:val="00A4043F"/>
    <w:rsid w:val="00A42306"/>
    <w:rsid w:val="00A44420"/>
    <w:rsid w:val="00A448DE"/>
    <w:rsid w:val="00A44E8D"/>
    <w:rsid w:val="00A45897"/>
    <w:rsid w:val="00A4643C"/>
    <w:rsid w:val="00A46EA8"/>
    <w:rsid w:val="00A506E0"/>
    <w:rsid w:val="00A512ED"/>
    <w:rsid w:val="00A51359"/>
    <w:rsid w:val="00A524A6"/>
    <w:rsid w:val="00A5481D"/>
    <w:rsid w:val="00A55ACD"/>
    <w:rsid w:val="00A57A88"/>
    <w:rsid w:val="00A609A2"/>
    <w:rsid w:val="00A6235D"/>
    <w:rsid w:val="00A62A0D"/>
    <w:rsid w:val="00A6392D"/>
    <w:rsid w:val="00A63BB8"/>
    <w:rsid w:val="00A66FBD"/>
    <w:rsid w:val="00A67ED7"/>
    <w:rsid w:val="00A71EEB"/>
    <w:rsid w:val="00A734C9"/>
    <w:rsid w:val="00A73975"/>
    <w:rsid w:val="00A74CEB"/>
    <w:rsid w:val="00A76A81"/>
    <w:rsid w:val="00A80D29"/>
    <w:rsid w:val="00A81634"/>
    <w:rsid w:val="00A82A27"/>
    <w:rsid w:val="00A8483B"/>
    <w:rsid w:val="00A85D27"/>
    <w:rsid w:val="00A86463"/>
    <w:rsid w:val="00A86DF0"/>
    <w:rsid w:val="00A9703A"/>
    <w:rsid w:val="00A97627"/>
    <w:rsid w:val="00AA4552"/>
    <w:rsid w:val="00AA7A6E"/>
    <w:rsid w:val="00AB0F05"/>
    <w:rsid w:val="00AB14B5"/>
    <w:rsid w:val="00AB7875"/>
    <w:rsid w:val="00AC1D42"/>
    <w:rsid w:val="00AC28E6"/>
    <w:rsid w:val="00AC3EFF"/>
    <w:rsid w:val="00AC500E"/>
    <w:rsid w:val="00AC50C5"/>
    <w:rsid w:val="00AC68EE"/>
    <w:rsid w:val="00AC706F"/>
    <w:rsid w:val="00AC7A2C"/>
    <w:rsid w:val="00AD1A08"/>
    <w:rsid w:val="00AD1C03"/>
    <w:rsid w:val="00AE4113"/>
    <w:rsid w:val="00AE697B"/>
    <w:rsid w:val="00AE6B66"/>
    <w:rsid w:val="00AE6CBE"/>
    <w:rsid w:val="00AF1116"/>
    <w:rsid w:val="00AF14B7"/>
    <w:rsid w:val="00AF1F90"/>
    <w:rsid w:val="00AF3890"/>
    <w:rsid w:val="00AF446C"/>
    <w:rsid w:val="00AF6FD2"/>
    <w:rsid w:val="00B01F7E"/>
    <w:rsid w:val="00B04968"/>
    <w:rsid w:val="00B056F1"/>
    <w:rsid w:val="00B066BB"/>
    <w:rsid w:val="00B073ED"/>
    <w:rsid w:val="00B10D65"/>
    <w:rsid w:val="00B11FE7"/>
    <w:rsid w:val="00B1282C"/>
    <w:rsid w:val="00B12E92"/>
    <w:rsid w:val="00B14AE0"/>
    <w:rsid w:val="00B155A7"/>
    <w:rsid w:val="00B16C2A"/>
    <w:rsid w:val="00B21423"/>
    <w:rsid w:val="00B217C3"/>
    <w:rsid w:val="00B26C4F"/>
    <w:rsid w:val="00B27163"/>
    <w:rsid w:val="00B27C10"/>
    <w:rsid w:val="00B30387"/>
    <w:rsid w:val="00B3087D"/>
    <w:rsid w:val="00B32D22"/>
    <w:rsid w:val="00B33264"/>
    <w:rsid w:val="00B3468A"/>
    <w:rsid w:val="00B34794"/>
    <w:rsid w:val="00B37638"/>
    <w:rsid w:val="00B41D19"/>
    <w:rsid w:val="00B42CFF"/>
    <w:rsid w:val="00B44442"/>
    <w:rsid w:val="00B45264"/>
    <w:rsid w:val="00B4587E"/>
    <w:rsid w:val="00B46C1C"/>
    <w:rsid w:val="00B50269"/>
    <w:rsid w:val="00B505F8"/>
    <w:rsid w:val="00B52414"/>
    <w:rsid w:val="00B52672"/>
    <w:rsid w:val="00B535BC"/>
    <w:rsid w:val="00B53D29"/>
    <w:rsid w:val="00B6025E"/>
    <w:rsid w:val="00B60421"/>
    <w:rsid w:val="00B63AF3"/>
    <w:rsid w:val="00B64610"/>
    <w:rsid w:val="00B64E65"/>
    <w:rsid w:val="00B652CB"/>
    <w:rsid w:val="00B6586E"/>
    <w:rsid w:val="00B731DE"/>
    <w:rsid w:val="00B74253"/>
    <w:rsid w:val="00B7436B"/>
    <w:rsid w:val="00B74881"/>
    <w:rsid w:val="00B75821"/>
    <w:rsid w:val="00B760DE"/>
    <w:rsid w:val="00B765E8"/>
    <w:rsid w:val="00B7662F"/>
    <w:rsid w:val="00B77E83"/>
    <w:rsid w:val="00B803DE"/>
    <w:rsid w:val="00B81EB6"/>
    <w:rsid w:val="00B8230C"/>
    <w:rsid w:val="00B82734"/>
    <w:rsid w:val="00B832C9"/>
    <w:rsid w:val="00B8366E"/>
    <w:rsid w:val="00B86500"/>
    <w:rsid w:val="00B90BD2"/>
    <w:rsid w:val="00B9140C"/>
    <w:rsid w:val="00B91AF1"/>
    <w:rsid w:val="00B96295"/>
    <w:rsid w:val="00B96CE9"/>
    <w:rsid w:val="00BA120E"/>
    <w:rsid w:val="00BA4E03"/>
    <w:rsid w:val="00BA6A23"/>
    <w:rsid w:val="00BA72EA"/>
    <w:rsid w:val="00BB0243"/>
    <w:rsid w:val="00BB6BA7"/>
    <w:rsid w:val="00BB716F"/>
    <w:rsid w:val="00BB7180"/>
    <w:rsid w:val="00BC0471"/>
    <w:rsid w:val="00BC16D9"/>
    <w:rsid w:val="00BC45DA"/>
    <w:rsid w:val="00BC5BB6"/>
    <w:rsid w:val="00BC7204"/>
    <w:rsid w:val="00BD059B"/>
    <w:rsid w:val="00BD37B6"/>
    <w:rsid w:val="00BD3F28"/>
    <w:rsid w:val="00BD4CAB"/>
    <w:rsid w:val="00BE030D"/>
    <w:rsid w:val="00BE54AC"/>
    <w:rsid w:val="00BE7721"/>
    <w:rsid w:val="00BF27FA"/>
    <w:rsid w:val="00BF2ABD"/>
    <w:rsid w:val="00BF4604"/>
    <w:rsid w:val="00BF5795"/>
    <w:rsid w:val="00C022F5"/>
    <w:rsid w:val="00C03AEC"/>
    <w:rsid w:val="00C043CD"/>
    <w:rsid w:val="00C04790"/>
    <w:rsid w:val="00C06CDD"/>
    <w:rsid w:val="00C076D3"/>
    <w:rsid w:val="00C109D5"/>
    <w:rsid w:val="00C10B5F"/>
    <w:rsid w:val="00C11547"/>
    <w:rsid w:val="00C12929"/>
    <w:rsid w:val="00C12FE9"/>
    <w:rsid w:val="00C146A8"/>
    <w:rsid w:val="00C2009A"/>
    <w:rsid w:val="00C202B1"/>
    <w:rsid w:val="00C20F6C"/>
    <w:rsid w:val="00C2230F"/>
    <w:rsid w:val="00C22879"/>
    <w:rsid w:val="00C24D7B"/>
    <w:rsid w:val="00C260B3"/>
    <w:rsid w:val="00C26B9E"/>
    <w:rsid w:val="00C27EE8"/>
    <w:rsid w:val="00C33961"/>
    <w:rsid w:val="00C34305"/>
    <w:rsid w:val="00C43846"/>
    <w:rsid w:val="00C5080B"/>
    <w:rsid w:val="00C50F61"/>
    <w:rsid w:val="00C519CA"/>
    <w:rsid w:val="00C5315B"/>
    <w:rsid w:val="00C543C7"/>
    <w:rsid w:val="00C557D3"/>
    <w:rsid w:val="00C5643D"/>
    <w:rsid w:val="00C61415"/>
    <w:rsid w:val="00C616FB"/>
    <w:rsid w:val="00C61716"/>
    <w:rsid w:val="00C61718"/>
    <w:rsid w:val="00C620A0"/>
    <w:rsid w:val="00C62C70"/>
    <w:rsid w:val="00C63C87"/>
    <w:rsid w:val="00C64B6E"/>
    <w:rsid w:val="00C6501E"/>
    <w:rsid w:val="00C710E6"/>
    <w:rsid w:val="00C727F4"/>
    <w:rsid w:val="00C738CD"/>
    <w:rsid w:val="00C73BAE"/>
    <w:rsid w:val="00C7567E"/>
    <w:rsid w:val="00C75F16"/>
    <w:rsid w:val="00C765D8"/>
    <w:rsid w:val="00C802D2"/>
    <w:rsid w:val="00C8337D"/>
    <w:rsid w:val="00C83886"/>
    <w:rsid w:val="00C850D8"/>
    <w:rsid w:val="00C86DCC"/>
    <w:rsid w:val="00C878D5"/>
    <w:rsid w:val="00C9033B"/>
    <w:rsid w:val="00C908EA"/>
    <w:rsid w:val="00C913A1"/>
    <w:rsid w:val="00C916FF"/>
    <w:rsid w:val="00C91A3F"/>
    <w:rsid w:val="00C923E9"/>
    <w:rsid w:val="00C93BD0"/>
    <w:rsid w:val="00C94F4A"/>
    <w:rsid w:val="00C95A40"/>
    <w:rsid w:val="00C962BB"/>
    <w:rsid w:val="00C969F2"/>
    <w:rsid w:val="00CA5655"/>
    <w:rsid w:val="00CA63B2"/>
    <w:rsid w:val="00CA6530"/>
    <w:rsid w:val="00CB2D0F"/>
    <w:rsid w:val="00CB2DBB"/>
    <w:rsid w:val="00CB42B7"/>
    <w:rsid w:val="00CB4AFD"/>
    <w:rsid w:val="00CB6CFC"/>
    <w:rsid w:val="00CB7DD0"/>
    <w:rsid w:val="00CC2828"/>
    <w:rsid w:val="00CC6A99"/>
    <w:rsid w:val="00CD01EB"/>
    <w:rsid w:val="00CD0902"/>
    <w:rsid w:val="00CD36ED"/>
    <w:rsid w:val="00CD5E60"/>
    <w:rsid w:val="00CE01AC"/>
    <w:rsid w:val="00CE09B5"/>
    <w:rsid w:val="00CE1C37"/>
    <w:rsid w:val="00CE2774"/>
    <w:rsid w:val="00CE43D1"/>
    <w:rsid w:val="00CE4429"/>
    <w:rsid w:val="00CE605B"/>
    <w:rsid w:val="00CE7232"/>
    <w:rsid w:val="00CF08E8"/>
    <w:rsid w:val="00CF1079"/>
    <w:rsid w:val="00CF1209"/>
    <w:rsid w:val="00CF1D5F"/>
    <w:rsid w:val="00CF3E2A"/>
    <w:rsid w:val="00CF5E86"/>
    <w:rsid w:val="00CF605C"/>
    <w:rsid w:val="00CF6381"/>
    <w:rsid w:val="00CF76FB"/>
    <w:rsid w:val="00D00AA3"/>
    <w:rsid w:val="00D03A14"/>
    <w:rsid w:val="00D0504E"/>
    <w:rsid w:val="00D05226"/>
    <w:rsid w:val="00D05918"/>
    <w:rsid w:val="00D067A8"/>
    <w:rsid w:val="00D074D4"/>
    <w:rsid w:val="00D07864"/>
    <w:rsid w:val="00D07BBE"/>
    <w:rsid w:val="00D07F73"/>
    <w:rsid w:val="00D11594"/>
    <w:rsid w:val="00D11CB5"/>
    <w:rsid w:val="00D1319B"/>
    <w:rsid w:val="00D13A28"/>
    <w:rsid w:val="00D14844"/>
    <w:rsid w:val="00D1628F"/>
    <w:rsid w:val="00D17299"/>
    <w:rsid w:val="00D2041C"/>
    <w:rsid w:val="00D21152"/>
    <w:rsid w:val="00D218F9"/>
    <w:rsid w:val="00D22BCE"/>
    <w:rsid w:val="00D2540F"/>
    <w:rsid w:val="00D25ADE"/>
    <w:rsid w:val="00D26D6C"/>
    <w:rsid w:val="00D31B91"/>
    <w:rsid w:val="00D32D42"/>
    <w:rsid w:val="00D35C80"/>
    <w:rsid w:val="00D35FFA"/>
    <w:rsid w:val="00D36E40"/>
    <w:rsid w:val="00D37133"/>
    <w:rsid w:val="00D377E0"/>
    <w:rsid w:val="00D37ABE"/>
    <w:rsid w:val="00D37C7E"/>
    <w:rsid w:val="00D41F84"/>
    <w:rsid w:val="00D422B1"/>
    <w:rsid w:val="00D4307D"/>
    <w:rsid w:val="00D43297"/>
    <w:rsid w:val="00D434E4"/>
    <w:rsid w:val="00D44DB6"/>
    <w:rsid w:val="00D50119"/>
    <w:rsid w:val="00D51F81"/>
    <w:rsid w:val="00D53DD7"/>
    <w:rsid w:val="00D53F3B"/>
    <w:rsid w:val="00D556AF"/>
    <w:rsid w:val="00D62D80"/>
    <w:rsid w:val="00D649E4"/>
    <w:rsid w:val="00D71D3F"/>
    <w:rsid w:val="00D7300C"/>
    <w:rsid w:val="00D7337B"/>
    <w:rsid w:val="00D74070"/>
    <w:rsid w:val="00D74292"/>
    <w:rsid w:val="00D76F43"/>
    <w:rsid w:val="00D7750C"/>
    <w:rsid w:val="00D82A43"/>
    <w:rsid w:val="00D8422A"/>
    <w:rsid w:val="00D84D2A"/>
    <w:rsid w:val="00D87521"/>
    <w:rsid w:val="00D875C1"/>
    <w:rsid w:val="00D9117C"/>
    <w:rsid w:val="00D91885"/>
    <w:rsid w:val="00D91C30"/>
    <w:rsid w:val="00D928B6"/>
    <w:rsid w:val="00D93171"/>
    <w:rsid w:val="00D942E9"/>
    <w:rsid w:val="00D94E89"/>
    <w:rsid w:val="00D969B3"/>
    <w:rsid w:val="00DA158A"/>
    <w:rsid w:val="00DA1AC2"/>
    <w:rsid w:val="00DA228A"/>
    <w:rsid w:val="00DA276F"/>
    <w:rsid w:val="00DA57D3"/>
    <w:rsid w:val="00DA7B5D"/>
    <w:rsid w:val="00DB195A"/>
    <w:rsid w:val="00DB1AA4"/>
    <w:rsid w:val="00DB355D"/>
    <w:rsid w:val="00DB6252"/>
    <w:rsid w:val="00DB7608"/>
    <w:rsid w:val="00DC0A31"/>
    <w:rsid w:val="00DC140C"/>
    <w:rsid w:val="00DC147D"/>
    <w:rsid w:val="00DC1FF8"/>
    <w:rsid w:val="00DC2386"/>
    <w:rsid w:val="00DC4205"/>
    <w:rsid w:val="00DC6040"/>
    <w:rsid w:val="00DC6BEF"/>
    <w:rsid w:val="00DD0264"/>
    <w:rsid w:val="00DD2BF6"/>
    <w:rsid w:val="00DD3874"/>
    <w:rsid w:val="00DD55D3"/>
    <w:rsid w:val="00DD6875"/>
    <w:rsid w:val="00DD7025"/>
    <w:rsid w:val="00DE0394"/>
    <w:rsid w:val="00DE11D0"/>
    <w:rsid w:val="00DE24F7"/>
    <w:rsid w:val="00DE71CE"/>
    <w:rsid w:val="00DF072A"/>
    <w:rsid w:val="00DF37AD"/>
    <w:rsid w:val="00DF3863"/>
    <w:rsid w:val="00DF58E7"/>
    <w:rsid w:val="00E00480"/>
    <w:rsid w:val="00E00CB1"/>
    <w:rsid w:val="00E017A8"/>
    <w:rsid w:val="00E02594"/>
    <w:rsid w:val="00E03FE0"/>
    <w:rsid w:val="00E05BD1"/>
    <w:rsid w:val="00E07277"/>
    <w:rsid w:val="00E07406"/>
    <w:rsid w:val="00E07723"/>
    <w:rsid w:val="00E1023B"/>
    <w:rsid w:val="00E11876"/>
    <w:rsid w:val="00E11930"/>
    <w:rsid w:val="00E11ADC"/>
    <w:rsid w:val="00E11D93"/>
    <w:rsid w:val="00E14AFC"/>
    <w:rsid w:val="00E14D53"/>
    <w:rsid w:val="00E16DE0"/>
    <w:rsid w:val="00E177FF"/>
    <w:rsid w:val="00E20824"/>
    <w:rsid w:val="00E215E3"/>
    <w:rsid w:val="00E2191D"/>
    <w:rsid w:val="00E235CB"/>
    <w:rsid w:val="00E2394D"/>
    <w:rsid w:val="00E23CBB"/>
    <w:rsid w:val="00E250C5"/>
    <w:rsid w:val="00E254D4"/>
    <w:rsid w:val="00E2606F"/>
    <w:rsid w:val="00E26DAB"/>
    <w:rsid w:val="00E27301"/>
    <w:rsid w:val="00E31A8D"/>
    <w:rsid w:val="00E31C62"/>
    <w:rsid w:val="00E3697D"/>
    <w:rsid w:val="00E37B59"/>
    <w:rsid w:val="00E40B1B"/>
    <w:rsid w:val="00E44156"/>
    <w:rsid w:val="00E4465A"/>
    <w:rsid w:val="00E45E05"/>
    <w:rsid w:val="00E47FF5"/>
    <w:rsid w:val="00E50300"/>
    <w:rsid w:val="00E50867"/>
    <w:rsid w:val="00E51836"/>
    <w:rsid w:val="00E52164"/>
    <w:rsid w:val="00E53438"/>
    <w:rsid w:val="00E55B3A"/>
    <w:rsid w:val="00E574E6"/>
    <w:rsid w:val="00E5752F"/>
    <w:rsid w:val="00E6008A"/>
    <w:rsid w:val="00E60118"/>
    <w:rsid w:val="00E61499"/>
    <w:rsid w:val="00E638A7"/>
    <w:rsid w:val="00E66173"/>
    <w:rsid w:val="00E725FC"/>
    <w:rsid w:val="00E7295F"/>
    <w:rsid w:val="00E73201"/>
    <w:rsid w:val="00E74291"/>
    <w:rsid w:val="00E80651"/>
    <w:rsid w:val="00E81DB0"/>
    <w:rsid w:val="00E82B25"/>
    <w:rsid w:val="00E91DB7"/>
    <w:rsid w:val="00E928E7"/>
    <w:rsid w:val="00E95476"/>
    <w:rsid w:val="00E9608A"/>
    <w:rsid w:val="00E96F24"/>
    <w:rsid w:val="00EA36C6"/>
    <w:rsid w:val="00EA504F"/>
    <w:rsid w:val="00EA53D7"/>
    <w:rsid w:val="00EA67EC"/>
    <w:rsid w:val="00EB175F"/>
    <w:rsid w:val="00EB2B6E"/>
    <w:rsid w:val="00EB4A01"/>
    <w:rsid w:val="00EB4A32"/>
    <w:rsid w:val="00EB5904"/>
    <w:rsid w:val="00EB67A1"/>
    <w:rsid w:val="00EB721F"/>
    <w:rsid w:val="00EC083F"/>
    <w:rsid w:val="00EC0CB2"/>
    <w:rsid w:val="00EC0D34"/>
    <w:rsid w:val="00EC20AA"/>
    <w:rsid w:val="00EC24EA"/>
    <w:rsid w:val="00EC2E95"/>
    <w:rsid w:val="00EC30F9"/>
    <w:rsid w:val="00EC4008"/>
    <w:rsid w:val="00EC572B"/>
    <w:rsid w:val="00EC6845"/>
    <w:rsid w:val="00EC737F"/>
    <w:rsid w:val="00ED0F90"/>
    <w:rsid w:val="00ED2DF3"/>
    <w:rsid w:val="00ED3E53"/>
    <w:rsid w:val="00ED4390"/>
    <w:rsid w:val="00ED510E"/>
    <w:rsid w:val="00ED5725"/>
    <w:rsid w:val="00ED5B70"/>
    <w:rsid w:val="00ED66CE"/>
    <w:rsid w:val="00ED7031"/>
    <w:rsid w:val="00EE107C"/>
    <w:rsid w:val="00EE1362"/>
    <w:rsid w:val="00EE26DE"/>
    <w:rsid w:val="00EE3060"/>
    <w:rsid w:val="00EE4315"/>
    <w:rsid w:val="00EE4FCC"/>
    <w:rsid w:val="00EE521A"/>
    <w:rsid w:val="00EE6405"/>
    <w:rsid w:val="00EE7519"/>
    <w:rsid w:val="00EF06D1"/>
    <w:rsid w:val="00EF0B7F"/>
    <w:rsid w:val="00EF13AE"/>
    <w:rsid w:val="00EF21B4"/>
    <w:rsid w:val="00EF2909"/>
    <w:rsid w:val="00EF2AC0"/>
    <w:rsid w:val="00EF3C8F"/>
    <w:rsid w:val="00EF3DC8"/>
    <w:rsid w:val="00EF4960"/>
    <w:rsid w:val="00EF6925"/>
    <w:rsid w:val="00F00CFF"/>
    <w:rsid w:val="00F02B06"/>
    <w:rsid w:val="00F04659"/>
    <w:rsid w:val="00F0470A"/>
    <w:rsid w:val="00F0708B"/>
    <w:rsid w:val="00F10760"/>
    <w:rsid w:val="00F10DC8"/>
    <w:rsid w:val="00F1138D"/>
    <w:rsid w:val="00F12118"/>
    <w:rsid w:val="00F12E40"/>
    <w:rsid w:val="00F150C5"/>
    <w:rsid w:val="00F17CD3"/>
    <w:rsid w:val="00F22155"/>
    <w:rsid w:val="00F23620"/>
    <w:rsid w:val="00F24106"/>
    <w:rsid w:val="00F25061"/>
    <w:rsid w:val="00F26128"/>
    <w:rsid w:val="00F26A6E"/>
    <w:rsid w:val="00F26ED3"/>
    <w:rsid w:val="00F31037"/>
    <w:rsid w:val="00F313DF"/>
    <w:rsid w:val="00F337B6"/>
    <w:rsid w:val="00F37C6E"/>
    <w:rsid w:val="00F40405"/>
    <w:rsid w:val="00F40A9E"/>
    <w:rsid w:val="00F423B5"/>
    <w:rsid w:val="00F42AE4"/>
    <w:rsid w:val="00F42F07"/>
    <w:rsid w:val="00F44FEC"/>
    <w:rsid w:val="00F45FE9"/>
    <w:rsid w:val="00F46D1E"/>
    <w:rsid w:val="00F47AC5"/>
    <w:rsid w:val="00F5035E"/>
    <w:rsid w:val="00F52877"/>
    <w:rsid w:val="00F5296C"/>
    <w:rsid w:val="00F53673"/>
    <w:rsid w:val="00F549D0"/>
    <w:rsid w:val="00F558F7"/>
    <w:rsid w:val="00F56BFD"/>
    <w:rsid w:val="00F578A4"/>
    <w:rsid w:val="00F62B7A"/>
    <w:rsid w:val="00F6397D"/>
    <w:rsid w:val="00F6617B"/>
    <w:rsid w:val="00F66FE9"/>
    <w:rsid w:val="00F67274"/>
    <w:rsid w:val="00F70748"/>
    <w:rsid w:val="00F7293E"/>
    <w:rsid w:val="00F73461"/>
    <w:rsid w:val="00F734F1"/>
    <w:rsid w:val="00F74811"/>
    <w:rsid w:val="00F76650"/>
    <w:rsid w:val="00F76F68"/>
    <w:rsid w:val="00F7740C"/>
    <w:rsid w:val="00F8022E"/>
    <w:rsid w:val="00F806D6"/>
    <w:rsid w:val="00F81A55"/>
    <w:rsid w:val="00F85BD5"/>
    <w:rsid w:val="00F860B3"/>
    <w:rsid w:val="00F9187B"/>
    <w:rsid w:val="00F92004"/>
    <w:rsid w:val="00F92385"/>
    <w:rsid w:val="00F9274E"/>
    <w:rsid w:val="00F931BB"/>
    <w:rsid w:val="00F93D11"/>
    <w:rsid w:val="00F96A0F"/>
    <w:rsid w:val="00F97092"/>
    <w:rsid w:val="00F9742D"/>
    <w:rsid w:val="00F97CEA"/>
    <w:rsid w:val="00FA1B4F"/>
    <w:rsid w:val="00FA2D2B"/>
    <w:rsid w:val="00FA640E"/>
    <w:rsid w:val="00FB1527"/>
    <w:rsid w:val="00FB1C11"/>
    <w:rsid w:val="00FB379D"/>
    <w:rsid w:val="00FB3CA9"/>
    <w:rsid w:val="00FB48A4"/>
    <w:rsid w:val="00FB61F8"/>
    <w:rsid w:val="00FB66C2"/>
    <w:rsid w:val="00FC12BE"/>
    <w:rsid w:val="00FC1F47"/>
    <w:rsid w:val="00FC2C2B"/>
    <w:rsid w:val="00FC2D1D"/>
    <w:rsid w:val="00FC47F9"/>
    <w:rsid w:val="00FC55E7"/>
    <w:rsid w:val="00FD1F59"/>
    <w:rsid w:val="00FD21E5"/>
    <w:rsid w:val="00FD25F3"/>
    <w:rsid w:val="00FD47DC"/>
    <w:rsid w:val="00FD5927"/>
    <w:rsid w:val="00FE03A8"/>
    <w:rsid w:val="00FE0576"/>
    <w:rsid w:val="00FE1397"/>
    <w:rsid w:val="00FE18A3"/>
    <w:rsid w:val="00FE2351"/>
    <w:rsid w:val="00FE3138"/>
    <w:rsid w:val="00FE337D"/>
    <w:rsid w:val="00FE468C"/>
    <w:rsid w:val="00FE5580"/>
    <w:rsid w:val="00FF110C"/>
    <w:rsid w:val="00FF3CE3"/>
    <w:rsid w:val="00FF5571"/>
    <w:rsid w:val="00FF5726"/>
    <w:rsid w:val="08FB13FF"/>
    <w:rsid w:val="0ABF49D0"/>
    <w:rsid w:val="0CC5B7D3"/>
    <w:rsid w:val="1C15EE44"/>
    <w:rsid w:val="2C21B14B"/>
    <w:rsid w:val="34BBD760"/>
    <w:rsid w:val="5B1DE9EB"/>
    <w:rsid w:val="62DCA710"/>
    <w:rsid w:val="77A8CF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70D79"/>
  <w15:chartTrackingRefBased/>
  <w15:docId w15:val="{AE144BC7-7ED6-4D08-9C1F-5C187D0BC76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6"/>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6"/>
      </w:numPr>
      <w:ind w:right="2160"/>
      <w:outlineLvl w:val="1"/>
    </w:pPr>
  </w:style>
  <w:style w:type="paragraph" w:styleId="Heading3">
    <w:name w:val="heading 3"/>
    <w:basedOn w:val="Dummy"/>
    <w:next w:val="Standard"/>
    <w:link w:val="Heading3Char"/>
    <w:uiPriority w:val="4"/>
    <w:qFormat/>
    <w:rsid w:val="000E270A"/>
    <w:pPr>
      <w:numPr>
        <w:ilvl w:val="2"/>
        <w:numId w:val="6"/>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6"/>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6"/>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6"/>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FE468C"/>
    <w:pPr>
      <w:spacing w:line="240" w:lineRule="auto"/>
      <w:jc w:val="center"/>
    </w:pPr>
    <w:rPr>
      <w:rFonts w:ascii="Book Antiqua" w:eastAsiaTheme="majorEastAsia" w:hAnsi="Book Antiqua"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D41F84"/>
    <w:pPr>
      <w:spacing w:line="240" w:lineRule="auto"/>
      <w:ind w:left="1123" w:right="720" w:hanging="648"/>
    </w:pPr>
    <w:rPr>
      <w:rFonts w:eastAsiaTheme="minorEastAsia" w:cs="Times New Roman"/>
    </w:rPr>
  </w:style>
  <w:style w:type="paragraph" w:styleId="TOC1">
    <w:name w:val="toc 1"/>
    <w:basedOn w:val="Normal"/>
    <w:next w:val="Normal"/>
    <w:uiPriority w:val="39"/>
    <w:unhideWhenUsed/>
    <w:rsid w:val="00D41F84"/>
    <w:pPr>
      <w:spacing w:line="240" w:lineRule="auto"/>
      <w:ind w:left="475" w:right="720" w:hanging="475"/>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1"/>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rsid w:val="0098138E"/>
    <w:pPr>
      <w:tabs>
        <w:tab w:val="center" w:pos="4680"/>
        <w:tab w:val="right" w:pos="9360"/>
      </w:tabs>
      <w:spacing w:line="240" w:lineRule="auto"/>
    </w:pPr>
  </w:style>
  <w:style w:type="character" w:customStyle="1" w:styleId="HeaderChar">
    <w:name w:val="Header Char"/>
    <w:basedOn w:val="DefaultParagraphFont"/>
    <w:link w:val="Header"/>
    <w:uiPriority w:val="99"/>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
    <w:basedOn w:val="Normal"/>
    <w:link w:val="FootnoteTextChar"/>
    <w:uiPriority w:val="99"/>
    <w:qFormat/>
    <w:rsid w:val="00B01F7E"/>
    <w:pPr>
      <w:spacing w:after="120" w:line="240" w:lineRule="auto"/>
      <w:ind w:firstLine="0"/>
    </w:pPr>
    <w:rPr>
      <w:sz w:val="22"/>
      <w:szCs w:val="20"/>
    </w:r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
    <w:basedOn w:val="DefaultParagraphFont"/>
    <w:link w:val="FootnoteText"/>
    <w:uiPriority w:val="99"/>
    <w:rsid w:val="007657C1"/>
    <w:rPr>
      <w:rFonts w:ascii="Book Antiqua" w:hAnsi="Book Antiqua"/>
      <w:szCs w:val="20"/>
    </w:rPr>
  </w:style>
  <w:style w:type="character" w:styleId="FootnoteReference">
    <w:name w:val="footnote reference"/>
    <w:aliases w:val="o,fr,o1,o2,o3,o4,o5,o6,o11,o21,o7"/>
    <w:basedOn w:val="DefaultParagraphFont"/>
    <w:uiPriority w:val="99"/>
    <w:unhideWhenUsed/>
    <w:rsid w:val="00DF58E7"/>
    <w:rPr>
      <w:vertAlign w:val="superscript"/>
    </w:rPr>
  </w:style>
  <w:style w:type="paragraph" w:customStyle="1" w:styleId="FoF">
    <w:name w:val="FoF"/>
    <w:basedOn w:val="Standard"/>
    <w:uiPriority w:val="6"/>
    <w:qFormat/>
    <w:rsid w:val="001E2A62"/>
    <w:pPr>
      <w:numPr>
        <w:numId w:val="9"/>
      </w:numPr>
    </w:pPr>
  </w:style>
  <w:style w:type="paragraph" w:customStyle="1" w:styleId="CoL">
    <w:name w:val="CoL"/>
    <w:basedOn w:val="Standard"/>
    <w:uiPriority w:val="7"/>
    <w:qFormat/>
    <w:rsid w:val="001E2A62"/>
    <w:pPr>
      <w:numPr>
        <w:numId w:val="2"/>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ind w:firstLine="0"/>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4"/>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6"/>
      </w:numPr>
      <w:spacing w:after="120" w:line="240" w:lineRule="auto"/>
    </w:pPr>
  </w:style>
  <w:style w:type="paragraph" w:styleId="ListBullet">
    <w:name w:val="List Bullet"/>
    <w:basedOn w:val="Standard"/>
    <w:uiPriority w:val="4"/>
    <w:qFormat/>
    <w:rsid w:val="001F2819"/>
    <w:pPr>
      <w:numPr>
        <w:numId w:val="5"/>
      </w:numPr>
      <w:spacing w:after="120" w:line="240" w:lineRule="auto"/>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6"/>
      </w:numPr>
      <w:spacing w:after="120" w:line="240" w:lineRule="auto"/>
    </w:pPr>
  </w:style>
  <w:style w:type="paragraph" w:styleId="Revision">
    <w:name w:val="Revision"/>
    <w:hidden/>
    <w:uiPriority w:val="99"/>
    <w:semiHidden/>
    <w:rsid w:val="007974A3"/>
    <w:pPr>
      <w:spacing w:after="0" w:line="240" w:lineRule="auto"/>
    </w:pPr>
    <w:rPr>
      <w:rFonts w:ascii="Book Antiqua" w:hAnsi="Book Antiqua"/>
      <w:sz w:val="26"/>
    </w:rPr>
  </w:style>
  <w:style w:type="paragraph" w:styleId="ListParagraph">
    <w:name w:val="List Paragraph"/>
    <w:basedOn w:val="Normal"/>
    <w:uiPriority w:val="34"/>
    <w:qFormat/>
    <w:rsid w:val="000E1E13"/>
    <w:pPr>
      <w:ind w:left="720"/>
      <w:contextualSpacing/>
    </w:pPr>
  </w:style>
  <w:style w:type="character" w:styleId="CommentReference">
    <w:name w:val="annotation reference"/>
    <w:basedOn w:val="DefaultParagraphFont"/>
    <w:uiPriority w:val="99"/>
    <w:semiHidden/>
    <w:unhideWhenUsed/>
    <w:rsid w:val="001646CA"/>
    <w:rPr>
      <w:sz w:val="16"/>
      <w:szCs w:val="16"/>
    </w:rPr>
  </w:style>
  <w:style w:type="paragraph" w:styleId="CommentText">
    <w:name w:val="annotation text"/>
    <w:basedOn w:val="Normal"/>
    <w:link w:val="CommentTextChar"/>
    <w:uiPriority w:val="99"/>
    <w:unhideWhenUsed/>
    <w:rsid w:val="001646CA"/>
    <w:pPr>
      <w:spacing w:line="240" w:lineRule="auto"/>
    </w:pPr>
    <w:rPr>
      <w:sz w:val="20"/>
      <w:szCs w:val="20"/>
    </w:rPr>
  </w:style>
  <w:style w:type="character" w:customStyle="1" w:styleId="CommentTextChar">
    <w:name w:val="Comment Text Char"/>
    <w:basedOn w:val="DefaultParagraphFont"/>
    <w:link w:val="CommentText"/>
    <w:uiPriority w:val="99"/>
    <w:rsid w:val="001646CA"/>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1646CA"/>
    <w:rPr>
      <w:b/>
      <w:bCs/>
    </w:rPr>
  </w:style>
  <w:style w:type="character" w:customStyle="1" w:styleId="CommentSubjectChar">
    <w:name w:val="Comment Subject Char"/>
    <w:basedOn w:val="CommentTextChar"/>
    <w:link w:val="CommentSubject"/>
    <w:uiPriority w:val="99"/>
    <w:semiHidden/>
    <w:rsid w:val="001646CA"/>
    <w:rPr>
      <w:rFonts w:ascii="Book Antiqua" w:hAnsi="Book Antiqua"/>
      <w:b/>
      <w:bCs/>
      <w:sz w:val="20"/>
      <w:szCs w:val="20"/>
    </w:rPr>
  </w:style>
  <w:style w:type="table" w:customStyle="1" w:styleId="GridTable4-Accent61">
    <w:name w:val="Grid Table 4 - Accent 61"/>
    <w:basedOn w:val="TableNormal"/>
    <w:uiPriority w:val="49"/>
    <w:rsid w:val="00F8022E"/>
    <w:pPr>
      <w:spacing w:after="0" w:line="240" w:lineRule="auto"/>
    </w:pPr>
    <w:rPr>
      <w:rFonts w:ascii="Century Gothic" w:hAnsi="Century Gothic" w:cstheme="majorBidi"/>
      <w:color w:val="44546A" w:themeColor="text2"/>
      <w:kern w:val="24"/>
      <w:sz w:val="20"/>
      <w:szCs w:val="20"/>
      <w:lang w:eastAsia="ja-JP"/>
      <w14:ligatures w14:val="standardContextual"/>
    </w:rPr>
    <w:tblPr>
      <w:tblStyleRowBandSize w:val="1"/>
      <w:tblStyleColBandSize w:val="1"/>
    </w:tblPr>
    <w:tcPr>
      <w:shd w:val="clear" w:color="auto" w:fill="E2EFD9" w:themeFill="accent6" w:themeFillTint="33"/>
    </w:tc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style>
  <w:style w:type="paragraph" w:styleId="Caption">
    <w:name w:val="caption"/>
    <w:basedOn w:val="Normal"/>
    <w:next w:val="Normal"/>
    <w:uiPriority w:val="35"/>
    <w:unhideWhenUsed/>
    <w:qFormat/>
    <w:rsid w:val="00825EEE"/>
    <w:pPr>
      <w:keepNext/>
      <w:spacing w:after="120" w:line="240" w:lineRule="auto"/>
      <w:ind w:firstLine="0"/>
    </w:pPr>
    <w:rPr>
      <w:rFonts w:cs="Times New Roman (Headings CS)"/>
      <w:iCs/>
      <w:noProof/>
      <w:kern w:val="24"/>
      <w:szCs w:val="18"/>
      <w14:ligatures w14:val="standardContextual"/>
    </w:rPr>
  </w:style>
  <w:style w:type="character" w:styleId="UnresolvedMention">
    <w:name w:val="Unresolved Mention"/>
    <w:basedOn w:val="DefaultParagraphFont"/>
    <w:uiPriority w:val="99"/>
    <w:semiHidden/>
    <w:unhideWhenUsed/>
    <w:rsid w:val="00174461"/>
    <w:rPr>
      <w:color w:val="605E5C"/>
      <w:shd w:val="clear" w:color="auto" w:fill="E1DFDD"/>
    </w:rPr>
  </w:style>
  <w:style w:type="character" w:styleId="Mention">
    <w:name w:val="Mention"/>
    <w:basedOn w:val="DefaultParagraphFont"/>
    <w:uiPriority w:val="99"/>
    <w:unhideWhenUsed/>
    <w:rsid w:val="00F46D1E"/>
    <w:rPr>
      <w:color w:val="2B579A"/>
      <w:shd w:val="clear" w:color="auto" w:fill="E1DFDD"/>
    </w:rPr>
  </w:style>
  <w:style w:type="paragraph" w:customStyle="1" w:styleId="BoxCheck1">
    <w:name w:val="Box&amp;Check1"/>
    <w:basedOn w:val="Normal"/>
    <w:qFormat/>
    <w:rsid w:val="00C616FB"/>
    <w:pPr>
      <w:spacing w:line="240" w:lineRule="exact"/>
      <w:ind w:left="288" w:hanging="288"/>
    </w:pPr>
    <w:rPr>
      <w:rFonts w:ascii="Times New Roman" w:hAnsi="Times New Roman"/>
      <w:sz w:val="24"/>
    </w:rPr>
  </w:style>
  <w:style w:type="paragraph" w:customStyle="1" w:styleId="BlockQuoteBullet1">
    <w:name w:val="BlockQuoteBullet1"/>
    <w:basedOn w:val="Normal"/>
    <w:qFormat/>
    <w:rsid w:val="00026392"/>
    <w:pPr>
      <w:spacing w:after="120" w:line="240" w:lineRule="auto"/>
      <w:ind w:left="1080" w:right="1440" w:hanging="360"/>
    </w:pPr>
  </w:style>
  <w:style w:type="paragraph" w:customStyle="1" w:styleId="BlockQuote0">
    <w:name w:val="BlockQuote"/>
    <w:basedOn w:val="Normal"/>
    <w:qFormat/>
    <w:rsid w:val="003A2249"/>
    <w:pPr>
      <w:spacing w:after="120" w:line="240" w:lineRule="auto"/>
      <w:ind w:left="720" w:right="1440" w:firstLine="0"/>
    </w:pPr>
  </w:style>
  <w:style w:type="paragraph" w:customStyle="1" w:styleId="Section">
    <w:name w:val="Section"/>
    <w:basedOn w:val="Standard"/>
    <w:rsid w:val="00AF1116"/>
    <w:pPr>
      <w:keepNext/>
    </w:pPr>
    <w:rPr>
      <w:b/>
      <w:bCs/>
      <w:u w:val="single"/>
    </w:rPr>
  </w:style>
  <w:style w:type="paragraph" w:customStyle="1" w:styleId="BlockQuoteH025">
    <w:name w:val="BlockQuoteH025"/>
    <w:basedOn w:val="Normal"/>
    <w:qFormat/>
    <w:rsid w:val="00AF1116"/>
    <w:pPr>
      <w:spacing w:after="120" w:line="240" w:lineRule="auto"/>
      <w:ind w:left="1080" w:right="1440" w:hanging="360"/>
    </w:pPr>
  </w:style>
  <w:style w:type="paragraph" w:customStyle="1" w:styleId="StandardTableSub">
    <w:name w:val="StandardTableSub"/>
    <w:basedOn w:val="Standard"/>
    <w:rsid w:val="00AF1116"/>
    <w:pPr>
      <w:spacing w:before="180"/>
    </w:pPr>
  </w:style>
  <w:style w:type="paragraph" w:customStyle="1" w:styleId="BlockQuoteH033">
    <w:name w:val="BlockQuoteH033"/>
    <w:basedOn w:val="BlockQuote0"/>
    <w:qFormat/>
    <w:rsid w:val="00065DA8"/>
    <w:pPr>
      <w:ind w:left="1195" w:hanging="475"/>
    </w:pPr>
  </w:style>
  <w:style w:type="paragraph" w:customStyle="1" w:styleId="Question">
    <w:name w:val="Question"/>
    <w:basedOn w:val="ListParagraph"/>
    <w:rsid w:val="001822F7"/>
    <w:pPr>
      <w:numPr>
        <w:numId w:val="8"/>
      </w:numPr>
      <w:spacing w:after="180" w:line="240" w:lineRule="auto"/>
      <w:contextualSpacing w:val="0"/>
    </w:pPr>
  </w:style>
  <w:style w:type="paragraph" w:customStyle="1" w:styleId="QuestionSection">
    <w:name w:val="QuestionSection"/>
    <w:basedOn w:val="Normal"/>
    <w:rsid w:val="001822F7"/>
    <w:pPr>
      <w:keepNext/>
      <w:spacing w:after="180" w:line="240" w:lineRule="auto"/>
      <w:ind w:firstLine="0"/>
    </w:pPr>
    <w:rPr>
      <w:b/>
      <w:bCs/>
    </w:rPr>
  </w:style>
  <w:style w:type="paragraph" w:customStyle="1" w:styleId="TableTitleBody">
    <w:name w:val="TableTitleBody"/>
    <w:basedOn w:val="Normal"/>
    <w:qFormat/>
    <w:rsid w:val="00EC20AA"/>
    <w:pPr>
      <w:keepNext/>
      <w:spacing w:after="120" w:line="240" w:lineRule="auto"/>
      <w:ind w:firstLine="0"/>
      <w:jc w:val="center"/>
    </w:pPr>
    <w:rPr>
      <w:b/>
      <w:bCs/>
    </w:rPr>
  </w:style>
  <w:style w:type="character" w:styleId="FollowedHyperlink">
    <w:name w:val="FollowedHyperlink"/>
    <w:basedOn w:val="DefaultParagraphFont"/>
    <w:uiPriority w:val="99"/>
    <w:semiHidden/>
    <w:unhideWhenUsed/>
    <w:rsid w:val="0048575D"/>
    <w:rPr>
      <w:color w:val="954F72" w:themeColor="followedHyperlink"/>
      <w:u w:val="single"/>
    </w:rPr>
  </w:style>
  <w:style w:type="paragraph" w:customStyle="1" w:styleId="df3vjf">
    <w:name w:val="df3vjf"/>
    <w:basedOn w:val="Normal"/>
    <w:rsid w:val="00261831"/>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customStyle="1" w:styleId="t286pc">
    <w:name w:val="t286pc"/>
    <w:basedOn w:val="DefaultParagraphFont"/>
    <w:rsid w:val="00261831"/>
  </w:style>
  <w:style w:type="paragraph" w:customStyle="1" w:styleId="SigBlockBA-Cmr">
    <w:name w:val="SigBlockBA-Cmr"/>
    <w:basedOn w:val="Normal"/>
    <w:qFormat/>
    <w:rsid w:val="00F45FE9"/>
    <w:pPr>
      <w:keepNext/>
      <w:autoSpaceDE w:val="0"/>
      <w:autoSpaceDN w:val="0"/>
      <w:adjustRightInd w:val="0"/>
      <w:spacing w:line="240" w:lineRule="auto"/>
      <w:ind w:left="4320" w:firstLine="0"/>
    </w:pPr>
    <w:rPr>
      <w:rFonts w:eastAsia="Times New Roman" w:cs="Times New Roman"/>
      <w:szCs w:val="20"/>
    </w:rPr>
  </w:style>
  <w:style w:type="paragraph" w:customStyle="1" w:styleId="SigBlockBA-Title">
    <w:name w:val="SigBlockBA-Title"/>
    <w:basedOn w:val="Normal"/>
    <w:qFormat/>
    <w:rsid w:val="00F45FE9"/>
    <w:pPr>
      <w:keepNext/>
      <w:autoSpaceDE w:val="0"/>
      <w:autoSpaceDN w:val="0"/>
      <w:adjustRightInd w:val="0"/>
      <w:spacing w:line="240" w:lineRule="auto"/>
      <w:ind w:left="5400" w:firstLine="0"/>
    </w:pPr>
    <w:rPr>
      <w:rFonts w:eastAsia="Times New Roman" w:cs="Times New Roman"/>
      <w:szCs w:val="20"/>
    </w:rPr>
  </w:style>
  <w:style w:type="paragraph" w:customStyle="1" w:styleId="SigSpaceBA">
    <w:name w:val="SigSpaceBA"/>
    <w:basedOn w:val="Normal"/>
    <w:qFormat/>
    <w:rsid w:val="00F45FE9"/>
    <w:pPr>
      <w:keepNext/>
      <w:autoSpaceDE w:val="0"/>
      <w:autoSpaceDN w:val="0"/>
      <w:adjustRightInd w:val="0"/>
      <w:ind w:left="4320" w:firstLine="0"/>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process_office@cpuc.ca.go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puc.ca.gov/about-cpuc/divisions/news-and-public-information-office/public-advisors-office%20"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cs.cpuc.ca.gov/otcsdav/nodes/602258007/Process_Office%40cpuc.ca.gov"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mailto:process_office@cpuc.c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ubscribecpuc.cpuc.c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public.advisor@cpuc.ca.gov"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puc.ca.gov/-/media/cpuc-website/divisions/office-of-governmental-affairs-division/reports/2025/2025-sb-695-report_093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0c2bee6-72d2-4c4b-bbf2-19a975248824">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ef7e321c-44a6-4cb5-81f0-0bfd95ece253">
      <Terms xmlns="http://schemas.microsoft.com/office/infopath/2007/PartnerControls"/>
    </lcf76f155ced4ddcb4097134ff3c332f>
    <TaxCatchAll xmlns="40c2bee6-72d2-4c4b-bbf2-19a975248824" xsi:nil="true"/>
    <ContentTagLIst xmlns="ef7e321c-44a6-4cb5-81f0-0bfd95ece2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6" ma:contentTypeDescription="Create a new document." ma:contentTypeScope="" ma:versionID="eea420ac1ba3dcd00acdf10f671c25ee">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654a2f02f20c70d75825c1ed89053b75"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40c2bee6-72d2-4c4b-bbf2-19a975248824"/>
    <ds:schemaRef ds:uri="ef7e321c-44a6-4cb5-81f0-0bfd95ece253"/>
  </ds:schemaRefs>
</ds:datastoreItem>
</file>

<file path=customXml/itemProps2.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3.xml><?xml version="1.0" encoding="utf-8"?>
<ds:datastoreItem xmlns:ds="http://schemas.openxmlformats.org/officeDocument/2006/customXml" ds:itemID="{62079FFE-0A8C-409C-9D2A-DF55C286F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30</ap:Pages>
  <ap:Words>6449</ap:Words>
  <ap:Characters>36762</ap:Characters>
  <ap:Application>Microsoft Office Word</ap:Application>
  <ap:DocSecurity>0</ap:DocSecurity>
  <ap:Lines>306</ap:Lines>
  <ap:Paragraphs>86</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43125</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2026-05-06T08:09:07Z</dcterms:created>
  <dcterms:modified xsi:type="dcterms:W3CDTF">2026-05-06T08:09:07Z</dcterms:modified>
</cp:coreProperties>
</file>