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421" w:rsidP="007F1AF0" w:rsidRDefault="00013188" w14:paraId="1AAC9CBE" w14:textId="404918F2">
      <w:pPr>
        <w:spacing w:line="240" w:lineRule="auto"/>
        <w:ind w:firstLine="0"/>
      </w:pPr>
      <w:r w:rsidRPr="00013188">
        <w:t>ALJ/ZK1/abb</w:t>
      </w:r>
      <w:r w:rsidR="007F1AF0">
        <w:tab/>
      </w:r>
      <w:r w:rsidR="007F1AF0">
        <w:tab/>
        <w:t xml:space="preserve"> </w:t>
      </w:r>
      <w:r w:rsidR="00DA7B5D">
        <w:rPr>
          <w:rFonts w:ascii="Arial" w:hAnsi="Arial" w:cs="Arial"/>
          <w:b/>
          <w:sz w:val="32"/>
          <w:szCs w:val="32"/>
        </w:rPr>
        <w:t>PROPOSED DECISION</w:t>
      </w:r>
      <w:r w:rsidR="00DA7B5D">
        <w:tab/>
      </w:r>
      <w:r w:rsidR="007F1AF0">
        <w:t xml:space="preserve">  </w:t>
      </w:r>
      <w:r w:rsidRPr="00EE4315" w:rsidR="00DA7B5D">
        <w:rPr>
          <w:b/>
        </w:rPr>
        <w:t>Agenda ID #</w:t>
      </w:r>
      <w:r w:rsidRPr="008119B1" w:rsidR="008119B1">
        <w:rPr>
          <w:b/>
        </w:rPr>
        <w:t>24144</w:t>
      </w:r>
      <w:r w:rsidR="007F1AF0">
        <w:rPr>
          <w:b/>
        </w:rPr>
        <w:t xml:space="preserve"> (Rev. 1)</w:t>
      </w:r>
    </w:p>
    <w:p w:rsidR="00DA7B5D" w:rsidP="00632207" w:rsidRDefault="00013188" w14:paraId="6B05D2BA" w14:textId="304914D6">
      <w:pPr>
        <w:spacing w:line="240" w:lineRule="auto"/>
        <w:jc w:val="right"/>
        <w:rPr>
          <w:b/>
        </w:rPr>
      </w:pPr>
      <w:r>
        <w:rPr>
          <w:b/>
        </w:rPr>
        <w:t>Ratesetting</w:t>
      </w:r>
    </w:p>
    <w:p w:rsidRPr="009F4E51" w:rsidR="009F4E51" w:rsidP="00632207" w:rsidRDefault="009F4E51" w14:paraId="5673D902" w14:textId="260A861C">
      <w:pPr>
        <w:spacing w:line="240" w:lineRule="auto"/>
        <w:jc w:val="right"/>
        <w:rPr>
          <w:b/>
          <w:bCs/>
        </w:rPr>
      </w:pPr>
      <w:r w:rsidRPr="009F4E51">
        <w:rPr>
          <w:b/>
          <w:bCs/>
        </w:rPr>
        <w:t>5/14/2026 Item #17</w:t>
      </w:r>
    </w:p>
    <w:p w:rsidR="00013188" w:rsidP="0098655A" w:rsidRDefault="00013188" w14:paraId="6E1C5D11" w14:textId="77777777">
      <w:pPr>
        <w:ind w:left="1080" w:hanging="1080"/>
      </w:pPr>
    </w:p>
    <w:p w:rsidRPr="00EA653A" w:rsidR="00DA7B5D" w:rsidP="00013188" w:rsidRDefault="00DA7B5D" w14:paraId="71FD365B" w14:textId="2AADB77B">
      <w:pPr>
        <w:spacing w:line="240" w:lineRule="auto"/>
        <w:ind w:left="1080" w:hanging="1080"/>
        <w:rPr>
          <w:b/>
          <w:bCs/>
        </w:rPr>
      </w:pPr>
      <w:r>
        <w:t>Decision</w:t>
      </w:r>
      <w:r w:rsidR="00EA653A">
        <w:t>: </w:t>
      </w:r>
      <w:r w:rsidRPr="00EA653A" w:rsidR="00EA653A">
        <w:rPr>
          <w:b/>
          <w:bCs/>
          <w:u w:val="single"/>
        </w:rPr>
        <w:t>PROPOSED DECISION OF ADMINISTRATIVE LAW JUDGE ZITA</w:t>
      </w:r>
      <w:r w:rsidR="009F4E51">
        <w:rPr>
          <w:b/>
          <w:bCs/>
          <w:u w:val="single"/>
        </w:rPr>
        <w:t> </w:t>
      </w:r>
      <w:r w:rsidRPr="00EA653A" w:rsidR="00EA653A">
        <w:rPr>
          <w:b/>
          <w:bCs/>
          <w:u w:val="single"/>
        </w:rPr>
        <w:t>KLINE</w:t>
      </w:r>
      <w:r w:rsidR="00EA653A">
        <w:rPr>
          <w:b/>
          <w:bCs/>
        </w:rPr>
        <w:t xml:space="preserve"> (Mailed 4/</w:t>
      </w:r>
      <w:r w:rsidR="00D470A2">
        <w:rPr>
          <w:b/>
          <w:bCs/>
        </w:rPr>
        <w:t>10</w:t>
      </w:r>
      <w:r w:rsidR="00EA653A">
        <w:rPr>
          <w:b/>
          <w:bCs/>
        </w:rPr>
        <w:t>/2026)</w:t>
      </w:r>
    </w:p>
    <w:p w:rsidR="00013188" w:rsidP="00013188" w:rsidRDefault="00013188" w14:paraId="21CEA0EE" w14:textId="77777777">
      <w:pPr>
        <w:spacing w:line="240" w:lineRule="auto"/>
        <w:ind w:left="1080" w:hanging="1080"/>
      </w:pPr>
    </w:p>
    <w:p w:rsidRPr="00013188" w:rsidR="00013188" w:rsidP="00013188" w:rsidRDefault="00013188" w14:paraId="22732046" w14:textId="77777777">
      <w:pPr>
        <w:spacing w:line="240" w:lineRule="auto"/>
        <w:ind w:left="1080" w:hanging="1080"/>
      </w:pPr>
    </w:p>
    <w:p w:rsidR="00DA7B5D" w:rsidP="00BB0243" w:rsidRDefault="00DA7B5D" w14:paraId="1A1B31AE"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204D93FD" w14:textId="77777777">
      <w:pPr>
        <w:spacing w:line="240" w:lineRule="auto"/>
        <w:ind w:firstLine="0"/>
        <w:rPr>
          <w:rFonts w:ascii="Arial" w:hAnsi="Arial" w:cs="Arial"/>
          <w:sz w:val="24"/>
          <w:szCs w:val="24"/>
        </w:rPr>
      </w:pPr>
    </w:p>
    <w:p w:rsidR="00013188" w:rsidP="008F0116" w:rsidRDefault="00013188" w14:paraId="758D5331"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5490"/>
        <w:gridCol w:w="3870"/>
      </w:tblGrid>
      <w:tr w:rsidR="00DA7B5D" w:rsidTr="00013188" w14:paraId="1A53DEDA" w14:textId="77777777">
        <w:trPr>
          <w:jc w:val="center"/>
        </w:trPr>
        <w:tc>
          <w:tcPr>
            <w:tcW w:w="5490" w:type="dxa"/>
            <w:tcBorders>
              <w:top w:val="nil"/>
              <w:left w:val="nil"/>
              <w:bottom w:val="single" w:color="auto" w:sz="4" w:space="0"/>
              <w:right w:val="single" w:color="auto" w:sz="4" w:space="0"/>
            </w:tcBorders>
          </w:tcPr>
          <w:p w:rsidRPr="00DA7B5D" w:rsidR="00DA7B5D" w:rsidP="00C10B5F" w:rsidRDefault="00683B76" w14:paraId="5B331817" w14:textId="494B0B65">
            <w:pPr>
              <w:spacing w:line="240" w:lineRule="auto"/>
              <w:ind w:firstLine="0"/>
              <w:rPr>
                <w:rFonts w:cs="Arial"/>
                <w:szCs w:val="26"/>
              </w:rPr>
            </w:pPr>
            <w:r w:rsidRPr="00683B76">
              <w:rPr>
                <w:rFonts w:cs="Arial"/>
                <w:szCs w:val="26"/>
              </w:rPr>
              <w:t>Order Instituting Rulemaking To Continue Implementation and Administration, and Consider Further Development, of California Renewables Portfolio Standard Program</w:t>
            </w:r>
            <w:r w:rsidRPr="00DA7B5D" w:rsidR="00DA7B5D">
              <w:rPr>
                <w:rFonts w:cs="Arial"/>
                <w:szCs w:val="26"/>
              </w:rPr>
              <w:br/>
            </w:r>
          </w:p>
        </w:tc>
        <w:tc>
          <w:tcPr>
            <w:tcW w:w="3870" w:type="dxa"/>
            <w:tcBorders>
              <w:top w:val="nil"/>
              <w:left w:val="single" w:color="auto" w:sz="4" w:space="0"/>
              <w:bottom w:val="nil"/>
              <w:right w:val="nil"/>
            </w:tcBorders>
            <w:vAlign w:val="center"/>
          </w:tcPr>
          <w:p w:rsidRPr="00DA7B5D" w:rsidR="00DA7B5D" w:rsidP="00412C83" w:rsidRDefault="00683B76" w14:paraId="523019A0" w14:textId="7C9A1209">
            <w:pPr>
              <w:spacing w:line="240" w:lineRule="auto"/>
              <w:ind w:firstLine="0"/>
              <w:jc w:val="center"/>
              <w:rPr>
                <w:rFonts w:cs="Arial"/>
                <w:szCs w:val="26"/>
              </w:rPr>
            </w:pPr>
            <w:r>
              <w:rPr>
                <w:rFonts w:cs="Arial"/>
                <w:szCs w:val="26"/>
              </w:rPr>
              <w:t>Rulemaking</w:t>
            </w:r>
            <w:r w:rsidR="00BA2776">
              <w:rPr>
                <w:rFonts w:cs="Arial"/>
                <w:szCs w:val="26"/>
              </w:rPr>
              <w:t> </w:t>
            </w:r>
            <w:r>
              <w:rPr>
                <w:rFonts w:cs="Arial"/>
                <w:szCs w:val="26"/>
              </w:rPr>
              <w:t>18-07-003</w:t>
            </w:r>
          </w:p>
        </w:tc>
      </w:tr>
    </w:tbl>
    <w:p w:rsidR="00DA7B5D" w:rsidP="008F0116" w:rsidRDefault="00DA7B5D" w14:paraId="1E990EDD" w14:textId="77777777">
      <w:pPr>
        <w:spacing w:line="240" w:lineRule="auto"/>
        <w:ind w:firstLine="0"/>
        <w:rPr>
          <w:rFonts w:ascii="Arial" w:hAnsi="Arial" w:cs="Arial"/>
          <w:sz w:val="24"/>
          <w:szCs w:val="24"/>
        </w:rPr>
      </w:pPr>
    </w:p>
    <w:p w:rsidR="00DA7B5D" w:rsidP="008F0116" w:rsidRDefault="00DA7B5D" w14:paraId="70DBFA91" w14:textId="77777777">
      <w:pPr>
        <w:spacing w:line="240" w:lineRule="auto"/>
        <w:ind w:firstLine="0"/>
        <w:rPr>
          <w:rFonts w:ascii="Arial" w:hAnsi="Arial" w:cs="Arial"/>
          <w:sz w:val="24"/>
          <w:szCs w:val="24"/>
        </w:rPr>
      </w:pPr>
    </w:p>
    <w:p w:rsidR="0098655A" w:rsidP="00013188" w:rsidRDefault="00683B76" w14:paraId="4843510F" w14:textId="01C1A8F3">
      <w:pPr>
        <w:pStyle w:val="Main"/>
        <w:spacing w:line="360" w:lineRule="auto"/>
      </w:pPr>
      <w:r w:rsidRPr="00683B76">
        <w:t>DECISION DENYING PETITION TO MODIFY DECISION 20-08-043</w:t>
      </w:r>
    </w:p>
    <w:p w:rsidR="005A148C" w:rsidP="00013188" w:rsidRDefault="005A148C" w14:paraId="598982D7" w14:textId="77777777">
      <w:pPr>
        <w:pStyle w:val="Dummy"/>
        <w:spacing w:after="0" w:line="360" w:lineRule="auto"/>
      </w:pPr>
      <w:bookmarkStart w:name="_Toc8123714" w:id="0"/>
      <w:bookmarkStart w:name="_Toc224213593" w:id="1"/>
      <w:r>
        <w:t>Summary</w:t>
      </w:r>
      <w:bookmarkEnd w:id="0"/>
      <w:bookmarkEnd w:id="1"/>
    </w:p>
    <w:p w:rsidR="00683B76" w:rsidP="00683B76" w:rsidRDefault="00683B76" w14:paraId="45EA14B1" w14:textId="563AB413">
      <w:pPr>
        <w:pStyle w:val="Standard"/>
      </w:pPr>
      <w:r>
        <w:t>This decision denies the March 6, 2025, petition to modify Decision (D.)</w:t>
      </w:r>
      <w:r w:rsidR="00013188">
        <w:t> </w:t>
      </w:r>
      <w:r>
        <w:t>20</w:t>
      </w:r>
      <w:r w:rsidR="00013188">
        <w:noBreakHyphen/>
      </w:r>
      <w:r>
        <w:t xml:space="preserve">08-043, filed by the Bioenergy Association of California, </w:t>
      </w:r>
      <w:r w:rsidR="000E399B">
        <w:t>on procedural grounds.</w:t>
      </w:r>
    </w:p>
    <w:p w:rsidR="00DC35CB" w:rsidP="00E65F19" w:rsidRDefault="000E399B" w14:paraId="601BFB30" w14:textId="537AA80D">
      <w:pPr>
        <w:pStyle w:val="Standard"/>
      </w:pPr>
      <w:r>
        <w:t xml:space="preserve">The petition seeks to </w:t>
      </w:r>
      <w:r w:rsidRPr="000E399B">
        <w:t>extend or remove the end date of the Bioenergy Market Adjusting Tariff (BioMAT) and propos</w:t>
      </w:r>
      <w:r>
        <w:t>e</w:t>
      </w:r>
      <w:r w:rsidR="00284840">
        <w:t>s</w:t>
      </w:r>
      <w:r>
        <w:t xml:space="preserve"> </w:t>
      </w:r>
      <w:r w:rsidRPr="000E399B">
        <w:t>other programmatic changes</w:t>
      </w:r>
      <w:r>
        <w:t>.</w:t>
      </w:r>
      <w:r w:rsidRPr="00E65F19" w:rsidR="00E65F19">
        <w:t xml:space="preserve"> </w:t>
      </w:r>
      <w:r w:rsidR="00E65F19">
        <w:t>The petition fails to meet the requirements of Rule 16.4 of the California Public Utilities Commission’s Rules of Practice and Procedure</w:t>
      </w:r>
      <w:r w:rsidR="004B082F">
        <w:t xml:space="preserve"> </w:t>
      </w:r>
      <w:r w:rsidR="00E65F19">
        <w:t>because these</w:t>
      </w:r>
      <w:r w:rsidR="004B082F">
        <w:t xml:space="preserve"> </w:t>
      </w:r>
      <w:r w:rsidR="00E65F19">
        <w:t>modifications could have been sought within one year of the issuance of D.20</w:t>
      </w:r>
      <w:r w:rsidR="00013188">
        <w:noBreakHyphen/>
      </w:r>
      <w:r w:rsidR="00E65F19">
        <w:t>08</w:t>
      </w:r>
      <w:r w:rsidR="00013188">
        <w:noBreakHyphen/>
      </w:r>
      <w:r w:rsidR="00E65F19">
        <w:t>043.</w:t>
      </w:r>
    </w:p>
    <w:p w:rsidR="000E399B" w:rsidP="00E65F19" w:rsidRDefault="00672588" w14:paraId="07889177" w14:textId="5D0D3B20">
      <w:pPr>
        <w:pStyle w:val="Standard"/>
      </w:pPr>
      <w:r>
        <w:t xml:space="preserve">Pursuant to </w:t>
      </w:r>
      <w:r w:rsidRPr="00672588">
        <w:t>D.20-08-043</w:t>
      </w:r>
      <w:r>
        <w:t>, the BioMAT ended on December 31, 2025.</w:t>
      </w:r>
    </w:p>
    <w:p w:rsidR="0073353F" w:rsidP="00683B76" w:rsidRDefault="00683B76" w14:paraId="160E41B9" w14:textId="48BAA461">
      <w:pPr>
        <w:pStyle w:val="Standard"/>
      </w:pPr>
      <w:r>
        <w:t>This proceeding is closed</w:t>
      </w:r>
      <w:r w:rsidR="0073353F">
        <w:t>.</w:t>
      </w:r>
    </w:p>
    <w:p w:rsidRPr="00121089" w:rsidR="005A148C" w:rsidP="00A55ACD" w:rsidRDefault="002C7FE9" w14:paraId="3BFC044A" w14:textId="3FCDDF78">
      <w:pPr>
        <w:pStyle w:val="Heading1"/>
        <w:numPr>
          <w:ilvl w:val="0"/>
          <w:numId w:val="1"/>
        </w:numPr>
      </w:pPr>
      <w:bookmarkStart w:name="_Toc8123715" w:id="2"/>
      <w:bookmarkStart w:name="_Toc224213594" w:id="3"/>
      <w:r w:rsidRPr="00121089">
        <w:lastRenderedPageBreak/>
        <w:t>Background</w:t>
      </w:r>
      <w:bookmarkEnd w:id="2"/>
      <w:bookmarkEnd w:id="3"/>
    </w:p>
    <w:p w:rsidR="002C7FE9" w:rsidP="006E6574" w:rsidRDefault="00351134" w14:paraId="4E3D598F" w14:textId="512CEAEB">
      <w:pPr>
        <w:pStyle w:val="Standard"/>
      </w:pPr>
      <w:r w:rsidRPr="00351134">
        <w:t>Section 1.1 provides an overview of the Bioenergy Market Adjusting Tariff (BioMAT) program and Section 1.2 provides the procedural background</w:t>
      </w:r>
    </w:p>
    <w:p w:rsidR="0063491C" w:rsidP="00351134" w:rsidRDefault="00351134" w14:paraId="2B70956C" w14:textId="7C3ED751">
      <w:pPr>
        <w:pStyle w:val="Heading2"/>
      </w:pPr>
      <w:bookmarkStart w:name="_Toc224213595" w:id="4"/>
      <w:r>
        <w:t>BioMAT Program Overview</w:t>
      </w:r>
      <w:bookmarkEnd w:id="4"/>
    </w:p>
    <w:p w:rsidRPr="00351134" w:rsidR="00351134" w:rsidP="00351134" w:rsidRDefault="00351134" w14:paraId="52E30683" w14:textId="17293634">
      <w:pPr>
        <w:rPr>
          <w:rFonts w:eastAsia="Calibri" w:cs="Times New Roman"/>
        </w:rPr>
      </w:pPr>
      <w:r w:rsidRPr="00351134">
        <w:rPr>
          <w:rFonts w:eastAsia="Calibri" w:cs="Times New Roman"/>
        </w:rPr>
        <w:t xml:space="preserve">The Feed-in Tariff (FiT) program is a policy mechanism designed to accelerate investment in small, distributed renewable energy technologies via contracts with terms of 10 years or longer and price certainty. </w:t>
      </w:r>
      <w:r w:rsidR="000B5ADF">
        <w:rPr>
          <w:rFonts w:eastAsia="Calibri" w:cs="Times New Roman"/>
        </w:rPr>
        <w:t xml:space="preserve"> </w:t>
      </w:r>
      <w:r w:rsidRPr="00351134">
        <w:rPr>
          <w:rFonts w:eastAsia="Calibri" w:cs="Times New Roman"/>
        </w:rPr>
        <w:t>The investor</w:t>
      </w:r>
      <w:r w:rsidR="000B5ADF">
        <w:rPr>
          <w:rFonts w:eastAsia="Calibri" w:cs="Times New Roman"/>
        </w:rPr>
        <w:noBreakHyphen/>
      </w:r>
      <w:r w:rsidRPr="00351134">
        <w:rPr>
          <w:rFonts w:eastAsia="Calibri" w:cs="Times New Roman"/>
        </w:rPr>
        <w:t>owned utilities (IOUs) are required to procure renewable energy through mandated feed-in tariff programs to meet additional policy goals.</w:t>
      </w:r>
    </w:p>
    <w:p w:rsidRPr="00351134" w:rsidR="00351134" w:rsidP="00351134" w:rsidRDefault="00351134" w14:paraId="6A7DB3EB" w14:textId="4BBE5195">
      <w:pPr>
        <w:rPr>
          <w:rFonts w:eastAsia="Calibri" w:cs="Times New Roman"/>
        </w:rPr>
      </w:pPr>
      <w:r w:rsidRPr="00351134">
        <w:rPr>
          <w:rFonts w:eastAsia="Calibri" w:cs="Times New Roman"/>
        </w:rPr>
        <w:t xml:space="preserve">The BioMAT is a FiT program for small bioenergy renewable generators established by Senate Bill (SB) 1122 (Rubio, Chapter 612, Statutes of 2012) and launched by the IOUs in 2016. </w:t>
      </w:r>
      <w:r w:rsidR="000B5ADF">
        <w:rPr>
          <w:rFonts w:eastAsia="Calibri" w:cs="Times New Roman"/>
        </w:rPr>
        <w:t xml:space="preserve"> </w:t>
      </w:r>
      <w:r w:rsidRPr="00351134">
        <w:rPr>
          <w:rFonts w:eastAsia="Calibri" w:cs="Times New Roman"/>
        </w:rPr>
        <w:t>SB 1122 required 250 megawatts (MW) of small</w:t>
      </w:r>
      <w:r w:rsidR="000B5ADF">
        <w:rPr>
          <w:rFonts w:eastAsia="Calibri" w:cs="Times New Roman"/>
        </w:rPr>
        <w:noBreakHyphen/>
      </w:r>
      <w:r w:rsidRPr="00351134">
        <w:rPr>
          <w:rFonts w:eastAsia="Calibri" w:cs="Times New Roman"/>
        </w:rPr>
        <w:t xml:space="preserve">scale bioenergy procurement by the IOUs. </w:t>
      </w:r>
      <w:r w:rsidR="000B5ADF">
        <w:rPr>
          <w:rFonts w:eastAsia="Calibri" w:cs="Times New Roman"/>
        </w:rPr>
        <w:t xml:space="preserve"> </w:t>
      </w:r>
      <w:r w:rsidRPr="00351134">
        <w:rPr>
          <w:rFonts w:eastAsia="Calibri" w:cs="Times New Roman"/>
        </w:rPr>
        <w:t>In 2021, Assembly Bill (AB)</w:t>
      </w:r>
      <w:r w:rsidR="000B5ADF">
        <w:rPr>
          <w:rFonts w:eastAsia="Calibri" w:cs="Times New Roman"/>
        </w:rPr>
        <w:t> </w:t>
      </w:r>
      <w:r w:rsidRPr="00351134">
        <w:rPr>
          <w:rFonts w:eastAsia="Calibri" w:cs="Times New Roman"/>
        </w:rPr>
        <w:t>843 (Aguiar-Curry, Chapter 234, Statutes of 2021) authorized Community Choice Aggregators (CCAs) to participate in the program.</w:t>
      </w:r>
    </w:p>
    <w:p w:rsidR="000B5ADF" w:rsidP="00351134" w:rsidRDefault="00351134" w14:paraId="28C174E2" w14:textId="77777777">
      <w:pPr>
        <w:rPr>
          <w:rFonts w:eastAsia="Calibri" w:cs="Times New Roman"/>
        </w:rPr>
      </w:pPr>
      <w:r w:rsidRPr="00351134">
        <w:rPr>
          <w:rFonts w:eastAsia="Calibri" w:cs="Times New Roman"/>
        </w:rPr>
        <w:t xml:space="preserve">The intent of the program is to encourage growth in electrical generation from eligible small, bioenergy resources. </w:t>
      </w:r>
      <w:r w:rsidR="000B5ADF">
        <w:rPr>
          <w:rFonts w:eastAsia="Calibri" w:cs="Times New Roman"/>
        </w:rPr>
        <w:t xml:space="preserve"> </w:t>
      </w:r>
      <w:r w:rsidRPr="00351134">
        <w:rPr>
          <w:rFonts w:eastAsia="Calibri" w:cs="Times New Roman"/>
        </w:rPr>
        <w:t xml:space="preserve">The program offers eligible projects a fixed-price standard contract to export electricity to California’s IOUs. </w:t>
      </w:r>
      <w:r w:rsidR="000B5ADF">
        <w:rPr>
          <w:rFonts w:eastAsia="Calibri" w:cs="Times New Roman"/>
        </w:rPr>
        <w:t xml:space="preserve"> </w:t>
      </w:r>
      <w:r w:rsidRPr="00351134">
        <w:rPr>
          <w:rFonts w:eastAsia="Calibri" w:cs="Times New Roman"/>
        </w:rPr>
        <w:t xml:space="preserve">Procured projects must be 3 MW or less in size but can be up to 5 MW in nameplate capacity. </w:t>
      </w:r>
      <w:r w:rsidR="000B5ADF">
        <w:rPr>
          <w:rFonts w:eastAsia="Calibri" w:cs="Times New Roman"/>
        </w:rPr>
        <w:t xml:space="preserve"> </w:t>
      </w:r>
      <w:r w:rsidRPr="00351134">
        <w:rPr>
          <w:rFonts w:eastAsia="Calibri" w:cs="Times New Roman"/>
        </w:rPr>
        <w:t>These small-scale projects can be procured in three categories:</w:t>
      </w:r>
    </w:p>
    <w:p w:rsidRPr="000B5ADF" w:rsidR="000B5ADF" w:rsidP="000B5ADF" w:rsidRDefault="00351134" w14:paraId="4554E6D5" w14:textId="72355A9C">
      <w:pPr>
        <w:pStyle w:val="ListParagraph"/>
        <w:numPr>
          <w:ilvl w:val="0"/>
          <w:numId w:val="19"/>
        </w:numPr>
        <w:spacing w:after="120" w:line="240" w:lineRule="auto"/>
        <w:ind w:left="1080" w:right="1440"/>
        <w:contextualSpacing w:val="0"/>
        <w:rPr>
          <w:rFonts w:eastAsia="Calibri" w:cs="Times New Roman"/>
        </w:rPr>
      </w:pPr>
      <w:r w:rsidRPr="000B5ADF">
        <w:rPr>
          <w:rFonts w:eastAsia="Calibri" w:cs="Times New Roman"/>
        </w:rPr>
        <w:t>Category 1 (Biogas from wastewater treatment, municipal organic waste diversion, food processing, and co-digestion - 110 MW);</w:t>
      </w:r>
    </w:p>
    <w:p w:rsidRPr="000B5ADF" w:rsidR="000B5ADF" w:rsidP="000B5ADF" w:rsidRDefault="00351134" w14:paraId="556F6FA3" w14:textId="0D693EB5">
      <w:pPr>
        <w:pStyle w:val="ListParagraph"/>
        <w:numPr>
          <w:ilvl w:val="0"/>
          <w:numId w:val="19"/>
        </w:numPr>
        <w:spacing w:after="120" w:line="240" w:lineRule="auto"/>
        <w:ind w:left="1080" w:right="1440"/>
        <w:contextualSpacing w:val="0"/>
        <w:rPr>
          <w:rFonts w:eastAsia="Calibri" w:cs="Times New Roman"/>
        </w:rPr>
      </w:pPr>
      <w:r w:rsidRPr="000B5ADF">
        <w:rPr>
          <w:rFonts w:eastAsia="Calibri" w:cs="Times New Roman"/>
        </w:rPr>
        <w:t xml:space="preserve">Category 2 (Dairy and other agricultural bioenergy </w:t>
      </w:r>
      <w:r w:rsidR="000B5ADF">
        <w:rPr>
          <w:rFonts w:eastAsia="Calibri" w:cs="Times New Roman"/>
        </w:rPr>
        <w:t>–</w:t>
      </w:r>
      <w:r w:rsidRPr="000B5ADF">
        <w:rPr>
          <w:rFonts w:eastAsia="Calibri" w:cs="Times New Roman"/>
        </w:rPr>
        <w:t xml:space="preserve"> 90</w:t>
      </w:r>
      <w:r w:rsidR="000B5ADF">
        <w:rPr>
          <w:rFonts w:eastAsia="Calibri" w:cs="Times New Roman"/>
        </w:rPr>
        <w:t> </w:t>
      </w:r>
      <w:r w:rsidRPr="000B5ADF">
        <w:rPr>
          <w:rFonts w:eastAsia="Calibri" w:cs="Times New Roman"/>
        </w:rPr>
        <w:t>MW); and,</w:t>
      </w:r>
    </w:p>
    <w:p w:rsidR="00D470A2" w:rsidP="000B5ADF" w:rsidRDefault="00351134" w14:paraId="3CC926CE" w14:textId="6BE5C057">
      <w:pPr>
        <w:pStyle w:val="ListParagraph"/>
        <w:numPr>
          <w:ilvl w:val="0"/>
          <w:numId w:val="19"/>
        </w:numPr>
        <w:spacing w:after="120" w:line="240" w:lineRule="auto"/>
        <w:ind w:left="1080" w:right="1440"/>
        <w:contextualSpacing w:val="0"/>
        <w:rPr>
          <w:rFonts w:eastAsia="Calibri" w:cs="Times New Roman"/>
        </w:rPr>
      </w:pPr>
      <w:r w:rsidRPr="000B5ADF">
        <w:rPr>
          <w:rFonts w:eastAsia="Calibri" w:cs="Times New Roman"/>
        </w:rPr>
        <w:t>Category 3 (Bioenergy using byproducts of sustainable forest management, including fuels from high hazard zones effective February 1, 2017 - 50 MW).</w:t>
      </w:r>
    </w:p>
    <w:p w:rsidRPr="000B5ADF" w:rsidR="00351134" w:rsidP="00D470A2" w:rsidRDefault="00351134" w14:paraId="736C2086" w14:textId="57FA6A34">
      <w:pPr>
        <w:rPr>
          <w:rFonts w:eastAsia="Calibri" w:cs="Times New Roman"/>
        </w:rPr>
      </w:pPr>
      <w:r w:rsidRPr="000B5ADF">
        <w:rPr>
          <w:rFonts w:eastAsia="Calibri" w:cs="Times New Roman"/>
        </w:rPr>
        <w:lastRenderedPageBreak/>
        <w:t>Electricity generated from the BioMAT program counts towards the Renewables Portfolio Standard (RPS) targets.</w:t>
      </w:r>
      <w:r w:rsidRPr="00D470A2">
        <w:rPr>
          <w:rFonts w:eastAsia="Calibri" w:cs="Times New Roman"/>
          <w:vertAlign w:val="superscript"/>
        </w:rPr>
        <w:footnoteReference w:id="2"/>
      </w:r>
    </w:p>
    <w:p w:rsidRPr="00351134" w:rsidR="00351134" w:rsidP="00351134" w:rsidRDefault="00351134" w14:paraId="2CAC70B0" w14:textId="5B731064">
      <w:pPr>
        <w:rPr>
          <w:rFonts w:eastAsia="Calibri" w:cs="Times New Roman"/>
        </w:rPr>
      </w:pPr>
      <w:r w:rsidRPr="00351134">
        <w:rPr>
          <w:rFonts w:eastAsia="Calibri" w:cs="Times New Roman"/>
        </w:rPr>
        <w:t>The Commission set an end date for the BioMAT Program five years from the program’s start to provide developers a fair opportunity “to learn the rules and propose viable projects, while not allowing the price adjustments (leading to price uncertainty) to go on indefinitely.”</w:t>
      </w:r>
      <w:r w:rsidRPr="00351134">
        <w:rPr>
          <w:rFonts w:eastAsia="Calibri" w:cs="Times New Roman"/>
          <w:vertAlign w:val="superscript"/>
        </w:rPr>
        <w:footnoteReference w:id="3"/>
      </w:r>
      <w:r w:rsidRPr="00351134">
        <w:rPr>
          <w:rFonts w:eastAsia="Calibri" w:cs="Times New Roman"/>
        </w:rPr>
        <w:t xml:space="preserve"> </w:t>
      </w:r>
      <w:r w:rsidR="000B5ADF">
        <w:rPr>
          <w:rFonts w:eastAsia="Calibri" w:cs="Times New Roman"/>
        </w:rPr>
        <w:t xml:space="preserve"> </w:t>
      </w:r>
      <w:r w:rsidRPr="00351134">
        <w:rPr>
          <w:rFonts w:eastAsia="Calibri" w:cs="Times New Roman"/>
        </w:rPr>
        <w:t>In D.20-08-043, the Commission extended the end date an additional five years to allow more time for additional project development and provide long-term programmatic certainty “while maintaining the Commission’s direction to establish a clear program end date.”</w:t>
      </w:r>
      <w:r w:rsidRPr="00351134">
        <w:rPr>
          <w:rFonts w:eastAsia="Calibri" w:cs="Times New Roman"/>
          <w:vertAlign w:val="superscript"/>
        </w:rPr>
        <w:footnoteReference w:id="4"/>
      </w:r>
      <w:r w:rsidR="006C4882">
        <w:rPr>
          <w:rFonts w:eastAsia="Calibri" w:cs="Times New Roman"/>
        </w:rPr>
        <w:t xml:space="preserve">  </w:t>
      </w:r>
      <w:r w:rsidRPr="00351134">
        <w:rPr>
          <w:rFonts w:eastAsia="Calibri" w:cs="Times New Roman"/>
        </w:rPr>
        <w:t>In addition to the program end date, the Commission made several other modifications since the program’s inception</w:t>
      </w:r>
      <w:r w:rsidR="00A90AE3">
        <w:rPr>
          <w:rFonts w:eastAsia="Calibri" w:cs="Times New Roman"/>
        </w:rPr>
        <w:t xml:space="preserve">. </w:t>
      </w:r>
      <w:r w:rsidR="0080080C">
        <w:rPr>
          <w:rFonts w:eastAsia="Calibri" w:cs="Times New Roman"/>
        </w:rPr>
        <w:t xml:space="preserve"> </w:t>
      </w:r>
      <w:r w:rsidRPr="00351134">
        <w:rPr>
          <w:rFonts w:eastAsia="Calibri" w:cs="Times New Roman"/>
        </w:rPr>
        <w:t>Most recently, D.23-11-084</w:t>
      </w:r>
      <w:r w:rsidR="00957216">
        <w:rPr>
          <w:rFonts w:eastAsia="Calibri" w:cs="Times New Roman"/>
        </w:rPr>
        <w:t xml:space="preserve"> </w:t>
      </w:r>
      <w:r w:rsidRPr="00351134">
        <w:rPr>
          <w:rFonts w:eastAsia="Calibri" w:cs="Times New Roman"/>
        </w:rPr>
        <w:t>established rules to enable CCAs to participate in BioMAT.</w:t>
      </w:r>
    </w:p>
    <w:p w:rsidR="00EE3060" w:rsidP="00351134" w:rsidRDefault="0063491C" w14:paraId="23FC9EC1" w14:textId="5A785203">
      <w:pPr>
        <w:pStyle w:val="Heading2"/>
      </w:pPr>
      <w:bookmarkStart w:name="_Toc8123717" w:id="5"/>
      <w:bookmarkStart w:name="_Toc224213596" w:id="6"/>
      <w:r>
        <w:t>Procedural Background</w:t>
      </w:r>
      <w:bookmarkEnd w:id="5"/>
      <w:bookmarkEnd w:id="6"/>
    </w:p>
    <w:p w:rsidRPr="007046A9" w:rsidR="0080080C" w:rsidP="007046A9" w:rsidRDefault="00351134" w14:paraId="04C0C34F" w14:textId="4D418AF0">
      <w:pPr>
        <w:rPr>
          <w:rFonts w:eastAsia="Calibri" w:cs="Times New Roman"/>
        </w:rPr>
      </w:pPr>
      <w:r w:rsidRPr="00351134">
        <w:rPr>
          <w:rFonts w:eastAsia="Calibri" w:cs="Times New Roman"/>
        </w:rPr>
        <w:t xml:space="preserve">On March 6, 2025, the Bioenergy Association of California (BAC) filed a petition to modify D.20-08-043 (Petition). </w:t>
      </w:r>
      <w:r w:rsidR="0080080C">
        <w:rPr>
          <w:rFonts w:eastAsia="Calibri" w:cs="Times New Roman"/>
        </w:rPr>
        <w:t xml:space="preserve"> </w:t>
      </w:r>
      <w:r w:rsidRPr="00351134">
        <w:rPr>
          <w:rFonts w:eastAsia="Calibri" w:cs="Times New Roman"/>
        </w:rPr>
        <w:t>The following parties filed responses to the Petition on April 7, 2025:</w:t>
      </w:r>
      <w:r w:rsidR="00B51AA7">
        <w:rPr>
          <w:rFonts w:eastAsia="Calibri" w:cs="Times New Roman"/>
        </w:rPr>
        <w:t xml:space="preserve"> </w:t>
      </w:r>
      <w:r w:rsidR="008524C8">
        <w:rPr>
          <w:rFonts w:eastAsia="Calibri" w:cs="Times New Roman"/>
        </w:rPr>
        <w:t xml:space="preserve"> </w:t>
      </w:r>
      <w:r w:rsidRPr="007046A9">
        <w:rPr>
          <w:rFonts w:eastAsia="Calibri" w:cs="Times New Roman"/>
        </w:rPr>
        <w:t>Public Advocates Office (Cal Advocates);</w:t>
      </w:r>
      <w:r w:rsidR="00B51AA7">
        <w:rPr>
          <w:rFonts w:eastAsia="Calibri" w:cs="Times New Roman"/>
        </w:rPr>
        <w:t xml:space="preserve"> </w:t>
      </w:r>
      <w:r w:rsidRPr="007046A9">
        <w:rPr>
          <w:rFonts w:eastAsia="Calibri" w:cs="Times New Roman"/>
        </w:rPr>
        <w:t>California Association of Sanitation Agencies (CASA);</w:t>
      </w:r>
      <w:r w:rsidR="00B51AA7">
        <w:rPr>
          <w:rFonts w:eastAsia="Calibri" w:cs="Times New Roman"/>
        </w:rPr>
        <w:t xml:space="preserve"> </w:t>
      </w:r>
      <w:r w:rsidRPr="007046A9">
        <w:rPr>
          <w:rFonts w:eastAsia="Calibri" w:cs="Times New Roman"/>
        </w:rPr>
        <w:t>California Biomass Energy Alliance (CBEA);</w:t>
      </w:r>
      <w:r w:rsidR="00B51AA7">
        <w:rPr>
          <w:rFonts w:eastAsia="Calibri" w:cs="Times New Roman"/>
        </w:rPr>
        <w:t xml:space="preserve"> </w:t>
      </w:r>
      <w:r w:rsidRPr="007046A9">
        <w:rPr>
          <w:rFonts w:eastAsia="Calibri" w:cs="Times New Roman"/>
        </w:rPr>
        <w:t>Center for Biological Diversity/Partnership for Public Integrity (CBD/PFPI);</w:t>
      </w:r>
      <w:r w:rsidR="00B51AA7">
        <w:rPr>
          <w:rFonts w:eastAsia="Calibri" w:cs="Times New Roman"/>
        </w:rPr>
        <w:t xml:space="preserve"> </w:t>
      </w:r>
      <w:r w:rsidRPr="007046A9">
        <w:rPr>
          <w:rFonts w:eastAsia="Calibri" w:cs="Times New Roman"/>
        </w:rPr>
        <w:t>California Forestry Association (CFA);</w:t>
      </w:r>
      <w:r w:rsidR="00B51AA7">
        <w:rPr>
          <w:rFonts w:eastAsia="Calibri" w:cs="Times New Roman"/>
        </w:rPr>
        <w:t xml:space="preserve"> </w:t>
      </w:r>
      <w:r w:rsidRPr="007046A9">
        <w:rPr>
          <w:rFonts w:eastAsia="Calibri" w:cs="Times New Roman"/>
        </w:rPr>
        <w:t>Dairy Cares/Agricultural Energy Consumers Association (AECA);</w:t>
      </w:r>
      <w:r w:rsidR="00B51AA7">
        <w:rPr>
          <w:rFonts w:eastAsia="Calibri" w:cs="Times New Roman"/>
        </w:rPr>
        <w:t xml:space="preserve"> </w:t>
      </w:r>
      <w:r w:rsidRPr="007046A9">
        <w:rPr>
          <w:rFonts w:eastAsia="Calibri" w:cs="Times New Roman"/>
        </w:rPr>
        <w:t>Green Power Institute (GPI);</w:t>
      </w:r>
      <w:r w:rsidR="00B51AA7">
        <w:rPr>
          <w:rFonts w:eastAsia="Calibri" w:cs="Times New Roman"/>
        </w:rPr>
        <w:t xml:space="preserve"> </w:t>
      </w:r>
      <w:r w:rsidRPr="007046A9">
        <w:rPr>
          <w:rFonts w:eastAsia="Calibri" w:cs="Times New Roman"/>
        </w:rPr>
        <w:t>Pioneer Community Energy/Redwood Coast Energy Authority (Joint CCAs);</w:t>
      </w:r>
      <w:r w:rsidR="00B51AA7">
        <w:rPr>
          <w:rFonts w:eastAsia="Calibri" w:cs="Times New Roman"/>
        </w:rPr>
        <w:t xml:space="preserve"> </w:t>
      </w:r>
      <w:r w:rsidRPr="007046A9">
        <w:rPr>
          <w:rFonts w:eastAsia="Calibri" w:cs="Times New Roman"/>
        </w:rPr>
        <w:t>Pacific Gas and Electric Company (PG&amp;E); and</w:t>
      </w:r>
      <w:r w:rsidR="00B51AA7">
        <w:rPr>
          <w:rFonts w:eastAsia="Calibri" w:cs="Times New Roman"/>
        </w:rPr>
        <w:t xml:space="preserve"> </w:t>
      </w:r>
      <w:r w:rsidRPr="007046A9">
        <w:rPr>
          <w:rFonts w:eastAsia="Calibri" w:cs="Times New Roman"/>
        </w:rPr>
        <w:t>Southern California Edison Company (SCE).</w:t>
      </w:r>
    </w:p>
    <w:p w:rsidRPr="0080080C" w:rsidR="00351134" w:rsidP="0080080C" w:rsidRDefault="00351134" w14:paraId="35BE85A6" w14:textId="772FEDC0">
      <w:pPr>
        <w:pStyle w:val="ListParagraph"/>
        <w:ind w:right="1440" w:firstLine="0"/>
        <w:contextualSpacing w:val="0"/>
        <w:rPr>
          <w:rFonts w:eastAsia="Calibri" w:cs="Times New Roman"/>
        </w:rPr>
      </w:pPr>
      <w:r w:rsidRPr="0080080C">
        <w:rPr>
          <w:rFonts w:eastAsia="Calibri" w:cs="Times New Roman"/>
        </w:rPr>
        <w:lastRenderedPageBreak/>
        <w:t>BAC filed a reply to the responses on April 17, 2025.</w:t>
      </w:r>
    </w:p>
    <w:p w:rsidR="005A148C" w:rsidP="0080080C" w:rsidRDefault="00351134" w14:paraId="766267CC" w14:textId="27975E14">
      <w:pPr>
        <w:pStyle w:val="Heading1"/>
        <w:spacing w:after="0" w:line="360" w:lineRule="auto"/>
      </w:pPr>
      <w:bookmarkStart w:name="_Toc224213597" w:id="7"/>
      <w:r>
        <w:t>Relief Requested and Party Positions</w:t>
      </w:r>
      <w:bookmarkEnd w:id="7"/>
    </w:p>
    <w:p w:rsidRPr="00351134" w:rsidR="00351134" w:rsidP="00351134" w:rsidRDefault="00351134" w14:paraId="5CB4E15A" w14:textId="0D4E0777">
      <w:pPr>
        <w:rPr>
          <w:rFonts w:eastAsia="Calibri" w:cs="Times New Roman"/>
        </w:rPr>
      </w:pPr>
      <w:r w:rsidRPr="00351134">
        <w:rPr>
          <w:rFonts w:eastAsia="Calibri" w:cs="Times New Roman"/>
        </w:rPr>
        <w:t>In its Petition, BAC requests several changes to the BioMAT program “to</w:t>
      </w:r>
      <w:r w:rsidR="007A6604">
        <w:rPr>
          <w:rFonts w:eastAsia="Calibri" w:cs="Times New Roman"/>
        </w:rPr>
        <w:t> </w:t>
      </w:r>
      <w:r w:rsidRPr="00351134">
        <w:rPr>
          <w:rFonts w:eastAsia="Calibri" w:cs="Times New Roman"/>
        </w:rPr>
        <w:t>ensure that the BioMAT program meets the requirements of state law and other important state policies, including wildfire mitigation, protection of air quality, reduction of Short-Lived Climate Pollutant emissions, and energy reliability.”</w:t>
      </w:r>
      <w:r w:rsidRPr="00351134">
        <w:rPr>
          <w:rFonts w:eastAsia="Calibri" w:cs="Times New Roman"/>
          <w:vertAlign w:val="superscript"/>
        </w:rPr>
        <w:footnoteReference w:id="5"/>
      </w:r>
      <w:r w:rsidRPr="00351134">
        <w:rPr>
          <w:rFonts w:eastAsia="Calibri" w:cs="Times New Roman"/>
        </w:rPr>
        <w:t xml:space="preserve"> </w:t>
      </w:r>
      <w:r w:rsidR="007A6604">
        <w:rPr>
          <w:rFonts w:eastAsia="Calibri" w:cs="Times New Roman"/>
        </w:rPr>
        <w:t xml:space="preserve"> </w:t>
      </w:r>
      <w:r w:rsidRPr="00351134">
        <w:rPr>
          <w:rFonts w:eastAsia="Calibri" w:cs="Times New Roman"/>
        </w:rPr>
        <w:t>These requested changes are as follows:</w:t>
      </w:r>
    </w:p>
    <w:p w:rsidRPr="00351134" w:rsidR="00351134" w:rsidP="007A6604" w:rsidRDefault="00351134" w14:paraId="22363062" w14:textId="77777777">
      <w:pPr>
        <w:numPr>
          <w:ilvl w:val="0"/>
          <w:numId w:val="21"/>
        </w:numPr>
        <w:spacing w:after="120" w:line="240" w:lineRule="auto"/>
        <w:ind w:left="1080" w:right="1440"/>
        <w:rPr>
          <w:rFonts w:eastAsia="Calibri" w:cs="Times New Roman"/>
        </w:rPr>
      </w:pPr>
      <w:r w:rsidRPr="00351134">
        <w:rPr>
          <w:rFonts w:eastAsia="Calibri" w:cs="Times New Roman"/>
        </w:rPr>
        <w:t>Removing the program end date until the megawatts required by the statute have been procured or extending the program end date to 2035;</w:t>
      </w:r>
    </w:p>
    <w:p w:rsidRPr="00351134" w:rsidR="00351134" w:rsidP="007A6604" w:rsidRDefault="00351134" w14:paraId="13EAEEA7" w14:textId="77777777">
      <w:pPr>
        <w:numPr>
          <w:ilvl w:val="0"/>
          <w:numId w:val="21"/>
        </w:numPr>
        <w:spacing w:after="120" w:line="240" w:lineRule="auto"/>
        <w:ind w:left="1080" w:right="1440"/>
        <w:rPr>
          <w:rFonts w:eastAsia="Calibri" w:cs="Times New Roman"/>
        </w:rPr>
      </w:pPr>
      <w:r w:rsidRPr="00351134">
        <w:rPr>
          <w:rFonts w:eastAsia="Calibri" w:cs="Times New Roman"/>
        </w:rPr>
        <w:t>Adjusting program prices to reflect inflation, at least in BioMAT Feedstock Category 1;</w:t>
      </w:r>
    </w:p>
    <w:p w:rsidRPr="00351134" w:rsidR="00351134" w:rsidP="007A6604" w:rsidRDefault="00351134" w14:paraId="36D24859" w14:textId="77777777">
      <w:pPr>
        <w:numPr>
          <w:ilvl w:val="0"/>
          <w:numId w:val="21"/>
        </w:numPr>
        <w:spacing w:after="120" w:line="240" w:lineRule="auto"/>
        <w:ind w:left="1080" w:right="1440"/>
        <w:rPr>
          <w:rFonts w:eastAsia="Calibri" w:cs="Times New Roman"/>
        </w:rPr>
      </w:pPr>
      <w:r w:rsidRPr="00351134">
        <w:rPr>
          <w:rFonts w:eastAsia="Calibri" w:cs="Times New Roman"/>
        </w:rPr>
        <w:t>Removing the utility specific allocations within each feedstock category; and,</w:t>
      </w:r>
    </w:p>
    <w:p w:rsidRPr="00351134" w:rsidR="00351134" w:rsidP="007A6604" w:rsidRDefault="00351134" w14:paraId="3C2E4357" w14:textId="77777777">
      <w:pPr>
        <w:numPr>
          <w:ilvl w:val="0"/>
          <w:numId w:val="21"/>
        </w:numPr>
        <w:spacing w:after="120" w:line="240" w:lineRule="auto"/>
        <w:ind w:left="1080" w:right="1440"/>
        <w:rPr>
          <w:rFonts w:eastAsia="Calibri" w:cs="Times New Roman"/>
        </w:rPr>
      </w:pPr>
      <w:r w:rsidRPr="00351134">
        <w:rPr>
          <w:rFonts w:eastAsia="Calibri" w:cs="Times New Roman"/>
        </w:rPr>
        <w:t>Facilitating the use of BioMAT projects for microgrids, resource adequacy, and power for vehicle charging under the Low Carbon Fuel Standard Program.</w:t>
      </w:r>
      <w:r w:rsidRPr="00351134">
        <w:rPr>
          <w:rFonts w:eastAsia="Calibri" w:cs="Times New Roman"/>
          <w:vertAlign w:val="superscript"/>
        </w:rPr>
        <w:footnoteReference w:id="6"/>
      </w:r>
    </w:p>
    <w:p w:rsidRPr="00351134" w:rsidR="00351134" w:rsidP="00351134" w:rsidRDefault="00351134" w14:paraId="55DA459C" w14:textId="75CB86E1">
      <w:pPr>
        <w:rPr>
          <w:rFonts w:eastAsia="Calibri" w:cs="Times New Roman"/>
        </w:rPr>
      </w:pPr>
      <w:r w:rsidRPr="00351134">
        <w:rPr>
          <w:rFonts w:eastAsia="Calibri" w:cs="Times New Roman"/>
        </w:rPr>
        <w:t>All parties responding to the Petition, except for Cal Advocates, PG&amp;E, and SCE, substantively support BAC’s Petition.</w:t>
      </w:r>
    </w:p>
    <w:p w:rsidRPr="00351134" w:rsidR="00351134" w:rsidP="00351134" w:rsidRDefault="00351134" w14:paraId="31AD45D1" w14:textId="13051699">
      <w:pPr>
        <w:rPr>
          <w:rFonts w:eastAsia="Calibri" w:cs="Times New Roman"/>
        </w:rPr>
      </w:pPr>
      <w:r w:rsidRPr="00351134">
        <w:rPr>
          <w:rFonts w:eastAsia="Calibri" w:cs="Times New Roman"/>
        </w:rPr>
        <w:t xml:space="preserve">Several parties oppose the Petition on procedural grounds. </w:t>
      </w:r>
      <w:r w:rsidR="007A6604">
        <w:rPr>
          <w:rFonts w:eastAsia="Calibri" w:cs="Times New Roman"/>
        </w:rPr>
        <w:t xml:space="preserve"> </w:t>
      </w:r>
      <w:r w:rsidRPr="00351134">
        <w:rPr>
          <w:rFonts w:eastAsia="Calibri" w:cs="Times New Roman"/>
        </w:rPr>
        <w:t>Cal Advocates and PG&amp;E argue that the Petition is redundant as potential BioMAT program adjustments are within the scope of the Commission’s current RPS proceeding, R.24-01-017, and for that reason, they recommend that the Petition be rejected on procedural grounds.</w:t>
      </w:r>
    </w:p>
    <w:p w:rsidRPr="00694512" w:rsidR="00351134" w:rsidP="00694512" w:rsidRDefault="00351134" w14:paraId="420B2332" w14:textId="05728CB9">
      <w:pPr>
        <w:rPr>
          <w:rFonts w:eastAsia="Calibri" w:cs="Times New Roman"/>
        </w:rPr>
      </w:pPr>
      <w:r w:rsidRPr="00351134">
        <w:rPr>
          <w:rFonts w:eastAsia="Calibri" w:cs="Times New Roman"/>
        </w:rPr>
        <w:t xml:space="preserve">CBD/PFPI also request that the Commission reject the Petition on procedural grounds for violating Rule 16.4 of the Commission’s Rules of Practice </w:t>
      </w:r>
      <w:r w:rsidRPr="00351134">
        <w:rPr>
          <w:rFonts w:eastAsia="Calibri" w:cs="Times New Roman"/>
        </w:rPr>
        <w:lastRenderedPageBreak/>
        <w:t>and Procedure (Rules), requiring citations for factual allegations, which CBD/PFPI assert the Petition lacks.  CBD/PFPI also argue that the Petition’s policy arguments support bioenergy in general and that many of the Petition’s claims are neither factual nor specific to BioMAT.</w:t>
      </w:r>
      <w:r w:rsidRPr="00351134">
        <w:rPr>
          <w:rFonts w:eastAsia="Calibri" w:cs="Times New Roman"/>
          <w:vertAlign w:val="superscript"/>
        </w:rPr>
        <w:footnoteReference w:id="7"/>
      </w:r>
    </w:p>
    <w:p w:rsidR="005939A5" w:rsidP="005939A5" w:rsidRDefault="00694512" w14:paraId="633A3F91" w14:textId="5C28685A">
      <w:pPr>
        <w:pStyle w:val="Heading1"/>
      </w:pPr>
      <w:bookmarkStart w:name="_Toc224213598" w:id="8"/>
      <w:r>
        <w:t xml:space="preserve">BAC’s Petition is Summarily Denied on </w:t>
      </w:r>
      <w:r w:rsidR="00102627">
        <w:t>P</w:t>
      </w:r>
      <w:r>
        <w:t>rocedural</w:t>
      </w:r>
      <w:r w:rsidR="007A6604">
        <w:t> </w:t>
      </w:r>
      <w:r>
        <w:t>Grounds</w:t>
      </w:r>
      <w:bookmarkEnd w:id="8"/>
    </w:p>
    <w:p w:rsidR="00C03252" w:rsidP="006E6574" w:rsidRDefault="00694512" w14:paraId="79E1C1E0" w14:textId="26319159">
      <w:pPr>
        <w:pStyle w:val="Standard"/>
      </w:pPr>
      <w:r w:rsidRPr="00694512">
        <w:t xml:space="preserve">Rule 16.4 requires petitions for modification to be filed and served within one year of the effective date of the decision proposed to be modified. </w:t>
      </w:r>
      <w:r w:rsidR="007A6604">
        <w:t xml:space="preserve"> </w:t>
      </w:r>
      <w:r w:rsidRPr="00694512">
        <w:t xml:space="preserve">If more than one year has elapsed, the petition must explain why the petition could not have been presented within one year of the date of the decision. </w:t>
      </w:r>
      <w:r w:rsidR="007A6604">
        <w:t xml:space="preserve"> </w:t>
      </w:r>
      <w:r w:rsidRPr="00694512">
        <w:t xml:space="preserve">In this case, </w:t>
      </w:r>
      <w:r w:rsidR="003E6A10">
        <w:t xml:space="preserve">the </w:t>
      </w:r>
      <w:r w:rsidRPr="00694512">
        <w:t xml:space="preserve">Petitioner </w:t>
      </w:r>
      <w:r w:rsidRPr="00694512" w:rsidR="00C41F78">
        <w:t>has</w:t>
      </w:r>
      <w:r w:rsidRPr="00694512">
        <w:t xml:space="preserve"> not sufficiently justified why the </w:t>
      </w:r>
      <w:r w:rsidR="00E34446">
        <w:t>Petition</w:t>
      </w:r>
      <w:r w:rsidRPr="00694512">
        <w:t xml:space="preserve"> could not have been timely </w:t>
      </w:r>
      <w:r w:rsidR="003B61CA">
        <w:t>filed</w:t>
      </w:r>
      <w:r w:rsidRPr="00694512">
        <w:t>.</w:t>
      </w:r>
    </w:p>
    <w:p w:rsidRPr="00C03252" w:rsidR="00C03252" w:rsidP="00C03252" w:rsidRDefault="00C03252" w14:paraId="60CD220A" w14:textId="77777777">
      <w:pPr>
        <w:rPr>
          <w:rFonts w:eastAsia="Calibri" w:cs="Times New Roman"/>
        </w:rPr>
      </w:pPr>
      <w:r w:rsidRPr="00C03252">
        <w:rPr>
          <w:rFonts w:eastAsia="Calibri" w:cs="Times New Roman"/>
        </w:rPr>
        <w:t>BAC cited the following reasons for filing the Petition more than one year after the issuance of D.20-08-043:</w:t>
      </w:r>
      <w:r w:rsidRPr="00C03252">
        <w:rPr>
          <w:rFonts w:eastAsia="Calibri" w:cs="Times New Roman"/>
          <w:vertAlign w:val="superscript"/>
        </w:rPr>
        <w:footnoteReference w:id="8"/>
      </w:r>
    </w:p>
    <w:p w:rsidRPr="00C03252" w:rsidR="00C03252" w:rsidP="00C03252" w:rsidRDefault="00C03252" w14:paraId="389FBC77" w14:textId="77777777">
      <w:pPr>
        <w:numPr>
          <w:ilvl w:val="0"/>
          <w:numId w:val="18"/>
        </w:numPr>
        <w:spacing w:after="120" w:line="240" w:lineRule="auto"/>
        <w:ind w:left="1080" w:right="1440"/>
        <w:rPr>
          <w:rFonts w:eastAsia="Calibri" w:cs="Times New Roman"/>
        </w:rPr>
      </w:pPr>
      <w:r w:rsidRPr="00C03252">
        <w:rPr>
          <w:rFonts w:eastAsia="Calibri" w:cs="Times New Roman"/>
        </w:rPr>
        <w:t>Lasting impacts of the Covid-19 pandemic on BioMAT procurement including extended supply chain disruptions, workforce availability, and inflation, leading to delays in project development;</w:t>
      </w:r>
    </w:p>
    <w:p w:rsidRPr="00C03252" w:rsidR="00C03252" w:rsidP="00C03252" w:rsidRDefault="00C03252" w14:paraId="630DEB1C" w14:textId="77777777">
      <w:pPr>
        <w:numPr>
          <w:ilvl w:val="0"/>
          <w:numId w:val="18"/>
        </w:numPr>
        <w:spacing w:after="120" w:line="240" w:lineRule="auto"/>
        <w:ind w:left="1080" w:right="1440"/>
        <w:rPr>
          <w:rFonts w:eastAsia="Calibri" w:cs="Times New Roman"/>
        </w:rPr>
      </w:pPr>
      <w:r w:rsidRPr="00C03252">
        <w:rPr>
          <w:rFonts w:eastAsia="Calibri" w:cs="Times New Roman"/>
        </w:rPr>
        <w:t>The passage of AB 843 allowing CCAs to participate in BioMAT;</w:t>
      </w:r>
    </w:p>
    <w:p w:rsidRPr="00C03252" w:rsidR="00C03252" w:rsidP="00C03252" w:rsidRDefault="00C03252" w14:paraId="28016EC2" w14:textId="77777777">
      <w:pPr>
        <w:numPr>
          <w:ilvl w:val="0"/>
          <w:numId w:val="18"/>
        </w:numPr>
        <w:spacing w:after="120" w:line="240" w:lineRule="auto"/>
        <w:ind w:left="1080" w:right="1440"/>
        <w:rPr>
          <w:rFonts w:eastAsia="Calibri" w:cs="Times New Roman"/>
        </w:rPr>
      </w:pPr>
      <w:r w:rsidRPr="00C03252">
        <w:rPr>
          <w:rFonts w:eastAsia="Calibri" w:cs="Times New Roman"/>
        </w:rPr>
        <w:t>The California Air Resources Board’s February 2021 plan to phase out the open burning of agricultural waste that calls for increased bioenergy production as a preferred alternative to open burning;</w:t>
      </w:r>
    </w:p>
    <w:p w:rsidRPr="00C03252" w:rsidR="00C03252" w:rsidP="00C03252" w:rsidRDefault="00C03252" w14:paraId="5A02DD4B" w14:textId="77777777">
      <w:pPr>
        <w:numPr>
          <w:ilvl w:val="0"/>
          <w:numId w:val="18"/>
        </w:numPr>
        <w:spacing w:after="120" w:line="240" w:lineRule="auto"/>
        <w:ind w:left="1080" w:right="1440"/>
        <w:rPr>
          <w:rFonts w:eastAsia="Calibri" w:cs="Times New Roman"/>
        </w:rPr>
      </w:pPr>
      <w:r w:rsidRPr="00C03252">
        <w:rPr>
          <w:rFonts w:eastAsia="Calibri" w:cs="Times New Roman"/>
        </w:rPr>
        <w:t>The CalRecycle’s regulations to implement the landfill diversion requirement of SB 1383 allowing biomass conversion to electricity as an alternative to landfilling that waste becoming effective in January 2022.</w:t>
      </w:r>
    </w:p>
    <w:p w:rsidRPr="00C03252" w:rsidR="00C03252" w:rsidP="00C03252" w:rsidRDefault="00C03252" w14:paraId="3AF077C3" w14:textId="77777777">
      <w:pPr>
        <w:rPr>
          <w:rFonts w:eastAsia="Calibri" w:cs="Times New Roman"/>
        </w:rPr>
      </w:pPr>
      <w:r w:rsidRPr="00C03252">
        <w:rPr>
          <w:rFonts w:eastAsia="Calibri" w:cs="Times New Roman"/>
        </w:rPr>
        <w:lastRenderedPageBreak/>
        <w:t>Supporting BAC’s Petition, Dairy Cares/BAC state that the business disruption due to the pandemic, subsequent impacts on the economy, and interconnection delays have negatively affected BioMAT project development.</w:t>
      </w:r>
      <w:r w:rsidRPr="00C03252">
        <w:rPr>
          <w:rFonts w:eastAsia="Calibri" w:cs="Times New Roman"/>
          <w:vertAlign w:val="superscript"/>
        </w:rPr>
        <w:footnoteReference w:id="9"/>
      </w:r>
    </w:p>
    <w:p w:rsidRPr="007046A9" w:rsidR="0015055F" w:rsidP="007046A9" w:rsidRDefault="00C03252" w14:paraId="4AFC87E3" w14:textId="1D3254FD">
      <w:pPr>
        <w:rPr>
          <w:rFonts w:eastAsia="Calibri" w:cs="Times New Roman"/>
        </w:rPr>
      </w:pPr>
      <w:r w:rsidRPr="00C03252">
        <w:rPr>
          <w:rFonts w:eastAsia="Calibri" w:cs="Times New Roman"/>
        </w:rPr>
        <w:t>In contrast, opposing BAC’s Petition, Cal Advocates recommends that the Commission deny the P</w:t>
      </w:r>
      <w:r w:rsidR="006570CD">
        <w:rPr>
          <w:rFonts w:eastAsia="Calibri" w:cs="Times New Roman"/>
        </w:rPr>
        <w:t>etition</w:t>
      </w:r>
      <w:r w:rsidRPr="00C03252">
        <w:rPr>
          <w:rFonts w:eastAsia="Calibri" w:cs="Times New Roman"/>
        </w:rPr>
        <w:t xml:space="preserve"> as untimely because BAC cites previously rejected reasons to explain why its Petition could not have been presented within one year of the effective date of D.20-08-043, and that the Commission considered these arguments and denied BAC’s 2021 petition where it found that BAC “[did] not sufficiently justify the delayed filing” of its 2021 </w:t>
      </w:r>
      <w:r w:rsidR="006570CD">
        <w:rPr>
          <w:rFonts w:eastAsia="Calibri" w:cs="Times New Roman"/>
        </w:rPr>
        <w:t>petition</w:t>
      </w:r>
      <w:r w:rsidRPr="00C03252">
        <w:rPr>
          <w:rFonts w:eastAsia="Calibri" w:cs="Times New Roman"/>
        </w:rPr>
        <w:t>.</w:t>
      </w:r>
      <w:r w:rsidRPr="00C03252">
        <w:rPr>
          <w:rFonts w:eastAsia="Calibri" w:cs="Times New Roman"/>
          <w:vertAlign w:val="superscript"/>
        </w:rPr>
        <w:footnoteReference w:id="10"/>
      </w:r>
      <w:r w:rsidR="00A30319">
        <w:rPr>
          <w:rFonts w:eastAsia="Calibri" w:cs="Times New Roman"/>
        </w:rPr>
        <w:t xml:space="preserve"> </w:t>
      </w:r>
      <w:r w:rsidRPr="007046A9" w:rsidR="007945D7">
        <w:rPr>
          <w:rFonts w:eastAsia="Calibri" w:cs="Times New Roman"/>
        </w:rPr>
        <w:t>First, Cal</w:t>
      </w:r>
      <w:r w:rsidRPr="007046A9" w:rsidR="00D835D2">
        <w:rPr>
          <w:rFonts w:eastAsia="Calibri" w:cs="Times New Roman"/>
        </w:rPr>
        <w:t xml:space="preserve"> </w:t>
      </w:r>
      <w:r w:rsidRPr="007046A9" w:rsidR="007945D7">
        <w:rPr>
          <w:rFonts w:eastAsia="Calibri" w:cs="Times New Roman"/>
        </w:rPr>
        <w:t>Advocates finds B</w:t>
      </w:r>
      <w:r w:rsidRPr="007046A9" w:rsidR="0015055F">
        <w:rPr>
          <w:rFonts w:eastAsia="Calibri" w:cs="Times New Roman"/>
        </w:rPr>
        <w:t xml:space="preserve">AC’s assertion </w:t>
      </w:r>
      <w:r w:rsidRPr="007046A9" w:rsidR="004400E4">
        <w:rPr>
          <w:rFonts w:eastAsia="Calibri" w:cs="Times New Roman"/>
        </w:rPr>
        <w:t>about</w:t>
      </w:r>
      <w:r w:rsidRPr="007046A9" w:rsidR="0015055F">
        <w:rPr>
          <w:rFonts w:eastAsia="Calibri" w:cs="Times New Roman"/>
        </w:rPr>
        <w:t xml:space="preserve"> the COVID-19 pandemic and related supply chain disruptions </w:t>
      </w:r>
      <w:r w:rsidRPr="007046A9" w:rsidR="001A3F18">
        <w:rPr>
          <w:rFonts w:eastAsia="Calibri" w:cs="Times New Roman"/>
        </w:rPr>
        <w:t>justifying</w:t>
      </w:r>
      <w:r w:rsidRPr="007046A9" w:rsidR="0015055F">
        <w:rPr>
          <w:rFonts w:eastAsia="Calibri" w:cs="Times New Roman"/>
        </w:rPr>
        <w:t xml:space="preserve"> the delay unpersuasive, as these conditions originated in 2020 and do not apply to a filing made in 2025.</w:t>
      </w:r>
      <w:r w:rsidR="00661494">
        <w:rPr>
          <w:rStyle w:val="FootnoteReference"/>
          <w:rFonts w:eastAsia="Calibri" w:cs="Times New Roman"/>
        </w:rPr>
        <w:footnoteReference w:id="11"/>
      </w:r>
      <w:r w:rsidRPr="007046A9" w:rsidR="0015055F">
        <w:rPr>
          <w:rFonts w:eastAsia="Calibri" w:cs="Times New Roman"/>
        </w:rPr>
        <w:t xml:space="preserve"> </w:t>
      </w:r>
      <w:r w:rsidRPr="007046A9" w:rsidR="00D835D2">
        <w:rPr>
          <w:rFonts w:eastAsia="Calibri" w:cs="Times New Roman"/>
        </w:rPr>
        <w:t xml:space="preserve"> </w:t>
      </w:r>
      <w:r w:rsidRPr="007046A9" w:rsidR="007945D7">
        <w:rPr>
          <w:rFonts w:eastAsia="Calibri" w:cs="Times New Roman"/>
        </w:rPr>
        <w:t>Cal</w:t>
      </w:r>
      <w:r w:rsidRPr="007046A9" w:rsidR="00D835D2">
        <w:rPr>
          <w:rFonts w:eastAsia="Calibri" w:cs="Times New Roman"/>
        </w:rPr>
        <w:t> </w:t>
      </w:r>
      <w:r w:rsidRPr="007046A9" w:rsidR="007945D7">
        <w:rPr>
          <w:rFonts w:eastAsia="Calibri" w:cs="Times New Roman"/>
        </w:rPr>
        <w:t xml:space="preserve">Advocates adds that </w:t>
      </w:r>
      <w:r w:rsidRPr="007046A9" w:rsidR="0015055F">
        <w:rPr>
          <w:rFonts w:eastAsia="Calibri" w:cs="Times New Roman"/>
        </w:rPr>
        <w:t>BAC fails to provide specific evidence demonstrating that such factors materially affected the BioMAT program in a manner warranting modification.</w:t>
      </w:r>
      <w:r w:rsidR="00A30319">
        <w:rPr>
          <w:rFonts w:eastAsia="Calibri" w:cs="Times New Roman"/>
        </w:rPr>
        <w:t xml:space="preserve"> </w:t>
      </w:r>
      <w:r w:rsidRPr="007046A9" w:rsidR="007945D7">
        <w:rPr>
          <w:rFonts w:eastAsia="Calibri" w:cs="Times New Roman"/>
        </w:rPr>
        <w:t xml:space="preserve">Second, Cal Advocates finds </w:t>
      </w:r>
      <w:r w:rsidRPr="007046A9" w:rsidR="0015055F">
        <w:rPr>
          <w:rFonts w:eastAsia="Calibri" w:cs="Times New Roman"/>
        </w:rPr>
        <w:t>BAC’s reliance on AB 843 similarly u</w:t>
      </w:r>
      <w:r w:rsidRPr="007046A9" w:rsidR="007945D7">
        <w:rPr>
          <w:rFonts w:eastAsia="Calibri" w:cs="Times New Roman"/>
        </w:rPr>
        <w:t>nsupported</w:t>
      </w:r>
      <w:r w:rsidRPr="007046A9" w:rsidR="0015055F">
        <w:rPr>
          <w:rFonts w:eastAsia="Calibri" w:cs="Times New Roman"/>
        </w:rPr>
        <w:t>.</w:t>
      </w:r>
      <w:r w:rsidR="00661494">
        <w:rPr>
          <w:rStyle w:val="FootnoteReference"/>
          <w:rFonts w:eastAsia="Calibri" w:cs="Times New Roman"/>
        </w:rPr>
        <w:footnoteReference w:id="12"/>
      </w:r>
      <w:r w:rsidRPr="007046A9" w:rsidR="0015055F">
        <w:rPr>
          <w:rFonts w:eastAsia="Calibri" w:cs="Times New Roman"/>
        </w:rPr>
        <w:t xml:space="preserve"> </w:t>
      </w:r>
      <w:r w:rsidRPr="007046A9" w:rsidR="00D835D2">
        <w:rPr>
          <w:rFonts w:eastAsia="Calibri" w:cs="Times New Roman"/>
        </w:rPr>
        <w:t xml:space="preserve"> </w:t>
      </w:r>
      <w:r w:rsidRPr="007046A9" w:rsidR="007945D7">
        <w:rPr>
          <w:rFonts w:eastAsia="Calibri" w:cs="Times New Roman"/>
        </w:rPr>
        <w:t xml:space="preserve">Cal Advocates argues that </w:t>
      </w:r>
      <w:r w:rsidRPr="007046A9" w:rsidR="0015055F">
        <w:rPr>
          <w:rFonts w:eastAsia="Calibri" w:cs="Times New Roman"/>
        </w:rPr>
        <w:t>AB 843</w:t>
      </w:r>
      <w:r w:rsidRPr="007046A9" w:rsidR="007945D7">
        <w:rPr>
          <w:rFonts w:eastAsia="Calibri" w:cs="Times New Roman"/>
        </w:rPr>
        <w:t>, enacted in 2021,</w:t>
      </w:r>
      <w:r w:rsidRPr="007046A9" w:rsidR="0015055F">
        <w:rPr>
          <w:rFonts w:eastAsia="Calibri" w:cs="Times New Roman"/>
        </w:rPr>
        <w:t xml:space="preserve"> and its </w:t>
      </w:r>
      <w:r w:rsidRPr="007046A9" w:rsidR="007945D7">
        <w:rPr>
          <w:rFonts w:eastAsia="Calibri" w:cs="Times New Roman"/>
        </w:rPr>
        <w:t>implications</w:t>
      </w:r>
      <w:r w:rsidRPr="007046A9" w:rsidR="0015055F">
        <w:rPr>
          <w:rFonts w:eastAsia="Calibri" w:cs="Times New Roman"/>
        </w:rPr>
        <w:t xml:space="preserve"> were already addressed in BAC’s prior </w:t>
      </w:r>
      <w:r w:rsidRPr="007046A9" w:rsidR="006570CD">
        <w:rPr>
          <w:rFonts w:eastAsia="Calibri" w:cs="Times New Roman"/>
        </w:rPr>
        <w:t>petition</w:t>
      </w:r>
      <w:r w:rsidRPr="007046A9" w:rsidR="0015055F">
        <w:rPr>
          <w:rFonts w:eastAsia="Calibri" w:cs="Times New Roman"/>
        </w:rPr>
        <w:t>, where the Commission rejected identical arguments concerning feedstock allocations and program structure</w:t>
      </w:r>
      <w:r w:rsidRPr="007046A9" w:rsidR="0037068C">
        <w:rPr>
          <w:rFonts w:eastAsia="Calibri" w:cs="Times New Roman"/>
        </w:rPr>
        <w:t xml:space="preserve"> and </w:t>
      </w:r>
      <w:r w:rsidRPr="007046A9" w:rsidR="0015055F">
        <w:rPr>
          <w:rFonts w:eastAsia="Calibri" w:cs="Times New Roman"/>
        </w:rPr>
        <w:t>BAC does not explain why t</w:t>
      </w:r>
      <w:r w:rsidRPr="007046A9" w:rsidR="007945D7">
        <w:rPr>
          <w:rFonts w:eastAsia="Calibri" w:cs="Times New Roman"/>
        </w:rPr>
        <w:t>h</w:t>
      </w:r>
      <w:r w:rsidRPr="007046A9" w:rsidR="0015055F">
        <w:rPr>
          <w:rFonts w:eastAsia="Calibri" w:cs="Times New Roman"/>
        </w:rPr>
        <w:t>ese previously rejected contentions now justify its delayed filing.</w:t>
      </w:r>
      <w:r w:rsidR="00A30319">
        <w:rPr>
          <w:rFonts w:eastAsia="Calibri" w:cs="Times New Roman"/>
        </w:rPr>
        <w:t xml:space="preserve"> </w:t>
      </w:r>
      <w:r w:rsidRPr="007046A9" w:rsidR="0015055F">
        <w:rPr>
          <w:rFonts w:eastAsia="Calibri" w:cs="Times New Roman"/>
        </w:rPr>
        <w:t xml:space="preserve">Finally, </w:t>
      </w:r>
      <w:r w:rsidRPr="007046A9" w:rsidR="0037068C">
        <w:rPr>
          <w:rFonts w:eastAsia="Calibri" w:cs="Times New Roman"/>
        </w:rPr>
        <w:t>Cal Advocates point</w:t>
      </w:r>
      <w:r w:rsidRPr="007046A9" w:rsidR="004400E4">
        <w:rPr>
          <w:rFonts w:eastAsia="Calibri" w:cs="Times New Roman"/>
        </w:rPr>
        <w:t>s</w:t>
      </w:r>
      <w:r w:rsidRPr="007046A9" w:rsidR="0037068C">
        <w:rPr>
          <w:rFonts w:eastAsia="Calibri" w:cs="Times New Roman"/>
        </w:rPr>
        <w:t xml:space="preserve"> out that </w:t>
      </w:r>
      <w:r w:rsidRPr="007046A9" w:rsidR="0015055F">
        <w:rPr>
          <w:rFonts w:eastAsia="Calibri" w:cs="Times New Roman"/>
        </w:rPr>
        <w:t xml:space="preserve">BAC cites various policies </w:t>
      </w:r>
      <w:r w:rsidRPr="007046A9" w:rsidR="0015055F">
        <w:rPr>
          <w:rFonts w:eastAsia="Calibri" w:cs="Times New Roman"/>
        </w:rPr>
        <w:lastRenderedPageBreak/>
        <w:t>adopted in 2021 and 2022 but does not establish their relevance to</w:t>
      </w:r>
      <w:r w:rsidR="00A30319">
        <w:rPr>
          <w:rFonts w:eastAsia="Calibri" w:cs="Times New Roman"/>
        </w:rPr>
        <w:t xml:space="preserve"> </w:t>
      </w:r>
      <w:r w:rsidRPr="007046A9" w:rsidR="004400E4">
        <w:rPr>
          <w:rFonts w:eastAsia="Calibri" w:cs="Times New Roman"/>
        </w:rPr>
        <w:t xml:space="preserve">the </w:t>
      </w:r>
      <w:r w:rsidRPr="007046A9" w:rsidR="0015055F">
        <w:rPr>
          <w:rFonts w:eastAsia="Calibri" w:cs="Times New Roman"/>
        </w:rPr>
        <w:t>petition filed in 2025.</w:t>
      </w:r>
      <w:r w:rsidR="00661494">
        <w:rPr>
          <w:rStyle w:val="FootnoteReference"/>
          <w:rFonts w:eastAsia="Calibri" w:cs="Times New Roman"/>
        </w:rPr>
        <w:footnoteReference w:id="13"/>
      </w:r>
    </w:p>
    <w:p w:rsidR="00C03252" w:rsidP="00327A19" w:rsidRDefault="000A0550" w14:paraId="50D4F199" w14:textId="47D5A1C8">
      <w:pPr>
        <w:rPr>
          <w:rFonts w:eastAsia="Calibri" w:cs="Times New Roman"/>
        </w:rPr>
      </w:pPr>
      <w:r>
        <w:rPr>
          <w:rFonts w:eastAsia="Calibri" w:cs="Times New Roman"/>
        </w:rPr>
        <w:t xml:space="preserve">The </w:t>
      </w:r>
      <w:r w:rsidR="004400E4">
        <w:rPr>
          <w:rFonts w:eastAsia="Calibri" w:cs="Times New Roman"/>
        </w:rPr>
        <w:t>Commission</w:t>
      </w:r>
      <w:r>
        <w:rPr>
          <w:rFonts w:eastAsia="Calibri" w:cs="Times New Roman"/>
        </w:rPr>
        <w:t xml:space="preserve"> finds Cal Advocates</w:t>
      </w:r>
      <w:r w:rsidR="00BF1118">
        <w:rPr>
          <w:rFonts w:eastAsia="Calibri" w:cs="Times New Roman"/>
        </w:rPr>
        <w:t>’</w:t>
      </w:r>
      <w:r>
        <w:rPr>
          <w:rFonts w:eastAsia="Calibri" w:cs="Times New Roman"/>
        </w:rPr>
        <w:t xml:space="preserve"> contentions persuasive.</w:t>
      </w:r>
      <w:r w:rsidR="004400E4">
        <w:rPr>
          <w:rFonts w:eastAsia="Calibri" w:cs="Times New Roman"/>
        </w:rPr>
        <w:t xml:space="preserve"> </w:t>
      </w:r>
      <w:r w:rsidR="00A84324">
        <w:rPr>
          <w:rFonts w:eastAsia="Calibri" w:cs="Times New Roman"/>
        </w:rPr>
        <w:t xml:space="preserve"> </w:t>
      </w:r>
      <w:r w:rsidRPr="00C03252" w:rsidR="00C03252">
        <w:rPr>
          <w:rFonts w:eastAsia="Calibri" w:cs="Times New Roman"/>
        </w:rPr>
        <w:t>The Petition was filed</w:t>
      </w:r>
      <w:r w:rsidR="00447110">
        <w:rPr>
          <w:rFonts w:eastAsia="Calibri" w:cs="Times New Roman"/>
        </w:rPr>
        <w:t xml:space="preserve"> on March 6, 2025,</w:t>
      </w:r>
      <w:r w:rsidRPr="00C03252" w:rsidR="00C03252">
        <w:rPr>
          <w:rFonts w:eastAsia="Calibri" w:cs="Times New Roman"/>
        </w:rPr>
        <w:t xml:space="preserve"> more than </w:t>
      </w:r>
      <w:r w:rsidR="00447110">
        <w:rPr>
          <w:rFonts w:eastAsia="Calibri" w:cs="Times New Roman"/>
        </w:rPr>
        <w:t>four</w:t>
      </w:r>
      <w:r w:rsidRPr="00C03252" w:rsidR="00C03252">
        <w:rPr>
          <w:rFonts w:eastAsia="Calibri" w:cs="Times New Roman"/>
        </w:rPr>
        <w:t xml:space="preserve"> year</w:t>
      </w:r>
      <w:r w:rsidR="00447110">
        <w:rPr>
          <w:rFonts w:eastAsia="Calibri" w:cs="Times New Roman"/>
        </w:rPr>
        <w:t>s</w:t>
      </w:r>
      <w:r w:rsidRPr="00C03252" w:rsidR="00C03252">
        <w:rPr>
          <w:rFonts w:eastAsia="Calibri" w:cs="Times New Roman"/>
        </w:rPr>
        <w:t xml:space="preserve"> after D.20-08-043</w:t>
      </w:r>
      <w:r w:rsidR="00A907C0">
        <w:rPr>
          <w:rFonts w:eastAsia="Calibri" w:cs="Times New Roman"/>
        </w:rPr>
        <w:t xml:space="preserve"> became</w:t>
      </w:r>
      <w:r w:rsidRPr="00C03252" w:rsidR="00C03252">
        <w:rPr>
          <w:rFonts w:eastAsia="Calibri" w:cs="Times New Roman"/>
        </w:rPr>
        <w:t xml:space="preserve"> effective</w:t>
      </w:r>
      <w:r w:rsidR="00447110">
        <w:rPr>
          <w:rFonts w:eastAsia="Calibri" w:cs="Times New Roman"/>
        </w:rPr>
        <w:t xml:space="preserve"> on August 27, 2020</w:t>
      </w:r>
      <w:r w:rsidRPr="00C03252" w:rsidR="00C03252">
        <w:rPr>
          <w:rFonts w:eastAsia="Calibri" w:cs="Times New Roman"/>
        </w:rPr>
        <w:t xml:space="preserve">. </w:t>
      </w:r>
      <w:r w:rsidR="00A84324">
        <w:rPr>
          <w:rFonts w:eastAsia="Calibri" w:cs="Times New Roman"/>
        </w:rPr>
        <w:t xml:space="preserve"> </w:t>
      </w:r>
      <w:r w:rsidR="00DF1929">
        <w:rPr>
          <w:rFonts w:eastAsia="Calibri" w:cs="Times New Roman"/>
        </w:rPr>
        <w:t>T</w:t>
      </w:r>
      <w:r w:rsidR="00960C5D">
        <w:rPr>
          <w:rFonts w:eastAsia="Calibri" w:cs="Times New Roman"/>
        </w:rPr>
        <w:t>he legislature a</w:t>
      </w:r>
      <w:r w:rsidR="00DF1929">
        <w:rPr>
          <w:rFonts w:eastAsia="Calibri" w:cs="Times New Roman"/>
        </w:rPr>
        <w:t>uthorized</w:t>
      </w:r>
      <w:r w:rsidR="004D688C">
        <w:rPr>
          <w:rFonts w:eastAsia="Calibri" w:cs="Times New Roman"/>
        </w:rPr>
        <w:t xml:space="preserve"> </w:t>
      </w:r>
      <w:r w:rsidR="00960C5D">
        <w:rPr>
          <w:rFonts w:eastAsia="Calibri" w:cs="Times New Roman"/>
        </w:rPr>
        <w:t xml:space="preserve">CCAs </w:t>
      </w:r>
      <w:r w:rsidR="00DF1929">
        <w:rPr>
          <w:rFonts w:eastAsia="Calibri" w:cs="Times New Roman"/>
        </w:rPr>
        <w:t>to participate</w:t>
      </w:r>
      <w:r w:rsidR="00960C5D">
        <w:rPr>
          <w:rFonts w:eastAsia="Calibri" w:cs="Times New Roman"/>
        </w:rPr>
        <w:t xml:space="preserve"> in the BioMAT </w:t>
      </w:r>
      <w:r w:rsidR="00DF1929">
        <w:rPr>
          <w:rFonts w:eastAsia="Calibri" w:cs="Times New Roman"/>
        </w:rPr>
        <w:t>in</w:t>
      </w:r>
      <w:r w:rsidR="00960C5D">
        <w:rPr>
          <w:rFonts w:eastAsia="Calibri" w:cs="Times New Roman"/>
        </w:rPr>
        <w:t xml:space="preserve"> </w:t>
      </w:r>
      <w:r w:rsidR="004D688C">
        <w:rPr>
          <w:rFonts w:eastAsia="Calibri" w:cs="Times New Roman"/>
        </w:rPr>
        <w:t>AB 843</w:t>
      </w:r>
      <w:r w:rsidR="00DF1929">
        <w:rPr>
          <w:rFonts w:eastAsia="Calibri" w:cs="Times New Roman"/>
        </w:rPr>
        <w:t>,</w:t>
      </w:r>
      <w:r w:rsidR="004D688C">
        <w:rPr>
          <w:rFonts w:eastAsia="Calibri" w:cs="Times New Roman"/>
        </w:rPr>
        <w:t xml:space="preserve"> </w:t>
      </w:r>
      <w:r w:rsidR="00F344F7">
        <w:rPr>
          <w:rFonts w:eastAsia="Calibri" w:cs="Times New Roman"/>
        </w:rPr>
        <w:t xml:space="preserve">which the Governor approved </w:t>
      </w:r>
      <w:r w:rsidR="004D688C">
        <w:rPr>
          <w:rFonts w:eastAsia="Calibri" w:cs="Times New Roman"/>
        </w:rPr>
        <w:t xml:space="preserve">on September 23, 2021, </w:t>
      </w:r>
      <w:r w:rsidR="00F344F7">
        <w:rPr>
          <w:rFonts w:eastAsia="Calibri" w:cs="Times New Roman"/>
        </w:rPr>
        <w:t>more than</w:t>
      </w:r>
      <w:r w:rsidR="00447110">
        <w:rPr>
          <w:rFonts w:eastAsia="Calibri" w:cs="Times New Roman"/>
        </w:rPr>
        <w:t xml:space="preserve"> </w:t>
      </w:r>
      <w:r w:rsidR="00DF1929">
        <w:rPr>
          <w:rFonts w:eastAsia="Calibri" w:cs="Times New Roman"/>
        </w:rPr>
        <w:t>three</w:t>
      </w:r>
      <w:r w:rsidR="004D688C">
        <w:rPr>
          <w:rFonts w:eastAsia="Calibri" w:cs="Times New Roman"/>
        </w:rPr>
        <w:t xml:space="preserve"> year</w:t>
      </w:r>
      <w:r w:rsidR="005E7952">
        <w:rPr>
          <w:rFonts w:eastAsia="Calibri" w:cs="Times New Roman"/>
        </w:rPr>
        <w:t>s</w:t>
      </w:r>
      <w:r w:rsidR="004D688C">
        <w:rPr>
          <w:rFonts w:eastAsia="Calibri" w:cs="Times New Roman"/>
        </w:rPr>
        <w:t xml:space="preserve"> </w:t>
      </w:r>
      <w:r w:rsidR="00DF1929">
        <w:rPr>
          <w:rFonts w:eastAsia="Calibri" w:cs="Times New Roman"/>
        </w:rPr>
        <w:t xml:space="preserve">before the Petition was filed. </w:t>
      </w:r>
      <w:r w:rsidR="00A84324">
        <w:rPr>
          <w:rFonts w:eastAsia="Calibri" w:cs="Times New Roman"/>
        </w:rPr>
        <w:t xml:space="preserve"> </w:t>
      </w:r>
      <w:r w:rsidR="005C3B03">
        <w:rPr>
          <w:rFonts w:eastAsia="Calibri" w:cs="Times New Roman"/>
        </w:rPr>
        <w:t xml:space="preserve">The Commission affirmed that R.18-07-003 was the appropriate venue to consider </w:t>
      </w:r>
      <w:r w:rsidR="006C013A">
        <w:rPr>
          <w:rFonts w:eastAsia="Calibri" w:cs="Times New Roman"/>
        </w:rPr>
        <w:t xml:space="preserve">changes to the BioMAT program sunset date on April 6, 2023, which is </w:t>
      </w:r>
      <w:r w:rsidR="00946675">
        <w:rPr>
          <w:rFonts w:eastAsia="Calibri" w:cs="Times New Roman"/>
        </w:rPr>
        <w:t>almost</w:t>
      </w:r>
      <w:r w:rsidR="005E7952">
        <w:rPr>
          <w:rFonts w:eastAsia="Calibri" w:cs="Times New Roman"/>
        </w:rPr>
        <w:t xml:space="preserve"> </w:t>
      </w:r>
      <w:r w:rsidR="006C013A">
        <w:rPr>
          <w:rFonts w:eastAsia="Calibri" w:cs="Times New Roman"/>
        </w:rPr>
        <w:t>two years before the Petition was filed.</w:t>
      </w:r>
      <w:r w:rsidR="00B975F5">
        <w:rPr>
          <w:rStyle w:val="FootnoteReference"/>
          <w:rFonts w:eastAsia="Calibri" w:cs="Times New Roman"/>
        </w:rPr>
        <w:footnoteReference w:id="14"/>
      </w:r>
      <w:r w:rsidR="00327A19">
        <w:rPr>
          <w:rFonts w:eastAsia="Calibri" w:cs="Times New Roman"/>
        </w:rPr>
        <w:t xml:space="preserve"> </w:t>
      </w:r>
      <w:r w:rsidR="00A84324">
        <w:rPr>
          <w:rFonts w:eastAsia="Calibri" w:cs="Times New Roman"/>
        </w:rPr>
        <w:t xml:space="preserve"> </w:t>
      </w:r>
      <w:r w:rsidR="00A907C0">
        <w:rPr>
          <w:rFonts w:eastAsia="Calibri" w:cs="Times New Roman"/>
        </w:rPr>
        <w:t xml:space="preserve">Therefore, </w:t>
      </w:r>
      <w:r w:rsidR="00327A19">
        <w:rPr>
          <w:rFonts w:eastAsia="Calibri" w:cs="Times New Roman"/>
        </w:rPr>
        <w:t xml:space="preserve">based on the record, </w:t>
      </w:r>
      <w:r w:rsidR="00A907C0">
        <w:rPr>
          <w:rFonts w:eastAsia="Calibri" w:cs="Times New Roman"/>
        </w:rPr>
        <w:t>t</w:t>
      </w:r>
      <w:r w:rsidRPr="00C03252" w:rsidR="00C03252">
        <w:rPr>
          <w:rFonts w:eastAsia="Calibri" w:cs="Times New Roman"/>
        </w:rPr>
        <w:t xml:space="preserve">he Commission </w:t>
      </w:r>
      <w:r w:rsidRPr="00A56291" w:rsidR="00A56291">
        <w:rPr>
          <w:rFonts w:eastAsia="Calibri" w:cs="Times New Roman"/>
        </w:rPr>
        <w:t>finds that the Petitioner do</w:t>
      </w:r>
      <w:r w:rsidR="00C41F78">
        <w:rPr>
          <w:rFonts w:eastAsia="Calibri" w:cs="Times New Roman"/>
        </w:rPr>
        <w:t>es</w:t>
      </w:r>
      <w:r w:rsidRPr="00A56291" w:rsidR="00A56291">
        <w:rPr>
          <w:rFonts w:eastAsia="Calibri" w:cs="Times New Roman"/>
        </w:rPr>
        <w:t xml:space="preserve"> not sufficiently justify the delayed filing of the Petition and concludes that the Petition does not satisfy the </w:t>
      </w:r>
      <w:r w:rsidR="003818AA">
        <w:rPr>
          <w:rFonts w:eastAsia="Calibri" w:cs="Times New Roman"/>
        </w:rPr>
        <w:t xml:space="preserve">timeliness </w:t>
      </w:r>
      <w:r w:rsidRPr="00A56291" w:rsidR="00A56291">
        <w:rPr>
          <w:rFonts w:eastAsia="Calibri" w:cs="Times New Roman"/>
        </w:rPr>
        <w:t>requirement of Rule 16.4.</w:t>
      </w:r>
    </w:p>
    <w:p w:rsidR="00603238" w:rsidP="00FA1B4F" w:rsidRDefault="00603238" w14:paraId="6A29B6F4" w14:textId="77777777">
      <w:pPr>
        <w:pStyle w:val="Heading1"/>
      </w:pPr>
      <w:bookmarkStart w:name="_Toc224213599" w:id="9"/>
      <w:bookmarkStart w:name="_Toc8123721" w:id="10"/>
      <w:r>
        <w:t>Summary of Public Comment</w:t>
      </w:r>
      <w:bookmarkEnd w:id="9"/>
    </w:p>
    <w:p w:rsidRPr="008B175A" w:rsidR="004A1EAD" w:rsidP="00C03252" w:rsidRDefault="00C03252" w14:paraId="4C9E60DA" w14:textId="746BE9C2">
      <w:r w:rsidRPr="00C03252">
        <w:t>Rule 1.18 allows any member of the public to submit written comment in any Commission proceeding using the “Public Comment” tab of the online Docket Card for that proceeding on the Commission’s website.  Rule</w:t>
      </w:r>
      <w:r w:rsidR="00A84324">
        <w:t> </w:t>
      </w:r>
      <w:r w:rsidRPr="00C03252">
        <w:t xml:space="preserve">1.18(b) requires that relevant written comment submitted in a proceeding be summarized in the final decision issued in that proceeding. </w:t>
      </w:r>
      <w:r w:rsidR="00A84324">
        <w:t xml:space="preserve"> </w:t>
      </w:r>
      <w:r w:rsidRPr="00C03252">
        <w:t>There are no relevant comments on the Docket Card pertaining to this subject matter.</w:t>
      </w:r>
      <w:bookmarkStart w:name="_Toc8123723" w:id="11"/>
      <w:bookmarkEnd w:id="10"/>
    </w:p>
    <w:p w:rsidR="005939A5" w:rsidP="005939A5" w:rsidRDefault="005939A5" w14:paraId="72F6590B" w14:textId="77777777">
      <w:pPr>
        <w:pStyle w:val="Heading1"/>
      </w:pPr>
      <w:bookmarkStart w:name="_Toc224213600" w:id="12"/>
      <w:r>
        <w:t>Comments on Proposed Decision</w:t>
      </w:r>
      <w:bookmarkEnd w:id="11"/>
      <w:bookmarkEnd w:id="12"/>
    </w:p>
    <w:p w:rsidR="005939A5" w:rsidP="005C58FA" w:rsidRDefault="00C03252" w14:paraId="24965796" w14:textId="014DD28D">
      <w:pPr>
        <w:pStyle w:val="Standard"/>
      </w:pPr>
      <w:r>
        <w:t xml:space="preserve">The proposed decision of ALJ </w:t>
      </w:r>
      <w:r w:rsidR="00367736">
        <w:t xml:space="preserve">Zita Kline </w:t>
      </w:r>
      <w:r w:rsidR="005C58FA">
        <w:t xml:space="preserve">in this matter was mailed to the parties in accordance with Section 311 of the Public Utilities Code and comments were allowed under Rule 14.3 of the Commission’s Rules of Practice and </w:t>
      </w:r>
      <w:r w:rsidR="005C58FA">
        <w:lastRenderedPageBreak/>
        <w:t xml:space="preserve">Procedure.  Comments were filed on </w:t>
      </w:r>
      <w:r w:rsidR="007A2982">
        <w:t>April 30, 2026 by BAC</w:t>
      </w:r>
      <w:r w:rsidR="005C58FA">
        <w:t xml:space="preserve">, and </w:t>
      </w:r>
      <w:r w:rsidR="007A2982">
        <w:t xml:space="preserve">no </w:t>
      </w:r>
      <w:r w:rsidR="005C58FA">
        <w:t>reply comments were filed.</w:t>
      </w:r>
    </w:p>
    <w:p w:rsidR="007A2982" w:rsidP="00444AC2" w:rsidRDefault="007A2982" w14:paraId="4C92C413" w14:textId="0B99BEE7">
      <w:pPr>
        <w:pStyle w:val="Standard"/>
      </w:pPr>
      <w:r>
        <w:t xml:space="preserve">We have carefully reviewed and considered BAC’s comments, and concluded that BAC did not raise any factual, legal, or technical errors that would warrant modification to the proposed decision. </w:t>
      </w:r>
      <w:r w:rsidR="00322E09">
        <w:t xml:space="preserve"> </w:t>
      </w:r>
      <w:r>
        <w:t>The Commission responds to BAC’s comments below.</w:t>
      </w:r>
    </w:p>
    <w:p w:rsidR="007A2982" w:rsidP="00444AC2" w:rsidRDefault="007A2982" w14:paraId="7BF664A5" w14:textId="059907F6">
      <w:pPr>
        <w:pStyle w:val="Standard"/>
      </w:pPr>
      <w:r>
        <w:t xml:space="preserve">First, BAC opposes the proposed decision, arguing that the CPUC’s Rules of Practice and Procedure do not authorize or envision the issuance of a second proposed decision by a different Administrative Law Judge. </w:t>
      </w:r>
      <w:r w:rsidR="00322E09">
        <w:t xml:space="preserve"> </w:t>
      </w:r>
      <w:r>
        <w:t>Similarly, BAC argues that the second proposed decision “appears to replace the first proposed decision issued on September 18, 2025, without withdrawing the first proposed decision.”</w:t>
      </w:r>
      <w:r w:rsidR="00444AC2">
        <w:rPr>
          <w:rStyle w:val="FootnoteReference"/>
        </w:rPr>
        <w:footnoteReference w:id="15"/>
      </w:r>
    </w:p>
    <w:p w:rsidR="007A2982" w:rsidP="006419E4" w:rsidRDefault="007A2982" w14:paraId="6B9CBCBD" w14:textId="79F8EF01">
      <w:pPr>
        <w:pStyle w:val="Standard"/>
      </w:pPr>
      <w:r>
        <w:t xml:space="preserve">We disagree. Article 14 of the Commission’s Rules of Practice and Procedure sets forth the rules pertaining to issuance of proposed decisions. </w:t>
      </w:r>
      <w:r w:rsidR="00322E09">
        <w:t xml:space="preserve"> </w:t>
      </w:r>
      <w:r w:rsidR="00D11357">
        <w:t>BAC fails to identify</w:t>
      </w:r>
      <w:r>
        <w:t xml:space="preserve"> rules in Article 14 that prevent the Commission from </w:t>
      </w:r>
      <w:r w:rsidR="0002463C">
        <w:t>issuing</w:t>
      </w:r>
      <w:r>
        <w:t xml:space="preserve"> a</w:t>
      </w:r>
      <w:r w:rsidR="0002463C">
        <w:t xml:space="preserve"> new</w:t>
      </w:r>
      <w:r>
        <w:t xml:space="preserve"> proposed decision </w:t>
      </w:r>
      <w:r w:rsidR="00D11357">
        <w:t xml:space="preserve">where </w:t>
      </w:r>
      <w:r w:rsidR="0002463C">
        <w:t>a prior</w:t>
      </w:r>
      <w:r w:rsidR="00D11357">
        <w:t xml:space="preserve"> proposed decision was withdrawn</w:t>
      </w:r>
      <w:r>
        <w:t xml:space="preserve">. </w:t>
      </w:r>
      <w:r w:rsidR="00322E09">
        <w:t xml:space="preserve"> </w:t>
      </w:r>
      <w:r>
        <w:t>Likewise, there is no requirement in rule or statute that the Commission explain why a proposed decision was withdrawn.</w:t>
      </w:r>
    </w:p>
    <w:p w:rsidR="007A2982" w:rsidP="00444AC2" w:rsidRDefault="007A2982" w14:paraId="10CB9D8E" w14:textId="75A35933">
      <w:pPr>
        <w:pStyle w:val="Standard"/>
      </w:pPr>
      <w:r>
        <w:t xml:space="preserve">Similarly, coassignments on large, complex, or extended rulemakings such as the Renewables Portfolio Standards rulemaking proceedings are consistent with Commission practice and promote administrative efficiency. </w:t>
      </w:r>
      <w:r w:rsidR="00322E09">
        <w:t xml:space="preserve"> </w:t>
      </w:r>
      <w:r>
        <w:t>For example, R.24-01-017, the successor RPS rulemaking, has two co-assigned ALJs, with rulings and decisions that can be issued by either ALJ, or jointly.</w:t>
      </w:r>
    </w:p>
    <w:p w:rsidR="007A2982" w:rsidP="00A315F0" w:rsidRDefault="007A2982" w14:paraId="281D23BA" w14:textId="683EAD0C">
      <w:pPr>
        <w:pStyle w:val="Standard"/>
      </w:pPr>
      <w:r>
        <w:lastRenderedPageBreak/>
        <w:t>In this proceeding, a proposed decision was issued on September 18, 2025, placed on the Commission’s voting meeting agenda but held several times for further review, and ultimately withdrawn prior to the January 15, 2026</w:t>
      </w:r>
      <w:r w:rsidR="00322E09">
        <w:t>,</w:t>
      </w:r>
      <w:r>
        <w:t xml:space="preserve"> voting meeting agenda.</w:t>
      </w:r>
      <w:r w:rsidR="00444AC2">
        <w:rPr>
          <w:rStyle w:val="FootnoteReference"/>
        </w:rPr>
        <w:footnoteReference w:id="16"/>
      </w:r>
      <w:r>
        <w:t xml:space="preserve"> </w:t>
      </w:r>
      <w:r w:rsidR="00322E09">
        <w:t xml:space="preserve"> </w:t>
      </w:r>
      <w:r>
        <w:t xml:space="preserve">Therefore, BAC’s assertion that the proposed decision was not withdrawn is in error. </w:t>
      </w:r>
      <w:r w:rsidR="00322E09">
        <w:t xml:space="preserve"> </w:t>
      </w:r>
      <w:r>
        <w:t>Because the Commission did not hear and vote on the proposed decision, dated September 18, 2025, that proposed decision has no legal effect.</w:t>
      </w:r>
      <w:r w:rsidR="00444AC2">
        <w:rPr>
          <w:rStyle w:val="FootnoteReference"/>
        </w:rPr>
        <w:footnoteReference w:id="17"/>
      </w:r>
      <w:r w:rsidR="00444AC2">
        <w:t xml:space="preserve"> </w:t>
      </w:r>
      <w:r w:rsidR="00322E09">
        <w:t xml:space="preserve"> </w:t>
      </w:r>
      <w:r>
        <w:t>The notice accompanying the September 18, 202</w:t>
      </w:r>
      <w:r w:rsidR="008F4B2C">
        <w:t>5</w:t>
      </w:r>
      <w:r w:rsidR="00322E09">
        <w:t>,</w:t>
      </w:r>
      <w:r>
        <w:t xml:space="preserve"> proposed decision clearly states, “[u]ntil and unless the Commission hears the item and votes on it, the proposed decision has no legal effect.”</w:t>
      </w:r>
    </w:p>
    <w:p w:rsidR="007A2982" w:rsidP="00A315F0" w:rsidRDefault="007A2982" w14:paraId="207A5BD2" w14:textId="7CEC844B">
      <w:pPr>
        <w:pStyle w:val="Standard"/>
      </w:pPr>
      <w:r>
        <w:t xml:space="preserve">Withdrawal of </w:t>
      </w:r>
      <w:r w:rsidR="00A315F0">
        <w:t>a</w:t>
      </w:r>
      <w:r>
        <w:t xml:space="preserve"> proposed decision does not affect the placement of a proposed decision on the proceeding docket card. </w:t>
      </w:r>
      <w:r w:rsidR="00322E09">
        <w:t xml:space="preserve"> </w:t>
      </w:r>
      <w:r>
        <w:t>Therefore, a proposed decision will remain on the proceeding docket card even if it is later withdrawn and no longer pending before the Commission.</w:t>
      </w:r>
    </w:p>
    <w:p w:rsidR="007A2982" w:rsidP="0002463C" w:rsidRDefault="007A2982" w14:paraId="4813D21C" w14:textId="0D6CC8D8">
      <w:pPr>
        <w:pStyle w:val="Standard"/>
      </w:pPr>
      <w:r>
        <w:t>By arguing that this decision is a “second proposed decision,” BAC mistakenly implies that there are two proposed decisions by different ALJs before the Commission for the May 14, 2026</w:t>
      </w:r>
      <w:r w:rsidR="00322E09">
        <w:t>,</w:t>
      </w:r>
      <w:r>
        <w:t xml:space="preserve"> agenda meeting. </w:t>
      </w:r>
      <w:r w:rsidR="00322E09">
        <w:t xml:space="preserve"> </w:t>
      </w:r>
      <w:r>
        <w:t>This is in error. Only this proposed decision resolving BAC’s PFM is before the Commission as item 17 for the May 14, 2026</w:t>
      </w:r>
      <w:r w:rsidR="00322E09">
        <w:t>,</w:t>
      </w:r>
      <w:r>
        <w:t xml:space="preserve"> agenda meeting.</w:t>
      </w:r>
      <w:r w:rsidR="00A315F0">
        <w:rPr>
          <w:rStyle w:val="FootnoteReference"/>
        </w:rPr>
        <w:footnoteReference w:id="18"/>
      </w:r>
      <w:r w:rsidR="00322E09">
        <w:t xml:space="preserve"> </w:t>
      </w:r>
      <w:r>
        <w:t xml:space="preserve"> There is no alternate decision by an ALJ or Commissioner for the Commission’s consideration.</w:t>
      </w:r>
    </w:p>
    <w:p w:rsidR="007A2982" w:rsidP="006419E4" w:rsidRDefault="007A2982" w14:paraId="50396EF2" w14:textId="4B0CAE78">
      <w:pPr>
        <w:pStyle w:val="Standard"/>
      </w:pPr>
      <w:r>
        <w:t xml:space="preserve">BAC also objects to this decision, stating that “the second proposed decision reaches the opposite conclusion from the first proposed decision on whether BAC’s Petition was timely filed, yet never explains why the two </w:t>
      </w:r>
      <w:r>
        <w:lastRenderedPageBreak/>
        <w:t>proposed decisions reached opposite conclusions on this or points to any standards or precedent for this reversal[.]”</w:t>
      </w:r>
      <w:r w:rsidR="00A315F0">
        <w:rPr>
          <w:rStyle w:val="FootnoteReference"/>
        </w:rPr>
        <w:footnoteReference w:id="19"/>
      </w:r>
      <w:r w:rsidR="006419E4">
        <w:t xml:space="preserve"> </w:t>
      </w:r>
      <w:r w:rsidR="00322E09">
        <w:t xml:space="preserve"> </w:t>
      </w:r>
      <w:r>
        <w:t xml:space="preserve">However, the proposed decision issued on September 18, 2025, has no legal effect and has been withdrawn from consideration. </w:t>
      </w:r>
      <w:r w:rsidR="00322E09">
        <w:t xml:space="preserve"> </w:t>
      </w:r>
      <w:r>
        <w:t xml:space="preserve">Therefore, the Commission has no reason to compare and contrast the two proposed decisions, and BAC fails to cite any legal authority requiring the Commission </w:t>
      </w:r>
      <w:r w:rsidR="006419E4">
        <w:t>to do</w:t>
      </w:r>
      <w:r>
        <w:t xml:space="preserve"> so.</w:t>
      </w:r>
    </w:p>
    <w:p w:rsidR="007A2982" w:rsidP="006419E4" w:rsidRDefault="007A2982" w14:paraId="48CF19FC" w14:textId="3F21ADBA">
      <w:pPr>
        <w:pStyle w:val="Standard"/>
      </w:pPr>
      <w:r>
        <w:t xml:space="preserve">Finally, BAC asserts that the second proposed decision violates Pub. Util. Code </w:t>
      </w:r>
      <w:r w:rsidR="00A315F0">
        <w:t>S</w:t>
      </w:r>
      <w:r>
        <w:t xml:space="preserve">ection 399.20(f)(2) by ending BioMAT without adopting a successor program. </w:t>
      </w:r>
      <w:r w:rsidR="00322E09">
        <w:t xml:space="preserve"> </w:t>
      </w:r>
      <w:r>
        <w:t>However, this decision does not reach BAC’s substantive arguments as it dismisses the PFM on procedural grounds.</w:t>
      </w:r>
      <w:r w:rsidR="006419E4">
        <w:t xml:space="preserve"> </w:t>
      </w:r>
      <w:r w:rsidR="00322E09">
        <w:t xml:space="preserve"> </w:t>
      </w:r>
      <w:r>
        <w:t xml:space="preserve">Rule 16.4(d) establishes the timeliness requirement for petitions to modify decisions. </w:t>
      </w:r>
      <w:r w:rsidR="00322E09">
        <w:t xml:space="preserve"> </w:t>
      </w:r>
      <w:r>
        <w:t xml:space="preserve">As such, a petition for modification must be filed and served within one year of the effective date of the decision proposed to be modified. </w:t>
      </w:r>
      <w:r w:rsidR="00322E09">
        <w:t xml:space="preserve"> </w:t>
      </w:r>
      <w:r>
        <w:t>If more than one year has elapsed, the petition must also explain why the petition could not have been presented within one year of the effective date of the decision. Determining whether the late submission has been sufficiently justified by the petitioner is entirely discretionary.</w:t>
      </w:r>
      <w:r w:rsidR="00A315F0">
        <w:rPr>
          <w:rStyle w:val="FootnoteReference"/>
        </w:rPr>
        <w:footnoteReference w:id="20"/>
      </w:r>
      <w:r>
        <w:t xml:space="preserve"> </w:t>
      </w:r>
      <w:r w:rsidR="00322E09">
        <w:t xml:space="preserve"> </w:t>
      </w:r>
      <w:r>
        <w:t>If the Commission determines that the late submission has not been justified, “it may on that ground (alone) issue a summary denial of the petition</w:t>
      </w:r>
      <w:r w:rsidR="006419E4">
        <w:t>,</w:t>
      </w:r>
      <w:r>
        <w:t>”</w:t>
      </w:r>
      <w:r w:rsidR="006419E4">
        <w:rPr>
          <w:rStyle w:val="FootnoteReference"/>
        </w:rPr>
        <w:footnoteReference w:id="21"/>
      </w:r>
      <w:r>
        <w:t xml:space="preserve"> as this proposed decision does.</w:t>
      </w:r>
    </w:p>
    <w:p w:rsidR="005939A5" w:rsidP="00C358E2" w:rsidRDefault="005939A5" w14:paraId="36AADC27" w14:textId="77777777">
      <w:pPr>
        <w:pStyle w:val="Heading1"/>
        <w:spacing w:after="0" w:line="360" w:lineRule="auto"/>
      </w:pPr>
      <w:bookmarkStart w:name="_Toc8123724" w:id="13"/>
      <w:bookmarkStart w:name="_Toc224213601" w:id="14"/>
      <w:r>
        <w:t>Assignment of Proceeding</w:t>
      </w:r>
      <w:bookmarkEnd w:id="13"/>
      <w:bookmarkEnd w:id="14"/>
    </w:p>
    <w:p w:rsidR="005939A5" w:rsidP="006E6574" w:rsidRDefault="00947A12" w14:paraId="53CC82A8" w14:textId="447B7CD6">
      <w:pPr>
        <w:pStyle w:val="Standard"/>
      </w:pPr>
      <w:r>
        <w:t>Christine Harada</w:t>
      </w:r>
      <w:r w:rsidR="005939A5">
        <w:t xml:space="preserve"> is the assigned Commissioner and </w:t>
      </w:r>
      <w:r w:rsidR="005E3CAC">
        <w:t>Nilgun Atamturk</w:t>
      </w:r>
      <w:r w:rsidR="005939A5">
        <w:t xml:space="preserve"> </w:t>
      </w:r>
      <w:r w:rsidR="00367736">
        <w:t>and Zita Kline are</w:t>
      </w:r>
      <w:r w:rsidR="005939A5">
        <w:t xml:space="preserve"> the assigned Administrative Law Judge</w:t>
      </w:r>
      <w:r w:rsidR="00367736">
        <w:t>s</w:t>
      </w:r>
      <w:r w:rsidR="005939A5">
        <w:t xml:space="preserve"> in this proceeding.</w:t>
      </w:r>
    </w:p>
    <w:p w:rsidR="005939A5" w:rsidP="00C358E2" w:rsidRDefault="005939A5" w14:paraId="67BD539A" w14:textId="77777777">
      <w:pPr>
        <w:pStyle w:val="Dummy"/>
        <w:spacing w:after="0" w:line="360" w:lineRule="auto"/>
      </w:pPr>
      <w:bookmarkStart w:name="_Toc8123725" w:id="15"/>
      <w:bookmarkStart w:name="_Toc224213602" w:id="16"/>
      <w:r>
        <w:lastRenderedPageBreak/>
        <w:t>Findings of Fact</w:t>
      </w:r>
      <w:bookmarkEnd w:id="15"/>
      <w:bookmarkEnd w:id="16"/>
    </w:p>
    <w:p w:rsidR="00F62B7A" w:rsidP="00CF0776" w:rsidRDefault="00D26B72" w14:paraId="653D1C5A" w14:textId="219323A5">
      <w:pPr>
        <w:pStyle w:val="FoF"/>
        <w:ind w:firstLine="360"/>
      </w:pPr>
      <w:r w:rsidRPr="00D26B72">
        <w:t xml:space="preserve">BAC filed its petition for modification </w:t>
      </w:r>
      <w:r w:rsidR="00326B41">
        <w:t xml:space="preserve">on </w:t>
      </w:r>
      <w:r w:rsidR="00326B41">
        <w:rPr>
          <w:rFonts w:eastAsia="Calibri" w:cs="Times New Roman"/>
        </w:rPr>
        <w:t>March 6, 2025</w:t>
      </w:r>
      <w:r w:rsidR="001D64C4">
        <w:rPr>
          <w:rFonts w:eastAsia="Calibri" w:cs="Times New Roman"/>
        </w:rPr>
        <w:t>,</w:t>
      </w:r>
      <w:r w:rsidR="00326B41">
        <w:rPr>
          <w:rFonts w:eastAsia="Calibri" w:cs="Times New Roman"/>
        </w:rPr>
        <w:t xml:space="preserve"> </w:t>
      </w:r>
      <w:r w:rsidRPr="00D26B72">
        <w:t xml:space="preserve">more than </w:t>
      </w:r>
      <w:r w:rsidR="00326B41">
        <w:t>four</w:t>
      </w:r>
      <w:r w:rsidRPr="00D26B72">
        <w:t xml:space="preserve"> year</w:t>
      </w:r>
      <w:r w:rsidR="00326B41">
        <w:t>s</w:t>
      </w:r>
      <w:r w:rsidRPr="00D26B72">
        <w:t xml:space="preserve"> after D.20</w:t>
      </w:r>
      <w:r w:rsidR="00A84324">
        <w:noBreakHyphen/>
      </w:r>
      <w:r w:rsidRPr="00D26B72">
        <w:t>08</w:t>
      </w:r>
      <w:r w:rsidR="00A84324">
        <w:noBreakHyphen/>
      </w:r>
      <w:r w:rsidRPr="00D26B72">
        <w:t>043 became effective</w:t>
      </w:r>
      <w:r>
        <w:t>.</w:t>
      </w:r>
    </w:p>
    <w:p w:rsidR="000A1427" w:rsidP="00CF0776" w:rsidRDefault="000A1427" w14:paraId="53B4F8DE" w14:textId="5FBBFF7F">
      <w:pPr>
        <w:pStyle w:val="FoF"/>
        <w:ind w:firstLine="360"/>
      </w:pPr>
      <w:r w:rsidRPr="000A1427">
        <w:t>AB 843</w:t>
      </w:r>
      <w:r>
        <w:t xml:space="preserve"> </w:t>
      </w:r>
      <w:r w:rsidRPr="000A1427">
        <w:t xml:space="preserve">authorized CCAs to participate in the </w:t>
      </w:r>
      <w:r>
        <w:t xml:space="preserve">BioMAT </w:t>
      </w:r>
      <w:r w:rsidRPr="000A1427">
        <w:t>program</w:t>
      </w:r>
      <w:r w:rsidR="00DE6F07">
        <w:t xml:space="preserve">, and was signed by the Governor on </w:t>
      </w:r>
      <w:r w:rsidR="00DE6F07">
        <w:rPr>
          <w:rFonts w:eastAsia="Calibri" w:cs="Times New Roman"/>
        </w:rPr>
        <w:t>September 23, 2021</w:t>
      </w:r>
      <w:r>
        <w:t>.</w:t>
      </w:r>
    </w:p>
    <w:p w:rsidR="000A1427" w:rsidP="00CF0776" w:rsidRDefault="00DE6F07" w14:paraId="3EEABB70" w14:textId="01B61C84">
      <w:pPr>
        <w:pStyle w:val="FoF"/>
        <w:ind w:firstLine="360"/>
      </w:pPr>
      <w:r>
        <w:rPr>
          <w:rFonts w:eastAsia="Calibri" w:cs="Times New Roman"/>
        </w:rPr>
        <w:t>The Commission affirmed that R.18-07-003 was the appropriate venue to consider changes to the BioMAT program sunset date on April 6, 2023</w:t>
      </w:r>
      <w:r w:rsidR="000A1427">
        <w:t>.</w:t>
      </w:r>
    </w:p>
    <w:p w:rsidRPr="001E2A62" w:rsidR="008E6AE6" w:rsidP="00CF0776" w:rsidRDefault="00694512" w14:paraId="5BE10AA5" w14:textId="7B59998E">
      <w:pPr>
        <w:pStyle w:val="FoF"/>
        <w:ind w:firstLine="360"/>
      </w:pPr>
      <w:r>
        <w:t>BAC does not sufficiently justify the delayed filing of the Petition.</w:t>
      </w:r>
    </w:p>
    <w:p w:rsidR="005939A5" w:rsidP="00C358E2" w:rsidRDefault="005939A5" w14:paraId="63625027" w14:textId="77777777">
      <w:pPr>
        <w:pStyle w:val="Dummy"/>
        <w:spacing w:after="0" w:line="360" w:lineRule="auto"/>
      </w:pPr>
      <w:bookmarkStart w:name="_Toc8123726" w:id="17"/>
      <w:bookmarkStart w:name="_Toc224213603" w:id="18"/>
      <w:r>
        <w:t>Conclusions of Law</w:t>
      </w:r>
      <w:bookmarkEnd w:id="17"/>
      <w:bookmarkEnd w:id="18"/>
    </w:p>
    <w:p w:rsidR="00694512" w:rsidP="00A84324" w:rsidRDefault="00D26B72" w14:paraId="6468A044" w14:textId="0B5A659F">
      <w:pPr>
        <w:pStyle w:val="CoL"/>
        <w:ind w:firstLine="360"/>
      </w:pPr>
      <w:r w:rsidRPr="00D26B72">
        <w:t>BAC’s P</w:t>
      </w:r>
      <w:r w:rsidR="006570CD">
        <w:t>etition</w:t>
      </w:r>
      <w:r w:rsidRPr="00D26B72">
        <w:t xml:space="preserve"> </w:t>
      </w:r>
      <w:r>
        <w:t xml:space="preserve">does not </w:t>
      </w:r>
      <w:r w:rsidRPr="00D26B72">
        <w:t>meet the timeliness requirement of Rule 16.4</w:t>
      </w:r>
      <w:r w:rsidR="000A2983">
        <w:t>.</w:t>
      </w:r>
    </w:p>
    <w:p w:rsidRPr="001E2A62" w:rsidR="000A2983" w:rsidP="00A84324" w:rsidRDefault="000A2983" w14:paraId="2B7569AB" w14:textId="2F23A2D8">
      <w:pPr>
        <w:pStyle w:val="CoL"/>
        <w:ind w:firstLine="360"/>
      </w:pPr>
      <w:r>
        <w:t>BAC’s P</w:t>
      </w:r>
      <w:r w:rsidR="006570CD">
        <w:t>etition</w:t>
      </w:r>
      <w:r>
        <w:t xml:space="preserve"> should be denied.</w:t>
      </w:r>
    </w:p>
    <w:p w:rsidRPr="001E2A62" w:rsidR="008F143D" w:rsidP="00A84324" w:rsidRDefault="00D26B72" w14:paraId="3DE2CFE1" w14:textId="767C43C0">
      <w:pPr>
        <w:pStyle w:val="CoL"/>
        <w:ind w:firstLine="360"/>
      </w:pPr>
      <w:r w:rsidRPr="00D26B72">
        <w:t>Rulemaking 18-07-003 should be closed.</w:t>
      </w:r>
    </w:p>
    <w:p w:rsidR="00BB0243" w:rsidP="000A6E05" w:rsidRDefault="005939A5" w14:paraId="414DD0DE" w14:textId="77777777">
      <w:pPr>
        <w:pStyle w:val="Mainex"/>
      </w:pPr>
      <w:bookmarkStart w:name="_Toc224213604" w:id="19"/>
      <w:r>
        <w:t>O</w:t>
      </w:r>
      <w:r w:rsidR="00722850">
        <w:t>RDER</w:t>
      </w:r>
      <w:bookmarkEnd w:id="19"/>
    </w:p>
    <w:p w:rsidR="00BB0243" w:rsidP="000A6E05" w:rsidRDefault="00BB0243" w14:paraId="61529E3A" w14:textId="77777777">
      <w:pPr>
        <w:keepNext/>
      </w:pPr>
      <w:r w:rsidRPr="00BB0243">
        <w:rPr>
          <w:b/>
        </w:rPr>
        <w:t>IT IS ORDERED</w:t>
      </w:r>
      <w:r>
        <w:t xml:space="preserve"> that:</w:t>
      </w:r>
    </w:p>
    <w:p w:rsidRPr="001E2A62" w:rsidR="00932865" w:rsidP="00CF0776" w:rsidRDefault="00D26B72" w14:paraId="398CFF25" w14:textId="26242219">
      <w:pPr>
        <w:pStyle w:val="OP"/>
        <w:numPr>
          <w:ilvl w:val="0"/>
          <w:numId w:val="23"/>
        </w:numPr>
        <w:ind w:firstLine="360"/>
      </w:pPr>
      <w:r w:rsidRPr="00D26B72">
        <w:t>The March 6, 2025, petition to modify Decision (D.) 20-08-043, filed by the Bioenergy Association of California Petition is denied</w:t>
      </w:r>
      <w:r>
        <w:t>.</w:t>
      </w:r>
    </w:p>
    <w:p w:rsidR="00F6397D" w:rsidP="00A84324" w:rsidRDefault="00E23CBB" w14:paraId="712513BE" w14:textId="030CC5DD">
      <w:pPr>
        <w:pStyle w:val="OP"/>
        <w:numPr>
          <w:ilvl w:val="0"/>
          <w:numId w:val="23"/>
        </w:numPr>
        <w:ind w:firstLine="360"/>
      </w:pPr>
      <w:r w:rsidRPr="001E2A62">
        <w:t>Rulemaking</w:t>
      </w:r>
      <w:r w:rsidR="00D26B72">
        <w:t xml:space="preserve"> 18-07-003</w:t>
      </w:r>
      <w:r w:rsidRPr="001E2A62">
        <w:t xml:space="preserve"> is closed.</w:t>
      </w:r>
    </w:p>
    <w:p w:rsidR="008F0116" w:rsidP="008F0116" w:rsidRDefault="008F0116" w14:paraId="3673500B" w14:textId="77777777">
      <w:r>
        <w:t>This order is effective today.</w:t>
      </w:r>
    </w:p>
    <w:p w:rsidRPr="00714CF2" w:rsidR="00714CF2" w:rsidP="00816E05" w:rsidRDefault="008F0116" w14:paraId="00D27EC1" w14:textId="524D6C05">
      <w:r>
        <w:t>Dated</w:t>
      </w:r>
      <w:r w:rsidR="00A84324">
        <w:t> May </w:t>
      </w:r>
      <w:r>
        <w:rPr>
          <w:u w:val="single"/>
        </w:rPr>
        <w:tab/>
      </w:r>
      <w:r>
        <w:rPr>
          <w:u w:val="single"/>
        </w:rPr>
        <w:tab/>
      </w:r>
      <w:r>
        <w:t>,</w:t>
      </w:r>
      <w:r w:rsidR="00A84324">
        <w:t> 2026, </w:t>
      </w:r>
      <w:r>
        <w:t>at San Francisco, California</w:t>
      </w:r>
    </w:p>
    <w:sectPr w:rsidRPr="00714CF2" w:rsidR="00714CF2" w:rsidSect="00B65E81">
      <w:headerReference w:type="default" r:id="rId11"/>
      <w:footerReference w:type="default" r:id="rId12"/>
      <w:footerReference w:type="first" r:id="rId13"/>
      <w:pgSz w:w="12240" w:h="15840"/>
      <w:pgMar w:top="1728" w:right="1440" w:bottom="1440" w:left="1440" w:header="720" w:footer="720" w:gutter="0"/>
      <w:pgNumType w:fmt="numberInDash" w:start="1"/>
      <w:cols w:space="720"/>
      <w:titlePg/>
      <w:docGrid w:linePitch="360"/>
    </w:sectPr>
    <w:p>
      <w:r>
        <w:t xml:space="preserve"/>
      </w:r>
    </w:p>
    <w:p>
      <w:r>
        <w:t xml:space="preserve">Attachment 1: </w:t>
      </w:r>
    </w:p>
    <w:p>
      <w:hyperlink w:history="true" r:id="Rcb786e17c0784295">
        <w:r w:rsidRPr="00CB1292">
          <w:rPr>
            <w:rStyle w:val="Hyperlink"/>
            <w:color w:val="2E74B5" w:themeColor="accent1" w:themeShade="BF"/>
            <w:u w:val="single"/>
          </w:rPr>
          <w:t>REDLINE R.18-07-003 PD OIR to Continue CA RPS ZK1 Agenda 5-14-2026 COMT.docx</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E90A1" w14:textId="77777777" w:rsidR="00492FC2" w:rsidRDefault="00492FC2" w:rsidP="0098138E">
      <w:pPr>
        <w:spacing w:line="240" w:lineRule="auto"/>
      </w:pPr>
      <w:r>
        <w:separator/>
      </w:r>
    </w:p>
  </w:endnote>
  <w:endnote w:type="continuationSeparator" w:id="0">
    <w:p w14:paraId="1EDB1667" w14:textId="77777777" w:rsidR="00492FC2" w:rsidRDefault="00492FC2"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871271"/>
      <w:docPartObj>
        <w:docPartGallery w:val="Page Numbers (Bottom of Page)"/>
        <w:docPartUnique/>
      </w:docPartObj>
    </w:sdtPr>
    <w:sdtEndPr>
      <w:rPr>
        <w:noProof/>
      </w:rPr>
    </w:sdtEndPr>
    <w:sdtContent>
      <w:p w14:paraId="1FFA20C4" w14:textId="2C65FB5F" w:rsidR="00FD7634" w:rsidRDefault="00FD7634" w:rsidP="00FD76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41D78" w14:textId="608A09AB" w:rsidR="00B65E81" w:rsidRDefault="0054421C" w:rsidP="00A64DC9">
    <w:pPr>
      <w:tabs>
        <w:tab w:val="center" w:pos="4680"/>
      </w:tabs>
      <w:ind w:firstLine="0"/>
    </w:pPr>
    <w:r w:rsidRPr="0054421C">
      <w:rPr>
        <w:sz w:val="16"/>
        <w:szCs w:val="16"/>
      </w:rPr>
      <w:t>606595664</w:t>
    </w:r>
    <w:r w:rsidR="00B65E81">
      <w:tab/>
    </w:r>
    <w:sdt>
      <w:sdtPr>
        <w:id w:val="518671500"/>
        <w:docPartObj>
          <w:docPartGallery w:val="Page Numbers (Bottom of Page)"/>
          <w:docPartUnique/>
        </w:docPartObj>
      </w:sdtPr>
      <w:sdtEndPr>
        <w:rPr>
          <w:noProof/>
        </w:rPr>
      </w:sdtEndPr>
      <w:sdtContent>
        <w:r w:rsidR="00B65E81">
          <w:fldChar w:fldCharType="begin"/>
        </w:r>
        <w:r w:rsidR="00B65E81">
          <w:instrText xml:space="preserve"> PAGE   \* MERGEFORMAT </w:instrText>
        </w:r>
        <w:r w:rsidR="00B65E81">
          <w:fldChar w:fldCharType="separate"/>
        </w:r>
        <w:r w:rsidR="00B65E81">
          <w:t>1</w:t>
        </w:r>
        <w:r w:rsidR="00B65E81">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26D03" w14:textId="77777777" w:rsidR="00492FC2" w:rsidRDefault="00492FC2" w:rsidP="00DF58E7">
      <w:pPr>
        <w:spacing w:line="240" w:lineRule="auto"/>
        <w:ind w:firstLine="0"/>
      </w:pPr>
      <w:r>
        <w:separator/>
      </w:r>
    </w:p>
  </w:footnote>
  <w:footnote w:type="continuationSeparator" w:id="0">
    <w:p w14:paraId="21B81D28" w14:textId="77777777" w:rsidR="00492FC2" w:rsidRDefault="00492FC2" w:rsidP="00DF58E7">
      <w:pPr>
        <w:spacing w:line="240" w:lineRule="auto"/>
        <w:ind w:firstLine="0"/>
      </w:pPr>
      <w:r>
        <w:continuationSeparator/>
      </w:r>
    </w:p>
  </w:footnote>
  <w:footnote w:type="continuationNotice" w:id="1">
    <w:p w14:paraId="4201E47A" w14:textId="77777777" w:rsidR="00492FC2" w:rsidRPr="00DF58E7" w:rsidRDefault="00492FC2" w:rsidP="00DF58E7">
      <w:pPr>
        <w:spacing w:line="240" w:lineRule="auto"/>
        <w:ind w:firstLine="0"/>
        <w:jc w:val="right"/>
        <w:rPr>
          <w:i/>
          <w:sz w:val="22"/>
        </w:rPr>
      </w:pPr>
      <w:r w:rsidRPr="00DF58E7">
        <w:rPr>
          <w:i/>
          <w:sz w:val="22"/>
        </w:rPr>
        <w:t>Footnote continued on next page.</w:t>
      </w:r>
    </w:p>
  </w:footnote>
  <w:footnote w:id="2">
    <w:p w14:paraId="32655736" w14:textId="14EFE16B" w:rsidR="00351134" w:rsidRDefault="00351134" w:rsidP="0080080C">
      <w:pPr>
        <w:pStyle w:val="FootnoteText"/>
        <w:spacing w:after="0"/>
      </w:pPr>
      <w:r>
        <w:rPr>
          <w:rStyle w:val="FootnoteReference"/>
        </w:rPr>
        <w:footnoteRef/>
      </w:r>
      <w:r>
        <w:t xml:space="preserve"> More information on BioMAT can be found here:</w:t>
      </w:r>
    </w:p>
    <w:p w14:paraId="74CF8B08" w14:textId="77777777" w:rsidR="00351134" w:rsidRDefault="00351134" w:rsidP="0080080C">
      <w:pPr>
        <w:pStyle w:val="FootnoteText"/>
      </w:pPr>
      <w:hyperlink r:id="rId1" w:history="1">
        <w:r>
          <w:rPr>
            <w:rStyle w:val="Hyperlink"/>
          </w:rPr>
          <w:t>https://www.cpuc.ca.gov/industries-and-topics/electrical-energy/electric-power-procurement/rps/rps-procurement-programs/rps-sb-1122-biomat</w:t>
        </w:r>
      </w:hyperlink>
    </w:p>
  </w:footnote>
  <w:footnote w:id="3">
    <w:p w14:paraId="591598A2" w14:textId="77777777" w:rsidR="00351134" w:rsidRDefault="00351134" w:rsidP="00351134">
      <w:pPr>
        <w:pStyle w:val="FootnoteText"/>
      </w:pPr>
      <w:r>
        <w:rPr>
          <w:rStyle w:val="FootnoteReference"/>
        </w:rPr>
        <w:footnoteRef/>
      </w:r>
      <w:r>
        <w:t xml:space="preserve"> D.14-12-081 at 70-71.</w:t>
      </w:r>
    </w:p>
  </w:footnote>
  <w:footnote w:id="4">
    <w:p w14:paraId="2C8D59E4" w14:textId="77777777" w:rsidR="00351134" w:rsidRDefault="00351134" w:rsidP="0080080C">
      <w:pPr>
        <w:pStyle w:val="FootnoteText"/>
        <w:spacing w:after="0"/>
      </w:pPr>
      <w:r>
        <w:rPr>
          <w:rStyle w:val="FootnoteReference"/>
        </w:rPr>
        <w:footnoteRef/>
      </w:r>
      <w:r>
        <w:t xml:space="preserve"> D.20-08-043 at 10-11.</w:t>
      </w:r>
    </w:p>
  </w:footnote>
  <w:footnote w:id="5">
    <w:p w14:paraId="707A1E09" w14:textId="77777777" w:rsidR="00351134" w:rsidRDefault="00351134" w:rsidP="00351134">
      <w:pPr>
        <w:pStyle w:val="FootnoteText"/>
      </w:pPr>
      <w:r>
        <w:rPr>
          <w:rStyle w:val="FootnoteReference"/>
        </w:rPr>
        <w:footnoteRef/>
      </w:r>
      <w:r>
        <w:t xml:space="preserve"> Petition at 3-4.</w:t>
      </w:r>
    </w:p>
  </w:footnote>
  <w:footnote w:id="6">
    <w:p w14:paraId="17DF3DC0" w14:textId="77777777" w:rsidR="00351134" w:rsidRDefault="00351134" w:rsidP="007A6604">
      <w:pPr>
        <w:pStyle w:val="FootnoteText"/>
        <w:spacing w:after="0"/>
      </w:pPr>
      <w:r>
        <w:rPr>
          <w:rStyle w:val="FootnoteReference"/>
        </w:rPr>
        <w:footnoteRef/>
      </w:r>
      <w:r>
        <w:t xml:space="preserve"> Petition at 3.</w:t>
      </w:r>
    </w:p>
  </w:footnote>
  <w:footnote w:id="7">
    <w:p w14:paraId="6A50B99A" w14:textId="77777777" w:rsidR="00351134" w:rsidRDefault="00351134" w:rsidP="00351134">
      <w:pPr>
        <w:pStyle w:val="FootnoteText"/>
      </w:pPr>
      <w:r>
        <w:rPr>
          <w:rStyle w:val="FootnoteReference"/>
        </w:rPr>
        <w:footnoteRef/>
      </w:r>
      <w:r>
        <w:t xml:space="preserve"> CBD/PFPI Response at 2-3.</w:t>
      </w:r>
    </w:p>
  </w:footnote>
  <w:footnote w:id="8">
    <w:p w14:paraId="14454C1B" w14:textId="77777777" w:rsidR="00C03252" w:rsidRDefault="00C03252" w:rsidP="007A6604">
      <w:pPr>
        <w:pStyle w:val="FootnoteText"/>
        <w:spacing w:after="0"/>
      </w:pPr>
      <w:r>
        <w:rPr>
          <w:rStyle w:val="FootnoteReference"/>
        </w:rPr>
        <w:footnoteRef/>
      </w:r>
      <w:r>
        <w:t xml:space="preserve"> Petition at 4-6.</w:t>
      </w:r>
    </w:p>
  </w:footnote>
  <w:footnote w:id="9">
    <w:p w14:paraId="41857343" w14:textId="77777777" w:rsidR="00C03252" w:rsidRDefault="00C03252" w:rsidP="00C03252">
      <w:pPr>
        <w:pStyle w:val="FootnoteText"/>
      </w:pPr>
      <w:r>
        <w:rPr>
          <w:rStyle w:val="FootnoteReference"/>
        </w:rPr>
        <w:footnoteRef/>
      </w:r>
      <w:r>
        <w:t xml:space="preserve"> Dairy Care/BAC Response at 2.</w:t>
      </w:r>
    </w:p>
  </w:footnote>
  <w:footnote w:id="10">
    <w:p w14:paraId="37A3A7CF" w14:textId="17CC1817" w:rsidR="00C03252" w:rsidRDefault="00C03252" w:rsidP="00C03252">
      <w:pPr>
        <w:pStyle w:val="FootnoteText"/>
      </w:pPr>
      <w:r>
        <w:rPr>
          <w:rStyle w:val="FootnoteReference"/>
        </w:rPr>
        <w:footnoteRef/>
      </w:r>
      <w:r>
        <w:t xml:space="preserve"> Cal Advocates Response at 2 referring to D.24-03-003, </w:t>
      </w:r>
      <w:r>
        <w:rPr>
          <w:i/>
          <w:iCs/>
        </w:rPr>
        <w:t>Decision Denying the Petition to Modify Decision (D.) 14-12-081 and D.20-08-043</w:t>
      </w:r>
      <w:r>
        <w:t xml:space="preserve"> at 6, issued in R.11-05-005.</w:t>
      </w:r>
    </w:p>
  </w:footnote>
  <w:footnote w:id="11">
    <w:p w14:paraId="74300BBD" w14:textId="1C2937EE" w:rsidR="00661494" w:rsidRDefault="00661494" w:rsidP="00C358E2">
      <w:pPr>
        <w:pStyle w:val="FootnoteText"/>
      </w:pPr>
      <w:r>
        <w:rPr>
          <w:rStyle w:val="FootnoteReference"/>
        </w:rPr>
        <w:footnoteRef/>
      </w:r>
      <w:r>
        <w:t xml:space="preserve"> Cal Advocates Response at 3.</w:t>
      </w:r>
    </w:p>
  </w:footnote>
  <w:footnote w:id="12">
    <w:p w14:paraId="404DA0E8" w14:textId="656F7B14" w:rsidR="00661494" w:rsidRDefault="00661494" w:rsidP="00C358E2">
      <w:pPr>
        <w:pStyle w:val="FootnoteText"/>
        <w:spacing w:after="0"/>
      </w:pPr>
      <w:r>
        <w:rPr>
          <w:rStyle w:val="FootnoteReference"/>
        </w:rPr>
        <w:footnoteRef/>
      </w:r>
      <w:r>
        <w:t xml:space="preserve"> Cal Advocates Response at 3-4.</w:t>
      </w:r>
    </w:p>
  </w:footnote>
  <w:footnote w:id="13">
    <w:p w14:paraId="0284784B" w14:textId="04A59E65" w:rsidR="00661494" w:rsidRDefault="00661494">
      <w:pPr>
        <w:pStyle w:val="FootnoteText"/>
      </w:pPr>
      <w:r>
        <w:rPr>
          <w:rStyle w:val="FootnoteReference"/>
        </w:rPr>
        <w:footnoteRef/>
      </w:r>
      <w:r>
        <w:t xml:space="preserve"> Cal Advocates Response at 4-5.</w:t>
      </w:r>
    </w:p>
  </w:footnote>
  <w:footnote w:id="14">
    <w:p w14:paraId="30CEEC05" w14:textId="1C4E5637" w:rsidR="00B975F5" w:rsidRPr="002A6733" w:rsidRDefault="00B975F5" w:rsidP="00A84324">
      <w:pPr>
        <w:pStyle w:val="FootnoteText"/>
        <w:spacing w:after="0"/>
        <w:rPr>
          <w:lang w:val="en-ZW"/>
        </w:rPr>
      </w:pPr>
      <w:r>
        <w:rPr>
          <w:rStyle w:val="FootnoteReference"/>
        </w:rPr>
        <w:footnoteRef/>
      </w:r>
      <w:r>
        <w:t xml:space="preserve"> </w:t>
      </w:r>
      <w:r w:rsidR="007040A8" w:rsidRPr="007040A8">
        <w:t>Assigned Commissioner’s Scoping Memo and Ruling</w:t>
      </w:r>
      <w:r>
        <w:rPr>
          <w:lang w:val="en-ZW"/>
        </w:rPr>
        <w:t>, R.</w:t>
      </w:r>
      <w:r w:rsidR="00F60A9A">
        <w:rPr>
          <w:lang w:val="en-ZW"/>
        </w:rPr>
        <w:t>22-10-010, at 2.</w:t>
      </w:r>
    </w:p>
  </w:footnote>
  <w:footnote w:id="15">
    <w:p w14:paraId="3AB1BF38" w14:textId="71D3D17D" w:rsidR="00444AC2" w:rsidRPr="00C43ECF" w:rsidRDefault="00444AC2" w:rsidP="00322E09">
      <w:pPr>
        <w:pStyle w:val="FootnoteText"/>
        <w:spacing w:after="0"/>
        <w:rPr>
          <w:lang w:val="en-ZW"/>
        </w:rPr>
      </w:pPr>
      <w:r>
        <w:rPr>
          <w:rStyle w:val="FootnoteReference"/>
        </w:rPr>
        <w:footnoteRef/>
      </w:r>
      <w:r>
        <w:t xml:space="preserve"> </w:t>
      </w:r>
      <w:r>
        <w:rPr>
          <w:lang w:val="en-ZW"/>
        </w:rPr>
        <w:t>BAC Comments on PD at 1, 4-5.</w:t>
      </w:r>
    </w:p>
  </w:footnote>
  <w:footnote w:id="16">
    <w:p w14:paraId="1AECAC02" w14:textId="420C9EF1" w:rsidR="00444AC2" w:rsidRPr="00C43ECF" w:rsidRDefault="00444AC2">
      <w:pPr>
        <w:pStyle w:val="FootnoteText"/>
        <w:rPr>
          <w:lang w:val="en-ZW"/>
        </w:rPr>
      </w:pPr>
      <w:r w:rsidRPr="00A315F0">
        <w:rPr>
          <w:rStyle w:val="FootnoteReference"/>
        </w:rPr>
        <w:footnoteRef/>
      </w:r>
      <w:r w:rsidRPr="00A315F0">
        <w:t xml:space="preserve"> </w:t>
      </w:r>
      <w:r w:rsidR="00A315F0" w:rsidRPr="00A315F0">
        <w:rPr>
          <w:lang w:val="en-ZW"/>
        </w:rPr>
        <w:t xml:space="preserve">Results of Commission Meeting Agenda Results, Jan. 15, 2026, item 2 withdrawn. </w:t>
      </w:r>
      <w:hyperlink r:id="rId2" w:history="1">
        <w:r w:rsidR="00A315F0" w:rsidRPr="00A315F0">
          <w:rPr>
            <w:rStyle w:val="Hyperlink"/>
            <w:lang w:val="en-ZW"/>
          </w:rPr>
          <w:t>https://ia.cpuc.ca.gov/agendadocs/3575_results.pdf</w:t>
        </w:r>
      </w:hyperlink>
      <w:r w:rsidR="00A315F0" w:rsidRPr="00A315F0">
        <w:rPr>
          <w:lang w:val="en-ZW"/>
        </w:rPr>
        <w:t>.</w:t>
      </w:r>
    </w:p>
  </w:footnote>
  <w:footnote w:id="17">
    <w:p w14:paraId="41078D20" w14:textId="5EFD3850" w:rsidR="00444AC2" w:rsidRPr="00C43ECF" w:rsidRDefault="00444AC2">
      <w:pPr>
        <w:pStyle w:val="FootnoteText"/>
        <w:rPr>
          <w:lang w:val="en-ZW"/>
        </w:rPr>
      </w:pPr>
      <w:r w:rsidRPr="00A315F0">
        <w:rPr>
          <w:rStyle w:val="FootnoteReference"/>
        </w:rPr>
        <w:footnoteRef/>
      </w:r>
      <w:r w:rsidRPr="00A315F0">
        <w:t xml:space="preserve"> </w:t>
      </w:r>
      <w:r w:rsidR="00A315F0" w:rsidRPr="00A315F0">
        <w:t xml:space="preserve">Pub. Util. Code </w:t>
      </w:r>
      <w:r w:rsidR="00A315F0" w:rsidRPr="00C43ECF">
        <w:rPr>
          <w:rFonts w:eastAsia="Times New Roman" w:cs="Times New Roman"/>
          <w:color w:val="000000" w:themeColor="text1"/>
          <w:szCs w:val="22"/>
          <w:lang w:val="es-ES"/>
        </w:rPr>
        <w:t>§ 311(d).</w:t>
      </w:r>
    </w:p>
  </w:footnote>
  <w:footnote w:id="18">
    <w:p w14:paraId="2B91D612" w14:textId="189ECFA0" w:rsidR="00A315F0" w:rsidRPr="00C43ECF" w:rsidRDefault="00A315F0" w:rsidP="00322E09">
      <w:pPr>
        <w:pStyle w:val="FootnoteText"/>
        <w:spacing w:after="0"/>
        <w:rPr>
          <w:lang w:val="en-ZW"/>
        </w:rPr>
      </w:pPr>
      <w:r>
        <w:rPr>
          <w:rStyle w:val="FootnoteReference"/>
        </w:rPr>
        <w:footnoteRef/>
      </w:r>
      <w:r>
        <w:t xml:space="preserve"> </w:t>
      </w:r>
      <w:r>
        <w:rPr>
          <w:lang w:val="en-ZW"/>
        </w:rPr>
        <w:t xml:space="preserve">Commission Meeting Agenda, May 14, 2026, item 17, </w:t>
      </w:r>
      <w:hyperlink r:id="rId3" w:history="1">
        <w:r w:rsidRPr="00216A50">
          <w:rPr>
            <w:rStyle w:val="Hyperlink"/>
          </w:rPr>
          <w:t>https://docs.cpuc.ca.gov/PublishedDocs/Published/G000/M606/K201/606201347.pdf</w:t>
        </w:r>
      </w:hyperlink>
      <w:r>
        <w:t>.</w:t>
      </w:r>
    </w:p>
  </w:footnote>
  <w:footnote w:id="19">
    <w:p w14:paraId="1E89E527" w14:textId="2B750ADA" w:rsidR="00A315F0" w:rsidRPr="00C43ECF" w:rsidRDefault="00A315F0">
      <w:pPr>
        <w:pStyle w:val="FootnoteText"/>
        <w:rPr>
          <w:lang w:val="en-ZW"/>
        </w:rPr>
      </w:pPr>
      <w:r>
        <w:rPr>
          <w:rStyle w:val="FootnoteReference"/>
        </w:rPr>
        <w:footnoteRef/>
      </w:r>
      <w:r>
        <w:t xml:space="preserve"> </w:t>
      </w:r>
      <w:r>
        <w:rPr>
          <w:lang w:val="en-ZW"/>
        </w:rPr>
        <w:t>BAC Comments on PD at 1, 6-9.</w:t>
      </w:r>
    </w:p>
  </w:footnote>
  <w:footnote w:id="20">
    <w:p w14:paraId="21D3EEAA" w14:textId="78B4BF68" w:rsidR="00A315F0" w:rsidRPr="00C43ECF" w:rsidRDefault="00A315F0">
      <w:pPr>
        <w:pStyle w:val="FootnoteText"/>
        <w:rPr>
          <w:lang w:val="en-ZW"/>
        </w:rPr>
      </w:pPr>
      <w:r>
        <w:rPr>
          <w:rStyle w:val="FootnoteReference"/>
        </w:rPr>
        <w:footnoteRef/>
      </w:r>
      <w:r>
        <w:t xml:space="preserve"> </w:t>
      </w:r>
      <w:r w:rsidR="006419E4">
        <w:t>Pub. Util. Code</w:t>
      </w:r>
      <w:r w:rsidR="00D11357">
        <w:t xml:space="preserve"> §</w:t>
      </w:r>
      <w:r w:rsidR="006419E4">
        <w:t xml:space="preserve"> 1708 [the Commission “may” modify orders or decisions.]</w:t>
      </w:r>
    </w:p>
  </w:footnote>
  <w:footnote w:id="21">
    <w:p w14:paraId="559B9AF7" w14:textId="385953AA" w:rsidR="006419E4" w:rsidRPr="00C43ECF" w:rsidRDefault="006419E4" w:rsidP="00322E09">
      <w:pPr>
        <w:pStyle w:val="FootnoteText"/>
        <w:spacing w:after="0"/>
        <w:rPr>
          <w:lang w:val="en-ZW"/>
        </w:rPr>
      </w:pPr>
      <w:r>
        <w:rPr>
          <w:rStyle w:val="FootnoteReference"/>
        </w:rPr>
        <w:footnoteRef/>
      </w:r>
      <w:r>
        <w:t xml:space="preserve"> D.25-06-003 at 3-4; D.24-03-051 at 6-7 (parenthetical in original).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651C1" w14:textId="4D21CDDD" w:rsidR="00FD7634" w:rsidRDefault="00FD7634" w:rsidP="00FD7634">
    <w:pPr>
      <w:pStyle w:val="Header"/>
      <w:ind w:firstLine="0"/>
    </w:pPr>
    <w:r w:rsidRPr="00FD7634">
      <w:t>R.18-07-003</w:t>
    </w:r>
    <w:r>
      <w:t>  </w:t>
    </w:r>
    <w:r w:rsidRPr="00FD7634">
      <w:t>ALJ/ZK1/abb</w:t>
    </w:r>
    <w:r>
      <w:tab/>
    </w:r>
    <w:r>
      <w:tab/>
    </w:r>
    <w:r w:rsidRPr="00FD7634">
      <w:rPr>
        <w:b/>
      </w:rPr>
      <w:t>PROPOSED DECISION (Rev.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3A35DF"/>
    <w:multiLevelType w:val="hybridMultilevel"/>
    <w:tmpl w:val="8752BE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7A6394"/>
    <w:multiLevelType w:val="singleLevel"/>
    <w:tmpl w:val="77DC9BDA"/>
    <w:lvl w:ilvl="0">
      <w:start w:val="1"/>
      <w:numFmt w:val="decimal"/>
      <w:lvlText w:val="%1."/>
      <w:lvlJc w:val="left"/>
      <w:pPr>
        <w:ind w:left="0" w:firstLine="540"/>
      </w:pPr>
      <w:rPr>
        <w:rFonts w:hint="default"/>
      </w:rPr>
    </w:lvl>
  </w:abstractNum>
  <w:abstractNum w:abstractNumId="3" w15:restartNumberingAfterBreak="0">
    <w:nsid w:val="09970EEF"/>
    <w:multiLevelType w:val="singleLevel"/>
    <w:tmpl w:val="77DC9BDA"/>
    <w:lvl w:ilvl="0">
      <w:start w:val="1"/>
      <w:numFmt w:val="decimal"/>
      <w:pStyle w:val="CoL"/>
      <w:lvlText w:val="%1."/>
      <w:lvlJc w:val="left"/>
      <w:pPr>
        <w:ind w:left="0" w:firstLine="540"/>
      </w:pPr>
      <w:rPr>
        <w:rFonts w:hint="default"/>
      </w:rPr>
    </w:lvl>
  </w:abstractNum>
  <w:abstractNum w:abstractNumId="4"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5" w15:restartNumberingAfterBreak="0">
    <w:nsid w:val="14A5219F"/>
    <w:multiLevelType w:val="hybridMultilevel"/>
    <w:tmpl w:val="F04E86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851200D"/>
    <w:multiLevelType w:val="hybridMultilevel"/>
    <w:tmpl w:val="3828EA2E"/>
    <w:lvl w:ilvl="0" w:tplc="04090019">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7"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70038F"/>
    <w:multiLevelType w:val="multilevel"/>
    <w:tmpl w:val="3C526EDE"/>
    <w:numStyleLink w:val="Headings"/>
  </w:abstractNum>
  <w:abstractNum w:abstractNumId="9" w15:restartNumberingAfterBreak="0">
    <w:nsid w:val="1DF62F45"/>
    <w:multiLevelType w:val="hybridMultilevel"/>
    <w:tmpl w:val="8D5432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E2242C9"/>
    <w:multiLevelType w:val="multilevel"/>
    <w:tmpl w:val="3C526EDE"/>
    <w:numStyleLink w:val="Headings"/>
  </w:abstractNum>
  <w:abstractNum w:abstractNumId="11" w15:restartNumberingAfterBreak="0">
    <w:nsid w:val="21FB58FE"/>
    <w:multiLevelType w:val="multilevel"/>
    <w:tmpl w:val="3C526EDE"/>
    <w:numStyleLink w:val="Headings"/>
  </w:abstractNum>
  <w:abstractNum w:abstractNumId="12" w15:restartNumberingAfterBreak="0">
    <w:nsid w:val="243663A0"/>
    <w:multiLevelType w:val="multilevel"/>
    <w:tmpl w:val="3C526EDE"/>
    <w:numStyleLink w:val="Headings"/>
  </w:abstractNum>
  <w:abstractNum w:abstractNumId="13" w15:restartNumberingAfterBreak="0">
    <w:nsid w:val="2B8124D7"/>
    <w:multiLevelType w:val="multilevel"/>
    <w:tmpl w:val="3C526EDE"/>
    <w:numStyleLink w:val="Headings"/>
  </w:abstractNum>
  <w:abstractNum w:abstractNumId="14"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5" w15:restartNumberingAfterBreak="0">
    <w:nsid w:val="5A9E2171"/>
    <w:multiLevelType w:val="multilevel"/>
    <w:tmpl w:val="3C526EDE"/>
    <w:numStyleLink w:val="Headings"/>
  </w:abstractNum>
  <w:abstractNum w:abstractNumId="16" w15:restartNumberingAfterBreak="0">
    <w:nsid w:val="61A25780"/>
    <w:multiLevelType w:val="multilevel"/>
    <w:tmpl w:val="3C526EDE"/>
    <w:numStyleLink w:val="Headings"/>
  </w:abstractNum>
  <w:abstractNum w:abstractNumId="17" w15:restartNumberingAfterBreak="0">
    <w:nsid w:val="6CCA5BA9"/>
    <w:multiLevelType w:val="hybridMultilevel"/>
    <w:tmpl w:val="5C349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F8B7768"/>
    <w:multiLevelType w:val="singleLevel"/>
    <w:tmpl w:val="6E786D42"/>
    <w:lvl w:ilvl="0">
      <w:start w:val="1"/>
      <w:numFmt w:val="decimal"/>
      <w:pStyle w:val="FoF"/>
      <w:lvlText w:val="%1."/>
      <w:lvlJc w:val="left"/>
      <w:pPr>
        <w:ind w:left="0" w:firstLine="540"/>
      </w:pPr>
      <w:rPr>
        <w:rFonts w:hint="default"/>
      </w:rPr>
    </w:lvl>
  </w:abstractNum>
  <w:abstractNum w:abstractNumId="19"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89A0AFE"/>
    <w:multiLevelType w:val="multilevel"/>
    <w:tmpl w:val="18F4A5AC"/>
    <w:numStyleLink w:val="FoFCoLOP"/>
  </w:abstractNum>
  <w:num w:numId="1" w16cid:durableId="1354526949">
    <w:abstractNumId w:val="15"/>
  </w:num>
  <w:num w:numId="2" w16cid:durableId="140774137">
    <w:abstractNumId w:val="4"/>
  </w:num>
  <w:num w:numId="3" w16cid:durableId="1898543446">
    <w:abstractNumId w:val="18"/>
  </w:num>
  <w:num w:numId="4" w16cid:durableId="701521005">
    <w:abstractNumId w:val="3"/>
  </w:num>
  <w:num w:numId="5" w16cid:durableId="2017029027">
    <w:abstractNumId w:val="20"/>
  </w:num>
  <w:num w:numId="6" w16cid:durableId="973756952">
    <w:abstractNumId w:val="14"/>
  </w:num>
  <w:num w:numId="7" w16cid:durableId="827667741">
    <w:abstractNumId w:val="10"/>
  </w:num>
  <w:num w:numId="8" w16cid:durableId="1760327020">
    <w:abstractNumId w:val="19"/>
  </w:num>
  <w:num w:numId="9" w16cid:durableId="816924040">
    <w:abstractNumId w:val="0"/>
  </w:num>
  <w:num w:numId="10" w16cid:durableId="1817916489">
    <w:abstractNumId w:val="8"/>
  </w:num>
  <w:num w:numId="11" w16cid:durableId="291985460">
    <w:abstractNumId w:val="11"/>
  </w:num>
  <w:num w:numId="12" w16cid:durableId="467941983">
    <w:abstractNumId w:val="7"/>
  </w:num>
  <w:num w:numId="13" w16cid:durableId="712996464">
    <w:abstractNumId w:val="12"/>
  </w:num>
  <w:num w:numId="14" w16cid:durableId="1303778653">
    <w:abstractNumId w:val="13"/>
  </w:num>
  <w:num w:numId="15" w16cid:durableId="1714382259">
    <w:abstractNumId w:val="16"/>
  </w:num>
  <w:num w:numId="16" w16cid:durableId="5481076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6"/>
  </w:num>
  <w:num w:numId="18" w16cid:durableId="572007325">
    <w:abstractNumId w:val="5"/>
  </w:num>
  <w:num w:numId="19" w16cid:durableId="1460801040">
    <w:abstractNumId w:val="9"/>
  </w:num>
  <w:num w:numId="20" w16cid:durableId="614679252">
    <w:abstractNumId w:val="1"/>
  </w:num>
  <w:num w:numId="21" w16cid:durableId="1490365139">
    <w:abstractNumId w:val="6"/>
  </w:num>
  <w:num w:numId="22" w16cid:durableId="201291095">
    <w:abstractNumId w:val="17"/>
  </w:num>
  <w:num w:numId="23" w16cid:durableId="1606420376">
    <w:abstractNumId w:val="2"/>
  </w:num>
  <w:num w:numId="24" w16cid:durableId="897740750">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3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D03"/>
    <w:rsid w:val="00000F6A"/>
    <w:rsid w:val="00013188"/>
    <w:rsid w:val="0002463C"/>
    <w:rsid w:val="00026F86"/>
    <w:rsid w:val="000672D0"/>
    <w:rsid w:val="0007115A"/>
    <w:rsid w:val="00081983"/>
    <w:rsid w:val="000924D1"/>
    <w:rsid w:val="00094415"/>
    <w:rsid w:val="000973C8"/>
    <w:rsid w:val="000A0550"/>
    <w:rsid w:val="000A1427"/>
    <w:rsid w:val="000A2983"/>
    <w:rsid w:val="000A2AA9"/>
    <w:rsid w:val="000A54EE"/>
    <w:rsid w:val="000A56F2"/>
    <w:rsid w:val="000A6E05"/>
    <w:rsid w:val="000B12FA"/>
    <w:rsid w:val="000B49F1"/>
    <w:rsid w:val="000B5ADF"/>
    <w:rsid w:val="000C08BF"/>
    <w:rsid w:val="000C3B9A"/>
    <w:rsid w:val="000D25A8"/>
    <w:rsid w:val="000E270A"/>
    <w:rsid w:val="000E399B"/>
    <w:rsid w:val="000E4C53"/>
    <w:rsid w:val="000F48C6"/>
    <w:rsid w:val="00102627"/>
    <w:rsid w:val="00121089"/>
    <w:rsid w:val="0015055F"/>
    <w:rsid w:val="00161D7F"/>
    <w:rsid w:val="00181D9A"/>
    <w:rsid w:val="00184A8F"/>
    <w:rsid w:val="001956F2"/>
    <w:rsid w:val="001A3F18"/>
    <w:rsid w:val="001C363F"/>
    <w:rsid w:val="001D4DC7"/>
    <w:rsid w:val="001D5013"/>
    <w:rsid w:val="001D64C4"/>
    <w:rsid w:val="001E2A62"/>
    <w:rsid w:val="001F00A3"/>
    <w:rsid w:val="001F2819"/>
    <w:rsid w:val="002043EC"/>
    <w:rsid w:val="00240BB5"/>
    <w:rsid w:val="00243DC0"/>
    <w:rsid w:val="00247477"/>
    <w:rsid w:val="00252C27"/>
    <w:rsid w:val="00264D6E"/>
    <w:rsid w:val="00270440"/>
    <w:rsid w:val="00280E1C"/>
    <w:rsid w:val="00284840"/>
    <w:rsid w:val="00284D8D"/>
    <w:rsid w:val="00287BC5"/>
    <w:rsid w:val="00293DEE"/>
    <w:rsid w:val="002A0B5D"/>
    <w:rsid w:val="002A6733"/>
    <w:rsid w:val="002B10BA"/>
    <w:rsid w:val="002C76CE"/>
    <w:rsid w:val="002C7FE9"/>
    <w:rsid w:val="002D0DC5"/>
    <w:rsid w:val="002D4EFD"/>
    <w:rsid w:val="00303358"/>
    <w:rsid w:val="003141C3"/>
    <w:rsid w:val="00315A97"/>
    <w:rsid w:val="00316071"/>
    <w:rsid w:val="00322E09"/>
    <w:rsid w:val="00326B41"/>
    <w:rsid w:val="00327A19"/>
    <w:rsid w:val="003370E9"/>
    <w:rsid w:val="00343E5C"/>
    <w:rsid w:val="00344FB8"/>
    <w:rsid w:val="00351134"/>
    <w:rsid w:val="0036017B"/>
    <w:rsid w:val="00362755"/>
    <w:rsid w:val="00367736"/>
    <w:rsid w:val="0037068C"/>
    <w:rsid w:val="00372D5B"/>
    <w:rsid w:val="00373B93"/>
    <w:rsid w:val="00380CD1"/>
    <w:rsid w:val="003818AA"/>
    <w:rsid w:val="003A02CA"/>
    <w:rsid w:val="003A38F0"/>
    <w:rsid w:val="003B61CA"/>
    <w:rsid w:val="003D0BC5"/>
    <w:rsid w:val="003D222F"/>
    <w:rsid w:val="003E6A10"/>
    <w:rsid w:val="003F069A"/>
    <w:rsid w:val="003F185B"/>
    <w:rsid w:val="003F4329"/>
    <w:rsid w:val="003F4DA0"/>
    <w:rsid w:val="00406B9F"/>
    <w:rsid w:val="00412534"/>
    <w:rsid w:val="00412C83"/>
    <w:rsid w:val="004236F2"/>
    <w:rsid w:val="00426014"/>
    <w:rsid w:val="00437090"/>
    <w:rsid w:val="004400E4"/>
    <w:rsid w:val="00444AC2"/>
    <w:rsid w:val="0044617E"/>
    <w:rsid w:val="00447110"/>
    <w:rsid w:val="00455B67"/>
    <w:rsid w:val="0046078B"/>
    <w:rsid w:val="00460B7D"/>
    <w:rsid w:val="00480CB0"/>
    <w:rsid w:val="00480EEE"/>
    <w:rsid w:val="00483603"/>
    <w:rsid w:val="00492FC2"/>
    <w:rsid w:val="004A1EAD"/>
    <w:rsid w:val="004A47BE"/>
    <w:rsid w:val="004B082F"/>
    <w:rsid w:val="004B34EA"/>
    <w:rsid w:val="004B5494"/>
    <w:rsid w:val="004C70F6"/>
    <w:rsid w:val="004C7A2B"/>
    <w:rsid w:val="004C7D3A"/>
    <w:rsid w:val="004D688C"/>
    <w:rsid w:val="004E0758"/>
    <w:rsid w:val="004F0DEA"/>
    <w:rsid w:val="005018A8"/>
    <w:rsid w:val="00505A39"/>
    <w:rsid w:val="005240BF"/>
    <w:rsid w:val="0054421C"/>
    <w:rsid w:val="00547E18"/>
    <w:rsid w:val="005637B3"/>
    <w:rsid w:val="00585390"/>
    <w:rsid w:val="00585A7C"/>
    <w:rsid w:val="005939A5"/>
    <w:rsid w:val="005A0C2B"/>
    <w:rsid w:val="005A148C"/>
    <w:rsid w:val="005C3B03"/>
    <w:rsid w:val="005C5081"/>
    <w:rsid w:val="005C58FA"/>
    <w:rsid w:val="005E3CAC"/>
    <w:rsid w:val="005E7952"/>
    <w:rsid w:val="00603238"/>
    <w:rsid w:val="00604C2B"/>
    <w:rsid w:val="00604C5F"/>
    <w:rsid w:val="0061140B"/>
    <w:rsid w:val="00617CC9"/>
    <w:rsid w:val="00632207"/>
    <w:rsid w:val="0063491C"/>
    <w:rsid w:val="006419E4"/>
    <w:rsid w:val="00641A5C"/>
    <w:rsid w:val="00647863"/>
    <w:rsid w:val="00655C77"/>
    <w:rsid w:val="006570CD"/>
    <w:rsid w:val="00661494"/>
    <w:rsid w:val="00661AFE"/>
    <w:rsid w:val="00665182"/>
    <w:rsid w:val="00672588"/>
    <w:rsid w:val="00680F19"/>
    <w:rsid w:val="00683B2C"/>
    <w:rsid w:val="00683B76"/>
    <w:rsid w:val="00694512"/>
    <w:rsid w:val="006A6BA1"/>
    <w:rsid w:val="006C013A"/>
    <w:rsid w:val="006C1F10"/>
    <w:rsid w:val="006C4882"/>
    <w:rsid w:val="006D22DE"/>
    <w:rsid w:val="006D44B3"/>
    <w:rsid w:val="006E426A"/>
    <w:rsid w:val="006E5E28"/>
    <w:rsid w:val="006E6574"/>
    <w:rsid w:val="006E716A"/>
    <w:rsid w:val="006F0AB8"/>
    <w:rsid w:val="006F1A51"/>
    <w:rsid w:val="006F6D42"/>
    <w:rsid w:val="007040A8"/>
    <w:rsid w:val="007046A9"/>
    <w:rsid w:val="007051F1"/>
    <w:rsid w:val="00714CF2"/>
    <w:rsid w:val="007156B9"/>
    <w:rsid w:val="00720817"/>
    <w:rsid w:val="00722850"/>
    <w:rsid w:val="00726FD2"/>
    <w:rsid w:val="0073353F"/>
    <w:rsid w:val="00735A91"/>
    <w:rsid w:val="00742E45"/>
    <w:rsid w:val="007447AF"/>
    <w:rsid w:val="0074579D"/>
    <w:rsid w:val="0074777B"/>
    <w:rsid w:val="00750816"/>
    <w:rsid w:val="00750E9A"/>
    <w:rsid w:val="007519C7"/>
    <w:rsid w:val="007657C1"/>
    <w:rsid w:val="0077755F"/>
    <w:rsid w:val="007840A5"/>
    <w:rsid w:val="007945D7"/>
    <w:rsid w:val="007A2982"/>
    <w:rsid w:val="007A406D"/>
    <w:rsid w:val="007A62B0"/>
    <w:rsid w:val="007A6604"/>
    <w:rsid w:val="007C0E52"/>
    <w:rsid w:val="007C5A0C"/>
    <w:rsid w:val="007D37B7"/>
    <w:rsid w:val="007E0FEE"/>
    <w:rsid w:val="007F1AF0"/>
    <w:rsid w:val="007F2017"/>
    <w:rsid w:val="0080080C"/>
    <w:rsid w:val="0080390E"/>
    <w:rsid w:val="00806CCA"/>
    <w:rsid w:val="00807B57"/>
    <w:rsid w:val="008119B1"/>
    <w:rsid w:val="008159CF"/>
    <w:rsid w:val="00816E05"/>
    <w:rsid w:val="0081757D"/>
    <w:rsid w:val="00822995"/>
    <w:rsid w:val="00825B2F"/>
    <w:rsid w:val="008339BB"/>
    <w:rsid w:val="008524C8"/>
    <w:rsid w:val="0085490F"/>
    <w:rsid w:val="0086419A"/>
    <w:rsid w:val="0087023B"/>
    <w:rsid w:val="0087663F"/>
    <w:rsid w:val="00883C57"/>
    <w:rsid w:val="008A08BF"/>
    <w:rsid w:val="008A179F"/>
    <w:rsid w:val="008A6460"/>
    <w:rsid w:val="008B0864"/>
    <w:rsid w:val="008B175A"/>
    <w:rsid w:val="008B571F"/>
    <w:rsid w:val="008C3CB7"/>
    <w:rsid w:val="008C7413"/>
    <w:rsid w:val="008D16B7"/>
    <w:rsid w:val="008E6AE6"/>
    <w:rsid w:val="008F0116"/>
    <w:rsid w:val="008F143D"/>
    <w:rsid w:val="008F4B2C"/>
    <w:rsid w:val="00922981"/>
    <w:rsid w:val="00932865"/>
    <w:rsid w:val="00946675"/>
    <w:rsid w:val="00947A12"/>
    <w:rsid w:val="00950461"/>
    <w:rsid w:val="00950CD2"/>
    <w:rsid w:val="00957216"/>
    <w:rsid w:val="00960C5D"/>
    <w:rsid w:val="0096740C"/>
    <w:rsid w:val="0098138E"/>
    <w:rsid w:val="0098655A"/>
    <w:rsid w:val="009A6E36"/>
    <w:rsid w:val="009B79F1"/>
    <w:rsid w:val="009D7F4B"/>
    <w:rsid w:val="009E4349"/>
    <w:rsid w:val="009E6052"/>
    <w:rsid w:val="009E7C7F"/>
    <w:rsid w:val="009F4E51"/>
    <w:rsid w:val="00A0597C"/>
    <w:rsid w:val="00A10D03"/>
    <w:rsid w:val="00A17CE0"/>
    <w:rsid w:val="00A21175"/>
    <w:rsid w:val="00A23D48"/>
    <w:rsid w:val="00A30319"/>
    <w:rsid w:val="00A315F0"/>
    <w:rsid w:val="00A42306"/>
    <w:rsid w:val="00A44E8D"/>
    <w:rsid w:val="00A45673"/>
    <w:rsid w:val="00A46EA8"/>
    <w:rsid w:val="00A47FBB"/>
    <w:rsid w:val="00A50592"/>
    <w:rsid w:val="00A55ACD"/>
    <w:rsid w:val="00A56291"/>
    <w:rsid w:val="00A64DC9"/>
    <w:rsid w:val="00A84324"/>
    <w:rsid w:val="00A85D27"/>
    <w:rsid w:val="00A86F07"/>
    <w:rsid w:val="00A907C0"/>
    <w:rsid w:val="00A90AE3"/>
    <w:rsid w:val="00AB7875"/>
    <w:rsid w:val="00AC68EE"/>
    <w:rsid w:val="00AF61E8"/>
    <w:rsid w:val="00B01F7E"/>
    <w:rsid w:val="00B0599C"/>
    <w:rsid w:val="00B14520"/>
    <w:rsid w:val="00B15CF8"/>
    <w:rsid w:val="00B16C2A"/>
    <w:rsid w:val="00B24E2B"/>
    <w:rsid w:val="00B3087D"/>
    <w:rsid w:val="00B34794"/>
    <w:rsid w:val="00B45A6C"/>
    <w:rsid w:val="00B51AA7"/>
    <w:rsid w:val="00B54BB5"/>
    <w:rsid w:val="00B60421"/>
    <w:rsid w:val="00B65E81"/>
    <w:rsid w:val="00B70DCA"/>
    <w:rsid w:val="00B81EB6"/>
    <w:rsid w:val="00B90262"/>
    <w:rsid w:val="00B975F5"/>
    <w:rsid w:val="00BA2776"/>
    <w:rsid w:val="00BB0243"/>
    <w:rsid w:val="00BB70A7"/>
    <w:rsid w:val="00BF1118"/>
    <w:rsid w:val="00BF1FF6"/>
    <w:rsid w:val="00BF6A83"/>
    <w:rsid w:val="00C03252"/>
    <w:rsid w:val="00C10B5F"/>
    <w:rsid w:val="00C358E2"/>
    <w:rsid w:val="00C41F78"/>
    <w:rsid w:val="00C43ECF"/>
    <w:rsid w:val="00C60BD7"/>
    <w:rsid w:val="00C878D5"/>
    <w:rsid w:val="00C9033B"/>
    <w:rsid w:val="00C913A1"/>
    <w:rsid w:val="00CC5A75"/>
    <w:rsid w:val="00CC6A99"/>
    <w:rsid w:val="00CE647C"/>
    <w:rsid w:val="00CE7ED9"/>
    <w:rsid w:val="00CF0776"/>
    <w:rsid w:val="00CF185C"/>
    <w:rsid w:val="00D00AA3"/>
    <w:rsid w:val="00D0504E"/>
    <w:rsid w:val="00D07F73"/>
    <w:rsid w:val="00D11357"/>
    <w:rsid w:val="00D14844"/>
    <w:rsid w:val="00D16FA7"/>
    <w:rsid w:val="00D2041C"/>
    <w:rsid w:val="00D25ADE"/>
    <w:rsid w:val="00D26B72"/>
    <w:rsid w:val="00D43297"/>
    <w:rsid w:val="00D44DB6"/>
    <w:rsid w:val="00D470A2"/>
    <w:rsid w:val="00D50119"/>
    <w:rsid w:val="00D76971"/>
    <w:rsid w:val="00D82A43"/>
    <w:rsid w:val="00D835D2"/>
    <w:rsid w:val="00D93C76"/>
    <w:rsid w:val="00DA7B5D"/>
    <w:rsid w:val="00DC35CB"/>
    <w:rsid w:val="00DD6A5D"/>
    <w:rsid w:val="00DE15D2"/>
    <w:rsid w:val="00DE6F07"/>
    <w:rsid w:val="00DF1929"/>
    <w:rsid w:val="00DF58E7"/>
    <w:rsid w:val="00E11876"/>
    <w:rsid w:val="00E23CBB"/>
    <w:rsid w:val="00E34446"/>
    <w:rsid w:val="00E37B59"/>
    <w:rsid w:val="00E47FF5"/>
    <w:rsid w:val="00E53438"/>
    <w:rsid w:val="00E65F19"/>
    <w:rsid w:val="00E725FC"/>
    <w:rsid w:val="00E8664F"/>
    <w:rsid w:val="00EA13F0"/>
    <w:rsid w:val="00EA2EE8"/>
    <w:rsid w:val="00EA36C6"/>
    <w:rsid w:val="00EA653A"/>
    <w:rsid w:val="00EC1F9E"/>
    <w:rsid w:val="00EC30F9"/>
    <w:rsid w:val="00ED5725"/>
    <w:rsid w:val="00ED7031"/>
    <w:rsid w:val="00EE3060"/>
    <w:rsid w:val="00EE4315"/>
    <w:rsid w:val="00EF1DDF"/>
    <w:rsid w:val="00EF6925"/>
    <w:rsid w:val="00F04117"/>
    <w:rsid w:val="00F06C48"/>
    <w:rsid w:val="00F12118"/>
    <w:rsid w:val="00F26ED3"/>
    <w:rsid w:val="00F344F7"/>
    <w:rsid w:val="00F60A9A"/>
    <w:rsid w:val="00F62B7A"/>
    <w:rsid w:val="00F6397D"/>
    <w:rsid w:val="00F7293E"/>
    <w:rsid w:val="00F76650"/>
    <w:rsid w:val="00F9187B"/>
    <w:rsid w:val="00F92385"/>
    <w:rsid w:val="00FA1B4F"/>
    <w:rsid w:val="00FA768F"/>
    <w:rsid w:val="00FC47F9"/>
    <w:rsid w:val="00FC5DF4"/>
    <w:rsid w:val="00FC7763"/>
    <w:rsid w:val="00FD7634"/>
    <w:rsid w:val="00FE2351"/>
    <w:rsid w:val="00FE337D"/>
    <w:rsid w:val="00FE5580"/>
    <w:rsid w:val="00FF1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F9C04"/>
  <w15:chartTrackingRefBased/>
  <w15:docId w15:val="{6377E6CD-E114-4694-B21C-74D8DC540146}"/>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99"/>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99"/>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styleId="Revision">
    <w:name w:val="Revision"/>
    <w:hidden/>
    <w:uiPriority w:val="99"/>
    <w:semiHidden/>
    <w:rsid w:val="00284840"/>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7C0E52"/>
    <w:rPr>
      <w:sz w:val="16"/>
      <w:szCs w:val="16"/>
    </w:rPr>
  </w:style>
  <w:style w:type="paragraph" w:styleId="CommentText">
    <w:name w:val="annotation text"/>
    <w:basedOn w:val="Normal"/>
    <w:link w:val="CommentTextChar"/>
    <w:uiPriority w:val="99"/>
    <w:unhideWhenUsed/>
    <w:rsid w:val="007C0E52"/>
    <w:pPr>
      <w:spacing w:line="240" w:lineRule="auto"/>
    </w:pPr>
    <w:rPr>
      <w:sz w:val="20"/>
      <w:szCs w:val="20"/>
    </w:rPr>
  </w:style>
  <w:style w:type="character" w:customStyle="1" w:styleId="CommentTextChar">
    <w:name w:val="Comment Text Char"/>
    <w:basedOn w:val="DefaultParagraphFont"/>
    <w:link w:val="CommentText"/>
    <w:uiPriority w:val="99"/>
    <w:rsid w:val="007C0E52"/>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7C0E52"/>
    <w:rPr>
      <w:b/>
      <w:bCs/>
    </w:rPr>
  </w:style>
  <w:style w:type="character" w:customStyle="1" w:styleId="CommentSubjectChar">
    <w:name w:val="Comment Subject Char"/>
    <w:basedOn w:val="CommentTextChar"/>
    <w:link w:val="CommentSubject"/>
    <w:uiPriority w:val="99"/>
    <w:semiHidden/>
    <w:rsid w:val="007C0E52"/>
    <w:rPr>
      <w:rFonts w:ascii="Book Antiqua" w:hAnsi="Book Antiqua"/>
      <w:b/>
      <w:bCs/>
      <w:sz w:val="20"/>
      <w:szCs w:val="20"/>
    </w:rPr>
  </w:style>
  <w:style w:type="paragraph" w:styleId="ListParagraph">
    <w:name w:val="List Paragraph"/>
    <w:basedOn w:val="Normal"/>
    <w:uiPriority w:val="34"/>
    <w:rsid w:val="000B5A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s://docs.cpuc.ca.gov/PublishedDocs/Published/G000/M606/K452/606452853.pdf" TargetMode="External" Id="Rcb786e17c0784295" /></Relationships>
</file>

<file path=word/_rels/footnotes.xml.rels><?xml version="1.0" encoding="UTF-8" standalone="yes"?>
<Relationships xmlns="http://schemas.openxmlformats.org/package/2006/relationships"><Relationship Id="rId3" Type="http://schemas.openxmlformats.org/officeDocument/2006/relationships/hyperlink" Target="https://docs.cpuc.ca.gov/PublishedDocs/Published/G000/M606/K201/606201347.pdf" TargetMode="External"/><Relationship Id="rId2" Type="http://schemas.openxmlformats.org/officeDocument/2006/relationships/hyperlink" Target="https://ia.cpuc.ca.gov/agendadocs/3575_results.pdf" TargetMode="External"/><Relationship Id="rId1" Type="http://schemas.openxmlformats.org/officeDocument/2006/relationships/hyperlink" Target="https://www.cpuc.ca.gov/industries-and-topics/electrical-energy/electric-power-procurement/rps/rps-procurement-programs/rps-sb-1122-biom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2.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customXml/itemProps4.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11</ap:Pages>
  <ap:Words>2399</ap:Words>
  <ap:Characters>13676</ap:Characters>
  <ap:Application>Microsoft Office Word</ap:Application>
  <ap:DocSecurity>0</ap:DocSecurity>
  <ap:Lines>113</ap:Lines>
  <ap:Paragraphs>32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16043</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2026-05-12T13:39:29Z</dcterms:created>
  <dcterms:modified xsi:type="dcterms:W3CDTF">2026-05-12T13:39:29Z</dcterms:modified>
</cp:coreProperties>
</file>