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421" w:rsidP="007E0FEE" w:rsidRDefault="00D74CCC" w14:paraId="1949593A" w14:textId="0C6A99FA">
      <w:pPr>
        <w:tabs>
          <w:tab w:val="center" w:pos="4680"/>
          <w:tab w:val="right" w:pos="9360"/>
        </w:tabs>
        <w:spacing w:line="240" w:lineRule="auto"/>
        <w:ind w:firstLine="0"/>
      </w:pPr>
      <w:r>
        <w:t>ALJ</w:t>
      </w:r>
      <w:r w:rsidR="00DA7B5D">
        <w:t>/</w:t>
      </w:r>
      <w:r>
        <w:t>MPO</w:t>
      </w:r>
      <w:r w:rsidR="00DA7B5D">
        <w:t>/</w:t>
      </w:r>
      <w:proofErr w:type="spellStart"/>
      <w:r w:rsidR="00E64F55">
        <w:t>vhj</w:t>
      </w:r>
      <w:proofErr w:type="spellEnd"/>
      <w:r w:rsidR="007E0FEE">
        <w:tab/>
      </w:r>
      <w:r w:rsidRPr="00ED5F98" w:rsidR="00DA7B5D">
        <w:rPr>
          <w:rFonts w:ascii="Arial" w:hAnsi="Arial" w:cs="Arial"/>
          <w:b/>
          <w:sz w:val="32"/>
          <w:szCs w:val="32"/>
        </w:rPr>
        <w:t>PROPOSED DECISION</w:t>
      </w:r>
      <w:r w:rsidR="00DA7B5D">
        <w:tab/>
      </w:r>
      <w:r w:rsidRPr="00EE4315" w:rsidR="00DA7B5D">
        <w:rPr>
          <w:b/>
        </w:rPr>
        <w:t>Agenda ID #</w:t>
      </w:r>
      <w:r w:rsidRPr="00FA4925" w:rsidR="00FA4925">
        <w:rPr>
          <w:b/>
        </w:rPr>
        <w:t>24378</w:t>
      </w:r>
    </w:p>
    <w:p w:rsidRPr="00EE4315" w:rsidR="00DA7B5D" w:rsidP="00632207" w:rsidRDefault="001C2714" w14:paraId="2DF0D62C" w14:textId="6AF430D3">
      <w:pPr>
        <w:spacing w:line="240" w:lineRule="auto"/>
        <w:jc w:val="right"/>
        <w:rPr>
          <w:b/>
        </w:rPr>
      </w:pPr>
      <w:proofErr w:type="spellStart"/>
      <w:r>
        <w:rPr>
          <w:b/>
        </w:rPr>
        <w:t>Ratesetting</w:t>
      </w:r>
      <w:proofErr w:type="spellEnd"/>
    </w:p>
    <w:p w:rsidR="00DA7B5D" w:rsidP="008F0116" w:rsidRDefault="00DA7B5D" w14:paraId="0B551022" w14:textId="77777777">
      <w:pPr>
        <w:ind w:firstLine="0"/>
      </w:pPr>
    </w:p>
    <w:p w:rsidRPr="00EE3060" w:rsidR="00DA7B5D" w:rsidP="0098655A" w:rsidRDefault="00DA7B5D" w14:paraId="59589A07" w14:textId="77777777">
      <w:pPr>
        <w:ind w:left="1080" w:hanging="1080"/>
      </w:pPr>
      <w:r>
        <w:t xml:space="preserve">Decision </w:t>
      </w:r>
      <w:r w:rsidR="008D16B7">
        <w:t>__________</w:t>
      </w:r>
    </w:p>
    <w:p w:rsidR="007722B9" w:rsidP="007722B9" w:rsidRDefault="007722B9" w14:paraId="2A83FBE2" w14:textId="77777777">
      <w:pPr>
        <w:spacing w:line="240" w:lineRule="auto"/>
        <w:ind w:firstLine="0"/>
        <w:rPr>
          <w:u w:val="single"/>
        </w:rPr>
      </w:pPr>
    </w:p>
    <w:p w:rsidR="00DA7B5D" w:rsidP="00BB0243" w:rsidRDefault="00DA7B5D" w14:paraId="78047CF3" w14:textId="63A57258">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5F3A61DF"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3F487C3E" w14:textId="77777777">
        <w:trPr>
          <w:jc w:val="center"/>
        </w:trPr>
        <w:tc>
          <w:tcPr>
            <w:tcW w:w="5040" w:type="dxa"/>
            <w:tcBorders>
              <w:top w:val="nil"/>
              <w:left w:val="nil"/>
              <w:bottom w:val="single" w:color="auto" w:sz="4" w:space="0"/>
              <w:right w:val="single" w:color="auto" w:sz="4" w:space="0"/>
            </w:tcBorders>
          </w:tcPr>
          <w:p w:rsidR="00DA7B5D" w:rsidP="00C10B5F" w:rsidRDefault="006F1A83" w14:paraId="54134B57" w14:textId="77777777">
            <w:pPr>
              <w:spacing w:line="240" w:lineRule="auto"/>
              <w:ind w:firstLine="0"/>
              <w:rPr>
                <w:rFonts w:cs="Arial"/>
                <w:szCs w:val="26"/>
              </w:rPr>
            </w:pPr>
            <w:r w:rsidRPr="00B02FF4">
              <w:rPr>
                <w:rFonts w:cs="Arial"/>
                <w:szCs w:val="26"/>
              </w:rPr>
              <w:t>Application of Southern California Edison Company (U-338E) for Approval under Public Utilities Code Section 851 for the Grant of Public Road and Limited Utilities Easements to City of Ontario</w:t>
            </w:r>
          </w:p>
          <w:p w:rsidRPr="00DA7B5D" w:rsidR="004F607C" w:rsidP="00C10B5F" w:rsidRDefault="004F607C" w14:paraId="5DC9A1EB" w14:textId="7C3C78AD">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DA7B5D" w:rsidP="00412C83" w:rsidRDefault="006F1A83" w14:paraId="1B55A285" w14:textId="28D8FD29">
            <w:pPr>
              <w:spacing w:line="240" w:lineRule="auto"/>
              <w:ind w:firstLine="0"/>
              <w:jc w:val="center"/>
              <w:rPr>
                <w:rFonts w:cs="Arial"/>
                <w:szCs w:val="26"/>
              </w:rPr>
            </w:pPr>
            <w:r>
              <w:rPr>
                <w:rFonts w:cs="Arial"/>
                <w:szCs w:val="26"/>
              </w:rPr>
              <w:t xml:space="preserve">Application </w:t>
            </w:r>
            <w:r w:rsidR="001C2714">
              <w:rPr>
                <w:rFonts w:cs="Arial"/>
                <w:szCs w:val="26"/>
              </w:rPr>
              <w:t>26-01-002</w:t>
            </w:r>
          </w:p>
        </w:tc>
      </w:tr>
    </w:tbl>
    <w:p w:rsidR="00DA7B5D" w:rsidP="008F0116" w:rsidRDefault="00DA7B5D" w14:paraId="5AD32BA4" w14:textId="77777777">
      <w:pPr>
        <w:spacing w:line="240" w:lineRule="auto"/>
        <w:ind w:firstLine="0"/>
        <w:rPr>
          <w:rFonts w:ascii="Arial" w:hAnsi="Arial" w:cs="Arial"/>
          <w:sz w:val="24"/>
          <w:szCs w:val="24"/>
        </w:rPr>
      </w:pPr>
    </w:p>
    <w:p w:rsidR="00DA7B5D" w:rsidP="008F0116" w:rsidRDefault="00DA7B5D" w14:paraId="723E199A" w14:textId="77777777">
      <w:pPr>
        <w:spacing w:line="240" w:lineRule="auto"/>
        <w:ind w:firstLine="0"/>
        <w:rPr>
          <w:rFonts w:ascii="Arial" w:hAnsi="Arial" w:cs="Arial"/>
          <w:sz w:val="24"/>
          <w:szCs w:val="24"/>
        </w:rPr>
      </w:pPr>
    </w:p>
    <w:p w:rsidR="00173690" w:rsidP="00173690" w:rsidRDefault="00173690" w14:paraId="086346C5" w14:textId="583D6626">
      <w:pPr>
        <w:pStyle w:val="Main"/>
        <w:spacing w:after="240"/>
      </w:pPr>
      <w:r w:rsidRPr="00B92EBF">
        <w:t xml:space="preserve">DECISION AUTHORIZING SOUTHERN CALIFORNIA EDISON COMPANY TO </w:t>
      </w:r>
      <w:r>
        <w:t>grant public Road and Limited Use easements to the city of ontario</w:t>
      </w:r>
      <w:r w:rsidRPr="00B92EBF">
        <w:t xml:space="preserve"> UNDER PUBLIC UTILITIES CODE SECTION 851</w:t>
      </w:r>
    </w:p>
    <w:p w:rsidR="005A148C" w:rsidP="005A148C" w:rsidRDefault="005A148C" w14:paraId="330D80E4" w14:textId="77777777">
      <w:pPr>
        <w:pStyle w:val="Dummy"/>
      </w:pPr>
      <w:bookmarkStart w:name="_Toc8123714" w:id="0"/>
      <w:bookmarkStart w:name="_Toc133843842" w:id="1"/>
      <w:r>
        <w:t>Summary</w:t>
      </w:r>
      <w:bookmarkEnd w:id="0"/>
      <w:bookmarkEnd w:id="1"/>
    </w:p>
    <w:p w:rsidR="002D4DE1" w:rsidP="006E6574" w:rsidRDefault="00F76752" w14:paraId="19D6EBAF" w14:textId="311252CF">
      <w:pPr>
        <w:pStyle w:val="Standard"/>
      </w:pPr>
      <w:r>
        <w:t xml:space="preserve">This decision </w:t>
      </w:r>
      <w:r w:rsidR="00943EA4">
        <w:t>authorizes</w:t>
      </w:r>
      <w:r>
        <w:t xml:space="preserve"> Southern California Edison Company </w:t>
      </w:r>
      <w:r w:rsidR="00EF6ABD">
        <w:t xml:space="preserve">to grant public road and limited use easements to the City of Ontario </w:t>
      </w:r>
      <w:r w:rsidR="00086AFC">
        <w:t xml:space="preserve">under </w:t>
      </w:r>
      <w:r>
        <w:t xml:space="preserve">California </w:t>
      </w:r>
      <w:r w:rsidRPr="009E221E">
        <w:t>Public Utilit</w:t>
      </w:r>
      <w:r>
        <w:t>ies</w:t>
      </w:r>
      <w:r w:rsidRPr="009E221E">
        <w:t xml:space="preserve"> Code Section 851</w:t>
      </w:r>
      <w:r w:rsidR="00EF6ABD">
        <w:t xml:space="preserve">.  </w:t>
      </w:r>
      <w:r w:rsidRPr="002D4DE1" w:rsidR="002D4DE1">
        <w:t xml:space="preserve">We find that the proposed </w:t>
      </w:r>
      <w:r w:rsidR="00DF5E84">
        <w:t>tran</w:t>
      </w:r>
      <w:r w:rsidR="0054099E">
        <w:t>s</w:t>
      </w:r>
      <w:r w:rsidR="00DF5E84">
        <w:t>action</w:t>
      </w:r>
      <w:r w:rsidRPr="002D4DE1" w:rsidR="002D4DE1">
        <w:t xml:space="preserve"> is in the public interest and satisfies relevant requirements. </w:t>
      </w:r>
    </w:p>
    <w:p w:rsidR="002C7FE9" w:rsidP="006E6574" w:rsidRDefault="00F76752" w14:paraId="244173C7" w14:textId="6AF02561">
      <w:pPr>
        <w:pStyle w:val="Standard"/>
      </w:pPr>
      <w:r>
        <w:t>This proceeding is closed.</w:t>
      </w:r>
    </w:p>
    <w:p w:rsidR="0063491C" w:rsidP="00086AFC" w:rsidRDefault="0063491C" w14:paraId="7E035B14" w14:textId="626D5D19">
      <w:pPr>
        <w:pStyle w:val="Heading1"/>
      </w:pPr>
      <w:bookmarkStart w:name="_Toc8123716" w:id="2"/>
      <w:bookmarkStart w:name="_Toc133843844" w:id="3"/>
      <w:r>
        <w:t>Background</w:t>
      </w:r>
      <w:bookmarkEnd w:id="2"/>
      <w:bookmarkEnd w:id="3"/>
    </w:p>
    <w:p w:rsidR="00817CB4" w:rsidP="00817CB4" w:rsidRDefault="00817CB4" w14:paraId="11F13842" w14:textId="3D771121">
      <w:pPr>
        <w:pStyle w:val="xstandard"/>
      </w:pPr>
      <w:r>
        <w:t>On January 5, 2026, Southern California Edison Company (SCE) filed Application (A.) 26-01-002 requesting a</w:t>
      </w:r>
      <w:r w:rsidRPr="0095632E">
        <w:t xml:space="preserve">pproval </w:t>
      </w:r>
      <w:r>
        <w:t xml:space="preserve">pursuant to </w:t>
      </w:r>
      <w:r w:rsidRPr="0095632E">
        <w:t xml:space="preserve">Public Utilities Code Section 851 for the </w:t>
      </w:r>
      <w:r>
        <w:t>g</w:t>
      </w:r>
      <w:r w:rsidRPr="0095632E">
        <w:t xml:space="preserve">rant of </w:t>
      </w:r>
      <w:r>
        <w:t>four p</w:t>
      </w:r>
      <w:r w:rsidRPr="0095632E">
        <w:t xml:space="preserve">ublic </w:t>
      </w:r>
      <w:r>
        <w:t>r</w:t>
      </w:r>
      <w:r w:rsidRPr="0095632E">
        <w:t xml:space="preserve">oad and </w:t>
      </w:r>
      <w:r>
        <w:t>l</w:t>
      </w:r>
      <w:r w:rsidRPr="0095632E">
        <w:t xml:space="preserve">imited </w:t>
      </w:r>
      <w:r>
        <w:t>u</w:t>
      </w:r>
      <w:r w:rsidRPr="0095632E">
        <w:t xml:space="preserve">tilities </w:t>
      </w:r>
      <w:r>
        <w:t>e</w:t>
      </w:r>
      <w:r w:rsidRPr="0095632E">
        <w:t xml:space="preserve">asements </w:t>
      </w:r>
      <w:r>
        <w:t xml:space="preserve">(Easements) </w:t>
      </w:r>
      <w:r w:rsidRPr="0095632E">
        <w:t>to City of Ontario</w:t>
      </w:r>
      <w:r>
        <w:t>.</w:t>
      </w:r>
      <w:r w:rsidRPr="0095632E">
        <w:t xml:space="preserve"> </w:t>
      </w:r>
      <w:r>
        <w:t xml:space="preserve"> </w:t>
      </w:r>
      <w:r w:rsidRPr="007855AC">
        <w:t xml:space="preserve">SCE owns four parcels </w:t>
      </w:r>
      <w:r>
        <w:t>of land in</w:t>
      </w:r>
      <w:r w:rsidRPr="007855AC">
        <w:t xml:space="preserve"> San Bernardino County</w:t>
      </w:r>
      <w:r>
        <w:t xml:space="preserve"> and</w:t>
      </w:r>
      <w:r w:rsidRPr="00045C61">
        <w:t xml:space="preserve"> </w:t>
      </w:r>
      <w:r>
        <w:t xml:space="preserve">currently </w:t>
      </w:r>
      <w:r w:rsidRPr="00045C61">
        <w:t xml:space="preserve">uses those parcels </w:t>
      </w:r>
      <w:r w:rsidR="008601AC">
        <w:t>for</w:t>
      </w:r>
      <w:r w:rsidRPr="00045C61">
        <w:t xml:space="preserve"> material storage and secondary access to the Mira Loma substation. </w:t>
      </w:r>
      <w:r>
        <w:t xml:space="preserve"> </w:t>
      </w:r>
      <w:proofErr w:type="spellStart"/>
      <w:r w:rsidRPr="00B13C56">
        <w:t>BrookCal</w:t>
      </w:r>
      <w:proofErr w:type="spellEnd"/>
      <w:r w:rsidRPr="00B13C56">
        <w:t xml:space="preserve"> Ontario LLC (</w:t>
      </w:r>
      <w:proofErr w:type="spellStart"/>
      <w:r w:rsidRPr="00B13C56">
        <w:t>BrookCal</w:t>
      </w:r>
      <w:proofErr w:type="spellEnd"/>
      <w:r w:rsidRPr="00B13C56">
        <w:t xml:space="preserve">), a </w:t>
      </w:r>
      <w:r w:rsidRPr="00B13C56">
        <w:lastRenderedPageBreak/>
        <w:t>developer, requested the Easements from SCE on behalf of the City</w:t>
      </w:r>
      <w:r>
        <w:t xml:space="preserve"> of Ontario</w:t>
      </w:r>
      <w:r w:rsidRPr="00B13C56">
        <w:t>.</w:t>
      </w:r>
      <w:r>
        <w:t xml:space="preserve"> </w:t>
      </w:r>
      <w:r w:rsidRPr="00B13C56">
        <w:t xml:space="preserve"> </w:t>
      </w:r>
      <w:proofErr w:type="spellStart"/>
      <w:r w:rsidRPr="00B13C56">
        <w:t>BrookCal</w:t>
      </w:r>
      <w:proofErr w:type="spellEnd"/>
      <w:r w:rsidRPr="00B13C56">
        <w:t xml:space="preserve"> is developing a</w:t>
      </w:r>
      <w:r>
        <w:t>n</w:t>
      </w:r>
      <w:r w:rsidRPr="00B13C56">
        <w:t xml:space="preserve"> industrial distribution warehouse located </w:t>
      </w:r>
      <w:r>
        <w:t>near the parcels and the City of Ontario</w:t>
      </w:r>
      <w:r w:rsidRPr="00A92623">
        <w:t xml:space="preserve"> has required the acquisition of the Easements as a condition of approval for the </w:t>
      </w:r>
      <w:r w:rsidR="001A5B6A">
        <w:t>p</w:t>
      </w:r>
      <w:r w:rsidRPr="00A92623">
        <w:t>roject.</w:t>
      </w:r>
      <w:r>
        <w:rPr>
          <w:rStyle w:val="FootnoteReference"/>
        </w:rPr>
        <w:footnoteReference w:id="2"/>
      </w:r>
    </w:p>
    <w:p w:rsidRPr="00636F94" w:rsidR="00636F94" w:rsidP="00636F94" w:rsidRDefault="00817CB4" w14:paraId="1396B8F6" w14:textId="546E1E71">
      <w:pPr>
        <w:pStyle w:val="xstandard"/>
      </w:pPr>
      <w:r>
        <w:t>The</w:t>
      </w:r>
      <w:r w:rsidRPr="00D10774">
        <w:t xml:space="preserve"> Easement</w:t>
      </w:r>
      <w:r>
        <w:t>s</w:t>
      </w:r>
      <w:r w:rsidRPr="00D10774">
        <w:t xml:space="preserve"> </w:t>
      </w:r>
      <w:r>
        <w:t xml:space="preserve">would </w:t>
      </w:r>
      <w:r w:rsidR="00B65265">
        <w:t xml:space="preserve">allow the </w:t>
      </w:r>
      <w:r w:rsidRPr="00D10774">
        <w:t xml:space="preserve">City </w:t>
      </w:r>
      <w:r>
        <w:t xml:space="preserve">of Ontario </w:t>
      </w:r>
      <w:r w:rsidRPr="00D10774">
        <w:t xml:space="preserve">to encumber </w:t>
      </w:r>
      <w:r>
        <w:t>the</w:t>
      </w:r>
      <w:r w:rsidRPr="00D10774">
        <w:t xml:space="preserve"> easement area with a public road and certain utilities. </w:t>
      </w:r>
      <w:r>
        <w:t xml:space="preserve"> SCE indicates that the proposed use of the Easements is </w:t>
      </w:r>
      <w:r w:rsidRPr="00D10774">
        <w:t>compatible with SCE operations</w:t>
      </w:r>
      <w:r>
        <w:t xml:space="preserve">.  However, since </w:t>
      </w:r>
      <w:r w:rsidRPr="00D10774">
        <w:t xml:space="preserve">SCE may </w:t>
      </w:r>
      <w:r>
        <w:t xml:space="preserve">need </w:t>
      </w:r>
      <w:r w:rsidRPr="00D10774">
        <w:t xml:space="preserve">to run additional underground conduits and cables </w:t>
      </w:r>
      <w:r>
        <w:t xml:space="preserve">in the parcels </w:t>
      </w:r>
      <w:r w:rsidRPr="00D10774">
        <w:t>in the future</w:t>
      </w:r>
      <w:r>
        <w:t>,</w:t>
      </w:r>
      <w:r w:rsidRPr="00D10774">
        <w:t xml:space="preserve"> SCE is granting the City </w:t>
      </w:r>
      <w:r w:rsidR="001A5B6A">
        <w:t xml:space="preserve">of Ontario </w:t>
      </w:r>
      <w:r w:rsidRPr="00D10774">
        <w:t xml:space="preserve">only limited and pre-approved utility rights that do not conflict with SCE’s </w:t>
      </w:r>
      <w:proofErr w:type="gramStart"/>
      <w:r w:rsidRPr="00D10774">
        <w:t>future plans</w:t>
      </w:r>
      <w:proofErr w:type="gramEnd"/>
      <w:r w:rsidRPr="00D10774">
        <w:t xml:space="preserve">. </w:t>
      </w:r>
      <w:r>
        <w:t xml:space="preserve"> </w:t>
      </w:r>
      <w:r w:rsidRPr="00D10774">
        <w:t>The utilities permitted on the parcels include sewer pipelines, water pipelines, fiber installations, reclaimed water systems, landscaping, irrigation and overhead lighting.</w:t>
      </w:r>
      <w:r>
        <w:rPr>
          <w:rStyle w:val="FootnoteReference"/>
        </w:rPr>
        <w:footnoteReference w:id="3"/>
      </w:r>
      <w:r w:rsidRPr="00D10774">
        <w:t xml:space="preserve"> </w:t>
      </w:r>
      <w:r>
        <w:t xml:space="preserve"> </w:t>
      </w:r>
      <w:r w:rsidRPr="00636F94" w:rsidR="00636F94">
        <w:t xml:space="preserve">The Easements require the City </w:t>
      </w:r>
      <w:r w:rsidR="00636F94">
        <w:t xml:space="preserve">of Ontario </w:t>
      </w:r>
      <w:r w:rsidRPr="00636F94" w:rsidR="00636F94">
        <w:t>to maintain its</w:t>
      </w:r>
      <w:r w:rsidR="00636F94">
        <w:t xml:space="preserve"> </w:t>
      </w:r>
      <w:r w:rsidRPr="00636F94" w:rsidR="00636F94">
        <w:t>improvements and indemnify SCE, to the extent permitted by law, against claims arising out</w:t>
      </w:r>
      <w:r w:rsidR="00636F94">
        <w:t xml:space="preserve"> </w:t>
      </w:r>
      <w:r w:rsidRPr="00636F94" w:rsidR="00636F94">
        <w:t>of the exercise of the rights granted therein.</w:t>
      </w:r>
      <w:r w:rsidR="00636F94">
        <w:rPr>
          <w:rStyle w:val="FootnoteReference"/>
        </w:rPr>
        <w:footnoteReference w:id="4"/>
      </w:r>
    </w:p>
    <w:p w:rsidR="00BE54CA" w:rsidP="00BE54CA" w:rsidRDefault="00BE54CA" w14:paraId="1138D19E" w14:textId="05E3D13D">
      <w:pPr>
        <w:pStyle w:val="Standard"/>
      </w:pPr>
      <w:proofErr w:type="spellStart"/>
      <w:r w:rsidRPr="00BE54CA">
        <w:rPr>
          <w:rFonts w:cs="Calibri"/>
          <w:szCs w:val="26"/>
        </w:rPr>
        <w:t>BrookCal</w:t>
      </w:r>
      <w:proofErr w:type="spellEnd"/>
      <w:r w:rsidRPr="00BE54CA">
        <w:rPr>
          <w:rFonts w:cs="Calibri"/>
          <w:szCs w:val="26"/>
        </w:rPr>
        <w:t xml:space="preserve"> </w:t>
      </w:r>
      <w:r w:rsidR="00442A41">
        <w:rPr>
          <w:rFonts w:cs="Calibri"/>
          <w:szCs w:val="26"/>
        </w:rPr>
        <w:t>would</w:t>
      </w:r>
      <w:r w:rsidRPr="00BE54CA">
        <w:rPr>
          <w:rFonts w:cs="Calibri"/>
          <w:szCs w:val="26"/>
        </w:rPr>
        <w:t xml:space="preserve"> pay SCE $6,649,000</w:t>
      </w:r>
      <w:r w:rsidR="00A72BDA">
        <w:rPr>
          <w:rFonts w:cs="Calibri"/>
          <w:szCs w:val="26"/>
        </w:rPr>
        <w:t xml:space="preserve"> </w:t>
      </w:r>
      <w:r w:rsidRPr="00BE54CA" w:rsidR="00A72BDA">
        <w:rPr>
          <w:rFonts w:cs="Calibri"/>
          <w:szCs w:val="26"/>
        </w:rPr>
        <w:t>for the Easements</w:t>
      </w:r>
      <w:r w:rsidR="00A72BDA">
        <w:rPr>
          <w:rFonts w:cs="Calibri"/>
          <w:szCs w:val="26"/>
        </w:rPr>
        <w:t xml:space="preserve">, which is </w:t>
      </w:r>
      <w:r w:rsidR="00442A41">
        <w:rPr>
          <w:rFonts w:cs="Calibri"/>
          <w:szCs w:val="26"/>
        </w:rPr>
        <w:t xml:space="preserve">the </w:t>
      </w:r>
      <w:r w:rsidRPr="00BE54CA">
        <w:rPr>
          <w:rFonts w:cs="Calibri"/>
          <w:szCs w:val="26"/>
        </w:rPr>
        <w:t xml:space="preserve">appraised value. </w:t>
      </w:r>
      <w:r w:rsidR="001A5B6A">
        <w:rPr>
          <w:rFonts w:cs="Calibri"/>
          <w:szCs w:val="26"/>
        </w:rPr>
        <w:t xml:space="preserve"> </w:t>
      </w:r>
      <w:r w:rsidRPr="00BE54CA">
        <w:rPr>
          <w:rFonts w:cs="Calibri"/>
          <w:szCs w:val="26"/>
        </w:rPr>
        <w:t>The pre-tax gain on</w:t>
      </w:r>
      <w:r w:rsidR="00A40873">
        <w:rPr>
          <w:rFonts w:cs="Calibri"/>
          <w:szCs w:val="26"/>
        </w:rPr>
        <w:t xml:space="preserve"> </w:t>
      </w:r>
      <w:r w:rsidR="007D6BA9">
        <w:rPr>
          <w:rFonts w:cs="Calibri"/>
          <w:szCs w:val="26"/>
        </w:rPr>
        <w:t>transaction</w:t>
      </w:r>
      <w:r w:rsidRPr="00BE54CA">
        <w:rPr>
          <w:rFonts w:cs="Calibri"/>
          <w:szCs w:val="26"/>
        </w:rPr>
        <w:t xml:space="preserve"> is anticipated to be approximately $6,626,929</w:t>
      </w:r>
      <w:r w:rsidR="00B454BD">
        <w:rPr>
          <w:rFonts w:cs="Calibri"/>
          <w:szCs w:val="26"/>
        </w:rPr>
        <w:t xml:space="preserve"> and</w:t>
      </w:r>
      <w:r w:rsidRPr="00BE54CA">
        <w:rPr>
          <w:rFonts w:cs="Calibri"/>
          <w:szCs w:val="26"/>
        </w:rPr>
        <w:t xml:space="preserve"> will result in an after-tax</w:t>
      </w:r>
      <w:r w:rsidR="00A40873">
        <w:rPr>
          <w:rFonts w:cs="Calibri"/>
          <w:szCs w:val="26"/>
        </w:rPr>
        <w:t xml:space="preserve"> </w:t>
      </w:r>
      <w:r w:rsidRPr="00BE54CA">
        <w:rPr>
          <w:rFonts w:cs="Calibri"/>
          <w:szCs w:val="26"/>
        </w:rPr>
        <w:t xml:space="preserve">gain of approximately </w:t>
      </w:r>
      <w:r w:rsidRPr="00BE54CA">
        <w:t>$4,772,476.</w:t>
      </w:r>
      <w:r w:rsidR="00BE561E">
        <w:rPr>
          <w:rStyle w:val="FootnoteReference"/>
        </w:rPr>
        <w:footnoteReference w:id="5"/>
      </w:r>
      <w:r w:rsidRPr="00BE54CA">
        <w:t xml:space="preserve"> </w:t>
      </w:r>
    </w:p>
    <w:p w:rsidR="0063491C" w:rsidP="00BE54CA" w:rsidRDefault="00817CB4" w14:paraId="61C9FA89" w14:textId="72B2CDA5">
      <w:pPr>
        <w:pStyle w:val="Standard"/>
      </w:pPr>
      <w:r>
        <w:t>No protests to the application were filed.  A prehearing conference was held on February 26, 2026</w:t>
      </w:r>
      <w:r w:rsidR="00A72BDA">
        <w:t xml:space="preserve">.  </w:t>
      </w:r>
      <w:r w:rsidR="004F607C">
        <w:t xml:space="preserve">The </w:t>
      </w:r>
      <w:r w:rsidRPr="009A2CC3">
        <w:t>Public Advocates Office at the California Public</w:t>
      </w:r>
      <w:r>
        <w:t xml:space="preserve"> </w:t>
      </w:r>
      <w:r w:rsidRPr="00776A76">
        <w:t xml:space="preserve">Utilities Commission </w:t>
      </w:r>
      <w:r w:rsidR="00BB5267">
        <w:t xml:space="preserve">(Cal Advocates) </w:t>
      </w:r>
      <w:r>
        <w:t xml:space="preserve">filed a motion for party status on February </w:t>
      </w:r>
      <w:r>
        <w:lastRenderedPageBreak/>
        <w:t xml:space="preserve">26, 2026.  The Administrative Law Judge granted that motion at the prehearing conference. </w:t>
      </w:r>
      <w:r w:rsidR="004171AE">
        <w:t xml:space="preserve"> </w:t>
      </w:r>
      <w:r w:rsidR="002C0035">
        <w:rPr>
          <w:rFonts w:eastAsia="Times New Roman" w:cs="Times New Roman"/>
          <w:szCs w:val="26"/>
        </w:rPr>
        <w:t>A</w:t>
      </w:r>
      <w:r w:rsidR="002C0035">
        <w:t xml:space="preserve"> Scoping Memo and Ruling was issued on </w:t>
      </w:r>
      <w:r w:rsidR="004A125B">
        <w:t>March</w:t>
      </w:r>
      <w:r w:rsidR="002C0035">
        <w:t xml:space="preserve"> 2</w:t>
      </w:r>
      <w:r w:rsidR="004A125B">
        <w:t>0</w:t>
      </w:r>
      <w:r w:rsidR="002C0035">
        <w:t>, 2026.  It determined that evidentiary hearings were not required.</w:t>
      </w:r>
      <w:r w:rsidR="002C0035">
        <w:rPr>
          <w:rStyle w:val="FootnoteReference"/>
        </w:rPr>
        <w:footnoteReference w:id="6"/>
      </w:r>
      <w:r w:rsidR="002C0035">
        <w:t xml:space="preserve">  SCE submitted its opening brief on </w:t>
      </w:r>
      <w:r w:rsidR="004A125B">
        <w:t>April 22, 2026</w:t>
      </w:r>
      <w:r w:rsidR="002C0035">
        <w:t xml:space="preserve">.  </w:t>
      </w:r>
      <w:r w:rsidR="00BB5267">
        <w:t>Cal Advocates filed a</w:t>
      </w:r>
      <w:r w:rsidR="002C0035">
        <w:t xml:space="preserve"> </w:t>
      </w:r>
      <w:proofErr w:type="gramStart"/>
      <w:r w:rsidR="002C0035">
        <w:t>reply brief</w:t>
      </w:r>
      <w:proofErr w:type="gramEnd"/>
      <w:r w:rsidR="00BB5267">
        <w:t xml:space="preserve"> on May 11, </w:t>
      </w:r>
      <w:proofErr w:type="gramStart"/>
      <w:r w:rsidR="00BB5267">
        <w:t>2026</w:t>
      </w:r>
      <w:proofErr w:type="gramEnd"/>
      <w:r w:rsidR="00BB5267">
        <w:t xml:space="preserve"> that generally supported the sale of the Easements</w:t>
      </w:r>
      <w:r w:rsidR="002C0035">
        <w:t xml:space="preserve">.  </w:t>
      </w:r>
    </w:p>
    <w:p w:rsidR="00683B2C" w:rsidP="006E6574" w:rsidRDefault="00683B2C" w14:paraId="61FACC5A" w14:textId="4122DE7D">
      <w:pPr>
        <w:pStyle w:val="Standard"/>
      </w:pPr>
      <w:r w:rsidRPr="00FF0265">
        <w:t xml:space="preserve">This matter was submitted on </w:t>
      </w:r>
      <w:r w:rsidR="00086AFC">
        <w:t xml:space="preserve">May </w:t>
      </w:r>
      <w:r w:rsidR="00C4769D">
        <w:t>1</w:t>
      </w:r>
      <w:r w:rsidR="00CD236B">
        <w:t>3</w:t>
      </w:r>
      <w:r w:rsidR="00C4769D">
        <w:t xml:space="preserve">, </w:t>
      </w:r>
      <w:r w:rsidR="00086AFC">
        <w:t>2026</w:t>
      </w:r>
      <w:r w:rsidR="009639F8">
        <w:t xml:space="preserve">, which </w:t>
      </w:r>
      <w:r w:rsidR="00AB26D0">
        <w:t>is the filing</w:t>
      </w:r>
      <w:r w:rsidRPr="00FF0265">
        <w:t xml:space="preserve"> </w:t>
      </w:r>
      <w:r w:rsidR="004A125B">
        <w:t>date for</w:t>
      </w:r>
      <w:r w:rsidR="007A4F99">
        <w:t xml:space="preserve"> </w:t>
      </w:r>
      <w:proofErr w:type="gramStart"/>
      <w:r w:rsidRPr="00FF0265">
        <w:t>reply</w:t>
      </w:r>
      <w:proofErr w:type="gramEnd"/>
      <w:r w:rsidRPr="00FF0265">
        <w:t xml:space="preserve"> briefs.</w:t>
      </w:r>
    </w:p>
    <w:p w:rsidR="005A148C" w:rsidP="005939A5" w:rsidRDefault="005939A5" w14:paraId="749404AA" w14:textId="77777777">
      <w:pPr>
        <w:pStyle w:val="Heading1"/>
      </w:pPr>
      <w:bookmarkStart w:name="_Toc8123719" w:id="4"/>
      <w:bookmarkStart w:name="_Toc133843848" w:id="5"/>
      <w:r>
        <w:t xml:space="preserve">Issues Before the </w:t>
      </w:r>
      <w:bookmarkEnd w:id="4"/>
      <w:r w:rsidR="008A08BF">
        <w:t>Commission</w:t>
      </w:r>
      <w:bookmarkEnd w:id="5"/>
    </w:p>
    <w:p w:rsidR="00F25230" w:rsidP="00F25230" w:rsidRDefault="00F25230" w14:paraId="3E79AAF4" w14:textId="77777777">
      <w:pPr>
        <w:pStyle w:val="Standard"/>
      </w:pPr>
      <w:r w:rsidRPr="00F25230">
        <w:t xml:space="preserve">The issues to be determined or otherwise considered are: </w:t>
      </w:r>
    </w:p>
    <w:p w:rsidR="00F25230" w:rsidP="00382ACE" w:rsidRDefault="00F25230" w14:paraId="07DCFC1A" w14:textId="4A337087">
      <w:pPr>
        <w:pStyle w:val="ListAlpha"/>
        <w:ind w:right="1440"/>
      </w:pPr>
      <w:r w:rsidRPr="00F25230">
        <w:t>Should the Commission approve granting the Easements to the City of Ontario</w:t>
      </w:r>
      <w:r w:rsidR="004F607C">
        <w:t>?</w:t>
      </w:r>
      <w:r w:rsidRPr="00F25230">
        <w:t xml:space="preserve"> </w:t>
      </w:r>
    </w:p>
    <w:p w:rsidR="00F25230" w:rsidP="00382ACE" w:rsidRDefault="00F25230" w14:paraId="20E18C7B" w14:textId="2B7A410F">
      <w:pPr>
        <w:pStyle w:val="ListAlpha"/>
        <w:ind w:right="1440"/>
      </w:pPr>
      <w:r w:rsidRPr="00F25230">
        <w:t>Should the Commission approve SCE’s proposed allocation of the proceeds</w:t>
      </w:r>
      <w:r w:rsidR="004F607C">
        <w:t>?</w:t>
      </w:r>
    </w:p>
    <w:p w:rsidR="005939A5" w:rsidP="005939A5" w:rsidRDefault="005939A5" w14:paraId="7A46DCEF" w14:textId="0B1AA477">
      <w:pPr>
        <w:pStyle w:val="Heading1"/>
      </w:pPr>
      <w:bookmarkStart w:name="_Toc8123720" w:id="6"/>
      <w:bookmarkStart w:name="_Toc133843849" w:id="7"/>
      <w:r>
        <w:t>Discussion</w:t>
      </w:r>
      <w:bookmarkEnd w:id="6"/>
      <w:bookmarkEnd w:id="7"/>
    </w:p>
    <w:p w:rsidR="00770A11" w:rsidP="00770A11" w:rsidRDefault="0032614B" w14:paraId="664B79FA" w14:textId="5274D33C">
      <w:pPr>
        <w:pStyle w:val="Heading2"/>
        <w:numPr>
          <w:ilvl w:val="1"/>
          <w:numId w:val="17"/>
        </w:numPr>
      </w:pPr>
      <w:r>
        <w:t>Compliance with Public Util</w:t>
      </w:r>
      <w:r w:rsidR="00B73FE2">
        <w:t>i</w:t>
      </w:r>
      <w:r>
        <w:t xml:space="preserve">ties Section </w:t>
      </w:r>
      <w:r w:rsidR="00B73FE2">
        <w:t>851</w:t>
      </w:r>
    </w:p>
    <w:p w:rsidR="00B73FE2" w:rsidP="00770A11" w:rsidRDefault="00906534" w14:paraId="191D74CC" w14:textId="0AD380E1">
      <w:pPr>
        <w:pStyle w:val="Standard"/>
      </w:pPr>
      <w:r>
        <w:t xml:space="preserve">Public Utilities Code Section </w:t>
      </w:r>
      <w:r w:rsidRPr="005573DE" w:rsidR="005573DE">
        <w:t xml:space="preserve">851 provides, in relevant part, that a public utility: </w:t>
      </w:r>
    </w:p>
    <w:p w:rsidR="00906534" w:rsidP="00906534" w:rsidRDefault="00906534" w14:paraId="697F2A3D" w14:textId="1C0F8114">
      <w:pPr>
        <w:pStyle w:val="BlockQuote"/>
      </w:pPr>
      <w:r>
        <w:t>{S]</w:t>
      </w:r>
      <w:r w:rsidRPr="005573DE" w:rsidR="005573DE">
        <w:t xml:space="preserve">hall not sell, lease, assign, mortgage, or otherwise dispose of, or encumber the whole or any part of its railroad, street railroad, line, plant, system, or other property necessary or useful in the performance of its duties to the public, or any franchise or permit or any right thereunder, or by any means whatsoever, directly or indirectly, merge or consolidate its railroad, street railroad, line, plant, system, or other property, or franchises or permits or any part thereof, without first having either secured an order from the commission authorizing it to do so for qualified transactions valued above five million dollars ($5,000,000)… </w:t>
      </w:r>
    </w:p>
    <w:p w:rsidR="0076440F" w:rsidP="00770A11" w:rsidRDefault="005573DE" w14:paraId="2979C59F" w14:textId="22F2DD69">
      <w:pPr>
        <w:pStyle w:val="Standard"/>
      </w:pPr>
      <w:r w:rsidRPr="005573DE">
        <w:lastRenderedPageBreak/>
        <w:t xml:space="preserve">The value of the </w:t>
      </w:r>
      <w:r w:rsidR="004F607C">
        <w:t xml:space="preserve">sale of the Easements </w:t>
      </w:r>
      <w:r w:rsidRPr="005573DE">
        <w:t xml:space="preserve">is greater than five million dollars, </w:t>
      </w:r>
      <w:r w:rsidR="004F607C">
        <w:t>so</w:t>
      </w:r>
      <w:r w:rsidRPr="005573DE">
        <w:t xml:space="preserve"> the provisions of </w:t>
      </w:r>
      <w:r w:rsidR="00906534">
        <w:t xml:space="preserve">Public Utilities Code Section </w:t>
      </w:r>
      <w:r w:rsidRPr="005573DE">
        <w:t xml:space="preserve">851 apply to the proposed transaction. </w:t>
      </w:r>
      <w:r w:rsidR="00906534">
        <w:t xml:space="preserve"> </w:t>
      </w:r>
      <w:r w:rsidRPr="005573DE">
        <w:t>Th</w:t>
      </w:r>
      <w:r w:rsidR="002949C1">
        <w:t xml:space="preserve">erefore, the Commission must </w:t>
      </w:r>
      <w:r w:rsidR="00F51087">
        <w:t>determine</w:t>
      </w:r>
      <w:r w:rsidR="002949C1">
        <w:t xml:space="preserve"> </w:t>
      </w:r>
      <w:r w:rsidR="004F607C">
        <w:t>whether</w:t>
      </w:r>
      <w:r w:rsidR="002949C1">
        <w:t xml:space="preserve"> the transaction is in</w:t>
      </w:r>
      <w:r w:rsidRPr="0076440F" w:rsidR="002949C1">
        <w:t xml:space="preserve"> the public interest</w:t>
      </w:r>
      <w:r w:rsidR="00F11364">
        <w:t xml:space="preserve">.  </w:t>
      </w:r>
      <w:r w:rsidRPr="0076440F" w:rsidR="0076440F">
        <w:t xml:space="preserve">The Commission has broad discretion to determine whether it is in the public interest </w:t>
      </w:r>
      <w:r w:rsidR="004F0E46">
        <w:t>and</w:t>
      </w:r>
      <w:r w:rsidR="00D62285">
        <w:t xml:space="preserve"> may</w:t>
      </w:r>
      <w:r w:rsidR="004F0E46">
        <w:t>, w</w:t>
      </w:r>
      <w:r w:rsidRPr="0076440F" w:rsidR="0076440F">
        <w:t>here necessary and appropriate, attach conditions to a transaction to protect and promote the public interest.</w:t>
      </w:r>
      <w:r w:rsidR="000A26E0">
        <w:rPr>
          <w:rStyle w:val="FootnoteReference"/>
        </w:rPr>
        <w:footnoteReference w:id="7"/>
      </w:r>
    </w:p>
    <w:p w:rsidRPr="004D4832" w:rsidR="009E2D97" w:rsidP="00AC3342" w:rsidRDefault="0044059F" w14:paraId="40C02030" w14:textId="3FFC4359">
      <w:pPr>
        <w:pStyle w:val="Standard"/>
      </w:pPr>
      <w:r>
        <w:t>SCE asserts that the</w:t>
      </w:r>
      <w:r w:rsidR="004F607C">
        <w:t xml:space="preserve"> sale of the</w:t>
      </w:r>
      <w:r>
        <w:t xml:space="preserve"> Easements </w:t>
      </w:r>
      <w:r w:rsidRPr="00746E80" w:rsidR="009E2D97">
        <w:t xml:space="preserve">satisfies </w:t>
      </w:r>
      <w:r w:rsidR="00CD236B">
        <w:t>the</w:t>
      </w:r>
      <w:r w:rsidRPr="00746E80" w:rsidR="009E2D97">
        <w:t xml:space="preserve"> standard because</w:t>
      </w:r>
      <w:r w:rsidR="009E2D97">
        <w:t xml:space="preserve"> </w:t>
      </w:r>
      <w:r w:rsidRPr="00746E80" w:rsidR="009E2D97">
        <w:t>“the public interest is served when utility property is used for other productive purposes without</w:t>
      </w:r>
      <w:r w:rsidR="009E2D97">
        <w:t xml:space="preserve"> </w:t>
      </w:r>
      <w:r w:rsidRPr="004D4832" w:rsidR="009E2D97">
        <w:t>interfering with the utility's operations or affecting service to utility customers.”</w:t>
      </w:r>
      <w:r w:rsidR="00BD3CE4">
        <w:rPr>
          <w:rStyle w:val="FootnoteReference"/>
        </w:rPr>
        <w:footnoteReference w:id="8"/>
      </w:r>
      <w:r>
        <w:t xml:space="preserve">  SCE indicates </w:t>
      </w:r>
      <w:r w:rsidR="00AC3342">
        <w:t>that t</w:t>
      </w:r>
      <w:r w:rsidRPr="004D4832" w:rsidR="009E2D97">
        <w:t xml:space="preserve">he </w:t>
      </w:r>
      <w:r w:rsidR="0046615D">
        <w:t xml:space="preserve">public will benefit from the </w:t>
      </w:r>
      <w:r w:rsidR="00795501">
        <w:t xml:space="preserve">granting of the </w:t>
      </w:r>
      <w:r w:rsidRPr="004D4832" w:rsidR="009E2D97">
        <w:t>Easements</w:t>
      </w:r>
      <w:r w:rsidR="00AC3342">
        <w:t xml:space="preserve"> </w:t>
      </w:r>
      <w:r w:rsidR="00C956CD">
        <w:t xml:space="preserve">due to: (1) </w:t>
      </w:r>
      <w:r w:rsidRPr="004D4832" w:rsidR="009E2D97">
        <w:t>the construction public roads and certain utilities on the Easement</w:t>
      </w:r>
      <w:r w:rsidR="00795501">
        <w:t>s</w:t>
      </w:r>
      <w:r w:rsidRPr="004D4832" w:rsidR="009E2D97">
        <w:t xml:space="preserve"> </w:t>
      </w:r>
      <w:r w:rsidR="00DF4D2B">
        <w:t>and</w:t>
      </w:r>
      <w:r w:rsidR="00C956CD">
        <w:t xml:space="preserve"> (2) </w:t>
      </w:r>
      <w:r w:rsidRPr="004D4832" w:rsidR="009E2D97">
        <w:t>improved traffic circulation within the City</w:t>
      </w:r>
      <w:r w:rsidR="00EE1CF7">
        <w:t xml:space="preserve"> of Ontario</w:t>
      </w:r>
      <w:r w:rsidRPr="004D4832" w:rsidR="009E2D97">
        <w:t xml:space="preserve">. </w:t>
      </w:r>
      <w:r w:rsidR="00EE1CF7">
        <w:t xml:space="preserve"> </w:t>
      </w:r>
      <w:r w:rsidR="00DF4D2B">
        <w:t xml:space="preserve">SCE emphasizes </w:t>
      </w:r>
      <w:r w:rsidR="00795501">
        <w:t xml:space="preserve">that </w:t>
      </w:r>
      <w:r w:rsidR="00DF4D2B">
        <w:t>the improve</w:t>
      </w:r>
      <w:r w:rsidR="007E5C50">
        <w:t xml:space="preserve">ments will </w:t>
      </w:r>
      <w:r w:rsidRPr="004D4832" w:rsidR="009E2D97">
        <w:t>enhanc</w:t>
      </w:r>
      <w:r w:rsidR="007E5C50">
        <w:t>e</w:t>
      </w:r>
      <w:r w:rsidRPr="004D4832" w:rsidR="009E2D97">
        <w:t xml:space="preserve"> public services and accessibility in the City</w:t>
      </w:r>
      <w:r w:rsidR="007E5C50">
        <w:t xml:space="preserve"> of Ontario</w:t>
      </w:r>
      <w:r w:rsidRPr="004D4832" w:rsidR="009E2D97">
        <w:t xml:space="preserve">. </w:t>
      </w:r>
      <w:r w:rsidR="007E5C50">
        <w:t xml:space="preserve"> </w:t>
      </w:r>
      <w:r w:rsidR="00EE1CF7">
        <w:t xml:space="preserve">SCE also </w:t>
      </w:r>
      <w:r w:rsidR="008933E5">
        <w:t>contends</w:t>
      </w:r>
      <w:r w:rsidR="00EE1CF7">
        <w:t xml:space="preserve"> that t</w:t>
      </w:r>
      <w:r w:rsidRPr="004D4832" w:rsidR="009E2D97">
        <w:t>he roads will</w:t>
      </w:r>
      <w:r w:rsidR="009E2D97">
        <w:t xml:space="preserve"> </w:t>
      </w:r>
      <w:r w:rsidRPr="004D4832" w:rsidR="009E2D97">
        <w:t>provide improved access to SCE’s own parcels.</w:t>
      </w:r>
      <w:r w:rsidR="007E5C50">
        <w:rPr>
          <w:rStyle w:val="FootnoteReference"/>
        </w:rPr>
        <w:footnoteReference w:id="9"/>
      </w:r>
    </w:p>
    <w:p w:rsidR="009E2D97" w:rsidP="00797246" w:rsidRDefault="007E5C50" w14:paraId="7863C102" w14:textId="583DD2DE">
      <w:pPr>
        <w:pStyle w:val="Standard"/>
      </w:pPr>
      <w:r>
        <w:t xml:space="preserve">SCE </w:t>
      </w:r>
      <w:r w:rsidR="004F607C">
        <w:t>asserts</w:t>
      </w:r>
      <w:r w:rsidR="00763E9C">
        <w:t xml:space="preserve"> that the </w:t>
      </w:r>
      <w:r w:rsidRPr="004D4832" w:rsidR="009E2D97">
        <w:t>City</w:t>
      </w:r>
      <w:r w:rsidR="00763E9C">
        <w:t xml:space="preserve"> of Ontario’s </w:t>
      </w:r>
      <w:r w:rsidRPr="004D4832" w:rsidR="009E2D97">
        <w:t>exercise of the Easements will not</w:t>
      </w:r>
      <w:r w:rsidR="009E2D97">
        <w:t xml:space="preserve"> </w:t>
      </w:r>
      <w:r w:rsidRPr="004D4832" w:rsidR="009E2D97">
        <w:t xml:space="preserve">interfere with SCE’s operations or </w:t>
      </w:r>
      <w:r w:rsidR="00227D43">
        <w:t xml:space="preserve">service to customers.  </w:t>
      </w:r>
      <w:r w:rsidRPr="004D4832" w:rsidR="009E2D97">
        <w:t xml:space="preserve">SCE </w:t>
      </w:r>
      <w:r w:rsidR="00227D43">
        <w:t xml:space="preserve">maintains </w:t>
      </w:r>
      <w:r w:rsidR="004F607C">
        <w:t xml:space="preserve">the sale agreement </w:t>
      </w:r>
      <w:r w:rsidRPr="004D4832" w:rsidR="009E2D97">
        <w:t>limit</w:t>
      </w:r>
      <w:r w:rsidR="004F607C">
        <w:t>s</w:t>
      </w:r>
      <w:r w:rsidRPr="004D4832" w:rsidR="009E2D97">
        <w:t xml:space="preserve"> the scope of</w:t>
      </w:r>
      <w:r w:rsidR="009E2D97">
        <w:t xml:space="preserve"> </w:t>
      </w:r>
      <w:r w:rsidRPr="004D4832" w:rsidR="009E2D97">
        <w:t xml:space="preserve">permitted utility rights </w:t>
      </w:r>
      <w:r w:rsidR="00AC09F2">
        <w:t xml:space="preserve">on the Easements </w:t>
      </w:r>
      <w:r w:rsidRPr="004D4832" w:rsidR="009E2D97">
        <w:t>to those that would be compatible with SCE’s present and future use of</w:t>
      </w:r>
      <w:r w:rsidR="009E2D97">
        <w:t xml:space="preserve"> </w:t>
      </w:r>
      <w:r w:rsidRPr="004D4832" w:rsidR="009E2D97">
        <w:t xml:space="preserve">the </w:t>
      </w:r>
      <w:r w:rsidR="00AC09F2">
        <w:t>p</w:t>
      </w:r>
      <w:r w:rsidRPr="004D4832" w:rsidR="009E2D97">
        <w:t xml:space="preserve">roperty. </w:t>
      </w:r>
      <w:r w:rsidR="00AC09F2">
        <w:t xml:space="preserve"> SCE also </w:t>
      </w:r>
      <w:r w:rsidR="004F607C">
        <w:t xml:space="preserve">states it </w:t>
      </w:r>
      <w:r w:rsidR="0008782E">
        <w:t xml:space="preserve">reserved the right </w:t>
      </w:r>
      <w:r w:rsidRPr="004D4832" w:rsidR="009E2D97">
        <w:t>to install additional facilities on</w:t>
      </w:r>
      <w:r w:rsidR="00797246">
        <w:t xml:space="preserve"> </w:t>
      </w:r>
      <w:r w:rsidRPr="004D4832" w:rsidR="009E2D97">
        <w:t xml:space="preserve">the </w:t>
      </w:r>
      <w:r w:rsidR="0008782E">
        <w:t>p</w:t>
      </w:r>
      <w:r w:rsidRPr="004D4832" w:rsidR="009E2D97">
        <w:t>roperty, provided such facilities do not interfere with the City</w:t>
      </w:r>
      <w:r w:rsidR="0008782E">
        <w:t xml:space="preserve"> of Ontario</w:t>
      </w:r>
      <w:r w:rsidR="008933E5">
        <w:t>’s</w:t>
      </w:r>
      <w:r w:rsidRPr="004D4832" w:rsidR="009E2D97">
        <w:t xml:space="preserve"> roads and utilities.</w:t>
      </w:r>
      <w:r w:rsidR="0008782E">
        <w:rPr>
          <w:rStyle w:val="FootnoteReference"/>
        </w:rPr>
        <w:footnoteReference w:id="10"/>
      </w:r>
    </w:p>
    <w:p w:rsidRPr="00746E80" w:rsidR="00813CBC" w:rsidP="00D02B58" w:rsidRDefault="009B72C7" w14:paraId="550FD291" w14:textId="3626219F">
      <w:pPr>
        <w:pStyle w:val="Standard"/>
      </w:pPr>
      <w:r w:rsidRPr="009B72C7">
        <w:lastRenderedPageBreak/>
        <w:t>We find th</w:t>
      </w:r>
      <w:r>
        <w:t xml:space="preserve">at the </w:t>
      </w:r>
      <w:r w:rsidR="0049714F">
        <w:t>granting of</w:t>
      </w:r>
      <w:r>
        <w:t xml:space="preserve"> the Easements is in the public interest.  </w:t>
      </w:r>
      <w:r w:rsidR="002A08B7">
        <w:t xml:space="preserve">The public will benefit from </w:t>
      </w:r>
      <w:r w:rsidR="00B71B57">
        <w:t xml:space="preserve">the </w:t>
      </w:r>
      <w:r w:rsidR="002A08B7">
        <w:t xml:space="preserve">improved infrastructure </w:t>
      </w:r>
      <w:r w:rsidR="00951142">
        <w:t>resulting from the City of Ontario’s proposed use of the Easements</w:t>
      </w:r>
      <w:r w:rsidR="00B71B57">
        <w:t xml:space="preserve">. </w:t>
      </w:r>
      <w:r w:rsidR="006946BA">
        <w:t xml:space="preserve"> SCE customers </w:t>
      </w:r>
      <w:r w:rsidR="006E3E6D">
        <w:t xml:space="preserve">will </w:t>
      </w:r>
      <w:r w:rsidR="008A008B">
        <w:t>not experience service disruptions</w:t>
      </w:r>
      <w:r w:rsidR="006946BA">
        <w:t xml:space="preserve"> </w:t>
      </w:r>
      <w:r w:rsidR="00D02B58">
        <w:t xml:space="preserve">due to the Easements.  Lastly, SCE customers </w:t>
      </w:r>
      <w:r w:rsidR="006946BA">
        <w:t xml:space="preserve">will benefit from the proceeds of the transaction.  </w:t>
      </w:r>
    </w:p>
    <w:p w:rsidR="00DF10DF" w:rsidP="00DF10DF" w:rsidRDefault="00BB6F49" w14:paraId="49EC2EBB" w14:textId="3BB626AE">
      <w:pPr>
        <w:pStyle w:val="Heading2"/>
      </w:pPr>
      <w:bookmarkStart w:name="_Toc204852989" w:id="8"/>
      <w:bookmarkStart w:name="_Toc133843852" w:id="9"/>
      <w:bookmarkStart w:name="_Toc8123721" w:id="10"/>
      <w:r>
        <w:t>Proposed Ratemaking</w:t>
      </w:r>
      <w:bookmarkEnd w:id="8"/>
    </w:p>
    <w:p w:rsidR="00A316EF" w:rsidP="00C04B9F" w:rsidRDefault="004F607C" w14:paraId="429855F4" w14:textId="636DD298">
      <w:pPr>
        <w:pStyle w:val="Standard"/>
        <w:rPr>
          <w:rFonts w:cs="Calibri"/>
          <w:szCs w:val="26"/>
        </w:rPr>
      </w:pPr>
      <w:r>
        <w:rPr>
          <w:rFonts w:cs="Calibri"/>
          <w:szCs w:val="26"/>
        </w:rPr>
        <w:t>Investor-owned u</w:t>
      </w:r>
      <w:r w:rsidRPr="00A316EF" w:rsidR="00A316EF">
        <w:rPr>
          <w:rFonts w:cs="Calibri"/>
          <w:szCs w:val="26"/>
        </w:rPr>
        <w:t xml:space="preserve">tilities </w:t>
      </w:r>
      <w:r>
        <w:rPr>
          <w:rFonts w:cs="Calibri"/>
          <w:szCs w:val="26"/>
        </w:rPr>
        <w:t xml:space="preserve">(IOU) </w:t>
      </w:r>
      <w:r w:rsidRPr="00A316EF" w:rsidR="00A316EF">
        <w:rPr>
          <w:rFonts w:cs="Calibri"/>
          <w:szCs w:val="26"/>
        </w:rPr>
        <w:t>allocate their loss on a sale according to the “percentage allocation rule” if the sale is priced at $50 million or less with an after-tax gain or loss of $10 million or less.</w:t>
      </w:r>
      <w:r w:rsidR="00426DF2">
        <w:rPr>
          <w:rFonts w:cs="Calibri"/>
          <w:szCs w:val="26"/>
        </w:rPr>
        <w:t xml:space="preserve">  </w:t>
      </w:r>
      <w:r w:rsidRPr="00A316EF" w:rsidR="00A316EF">
        <w:rPr>
          <w:rFonts w:cs="Calibri"/>
          <w:szCs w:val="26"/>
        </w:rPr>
        <w:t xml:space="preserve">The percentage allocation rule applies as follows: </w:t>
      </w:r>
      <w:r w:rsidR="002334DC">
        <w:rPr>
          <w:rFonts w:cs="Calibri"/>
          <w:szCs w:val="26"/>
        </w:rPr>
        <w:t>(</w:t>
      </w:r>
      <w:r w:rsidRPr="00A316EF" w:rsidR="00A316EF">
        <w:rPr>
          <w:rFonts w:cs="Calibri"/>
          <w:szCs w:val="26"/>
        </w:rPr>
        <w:t>1</w:t>
      </w:r>
      <w:r w:rsidR="002334DC">
        <w:rPr>
          <w:rFonts w:cs="Calibri"/>
          <w:szCs w:val="26"/>
        </w:rPr>
        <w:t>)</w:t>
      </w:r>
      <w:r w:rsidRPr="00A316EF" w:rsidR="00A316EF">
        <w:rPr>
          <w:rFonts w:cs="Calibri"/>
          <w:szCs w:val="26"/>
        </w:rPr>
        <w:t xml:space="preserve"> 100</w:t>
      </w:r>
      <w:r w:rsidR="003540B0">
        <w:rPr>
          <w:rFonts w:cs="Calibri"/>
          <w:szCs w:val="26"/>
        </w:rPr>
        <w:t xml:space="preserve"> </w:t>
      </w:r>
      <w:r w:rsidRPr="00A316EF" w:rsidR="00A316EF">
        <w:rPr>
          <w:rFonts w:cs="Calibri"/>
          <w:szCs w:val="26"/>
        </w:rPr>
        <w:t xml:space="preserve">percent allocation </w:t>
      </w:r>
      <w:r w:rsidR="002F265A">
        <w:rPr>
          <w:rFonts w:cs="Calibri"/>
          <w:szCs w:val="26"/>
        </w:rPr>
        <w:t>for</w:t>
      </w:r>
      <w:r w:rsidRPr="00A316EF" w:rsidR="00A316EF">
        <w:rPr>
          <w:rFonts w:cs="Calibri"/>
          <w:szCs w:val="26"/>
        </w:rPr>
        <w:t xml:space="preserve"> depreciable assets to ratepayers</w:t>
      </w:r>
      <w:r w:rsidR="002334DC">
        <w:rPr>
          <w:rFonts w:cs="Calibri"/>
          <w:szCs w:val="26"/>
        </w:rPr>
        <w:t xml:space="preserve"> and</w:t>
      </w:r>
      <w:r w:rsidRPr="00A316EF" w:rsidR="00A316EF">
        <w:rPr>
          <w:rFonts w:cs="Calibri"/>
          <w:szCs w:val="26"/>
        </w:rPr>
        <w:t xml:space="preserve"> </w:t>
      </w:r>
      <w:r w:rsidR="002334DC">
        <w:rPr>
          <w:rFonts w:cs="Calibri"/>
          <w:szCs w:val="26"/>
        </w:rPr>
        <w:t>(</w:t>
      </w:r>
      <w:r w:rsidRPr="00A316EF" w:rsidR="00A316EF">
        <w:rPr>
          <w:rFonts w:cs="Calibri"/>
          <w:szCs w:val="26"/>
        </w:rPr>
        <w:t>2</w:t>
      </w:r>
      <w:r w:rsidR="002334DC">
        <w:rPr>
          <w:rFonts w:cs="Calibri"/>
          <w:szCs w:val="26"/>
        </w:rPr>
        <w:t>)</w:t>
      </w:r>
      <w:r w:rsidRPr="00A316EF" w:rsidR="00A316EF">
        <w:rPr>
          <w:rFonts w:cs="Calibri"/>
          <w:szCs w:val="26"/>
        </w:rPr>
        <w:t xml:space="preserve"> </w:t>
      </w:r>
      <w:r w:rsidR="003540B0">
        <w:rPr>
          <w:rFonts w:cs="Calibri"/>
          <w:szCs w:val="26"/>
        </w:rPr>
        <w:t xml:space="preserve">a split of </w:t>
      </w:r>
      <w:r w:rsidRPr="00A316EF" w:rsidR="00A316EF">
        <w:rPr>
          <w:rFonts w:cs="Calibri"/>
          <w:szCs w:val="26"/>
        </w:rPr>
        <w:t>67</w:t>
      </w:r>
      <w:r w:rsidR="003540B0">
        <w:rPr>
          <w:rFonts w:cs="Calibri"/>
          <w:szCs w:val="26"/>
        </w:rPr>
        <w:t xml:space="preserve"> </w:t>
      </w:r>
      <w:r w:rsidRPr="00A316EF" w:rsidR="00A316EF">
        <w:rPr>
          <w:rFonts w:cs="Calibri"/>
          <w:szCs w:val="26"/>
        </w:rPr>
        <w:t>percent allocation to ratepayers</w:t>
      </w:r>
      <w:r w:rsidR="003540B0">
        <w:rPr>
          <w:rFonts w:cs="Calibri"/>
          <w:szCs w:val="26"/>
        </w:rPr>
        <w:t xml:space="preserve"> and</w:t>
      </w:r>
      <w:r w:rsidRPr="00A316EF" w:rsidR="00A316EF">
        <w:rPr>
          <w:rFonts w:cs="Calibri"/>
          <w:szCs w:val="26"/>
        </w:rPr>
        <w:t xml:space="preserve"> 33</w:t>
      </w:r>
      <w:r w:rsidR="003540B0">
        <w:rPr>
          <w:rFonts w:cs="Calibri"/>
          <w:szCs w:val="26"/>
        </w:rPr>
        <w:t xml:space="preserve"> </w:t>
      </w:r>
      <w:r w:rsidRPr="00A316EF" w:rsidR="00A316EF">
        <w:rPr>
          <w:rFonts w:cs="Calibri"/>
          <w:szCs w:val="26"/>
        </w:rPr>
        <w:t xml:space="preserve">percent </w:t>
      </w:r>
      <w:r w:rsidR="003540B0">
        <w:rPr>
          <w:rFonts w:cs="Calibri"/>
          <w:szCs w:val="26"/>
        </w:rPr>
        <w:t>to shareholder</w:t>
      </w:r>
      <w:r w:rsidR="00261127">
        <w:rPr>
          <w:rFonts w:cs="Calibri"/>
          <w:szCs w:val="26"/>
        </w:rPr>
        <w:t>s for</w:t>
      </w:r>
      <w:r w:rsidRPr="00A316EF" w:rsidR="00A316EF">
        <w:rPr>
          <w:rFonts w:cs="Calibri"/>
          <w:szCs w:val="26"/>
        </w:rPr>
        <w:t xml:space="preserve"> non-depreciable assets.</w:t>
      </w:r>
    </w:p>
    <w:p w:rsidRPr="00361223" w:rsidR="00757959" w:rsidP="00757959" w:rsidRDefault="00757959" w14:paraId="0300ABCD" w14:textId="1C0C2926">
      <w:pPr>
        <w:pStyle w:val="Standard"/>
      </w:pPr>
      <w:r>
        <w:t xml:space="preserve">SCE asserts that its </w:t>
      </w:r>
      <w:r w:rsidRPr="00361223">
        <w:t xml:space="preserve">proposed ratemaking </w:t>
      </w:r>
      <w:r>
        <w:t xml:space="preserve">of the proceeds from the </w:t>
      </w:r>
      <w:r w:rsidR="004F607C">
        <w:t xml:space="preserve">sale of the Easements </w:t>
      </w:r>
      <w:r w:rsidRPr="00361223">
        <w:t xml:space="preserve">is consistent </w:t>
      </w:r>
      <w:r w:rsidRPr="007E3636">
        <w:t xml:space="preserve">with the percentage allocation </w:t>
      </w:r>
      <w:r>
        <w:t xml:space="preserve">rule as well as </w:t>
      </w:r>
      <w:r w:rsidRPr="00361223">
        <w:t>Commission policy</w:t>
      </w:r>
      <w:r>
        <w:t xml:space="preserve"> </w:t>
      </w:r>
      <w:r w:rsidRPr="00361223">
        <w:t>and precedent</w:t>
      </w:r>
      <w:r>
        <w:t>.</w:t>
      </w:r>
      <w:r w:rsidRPr="00032097">
        <w:t xml:space="preserve"> </w:t>
      </w:r>
    </w:p>
    <w:p w:rsidRPr="007E3636" w:rsidR="007E3636" w:rsidP="007E2D5D" w:rsidRDefault="00DA6EDA" w14:paraId="3B602E6C" w14:textId="218A11B4">
      <w:pPr>
        <w:pStyle w:val="Standard"/>
      </w:pPr>
      <w:r>
        <w:t xml:space="preserve">SCE proposes </w:t>
      </w:r>
      <w:r w:rsidR="00F233DE">
        <w:t xml:space="preserve">a </w:t>
      </w:r>
      <w:r w:rsidR="00527EED">
        <w:t>specific ratemaking treatment b</w:t>
      </w:r>
      <w:r w:rsidRPr="00361223">
        <w:t xml:space="preserve">ecause the </w:t>
      </w:r>
      <w:proofErr w:type="gramStart"/>
      <w:r w:rsidR="004F607C">
        <w:t>sale</w:t>
      </w:r>
      <w:r w:rsidRPr="00361223">
        <w:t xml:space="preserve"> was</w:t>
      </w:r>
      <w:proofErr w:type="gramEnd"/>
      <w:r w:rsidRPr="00361223">
        <w:t xml:space="preserve"> not reflected in SCE’s 2025 General Rate Case</w:t>
      </w:r>
      <w:r>
        <w:t xml:space="preserve"> </w:t>
      </w:r>
      <w:r w:rsidRPr="00361223">
        <w:t>(GRC) forecast</w:t>
      </w:r>
      <w:r w:rsidR="00527EED">
        <w:t xml:space="preserve">.  </w:t>
      </w:r>
      <w:r w:rsidR="00E500BB">
        <w:t xml:space="preserve">Once the </w:t>
      </w:r>
      <w:r w:rsidR="004F607C">
        <w:t>sale</w:t>
      </w:r>
      <w:r w:rsidR="00E500BB">
        <w:t xml:space="preserve"> closes, </w:t>
      </w:r>
      <w:r w:rsidRPr="00361223" w:rsidR="00361223">
        <w:t>SCE</w:t>
      </w:r>
      <w:r w:rsidR="000A1374">
        <w:t xml:space="preserve"> proposes to</w:t>
      </w:r>
      <w:r w:rsidR="00F233DE">
        <w:t xml:space="preserve"> reduce</w:t>
      </w:r>
      <w:r w:rsidR="00E500BB">
        <w:t>:</w:t>
      </w:r>
      <w:r w:rsidR="000A1374">
        <w:t xml:space="preserve"> </w:t>
      </w:r>
      <w:r w:rsidR="00E500BB">
        <w:t xml:space="preserve">(1) </w:t>
      </w:r>
      <w:r w:rsidR="000A1374">
        <w:t xml:space="preserve">its </w:t>
      </w:r>
      <w:r w:rsidRPr="00361223" w:rsidR="00361223">
        <w:t>rate base by the allocated book value of the portions of the</w:t>
      </w:r>
      <w:r w:rsidR="00361223">
        <w:t xml:space="preserve"> </w:t>
      </w:r>
      <w:r w:rsidRPr="00361223" w:rsidR="00361223">
        <w:t>Easement</w:t>
      </w:r>
      <w:r w:rsidR="000A1374">
        <w:t>s</w:t>
      </w:r>
      <w:r w:rsidRPr="00361223" w:rsidR="00361223">
        <w:t xml:space="preserve"> </w:t>
      </w:r>
      <w:r w:rsidR="00C7069E">
        <w:t xml:space="preserve">and (2) </w:t>
      </w:r>
      <w:r w:rsidRPr="00361223" w:rsidR="00361223">
        <w:t>the revenue</w:t>
      </w:r>
      <w:r w:rsidR="00361223">
        <w:t xml:space="preserve"> </w:t>
      </w:r>
      <w:r w:rsidRPr="00361223" w:rsidR="00361223">
        <w:t>requirement associated with the Easement</w:t>
      </w:r>
      <w:r w:rsidR="002443F1">
        <w:t>s</w:t>
      </w:r>
      <w:r w:rsidR="00C00C5B">
        <w:t>’</w:t>
      </w:r>
      <w:r w:rsidRPr="00361223" w:rsidR="00361223">
        <w:t xml:space="preserve"> retired rate base. </w:t>
      </w:r>
      <w:r w:rsidR="00C00C5B">
        <w:t xml:space="preserve"> </w:t>
      </w:r>
      <w:r w:rsidR="00431116">
        <w:t>SCE indicates t</w:t>
      </w:r>
      <w:r w:rsidRPr="00361223" w:rsidR="00361223">
        <w:t xml:space="preserve">he </w:t>
      </w:r>
      <w:proofErr w:type="gramStart"/>
      <w:r w:rsidRPr="00361223" w:rsidR="00361223">
        <w:t>revenue requirement</w:t>
      </w:r>
      <w:proofErr w:type="gramEnd"/>
      <w:r w:rsidRPr="00361223" w:rsidR="00361223">
        <w:t xml:space="preserve"> reduction will be applied to the remaining</w:t>
      </w:r>
      <w:r w:rsidR="00361223">
        <w:t xml:space="preserve"> </w:t>
      </w:r>
      <w:r w:rsidRPr="00361223" w:rsidR="00361223">
        <w:t>periods in the 2025 GRC cycle.</w:t>
      </w:r>
      <w:r w:rsidR="00431116">
        <w:rPr>
          <w:rStyle w:val="FootnoteReference"/>
        </w:rPr>
        <w:footnoteReference w:id="11"/>
      </w:r>
      <w:r w:rsidR="00431116">
        <w:t xml:space="preserve">  </w:t>
      </w:r>
      <w:r w:rsidRPr="00361223" w:rsidR="00361223">
        <w:t xml:space="preserve">SCE proposes </w:t>
      </w:r>
      <w:r w:rsidRPr="00361223" w:rsidR="00501B04">
        <w:t>returning</w:t>
      </w:r>
      <w:r w:rsidRPr="00361223" w:rsidR="00361223">
        <w:t xml:space="preserve"> the pre-tax gain, minus the associated transaction</w:t>
      </w:r>
      <w:r w:rsidR="007E3636">
        <w:t xml:space="preserve"> </w:t>
      </w:r>
      <w:r w:rsidRPr="007E3636" w:rsidR="007E3636">
        <w:t>costs</w:t>
      </w:r>
      <w:r w:rsidR="00F15DBA">
        <w:t xml:space="preserve">, </w:t>
      </w:r>
      <w:r w:rsidRPr="007E3636" w:rsidR="007E3636">
        <w:t>by recording a credit in SCE’s Base Revenue Requirement</w:t>
      </w:r>
      <w:r w:rsidR="007E3636">
        <w:t xml:space="preserve"> </w:t>
      </w:r>
      <w:r w:rsidRPr="007E3636" w:rsidR="007E3636">
        <w:t>Balancing Account (BRRBA).</w:t>
      </w:r>
      <w:r w:rsidR="00F15DBA">
        <w:rPr>
          <w:rStyle w:val="FootnoteReference"/>
        </w:rPr>
        <w:footnoteReference w:id="12"/>
      </w:r>
    </w:p>
    <w:p w:rsidR="007D3746" w:rsidP="00BD0CB5" w:rsidRDefault="00DF2F33" w14:paraId="746E807C" w14:textId="4E84FBE9">
      <w:pPr>
        <w:pStyle w:val="Standard"/>
        <w:ind w:firstLine="0"/>
      </w:pPr>
      <w:r>
        <w:lastRenderedPageBreak/>
        <w:tab/>
        <w:t xml:space="preserve">Since the </w:t>
      </w:r>
      <w:r w:rsidR="00DC6FB4">
        <w:t>Easements affect land, which is a non-dep</w:t>
      </w:r>
      <w:r w:rsidR="002F682D">
        <w:t>reci</w:t>
      </w:r>
      <w:r w:rsidR="00DC6FB4">
        <w:t>able asset,</w:t>
      </w:r>
      <w:r w:rsidR="002F682D">
        <w:t xml:space="preserve"> SCE requests </w:t>
      </w:r>
      <w:r w:rsidR="001D295B">
        <w:t xml:space="preserve">that </w:t>
      </w:r>
      <w:r w:rsidR="008533B3">
        <w:t>the</w:t>
      </w:r>
      <w:r w:rsidRPr="007E3636" w:rsidR="002F682D">
        <w:t xml:space="preserve"> </w:t>
      </w:r>
      <w:r w:rsidRPr="007E3636" w:rsidR="008533B3">
        <w:t>after-tax gain of approximately</w:t>
      </w:r>
      <w:r w:rsidR="008533B3">
        <w:t xml:space="preserve"> </w:t>
      </w:r>
      <w:r w:rsidRPr="007E3636" w:rsidR="008533B3">
        <w:t>$4,772,476</w:t>
      </w:r>
      <w:r w:rsidR="008533B3">
        <w:t xml:space="preserve"> </w:t>
      </w:r>
      <w:r w:rsidR="001D295B">
        <w:t>is allocate</w:t>
      </w:r>
      <w:r w:rsidR="00BD0CB5">
        <w:t>d</w:t>
      </w:r>
      <w:r w:rsidR="001D295B">
        <w:t xml:space="preserve"> </w:t>
      </w:r>
      <w:r w:rsidRPr="007E3636" w:rsidR="002F682D">
        <w:t>67</w:t>
      </w:r>
      <w:r w:rsidR="001D295B">
        <w:t xml:space="preserve"> percent</w:t>
      </w:r>
      <w:r w:rsidRPr="007E3636" w:rsidR="002F682D">
        <w:t xml:space="preserve"> to ratepayers and 33</w:t>
      </w:r>
      <w:r w:rsidR="001D295B">
        <w:t xml:space="preserve"> percent</w:t>
      </w:r>
      <w:r w:rsidR="002F682D">
        <w:t xml:space="preserve"> </w:t>
      </w:r>
      <w:r w:rsidRPr="007E3636" w:rsidR="002F682D">
        <w:t>to shareholders</w:t>
      </w:r>
      <w:r w:rsidR="001D295B">
        <w:t>.</w:t>
      </w:r>
      <w:r w:rsidRPr="007E3636" w:rsidR="002F682D">
        <w:t xml:space="preserve"> </w:t>
      </w:r>
      <w:r w:rsidRPr="007E3636" w:rsidR="007E3636">
        <w:t xml:space="preserve"> SCE </w:t>
      </w:r>
      <w:r w:rsidR="007D3746">
        <w:t xml:space="preserve">proposes </w:t>
      </w:r>
      <w:r w:rsidR="00501B04">
        <w:t>allocating</w:t>
      </w:r>
      <w:r w:rsidRPr="007E3636" w:rsidR="007E3636">
        <w:t xml:space="preserve"> the gain for</w:t>
      </w:r>
      <w:r w:rsidR="009F6917">
        <w:t xml:space="preserve"> </w:t>
      </w:r>
      <w:r w:rsidR="00A94077">
        <w:t xml:space="preserve">one parcel, </w:t>
      </w:r>
      <w:r w:rsidRPr="004912B4" w:rsidR="004912B4">
        <w:t>Assessor Parcel Number</w:t>
      </w:r>
      <w:r w:rsidR="004912B4">
        <w:t xml:space="preserve"> </w:t>
      </w:r>
      <w:r w:rsidRPr="007E3636" w:rsidR="007E3636">
        <w:t>0218-171-20, which was not in base rates for the period of 1980-2005,</w:t>
      </w:r>
      <w:r w:rsidR="009F6917">
        <w:t xml:space="preserve"> </w:t>
      </w:r>
      <w:r w:rsidRPr="007E3636" w:rsidR="007E3636">
        <w:t>between shareholders and ratepayers consistent with its periods in rate base and</w:t>
      </w:r>
      <w:r w:rsidR="009F6917">
        <w:t xml:space="preserve"> </w:t>
      </w:r>
      <w:r w:rsidRPr="007E3636" w:rsidR="007E3636">
        <w:t>non-rate base.</w:t>
      </w:r>
      <w:r w:rsidR="007D3746">
        <w:rPr>
          <w:rStyle w:val="FootnoteReference"/>
        </w:rPr>
        <w:footnoteReference w:id="13"/>
      </w:r>
      <w:r w:rsidRPr="007E3636" w:rsidR="007E3636">
        <w:t xml:space="preserve"> </w:t>
      </w:r>
      <w:r w:rsidR="00BD0CB5">
        <w:t xml:space="preserve"> </w:t>
      </w:r>
    </w:p>
    <w:p w:rsidR="00527EED" w:rsidP="007E3636" w:rsidRDefault="000A1F65" w14:paraId="7BEE237C" w14:textId="5581441D">
      <w:pPr>
        <w:pStyle w:val="Standard"/>
      </w:pPr>
      <w:r>
        <w:t xml:space="preserve">We find SCE’s </w:t>
      </w:r>
      <w:r w:rsidR="00356D1B">
        <w:t xml:space="preserve">proposed ratemaking for of the proceeds from the </w:t>
      </w:r>
      <w:r w:rsidR="004F607C">
        <w:t xml:space="preserve">sale </w:t>
      </w:r>
      <w:r w:rsidR="00356D1B">
        <w:t xml:space="preserve">of the Easements </w:t>
      </w:r>
      <w:r w:rsidRPr="00361223" w:rsidR="00356D1B">
        <w:t>is</w:t>
      </w:r>
      <w:r w:rsidR="00356D1B">
        <w:t xml:space="preserve"> reasonable and consistent with C</w:t>
      </w:r>
      <w:r w:rsidR="00757959">
        <w:t>ommission policy and precedent.</w:t>
      </w:r>
      <w:r w:rsidR="00FC4498">
        <w:t xml:space="preserve"> </w:t>
      </w:r>
      <w:r w:rsidR="00CB4DCA">
        <w:t xml:space="preserve"> </w:t>
      </w:r>
      <w:r w:rsidR="004F607C">
        <w:t>Since the sale affects a non-depreciable asset, i</w:t>
      </w:r>
      <w:r w:rsidR="00CB4DCA">
        <w:t xml:space="preserve">t is reasonable to allocate </w:t>
      </w:r>
      <w:r w:rsidRPr="007E3636" w:rsidR="009B1E3E">
        <w:t>67</w:t>
      </w:r>
      <w:r w:rsidR="009B1E3E">
        <w:t xml:space="preserve"> percent</w:t>
      </w:r>
      <w:r w:rsidRPr="007E3636" w:rsidR="009B1E3E">
        <w:t xml:space="preserve"> </w:t>
      </w:r>
      <w:r w:rsidR="009B1E3E">
        <w:t>of t</w:t>
      </w:r>
      <w:r w:rsidR="00FC4498">
        <w:t xml:space="preserve">he </w:t>
      </w:r>
      <w:r w:rsidRPr="007E3636" w:rsidR="00FC4498">
        <w:t>after-tax gain of approximately</w:t>
      </w:r>
      <w:r w:rsidR="00FC4498">
        <w:t xml:space="preserve"> </w:t>
      </w:r>
      <w:r w:rsidRPr="007E3636" w:rsidR="00FC4498">
        <w:t>$4,772,476</w:t>
      </w:r>
      <w:r w:rsidR="00FC4498">
        <w:t xml:space="preserve"> </w:t>
      </w:r>
      <w:r w:rsidRPr="007E3636" w:rsidR="009B1E3E">
        <w:t>to ratepayers</w:t>
      </w:r>
      <w:r w:rsidR="00CB4DCA">
        <w:t xml:space="preserve"> and </w:t>
      </w:r>
      <w:r w:rsidRPr="007E3636" w:rsidR="00FC4498">
        <w:t>33</w:t>
      </w:r>
      <w:r w:rsidR="00FC4498">
        <w:t xml:space="preserve"> percent </w:t>
      </w:r>
      <w:r w:rsidRPr="007E3636" w:rsidR="00FC4498">
        <w:t>to shareholders</w:t>
      </w:r>
      <w:r w:rsidR="00FC4498">
        <w:t>.</w:t>
      </w:r>
    </w:p>
    <w:p w:rsidR="000E4B04" w:rsidP="00FA1B4F" w:rsidRDefault="000E4B04" w14:paraId="52A05F93" w14:textId="4F74B5AE">
      <w:pPr>
        <w:pStyle w:val="Heading1"/>
      </w:pPr>
      <w:r>
        <w:t>California Environmental Quality Act</w:t>
      </w:r>
      <w:r w:rsidR="00382C31">
        <w:t xml:space="preserve"> Compliance</w:t>
      </w:r>
    </w:p>
    <w:p w:rsidR="000E4B04" w:rsidP="000E4B04" w:rsidRDefault="000E4B04" w14:paraId="12634701" w14:textId="608F2902">
      <w:pPr>
        <w:pStyle w:val="Standard"/>
      </w:pPr>
      <w:r w:rsidRPr="000E4B04">
        <w:t>The California Environmental Quality Act (CEQA) applies to discretionary projects to be carried out or approved by public agencies.</w:t>
      </w:r>
      <w:r>
        <w:t xml:space="preserve"> </w:t>
      </w:r>
      <w:r w:rsidRPr="000E4B04">
        <w:t xml:space="preserve"> </w:t>
      </w:r>
      <w:r w:rsidRPr="00C36371" w:rsidR="00C36371">
        <w:t xml:space="preserve">CEQA defines a </w:t>
      </w:r>
      <w:r w:rsidR="00462876">
        <w:t>“</w:t>
      </w:r>
      <w:r w:rsidRPr="00C36371" w:rsidR="00C36371">
        <w:t>project</w:t>
      </w:r>
      <w:r w:rsidR="00462876">
        <w:t>”</w:t>
      </w:r>
      <w:r w:rsidRPr="00C36371" w:rsidR="00C36371">
        <w:t xml:space="preserve"> to be an activity that “may cause either a direct change in the environment, or a reasonable foreseeable indirect physical change in the environment” and either (a) directly undertaken by any public agency, (b) is supported by contracts, grants, subsidies, loans, or other forms of assistance from a public agency or (c) involves the issuance of a lease, permit, license, certificate or other entitlement for use by one or more public agency.</w:t>
      </w:r>
      <w:r w:rsidR="004D7701">
        <w:rPr>
          <w:rStyle w:val="FootnoteReference"/>
        </w:rPr>
        <w:footnoteReference w:id="14"/>
      </w:r>
    </w:p>
    <w:p w:rsidR="00AA6058" w:rsidP="000E4B04" w:rsidRDefault="00B355DF" w14:paraId="7F29C436" w14:textId="02346AB6">
      <w:pPr>
        <w:pStyle w:val="Standard"/>
      </w:pPr>
      <w:r>
        <w:t xml:space="preserve">SCE </w:t>
      </w:r>
      <w:r w:rsidR="00C36371">
        <w:t xml:space="preserve">asserts </w:t>
      </w:r>
      <w:r>
        <w:t xml:space="preserve">that </w:t>
      </w:r>
      <w:r w:rsidR="004E16C9">
        <w:t>CEQA</w:t>
      </w:r>
      <w:r w:rsidR="006224F4">
        <w:t xml:space="preserve"> review</w:t>
      </w:r>
      <w:r w:rsidR="004E16C9">
        <w:t xml:space="preserve"> is not necessary </w:t>
      </w:r>
      <w:r w:rsidR="00B14158">
        <w:t>because</w:t>
      </w:r>
      <w:r w:rsidR="004E16C9">
        <w:t xml:space="preserve"> </w:t>
      </w:r>
      <w:r w:rsidRPr="00AA6058" w:rsidR="00AA6058">
        <w:t xml:space="preserve">granting the Easements </w:t>
      </w:r>
      <w:r w:rsidR="001E0C82">
        <w:t xml:space="preserve">is not a project </w:t>
      </w:r>
      <w:r w:rsidR="00B14158">
        <w:t xml:space="preserve">since </w:t>
      </w:r>
      <w:r w:rsidR="006224F4">
        <w:t>the Easements</w:t>
      </w:r>
      <w:r w:rsidR="0086767E">
        <w:t xml:space="preserve"> </w:t>
      </w:r>
      <w:r w:rsidR="000F01BD">
        <w:t>will</w:t>
      </w:r>
      <w:r w:rsidRPr="00AA6058" w:rsidR="00AA6058">
        <w:t xml:space="preserve"> not have a direct environmental impact</w:t>
      </w:r>
      <w:r w:rsidR="00B14158">
        <w:t>.</w:t>
      </w:r>
      <w:r w:rsidR="00462876">
        <w:rPr>
          <w:rStyle w:val="FootnoteReference"/>
        </w:rPr>
        <w:footnoteReference w:id="15"/>
      </w:r>
    </w:p>
    <w:p w:rsidR="000E4B04" w:rsidP="00DD3886" w:rsidRDefault="00DD3886" w14:paraId="591214CB" w14:textId="129730EE">
      <w:pPr>
        <w:pStyle w:val="Standard"/>
      </w:pPr>
      <w:r>
        <w:lastRenderedPageBreak/>
        <w:t xml:space="preserve">We find that </w:t>
      </w:r>
      <w:r w:rsidR="0099263D">
        <w:t xml:space="preserve">the </w:t>
      </w:r>
      <w:r w:rsidR="004F607C">
        <w:t>sale</w:t>
      </w:r>
      <w:r w:rsidR="0099263D">
        <w:t xml:space="preserve"> of the Easements does not qualify as a </w:t>
      </w:r>
      <w:r w:rsidR="00462876">
        <w:t>“</w:t>
      </w:r>
      <w:r w:rsidR="0099263D">
        <w:t>project</w:t>
      </w:r>
      <w:r w:rsidR="00462876">
        <w:t>”</w:t>
      </w:r>
      <w:r w:rsidR="0099263D">
        <w:t xml:space="preserve"> under CEQA</w:t>
      </w:r>
      <w:r w:rsidR="00723B50">
        <w:t xml:space="preserve"> and </w:t>
      </w:r>
      <w:r w:rsidR="008777BF">
        <w:t xml:space="preserve">therefore, </w:t>
      </w:r>
      <w:r w:rsidRPr="00462876" w:rsidR="00462876">
        <w:t>is exempt from CEQA review.</w:t>
      </w:r>
    </w:p>
    <w:p w:rsidR="00483CC6" w:rsidP="00FA1B4F" w:rsidRDefault="00483CC6" w14:paraId="5415E91E" w14:textId="7D695560">
      <w:pPr>
        <w:pStyle w:val="Heading1"/>
      </w:pPr>
      <w:r>
        <w:t xml:space="preserve">Compliance with the Commission’s </w:t>
      </w:r>
      <w:r w:rsidR="00382ACE">
        <w:br/>
      </w:r>
      <w:r>
        <w:t>Tribal Land Policy</w:t>
      </w:r>
    </w:p>
    <w:p w:rsidR="00483CC6" w:rsidP="00483CC6" w:rsidRDefault="00483CC6" w14:paraId="5FEB6139" w14:textId="46D5DC5C">
      <w:pPr>
        <w:pStyle w:val="Standard"/>
      </w:pPr>
      <w:r w:rsidRPr="00483CC6">
        <w:t xml:space="preserve">Resolution E-5076, effective January 14, 2021, adopted Guidelines to Implement the Commission’s Tribal Land </w:t>
      </w:r>
      <w:r w:rsidR="00037CCE">
        <w:t xml:space="preserve">Transfer </w:t>
      </w:r>
      <w:r w:rsidRPr="00483CC6">
        <w:t>Policy</w:t>
      </w:r>
      <w:r w:rsidR="00644643">
        <w:t xml:space="preserve">. </w:t>
      </w:r>
      <w:r w:rsidRPr="00483CC6">
        <w:t xml:space="preserve"> When an IOU decides to dispose of real property, the Tribal Land Transfer Policy requires the IOU, before it submits a request for approval to the</w:t>
      </w:r>
      <w:r w:rsidR="00644643">
        <w:t xml:space="preserve"> </w:t>
      </w:r>
      <w:r w:rsidRPr="00644643" w:rsidR="00644643">
        <w:t xml:space="preserve">Commission, to notify any relevant </w:t>
      </w:r>
      <w:r w:rsidRPr="00644643" w:rsidR="00F164CC">
        <w:t xml:space="preserve">Native American Tribes </w:t>
      </w:r>
      <w:r w:rsidRPr="00644643" w:rsidR="00644643">
        <w:t>that it intends to dispose of the property.</w:t>
      </w:r>
      <w:r w:rsidR="00F164CC">
        <w:t xml:space="preserve"> </w:t>
      </w:r>
      <w:r w:rsidRPr="00644643" w:rsidR="00644643">
        <w:t xml:space="preserve"> The Tribal Land Transfer Policy requires IOUs to: </w:t>
      </w:r>
      <w:r w:rsidR="00F164CC">
        <w:t>(</w:t>
      </w:r>
      <w:r w:rsidRPr="00644643" w:rsidR="00644643">
        <w:t>1</w:t>
      </w:r>
      <w:r w:rsidR="00F164CC">
        <w:t>)</w:t>
      </w:r>
      <w:r w:rsidRPr="00644643" w:rsidR="00644643">
        <w:t xml:space="preserve"> </w:t>
      </w:r>
      <w:r w:rsidR="00F164CC">
        <w:t>n</w:t>
      </w:r>
      <w:r w:rsidRPr="00644643" w:rsidR="00644643">
        <w:t xml:space="preserve">otify the appropriate local </w:t>
      </w:r>
      <w:r w:rsidR="00AE6C6C">
        <w:t xml:space="preserve">Tribes </w:t>
      </w:r>
      <w:r w:rsidRPr="00644643" w:rsidR="00644643">
        <w:t>of any proposed dispositions of utility-owned real property that are subject to Pub</w:t>
      </w:r>
      <w:r w:rsidR="00AE6C6C">
        <w:t>lic</w:t>
      </w:r>
      <w:r w:rsidRPr="00644643" w:rsidR="00644643">
        <w:t xml:space="preserve"> Util</w:t>
      </w:r>
      <w:r w:rsidR="00AE6C6C">
        <w:t>ities</w:t>
      </w:r>
      <w:r w:rsidRPr="00644643" w:rsidR="00644643">
        <w:t xml:space="preserve"> Code Section 851 and </w:t>
      </w:r>
      <w:r w:rsidR="00AE6C6C">
        <w:t>(</w:t>
      </w:r>
      <w:r w:rsidRPr="00644643" w:rsidR="00644643">
        <w:t>2</w:t>
      </w:r>
      <w:r w:rsidR="00AE6C6C">
        <w:t>)</w:t>
      </w:r>
      <w:r w:rsidRPr="00644643" w:rsidR="00644643">
        <w:t xml:space="preserve"> allow a certain </w:t>
      </w:r>
      <w:proofErr w:type="gramStart"/>
      <w:r w:rsidRPr="00644643" w:rsidR="00644643">
        <w:t>time period</w:t>
      </w:r>
      <w:proofErr w:type="gramEnd"/>
      <w:r w:rsidRPr="00644643" w:rsidR="00644643">
        <w:t xml:space="preserve"> for the Tribes to respond as to their interest in purchasing the subject real property.</w:t>
      </w:r>
    </w:p>
    <w:p w:rsidR="00C0487D" w:rsidP="00483CC6" w:rsidRDefault="003A7535" w14:paraId="79537B5F" w14:textId="5081B5F8">
      <w:pPr>
        <w:pStyle w:val="Standard"/>
      </w:pPr>
      <w:r>
        <w:t xml:space="preserve">SCE </w:t>
      </w:r>
      <w:r w:rsidR="0048667F">
        <w:t>asserts</w:t>
      </w:r>
      <w:r>
        <w:t xml:space="preserve"> that t</w:t>
      </w:r>
      <w:r w:rsidRPr="0094491A" w:rsidR="0094491A">
        <w:t>he Tribal Land Transfer Policy does not facially apply to this transaction</w:t>
      </w:r>
      <w:r w:rsidR="007A4BD3">
        <w:t xml:space="preserve">, </w:t>
      </w:r>
      <w:r w:rsidR="00AE1AD8">
        <w:t>it</w:t>
      </w:r>
      <w:r w:rsidR="00EF2B51">
        <w:t xml:space="preserve"> </w:t>
      </w:r>
      <w:r w:rsidR="00D053D9">
        <w:t>did</w:t>
      </w:r>
      <w:r w:rsidR="0048667F">
        <w:t xml:space="preserve"> also</w:t>
      </w:r>
      <w:r w:rsidR="00D053D9">
        <w:t xml:space="preserve"> </w:t>
      </w:r>
      <w:r w:rsidR="00EF2B51">
        <w:t>sen</w:t>
      </w:r>
      <w:r w:rsidR="00D053D9">
        <w:t>d</w:t>
      </w:r>
      <w:r w:rsidR="00EF2B51">
        <w:t xml:space="preserve"> </w:t>
      </w:r>
      <w:r w:rsidRPr="0094491A" w:rsidR="0094491A">
        <w:t xml:space="preserve">notification letters to the Tribes identified by the Native American Heritage Commission as having an ancestral interest in the </w:t>
      </w:r>
      <w:r w:rsidR="00EF2B51">
        <w:t>p</w:t>
      </w:r>
      <w:r w:rsidRPr="0094491A" w:rsidR="0094491A">
        <w:t xml:space="preserve">roperty. </w:t>
      </w:r>
      <w:r w:rsidR="00EF2B51">
        <w:t xml:space="preserve"> </w:t>
      </w:r>
      <w:r w:rsidRPr="0094491A" w:rsidR="0094491A">
        <w:t>T</w:t>
      </w:r>
      <w:r w:rsidR="002A5825">
        <w:t>hose letters informed</w:t>
      </w:r>
      <w:r w:rsidRPr="0094491A" w:rsidR="0094491A">
        <w:t xml:space="preserve"> the Tribes of the proposed granting of the Easements and of this Application and invite</w:t>
      </w:r>
      <w:r w:rsidR="002A5825">
        <w:t>d</w:t>
      </w:r>
      <w:r w:rsidRPr="0094491A" w:rsidR="0094491A">
        <w:t xml:space="preserve"> their participation in this proceeding. </w:t>
      </w:r>
    </w:p>
    <w:p w:rsidRPr="00483CC6" w:rsidR="00AE6C6C" w:rsidP="00483CC6" w:rsidRDefault="00C0487D" w14:paraId="648DE4CF" w14:textId="1370A91C">
      <w:pPr>
        <w:pStyle w:val="Standard"/>
      </w:pPr>
      <w:r w:rsidRPr="00C0487D">
        <w:t xml:space="preserve">We </w:t>
      </w:r>
      <w:r w:rsidR="00A373F2">
        <w:t>find that</w:t>
      </w:r>
      <w:r w:rsidRPr="00C0487D">
        <w:t xml:space="preserve"> SCE has satisfied the requirements of the Commission’s Tribal Land Transfer Policy.</w:t>
      </w:r>
    </w:p>
    <w:p w:rsidR="00603238" w:rsidP="00FA1B4F" w:rsidRDefault="00603238" w14:paraId="05B47269" w14:textId="47D1BB94">
      <w:pPr>
        <w:pStyle w:val="Heading1"/>
      </w:pPr>
      <w:r>
        <w:t>Summary of Public Comment</w:t>
      </w:r>
      <w:bookmarkEnd w:id="9"/>
    </w:p>
    <w:p w:rsidRPr="00603238" w:rsidR="00603238" w:rsidP="009D2587" w:rsidRDefault="00603238" w14:paraId="77AADF2F" w14:textId="0120649C">
      <w:r w:rsidRPr="009D2587">
        <w:t xml:space="preserve">Rule 1.18 allows any member of the public to submit written comment in any Commission proceeding using the “Public Comment” tab of the online Docket Card for that proceeding on the Commission’s website.  Rule 1.18(b) requires that relevant written comment submitted in a proceeding be </w:t>
      </w:r>
      <w:r w:rsidRPr="009D2587">
        <w:lastRenderedPageBreak/>
        <w:t>summarized in the final decision issued in that proceeding.</w:t>
      </w:r>
      <w:r w:rsidR="009D2587">
        <w:t xml:space="preserve">  No public comments were </w:t>
      </w:r>
      <w:r w:rsidR="004F607C">
        <w:t>submitted</w:t>
      </w:r>
      <w:r w:rsidR="001D57E6">
        <w:t>.</w:t>
      </w:r>
    </w:p>
    <w:p w:rsidR="004A1EAD" w:rsidP="004A1EAD" w:rsidRDefault="004A1EAD" w14:paraId="0E6F9932" w14:textId="77777777">
      <w:pPr>
        <w:pStyle w:val="Heading1"/>
      </w:pPr>
      <w:bookmarkStart w:name="_Toc8123723" w:id="11"/>
      <w:bookmarkStart w:name="_Toc133843854" w:id="12"/>
      <w:bookmarkEnd w:id="10"/>
      <w:r>
        <w:t>Procedural Matters</w:t>
      </w:r>
    </w:p>
    <w:p w:rsidRPr="008B175A" w:rsidR="004A1EAD" w:rsidP="004A1EAD" w:rsidRDefault="004A1EAD" w14:paraId="6A54CCDB" w14:textId="7BC832A5">
      <w:pPr>
        <w:pStyle w:val="Standard"/>
      </w:pPr>
      <w:r w:rsidRPr="008B175A">
        <w:t xml:space="preserve">This decision affirms all rulings made by the Administrative Law Judge and assigned Commissioner in this proceeding. </w:t>
      </w:r>
      <w:r w:rsidR="009D2587">
        <w:t xml:space="preserve"> </w:t>
      </w:r>
      <w:r w:rsidRPr="008B175A">
        <w:t>All motions not ruled on are deemed denied.</w:t>
      </w:r>
    </w:p>
    <w:p w:rsidR="005939A5" w:rsidP="005939A5" w:rsidRDefault="005939A5" w14:paraId="5243E884" w14:textId="77777777">
      <w:pPr>
        <w:pStyle w:val="Heading1"/>
      </w:pPr>
      <w:r>
        <w:t>Comments on Proposed Decision</w:t>
      </w:r>
      <w:bookmarkEnd w:id="11"/>
      <w:bookmarkEnd w:id="12"/>
    </w:p>
    <w:p w:rsidR="006B6671" w:rsidP="006B6671" w:rsidRDefault="006B6671" w14:paraId="4475969C" w14:textId="66E72EB7">
      <w:r w:rsidRPr="06423D54">
        <w:rPr>
          <w:rFonts w:eastAsia="Book Antiqua" w:cs="Book Antiqua"/>
          <w:szCs w:val="26"/>
        </w:rPr>
        <w:t xml:space="preserve">Pursuant to Rule 14.6(c)(2), if the Proposed Decision grants the relief requested in an uncontested matter, the public review and comment may be reduced or waived.  Since this application is uncontested and this decision grants the </w:t>
      </w:r>
      <w:proofErr w:type="gramStart"/>
      <w:r w:rsidRPr="06423D54">
        <w:rPr>
          <w:rFonts w:eastAsia="Book Antiqua" w:cs="Book Antiqua"/>
          <w:szCs w:val="26"/>
        </w:rPr>
        <w:t>Applicants’</w:t>
      </w:r>
      <w:proofErr w:type="gramEnd"/>
      <w:r w:rsidRPr="06423D54">
        <w:rPr>
          <w:rFonts w:eastAsia="Book Antiqua" w:cs="Book Antiqua"/>
          <w:szCs w:val="26"/>
        </w:rPr>
        <w:t xml:space="preserve"> requested relief, the comment period for the Proposed Decision is waived.</w:t>
      </w:r>
    </w:p>
    <w:p w:rsidR="005939A5" w:rsidP="005939A5" w:rsidRDefault="005939A5" w14:paraId="381C4A37" w14:textId="123553CA">
      <w:pPr>
        <w:pStyle w:val="Heading1"/>
      </w:pPr>
      <w:bookmarkStart w:name="_Toc8123724" w:id="13"/>
      <w:bookmarkStart w:name="_Toc133843855" w:id="14"/>
      <w:r>
        <w:t>Assignment of Proceeding</w:t>
      </w:r>
      <w:bookmarkEnd w:id="13"/>
      <w:bookmarkEnd w:id="14"/>
    </w:p>
    <w:p w:rsidR="005939A5" w:rsidP="006E6574" w:rsidRDefault="00051268" w14:paraId="3057FC12" w14:textId="3BF7C6C1">
      <w:pPr>
        <w:pStyle w:val="Standard"/>
      </w:pPr>
      <w:r>
        <w:t>Darc</w:t>
      </w:r>
      <w:r w:rsidR="006B6671">
        <w:t xml:space="preserve">ie L. </w:t>
      </w:r>
      <w:r>
        <w:t>Houck</w:t>
      </w:r>
      <w:r w:rsidR="005939A5">
        <w:t xml:space="preserve"> is the assigned Commissioner and </w:t>
      </w:r>
      <w:r>
        <w:t>Marcelo Lins Poirier</w:t>
      </w:r>
      <w:r w:rsidR="005939A5">
        <w:t xml:space="preserve"> is the assigned Administrative Law Judge in this proceeding.</w:t>
      </w:r>
    </w:p>
    <w:p w:rsidR="005939A5" w:rsidP="005939A5" w:rsidRDefault="005939A5" w14:paraId="3A6DFB15" w14:textId="77777777">
      <w:pPr>
        <w:pStyle w:val="Dummy"/>
      </w:pPr>
      <w:bookmarkStart w:name="_Toc8123725" w:id="15"/>
      <w:bookmarkStart w:name="_Toc133843856" w:id="16"/>
      <w:r>
        <w:t>Findings of Fact</w:t>
      </w:r>
      <w:bookmarkEnd w:id="15"/>
      <w:bookmarkEnd w:id="16"/>
    </w:p>
    <w:p w:rsidR="00CC69BC" w:rsidRDefault="008E09D9" w14:paraId="1E275DB0" w14:textId="63F8F3C3">
      <w:pPr>
        <w:pStyle w:val="FoF"/>
      </w:pPr>
      <w:r w:rsidRPr="0095632E">
        <w:t>City of Ontario</w:t>
      </w:r>
      <w:r w:rsidR="00DF6C8B">
        <w:t xml:space="preserve"> is seeking </w:t>
      </w:r>
      <w:r w:rsidR="005F0DAA">
        <w:t>p</w:t>
      </w:r>
      <w:r w:rsidRPr="0095632E" w:rsidR="005F0DAA">
        <w:t xml:space="preserve">ublic </w:t>
      </w:r>
      <w:r w:rsidR="005F0DAA">
        <w:t>r</w:t>
      </w:r>
      <w:r w:rsidRPr="0095632E" w:rsidR="005F0DAA">
        <w:t xml:space="preserve">oad and </w:t>
      </w:r>
      <w:r w:rsidR="005F0DAA">
        <w:t>l</w:t>
      </w:r>
      <w:r w:rsidRPr="0095632E" w:rsidR="005F0DAA">
        <w:t xml:space="preserve">imited </w:t>
      </w:r>
      <w:r w:rsidR="005F0DAA">
        <w:t>u</w:t>
      </w:r>
      <w:r w:rsidRPr="0095632E" w:rsidR="005F0DAA">
        <w:t xml:space="preserve">tilities </w:t>
      </w:r>
      <w:r w:rsidR="005F0DAA">
        <w:t>e</w:t>
      </w:r>
      <w:r w:rsidRPr="0095632E" w:rsidR="005F0DAA">
        <w:t>asements</w:t>
      </w:r>
      <w:r w:rsidR="005F0DAA">
        <w:t xml:space="preserve"> on four parcels </w:t>
      </w:r>
      <w:r w:rsidR="00CC69BC">
        <w:t xml:space="preserve">owned by SCE in </w:t>
      </w:r>
      <w:r w:rsidRPr="007855AC">
        <w:t>San Bernardino County</w:t>
      </w:r>
      <w:r w:rsidR="00CC69BC">
        <w:t>.</w:t>
      </w:r>
    </w:p>
    <w:p w:rsidR="00CC69BC" w:rsidRDefault="00CC69BC" w14:paraId="75C63B71" w14:textId="3947F496">
      <w:pPr>
        <w:pStyle w:val="FoF"/>
      </w:pPr>
      <w:proofErr w:type="spellStart"/>
      <w:r w:rsidRPr="00B13C56">
        <w:t>BrookCal</w:t>
      </w:r>
      <w:proofErr w:type="spellEnd"/>
      <w:r w:rsidR="004E7EB5">
        <w:t xml:space="preserve">, </w:t>
      </w:r>
      <w:r w:rsidRPr="00B13C56">
        <w:t xml:space="preserve">a developer, requested </w:t>
      </w:r>
      <w:proofErr w:type="gramStart"/>
      <w:r w:rsidRPr="00B13C56">
        <w:t>the Easements</w:t>
      </w:r>
      <w:proofErr w:type="gramEnd"/>
      <w:r w:rsidRPr="00B13C56">
        <w:t xml:space="preserve"> from SCE on behalf of the City</w:t>
      </w:r>
      <w:r>
        <w:t xml:space="preserve"> of Ontario</w:t>
      </w:r>
      <w:r w:rsidRPr="00B13C56">
        <w:t>.</w:t>
      </w:r>
    </w:p>
    <w:p w:rsidR="00CC69BC" w:rsidRDefault="00CC69BC" w14:paraId="05F35B0F" w14:textId="77777777">
      <w:pPr>
        <w:pStyle w:val="FoF"/>
      </w:pPr>
      <w:r>
        <w:t>SCE</w:t>
      </w:r>
      <w:r w:rsidRPr="00045C61" w:rsidR="008E09D9">
        <w:t xml:space="preserve"> </w:t>
      </w:r>
      <w:r w:rsidR="008E09D9">
        <w:t xml:space="preserve">currently </w:t>
      </w:r>
      <w:r w:rsidRPr="00045C61" w:rsidR="008E09D9">
        <w:t xml:space="preserve">uses those parcels as a material storage yard and </w:t>
      </w:r>
      <w:r w:rsidR="008E09D9">
        <w:t>for</w:t>
      </w:r>
      <w:r w:rsidRPr="00045C61" w:rsidR="008E09D9">
        <w:t xml:space="preserve"> secondary access to the Mira Loma substation. </w:t>
      </w:r>
      <w:r w:rsidR="008E09D9">
        <w:t xml:space="preserve"> </w:t>
      </w:r>
    </w:p>
    <w:p w:rsidR="001A3BA3" w:rsidP="001A3BA3" w:rsidRDefault="001A3BA3" w14:paraId="1FB81C51" w14:textId="77777777">
      <w:pPr>
        <w:pStyle w:val="FoF"/>
      </w:pPr>
      <w:r>
        <w:t xml:space="preserve">The public will benefit from the improved infrastructure resulting from the City of Ontario’s proposed use of the Easements.  </w:t>
      </w:r>
    </w:p>
    <w:p w:rsidR="001A3BA3" w:rsidP="001A3BA3" w:rsidRDefault="001A3BA3" w14:paraId="75230718" w14:textId="77777777">
      <w:pPr>
        <w:pStyle w:val="FoF"/>
      </w:pPr>
      <w:r>
        <w:t xml:space="preserve">SCE customers will not experience service disruptions due to the Easements.  </w:t>
      </w:r>
    </w:p>
    <w:p w:rsidRPr="00746E80" w:rsidR="001A3BA3" w:rsidP="001A3BA3" w:rsidRDefault="001A3BA3" w14:paraId="5BD42259" w14:textId="6ECCE77B">
      <w:pPr>
        <w:pStyle w:val="FoF"/>
      </w:pPr>
      <w:r>
        <w:t>SCE customers will benefit from the proceeds of the</w:t>
      </w:r>
      <w:r w:rsidR="00730106">
        <w:t xml:space="preserve"> sale of the Easements</w:t>
      </w:r>
      <w:r>
        <w:t xml:space="preserve">.  </w:t>
      </w:r>
    </w:p>
    <w:p w:rsidR="007E324A" w:rsidP="007E324A" w:rsidRDefault="001A5B6A" w14:paraId="04439A48" w14:textId="21D184CB">
      <w:pPr>
        <w:pStyle w:val="FoF"/>
      </w:pPr>
      <w:r w:rsidRPr="00BE54CA">
        <w:lastRenderedPageBreak/>
        <w:t xml:space="preserve">The </w:t>
      </w:r>
      <w:r w:rsidR="00730106">
        <w:t xml:space="preserve">sale of the </w:t>
      </w:r>
      <w:r w:rsidRPr="00BE54CA">
        <w:t>Easements will result in an after-tax</w:t>
      </w:r>
      <w:r>
        <w:t xml:space="preserve"> </w:t>
      </w:r>
      <w:r w:rsidRPr="00BE54CA">
        <w:t xml:space="preserve">gain of approximately $4,772,476. </w:t>
      </w:r>
    </w:p>
    <w:p w:rsidR="007E324A" w:rsidP="007E324A" w:rsidRDefault="007E324A" w14:paraId="5B11F092" w14:textId="7FFB2415">
      <w:pPr>
        <w:pStyle w:val="FoF"/>
      </w:pPr>
      <w:r>
        <w:t>The granting of the Easements will</w:t>
      </w:r>
      <w:r w:rsidRPr="00AA6058">
        <w:t xml:space="preserve"> not have a direct environmental impact</w:t>
      </w:r>
      <w:r>
        <w:t>.</w:t>
      </w:r>
    </w:p>
    <w:p w:rsidR="001A3BA3" w:rsidP="001A5B6A" w:rsidRDefault="00E65561" w14:paraId="40870B69" w14:textId="08868655">
      <w:pPr>
        <w:pStyle w:val="FoF"/>
      </w:pPr>
      <w:r w:rsidRPr="00E65561">
        <w:t xml:space="preserve">The proposed transaction includes only </w:t>
      </w:r>
      <w:r>
        <w:t>non-</w:t>
      </w:r>
      <w:r w:rsidRPr="00E65561">
        <w:t>depreciable assets</w:t>
      </w:r>
      <w:r w:rsidR="00B31AE0">
        <w:t>.</w:t>
      </w:r>
    </w:p>
    <w:p w:rsidR="005939A5" w:rsidP="005939A5" w:rsidRDefault="005939A5" w14:paraId="54FC4B9C" w14:textId="77777777">
      <w:pPr>
        <w:pStyle w:val="Dummy"/>
      </w:pPr>
      <w:bookmarkStart w:name="_Toc8123726" w:id="17"/>
      <w:bookmarkStart w:name="_Toc133843857" w:id="18"/>
      <w:r>
        <w:t>Conclusions of Law</w:t>
      </w:r>
      <w:bookmarkEnd w:id="17"/>
      <w:bookmarkEnd w:id="18"/>
    </w:p>
    <w:p w:rsidR="00214785" w:rsidP="00214785" w:rsidRDefault="00214785" w14:paraId="53C66AFB" w14:textId="55CD6D1D">
      <w:pPr>
        <w:pStyle w:val="FoF"/>
        <w:numPr>
          <w:ilvl w:val="0"/>
          <w:numId w:val="18"/>
        </w:numPr>
      </w:pPr>
      <w:r>
        <w:t xml:space="preserve">Section 851 applies to the </w:t>
      </w:r>
      <w:r w:rsidR="00730106">
        <w:t>sale</w:t>
      </w:r>
      <w:r w:rsidR="00BB1365">
        <w:t xml:space="preserve"> of </w:t>
      </w:r>
      <w:proofErr w:type="gramStart"/>
      <w:r w:rsidR="00BB1365">
        <w:t xml:space="preserve">the </w:t>
      </w:r>
      <w:r w:rsidR="00D01202">
        <w:t>Easements</w:t>
      </w:r>
      <w:proofErr w:type="gramEnd"/>
      <w:r>
        <w:t>.</w:t>
      </w:r>
    </w:p>
    <w:p w:rsidRPr="009F11DC" w:rsidR="00943C65" w:rsidP="00943C65" w:rsidRDefault="00B31AE0" w14:paraId="6253F380" w14:textId="0A40FD0D">
      <w:pPr>
        <w:pStyle w:val="OP"/>
      </w:pPr>
      <w:r>
        <w:t xml:space="preserve">The </w:t>
      </w:r>
      <w:r w:rsidR="00730106">
        <w:t>sale</w:t>
      </w:r>
      <w:r w:rsidR="00943C65">
        <w:t xml:space="preserve"> of the Easements </w:t>
      </w:r>
      <w:r w:rsidRPr="00043125" w:rsidR="00943C65">
        <w:t>is in the public interest and is compatible with SCE’s present and future use of the</w:t>
      </w:r>
      <w:r w:rsidR="00943C65">
        <w:t xml:space="preserve"> </w:t>
      </w:r>
      <w:r w:rsidRPr="009F11DC" w:rsidR="00943C65">
        <w:t xml:space="preserve">burdened parcels. </w:t>
      </w:r>
    </w:p>
    <w:p w:rsidR="00D27BA8" w:rsidP="00214785" w:rsidRDefault="00214785" w14:paraId="3A29E3AC" w14:textId="54DF9140">
      <w:pPr>
        <w:pStyle w:val="FoF"/>
        <w:numPr>
          <w:ilvl w:val="0"/>
          <w:numId w:val="5"/>
        </w:numPr>
      </w:pPr>
      <w:r>
        <w:t xml:space="preserve">SCE’s proposed ratemaking </w:t>
      </w:r>
      <w:r w:rsidR="00EA4270">
        <w:t xml:space="preserve">treatment of the proceeds from the </w:t>
      </w:r>
      <w:r w:rsidR="00730106">
        <w:t>sale</w:t>
      </w:r>
      <w:r w:rsidR="00E271BB">
        <w:t xml:space="preserve"> </w:t>
      </w:r>
      <w:r w:rsidR="00943C65">
        <w:t>of the Easements</w:t>
      </w:r>
      <w:r w:rsidR="00D27BA8">
        <w:t xml:space="preserve"> </w:t>
      </w:r>
      <w:r>
        <w:t xml:space="preserve">is </w:t>
      </w:r>
      <w:r w:rsidR="00943C65">
        <w:t xml:space="preserve">reasonable and </w:t>
      </w:r>
      <w:r w:rsidR="00131FA6">
        <w:t xml:space="preserve">consistent with Commission </w:t>
      </w:r>
      <w:r w:rsidR="00D27BA8">
        <w:t>policy and precedent.</w:t>
      </w:r>
    </w:p>
    <w:p w:rsidR="000D6BA1" w:rsidP="000D6BA1" w:rsidRDefault="000D6BA1" w14:paraId="24493FAD" w14:textId="6C7A8194">
      <w:pPr>
        <w:pStyle w:val="FoF"/>
        <w:numPr>
          <w:ilvl w:val="0"/>
          <w:numId w:val="5"/>
        </w:numPr>
      </w:pPr>
      <w:r>
        <w:t xml:space="preserve">The Commission should approve </w:t>
      </w:r>
      <w:proofErr w:type="gramStart"/>
      <w:r>
        <w:t>SCE’s</w:t>
      </w:r>
      <w:proofErr w:type="gramEnd"/>
      <w:r>
        <w:t xml:space="preserve"> proposed ratemaking and</w:t>
      </w:r>
      <w:r w:rsidRPr="000D6BA1">
        <w:t xml:space="preserve"> </w:t>
      </w:r>
      <w:r w:rsidRPr="009F11DC">
        <w:t xml:space="preserve">allocation of the </w:t>
      </w:r>
      <w:r w:rsidRPr="007E3636" w:rsidR="00CB1F42">
        <w:t xml:space="preserve">after-tax gain </w:t>
      </w:r>
      <w:r>
        <w:t xml:space="preserve">from the </w:t>
      </w:r>
      <w:r w:rsidR="00F81124">
        <w:t>transaction</w:t>
      </w:r>
      <w:r>
        <w:t>.</w:t>
      </w:r>
    </w:p>
    <w:p w:rsidR="00214785" w:rsidP="00214785" w:rsidRDefault="00943C65" w14:paraId="7B18A9F5" w14:textId="7C0441FD">
      <w:pPr>
        <w:pStyle w:val="FoF"/>
        <w:numPr>
          <w:ilvl w:val="0"/>
          <w:numId w:val="5"/>
        </w:numPr>
      </w:pPr>
      <w:r w:rsidRPr="007E3636">
        <w:t>67</w:t>
      </w:r>
      <w:r>
        <w:t xml:space="preserve"> percent</w:t>
      </w:r>
      <w:r w:rsidRPr="007E3636">
        <w:t xml:space="preserve"> </w:t>
      </w:r>
      <w:r>
        <w:t xml:space="preserve">of the </w:t>
      </w:r>
      <w:r w:rsidRPr="007E3636">
        <w:t>after-tax gain of approximately</w:t>
      </w:r>
      <w:r>
        <w:t xml:space="preserve"> </w:t>
      </w:r>
      <w:r w:rsidRPr="007E3636">
        <w:t>$4,772,476</w:t>
      </w:r>
      <w:r>
        <w:t xml:space="preserve"> should be allocated </w:t>
      </w:r>
      <w:r w:rsidRPr="007E3636">
        <w:t>to ratepayers</w:t>
      </w:r>
      <w:r>
        <w:t xml:space="preserve"> and </w:t>
      </w:r>
      <w:r w:rsidRPr="007E3636">
        <w:t>33</w:t>
      </w:r>
      <w:r>
        <w:t xml:space="preserve"> percent </w:t>
      </w:r>
      <w:r w:rsidR="000D6BA1">
        <w:t xml:space="preserve">allocated </w:t>
      </w:r>
      <w:r w:rsidRPr="007E3636">
        <w:t>to shareholders</w:t>
      </w:r>
      <w:r>
        <w:t>.</w:t>
      </w:r>
    </w:p>
    <w:p w:rsidR="009B64C2" w:rsidP="009B64C2" w:rsidRDefault="009B64C2" w14:paraId="35AC4FF1" w14:textId="08F50D2B">
      <w:pPr>
        <w:pStyle w:val="OP"/>
      </w:pPr>
      <w:r>
        <w:t>The g</w:t>
      </w:r>
      <w:r w:rsidRPr="00AA6058">
        <w:t xml:space="preserve">ranting </w:t>
      </w:r>
      <w:r w:rsidR="00030CBB">
        <w:t xml:space="preserve">of </w:t>
      </w:r>
      <w:r w:rsidRPr="00AA6058">
        <w:t xml:space="preserve">the Easements </w:t>
      </w:r>
      <w:r w:rsidR="00030CBB">
        <w:t>does not constitute</w:t>
      </w:r>
      <w:r>
        <w:t xml:space="preserve"> a </w:t>
      </w:r>
      <w:r w:rsidR="0004129C">
        <w:t>“</w:t>
      </w:r>
      <w:r>
        <w:t>project</w:t>
      </w:r>
      <w:r w:rsidR="0004129C">
        <w:t>”</w:t>
      </w:r>
      <w:r>
        <w:t xml:space="preserve"> </w:t>
      </w:r>
      <w:r w:rsidR="00030CBB">
        <w:t>pursuant to</w:t>
      </w:r>
      <w:r>
        <w:t xml:space="preserve"> </w:t>
      </w:r>
      <w:proofErr w:type="gramStart"/>
      <w:r>
        <w:t>CEQA</w:t>
      </w:r>
      <w:proofErr w:type="gramEnd"/>
      <w:r w:rsidR="00474A7C">
        <w:t xml:space="preserve"> so </w:t>
      </w:r>
      <w:r w:rsidRPr="0004129C" w:rsidR="0004129C">
        <w:t xml:space="preserve">the </w:t>
      </w:r>
      <w:r w:rsidR="006D7C65">
        <w:t>transaction</w:t>
      </w:r>
      <w:r w:rsidRPr="0004129C" w:rsidR="0004129C">
        <w:t xml:space="preserve"> is exempt from CEQA review.</w:t>
      </w:r>
    </w:p>
    <w:p w:rsidR="009B64C2" w:rsidP="00BB1365" w:rsidRDefault="00474A7C" w14:paraId="5C940E6B" w14:textId="2C5133B7">
      <w:pPr>
        <w:pStyle w:val="FoF"/>
        <w:numPr>
          <w:ilvl w:val="0"/>
          <w:numId w:val="5"/>
        </w:numPr>
      </w:pPr>
      <w:r>
        <w:t>T</w:t>
      </w:r>
      <w:r w:rsidRPr="00030CBB" w:rsidR="00030CBB">
        <w:t>he proposed transaction complies with the Commission’s Tribal Land Transfer Policy.</w:t>
      </w:r>
    </w:p>
    <w:p w:rsidR="00BB1365" w:rsidP="00BB1365" w:rsidRDefault="00BB1365" w14:paraId="0B39C268" w14:textId="11CEF603">
      <w:pPr>
        <w:pStyle w:val="FoF"/>
        <w:numPr>
          <w:ilvl w:val="0"/>
          <w:numId w:val="5"/>
        </w:numPr>
      </w:pPr>
      <w:r>
        <w:t xml:space="preserve">The Commission should authorize the </w:t>
      </w:r>
      <w:r w:rsidR="00730106">
        <w:t xml:space="preserve">sale of the </w:t>
      </w:r>
      <w:r>
        <w:t>Easements.</w:t>
      </w:r>
    </w:p>
    <w:p w:rsidR="00214785" w:rsidP="00214785" w:rsidRDefault="00214785" w14:paraId="512A9B15" w14:textId="1B811F84">
      <w:pPr>
        <w:pStyle w:val="FoF"/>
        <w:numPr>
          <w:ilvl w:val="0"/>
          <w:numId w:val="5"/>
        </w:numPr>
      </w:pPr>
      <w:r>
        <w:t>All motions not specifically addressed herein or previously addressed by the assigned Commissioner or assigned ALJ should be denied.</w:t>
      </w:r>
    </w:p>
    <w:p w:rsidR="00893BDF" w:rsidP="00214785" w:rsidRDefault="00893BDF" w14:paraId="2013806E" w14:textId="5CF24B16">
      <w:pPr>
        <w:pStyle w:val="FoF"/>
        <w:numPr>
          <w:ilvl w:val="0"/>
          <w:numId w:val="5"/>
        </w:numPr>
      </w:pPr>
      <w:r>
        <w:t>This proceeding should be closed.</w:t>
      </w:r>
    </w:p>
    <w:p w:rsidR="00BB0243" w:rsidP="000A6E05" w:rsidRDefault="005939A5" w14:paraId="14B5B639" w14:textId="77777777">
      <w:pPr>
        <w:pStyle w:val="Mainex"/>
      </w:pPr>
      <w:bookmarkStart w:name="_Toc133843858" w:id="19"/>
      <w:r>
        <w:lastRenderedPageBreak/>
        <w:t>O</w:t>
      </w:r>
      <w:r w:rsidR="00722850">
        <w:t>RDER</w:t>
      </w:r>
      <w:bookmarkEnd w:id="19"/>
    </w:p>
    <w:p w:rsidR="00BB0243" w:rsidP="000A6E05" w:rsidRDefault="00BB0243" w14:paraId="1A1C59F0" w14:textId="77777777">
      <w:pPr>
        <w:keepNext/>
      </w:pPr>
      <w:r w:rsidRPr="00BB0243">
        <w:rPr>
          <w:b/>
        </w:rPr>
        <w:t>IT IS ORDERED</w:t>
      </w:r>
      <w:r>
        <w:t xml:space="preserve"> that:</w:t>
      </w:r>
    </w:p>
    <w:p w:rsidRPr="004C146A" w:rsidR="00FF6118" w:rsidP="001C6FE9" w:rsidRDefault="000F5412" w14:paraId="59F50468" w14:textId="62B97DBA">
      <w:pPr>
        <w:pStyle w:val="OP"/>
        <w:numPr>
          <w:ilvl w:val="0"/>
          <w:numId w:val="19"/>
        </w:numPr>
        <w:rPr>
          <w:rFonts w:eastAsia="Book Antiqua" w:cs="Book Antiqua"/>
          <w:szCs w:val="26"/>
        </w:rPr>
      </w:pPr>
      <w:r>
        <w:t>Pursuant to California Public Utilities Code Section 851, Southern California Edison Company is authorized to grant public road and limited use easements to the City of Ontario</w:t>
      </w:r>
      <w:r w:rsidR="00FF6118">
        <w:t>.</w:t>
      </w:r>
    </w:p>
    <w:p w:rsidRPr="00FF6118" w:rsidR="004C146A" w:rsidP="001C6FE9" w:rsidRDefault="004C146A" w14:paraId="19EDC0E8" w14:textId="790DBDF7">
      <w:pPr>
        <w:pStyle w:val="OP"/>
        <w:numPr>
          <w:ilvl w:val="0"/>
          <w:numId w:val="19"/>
        </w:numPr>
        <w:rPr>
          <w:rFonts w:eastAsia="Book Antiqua" w:cs="Book Antiqua"/>
          <w:szCs w:val="26"/>
        </w:rPr>
      </w:pPr>
      <w:r w:rsidRPr="004C146A">
        <w:rPr>
          <w:rFonts w:eastAsia="Book Antiqua" w:cs="Book Antiqua"/>
          <w:szCs w:val="26"/>
        </w:rPr>
        <w:t xml:space="preserve">Within 60 days after the closing date of the </w:t>
      </w:r>
      <w:r w:rsidR="00730106">
        <w:rPr>
          <w:rFonts w:eastAsia="Book Antiqua" w:cs="Book Antiqua"/>
          <w:szCs w:val="26"/>
        </w:rPr>
        <w:t>sale</w:t>
      </w:r>
      <w:r w:rsidRPr="004C146A">
        <w:rPr>
          <w:rFonts w:eastAsia="Book Antiqua" w:cs="Book Antiqua"/>
          <w:szCs w:val="26"/>
        </w:rPr>
        <w:t xml:space="preserve">, Southern California Edison </w:t>
      </w:r>
      <w:r>
        <w:rPr>
          <w:rFonts w:eastAsia="Book Antiqua" w:cs="Book Antiqua"/>
          <w:szCs w:val="26"/>
        </w:rPr>
        <w:t xml:space="preserve">Company </w:t>
      </w:r>
      <w:r w:rsidRPr="004C146A">
        <w:rPr>
          <w:rFonts w:eastAsia="Book Antiqua" w:cs="Book Antiqua"/>
          <w:szCs w:val="26"/>
        </w:rPr>
        <w:t xml:space="preserve">shall submit the closing financial information to the Energy Division of the California Public Utilities Commission as a Tier 1 Advice Letter. </w:t>
      </w:r>
      <w:r w:rsidR="00730106">
        <w:rPr>
          <w:rFonts w:eastAsia="Book Antiqua" w:cs="Book Antiqua"/>
          <w:szCs w:val="26"/>
        </w:rPr>
        <w:t xml:space="preserve"> </w:t>
      </w:r>
      <w:r w:rsidRPr="004C146A">
        <w:rPr>
          <w:rFonts w:eastAsia="Book Antiqua" w:cs="Book Antiqua"/>
          <w:szCs w:val="26"/>
        </w:rPr>
        <w:t xml:space="preserve">The financial information shall consist of the final calculation of the </w:t>
      </w:r>
      <w:r>
        <w:rPr>
          <w:rFonts w:eastAsia="Book Antiqua" w:cs="Book Antiqua"/>
          <w:szCs w:val="26"/>
        </w:rPr>
        <w:t xml:space="preserve">gain </w:t>
      </w:r>
      <w:r w:rsidRPr="004C146A">
        <w:rPr>
          <w:rFonts w:eastAsia="Book Antiqua" w:cs="Book Antiqua"/>
          <w:szCs w:val="26"/>
        </w:rPr>
        <w:t xml:space="preserve">on-sale and tax information related to the </w:t>
      </w:r>
      <w:r w:rsidR="00730106">
        <w:rPr>
          <w:rFonts w:eastAsia="Book Antiqua" w:cs="Book Antiqua"/>
          <w:szCs w:val="26"/>
        </w:rPr>
        <w:t>sale of the Easements.</w:t>
      </w:r>
    </w:p>
    <w:p w:rsidRPr="001C6FE9" w:rsidR="001C6FE9" w:rsidP="001C6FE9" w:rsidRDefault="000F5412" w14:paraId="63CA52D7" w14:textId="1F3DA0CC">
      <w:pPr>
        <w:pStyle w:val="OP"/>
        <w:numPr>
          <w:ilvl w:val="0"/>
          <w:numId w:val="19"/>
        </w:numPr>
        <w:rPr>
          <w:rFonts w:eastAsia="Book Antiqua" w:cs="Book Antiqua"/>
          <w:szCs w:val="26"/>
        </w:rPr>
      </w:pPr>
      <w:r>
        <w:t xml:space="preserve"> </w:t>
      </w:r>
      <w:r w:rsidRPr="001C6FE9" w:rsidR="001C6FE9">
        <w:rPr>
          <w:rFonts w:eastAsia="Book Antiqua" w:cs="Book Antiqua"/>
          <w:szCs w:val="26"/>
        </w:rPr>
        <w:t>All outstanding motions filed in this proceeding that have not yet been ruled on are denied.</w:t>
      </w:r>
    </w:p>
    <w:p w:rsidR="00F6397D" w:rsidP="00B3087D" w:rsidRDefault="00E23CBB" w14:paraId="0BF8380F" w14:textId="39CCF7F2">
      <w:pPr>
        <w:pStyle w:val="OP"/>
      </w:pPr>
      <w:r w:rsidRPr="001E2A62">
        <w:t>Application</w:t>
      </w:r>
      <w:r w:rsidR="00051268">
        <w:t xml:space="preserve"> 26</w:t>
      </w:r>
      <w:r w:rsidR="007C42C8">
        <w:t xml:space="preserve">-01-002 </w:t>
      </w:r>
      <w:r w:rsidRPr="001E2A62">
        <w:t>is closed.</w:t>
      </w:r>
    </w:p>
    <w:p w:rsidR="008F0116" w:rsidP="008F0116" w:rsidRDefault="008F0116" w14:paraId="4C8B5A6F" w14:textId="77777777">
      <w:r>
        <w:t>This order is effective today.</w:t>
      </w:r>
    </w:p>
    <w:p w:rsidRPr="00714CF2" w:rsidR="00714CF2" w:rsidP="00816E05" w:rsidRDefault="008F0116" w14:paraId="19193D00" w14:textId="1B2EDA71">
      <w:r>
        <w:t xml:space="preserve">Dated </w:t>
      </w:r>
      <w:r>
        <w:rPr>
          <w:u w:val="single"/>
        </w:rPr>
        <w:tab/>
      </w:r>
      <w:r>
        <w:rPr>
          <w:u w:val="single"/>
        </w:rPr>
        <w:tab/>
      </w:r>
      <w:r>
        <w:rPr>
          <w:u w:val="single"/>
        </w:rPr>
        <w:tab/>
      </w:r>
      <w:r>
        <w:rPr>
          <w:u w:val="single"/>
        </w:rPr>
        <w:tab/>
      </w:r>
      <w:r>
        <w:rPr>
          <w:u w:val="single"/>
        </w:rPr>
        <w:tab/>
      </w:r>
      <w:r>
        <w:t>, at</w:t>
      </w:r>
      <w:r w:rsidR="00452ED7">
        <w:t xml:space="preserve"> San Francisco</w:t>
      </w:r>
      <w:r>
        <w:t>, California</w:t>
      </w:r>
    </w:p>
    <w:sectPr w:rsidRPr="00714CF2" w:rsidR="00714CF2" w:rsidSect="00382ACE">
      <w:headerReference w:type="default" r:id="rId11"/>
      <w:footerReference w:type="default" r:id="rId12"/>
      <w:footerReference w:type="first" r:id="rId13"/>
      <w:pgSz w:w="12240" w:h="15840"/>
      <w:pgMar w:top="1728"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A485" w14:textId="77777777" w:rsidR="001875A4" w:rsidRDefault="001875A4" w:rsidP="0098138E">
      <w:pPr>
        <w:spacing w:line="240" w:lineRule="auto"/>
      </w:pPr>
      <w:r>
        <w:separator/>
      </w:r>
    </w:p>
  </w:endnote>
  <w:endnote w:type="continuationSeparator" w:id="0">
    <w:p w14:paraId="5177CF66" w14:textId="77777777" w:rsidR="001875A4" w:rsidRDefault="001875A4"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9F34"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BC69" w14:textId="535AF7AA" w:rsidR="00810E3B" w:rsidRDefault="00810E3B" w:rsidP="00810E3B">
    <w:pPr>
      <w:tabs>
        <w:tab w:val="center" w:pos="4680"/>
      </w:tabs>
      <w:spacing w:line="240" w:lineRule="auto"/>
      <w:ind w:firstLine="0"/>
      <w:rPr>
        <w:noProof/>
      </w:rPr>
    </w:pPr>
    <w:r w:rsidRPr="00810E3B">
      <w:rPr>
        <w:sz w:val="16"/>
        <w:szCs w:val="16"/>
      </w:rPr>
      <w:t>606615688</w:t>
    </w:r>
    <w:sdt>
      <w:sdtPr>
        <w:id w:val="-1352874971"/>
        <w:docPartObj>
          <w:docPartGallery w:val="Page Numbers (Bottom of Page)"/>
          <w:docPartUnique/>
        </w:docPartObj>
      </w:sdtPr>
      <w:sdtEndPr>
        <w:rPr>
          <w:noProof/>
        </w:rPr>
      </w:sdtEndPr>
      <w:sdtContent>
        <w:r>
          <w:rPr>
            <w:rFonts w:ascii="Arial" w:hAnsi="Arial" w:cs="Arial"/>
            <w:sz w:val="16"/>
            <w:szCs w:val="16"/>
          </w:rPr>
          <w:tab/>
        </w:r>
        <w:r>
          <w:noBreakHyphen/>
          <w:t xml:space="preserve"> </w:t>
        </w:r>
        <w:r>
          <w:fldChar w:fldCharType="begin"/>
        </w:r>
        <w:r>
          <w:instrText xml:space="preserve"> PAGE   \* MERGEFORMAT </w:instrText>
        </w:r>
        <w:r>
          <w:fldChar w:fldCharType="separate"/>
        </w:r>
        <w:r>
          <w:t>1</w:t>
        </w:r>
        <w:r>
          <w:rPr>
            <w:noProof/>
          </w:rPr>
          <w:fldChar w:fldCharType="end"/>
        </w:r>
      </w:sdtContent>
    </w:sdt>
    <w:r>
      <w:rPr>
        <w:noProof/>
      </w:rPr>
      <w:t xml:space="preserve"> </w:t>
    </w:r>
    <w:r>
      <w:rPr>
        <w:noProof/>
      </w:rPr>
      <w:noBreak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90DD" w14:textId="77777777" w:rsidR="001875A4" w:rsidRDefault="001875A4" w:rsidP="00DF58E7">
      <w:pPr>
        <w:spacing w:line="240" w:lineRule="auto"/>
        <w:ind w:firstLine="0"/>
      </w:pPr>
      <w:r>
        <w:separator/>
      </w:r>
    </w:p>
  </w:footnote>
  <w:footnote w:type="continuationSeparator" w:id="0">
    <w:p w14:paraId="6D52C54B" w14:textId="77777777" w:rsidR="001875A4" w:rsidRDefault="001875A4" w:rsidP="00DF58E7">
      <w:pPr>
        <w:spacing w:line="240" w:lineRule="auto"/>
        <w:ind w:firstLine="0"/>
      </w:pPr>
      <w:r>
        <w:continuationSeparator/>
      </w:r>
    </w:p>
  </w:footnote>
  <w:footnote w:type="continuationNotice" w:id="1">
    <w:p w14:paraId="7856A44C" w14:textId="77777777" w:rsidR="001875A4" w:rsidRPr="00DF58E7" w:rsidRDefault="001875A4"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0BE0E1FA" w14:textId="77777777" w:rsidR="00817CB4" w:rsidRDefault="00817CB4" w:rsidP="00817CB4">
      <w:pPr>
        <w:pStyle w:val="FootnoteText"/>
      </w:pPr>
      <w:r>
        <w:rPr>
          <w:rStyle w:val="FootnoteReference"/>
        </w:rPr>
        <w:footnoteRef/>
      </w:r>
      <w:r>
        <w:t xml:space="preserve"> Application at 2.</w:t>
      </w:r>
    </w:p>
  </w:footnote>
  <w:footnote w:id="3">
    <w:p w14:paraId="4D49DDDB" w14:textId="4126AD3F" w:rsidR="00817CB4" w:rsidRDefault="00817CB4" w:rsidP="00817CB4">
      <w:pPr>
        <w:pStyle w:val="FootnoteText"/>
      </w:pPr>
      <w:r>
        <w:rPr>
          <w:rStyle w:val="FootnoteReference"/>
        </w:rPr>
        <w:footnoteRef/>
      </w:r>
      <w:r>
        <w:t xml:space="preserve"> </w:t>
      </w:r>
      <w:r w:rsidR="00730106">
        <w:rPr>
          <w:i/>
          <w:iCs/>
        </w:rPr>
        <w:t>Id.</w:t>
      </w:r>
      <w:r>
        <w:t xml:space="preserve"> at 3.</w:t>
      </w:r>
    </w:p>
  </w:footnote>
  <w:footnote w:id="4">
    <w:p w14:paraId="72C07FD4" w14:textId="2D43CE4B" w:rsidR="00636F94" w:rsidRDefault="00636F94">
      <w:pPr>
        <w:pStyle w:val="FootnoteText"/>
      </w:pPr>
      <w:r>
        <w:rPr>
          <w:rStyle w:val="FootnoteReference"/>
        </w:rPr>
        <w:footnoteRef/>
      </w:r>
      <w:r>
        <w:t xml:space="preserve"> SCE Opening Brief</w:t>
      </w:r>
      <w:r w:rsidR="001966DC">
        <w:t xml:space="preserve"> at </w:t>
      </w:r>
      <w:r w:rsidR="00173617">
        <w:t>3.</w:t>
      </w:r>
    </w:p>
  </w:footnote>
  <w:footnote w:id="5">
    <w:p w14:paraId="5BA4F778" w14:textId="4DB42E28" w:rsidR="00BE561E" w:rsidRDefault="00BE561E">
      <w:pPr>
        <w:pStyle w:val="FootnoteText"/>
      </w:pPr>
      <w:r>
        <w:rPr>
          <w:rStyle w:val="FootnoteReference"/>
        </w:rPr>
        <w:footnoteRef/>
      </w:r>
      <w:r>
        <w:t xml:space="preserve"> </w:t>
      </w:r>
      <w:r w:rsidR="00730106">
        <w:rPr>
          <w:i/>
          <w:iCs/>
        </w:rPr>
        <w:t xml:space="preserve">Id. </w:t>
      </w:r>
      <w:r>
        <w:t xml:space="preserve">at </w:t>
      </w:r>
      <w:r w:rsidR="009639F8">
        <w:t>5.</w:t>
      </w:r>
    </w:p>
  </w:footnote>
  <w:footnote w:id="6">
    <w:p w14:paraId="0A2FB868" w14:textId="77777777" w:rsidR="002C0035" w:rsidRPr="008B7006" w:rsidRDefault="002C0035" w:rsidP="002C0035">
      <w:pPr>
        <w:pStyle w:val="FootnoteText"/>
      </w:pPr>
      <w:r>
        <w:rPr>
          <w:rStyle w:val="FootnoteReference"/>
        </w:rPr>
        <w:footnoteRef/>
      </w:r>
      <w:r>
        <w:t xml:space="preserve"> </w:t>
      </w:r>
      <w:r>
        <w:rPr>
          <w:i/>
          <w:iCs/>
        </w:rPr>
        <w:t xml:space="preserve">See </w:t>
      </w:r>
      <w:r>
        <w:t xml:space="preserve">Scoping Ruling at 2. </w:t>
      </w:r>
    </w:p>
  </w:footnote>
  <w:footnote w:id="7">
    <w:p w14:paraId="23CCD4FC" w14:textId="093690B6" w:rsidR="000A26E0" w:rsidRDefault="000A26E0">
      <w:pPr>
        <w:pStyle w:val="FootnoteText"/>
      </w:pPr>
      <w:r>
        <w:rPr>
          <w:rStyle w:val="FootnoteReference"/>
        </w:rPr>
        <w:footnoteRef/>
      </w:r>
      <w:r>
        <w:t xml:space="preserve"> D.01-</w:t>
      </w:r>
      <w:r w:rsidR="002C115D">
        <w:t>06-007 at 15.</w:t>
      </w:r>
    </w:p>
  </w:footnote>
  <w:footnote w:id="8">
    <w:p w14:paraId="62209715" w14:textId="58CD97E8" w:rsidR="00BD3CE4" w:rsidRDefault="00BD3CE4">
      <w:pPr>
        <w:pStyle w:val="FootnoteText"/>
      </w:pPr>
      <w:r>
        <w:rPr>
          <w:rStyle w:val="FootnoteReference"/>
        </w:rPr>
        <w:footnoteRef/>
      </w:r>
      <w:r>
        <w:t xml:space="preserve"> </w:t>
      </w:r>
      <w:r w:rsidR="002F4CAD">
        <w:t xml:space="preserve">SCE </w:t>
      </w:r>
      <w:r w:rsidR="0008782E">
        <w:t xml:space="preserve">Opening Brief at </w:t>
      </w:r>
      <w:r w:rsidR="00F4753B">
        <w:t>3 (citing to D</w:t>
      </w:r>
      <w:r w:rsidR="00AE18CA">
        <w:t>.00-07-010).</w:t>
      </w:r>
    </w:p>
  </w:footnote>
  <w:footnote w:id="9">
    <w:p w14:paraId="5CBF8D06" w14:textId="3A5E4E18" w:rsidR="007E5C50" w:rsidRDefault="007E5C50">
      <w:pPr>
        <w:pStyle w:val="FootnoteText"/>
      </w:pPr>
      <w:r>
        <w:rPr>
          <w:rStyle w:val="FootnoteReference"/>
        </w:rPr>
        <w:footnoteRef/>
      </w:r>
      <w:r>
        <w:t xml:space="preserve"> </w:t>
      </w:r>
      <w:r w:rsidR="00730106">
        <w:rPr>
          <w:i/>
          <w:iCs/>
        </w:rPr>
        <w:t xml:space="preserve">Id. </w:t>
      </w:r>
      <w:r w:rsidR="002F4CAD">
        <w:t>at 4.</w:t>
      </w:r>
    </w:p>
  </w:footnote>
  <w:footnote w:id="10">
    <w:p w14:paraId="23AAD0B8" w14:textId="0AE61608" w:rsidR="0008782E" w:rsidRDefault="0008782E">
      <w:pPr>
        <w:pStyle w:val="FootnoteText"/>
      </w:pPr>
      <w:r>
        <w:rPr>
          <w:rStyle w:val="FootnoteReference"/>
        </w:rPr>
        <w:footnoteRef/>
      </w:r>
      <w:r w:rsidR="002F4CAD">
        <w:t xml:space="preserve"> </w:t>
      </w:r>
      <w:r w:rsidR="00730106">
        <w:rPr>
          <w:i/>
          <w:iCs/>
        </w:rPr>
        <w:t>Ibid</w:t>
      </w:r>
      <w:r w:rsidR="002F4CAD">
        <w:t>.</w:t>
      </w:r>
    </w:p>
  </w:footnote>
  <w:footnote w:id="11">
    <w:p w14:paraId="37E18796" w14:textId="151B3BDC" w:rsidR="00431116" w:rsidRDefault="00431116">
      <w:pPr>
        <w:pStyle w:val="FootnoteText"/>
      </w:pPr>
      <w:r>
        <w:rPr>
          <w:rStyle w:val="FootnoteReference"/>
        </w:rPr>
        <w:footnoteRef/>
      </w:r>
      <w:r>
        <w:t xml:space="preserve"> </w:t>
      </w:r>
      <w:r w:rsidR="00730106">
        <w:rPr>
          <w:i/>
          <w:iCs/>
        </w:rPr>
        <w:t>Ibid.</w:t>
      </w:r>
    </w:p>
  </w:footnote>
  <w:footnote w:id="12">
    <w:p w14:paraId="4F3C7A2A" w14:textId="568F9A86" w:rsidR="00F15DBA" w:rsidRDefault="00F15DBA">
      <w:pPr>
        <w:pStyle w:val="FootnoteText"/>
      </w:pPr>
      <w:r>
        <w:rPr>
          <w:rStyle w:val="FootnoteReference"/>
        </w:rPr>
        <w:footnoteRef/>
      </w:r>
      <w:r>
        <w:t xml:space="preserve"> </w:t>
      </w:r>
      <w:r w:rsidR="00730106">
        <w:rPr>
          <w:i/>
          <w:iCs/>
        </w:rPr>
        <w:t>Ibid.</w:t>
      </w:r>
    </w:p>
  </w:footnote>
  <w:footnote w:id="13">
    <w:p w14:paraId="0E0DD2BB" w14:textId="5FF3B858" w:rsidR="007D3746" w:rsidRDefault="007D3746">
      <w:pPr>
        <w:pStyle w:val="FootnoteText"/>
      </w:pPr>
      <w:r>
        <w:rPr>
          <w:rStyle w:val="FootnoteReference"/>
        </w:rPr>
        <w:footnoteRef/>
      </w:r>
      <w:r>
        <w:t xml:space="preserve"> </w:t>
      </w:r>
      <w:r w:rsidR="00730106">
        <w:rPr>
          <w:i/>
          <w:iCs/>
        </w:rPr>
        <w:t xml:space="preserve">Id. </w:t>
      </w:r>
      <w:r w:rsidR="008E598A">
        <w:t>at 5.</w:t>
      </w:r>
    </w:p>
  </w:footnote>
  <w:footnote w:id="14">
    <w:p w14:paraId="4006285D" w14:textId="11317C62" w:rsidR="004D7701" w:rsidRDefault="004D7701">
      <w:pPr>
        <w:pStyle w:val="FootnoteText"/>
      </w:pPr>
      <w:r>
        <w:rPr>
          <w:rStyle w:val="FootnoteReference"/>
        </w:rPr>
        <w:footnoteRef/>
      </w:r>
      <w:r>
        <w:t xml:space="preserve"> </w:t>
      </w:r>
      <w:r w:rsidR="004E65CA" w:rsidRPr="004E65CA">
        <w:t>Cal</w:t>
      </w:r>
      <w:r w:rsidR="004E65CA">
        <w:t>ifornia</w:t>
      </w:r>
      <w:r w:rsidR="004E65CA" w:rsidRPr="004E65CA">
        <w:t xml:space="preserve"> Pub</w:t>
      </w:r>
      <w:r w:rsidR="004E65CA">
        <w:t>lic</w:t>
      </w:r>
      <w:r w:rsidR="004E65CA" w:rsidRPr="004E65CA">
        <w:t xml:space="preserve"> Res</w:t>
      </w:r>
      <w:r w:rsidR="004E65CA">
        <w:t>ources</w:t>
      </w:r>
      <w:r w:rsidR="004E65CA" w:rsidRPr="004E65CA">
        <w:t xml:space="preserve"> Code, </w:t>
      </w:r>
      <w:r w:rsidR="004E65CA">
        <w:t>Section</w:t>
      </w:r>
      <w:r w:rsidR="004E65CA" w:rsidRPr="004E65CA">
        <w:t xml:space="preserve"> 21065.</w:t>
      </w:r>
    </w:p>
  </w:footnote>
  <w:footnote w:id="15">
    <w:p w14:paraId="2FEE87BC" w14:textId="5C119701" w:rsidR="00462876" w:rsidRDefault="00462876">
      <w:pPr>
        <w:pStyle w:val="FootnoteText"/>
      </w:pPr>
      <w:r>
        <w:rPr>
          <w:rStyle w:val="FootnoteReference"/>
        </w:rPr>
        <w:footnoteRef/>
      </w:r>
      <w:r>
        <w:t xml:space="preserve"> A</w:t>
      </w:r>
      <w:r w:rsidR="00564F1F">
        <w:t>pplication at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E59B" w14:textId="746876B5" w:rsidR="00FE2351" w:rsidRDefault="00173690" w:rsidP="00EE4315">
    <w:pPr>
      <w:pStyle w:val="Header"/>
      <w:tabs>
        <w:tab w:val="clear" w:pos="4680"/>
      </w:tabs>
      <w:ind w:firstLine="0"/>
      <w:rPr>
        <w:b/>
      </w:rPr>
    </w:pPr>
    <w:r>
      <w:t>A.26-01-</w:t>
    </w:r>
    <w:proofErr w:type="gramStart"/>
    <w:r>
      <w:t>002</w:t>
    </w:r>
    <w:r w:rsidR="00FE2351">
      <w:t xml:space="preserve">  </w:t>
    </w:r>
    <w:r w:rsidR="00943EA4">
      <w:t>ALJ</w:t>
    </w:r>
    <w:proofErr w:type="gramEnd"/>
    <w:r w:rsidR="00FE2351">
      <w:t>/</w:t>
    </w:r>
    <w:r w:rsidR="00943EA4">
      <w:t>MPO</w:t>
    </w:r>
    <w:r w:rsidR="00FE2351">
      <w:t>/</w:t>
    </w:r>
    <w:proofErr w:type="spellStart"/>
    <w:r w:rsidR="00382ACE">
      <w:t>vhj</w:t>
    </w:r>
    <w:proofErr w:type="spellEnd"/>
    <w:r w:rsidR="00FE2351">
      <w:tab/>
    </w:r>
    <w:r w:rsidR="00FE2351" w:rsidRPr="00E64F55">
      <w:rPr>
        <w:rFonts w:ascii="Arial" w:hAnsi="Arial" w:cs="Arial"/>
        <w:b/>
        <w:szCs w:val="26"/>
      </w:rPr>
      <w:t>PROPOSED DECISION</w:t>
    </w:r>
  </w:p>
  <w:p w14:paraId="53BB1701" w14:textId="4618CD54" w:rsidR="00FE2351" w:rsidRPr="00B3087D" w:rsidRDefault="00FE2351"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70038F"/>
    <w:multiLevelType w:val="multilevel"/>
    <w:tmpl w:val="3C526EDE"/>
    <w:numStyleLink w:val="Headings"/>
  </w:abstractNum>
  <w:abstractNum w:abstractNumId="5" w15:restartNumberingAfterBreak="0">
    <w:nsid w:val="1E2242C9"/>
    <w:multiLevelType w:val="multilevel"/>
    <w:tmpl w:val="3C526EDE"/>
    <w:numStyleLink w:val="Headings"/>
  </w:abstractNum>
  <w:abstractNum w:abstractNumId="6" w15:restartNumberingAfterBreak="0">
    <w:nsid w:val="21FB58FE"/>
    <w:multiLevelType w:val="multilevel"/>
    <w:tmpl w:val="3C526EDE"/>
    <w:numStyleLink w:val="Headings"/>
  </w:abstractNum>
  <w:abstractNum w:abstractNumId="7" w15:restartNumberingAfterBreak="0">
    <w:nsid w:val="243663A0"/>
    <w:multiLevelType w:val="multilevel"/>
    <w:tmpl w:val="3C526EDE"/>
    <w:numStyleLink w:val="Headings"/>
  </w:abstractNum>
  <w:abstractNum w:abstractNumId="8" w15:restartNumberingAfterBreak="0">
    <w:nsid w:val="2B8124D7"/>
    <w:multiLevelType w:val="multilevel"/>
    <w:tmpl w:val="3C526EDE"/>
    <w:numStyleLink w:val="Headings"/>
  </w:abstractNum>
  <w:abstractNum w:abstractNumId="9"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59D042D7"/>
    <w:multiLevelType w:val="multilevel"/>
    <w:tmpl w:val="18F4A5AC"/>
    <w:numStyleLink w:val="FoFCoLOP"/>
  </w:abstractNum>
  <w:abstractNum w:abstractNumId="11" w15:restartNumberingAfterBreak="0">
    <w:nsid w:val="5A9E2171"/>
    <w:multiLevelType w:val="multilevel"/>
    <w:tmpl w:val="3C526EDE"/>
    <w:numStyleLink w:val="Headings"/>
  </w:abstractNum>
  <w:abstractNum w:abstractNumId="12" w15:restartNumberingAfterBreak="0">
    <w:nsid w:val="61A25780"/>
    <w:multiLevelType w:val="multilevel"/>
    <w:tmpl w:val="57D4D8DC"/>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decimal"/>
      <w:pStyle w:val="ListAlpha"/>
      <w:lvlText w:val="%8."/>
      <w:lvlJc w:val="left"/>
      <w:pPr>
        <w:ind w:left="1080" w:hanging="360"/>
      </w:pPr>
      <w:rPr>
        <w:rFonts w:ascii="Book Antiqua" w:eastAsiaTheme="minorHAnsi" w:hAnsi="Book Antiqua" w:cstheme="minorBidi"/>
        <w:sz w:val="26"/>
      </w:rPr>
    </w:lvl>
    <w:lvl w:ilvl="8">
      <w:start w:val="1"/>
      <w:numFmt w:val="none"/>
      <w:lvlText w:val=""/>
      <w:lvlJc w:val="left"/>
      <w:pPr>
        <w:ind w:left="3240" w:hanging="360"/>
      </w:pPr>
      <w:rPr>
        <w:rFonts w:hint="default"/>
      </w:rPr>
    </w:lvl>
  </w:abstractNum>
  <w:abstractNum w:abstractNumId="13"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9A0AFE"/>
    <w:multiLevelType w:val="multilevel"/>
    <w:tmpl w:val="18F4A5AC"/>
    <w:numStyleLink w:val="FoFCoLOP"/>
  </w:abstractNum>
  <w:num w:numId="1" w16cid:durableId="1354526949">
    <w:abstractNumId w:val="11"/>
  </w:num>
  <w:num w:numId="2" w16cid:durableId="140774137">
    <w:abstractNumId w:val="1"/>
  </w:num>
  <w:num w:numId="3" w16cid:durableId="1898543446">
    <w:abstractNumId w:val="10"/>
  </w:num>
  <w:num w:numId="4" w16cid:durableId="701521005">
    <w:abstractNumId w:val="2"/>
  </w:num>
  <w:num w:numId="5" w16cid:durableId="2017029027">
    <w:abstractNumId w:val="14"/>
  </w:num>
  <w:num w:numId="6" w16cid:durableId="973756952">
    <w:abstractNumId w:val="9"/>
  </w:num>
  <w:num w:numId="7" w16cid:durableId="827667741">
    <w:abstractNumId w:val="5"/>
  </w:num>
  <w:num w:numId="8" w16cid:durableId="1760327020">
    <w:abstractNumId w:val="13"/>
  </w:num>
  <w:num w:numId="9" w16cid:durableId="816924040">
    <w:abstractNumId w:val="0"/>
  </w:num>
  <w:num w:numId="10" w16cid:durableId="1817916489">
    <w:abstractNumId w:val="4"/>
  </w:num>
  <w:num w:numId="11" w16cid:durableId="291985460">
    <w:abstractNumId w:val="6"/>
  </w:num>
  <w:num w:numId="12" w16cid:durableId="467941983">
    <w:abstractNumId w:val="3"/>
  </w:num>
  <w:num w:numId="13" w16cid:durableId="712996464">
    <w:abstractNumId w:val="7"/>
  </w:num>
  <w:num w:numId="14" w16cid:durableId="1303778653">
    <w:abstractNumId w:val="8"/>
  </w:num>
  <w:num w:numId="15" w16cid:durableId="1714382259">
    <w:abstractNumId w:val="12"/>
  </w:num>
  <w:num w:numId="16" w16cid:durableId="5481076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2"/>
  </w:num>
  <w:num w:numId="18" w16cid:durableId="327828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69861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454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004126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670"/>
    <w:rsid w:val="00000F6A"/>
    <w:rsid w:val="0002175A"/>
    <w:rsid w:val="0002648C"/>
    <w:rsid w:val="00030CBB"/>
    <w:rsid w:val="00032097"/>
    <w:rsid w:val="00037CCE"/>
    <w:rsid w:val="0004129C"/>
    <w:rsid w:val="00043125"/>
    <w:rsid w:val="00051268"/>
    <w:rsid w:val="0007115A"/>
    <w:rsid w:val="00075EA9"/>
    <w:rsid w:val="00084FDF"/>
    <w:rsid w:val="00086AFC"/>
    <w:rsid w:val="0008782E"/>
    <w:rsid w:val="00091FAC"/>
    <w:rsid w:val="000973C8"/>
    <w:rsid w:val="000A1374"/>
    <w:rsid w:val="000A197F"/>
    <w:rsid w:val="000A1F65"/>
    <w:rsid w:val="000A24A7"/>
    <w:rsid w:val="000A26E0"/>
    <w:rsid w:val="000A2AA9"/>
    <w:rsid w:val="000A56F2"/>
    <w:rsid w:val="000A6E05"/>
    <w:rsid w:val="000B12FA"/>
    <w:rsid w:val="000C08BF"/>
    <w:rsid w:val="000C3B9A"/>
    <w:rsid w:val="000D21E4"/>
    <w:rsid w:val="000D25A8"/>
    <w:rsid w:val="000D6BA1"/>
    <w:rsid w:val="000E0A03"/>
    <w:rsid w:val="000E250F"/>
    <w:rsid w:val="000E270A"/>
    <w:rsid w:val="000E4B04"/>
    <w:rsid w:val="000E4C53"/>
    <w:rsid w:val="000F01BD"/>
    <w:rsid w:val="000F053A"/>
    <w:rsid w:val="000F1F96"/>
    <w:rsid w:val="000F48C6"/>
    <w:rsid w:val="000F5412"/>
    <w:rsid w:val="00121089"/>
    <w:rsid w:val="001266B3"/>
    <w:rsid w:val="00131FA6"/>
    <w:rsid w:val="001601E1"/>
    <w:rsid w:val="00166BBB"/>
    <w:rsid w:val="00173617"/>
    <w:rsid w:val="00173690"/>
    <w:rsid w:val="001754DF"/>
    <w:rsid w:val="00175C1D"/>
    <w:rsid w:val="00184A8F"/>
    <w:rsid w:val="001875A4"/>
    <w:rsid w:val="00196292"/>
    <w:rsid w:val="001966DC"/>
    <w:rsid w:val="001A216E"/>
    <w:rsid w:val="001A2553"/>
    <w:rsid w:val="001A3BA3"/>
    <w:rsid w:val="001A4CAE"/>
    <w:rsid w:val="001A5B6A"/>
    <w:rsid w:val="001C2714"/>
    <w:rsid w:val="001C363F"/>
    <w:rsid w:val="001C6FE9"/>
    <w:rsid w:val="001D083B"/>
    <w:rsid w:val="001D295B"/>
    <w:rsid w:val="001D48C1"/>
    <w:rsid w:val="001D57E6"/>
    <w:rsid w:val="001E0C82"/>
    <w:rsid w:val="001E2A62"/>
    <w:rsid w:val="001E2B5C"/>
    <w:rsid w:val="001F2819"/>
    <w:rsid w:val="002015ED"/>
    <w:rsid w:val="002043EC"/>
    <w:rsid w:val="00205ADC"/>
    <w:rsid w:val="00214785"/>
    <w:rsid w:val="00225008"/>
    <w:rsid w:val="002275F6"/>
    <w:rsid w:val="00227D43"/>
    <w:rsid w:val="002334DC"/>
    <w:rsid w:val="00243DC0"/>
    <w:rsid w:val="002443F1"/>
    <w:rsid w:val="00246CF0"/>
    <w:rsid w:val="00247477"/>
    <w:rsid w:val="002474B4"/>
    <w:rsid w:val="00261127"/>
    <w:rsid w:val="00270440"/>
    <w:rsid w:val="00277BF2"/>
    <w:rsid w:val="00280C0B"/>
    <w:rsid w:val="00284D8D"/>
    <w:rsid w:val="00287BC5"/>
    <w:rsid w:val="00293DEE"/>
    <w:rsid w:val="00293F39"/>
    <w:rsid w:val="002949C1"/>
    <w:rsid w:val="002A08B7"/>
    <w:rsid w:val="002A0B5D"/>
    <w:rsid w:val="002A2922"/>
    <w:rsid w:val="002A3C65"/>
    <w:rsid w:val="002A5825"/>
    <w:rsid w:val="002B0B3C"/>
    <w:rsid w:val="002C0035"/>
    <w:rsid w:val="002C115D"/>
    <w:rsid w:val="002C7FE9"/>
    <w:rsid w:val="002D0DC5"/>
    <w:rsid w:val="002D4DE1"/>
    <w:rsid w:val="002D4EFD"/>
    <w:rsid w:val="002E2556"/>
    <w:rsid w:val="002F2144"/>
    <w:rsid w:val="002F265A"/>
    <w:rsid w:val="002F4CAD"/>
    <w:rsid w:val="002F552F"/>
    <w:rsid w:val="002F682D"/>
    <w:rsid w:val="00302792"/>
    <w:rsid w:val="00312D1F"/>
    <w:rsid w:val="00315A97"/>
    <w:rsid w:val="00316071"/>
    <w:rsid w:val="00317B73"/>
    <w:rsid w:val="0032614B"/>
    <w:rsid w:val="0033036D"/>
    <w:rsid w:val="00331E11"/>
    <w:rsid w:val="00343E5C"/>
    <w:rsid w:val="00344FB8"/>
    <w:rsid w:val="003540B0"/>
    <w:rsid w:val="00356D1B"/>
    <w:rsid w:val="0036017B"/>
    <w:rsid w:val="00361223"/>
    <w:rsid w:val="0036249C"/>
    <w:rsid w:val="00362755"/>
    <w:rsid w:val="00364246"/>
    <w:rsid w:val="00373B93"/>
    <w:rsid w:val="00380CD1"/>
    <w:rsid w:val="00382ACE"/>
    <w:rsid w:val="00382C31"/>
    <w:rsid w:val="003A02CA"/>
    <w:rsid w:val="003A38F0"/>
    <w:rsid w:val="003A7535"/>
    <w:rsid w:val="003B481F"/>
    <w:rsid w:val="003C1572"/>
    <w:rsid w:val="003D309B"/>
    <w:rsid w:val="003D615E"/>
    <w:rsid w:val="003F069A"/>
    <w:rsid w:val="003F4329"/>
    <w:rsid w:val="00412534"/>
    <w:rsid w:val="00412C83"/>
    <w:rsid w:val="0041320D"/>
    <w:rsid w:val="00416BAF"/>
    <w:rsid w:val="004171AE"/>
    <w:rsid w:val="00417349"/>
    <w:rsid w:val="00424FCC"/>
    <w:rsid w:val="00426014"/>
    <w:rsid w:val="00426DF2"/>
    <w:rsid w:val="00431116"/>
    <w:rsid w:val="00433140"/>
    <w:rsid w:val="0044059F"/>
    <w:rsid w:val="00442A41"/>
    <w:rsid w:val="00444274"/>
    <w:rsid w:val="0044617E"/>
    <w:rsid w:val="00452ED7"/>
    <w:rsid w:val="004539A9"/>
    <w:rsid w:val="00454D0C"/>
    <w:rsid w:val="004569D2"/>
    <w:rsid w:val="0046078B"/>
    <w:rsid w:val="00460B7D"/>
    <w:rsid w:val="00462876"/>
    <w:rsid w:val="0046526A"/>
    <w:rsid w:val="0046615D"/>
    <w:rsid w:val="00470CFA"/>
    <w:rsid w:val="00474A7C"/>
    <w:rsid w:val="00480CB0"/>
    <w:rsid w:val="0048124E"/>
    <w:rsid w:val="00483603"/>
    <w:rsid w:val="00483CC6"/>
    <w:rsid w:val="0048667F"/>
    <w:rsid w:val="004912B4"/>
    <w:rsid w:val="0049714F"/>
    <w:rsid w:val="004A125B"/>
    <w:rsid w:val="004A1EAD"/>
    <w:rsid w:val="004A47BE"/>
    <w:rsid w:val="004B34EA"/>
    <w:rsid w:val="004B5494"/>
    <w:rsid w:val="004B73F1"/>
    <w:rsid w:val="004C146A"/>
    <w:rsid w:val="004C7A2B"/>
    <w:rsid w:val="004C7B3C"/>
    <w:rsid w:val="004C7D3A"/>
    <w:rsid w:val="004C7D88"/>
    <w:rsid w:val="004D037F"/>
    <w:rsid w:val="004D3783"/>
    <w:rsid w:val="004D4832"/>
    <w:rsid w:val="004D7701"/>
    <w:rsid w:val="004E16C9"/>
    <w:rsid w:val="004E65CA"/>
    <w:rsid w:val="004E7EB5"/>
    <w:rsid w:val="004F0E46"/>
    <w:rsid w:val="004F1898"/>
    <w:rsid w:val="004F607C"/>
    <w:rsid w:val="005018A8"/>
    <w:rsid w:val="00501B04"/>
    <w:rsid w:val="00502425"/>
    <w:rsid w:val="00505A39"/>
    <w:rsid w:val="005240BF"/>
    <w:rsid w:val="00526088"/>
    <w:rsid w:val="00526BCF"/>
    <w:rsid w:val="00527EED"/>
    <w:rsid w:val="0053360B"/>
    <w:rsid w:val="0054099E"/>
    <w:rsid w:val="00543673"/>
    <w:rsid w:val="0054427E"/>
    <w:rsid w:val="00546548"/>
    <w:rsid w:val="005573DE"/>
    <w:rsid w:val="00563E21"/>
    <w:rsid w:val="00564F1F"/>
    <w:rsid w:val="005718DF"/>
    <w:rsid w:val="00572D18"/>
    <w:rsid w:val="005767F8"/>
    <w:rsid w:val="00585390"/>
    <w:rsid w:val="00591911"/>
    <w:rsid w:val="005939A5"/>
    <w:rsid w:val="005A148C"/>
    <w:rsid w:val="005B4BCA"/>
    <w:rsid w:val="005C2A7F"/>
    <w:rsid w:val="005C58FA"/>
    <w:rsid w:val="005F0DAA"/>
    <w:rsid w:val="005F6D4C"/>
    <w:rsid w:val="00600ED9"/>
    <w:rsid w:val="00603238"/>
    <w:rsid w:val="00610D9F"/>
    <w:rsid w:val="006172CE"/>
    <w:rsid w:val="006224F4"/>
    <w:rsid w:val="00630510"/>
    <w:rsid w:val="00632207"/>
    <w:rsid w:val="0063491C"/>
    <w:rsid w:val="00636F94"/>
    <w:rsid w:val="00641A5C"/>
    <w:rsid w:val="00644643"/>
    <w:rsid w:val="00645401"/>
    <w:rsid w:val="00661AFE"/>
    <w:rsid w:val="00665462"/>
    <w:rsid w:val="0066729E"/>
    <w:rsid w:val="00674E59"/>
    <w:rsid w:val="00677C01"/>
    <w:rsid w:val="00680F19"/>
    <w:rsid w:val="00683B2C"/>
    <w:rsid w:val="00686A13"/>
    <w:rsid w:val="006946BA"/>
    <w:rsid w:val="006A3991"/>
    <w:rsid w:val="006A6A68"/>
    <w:rsid w:val="006B6614"/>
    <w:rsid w:val="006B6671"/>
    <w:rsid w:val="006C1F10"/>
    <w:rsid w:val="006C77AB"/>
    <w:rsid w:val="006D06F5"/>
    <w:rsid w:val="006D264D"/>
    <w:rsid w:val="006D75FD"/>
    <w:rsid w:val="006D7C65"/>
    <w:rsid w:val="006E0BF6"/>
    <w:rsid w:val="006E3E6D"/>
    <w:rsid w:val="006E5E28"/>
    <w:rsid w:val="006E6574"/>
    <w:rsid w:val="006F1A83"/>
    <w:rsid w:val="00701338"/>
    <w:rsid w:val="00714CF2"/>
    <w:rsid w:val="007156B9"/>
    <w:rsid w:val="00720817"/>
    <w:rsid w:val="00722850"/>
    <w:rsid w:val="00723B50"/>
    <w:rsid w:val="00730106"/>
    <w:rsid w:val="0073353F"/>
    <w:rsid w:val="00735A91"/>
    <w:rsid w:val="00742E45"/>
    <w:rsid w:val="00743670"/>
    <w:rsid w:val="007440C9"/>
    <w:rsid w:val="007447AF"/>
    <w:rsid w:val="00746E80"/>
    <w:rsid w:val="00750816"/>
    <w:rsid w:val="00757959"/>
    <w:rsid w:val="00763E9C"/>
    <w:rsid w:val="0076440F"/>
    <w:rsid w:val="0076556A"/>
    <w:rsid w:val="007657C1"/>
    <w:rsid w:val="00770A11"/>
    <w:rsid w:val="007722B9"/>
    <w:rsid w:val="00773B5D"/>
    <w:rsid w:val="0077597E"/>
    <w:rsid w:val="0077755F"/>
    <w:rsid w:val="00795501"/>
    <w:rsid w:val="00797246"/>
    <w:rsid w:val="007A406D"/>
    <w:rsid w:val="007A4BD3"/>
    <w:rsid w:val="007A4F99"/>
    <w:rsid w:val="007A62B0"/>
    <w:rsid w:val="007B3424"/>
    <w:rsid w:val="007C42C8"/>
    <w:rsid w:val="007C511C"/>
    <w:rsid w:val="007C5A0C"/>
    <w:rsid w:val="007D3746"/>
    <w:rsid w:val="007D6BA9"/>
    <w:rsid w:val="007E0FEE"/>
    <w:rsid w:val="007E2D5D"/>
    <w:rsid w:val="007E324A"/>
    <w:rsid w:val="007E3636"/>
    <w:rsid w:val="007E5C50"/>
    <w:rsid w:val="007F2017"/>
    <w:rsid w:val="00802A33"/>
    <w:rsid w:val="0080390E"/>
    <w:rsid w:val="00810E3B"/>
    <w:rsid w:val="00813842"/>
    <w:rsid w:val="00813CBC"/>
    <w:rsid w:val="008159CF"/>
    <w:rsid w:val="00816E05"/>
    <w:rsid w:val="00817CB4"/>
    <w:rsid w:val="00830FAD"/>
    <w:rsid w:val="008339BB"/>
    <w:rsid w:val="00835E9A"/>
    <w:rsid w:val="008533B3"/>
    <w:rsid w:val="008554F6"/>
    <w:rsid w:val="008601AC"/>
    <w:rsid w:val="0086419A"/>
    <w:rsid w:val="0086767E"/>
    <w:rsid w:val="0087023B"/>
    <w:rsid w:val="00870F3E"/>
    <w:rsid w:val="00871045"/>
    <w:rsid w:val="008734B7"/>
    <w:rsid w:val="008777BF"/>
    <w:rsid w:val="008933E5"/>
    <w:rsid w:val="00893BDF"/>
    <w:rsid w:val="008971F0"/>
    <w:rsid w:val="008A008B"/>
    <w:rsid w:val="008A08BF"/>
    <w:rsid w:val="008A179F"/>
    <w:rsid w:val="008B0864"/>
    <w:rsid w:val="008B175A"/>
    <w:rsid w:val="008C3CB7"/>
    <w:rsid w:val="008C51EB"/>
    <w:rsid w:val="008C7413"/>
    <w:rsid w:val="008D16B7"/>
    <w:rsid w:val="008D5C7C"/>
    <w:rsid w:val="008E09D9"/>
    <w:rsid w:val="008E598A"/>
    <w:rsid w:val="008E6935"/>
    <w:rsid w:val="008E6AE6"/>
    <w:rsid w:val="008F0116"/>
    <w:rsid w:val="008F143D"/>
    <w:rsid w:val="00906534"/>
    <w:rsid w:val="00913A93"/>
    <w:rsid w:val="00920CA4"/>
    <w:rsid w:val="00932865"/>
    <w:rsid w:val="00934BA9"/>
    <w:rsid w:val="00943C65"/>
    <w:rsid w:val="00943EA4"/>
    <w:rsid w:val="0094491A"/>
    <w:rsid w:val="00951142"/>
    <w:rsid w:val="009606A9"/>
    <w:rsid w:val="00960753"/>
    <w:rsid w:val="009639F8"/>
    <w:rsid w:val="0098138E"/>
    <w:rsid w:val="0098655A"/>
    <w:rsid w:val="0099263D"/>
    <w:rsid w:val="009A6E36"/>
    <w:rsid w:val="009B04C0"/>
    <w:rsid w:val="009B1E3E"/>
    <w:rsid w:val="009B64C2"/>
    <w:rsid w:val="009B72C7"/>
    <w:rsid w:val="009B7ECC"/>
    <w:rsid w:val="009C6C26"/>
    <w:rsid w:val="009D02A3"/>
    <w:rsid w:val="009D2587"/>
    <w:rsid w:val="009E2D97"/>
    <w:rsid w:val="009E6052"/>
    <w:rsid w:val="009E7C7F"/>
    <w:rsid w:val="009F11DC"/>
    <w:rsid w:val="009F606F"/>
    <w:rsid w:val="009F6917"/>
    <w:rsid w:val="00A048C8"/>
    <w:rsid w:val="00A17CE0"/>
    <w:rsid w:val="00A23D48"/>
    <w:rsid w:val="00A245F9"/>
    <w:rsid w:val="00A316EF"/>
    <w:rsid w:val="00A373F2"/>
    <w:rsid w:val="00A37C88"/>
    <w:rsid w:val="00A40873"/>
    <w:rsid w:val="00A42306"/>
    <w:rsid w:val="00A44E8D"/>
    <w:rsid w:val="00A46EA8"/>
    <w:rsid w:val="00A50EE2"/>
    <w:rsid w:val="00A55ACD"/>
    <w:rsid w:val="00A67F62"/>
    <w:rsid w:val="00A72BDA"/>
    <w:rsid w:val="00A853F9"/>
    <w:rsid w:val="00A85D27"/>
    <w:rsid w:val="00A94077"/>
    <w:rsid w:val="00AA6058"/>
    <w:rsid w:val="00AB26D0"/>
    <w:rsid w:val="00AB3ABD"/>
    <w:rsid w:val="00AB7875"/>
    <w:rsid w:val="00AC09F2"/>
    <w:rsid w:val="00AC3342"/>
    <w:rsid w:val="00AC68EE"/>
    <w:rsid w:val="00AD670F"/>
    <w:rsid w:val="00AD6D3A"/>
    <w:rsid w:val="00AD6FAE"/>
    <w:rsid w:val="00AE18CA"/>
    <w:rsid w:val="00AE1AD8"/>
    <w:rsid w:val="00AE6C6C"/>
    <w:rsid w:val="00AE7D22"/>
    <w:rsid w:val="00AF0AB6"/>
    <w:rsid w:val="00AF5EE4"/>
    <w:rsid w:val="00AF707F"/>
    <w:rsid w:val="00B01F7E"/>
    <w:rsid w:val="00B04E08"/>
    <w:rsid w:val="00B10F22"/>
    <w:rsid w:val="00B14158"/>
    <w:rsid w:val="00B16C2A"/>
    <w:rsid w:val="00B17074"/>
    <w:rsid w:val="00B3087D"/>
    <w:rsid w:val="00B31AE0"/>
    <w:rsid w:val="00B332F2"/>
    <w:rsid w:val="00B34794"/>
    <w:rsid w:val="00B355DF"/>
    <w:rsid w:val="00B454BD"/>
    <w:rsid w:val="00B56F15"/>
    <w:rsid w:val="00B60421"/>
    <w:rsid w:val="00B624B9"/>
    <w:rsid w:val="00B64520"/>
    <w:rsid w:val="00B65265"/>
    <w:rsid w:val="00B67333"/>
    <w:rsid w:val="00B71B57"/>
    <w:rsid w:val="00B73FE2"/>
    <w:rsid w:val="00B76AB4"/>
    <w:rsid w:val="00B81EB6"/>
    <w:rsid w:val="00B860EA"/>
    <w:rsid w:val="00B9674A"/>
    <w:rsid w:val="00BA61A8"/>
    <w:rsid w:val="00BA7700"/>
    <w:rsid w:val="00BB0243"/>
    <w:rsid w:val="00BB1365"/>
    <w:rsid w:val="00BB29B6"/>
    <w:rsid w:val="00BB5267"/>
    <w:rsid w:val="00BB6F49"/>
    <w:rsid w:val="00BB76EC"/>
    <w:rsid w:val="00BD0CB5"/>
    <w:rsid w:val="00BD3CE4"/>
    <w:rsid w:val="00BD417D"/>
    <w:rsid w:val="00BE455A"/>
    <w:rsid w:val="00BE54CA"/>
    <w:rsid w:val="00BE561E"/>
    <w:rsid w:val="00C00C5B"/>
    <w:rsid w:val="00C0487D"/>
    <w:rsid w:val="00C04B9F"/>
    <w:rsid w:val="00C10B5F"/>
    <w:rsid w:val="00C14D36"/>
    <w:rsid w:val="00C30049"/>
    <w:rsid w:val="00C32713"/>
    <w:rsid w:val="00C36371"/>
    <w:rsid w:val="00C439FE"/>
    <w:rsid w:val="00C469FD"/>
    <w:rsid w:val="00C4769D"/>
    <w:rsid w:val="00C50F37"/>
    <w:rsid w:val="00C54170"/>
    <w:rsid w:val="00C7069E"/>
    <w:rsid w:val="00C80191"/>
    <w:rsid w:val="00C878D5"/>
    <w:rsid w:val="00C9033B"/>
    <w:rsid w:val="00C913A1"/>
    <w:rsid w:val="00C956CD"/>
    <w:rsid w:val="00CA1725"/>
    <w:rsid w:val="00CB1F42"/>
    <w:rsid w:val="00CB4DCA"/>
    <w:rsid w:val="00CC69BC"/>
    <w:rsid w:val="00CC6A99"/>
    <w:rsid w:val="00CD236B"/>
    <w:rsid w:val="00CD2D1E"/>
    <w:rsid w:val="00CD4895"/>
    <w:rsid w:val="00CF6239"/>
    <w:rsid w:val="00D00AA3"/>
    <w:rsid w:val="00D01202"/>
    <w:rsid w:val="00D02B58"/>
    <w:rsid w:val="00D0504E"/>
    <w:rsid w:val="00D053D9"/>
    <w:rsid w:val="00D07F73"/>
    <w:rsid w:val="00D14844"/>
    <w:rsid w:val="00D2041C"/>
    <w:rsid w:val="00D25ADE"/>
    <w:rsid w:val="00D27BA8"/>
    <w:rsid w:val="00D3208F"/>
    <w:rsid w:val="00D32ECB"/>
    <w:rsid w:val="00D33B46"/>
    <w:rsid w:val="00D43297"/>
    <w:rsid w:val="00D44DB6"/>
    <w:rsid w:val="00D50119"/>
    <w:rsid w:val="00D571BE"/>
    <w:rsid w:val="00D62285"/>
    <w:rsid w:val="00D6300D"/>
    <w:rsid w:val="00D661A5"/>
    <w:rsid w:val="00D74CCC"/>
    <w:rsid w:val="00D7577A"/>
    <w:rsid w:val="00D82A43"/>
    <w:rsid w:val="00D87C08"/>
    <w:rsid w:val="00DA6EDA"/>
    <w:rsid w:val="00DA7B5D"/>
    <w:rsid w:val="00DC0A8D"/>
    <w:rsid w:val="00DC6FB4"/>
    <w:rsid w:val="00DD3886"/>
    <w:rsid w:val="00DF10DF"/>
    <w:rsid w:val="00DF2F33"/>
    <w:rsid w:val="00DF4D2B"/>
    <w:rsid w:val="00DF58E7"/>
    <w:rsid w:val="00DF5E84"/>
    <w:rsid w:val="00DF6C8B"/>
    <w:rsid w:val="00E00705"/>
    <w:rsid w:val="00E11876"/>
    <w:rsid w:val="00E23CBB"/>
    <w:rsid w:val="00E24887"/>
    <w:rsid w:val="00E24A20"/>
    <w:rsid w:val="00E271BB"/>
    <w:rsid w:val="00E37B59"/>
    <w:rsid w:val="00E47FF5"/>
    <w:rsid w:val="00E500BB"/>
    <w:rsid w:val="00E501CB"/>
    <w:rsid w:val="00E53438"/>
    <w:rsid w:val="00E64F55"/>
    <w:rsid w:val="00E65561"/>
    <w:rsid w:val="00E725FC"/>
    <w:rsid w:val="00E75AF9"/>
    <w:rsid w:val="00EA36C6"/>
    <w:rsid w:val="00EA4270"/>
    <w:rsid w:val="00EB3E01"/>
    <w:rsid w:val="00EC30F9"/>
    <w:rsid w:val="00ED1135"/>
    <w:rsid w:val="00ED5725"/>
    <w:rsid w:val="00ED5F98"/>
    <w:rsid w:val="00ED7031"/>
    <w:rsid w:val="00EE1CF7"/>
    <w:rsid w:val="00EE3060"/>
    <w:rsid w:val="00EE4315"/>
    <w:rsid w:val="00EF2B51"/>
    <w:rsid w:val="00EF6925"/>
    <w:rsid w:val="00EF6ABD"/>
    <w:rsid w:val="00F11364"/>
    <w:rsid w:val="00F12118"/>
    <w:rsid w:val="00F12847"/>
    <w:rsid w:val="00F15DBA"/>
    <w:rsid w:val="00F164CC"/>
    <w:rsid w:val="00F22EAA"/>
    <w:rsid w:val="00F233DE"/>
    <w:rsid w:val="00F25230"/>
    <w:rsid w:val="00F26ED3"/>
    <w:rsid w:val="00F41461"/>
    <w:rsid w:val="00F4753B"/>
    <w:rsid w:val="00F51087"/>
    <w:rsid w:val="00F5183E"/>
    <w:rsid w:val="00F5578A"/>
    <w:rsid w:val="00F60BD8"/>
    <w:rsid w:val="00F62B7A"/>
    <w:rsid w:val="00F6397D"/>
    <w:rsid w:val="00F657A0"/>
    <w:rsid w:val="00F7293E"/>
    <w:rsid w:val="00F76650"/>
    <w:rsid w:val="00F76752"/>
    <w:rsid w:val="00F81124"/>
    <w:rsid w:val="00F846F7"/>
    <w:rsid w:val="00F9187B"/>
    <w:rsid w:val="00F92385"/>
    <w:rsid w:val="00FA1379"/>
    <w:rsid w:val="00FA1B4F"/>
    <w:rsid w:val="00FA2ADE"/>
    <w:rsid w:val="00FA41FA"/>
    <w:rsid w:val="00FA4925"/>
    <w:rsid w:val="00FA7FF7"/>
    <w:rsid w:val="00FC30A8"/>
    <w:rsid w:val="00FC4498"/>
    <w:rsid w:val="00FC47F9"/>
    <w:rsid w:val="00FE2349"/>
    <w:rsid w:val="00FE2351"/>
    <w:rsid w:val="00FE337D"/>
    <w:rsid w:val="00FE5580"/>
    <w:rsid w:val="00FF110C"/>
    <w:rsid w:val="00FF5654"/>
    <w:rsid w:val="00FF6118"/>
    <w:rsid w:val="0ACCBDE0"/>
    <w:rsid w:val="1EBF9ABC"/>
    <w:rsid w:val="48BE737E"/>
    <w:rsid w:val="519743A6"/>
    <w:rsid w:val="534FD343"/>
    <w:rsid w:val="59E11A4D"/>
    <w:rsid w:val="6BCF6674"/>
    <w:rsid w:val="6E00C7D3"/>
    <w:rsid w:val="74B0B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3654C"/>
  <w15:chartTrackingRefBased/>
  <w15:docId w15:val="{15189F07-8CF6-43DD-BA91-400DF374336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customStyle="1" w:styleId="xstandard">
    <w:name w:val="x_standard"/>
    <w:basedOn w:val="Normal"/>
    <w:rsid w:val="00817CB4"/>
    <w:rPr>
      <w:rFonts w:cs="Calibri"/>
      <w:szCs w:val="26"/>
    </w:rPr>
  </w:style>
  <w:style w:type="character" w:styleId="CommentReference">
    <w:name w:val="annotation reference"/>
    <w:basedOn w:val="DefaultParagraphFont"/>
    <w:uiPriority w:val="99"/>
    <w:semiHidden/>
    <w:unhideWhenUsed/>
    <w:rsid w:val="00AB26D0"/>
    <w:rPr>
      <w:sz w:val="16"/>
      <w:szCs w:val="16"/>
    </w:rPr>
  </w:style>
  <w:style w:type="paragraph" w:styleId="CommentText">
    <w:name w:val="annotation text"/>
    <w:basedOn w:val="Normal"/>
    <w:link w:val="CommentTextChar"/>
    <w:uiPriority w:val="99"/>
    <w:unhideWhenUsed/>
    <w:rsid w:val="00AB26D0"/>
    <w:pPr>
      <w:spacing w:line="240" w:lineRule="auto"/>
    </w:pPr>
    <w:rPr>
      <w:sz w:val="20"/>
      <w:szCs w:val="20"/>
    </w:rPr>
  </w:style>
  <w:style w:type="character" w:customStyle="1" w:styleId="CommentTextChar">
    <w:name w:val="Comment Text Char"/>
    <w:basedOn w:val="DefaultParagraphFont"/>
    <w:link w:val="CommentText"/>
    <w:uiPriority w:val="99"/>
    <w:rsid w:val="00AB26D0"/>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AB26D0"/>
    <w:rPr>
      <w:b/>
      <w:bCs/>
    </w:rPr>
  </w:style>
  <w:style w:type="character" w:customStyle="1" w:styleId="CommentSubjectChar">
    <w:name w:val="Comment Subject Char"/>
    <w:basedOn w:val="CommentTextChar"/>
    <w:link w:val="CommentSubject"/>
    <w:uiPriority w:val="99"/>
    <w:semiHidden/>
    <w:rsid w:val="00AB26D0"/>
    <w:rPr>
      <w:rFonts w:ascii="Book Antiqua" w:hAnsi="Book Antiqua"/>
      <w:b/>
      <w:bCs/>
      <w:sz w:val="20"/>
      <w:szCs w:val="20"/>
    </w:rPr>
  </w:style>
  <w:style w:type="paragraph" w:styleId="Revision">
    <w:name w:val="Revision"/>
    <w:hidden/>
    <w:uiPriority w:val="99"/>
    <w:semiHidden/>
    <w:rsid w:val="00037CCE"/>
    <w:pPr>
      <w:spacing w:after="0" w:line="240" w:lineRule="auto"/>
    </w:pPr>
    <w:rPr>
      <w:rFonts w:ascii="Book Antiqua" w:hAnsi="Book Antiqu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584c501-4907-45a6-a5fc-3e0757d7aab9">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E8E1FD-4956-4D51-9C6B-3D435D80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3.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4.xml><?xml version="1.0" encoding="utf-8"?>
<ds:datastoreItem xmlns:ds="http://schemas.openxmlformats.org/officeDocument/2006/customXml" ds:itemID="{B930DE7C-9577-4EA8-AC89-8E2B6CC952C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10</ap:Pages>
  <ap:Words>2140</ap:Words>
  <ap:Characters>12203</ap:Characters>
  <ap:Application>Microsoft Office Word</ap:Application>
  <ap:DocSecurity>0</ap:DocSecurity>
  <ap:Lines>101</ap:Lines>
  <ap:Paragraphs>28</ap:Paragraphs>
  <ap:ScaleCrop>false</ap:ScaleCrop>
  <ap:Company/>
  <ap:LinksUpToDate>false</ap:LinksUpToDate>
  <ap:CharactersWithSpaces>14315</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2026-05-11T21:18:00Z</cp:lastPrinted>
  <dcterms:created xsi:type="dcterms:W3CDTF">2026-07-30T08:24:56Z</dcterms:created>
  <dcterms:modified xsi:type="dcterms:W3CDTF">2026-07-30T08:24:56Z</dcterms:modified>
</cp:coreProperties>
</file>