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4315" w:rsidR="008D5744" w:rsidP="00CB6076" w:rsidRDefault="00EF07E0" w14:paraId="52588B39" w14:textId="634CDB9C">
      <w:pPr>
        <w:tabs>
          <w:tab w:val="right" w:pos="9360"/>
        </w:tabs>
        <w:spacing w:line="240" w:lineRule="auto"/>
        <w:ind w:firstLine="0"/>
        <w:rPr>
          <w:b/>
        </w:rPr>
      </w:pPr>
      <w:r>
        <w:t>COM</w:t>
      </w:r>
      <w:r w:rsidR="00B82089">
        <w:t>/JR5/nd3</w:t>
      </w:r>
      <w:r w:rsidRPr="00B82089" w:rsidR="007E0FEE">
        <w:tab/>
      </w:r>
      <w:r w:rsidRPr="005E7EC2" w:rsidR="005E7EC2">
        <w:rPr>
          <w:b/>
          <w:bCs/>
        </w:rPr>
        <w:t>Date of Issuance 5/15/2026</w:t>
      </w:r>
    </w:p>
    <w:p w:rsidR="00DA7B5D" w:rsidP="00ED36CC" w:rsidRDefault="00DA7B5D" w14:paraId="42B8C3EC" w14:textId="77777777">
      <w:pPr>
        <w:spacing w:line="240" w:lineRule="auto"/>
        <w:ind w:firstLine="0"/>
      </w:pPr>
    </w:p>
    <w:p w:rsidR="00A13262" w:rsidP="00ED36CC" w:rsidRDefault="00A13262" w14:paraId="520FD92C" w14:textId="77777777">
      <w:pPr>
        <w:spacing w:line="240" w:lineRule="auto"/>
        <w:ind w:firstLine="0"/>
      </w:pPr>
    </w:p>
    <w:p w:rsidR="00DA7B5D" w:rsidP="00190D79" w:rsidRDefault="00DA7B5D" w14:paraId="4541153E" w14:textId="5B2FE701">
      <w:pPr>
        <w:spacing w:line="240" w:lineRule="auto"/>
        <w:ind w:left="1051" w:hanging="1051"/>
      </w:pPr>
      <w:r>
        <w:t xml:space="preserve">Decision </w:t>
      </w:r>
      <w:r w:rsidRPr="00F773BF" w:rsidR="005E7EC2">
        <w:t>26-05-007</w:t>
      </w:r>
      <w:r w:rsidR="005E7EC2">
        <w:t xml:space="preserve">  May 14, 2026</w:t>
      </w:r>
    </w:p>
    <w:p w:rsidR="00A13262" w:rsidP="00ED36CC" w:rsidRDefault="00A13262" w14:paraId="48B46060" w14:textId="77777777">
      <w:pPr>
        <w:spacing w:line="240" w:lineRule="auto"/>
        <w:ind w:firstLine="0"/>
      </w:pPr>
    </w:p>
    <w:p w:rsidRPr="00EE3060" w:rsidR="00A13262" w:rsidP="00ED36CC" w:rsidRDefault="00A13262" w14:paraId="5D3B43C2" w14:textId="77777777">
      <w:pPr>
        <w:spacing w:line="240" w:lineRule="auto"/>
        <w:ind w:firstLine="0"/>
      </w:pPr>
    </w:p>
    <w:p w:rsidR="00DA7B5D" w:rsidP="00ED36CC" w:rsidRDefault="00DA7B5D" w14:paraId="52D3558F"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ED36CC" w:rsidRDefault="00DA7B5D" w14:paraId="10863EAC"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837A93" w14:paraId="523352C1" w14:textId="77777777">
        <w:trPr>
          <w:jc w:val="center"/>
        </w:trPr>
        <w:tc>
          <w:tcPr>
            <w:tcW w:w="4680" w:type="dxa"/>
            <w:tcBorders>
              <w:top w:val="nil"/>
              <w:left w:val="nil"/>
              <w:bottom w:val="single" w:color="auto" w:sz="4" w:space="0"/>
              <w:right w:val="single" w:color="auto" w:sz="4" w:space="0"/>
            </w:tcBorders>
          </w:tcPr>
          <w:p w:rsidR="00DA7B5D" w:rsidP="00ED36CC" w:rsidRDefault="00E61012" w14:paraId="1CC7245B" w14:textId="77777777">
            <w:pPr>
              <w:spacing w:line="240" w:lineRule="auto"/>
              <w:ind w:firstLine="0"/>
              <w:rPr>
                <w:rFonts w:cs="Arial"/>
                <w:szCs w:val="26"/>
              </w:rPr>
            </w:pPr>
            <w:r w:rsidRPr="00E61012">
              <w:rPr>
                <w:rFonts w:cs="Arial"/>
                <w:szCs w:val="26"/>
              </w:rPr>
              <w:t>Order Instituting Investigation into the Creation of a Shared Database or Statewide Census of Utility Poles and Conduit in California.</w:t>
            </w:r>
          </w:p>
          <w:p w:rsidRPr="00DA7B5D" w:rsidR="00E61012" w:rsidP="00ED36CC" w:rsidRDefault="00E61012" w14:paraId="091EF94C" w14:textId="1026F508">
            <w:pPr>
              <w:spacing w:line="240" w:lineRule="auto"/>
              <w:ind w:firstLine="0"/>
              <w:rPr>
                <w:rFonts w:cs="Arial"/>
                <w:szCs w:val="26"/>
              </w:rPr>
            </w:pPr>
          </w:p>
        </w:tc>
        <w:tc>
          <w:tcPr>
            <w:tcW w:w="4680" w:type="dxa"/>
            <w:tcBorders>
              <w:top w:val="nil"/>
              <w:left w:val="single" w:color="auto" w:sz="4" w:space="0"/>
              <w:bottom w:val="nil"/>
              <w:right w:val="nil"/>
            </w:tcBorders>
            <w:vAlign w:val="center"/>
          </w:tcPr>
          <w:p w:rsidRPr="00DA7B5D" w:rsidR="00871796" w:rsidP="00ED36CC" w:rsidRDefault="00871796" w14:paraId="044E7D8E" w14:textId="3BFAE5E9">
            <w:pPr>
              <w:spacing w:line="240" w:lineRule="auto"/>
              <w:ind w:firstLine="0"/>
              <w:jc w:val="center"/>
              <w:rPr>
                <w:rFonts w:cs="Arial"/>
                <w:szCs w:val="26"/>
              </w:rPr>
            </w:pPr>
            <w:r>
              <w:rPr>
                <w:rFonts w:cs="Arial"/>
                <w:szCs w:val="26"/>
              </w:rPr>
              <w:t>Investigation 17</w:t>
            </w:r>
            <w:r w:rsidR="00E4753D">
              <w:rPr>
                <w:rFonts w:cs="Arial"/>
                <w:szCs w:val="26"/>
              </w:rPr>
              <w:noBreakHyphen/>
            </w:r>
            <w:r>
              <w:rPr>
                <w:rFonts w:cs="Arial"/>
                <w:szCs w:val="26"/>
              </w:rPr>
              <w:t>06</w:t>
            </w:r>
            <w:r w:rsidR="00E4753D">
              <w:rPr>
                <w:rFonts w:cs="Arial"/>
                <w:szCs w:val="26"/>
              </w:rPr>
              <w:noBreakHyphen/>
            </w:r>
            <w:r>
              <w:rPr>
                <w:rFonts w:cs="Arial"/>
                <w:szCs w:val="26"/>
              </w:rPr>
              <w:t>027</w:t>
            </w:r>
          </w:p>
        </w:tc>
      </w:tr>
      <w:tr w:rsidR="00E61012" w:rsidTr="00837A93" w14:paraId="1363A787" w14:textId="77777777">
        <w:trPr>
          <w:jc w:val="center"/>
        </w:trPr>
        <w:tc>
          <w:tcPr>
            <w:tcW w:w="4680" w:type="dxa"/>
            <w:tcBorders>
              <w:top w:val="single" w:color="auto" w:sz="4" w:space="0"/>
              <w:left w:val="nil"/>
              <w:bottom w:val="single" w:color="auto" w:sz="4" w:space="0"/>
              <w:right w:val="single" w:color="auto" w:sz="4" w:space="0"/>
            </w:tcBorders>
          </w:tcPr>
          <w:p w:rsidR="00E61012" w:rsidP="00ED36CC" w:rsidRDefault="00E61012" w14:paraId="0E764F40" w14:textId="77777777">
            <w:pPr>
              <w:spacing w:line="240" w:lineRule="auto"/>
              <w:ind w:firstLine="0"/>
              <w:rPr>
                <w:rFonts w:cs="Arial"/>
                <w:szCs w:val="26"/>
              </w:rPr>
            </w:pPr>
          </w:p>
          <w:p w:rsidR="00E61012" w:rsidP="00ED36CC" w:rsidRDefault="00E61012" w14:paraId="639D2F73" w14:textId="20323FFF">
            <w:pPr>
              <w:spacing w:line="240" w:lineRule="auto"/>
              <w:ind w:firstLine="0"/>
              <w:rPr>
                <w:rFonts w:cs="Arial"/>
                <w:szCs w:val="26"/>
              </w:rPr>
            </w:pPr>
            <w:r>
              <w:rPr>
                <w:rFonts w:cs="Arial"/>
                <w:szCs w:val="26"/>
              </w:rPr>
              <w:t>And Related Matter.</w:t>
            </w:r>
          </w:p>
          <w:p w:rsidRPr="00E61012" w:rsidR="00E61012" w:rsidP="00ED36CC" w:rsidRDefault="00E61012" w14:paraId="3EACCE91" w14:textId="58AD6130">
            <w:pPr>
              <w:spacing w:line="240" w:lineRule="auto"/>
              <w:ind w:firstLine="0"/>
              <w:rPr>
                <w:rFonts w:cs="Arial"/>
                <w:szCs w:val="26"/>
              </w:rPr>
            </w:pPr>
          </w:p>
        </w:tc>
        <w:tc>
          <w:tcPr>
            <w:tcW w:w="4680" w:type="dxa"/>
            <w:tcBorders>
              <w:top w:val="nil"/>
              <w:left w:val="single" w:color="auto" w:sz="4" w:space="0"/>
              <w:bottom w:val="nil"/>
              <w:right w:val="nil"/>
            </w:tcBorders>
            <w:vAlign w:val="center"/>
          </w:tcPr>
          <w:p w:rsidR="00E61012" w:rsidP="00ED36CC" w:rsidRDefault="00E61012" w14:paraId="067D63A0" w14:textId="3D4A2BD5">
            <w:pPr>
              <w:spacing w:line="240" w:lineRule="auto"/>
              <w:ind w:firstLine="0"/>
              <w:jc w:val="center"/>
              <w:rPr>
                <w:rFonts w:cs="Arial"/>
                <w:szCs w:val="26"/>
              </w:rPr>
            </w:pPr>
            <w:r>
              <w:rPr>
                <w:rFonts w:cs="Arial"/>
                <w:szCs w:val="26"/>
              </w:rPr>
              <w:t>Rulemaking 17</w:t>
            </w:r>
            <w:r w:rsidR="00E4753D">
              <w:rPr>
                <w:rFonts w:cs="Arial"/>
                <w:szCs w:val="26"/>
              </w:rPr>
              <w:noBreakHyphen/>
            </w:r>
            <w:r>
              <w:rPr>
                <w:rFonts w:cs="Arial"/>
                <w:szCs w:val="26"/>
              </w:rPr>
              <w:t>06</w:t>
            </w:r>
            <w:r w:rsidR="00E4753D">
              <w:rPr>
                <w:rFonts w:cs="Arial"/>
                <w:szCs w:val="26"/>
              </w:rPr>
              <w:noBreakHyphen/>
            </w:r>
            <w:r>
              <w:rPr>
                <w:rFonts w:cs="Arial"/>
                <w:szCs w:val="26"/>
              </w:rPr>
              <w:t>028</w:t>
            </w:r>
          </w:p>
        </w:tc>
      </w:tr>
    </w:tbl>
    <w:p w:rsidR="00DA7B5D" w:rsidP="00ED36CC" w:rsidRDefault="00DA7B5D" w14:paraId="15FA895D" w14:textId="77777777">
      <w:pPr>
        <w:spacing w:line="240" w:lineRule="auto"/>
        <w:ind w:firstLine="0"/>
        <w:rPr>
          <w:rFonts w:ascii="Arial" w:hAnsi="Arial" w:cs="Arial"/>
          <w:sz w:val="24"/>
          <w:szCs w:val="24"/>
        </w:rPr>
      </w:pPr>
    </w:p>
    <w:p w:rsidR="00DA7B5D" w:rsidP="00ED36CC" w:rsidRDefault="00DA7B5D" w14:paraId="477460B1" w14:textId="77777777">
      <w:pPr>
        <w:spacing w:line="240" w:lineRule="auto"/>
        <w:ind w:firstLine="0"/>
        <w:rPr>
          <w:rFonts w:ascii="Arial" w:hAnsi="Arial" w:cs="Arial"/>
          <w:sz w:val="24"/>
          <w:szCs w:val="24"/>
        </w:rPr>
      </w:pPr>
    </w:p>
    <w:p w:rsidR="000F7336" w:rsidP="00ED36CC" w:rsidRDefault="003F4911" w14:paraId="51A42C06" w14:textId="1651BF26">
      <w:pPr>
        <w:pStyle w:val="Dummy"/>
        <w:keepLines w:val="0"/>
        <w:jc w:val="center"/>
      </w:pPr>
      <w:r>
        <w:fldChar w:fldCharType="begin"/>
      </w:r>
      <w:r>
        <w:instrText xml:space="preserve"> REF Title \h  \* MERGEFORMAT </w:instrText>
      </w:r>
      <w:r>
        <w:fldChar w:fldCharType="separate"/>
      </w:r>
      <w:bookmarkStart w:name="_Toc229726737" w:id="0"/>
      <w:r w:rsidR="00866B58">
        <w:t>DECISION ADOPTING REVISED RIGHTS</w:t>
      </w:r>
      <w:r w:rsidR="00866B58">
        <w:noBreakHyphen/>
        <w:t>OF</w:t>
      </w:r>
      <w:r w:rsidR="00866B58">
        <w:noBreakHyphen/>
        <w:t>WAY RULES AND RESOLVING</w:t>
      </w:r>
      <w:r w:rsidR="00866B58">
        <w:br/>
        <w:t>PETITION FOR MODIFICATION OF DECISION (D.) 21</w:t>
      </w:r>
      <w:r w:rsidR="00866B58">
        <w:noBreakHyphen/>
        <w:t>10</w:t>
      </w:r>
      <w:r w:rsidR="00866B58">
        <w:noBreakHyphen/>
        <w:t>019</w:t>
      </w:r>
      <w:r w:rsidR="00866B58">
        <w:br/>
        <w:t>AND PETITION FOR MODIFICATION OF D.22</w:t>
      </w:r>
      <w:r w:rsidR="00866B58">
        <w:noBreakHyphen/>
        <w:t>10</w:t>
      </w:r>
      <w:r w:rsidR="00866B58">
        <w:noBreakHyphen/>
        <w:t>025</w:t>
      </w:r>
      <w:bookmarkEnd w:id="0"/>
      <w:r>
        <w:fldChar w:fldCharType="end"/>
      </w:r>
    </w:p>
    <w:p w:rsidR="0096619A" w:rsidP="00ED36CC" w:rsidRDefault="0096619A" w14:paraId="3E91DAD8" w14:textId="77777777">
      <w:pPr>
        <w:ind w:firstLine="0"/>
      </w:pPr>
    </w:p>
    <w:p w:rsidRPr="0096619A" w:rsidR="0096619A" w:rsidP="00ED36CC" w:rsidRDefault="0096619A" w14:paraId="56AE5113" w14:textId="00361D96">
      <w:pPr>
        <w:sectPr w:rsidRPr="0096619A" w:rsidR="0096619A" w:rsidSect="008054EA">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p w:rsidRPr="001E2A62" w:rsidR="00D50119" w:rsidP="00ED36CC" w:rsidRDefault="00D50119" w14:paraId="78691985" w14:textId="77777777">
      <w:pPr>
        <w:pStyle w:val="TOCHeading"/>
      </w:pPr>
      <w:r w:rsidRPr="001E2A62">
        <w:lastRenderedPageBreak/>
        <w:t>TABLE OF CONTENTS</w:t>
      </w:r>
    </w:p>
    <w:p w:rsidRPr="00D50119" w:rsidR="00D50119" w:rsidP="00ED36CC" w:rsidRDefault="00D50119" w14:paraId="7304F86D" w14:textId="77777777">
      <w:pPr>
        <w:tabs>
          <w:tab w:val="right" w:pos="9360"/>
        </w:tabs>
        <w:spacing w:line="240" w:lineRule="auto"/>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866B58" w:rsidP="00866B58" w:rsidRDefault="00770780" w14:paraId="2ED29729" w14:textId="49243E40">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"1-3" \h \z \u </w:instrText>
          </w:r>
          <w:r>
            <w:rPr>
              <w:rFonts w:asciiTheme="minorHAnsi" w:hAnsiTheme="minorHAnsi"/>
              <w:sz w:val="22"/>
            </w:rPr>
            <w:fldChar w:fldCharType="separate"/>
          </w:r>
          <w:hyperlink w:history="1" w:anchor="_Toc229726737">
            <w:r w:rsidRPr="00631D78" w:rsidR="00866B58">
              <w:rPr>
                <w:rStyle w:val="Hyperlink"/>
                <w:noProof/>
              </w:rPr>
              <w:t>DECISION ADOPTING REVISED RIGHTS</w:t>
            </w:r>
            <w:r w:rsidRPr="00631D78" w:rsidR="00866B58">
              <w:rPr>
                <w:rStyle w:val="Hyperlink"/>
                <w:noProof/>
              </w:rPr>
              <w:noBreakHyphen/>
              <w:t>OF</w:t>
            </w:r>
            <w:r w:rsidRPr="00631D78" w:rsidR="00866B58">
              <w:rPr>
                <w:rStyle w:val="Hyperlink"/>
                <w:noProof/>
              </w:rPr>
              <w:noBreakHyphen/>
              <w:t>WAY RULES AND RESOLVING PETITION FOR MODIFICATION OF DECISION (D.) 21</w:t>
            </w:r>
            <w:r w:rsidRPr="00631D78" w:rsidR="00866B58">
              <w:rPr>
                <w:rStyle w:val="Hyperlink"/>
                <w:noProof/>
              </w:rPr>
              <w:noBreakHyphen/>
              <w:t>10</w:t>
            </w:r>
            <w:r w:rsidRPr="00631D78" w:rsidR="00866B58">
              <w:rPr>
                <w:rStyle w:val="Hyperlink"/>
                <w:noProof/>
              </w:rPr>
              <w:noBreakHyphen/>
              <w:t>019 AND PETITION FOR MODIFICATION OF D.22</w:t>
            </w:r>
            <w:r w:rsidRPr="00631D78" w:rsidR="00866B58">
              <w:rPr>
                <w:rStyle w:val="Hyperlink"/>
                <w:noProof/>
              </w:rPr>
              <w:noBreakHyphen/>
              <w:t>10</w:t>
            </w:r>
            <w:r w:rsidRPr="00631D78" w:rsidR="00866B58">
              <w:rPr>
                <w:rStyle w:val="Hyperlink"/>
                <w:noProof/>
              </w:rPr>
              <w:noBreakHyphen/>
              <w:t>025</w:t>
            </w:r>
            <w:r w:rsidR="00866B58">
              <w:rPr>
                <w:noProof/>
                <w:webHidden/>
              </w:rPr>
              <w:tab/>
            </w:r>
            <w:r w:rsidR="00866B58">
              <w:rPr>
                <w:noProof/>
                <w:webHidden/>
              </w:rPr>
              <w:fldChar w:fldCharType="begin"/>
            </w:r>
            <w:r w:rsidR="00866B58">
              <w:rPr>
                <w:noProof/>
                <w:webHidden/>
              </w:rPr>
              <w:instrText xml:space="preserve"> PAGEREF _Toc229726737 \h </w:instrText>
            </w:r>
            <w:r w:rsidR="00866B58">
              <w:rPr>
                <w:noProof/>
                <w:webHidden/>
              </w:rPr>
            </w:r>
            <w:r w:rsidR="00866B58">
              <w:rPr>
                <w:noProof/>
                <w:webHidden/>
              </w:rPr>
              <w:fldChar w:fldCharType="separate"/>
            </w:r>
            <w:r w:rsidR="00866B58">
              <w:rPr>
                <w:noProof/>
                <w:webHidden/>
              </w:rPr>
              <w:t>1</w:t>
            </w:r>
            <w:r w:rsidR="00866B58">
              <w:rPr>
                <w:noProof/>
                <w:webHidden/>
              </w:rPr>
              <w:fldChar w:fldCharType="end"/>
            </w:r>
          </w:hyperlink>
        </w:p>
        <w:p w:rsidR="00866B58" w:rsidRDefault="00866B58" w14:paraId="5FFDCBA5" w14:textId="363E15CA">
          <w:pPr>
            <w:pStyle w:val="TOC1"/>
            <w:tabs>
              <w:tab w:val="right" w:leader="dot" w:pos="9350"/>
            </w:tabs>
            <w:rPr>
              <w:rFonts w:asciiTheme="minorHAnsi" w:hAnsiTheme="minorHAnsi" w:cstheme="minorBidi"/>
              <w:noProof/>
              <w:kern w:val="2"/>
              <w:sz w:val="24"/>
              <w:szCs w:val="24"/>
              <w14:ligatures w14:val="standardContextual"/>
            </w:rPr>
          </w:pPr>
          <w:hyperlink w:history="1" w:anchor="_Toc229726738">
            <w:r w:rsidRPr="00631D78">
              <w:rPr>
                <w:rStyle w:val="Hyperlink"/>
                <w:noProof/>
              </w:rPr>
              <w:t>Summary</w:t>
            </w:r>
            <w:r>
              <w:rPr>
                <w:noProof/>
                <w:webHidden/>
              </w:rPr>
              <w:tab/>
            </w:r>
            <w:r>
              <w:rPr>
                <w:noProof/>
                <w:webHidden/>
              </w:rPr>
              <w:fldChar w:fldCharType="begin"/>
            </w:r>
            <w:r>
              <w:rPr>
                <w:noProof/>
                <w:webHidden/>
              </w:rPr>
              <w:instrText xml:space="preserve"> PAGEREF _Toc229726738 \h </w:instrText>
            </w:r>
            <w:r>
              <w:rPr>
                <w:noProof/>
                <w:webHidden/>
              </w:rPr>
            </w:r>
            <w:r>
              <w:rPr>
                <w:noProof/>
                <w:webHidden/>
              </w:rPr>
              <w:fldChar w:fldCharType="separate"/>
            </w:r>
            <w:r>
              <w:rPr>
                <w:noProof/>
                <w:webHidden/>
              </w:rPr>
              <w:t>2</w:t>
            </w:r>
            <w:r>
              <w:rPr>
                <w:noProof/>
                <w:webHidden/>
              </w:rPr>
              <w:fldChar w:fldCharType="end"/>
            </w:r>
          </w:hyperlink>
        </w:p>
        <w:p w:rsidR="00866B58" w:rsidRDefault="00866B58" w14:paraId="267A6B49" w14:textId="76FDE35C">
          <w:pPr>
            <w:pStyle w:val="TOC1"/>
            <w:tabs>
              <w:tab w:val="right" w:leader="dot" w:pos="9350"/>
            </w:tabs>
            <w:rPr>
              <w:rFonts w:asciiTheme="minorHAnsi" w:hAnsiTheme="minorHAnsi" w:cstheme="minorBidi"/>
              <w:noProof/>
              <w:kern w:val="2"/>
              <w:sz w:val="24"/>
              <w:szCs w:val="24"/>
              <w14:ligatures w14:val="standardContextual"/>
            </w:rPr>
          </w:pPr>
          <w:hyperlink w:history="1" w:anchor="_Toc229726739">
            <w:r w:rsidRPr="00631D78">
              <w:rPr>
                <w:rStyle w:val="Hyperlink"/>
                <w:noProof/>
              </w:rPr>
              <w:t>1.</w:t>
            </w:r>
            <w:r>
              <w:rPr>
                <w:rFonts w:asciiTheme="minorHAnsi" w:hAnsiTheme="minorHAnsi" w:cstheme="minorBidi"/>
                <w:noProof/>
                <w:kern w:val="2"/>
                <w:sz w:val="24"/>
                <w:szCs w:val="24"/>
                <w14:ligatures w14:val="standardContextual"/>
              </w:rPr>
              <w:tab/>
            </w:r>
            <w:r w:rsidRPr="00631D78">
              <w:rPr>
                <w:rStyle w:val="Hyperlink"/>
                <w:noProof/>
              </w:rPr>
              <w:t>Background</w:t>
            </w:r>
            <w:r>
              <w:rPr>
                <w:noProof/>
                <w:webHidden/>
              </w:rPr>
              <w:tab/>
            </w:r>
            <w:r>
              <w:rPr>
                <w:noProof/>
                <w:webHidden/>
              </w:rPr>
              <w:fldChar w:fldCharType="begin"/>
            </w:r>
            <w:r>
              <w:rPr>
                <w:noProof/>
                <w:webHidden/>
              </w:rPr>
              <w:instrText xml:space="preserve"> PAGEREF _Toc229726739 \h </w:instrText>
            </w:r>
            <w:r>
              <w:rPr>
                <w:noProof/>
                <w:webHidden/>
              </w:rPr>
            </w:r>
            <w:r>
              <w:rPr>
                <w:noProof/>
                <w:webHidden/>
              </w:rPr>
              <w:fldChar w:fldCharType="separate"/>
            </w:r>
            <w:r>
              <w:rPr>
                <w:noProof/>
                <w:webHidden/>
              </w:rPr>
              <w:t>2</w:t>
            </w:r>
            <w:r>
              <w:rPr>
                <w:noProof/>
                <w:webHidden/>
              </w:rPr>
              <w:fldChar w:fldCharType="end"/>
            </w:r>
          </w:hyperlink>
        </w:p>
        <w:p w:rsidR="00866B58" w:rsidRDefault="00866B58" w14:paraId="41728A0A" w14:textId="276D99D7">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9726740">
            <w:r w:rsidRPr="00631D78">
              <w:rPr>
                <w:rStyle w:val="Hyperlink"/>
                <w:noProof/>
              </w:rPr>
              <w:t>1.1.</w:t>
            </w:r>
            <w:r>
              <w:rPr>
                <w:rFonts w:asciiTheme="minorHAnsi" w:hAnsiTheme="minorHAnsi" w:cstheme="minorBidi"/>
                <w:noProof/>
                <w:kern w:val="2"/>
                <w:sz w:val="24"/>
                <w:szCs w:val="24"/>
                <w14:ligatures w14:val="standardContextual"/>
              </w:rPr>
              <w:tab/>
            </w:r>
            <w:r w:rsidRPr="00631D78">
              <w:rPr>
                <w:rStyle w:val="Hyperlink"/>
                <w:noProof/>
              </w:rPr>
              <w:t>Factual Background</w:t>
            </w:r>
            <w:r>
              <w:rPr>
                <w:noProof/>
                <w:webHidden/>
              </w:rPr>
              <w:tab/>
            </w:r>
            <w:r>
              <w:rPr>
                <w:noProof/>
                <w:webHidden/>
              </w:rPr>
              <w:fldChar w:fldCharType="begin"/>
            </w:r>
            <w:r>
              <w:rPr>
                <w:noProof/>
                <w:webHidden/>
              </w:rPr>
              <w:instrText xml:space="preserve"> PAGEREF _Toc229726740 \h </w:instrText>
            </w:r>
            <w:r>
              <w:rPr>
                <w:noProof/>
                <w:webHidden/>
              </w:rPr>
            </w:r>
            <w:r>
              <w:rPr>
                <w:noProof/>
                <w:webHidden/>
              </w:rPr>
              <w:fldChar w:fldCharType="separate"/>
            </w:r>
            <w:r>
              <w:rPr>
                <w:noProof/>
                <w:webHidden/>
              </w:rPr>
              <w:t>2</w:t>
            </w:r>
            <w:r>
              <w:rPr>
                <w:noProof/>
                <w:webHidden/>
              </w:rPr>
              <w:fldChar w:fldCharType="end"/>
            </w:r>
          </w:hyperlink>
        </w:p>
        <w:p w:rsidR="00866B58" w:rsidRDefault="00866B58" w14:paraId="62267626" w14:textId="2FC812B8">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9726741">
            <w:r w:rsidRPr="00631D78">
              <w:rPr>
                <w:rStyle w:val="Hyperlink"/>
                <w:noProof/>
              </w:rPr>
              <w:t>1.2.</w:t>
            </w:r>
            <w:r>
              <w:rPr>
                <w:rFonts w:asciiTheme="minorHAnsi" w:hAnsiTheme="minorHAnsi" w:cstheme="minorBidi"/>
                <w:noProof/>
                <w:kern w:val="2"/>
                <w:sz w:val="24"/>
                <w:szCs w:val="24"/>
                <w14:ligatures w14:val="standardContextual"/>
              </w:rPr>
              <w:tab/>
            </w:r>
            <w:r w:rsidRPr="00631D78">
              <w:rPr>
                <w:rStyle w:val="Hyperlink"/>
                <w:noProof/>
              </w:rPr>
              <w:t>Procedural Background</w:t>
            </w:r>
            <w:r>
              <w:rPr>
                <w:noProof/>
                <w:webHidden/>
              </w:rPr>
              <w:tab/>
            </w:r>
            <w:r>
              <w:rPr>
                <w:noProof/>
                <w:webHidden/>
              </w:rPr>
              <w:fldChar w:fldCharType="begin"/>
            </w:r>
            <w:r>
              <w:rPr>
                <w:noProof/>
                <w:webHidden/>
              </w:rPr>
              <w:instrText xml:space="preserve"> PAGEREF _Toc229726741 \h </w:instrText>
            </w:r>
            <w:r>
              <w:rPr>
                <w:noProof/>
                <w:webHidden/>
              </w:rPr>
            </w:r>
            <w:r>
              <w:rPr>
                <w:noProof/>
                <w:webHidden/>
              </w:rPr>
              <w:fldChar w:fldCharType="separate"/>
            </w:r>
            <w:r>
              <w:rPr>
                <w:noProof/>
                <w:webHidden/>
              </w:rPr>
              <w:t>4</w:t>
            </w:r>
            <w:r>
              <w:rPr>
                <w:noProof/>
                <w:webHidden/>
              </w:rPr>
              <w:fldChar w:fldCharType="end"/>
            </w:r>
          </w:hyperlink>
        </w:p>
        <w:p w:rsidR="00866B58" w:rsidRDefault="00866B58" w14:paraId="788F8BCF" w14:textId="1DB1E69B">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9726742">
            <w:r w:rsidRPr="00631D78">
              <w:rPr>
                <w:rStyle w:val="Hyperlink"/>
                <w:noProof/>
              </w:rPr>
              <w:t>1.3.</w:t>
            </w:r>
            <w:r>
              <w:rPr>
                <w:rFonts w:asciiTheme="minorHAnsi" w:hAnsiTheme="minorHAnsi" w:cstheme="minorBidi"/>
                <w:noProof/>
                <w:kern w:val="2"/>
                <w:sz w:val="24"/>
                <w:szCs w:val="24"/>
                <w14:ligatures w14:val="standardContextual"/>
              </w:rPr>
              <w:tab/>
            </w:r>
            <w:r w:rsidRPr="00631D78">
              <w:rPr>
                <w:rStyle w:val="Hyperlink"/>
                <w:noProof/>
              </w:rPr>
              <w:t>Submission Date</w:t>
            </w:r>
            <w:r>
              <w:rPr>
                <w:noProof/>
                <w:webHidden/>
              </w:rPr>
              <w:tab/>
            </w:r>
            <w:r>
              <w:rPr>
                <w:noProof/>
                <w:webHidden/>
              </w:rPr>
              <w:fldChar w:fldCharType="begin"/>
            </w:r>
            <w:r>
              <w:rPr>
                <w:noProof/>
                <w:webHidden/>
              </w:rPr>
              <w:instrText xml:space="preserve"> PAGEREF _Toc229726742 \h </w:instrText>
            </w:r>
            <w:r>
              <w:rPr>
                <w:noProof/>
                <w:webHidden/>
              </w:rPr>
            </w:r>
            <w:r>
              <w:rPr>
                <w:noProof/>
                <w:webHidden/>
              </w:rPr>
              <w:fldChar w:fldCharType="separate"/>
            </w:r>
            <w:r>
              <w:rPr>
                <w:noProof/>
                <w:webHidden/>
              </w:rPr>
              <w:t>6</w:t>
            </w:r>
            <w:r>
              <w:rPr>
                <w:noProof/>
                <w:webHidden/>
              </w:rPr>
              <w:fldChar w:fldCharType="end"/>
            </w:r>
          </w:hyperlink>
        </w:p>
        <w:p w:rsidR="00866B58" w:rsidRDefault="00866B58" w14:paraId="35F375A4" w14:textId="1006A6FE">
          <w:pPr>
            <w:pStyle w:val="TOC1"/>
            <w:tabs>
              <w:tab w:val="right" w:leader="dot" w:pos="9350"/>
            </w:tabs>
            <w:rPr>
              <w:rFonts w:asciiTheme="minorHAnsi" w:hAnsiTheme="minorHAnsi" w:cstheme="minorBidi"/>
              <w:noProof/>
              <w:kern w:val="2"/>
              <w:sz w:val="24"/>
              <w:szCs w:val="24"/>
              <w14:ligatures w14:val="standardContextual"/>
            </w:rPr>
          </w:pPr>
          <w:hyperlink w:history="1" w:anchor="_Toc229726743">
            <w:r w:rsidRPr="00631D78">
              <w:rPr>
                <w:rStyle w:val="Hyperlink"/>
                <w:noProof/>
              </w:rPr>
              <w:t>2.</w:t>
            </w:r>
            <w:r>
              <w:rPr>
                <w:rFonts w:asciiTheme="minorHAnsi" w:hAnsiTheme="minorHAnsi" w:cstheme="minorBidi"/>
                <w:noProof/>
                <w:kern w:val="2"/>
                <w:sz w:val="24"/>
                <w:szCs w:val="24"/>
                <w14:ligatures w14:val="standardContextual"/>
              </w:rPr>
              <w:tab/>
            </w:r>
            <w:r w:rsidRPr="00631D78">
              <w:rPr>
                <w:rStyle w:val="Hyperlink"/>
                <w:noProof/>
              </w:rPr>
              <w:t>Jurisdiction</w:t>
            </w:r>
            <w:r>
              <w:rPr>
                <w:noProof/>
                <w:webHidden/>
              </w:rPr>
              <w:tab/>
            </w:r>
            <w:r>
              <w:rPr>
                <w:noProof/>
                <w:webHidden/>
              </w:rPr>
              <w:fldChar w:fldCharType="begin"/>
            </w:r>
            <w:r>
              <w:rPr>
                <w:noProof/>
                <w:webHidden/>
              </w:rPr>
              <w:instrText xml:space="preserve"> PAGEREF _Toc229726743 \h </w:instrText>
            </w:r>
            <w:r>
              <w:rPr>
                <w:noProof/>
                <w:webHidden/>
              </w:rPr>
            </w:r>
            <w:r>
              <w:rPr>
                <w:noProof/>
                <w:webHidden/>
              </w:rPr>
              <w:fldChar w:fldCharType="separate"/>
            </w:r>
            <w:r>
              <w:rPr>
                <w:noProof/>
                <w:webHidden/>
              </w:rPr>
              <w:t>6</w:t>
            </w:r>
            <w:r>
              <w:rPr>
                <w:noProof/>
                <w:webHidden/>
              </w:rPr>
              <w:fldChar w:fldCharType="end"/>
            </w:r>
          </w:hyperlink>
        </w:p>
        <w:p w:rsidR="00866B58" w:rsidRDefault="00866B58" w14:paraId="57F4EEB7" w14:textId="60078541">
          <w:pPr>
            <w:pStyle w:val="TOC1"/>
            <w:tabs>
              <w:tab w:val="right" w:leader="dot" w:pos="9350"/>
            </w:tabs>
            <w:rPr>
              <w:rFonts w:asciiTheme="minorHAnsi" w:hAnsiTheme="minorHAnsi" w:cstheme="minorBidi"/>
              <w:noProof/>
              <w:kern w:val="2"/>
              <w:sz w:val="24"/>
              <w:szCs w:val="24"/>
              <w14:ligatures w14:val="standardContextual"/>
            </w:rPr>
          </w:pPr>
          <w:hyperlink w:history="1" w:anchor="_Toc229726744">
            <w:r w:rsidRPr="00631D78">
              <w:rPr>
                <w:rStyle w:val="Hyperlink"/>
                <w:noProof/>
              </w:rPr>
              <w:t>3.</w:t>
            </w:r>
            <w:r>
              <w:rPr>
                <w:rFonts w:asciiTheme="minorHAnsi" w:hAnsiTheme="minorHAnsi" w:cstheme="minorBidi"/>
                <w:noProof/>
                <w:kern w:val="2"/>
                <w:sz w:val="24"/>
                <w:szCs w:val="24"/>
                <w14:ligatures w14:val="standardContextual"/>
              </w:rPr>
              <w:tab/>
            </w:r>
            <w:r w:rsidRPr="00631D78">
              <w:rPr>
                <w:rStyle w:val="Hyperlink"/>
                <w:noProof/>
              </w:rPr>
              <w:t>Issues Before the Commission</w:t>
            </w:r>
            <w:r>
              <w:rPr>
                <w:noProof/>
                <w:webHidden/>
              </w:rPr>
              <w:tab/>
            </w:r>
            <w:r>
              <w:rPr>
                <w:noProof/>
                <w:webHidden/>
              </w:rPr>
              <w:fldChar w:fldCharType="begin"/>
            </w:r>
            <w:r>
              <w:rPr>
                <w:noProof/>
                <w:webHidden/>
              </w:rPr>
              <w:instrText xml:space="preserve"> PAGEREF _Toc229726744 \h </w:instrText>
            </w:r>
            <w:r>
              <w:rPr>
                <w:noProof/>
                <w:webHidden/>
              </w:rPr>
            </w:r>
            <w:r>
              <w:rPr>
                <w:noProof/>
                <w:webHidden/>
              </w:rPr>
              <w:fldChar w:fldCharType="separate"/>
            </w:r>
            <w:r>
              <w:rPr>
                <w:noProof/>
                <w:webHidden/>
              </w:rPr>
              <w:t>11</w:t>
            </w:r>
            <w:r>
              <w:rPr>
                <w:noProof/>
                <w:webHidden/>
              </w:rPr>
              <w:fldChar w:fldCharType="end"/>
            </w:r>
          </w:hyperlink>
        </w:p>
        <w:p w:rsidR="00866B58" w:rsidRDefault="00866B58" w14:paraId="6A76D006" w14:textId="7B681537">
          <w:pPr>
            <w:pStyle w:val="TOC1"/>
            <w:tabs>
              <w:tab w:val="right" w:leader="dot" w:pos="9350"/>
            </w:tabs>
            <w:rPr>
              <w:rFonts w:asciiTheme="minorHAnsi" w:hAnsiTheme="minorHAnsi" w:cstheme="minorBidi"/>
              <w:noProof/>
              <w:kern w:val="2"/>
              <w:sz w:val="24"/>
              <w:szCs w:val="24"/>
              <w14:ligatures w14:val="standardContextual"/>
            </w:rPr>
          </w:pPr>
          <w:hyperlink w:history="1" w:anchor="_Toc229726745">
            <w:r w:rsidRPr="00631D78">
              <w:rPr>
                <w:rStyle w:val="Hyperlink"/>
                <w:noProof/>
              </w:rPr>
              <w:t>4.</w:t>
            </w:r>
            <w:r>
              <w:rPr>
                <w:rFonts w:asciiTheme="minorHAnsi" w:hAnsiTheme="minorHAnsi" w:cstheme="minorBidi"/>
                <w:noProof/>
                <w:kern w:val="2"/>
                <w:sz w:val="24"/>
                <w:szCs w:val="24"/>
                <w14:ligatures w14:val="standardContextual"/>
              </w:rPr>
              <w:tab/>
            </w:r>
            <w:r w:rsidRPr="00631D78">
              <w:rPr>
                <w:rStyle w:val="Hyperlink"/>
                <w:noProof/>
              </w:rPr>
              <w:t>Discussion and Analysis of Rights</w:t>
            </w:r>
            <w:r w:rsidRPr="00631D78">
              <w:rPr>
                <w:rStyle w:val="Hyperlink"/>
                <w:noProof/>
              </w:rPr>
              <w:noBreakHyphen/>
              <w:t>of</w:t>
            </w:r>
            <w:r w:rsidRPr="00631D78">
              <w:rPr>
                <w:rStyle w:val="Hyperlink"/>
                <w:noProof/>
              </w:rPr>
              <w:noBreakHyphen/>
              <w:t>Way Issues</w:t>
            </w:r>
            <w:r>
              <w:rPr>
                <w:noProof/>
                <w:webHidden/>
              </w:rPr>
              <w:tab/>
            </w:r>
            <w:r>
              <w:rPr>
                <w:noProof/>
                <w:webHidden/>
              </w:rPr>
              <w:fldChar w:fldCharType="begin"/>
            </w:r>
            <w:r>
              <w:rPr>
                <w:noProof/>
                <w:webHidden/>
              </w:rPr>
              <w:instrText xml:space="preserve"> PAGEREF _Toc229726745 \h </w:instrText>
            </w:r>
            <w:r>
              <w:rPr>
                <w:noProof/>
                <w:webHidden/>
              </w:rPr>
            </w:r>
            <w:r>
              <w:rPr>
                <w:noProof/>
                <w:webHidden/>
              </w:rPr>
              <w:fldChar w:fldCharType="separate"/>
            </w:r>
            <w:r>
              <w:rPr>
                <w:noProof/>
                <w:webHidden/>
              </w:rPr>
              <w:t>11</w:t>
            </w:r>
            <w:r>
              <w:rPr>
                <w:noProof/>
                <w:webHidden/>
              </w:rPr>
              <w:fldChar w:fldCharType="end"/>
            </w:r>
          </w:hyperlink>
        </w:p>
        <w:p w:rsidR="00866B58" w:rsidRDefault="00866B58" w14:paraId="6B176572" w14:textId="7D676034">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9726746">
            <w:r w:rsidRPr="00631D78">
              <w:rPr>
                <w:rStyle w:val="Hyperlink"/>
                <w:noProof/>
              </w:rPr>
              <w:t>4.1.</w:t>
            </w:r>
            <w:r>
              <w:rPr>
                <w:rFonts w:asciiTheme="minorHAnsi" w:hAnsiTheme="minorHAnsi" w:cstheme="minorBidi"/>
                <w:noProof/>
                <w:kern w:val="2"/>
                <w:sz w:val="24"/>
                <w:szCs w:val="24"/>
                <w14:ligatures w14:val="standardContextual"/>
              </w:rPr>
              <w:tab/>
            </w:r>
            <w:r w:rsidRPr="00631D78">
              <w:rPr>
                <w:rStyle w:val="Hyperlink"/>
                <w:noProof/>
              </w:rPr>
              <w:t>Unauthorized Attachments Reporting and Fine Increases</w:t>
            </w:r>
            <w:r>
              <w:rPr>
                <w:noProof/>
                <w:webHidden/>
              </w:rPr>
              <w:tab/>
            </w:r>
            <w:r>
              <w:rPr>
                <w:noProof/>
                <w:webHidden/>
              </w:rPr>
              <w:fldChar w:fldCharType="begin"/>
            </w:r>
            <w:r>
              <w:rPr>
                <w:noProof/>
                <w:webHidden/>
              </w:rPr>
              <w:instrText xml:space="preserve"> PAGEREF _Toc229726746 \h </w:instrText>
            </w:r>
            <w:r>
              <w:rPr>
                <w:noProof/>
                <w:webHidden/>
              </w:rPr>
            </w:r>
            <w:r>
              <w:rPr>
                <w:noProof/>
                <w:webHidden/>
              </w:rPr>
              <w:fldChar w:fldCharType="separate"/>
            </w:r>
            <w:r>
              <w:rPr>
                <w:noProof/>
                <w:webHidden/>
              </w:rPr>
              <w:t>11</w:t>
            </w:r>
            <w:r>
              <w:rPr>
                <w:noProof/>
                <w:webHidden/>
              </w:rPr>
              <w:fldChar w:fldCharType="end"/>
            </w:r>
          </w:hyperlink>
        </w:p>
        <w:p w:rsidR="00866B58" w:rsidRDefault="00866B58" w14:paraId="7B9BBC7F" w14:textId="6F82ACC5">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47">
            <w:r w:rsidRPr="00631D78">
              <w:rPr>
                <w:rStyle w:val="Hyperlink"/>
                <w:noProof/>
              </w:rPr>
              <w:t>4.1.1.</w:t>
            </w:r>
            <w:r>
              <w:rPr>
                <w:rFonts w:asciiTheme="minorHAnsi" w:hAnsiTheme="minorHAnsi" w:cstheme="minorBidi"/>
                <w:noProof/>
                <w:kern w:val="2"/>
                <w:sz w:val="24"/>
                <w:szCs w:val="24"/>
                <w14:ligatures w14:val="standardContextual"/>
              </w:rPr>
              <w:tab/>
            </w:r>
            <w:r w:rsidRPr="00631D78">
              <w:rPr>
                <w:rStyle w:val="Hyperlink"/>
                <w:noProof/>
              </w:rPr>
              <w:t>ROW Ruling Background and Staff Proposal</w:t>
            </w:r>
            <w:r>
              <w:rPr>
                <w:noProof/>
                <w:webHidden/>
              </w:rPr>
              <w:tab/>
            </w:r>
            <w:r>
              <w:rPr>
                <w:noProof/>
                <w:webHidden/>
              </w:rPr>
              <w:fldChar w:fldCharType="begin"/>
            </w:r>
            <w:r>
              <w:rPr>
                <w:noProof/>
                <w:webHidden/>
              </w:rPr>
              <w:instrText xml:space="preserve"> PAGEREF _Toc229726747 \h </w:instrText>
            </w:r>
            <w:r>
              <w:rPr>
                <w:noProof/>
                <w:webHidden/>
              </w:rPr>
            </w:r>
            <w:r>
              <w:rPr>
                <w:noProof/>
                <w:webHidden/>
              </w:rPr>
              <w:fldChar w:fldCharType="separate"/>
            </w:r>
            <w:r>
              <w:rPr>
                <w:noProof/>
                <w:webHidden/>
              </w:rPr>
              <w:t>11</w:t>
            </w:r>
            <w:r>
              <w:rPr>
                <w:noProof/>
                <w:webHidden/>
              </w:rPr>
              <w:fldChar w:fldCharType="end"/>
            </w:r>
          </w:hyperlink>
        </w:p>
        <w:p w:rsidR="00866B58" w:rsidRDefault="00866B58" w14:paraId="209B5E88" w14:textId="242668DC">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48">
            <w:r w:rsidRPr="00631D78">
              <w:rPr>
                <w:rStyle w:val="Hyperlink"/>
                <w:noProof/>
              </w:rPr>
              <w:t>4.1.2.</w:t>
            </w:r>
            <w:r>
              <w:rPr>
                <w:rFonts w:asciiTheme="minorHAnsi" w:hAnsiTheme="minorHAnsi" w:cstheme="minorBidi"/>
                <w:noProof/>
                <w:kern w:val="2"/>
                <w:sz w:val="24"/>
                <w:szCs w:val="24"/>
                <w14:ligatures w14:val="standardContextual"/>
              </w:rPr>
              <w:tab/>
            </w:r>
            <w:r w:rsidRPr="00631D78">
              <w:rPr>
                <w:rStyle w:val="Hyperlink"/>
                <w:noProof/>
              </w:rPr>
              <w:t>ROW Ruling Questions and Party Comments</w:t>
            </w:r>
            <w:r>
              <w:rPr>
                <w:noProof/>
                <w:webHidden/>
              </w:rPr>
              <w:tab/>
            </w:r>
            <w:r>
              <w:rPr>
                <w:noProof/>
                <w:webHidden/>
              </w:rPr>
              <w:fldChar w:fldCharType="begin"/>
            </w:r>
            <w:r>
              <w:rPr>
                <w:noProof/>
                <w:webHidden/>
              </w:rPr>
              <w:instrText xml:space="preserve"> PAGEREF _Toc229726748 \h </w:instrText>
            </w:r>
            <w:r>
              <w:rPr>
                <w:noProof/>
                <w:webHidden/>
              </w:rPr>
            </w:r>
            <w:r>
              <w:rPr>
                <w:noProof/>
                <w:webHidden/>
              </w:rPr>
              <w:fldChar w:fldCharType="separate"/>
            </w:r>
            <w:r>
              <w:rPr>
                <w:noProof/>
                <w:webHidden/>
              </w:rPr>
              <w:t>14</w:t>
            </w:r>
            <w:r>
              <w:rPr>
                <w:noProof/>
                <w:webHidden/>
              </w:rPr>
              <w:fldChar w:fldCharType="end"/>
            </w:r>
          </w:hyperlink>
        </w:p>
        <w:p w:rsidR="00866B58" w:rsidRDefault="00866B58" w14:paraId="03864DC5" w14:textId="1C269DA1">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49">
            <w:r w:rsidRPr="00631D78">
              <w:rPr>
                <w:rStyle w:val="Hyperlink"/>
                <w:noProof/>
              </w:rPr>
              <w:t>4.1.3.</w:t>
            </w:r>
            <w:r>
              <w:rPr>
                <w:rFonts w:asciiTheme="minorHAnsi" w:hAnsiTheme="minorHAnsi" w:cstheme="minorBidi"/>
                <w:noProof/>
                <w:kern w:val="2"/>
                <w:sz w:val="24"/>
                <w:szCs w:val="24"/>
                <w14:ligatures w14:val="standardContextual"/>
              </w:rPr>
              <w:tab/>
            </w:r>
            <w:r w:rsidRPr="00631D78">
              <w:rPr>
                <w:rStyle w:val="Hyperlink"/>
                <w:noProof/>
              </w:rPr>
              <w:t>Discussion and Findings</w:t>
            </w:r>
            <w:r>
              <w:rPr>
                <w:noProof/>
                <w:webHidden/>
              </w:rPr>
              <w:tab/>
            </w:r>
            <w:r>
              <w:rPr>
                <w:noProof/>
                <w:webHidden/>
              </w:rPr>
              <w:fldChar w:fldCharType="begin"/>
            </w:r>
            <w:r>
              <w:rPr>
                <w:noProof/>
                <w:webHidden/>
              </w:rPr>
              <w:instrText xml:space="preserve"> PAGEREF _Toc229726749 \h </w:instrText>
            </w:r>
            <w:r>
              <w:rPr>
                <w:noProof/>
                <w:webHidden/>
              </w:rPr>
            </w:r>
            <w:r>
              <w:rPr>
                <w:noProof/>
                <w:webHidden/>
              </w:rPr>
              <w:fldChar w:fldCharType="separate"/>
            </w:r>
            <w:r>
              <w:rPr>
                <w:noProof/>
                <w:webHidden/>
              </w:rPr>
              <w:t>23</w:t>
            </w:r>
            <w:r>
              <w:rPr>
                <w:noProof/>
                <w:webHidden/>
              </w:rPr>
              <w:fldChar w:fldCharType="end"/>
            </w:r>
          </w:hyperlink>
        </w:p>
        <w:p w:rsidR="00866B58" w:rsidRDefault="00866B58" w14:paraId="5262212F" w14:textId="31F0156F">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9726750">
            <w:r w:rsidRPr="00631D78">
              <w:rPr>
                <w:rStyle w:val="Hyperlink"/>
                <w:noProof/>
              </w:rPr>
              <w:t>4.2.</w:t>
            </w:r>
            <w:r>
              <w:rPr>
                <w:rFonts w:asciiTheme="minorHAnsi" w:hAnsiTheme="minorHAnsi" w:cstheme="minorBidi"/>
                <w:noProof/>
                <w:kern w:val="2"/>
                <w:sz w:val="24"/>
                <w:szCs w:val="24"/>
                <w14:ligatures w14:val="standardContextual"/>
              </w:rPr>
              <w:tab/>
            </w:r>
            <w:r w:rsidRPr="00631D78">
              <w:rPr>
                <w:rStyle w:val="Hyperlink"/>
                <w:noProof/>
              </w:rPr>
              <w:t>Contractor Transparency Requirements</w:t>
            </w:r>
            <w:r>
              <w:rPr>
                <w:noProof/>
                <w:webHidden/>
              </w:rPr>
              <w:tab/>
            </w:r>
            <w:r>
              <w:rPr>
                <w:noProof/>
                <w:webHidden/>
              </w:rPr>
              <w:fldChar w:fldCharType="begin"/>
            </w:r>
            <w:r>
              <w:rPr>
                <w:noProof/>
                <w:webHidden/>
              </w:rPr>
              <w:instrText xml:space="preserve"> PAGEREF _Toc229726750 \h </w:instrText>
            </w:r>
            <w:r>
              <w:rPr>
                <w:noProof/>
                <w:webHidden/>
              </w:rPr>
            </w:r>
            <w:r>
              <w:rPr>
                <w:noProof/>
                <w:webHidden/>
              </w:rPr>
              <w:fldChar w:fldCharType="separate"/>
            </w:r>
            <w:r>
              <w:rPr>
                <w:noProof/>
                <w:webHidden/>
              </w:rPr>
              <w:t>27</w:t>
            </w:r>
            <w:r>
              <w:rPr>
                <w:noProof/>
                <w:webHidden/>
              </w:rPr>
              <w:fldChar w:fldCharType="end"/>
            </w:r>
          </w:hyperlink>
        </w:p>
        <w:p w:rsidR="00866B58" w:rsidRDefault="00866B58" w14:paraId="199FDEC5" w14:textId="721F095D">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51">
            <w:r w:rsidRPr="00631D78">
              <w:rPr>
                <w:rStyle w:val="Hyperlink"/>
                <w:noProof/>
              </w:rPr>
              <w:t>4.2.1.</w:t>
            </w:r>
            <w:r>
              <w:rPr>
                <w:rFonts w:asciiTheme="minorHAnsi" w:hAnsiTheme="minorHAnsi" w:cstheme="minorBidi"/>
                <w:noProof/>
                <w:kern w:val="2"/>
                <w:sz w:val="24"/>
                <w:szCs w:val="24"/>
                <w14:ligatures w14:val="standardContextual"/>
              </w:rPr>
              <w:tab/>
            </w:r>
            <w:r w:rsidRPr="00631D78">
              <w:rPr>
                <w:rStyle w:val="Hyperlink"/>
                <w:noProof/>
              </w:rPr>
              <w:t>ROW Ruling Background and Staff Proposal</w:t>
            </w:r>
            <w:r>
              <w:rPr>
                <w:noProof/>
                <w:webHidden/>
              </w:rPr>
              <w:tab/>
            </w:r>
            <w:r>
              <w:rPr>
                <w:noProof/>
                <w:webHidden/>
              </w:rPr>
              <w:fldChar w:fldCharType="begin"/>
            </w:r>
            <w:r>
              <w:rPr>
                <w:noProof/>
                <w:webHidden/>
              </w:rPr>
              <w:instrText xml:space="preserve"> PAGEREF _Toc229726751 \h </w:instrText>
            </w:r>
            <w:r>
              <w:rPr>
                <w:noProof/>
                <w:webHidden/>
              </w:rPr>
            </w:r>
            <w:r>
              <w:rPr>
                <w:noProof/>
                <w:webHidden/>
              </w:rPr>
              <w:fldChar w:fldCharType="separate"/>
            </w:r>
            <w:r>
              <w:rPr>
                <w:noProof/>
                <w:webHidden/>
              </w:rPr>
              <w:t>27</w:t>
            </w:r>
            <w:r>
              <w:rPr>
                <w:noProof/>
                <w:webHidden/>
              </w:rPr>
              <w:fldChar w:fldCharType="end"/>
            </w:r>
          </w:hyperlink>
        </w:p>
        <w:p w:rsidR="00866B58" w:rsidRDefault="00866B58" w14:paraId="2531E51D" w14:textId="2B25C5F0">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52">
            <w:r w:rsidRPr="00631D78">
              <w:rPr>
                <w:rStyle w:val="Hyperlink"/>
                <w:noProof/>
              </w:rPr>
              <w:t>4.2.2.</w:t>
            </w:r>
            <w:r>
              <w:rPr>
                <w:rFonts w:asciiTheme="minorHAnsi" w:hAnsiTheme="minorHAnsi" w:cstheme="minorBidi"/>
                <w:noProof/>
                <w:kern w:val="2"/>
                <w:sz w:val="24"/>
                <w:szCs w:val="24"/>
                <w14:ligatures w14:val="standardContextual"/>
              </w:rPr>
              <w:tab/>
            </w:r>
            <w:r w:rsidRPr="00631D78">
              <w:rPr>
                <w:rStyle w:val="Hyperlink"/>
                <w:noProof/>
              </w:rPr>
              <w:t>ROW Ruling Questions and Party Comments</w:t>
            </w:r>
            <w:r>
              <w:rPr>
                <w:noProof/>
                <w:webHidden/>
              </w:rPr>
              <w:tab/>
            </w:r>
            <w:r>
              <w:rPr>
                <w:noProof/>
                <w:webHidden/>
              </w:rPr>
              <w:fldChar w:fldCharType="begin"/>
            </w:r>
            <w:r>
              <w:rPr>
                <w:noProof/>
                <w:webHidden/>
              </w:rPr>
              <w:instrText xml:space="preserve"> PAGEREF _Toc229726752 \h </w:instrText>
            </w:r>
            <w:r>
              <w:rPr>
                <w:noProof/>
                <w:webHidden/>
              </w:rPr>
            </w:r>
            <w:r>
              <w:rPr>
                <w:noProof/>
                <w:webHidden/>
              </w:rPr>
              <w:fldChar w:fldCharType="separate"/>
            </w:r>
            <w:r>
              <w:rPr>
                <w:noProof/>
                <w:webHidden/>
              </w:rPr>
              <w:t>28</w:t>
            </w:r>
            <w:r>
              <w:rPr>
                <w:noProof/>
                <w:webHidden/>
              </w:rPr>
              <w:fldChar w:fldCharType="end"/>
            </w:r>
          </w:hyperlink>
        </w:p>
        <w:p w:rsidR="00866B58" w:rsidRDefault="00866B58" w14:paraId="062F5032" w14:textId="78B79A69">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53">
            <w:r w:rsidRPr="00631D78">
              <w:rPr>
                <w:rStyle w:val="Hyperlink"/>
                <w:noProof/>
              </w:rPr>
              <w:t>4.2.3.</w:t>
            </w:r>
            <w:r>
              <w:rPr>
                <w:rFonts w:asciiTheme="minorHAnsi" w:hAnsiTheme="minorHAnsi" w:cstheme="minorBidi"/>
                <w:noProof/>
                <w:kern w:val="2"/>
                <w:sz w:val="24"/>
                <w:szCs w:val="24"/>
                <w14:ligatures w14:val="standardContextual"/>
              </w:rPr>
              <w:tab/>
            </w:r>
            <w:r w:rsidRPr="00631D78">
              <w:rPr>
                <w:rStyle w:val="Hyperlink"/>
                <w:noProof/>
              </w:rPr>
              <w:t>Discussion and Findings</w:t>
            </w:r>
            <w:r>
              <w:rPr>
                <w:noProof/>
                <w:webHidden/>
              </w:rPr>
              <w:tab/>
            </w:r>
            <w:r>
              <w:rPr>
                <w:noProof/>
                <w:webHidden/>
              </w:rPr>
              <w:fldChar w:fldCharType="begin"/>
            </w:r>
            <w:r>
              <w:rPr>
                <w:noProof/>
                <w:webHidden/>
              </w:rPr>
              <w:instrText xml:space="preserve"> PAGEREF _Toc229726753 \h </w:instrText>
            </w:r>
            <w:r>
              <w:rPr>
                <w:noProof/>
                <w:webHidden/>
              </w:rPr>
            </w:r>
            <w:r>
              <w:rPr>
                <w:noProof/>
                <w:webHidden/>
              </w:rPr>
              <w:fldChar w:fldCharType="separate"/>
            </w:r>
            <w:r>
              <w:rPr>
                <w:noProof/>
                <w:webHidden/>
              </w:rPr>
              <w:t>30</w:t>
            </w:r>
            <w:r>
              <w:rPr>
                <w:noProof/>
                <w:webHidden/>
              </w:rPr>
              <w:fldChar w:fldCharType="end"/>
            </w:r>
          </w:hyperlink>
        </w:p>
        <w:p w:rsidR="00866B58" w:rsidRDefault="00866B58" w14:paraId="60244CA7" w14:textId="723B4A49">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9726754">
            <w:r w:rsidRPr="00631D78">
              <w:rPr>
                <w:rStyle w:val="Hyperlink"/>
                <w:noProof/>
              </w:rPr>
              <w:t>4.3.</w:t>
            </w:r>
            <w:r>
              <w:rPr>
                <w:rFonts w:asciiTheme="minorHAnsi" w:hAnsiTheme="minorHAnsi" w:cstheme="minorBidi"/>
                <w:noProof/>
                <w:kern w:val="2"/>
                <w:sz w:val="24"/>
                <w:szCs w:val="24"/>
                <w14:ligatures w14:val="standardContextual"/>
              </w:rPr>
              <w:tab/>
            </w:r>
            <w:r w:rsidRPr="00631D78">
              <w:rPr>
                <w:rStyle w:val="Hyperlink"/>
                <w:noProof/>
              </w:rPr>
              <w:t>Documentation of Construction Standards in Addition to the Rules Specified in Commission General Orders</w:t>
            </w:r>
            <w:r>
              <w:rPr>
                <w:noProof/>
                <w:webHidden/>
              </w:rPr>
              <w:tab/>
            </w:r>
            <w:r>
              <w:rPr>
                <w:noProof/>
                <w:webHidden/>
              </w:rPr>
              <w:fldChar w:fldCharType="begin"/>
            </w:r>
            <w:r>
              <w:rPr>
                <w:noProof/>
                <w:webHidden/>
              </w:rPr>
              <w:instrText xml:space="preserve"> PAGEREF _Toc229726754 \h </w:instrText>
            </w:r>
            <w:r>
              <w:rPr>
                <w:noProof/>
                <w:webHidden/>
              </w:rPr>
            </w:r>
            <w:r>
              <w:rPr>
                <w:noProof/>
                <w:webHidden/>
              </w:rPr>
              <w:fldChar w:fldCharType="separate"/>
            </w:r>
            <w:r>
              <w:rPr>
                <w:noProof/>
                <w:webHidden/>
              </w:rPr>
              <w:t>34</w:t>
            </w:r>
            <w:r>
              <w:rPr>
                <w:noProof/>
                <w:webHidden/>
              </w:rPr>
              <w:fldChar w:fldCharType="end"/>
            </w:r>
          </w:hyperlink>
        </w:p>
        <w:p w:rsidR="00866B58" w:rsidRDefault="00866B58" w14:paraId="6B9D8F3D" w14:textId="2DC6683A">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55">
            <w:r w:rsidRPr="00631D78">
              <w:rPr>
                <w:rStyle w:val="Hyperlink"/>
                <w:noProof/>
              </w:rPr>
              <w:t>4.3.1.</w:t>
            </w:r>
            <w:r>
              <w:rPr>
                <w:rFonts w:asciiTheme="minorHAnsi" w:hAnsiTheme="minorHAnsi" w:cstheme="minorBidi"/>
                <w:noProof/>
                <w:kern w:val="2"/>
                <w:sz w:val="24"/>
                <w:szCs w:val="24"/>
                <w14:ligatures w14:val="standardContextual"/>
              </w:rPr>
              <w:tab/>
            </w:r>
            <w:r w:rsidRPr="00631D78">
              <w:rPr>
                <w:rStyle w:val="Hyperlink"/>
                <w:noProof/>
              </w:rPr>
              <w:t>ROW Ruling Background and Staff Proposal</w:t>
            </w:r>
            <w:r>
              <w:rPr>
                <w:noProof/>
                <w:webHidden/>
              </w:rPr>
              <w:tab/>
            </w:r>
            <w:r>
              <w:rPr>
                <w:noProof/>
                <w:webHidden/>
              </w:rPr>
              <w:fldChar w:fldCharType="begin"/>
            </w:r>
            <w:r>
              <w:rPr>
                <w:noProof/>
                <w:webHidden/>
              </w:rPr>
              <w:instrText xml:space="preserve"> PAGEREF _Toc229726755 \h </w:instrText>
            </w:r>
            <w:r>
              <w:rPr>
                <w:noProof/>
                <w:webHidden/>
              </w:rPr>
            </w:r>
            <w:r>
              <w:rPr>
                <w:noProof/>
                <w:webHidden/>
              </w:rPr>
              <w:fldChar w:fldCharType="separate"/>
            </w:r>
            <w:r>
              <w:rPr>
                <w:noProof/>
                <w:webHidden/>
              </w:rPr>
              <w:t>34</w:t>
            </w:r>
            <w:r>
              <w:rPr>
                <w:noProof/>
                <w:webHidden/>
              </w:rPr>
              <w:fldChar w:fldCharType="end"/>
            </w:r>
          </w:hyperlink>
        </w:p>
        <w:p w:rsidR="00866B58" w:rsidRDefault="00866B58" w14:paraId="168CF892" w14:textId="266DB912">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56">
            <w:r w:rsidRPr="00631D78">
              <w:rPr>
                <w:rStyle w:val="Hyperlink"/>
                <w:noProof/>
              </w:rPr>
              <w:t>4.3.2.</w:t>
            </w:r>
            <w:r>
              <w:rPr>
                <w:rFonts w:asciiTheme="minorHAnsi" w:hAnsiTheme="minorHAnsi" w:cstheme="minorBidi"/>
                <w:noProof/>
                <w:kern w:val="2"/>
                <w:sz w:val="24"/>
                <w:szCs w:val="24"/>
                <w14:ligatures w14:val="standardContextual"/>
              </w:rPr>
              <w:tab/>
            </w:r>
            <w:r w:rsidRPr="00631D78">
              <w:rPr>
                <w:rStyle w:val="Hyperlink"/>
                <w:noProof/>
              </w:rPr>
              <w:t>ROW Ruling Questions and Party Comments</w:t>
            </w:r>
            <w:r>
              <w:rPr>
                <w:noProof/>
                <w:webHidden/>
              </w:rPr>
              <w:tab/>
            </w:r>
            <w:r>
              <w:rPr>
                <w:noProof/>
                <w:webHidden/>
              </w:rPr>
              <w:fldChar w:fldCharType="begin"/>
            </w:r>
            <w:r>
              <w:rPr>
                <w:noProof/>
                <w:webHidden/>
              </w:rPr>
              <w:instrText xml:space="preserve"> PAGEREF _Toc229726756 \h </w:instrText>
            </w:r>
            <w:r>
              <w:rPr>
                <w:noProof/>
                <w:webHidden/>
              </w:rPr>
            </w:r>
            <w:r>
              <w:rPr>
                <w:noProof/>
                <w:webHidden/>
              </w:rPr>
              <w:fldChar w:fldCharType="separate"/>
            </w:r>
            <w:r>
              <w:rPr>
                <w:noProof/>
                <w:webHidden/>
              </w:rPr>
              <w:t>35</w:t>
            </w:r>
            <w:r>
              <w:rPr>
                <w:noProof/>
                <w:webHidden/>
              </w:rPr>
              <w:fldChar w:fldCharType="end"/>
            </w:r>
          </w:hyperlink>
        </w:p>
        <w:p w:rsidR="00866B58" w:rsidRDefault="00866B58" w14:paraId="3928B19C" w14:textId="70C374BF">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57">
            <w:r w:rsidRPr="00631D78">
              <w:rPr>
                <w:rStyle w:val="Hyperlink"/>
                <w:noProof/>
              </w:rPr>
              <w:t>4.3.3.</w:t>
            </w:r>
            <w:r>
              <w:rPr>
                <w:rFonts w:asciiTheme="minorHAnsi" w:hAnsiTheme="minorHAnsi" w:cstheme="minorBidi"/>
                <w:noProof/>
                <w:kern w:val="2"/>
                <w:sz w:val="24"/>
                <w:szCs w:val="24"/>
                <w14:ligatures w14:val="standardContextual"/>
              </w:rPr>
              <w:tab/>
            </w:r>
            <w:r w:rsidRPr="00631D78">
              <w:rPr>
                <w:rStyle w:val="Hyperlink"/>
                <w:noProof/>
              </w:rPr>
              <w:t>Discussion and Findings</w:t>
            </w:r>
            <w:r>
              <w:rPr>
                <w:noProof/>
                <w:webHidden/>
              </w:rPr>
              <w:tab/>
            </w:r>
            <w:r>
              <w:rPr>
                <w:noProof/>
                <w:webHidden/>
              </w:rPr>
              <w:fldChar w:fldCharType="begin"/>
            </w:r>
            <w:r>
              <w:rPr>
                <w:noProof/>
                <w:webHidden/>
              </w:rPr>
              <w:instrText xml:space="preserve"> PAGEREF _Toc229726757 \h </w:instrText>
            </w:r>
            <w:r>
              <w:rPr>
                <w:noProof/>
                <w:webHidden/>
              </w:rPr>
            </w:r>
            <w:r>
              <w:rPr>
                <w:noProof/>
                <w:webHidden/>
              </w:rPr>
              <w:fldChar w:fldCharType="separate"/>
            </w:r>
            <w:r>
              <w:rPr>
                <w:noProof/>
                <w:webHidden/>
              </w:rPr>
              <w:t>38</w:t>
            </w:r>
            <w:r>
              <w:rPr>
                <w:noProof/>
                <w:webHidden/>
              </w:rPr>
              <w:fldChar w:fldCharType="end"/>
            </w:r>
          </w:hyperlink>
        </w:p>
        <w:p w:rsidR="00866B58" w:rsidRDefault="00866B58" w14:paraId="69328CD4" w14:textId="08A2ED6E">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9726758">
            <w:r w:rsidRPr="00631D78">
              <w:rPr>
                <w:rStyle w:val="Hyperlink"/>
                <w:noProof/>
              </w:rPr>
              <w:t>4.4.</w:t>
            </w:r>
            <w:r>
              <w:rPr>
                <w:rFonts w:asciiTheme="minorHAnsi" w:hAnsiTheme="minorHAnsi" w:cstheme="minorBidi"/>
                <w:noProof/>
                <w:kern w:val="2"/>
                <w:sz w:val="24"/>
                <w:szCs w:val="24"/>
                <w14:ligatures w14:val="standardContextual"/>
              </w:rPr>
              <w:tab/>
            </w:r>
            <w:r w:rsidRPr="00631D78">
              <w:rPr>
                <w:rStyle w:val="Hyperlink"/>
                <w:noProof/>
              </w:rPr>
              <w:t>Pole Replacement Prioritization and Self Help for Attachers</w:t>
            </w:r>
            <w:r>
              <w:rPr>
                <w:noProof/>
                <w:webHidden/>
              </w:rPr>
              <w:tab/>
            </w:r>
            <w:r>
              <w:rPr>
                <w:noProof/>
                <w:webHidden/>
              </w:rPr>
              <w:fldChar w:fldCharType="begin"/>
            </w:r>
            <w:r>
              <w:rPr>
                <w:noProof/>
                <w:webHidden/>
              </w:rPr>
              <w:instrText xml:space="preserve"> PAGEREF _Toc229726758 \h </w:instrText>
            </w:r>
            <w:r>
              <w:rPr>
                <w:noProof/>
                <w:webHidden/>
              </w:rPr>
            </w:r>
            <w:r>
              <w:rPr>
                <w:noProof/>
                <w:webHidden/>
              </w:rPr>
              <w:fldChar w:fldCharType="separate"/>
            </w:r>
            <w:r>
              <w:rPr>
                <w:noProof/>
                <w:webHidden/>
              </w:rPr>
              <w:t>40</w:t>
            </w:r>
            <w:r>
              <w:rPr>
                <w:noProof/>
                <w:webHidden/>
              </w:rPr>
              <w:fldChar w:fldCharType="end"/>
            </w:r>
          </w:hyperlink>
        </w:p>
        <w:p w:rsidR="00866B58" w:rsidRDefault="00866B58" w14:paraId="53519514" w14:textId="3045C37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59">
            <w:r w:rsidRPr="00631D78">
              <w:rPr>
                <w:rStyle w:val="Hyperlink"/>
                <w:noProof/>
              </w:rPr>
              <w:t>4.4.1.</w:t>
            </w:r>
            <w:r>
              <w:rPr>
                <w:rFonts w:asciiTheme="minorHAnsi" w:hAnsiTheme="minorHAnsi" w:cstheme="minorBidi"/>
                <w:noProof/>
                <w:kern w:val="2"/>
                <w:sz w:val="24"/>
                <w:szCs w:val="24"/>
                <w14:ligatures w14:val="standardContextual"/>
              </w:rPr>
              <w:tab/>
            </w:r>
            <w:r w:rsidRPr="00631D78">
              <w:rPr>
                <w:rStyle w:val="Hyperlink"/>
                <w:noProof/>
              </w:rPr>
              <w:t>ROW Ruling Background and Staff Proposal</w:t>
            </w:r>
            <w:r>
              <w:rPr>
                <w:noProof/>
                <w:webHidden/>
              </w:rPr>
              <w:tab/>
            </w:r>
            <w:r>
              <w:rPr>
                <w:noProof/>
                <w:webHidden/>
              </w:rPr>
              <w:fldChar w:fldCharType="begin"/>
            </w:r>
            <w:r>
              <w:rPr>
                <w:noProof/>
                <w:webHidden/>
              </w:rPr>
              <w:instrText xml:space="preserve"> PAGEREF _Toc229726759 \h </w:instrText>
            </w:r>
            <w:r>
              <w:rPr>
                <w:noProof/>
                <w:webHidden/>
              </w:rPr>
            </w:r>
            <w:r>
              <w:rPr>
                <w:noProof/>
                <w:webHidden/>
              </w:rPr>
              <w:fldChar w:fldCharType="separate"/>
            </w:r>
            <w:r>
              <w:rPr>
                <w:noProof/>
                <w:webHidden/>
              </w:rPr>
              <w:t>40</w:t>
            </w:r>
            <w:r>
              <w:rPr>
                <w:noProof/>
                <w:webHidden/>
              </w:rPr>
              <w:fldChar w:fldCharType="end"/>
            </w:r>
          </w:hyperlink>
        </w:p>
        <w:p w:rsidR="00866B58" w:rsidRDefault="00866B58" w14:paraId="7BD107F7" w14:textId="52BEE61E">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60">
            <w:r w:rsidRPr="00631D78">
              <w:rPr>
                <w:rStyle w:val="Hyperlink"/>
                <w:noProof/>
              </w:rPr>
              <w:t>4.4.2.</w:t>
            </w:r>
            <w:r>
              <w:rPr>
                <w:rFonts w:asciiTheme="minorHAnsi" w:hAnsiTheme="minorHAnsi" w:cstheme="minorBidi"/>
                <w:noProof/>
                <w:kern w:val="2"/>
                <w:sz w:val="24"/>
                <w:szCs w:val="24"/>
                <w14:ligatures w14:val="standardContextual"/>
              </w:rPr>
              <w:tab/>
            </w:r>
            <w:r w:rsidRPr="00631D78">
              <w:rPr>
                <w:rStyle w:val="Hyperlink"/>
                <w:noProof/>
              </w:rPr>
              <w:t>ROW Ruling Questions and Party Comments</w:t>
            </w:r>
            <w:r>
              <w:rPr>
                <w:noProof/>
                <w:webHidden/>
              </w:rPr>
              <w:tab/>
            </w:r>
            <w:r>
              <w:rPr>
                <w:noProof/>
                <w:webHidden/>
              </w:rPr>
              <w:fldChar w:fldCharType="begin"/>
            </w:r>
            <w:r>
              <w:rPr>
                <w:noProof/>
                <w:webHidden/>
              </w:rPr>
              <w:instrText xml:space="preserve"> PAGEREF _Toc229726760 \h </w:instrText>
            </w:r>
            <w:r>
              <w:rPr>
                <w:noProof/>
                <w:webHidden/>
              </w:rPr>
            </w:r>
            <w:r>
              <w:rPr>
                <w:noProof/>
                <w:webHidden/>
              </w:rPr>
              <w:fldChar w:fldCharType="separate"/>
            </w:r>
            <w:r>
              <w:rPr>
                <w:noProof/>
                <w:webHidden/>
              </w:rPr>
              <w:t>42</w:t>
            </w:r>
            <w:r>
              <w:rPr>
                <w:noProof/>
                <w:webHidden/>
              </w:rPr>
              <w:fldChar w:fldCharType="end"/>
            </w:r>
          </w:hyperlink>
        </w:p>
        <w:p w:rsidR="00866B58" w:rsidRDefault="00866B58" w14:paraId="1D2B778F" w14:textId="08950B8A">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61">
            <w:r w:rsidRPr="00631D78">
              <w:rPr>
                <w:rStyle w:val="Hyperlink"/>
                <w:noProof/>
              </w:rPr>
              <w:t>4.4.3.</w:t>
            </w:r>
            <w:r>
              <w:rPr>
                <w:rFonts w:asciiTheme="minorHAnsi" w:hAnsiTheme="minorHAnsi" w:cstheme="minorBidi"/>
                <w:noProof/>
                <w:kern w:val="2"/>
                <w:sz w:val="24"/>
                <w:szCs w:val="24"/>
                <w14:ligatures w14:val="standardContextual"/>
              </w:rPr>
              <w:tab/>
            </w:r>
            <w:r w:rsidRPr="00631D78">
              <w:rPr>
                <w:rStyle w:val="Hyperlink"/>
                <w:noProof/>
              </w:rPr>
              <w:t>Discussion and Findings</w:t>
            </w:r>
            <w:r>
              <w:rPr>
                <w:noProof/>
                <w:webHidden/>
              </w:rPr>
              <w:tab/>
            </w:r>
            <w:r>
              <w:rPr>
                <w:noProof/>
                <w:webHidden/>
              </w:rPr>
              <w:fldChar w:fldCharType="begin"/>
            </w:r>
            <w:r>
              <w:rPr>
                <w:noProof/>
                <w:webHidden/>
              </w:rPr>
              <w:instrText xml:space="preserve"> PAGEREF _Toc229726761 \h </w:instrText>
            </w:r>
            <w:r>
              <w:rPr>
                <w:noProof/>
                <w:webHidden/>
              </w:rPr>
            </w:r>
            <w:r>
              <w:rPr>
                <w:noProof/>
                <w:webHidden/>
              </w:rPr>
              <w:fldChar w:fldCharType="separate"/>
            </w:r>
            <w:r>
              <w:rPr>
                <w:noProof/>
                <w:webHidden/>
              </w:rPr>
              <w:t>58</w:t>
            </w:r>
            <w:r>
              <w:rPr>
                <w:noProof/>
                <w:webHidden/>
              </w:rPr>
              <w:fldChar w:fldCharType="end"/>
            </w:r>
          </w:hyperlink>
        </w:p>
        <w:p w:rsidR="00866B58" w:rsidRDefault="00866B58" w14:paraId="279660EC" w14:textId="64706D9F">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9726762">
            <w:r w:rsidRPr="00631D78">
              <w:rPr>
                <w:rStyle w:val="Hyperlink"/>
                <w:noProof/>
              </w:rPr>
              <w:t>4.5.</w:t>
            </w:r>
            <w:r>
              <w:rPr>
                <w:rFonts w:asciiTheme="minorHAnsi" w:hAnsiTheme="minorHAnsi" w:cstheme="minorBidi"/>
                <w:noProof/>
                <w:kern w:val="2"/>
                <w:sz w:val="24"/>
                <w:szCs w:val="24"/>
                <w14:ligatures w14:val="standardContextual"/>
              </w:rPr>
              <w:tab/>
            </w:r>
            <w:r w:rsidRPr="00631D78">
              <w:rPr>
                <w:rStyle w:val="Hyperlink"/>
                <w:noProof/>
              </w:rPr>
              <w:t>Conduit Data Reporting</w:t>
            </w:r>
            <w:r>
              <w:rPr>
                <w:noProof/>
                <w:webHidden/>
              </w:rPr>
              <w:tab/>
            </w:r>
            <w:r>
              <w:rPr>
                <w:noProof/>
                <w:webHidden/>
              </w:rPr>
              <w:fldChar w:fldCharType="begin"/>
            </w:r>
            <w:r>
              <w:rPr>
                <w:noProof/>
                <w:webHidden/>
              </w:rPr>
              <w:instrText xml:space="preserve"> PAGEREF _Toc229726762 \h </w:instrText>
            </w:r>
            <w:r>
              <w:rPr>
                <w:noProof/>
                <w:webHidden/>
              </w:rPr>
            </w:r>
            <w:r>
              <w:rPr>
                <w:noProof/>
                <w:webHidden/>
              </w:rPr>
              <w:fldChar w:fldCharType="separate"/>
            </w:r>
            <w:r>
              <w:rPr>
                <w:noProof/>
                <w:webHidden/>
              </w:rPr>
              <w:t>61</w:t>
            </w:r>
            <w:r>
              <w:rPr>
                <w:noProof/>
                <w:webHidden/>
              </w:rPr>
              <w:fldChar w:fldCharType="end"/>
            </w:r>
          </w:hyperlink>
        </w:p>
        <w:p w:rsidR="00866B58" w:rsidRDefault="00866B58" w14:paraId="4F110B82" w14:textId="1B9DD432">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63">
            <w:r w:rsidRPr="00631D78">
              <w:rPr>
                <w:rStyle w:val="Hyperlink"/>
                <w:noProof/>
              </w:rPr>
              <w:t>4.5.1.</w:t>
            </w:r>
            <w:r>
              <w:rPr>
                <w:rFonts w:asciiTheme="minorHAnsi" w:hAnsiTheme="minorHAnsi" w:cstheme="minorBidi"/>
                <w:noProof/>
                <w:kern w:val="2"/>
                <w:sz w:val="24"/>
                <w:szCs w:val="24"/>
                <w14:ligatures w14:val="standardContextual"/>
              </w:rPr>
              <w:tab/>
            </w:r>
            <w:r w:rsidRPr="00631D78">
              <w:rPr>
                <w:rStyle w:val="Hyperlink"/>
                <w:noProof/>
              </w:rPr>
              <w:t>ROW Ruling Background and Staff Proposal</w:t>
            </w:r>
            <w:r>
              <w:rPr>
                <w:noProof/>
                <w:webHidden/>
              </w:rPr>
              <w:tab/>
            </w:r>
            <w:r>
              <w:rPr>
                <w:noProof/>
                <w:webHidden/>
              </w:rPr>
              <w:fldChar w:fldCharType="begin"/>
            </w:r>
            <w:r>
              <w:rPr>
                <w:noProof/>
                <w:webHidden/>
              </w:rPr>
              <w:instrText xml:space="preserve"> PAGEREF _Toc229726763 \h </w:instrText>
            </w:r>
            <w:r>
              <w:rPr>
                <w:noProof/>
                <w:webHidden/>
              </w:rPr>
            </w:r>
            <w:r>
              <w:rPr>
                <w:noProof/>
                <w:webHidden/>
              </w:rPr>
              <w:fldChar w:fldCharType="separate"/>
            </w:r>
            <w:r>
              <w:rPr>
                <w:noProof/>
                <w:webHidden/>
              </w:rPr>
              <w:t>61</w:t>
            </w:r>
            <w:r>
              <w:rPr>
                <w:noProof/>
                <w:webHidden/>
              </w:rPr>
              <w:fldChar w:fldCharType="end"/>
            </w:r>
          </w:hyperlink>
        </w:p>
        <w:p w:rsidR="00866B58" w:rsidRDefault="00866B58" w14:paraId="5BF368E5" w14:textId="50870DE1">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64">
            <w:r w:rsidRPr="00631D78">
              <w:rPr>
                <w:rStyle w:val="Hyperlink"/>
                <w:noProof/>
              </w:rPr>
              <w:t>4.5.2.</w:t>
            </w:r>
            <w:r>
              <w:rPr>
                <w:rFonts w:asciiTheme="minorHAnsi" w:hAnsiTheme="minorHAnsi" w:cstheme="minorBidi"/>
                <w:noProof/>
                <w:kern w:val="2"/>
                <w:sz w:val="24"/>
                <w:szCs w:val="24"/>
                <w14:ligatures w14:val="standardContextual"/>
              </w:rPr>
              <w:tab/>
            </w:r>
            <w:r w:rsidRPr="00631D78">
              <w:rPr>
                <w:rStyle w:val="Hyperlink"/>
                <w:noProof/>
              </w:rPr>
              <w:t>ROW Ruling Questions and Party Comments</w:t>
            </w:r>
            <w:r>
              <w:rPr>
                <w:noProof/>
                <w:webHidden/>
              </w:rPr>
              <w:tab/>
            </w:r>
            <w:r>
              <w:rPr>
                <w:noProof/>
                <w:webHidden/>
              </w:rPr>
              <w:fldChar w:fldCharType="begin"/>
            </w:r>
            <w:r>
              <w:rPr>
                <w:noProof/>
                <w:webHidden/>
              </w:rPr>
              <w:instrText xml:space="preserve"> PAGEREF _Toc229726764 \h </w:instrText>
            </w:r>
            <w:r>
              <w:rPr>
                <w:noProof/>
                <w:webHidden/>
              </w:rPr>
            </w:r>
            <w:r>
              <w:rPr>
                <w:noProof/>
                <w:webHidden/>
              </w:rPr>
              <w:fldChar w:fldCharType="separate"/>
            </w:r>
            <w:r>
              <w:rPr>
                <w:noProof/>
                <w:webHidden/>
              </w:rPr>
              <w:t>63</w:t>
            </w:r>
            <w:r>
              <w:rPr>
                <w:noProof/>
                <w:webHidden/>
              </w:rPr>
              <w:fldChar w:fldCharType="end"/>
            </w:r>
          </w:hyperlink>
        </w:p>
        <w:p w:rsidR="00866B58" w:rsidRDefault="00866B58" w14:paraId="240BFDE6" w14:textId="0815EBD8">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65">
            <w:r w:rsidRPr="00631D78">
              <w:rPr>
                <w:rStyle w:val="Hyperlink"/>
                <w:noProof/>
              </w:rPr>
              <w:t>4.5.3.</w:t>
            </w:r>
            <w:r>
              <w:rPr>
                <w:rFonts w:asciiTheme="minorHAnsi" w:hAnsiTheme="minorHAnsi" w:cstheme="minorBidi"/>
                <w:noProof/>
                <w:kern w:val="2"/>
                <w:sz w:val="24"/>
                <w:szCs w:val="24"/>
                <w14:ligatures w14:val="standardContextual"/>
              </w:rPr>
              <w:tab/>
            </w:r>
            <w:r w:rsidRPr="00631D78">
              <w:rPr>
                <w:rStyle w:val="Hyperlink"/>
                <w:noProof/>
              </w:rPr>
              <w:t>Discussion and Findings</w:t>
            </w:r>
            <w:r>
              <w:rPr>
                <w:noProof/>
                <w:webHidden/>
              </w:rPr>
              <w:tab/>
            </w:r>
            <w:r>
              <w:rPr>
                <w:noProof/>
                <w:webHidden/>
              </w:rPr>
              <w:fldChar w:fldCharType="begin"/>
            </w:r>
            <w:r>
              <w:rPr>
                <w:noProof/>
                <w:webHidden/>
              </w:rPr>
              <w:instrText xml:space="preserve"> PAGEREF _Toc229726765 \h </w:instrText>
            </w:r>
            <w:r>
              <w:rPr>
                <w:noProof/>
                <w:webHidden/>
              </w:rPr>
            </w:r>
            <w:r>
              <w:rPr>
                <w:noProof/>
                <w:webHidden/>
              </w:rPr>
              <w:fldChar w:fldCharType="separate"/>
            </w:r>
            <w:r>
              <w:rPr>
                <w:noProof/>
                <w:webHidden/>
              </w:rPr>
              <w:t>65</w:t>
            </w:r>
            <w:r>
              <w:rPr>
                <w:noProof/>
                <w:webHidden/>
              </w:rPr>
              <w:fldChar w:fldCharType="end"/>
            </w:r>
          </w:hyperlink>
        </w:p>
        <w:p w:rsidR="00866B58" w:rsidRDefault="00866B58" w14:paraId="7B1818D3" w14:textId="0812A25B">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9726766">
            <w:r w:rsidRPr="00631D78">
              <w:rPr>
                <w:rStyle w:val="Hyperlink"/>
                <w:noProof/>
              </w:rPr>
              <w:t>4.6.</w:t>
            </w:r>
            <w:r>
              <w:rPr>
                <w:rFonts w:asciiTheme="minorHAnsi" w:hAnsiTheme="minorHAnsi" w:cstheme="minorBidi"/>
                <w:noProof/>
                <w:kern w:val="2"/>
                <w:sz w:val="24"/>
                <w:szCs w:val="24"/>
                <w14:ligatures w14:val="standardContextual"/>
              </w:rPr>
              <w:tab/>
            </w:r>
            <w:r w:rsidRPr="00631D78">
              <w:rPr>
                <w:rStyle w:val="Hyperlink"/>
                <w:noProof/>
              </w:rPr>
              <w:t>Applicability of Rights</w:t>
            </w:r>
            <w:r w:rsidRPr="00631D78">
              <w:rPr>
                <w:rStyle w:val="Hyperlink"/>
                <w:noProof/>
              </w:rPr>
              <w:noBreakHyphen/>
              <w:t>of</w:t>
            </w:r>
            <w:r w:rsidRPr="00631D78">
              <w:rPr>
                <w:rStyle w:val="Hyperlink"/>
                <w:noProof/>
              </w:rPr>
              <w:noBreakHyphen/>
              <w:t>Way Rules to Local Governments and Other Utilities</w:t>
            </w:r>
            <w:r>
              <w:rPr>
                <w:noProof/>
                <w:webHidden/>
              </w:rPr>
              <w:tab/>
            </w:r>
            <w:r>
              <w:rPr>
                <w:noProof/>
                <w:webHidden/>
              </w:rPr>
              <w:fldChar w:fldCharType="begin"/>
            </w:r>
            <w:r>
              <w:rPr>
                <w:noProof/>
                <w:webHidden/>
              </w:rPr>
              <w:instrText xml:space="preserve"> PAGEREF _Toc229726766 \h </w:instrText>
            </w:r>
            <w:r>
              <w:rPr>
                <w:noProof/>
                <w:webHidden/>
              </w:rPr>
            </w:r>
            <w:r>
              <w:rPr>
                <w:noProof/>
                <w:webHidden/>
              </w:rPr>
              <w:fldChar w:fldCharType="separate"/>
            </w:r>
            <w:r>
              <w:rPr>
                <w:noProof/>
                <w:webHidden/>
              </w:rPr>
              <w:t>65</w:t>
            </w:r>
            <w:r>
              <w:rPr>
                <w:noProof/>
                <w:webHidden/>
              </w:rPr>
              <w:fldChar w:fldCharType="end"/>
            </w:r>
          </w:hyperlink>
        </w:p>
        <w:p w:rsidR="00866B58" w:rsidRDefault="00866B58" w14:paraId="667D404D" w14:textId="546F5565">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67">
            <w:r w:rsidRPr="00631D78">
              <w:rPr>
                <w:rStyle w:val="Hyperlink"/>
                <w:noProof/>
              </w:rPr>
              <w:t>4.6.1.</w:t>
            </w:r>
            <w:r>
              <w:rPr>
                <w:rFonts w:asciiTheme="minorHAnsi" w:hAnsiTheme="minorHAnsi" w:cstheme="minorBidi"/>
                <w:noProof/>
                <w:kern w:val="2"/>
                <w:sz w:val="24"/>
                <w:szCs w:val="24"/>
                <w14:ligatures w14:val="standardContextual"/>
              </w:rPr>
              <w:tab/>
            </w:r>
            <w:r w:rsidRPr="00631D78">
              <w:rPr>
                <w:rStyle w:val="Hyperlink"/>
                <w:noProof/>
              </w:rPr>
              <w:t>ROW Ruling Background and Staff Proposal</w:t>
            </w:r>
            <w:r>
              <w:rPr>
                <w:noProof/>
                <w:webHidden/>
              </w:rPr>
              <w:tab/>
            </w:r>
            <w:r>
              <w:rPr>
                <w:noProof/>
                <w:webHidden/>
              </w:rPr>
              <w:fldChar w:fldCharType="begin"/>
            </w:r>
            <w:r>
              <w:rPr>
                <w:noProof/>
                <w:webHidden/>
              </w:rPr>
              <w:instrText xml:space="preserve"> PAGEREF _Toc229726767 \h </w:instrText>
            </w:r>
            <w:r>
              <w:rPr>
                <w:noProof/>
                <w:webHidden/>
              </w:rPr>
            </w:r>
            <w:r>
              <w:rPr>
                <w:noProof/>
                <w:webHidden/>
              </w:rPr>
              <w:fldChar w:fldCharType="separate"/>
            </w:r>
            <w:r>
              <w:rPr>
                <w:noProof/>
                <w:webHidden/>
              </w:rPr>
              <w:t>65</w:t>
            </w:r>
            <w:r>
              <w:rPr>
                <w:noProof/>
                <w:webHidden/>
              </w:rPr>
              <w:fldChar w:fldCharType="end"/>
            </w:r>
          </w:hyperlink>
        </w:p>
        <w:p w:rsidR="00866B58" w:rsidRDefault="00866B58" w14:paraId="6E18A84E" w14:textId="05CFC5B5">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68">
            <w:r w:rsidRPr="00631D78">
              <w:rPr>
                <w:rStyle w:val="Hyperlink"/>
                <w:noProof/>
              </w:rPr>
              <w:t>4.6.2.</w:t>
            </w:r>
            <w:r>
              <w:rPr>
                <w:rFonts w:asciiTheme="minorHAnsi" w:hAnsiTheme="minorHAnsi" w:cstheme="minorBidi"/>
                <w:noProof/>
                <w:kern w:val="2"/>
                <w:sz w:val="24"/>
                <w:szCs w:val="24"/>
                <w14:ligatures w14:val="standardContextual"/>
              </w:rPr>
              <w:tab/>
            </w:r>
            <w:r w:rsidRPr="00631D78">
              <w:rPr>
                <w:rStyle w:val="Hyperlink"/>
                <w:noProof/>
              </w:rPr>
              <w:t>ROW Ruling Questions and Party Comments</w:t>
            </w:r>
            <w:r>
              <w:rPr>
                <w:noProof/>
                <w:webHidden/>
              </w:rPr>
              <w:tab/>
            </w:r>
            <w:r>
              <w:rPr>
                <w:noProof/>
                <w:webHidden/>
              </w:rPr>
              <w:fldChar w:fldCharType="begin"/>
            </w:r>
            <w:r>
              <w:rPr>
                <w:noProof/>
                <w:webHidden/>
              </w:rPr>
              <w:instrText xml:space="preserve"> PAGEREF _Toc229726768 \h </w:instrText>
            </w:r>
            <w:r>
              <w:rPr>
                <w:noProof/>
                <w:webHidden/>
              </w:rPr>
            </w:r>
            <w:r>
              <w:rPr>
                <w:noProof/>
                <w:webHidden/>
              </w:rPr>
              <w:fldChar w:fldCharType="separate"/>
            </w:r>
            <w:r>
              <w:rPr>
                <w:noProof/>
                <w:webHidden/>
              </w:rPr>
              <w:t>67</w:t>
            </w:r>
            <w:r>
              <w:rPr>
                <w:noProof/>
                <w:webHidden/>
              </w:rPr>
              <w:fldChar w:fldCharType="end"/>
            </w:r>
          </w:hyperlink>
        </w:p>
        <w:p w:rsidR="00866B58" w:rsidRDefault="00866B58" w14:paraId="42FDAC7A" w14:textId="53C50256">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69">
            <w:r w:rsidRPr="00631D78">
              <w:rPr>
                <w:rStyle w:val="Hyperlink"/>
                <w:noProof/>
              </w:rPr>
              <w:t>4.6.3.</w:t>
            </w:r>
            <w:r>
              <w:rPr>
                <w:rFonts w:asciiTheme="minorHAnsi" w:hAnsiTheme="minorHAnsi" w:cstheme="minorBidi"/>
                <w:noProof/>
                <w:kern w:val="2"/>
                <w:sz w:val="24"/>
                <w:szCs w:val="24"/>
                <w14:ligatures w14:val="standardContextual"/>
              </w:rPr>
              <w:tab/>
            </w:r>
            <w:r w:rsidRPr="00631D78">
              <w:rPr>
                <w:rStyle w:val="Hyperlink"/>
                <w:noProof/>
              </w:rPr>
              <w:t>Discussion and Findings</w:t>
            </w:r>
            <w:r>
              <w:rPr>
                <w:noProof/>
                <w:webHidden/>
              </w:rPr>
              <w:tab/>
            </w:r>
            <w:r>
              <w:rPr>
                <w:noProof/>
                <w:webHidden/>
              </w:rPr>
              <w:fldChar w:fldCharType="begin"/>
            </w:r>
            <w:r>
              <w:rPr>
                <w:noProof/>
                <w:webHidden/>
              </w:rPr>
              <w:instrText xml:space="preserve"> PAGEREF _Toc229726769 \h </w:instrText>
            </w:r>
            <w:r>
              <w:rPr>
                <w:noProof/>
                <w:webHidden/>
              </w:rPr>
            </w:r>
            <w:r>
              <w:rPr>
                <w:noProof/>
                <w:webHidden/>
              </w:rPr>
              <w:fldChar w:fldCharType="separate"/>
            </w:r>
            <w:r>
              <w:rPr>
                <w:noProof/>
                <w:webHidden/>
              </w:rPr>
              <w:t>71</w:t>
            </w:r>
            <w:r>
              <w:rPr>
                <w:noProof/>
                <w:webHidden/>
              </w:rPr>
              <w:fldChar w:fldCharType="end"/>
            </w:r>
          </w:hyperlink>
        </w:p>
        <w:p w:rsidR="00866B58" w:rsidRDefault="00866B58" w14:paraId="18CE8CC7" w14:textId="7A3322B9">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9726770">
            <w:r w:rsidRPr="00631D78">
              <w:rPr>
                <w:rStyle w:val="Hyperlink"/>
                <w:noProof/>
              </w:rPr>
              <w:t>4.7.</w:t>
            </w:r>
            <w:r>
              <w:rPr>
                <w:rFonts w:asciiTheme="minorHAnsi" w:hAnsiTheme="minorHAnsi" w:cstheme="minorBidi"/>
                <w:noProof/>
                <w:kern w:val="2"/>
                <w:sz w:val="24"/>
                <w:szCs w:val="24"/>
                <w14:ligatures w14:val="standardContextual"/>
              </w:rPr>
              <w:tab/>
            </w:r>
            <w:r w:rsidRPr="00631D78">
              <w:rPr>
                <w:rStyle w:val="Hyperlink"/>
                <w:noProof/>
              </w:rPr>
              <w:t>Overlashing</w:t>
            </w:r>
            <w:r>
              <w:rPr>
                <w:noProof/>
                <w:webHidden/>
              </w:rPr>
              <w:tab/>
            </w:r>
            <w:r>
              <w:rPr>
                <w:noProof/>
                <w:webHidden/>
              </w:rPr>
              <w:fldChar w:fldCharType="begin"/>
            </w:r>
            <w:r>
              <w:rPr>
                <w:noProof/>
                <w:webHidden/>
              </w:rPr>
              <w:instrText xml:space="preserve"> PAGEREF _Toc229726770 \h </w:instrText>
            </w:r>
            <w:r>
              <w:rPr>
                <w:noProof/>
                <w:webHidden/>
              </w:rPr>
            </w:r>
            <w:r>
              <w:rPr>
                <w:noProof/>
                <w:webHidden/>
              </w:rPr>
              <w:fldChar w:fldCharType="separate"/>
            </w:r>
            <w:r>
              <w:rPr>
                <w:noProof/>
                <w:webHidden/>
              </w:rPr>
              <w:t>80</w:t>
            </w:r>
            <w:r>
              <w:rPr>
                <w:noProof/>
                <w:webHidden/>
              </w:rPr>
              <w:fldChar w:fldCharType="end"/>
            </w:r>
          </w:hyperlink>
        </w:p>
        <w:p w:rsidR="00866B58" w:rsidRDefault="00866B58" w14:paraId="46FB7A92" w14:textId="127E2D69">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71">
            <w:r w:rsidRPr="00631D78">
              <w:rPr>
                <w:rStyle w:val="Hyperlink"/>
                <w:noProof/>
              </w:rPr>
              <w:t>4.7.1.</w:t>
            </w:r>
            <w:r>
              <w:rPr>
                <w:rFonts w:asciiTheme="minorHAnsi" w:hAnsiTheme="minorHAnsi" w:cstheme="minorBidi"/>
                <w:noProof/>
                <w:kern w:val="2"/>
                <w:sz w:val="24"/>
                <w:szCs w:val="24"/>
                <w14:ligatures w14:val="standardContextual"/>
              </w:rPr>
              <w:tab/>
            </w:r>
            <w:r w:rsidRPr="00631D78">
              <w:rPr>
                <w:rStyle w:val="Hyperlink"/>
                <w:noProof/>
              </w:rPr>
              <w:t>ROW Ruling Background and Staff Proposal</w:t>
            </w:r>
            <w:r>
              <w:rPr>
                <w:noProof/>
                <w:webHidden/>
              </w:rPr>
              <w:tab/>
            </w:r>
            <w:r>
              <w:rPr>
                <w:noProof/>
                <w:webHidden/>
              </w:rPr>
              <w:fldChar w:fldCharType="begin"/>
            </w:r>
            <w:r>
              <w:rPr>
                <w:noProof/>
                <w:webHidden/>
              </w:rPr>
              <w:instrText xml:space="preserve"> PAGEREF _Toc229726771 \h </w:instrText>
            </w:r>
            <w:r>
              <w:rPr>
                <w:noProof/>
                <w:webHidden/>
              </w:rPr>
            </w:r>
            <w:r>
              <w:rPr>
                <w:noProof/>
                <w:webHidden/>
              </w:rPr>
              <w:fldChar w:fldCharType="separate"/>
            </w:r>
            <w:r>
              <w:rPr>
                <w:noProof/>
                <w:webHidden/>
              </w:rPr>
              <w:t>80</w:t>
            </w:r>
            <w:r>
              <w:rPr>
                <w:noProof/>
                <w:webHidden/>
              </w:rPr>
              <w:fldChar w:fldCharType="end"/>
            </w:r>
          </w:hyperlink>
        </w:p>
        <w:p w:rsidR="00866B58" w:rsidRDefault="00866B58" w14:paraId="389A096F" w14:textId="7000421B">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72">
            <w:r w:rsidRPr="00631D78">
              <w:rPr>
                <w:rStyle w:val="Hyperlink"/>
                <w:noProof/>
              </w:rPr>
              <w:t>4.7.2.</w:t>
            </w:r>
            <w:r>
              <w:rPr>
                <w:rFonts w:asciiTheme="minorHAnsi" w:hAnsiTheme="minorHAnsi" w:cstheme="minorBidi"/>
                <w:noProof/>
                <w:kern w:val="2"/>
                <w:sz w:val="24"/>
                <w:szCs w:val="24"/>
                <w14:ligatures w14:val="standardContextual"/>
              </w:rPr>
              <w:tab/>
            </w:r>
            <w:r w:rsidRPr="00631D78">
              <w:rPr>
                <w:rStyle w:val="Hyperlink"/>
                <w:noProof/>
              </w:rPr>
              <w:t>ROW Ruling Questions and Party Comments</w:t>
            </w:r>
            <w:r>
              <w:rPr>
                <w:noProof/>
                <w:webHidden/>
              </w:rPr>
              <w:tab/>
            </w:r>
            <w:r>
              <w:rPr>
                <w:noProof/>
                <w:webHidden/>
              </w:rPr>
              <w:fldChar w:fldCharType="begin"/>
            </w:r>
            <w:r>
              <w:rPr>
                <w:noProof/>
                <w:webHidden/>
              </w:rPr>
              <w:instrText xml:space="preserve"> PAGEREF _Toc229726772 \h </w:instrText>
            </w:r>
            <w:r>
              <w:rPr>
                <w:noProof/>
                <w:webHidden/>
              </w:rPr>
            </w:r>
            <w:r>
              <w:rPr>
                <w:noProof/>
                <w:webHidden/>
              </w:rPr>
              <w:fldChar w:fldCharType="separate"/>
            </w:r>
            <w:r>
              <w:rPr>
                <w:noProof/>
                <w:webHidden/>
              </w:rPr>
              <w:t>80</w:t>
            </w:r>
            <w:r>
              <w:rPr>
                <w:noProof/>
                <w:webHidden/>
              </w:rPr>
              <w:fldChar w:fldCharType="end"/>
            </w:r>
          </w:hyperlink>
        </w:p>
        <w:p w:rsidR="00866B58" w:rsidRDefault="00866B58" w14:paraId="0868AB5D" w14:textId="56F752A2">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73">
            <w:r w:rsidRPr="00631D78">
              <w:rPr>
                <w:rStyle w:val="Hyperlink"/>
                <w:noProof/>
              </w:rPr>
              <w:t>4.7.3.</w:t>
            </w:r>
            <w:r>
              <w:rPr>
                <w:rFonts w:asciiTheme="minorHAnsi" w:hAnsiTheme="minorHAnsi" w:cstheme="minorBidi"/>
                <w:noProof/>
                <w:kern w:val="2"/>
                <w:sz w:val="24"/>
                <w:szCs w:val="24"/>
                <w14:ligatures w14:val="standardContextual"/>
              </w:rPr>
              <w:tab/>
            </w:r>
            <w:r w:rsidRPr="00631D78">
              <w:rPr>
                <w:rStyle w:val="Hyperlink"/>
                <w:noProof/>
              </w:rPr>
              <w:t>Discussion and Findings</w:t>
            </w:r>
            <w:r>
              <w:rPr>
                <w:noProof/>
                <w:webHidden/>
              </w:rPr>
              <w:tab/>
            </w:r>
            <w:r>
              <w:rPr>
                <w:noProof/>
                <w:webHidden/>
              </w:rPr>
              <w:fldChar w:fldCharType="begin"/>
            </w:r>
            <w:r>
              <w:rPr>
                <w:noProof/>
                <w:webHidden/>
              </w:rPr>
              <w:instrText xml:space="preserve"> PAGEREF _Toc229726773 \h </w:instrText>
            </w:r>
            <w:r>
              <w:rPr>
                <w:noProof/>
                <w:webHidden/>
              </w:rPr>
            </w:r>
            <w:r>
              <w:rPr>
                <w:noProof/>
                <w:webHidden/>
              </w:rPr>
              <w:fldChar w:fldCharType="separate"/>
            </w:r>
            <w:r>
              <w:rPr>
                <w:noProof/>
                <w:webHidden/>
              </w:rPr>
              <w:t>82</w:t>
            </w:r>
            <w:r>
              <w:rPr>
                <w:noProof/>
                <w:webHidden/>
              </w:rPr>
              <w:fldChar w:fldCharType="end"/>
            </w:r>
          </w:hyperlink>
        </w:p>
        <w:p w:rsidR="00866B58" w:rsidRDefault="00866B58" w14:paraId="3282BF91" w14:textId="076E01DE">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9726774">
            <w:r w:rsidRPr="00631D78">
              <w:rPr>
                <w:rStyle w:val="Hyperlink"/>
                <w:noProof/>
              </w:rPr>
              <w:t>4.8.</w:t>
            </w:r>
            <w:r>
              <w:rPr>
                <w:rFonts w:asciiTheme="minorHAnsi" w:hAnsiTheme="minorHAnsi" w:cstheme="minorBidi"/>
                <w:noProof/>
                <w:kern w:val="2"/>
                <w:sz w:val="24"/>
                <w:szCs w:val="24"/>
                <w14:ligatures w14:val="standardContextual"/>
              </w:rPr>
              <w:tab/>
            </w:r>
            <w:r w:rsidRPr="00631D78">
              <w:rPr>
                <w:rStyle w:val="Hyperlink"/>
                <w:noProof/>
              </w:rPr>
              <w:t>Technical Cleanup to Rights</w:t>
            </w:r>
            <w:r w:rsidRPr="00631D78">
              <w:rPr>
                <w:rStyle w:val="Hyperlink"/>
                <w:noProof/>
              </w:rPr>
              <w:noBreakHyphen/>
              <w:t>of</w:t>
            </w:r>
            <w:r w:rsidRPr="00631D78">
              <w:rPr>
                <w:rStyle w:val="Hyperlink"/>
                <w:noProof/>
              </w:rPr>
              <w:noBreakHyphen/>
              <w:t>Way Rules</w:t>
            </w:r>
            <w:r>
              <w:rPr>
                <w:noProof/>
                <w:webHidden/>
              </w:rPr>
              <w:tab/>
            </w:r>
            <w:r>
              <w:rPr>
                <w:noProof/>
                <w:webHidden/>
              </w:rPr>
              <w:fldChar w:fldCharType="begin"/>
            </w:r>
            <w:r>
              <w:rPr>
                <w:noProof/>
                <w:webHidden/>
              </w:rPr>
              <w:instrText xml:space="preserve"> PAGEREF _Toc229726774 \h </w:instrText>
            </w:r>
            <w:r>
              <w:rPr>
                <w:noProof/>
                <w:webHidden/>
              </w:rPr>
            </w:r>
            <w:r>
              <w:rPr>
                <w:noProof/>
                <w:webHidden/>
              </w:rPr>
              <w:fldChar w:fldCharType="separate"/>
            </w:r>
            <w:r>
              <w:rPr>
                <w:noProof/>
                <w:webHidden/>
              </w:rPr>
              <w:t>82</w:t>
            </w:r>
            <w:r>
              <w:rPr>
                <w:noProof/>
                <w:webHidden/>
              </w:rPr>
              <w:fldChar w:fldCharType="end"/>
            </w:r>
          </w:hyperlink>
        </w:p>
        <w:p w:rsidR="00866B58" w:rsidRDefault="00866B58" w14:paraId="5CFBDAAA" w14:textId="160CFCB1">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75">
            <w:r w:rsidRPr="00631D78">
              <w:rPr>
                <w:rStyle w:val="Hyperlink"/>
                <w:noProof/>
              </w:rPr>
              <w:t>4.8.1.</w:t>
            </w:r>
            <w:r>
              <w:rPr>
                <w:rFonts w:asciiTheme="minorHAnsi" w:hAnsiTheme="minorHAnsi" w:cstheme="minorBidi"/>
                <w:noProof/>
                <w:kern w:val="2"/>
                <w:sz w:val="24"/>
                <w:szCs w:val="24"/>
                <w14:ligatures w14:val="standardContextual"/>
              </w:rPr>
              <w:tab/>
            </w:r>
            <w:r w:rsidRPr="00631D78">
              <w:rPr>
                <w:rStyle w:val="Hyperlink"/>
                <w:noProof/>
              </w:rPr>
              <w:t>Party Comments</w:t>
            </w:r>
            <w:r>
              <w:rPr>
                <w:noProof/>
                <w:webHidden/>
              </w:rPr>
              <w:tab/>
            </w:r>
            <w:r>
              <w:rPr>
                <w:noProof/>
                <w:webHidden/>
              </w:rPr>
              <w:fldChar w:fldCharType="begin"/>
            </w:r>
            <w:r>
              <w:rPr>
                <w:noProof/>
                <w:webHidden/>
              </w:rPr>
              <w:instrText xml:space="preserve"> PAGEREF _Toc229726775 \h </w:instrText>
            </w:r>
            <w:r>
              <w:rPr>
                <w:noProof/>
                <w:webHidden/>
              </w:rPr>
            </w:r>
            <w:r>
              <w:rPr>
                <w:noProof/>
                <w:webHidden/>
              </w:rPr>
              <w:fldChar w:fldCharType="separate"/>
            </w:r>
            <w:r>
              <w:rPr>
                <w:noProof/>
                <w:webHidden/>
              </w:rPr>
              <w:t>82</w:t>
            </w:r>
            <w:r>
              <w:rPr>
                <w:noProof/>
                <w:webHidden/>
              </w:rPr>
              <w:fldChar w:fldCharType="end"/>
            </w:r>
          </w:hyperlink>
        </w:p>
        <w:p w:rsidR="00866B58" w:rsidRDefault="00866B58" w14:paraId="4500A66A" w14:textId="36744593">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76">
            <w:r w:rsidRPr="00631D78">
              <w:rPr>
                <w:rStyle w:val="Hyperlink"/>
                <w:noProof/>
              </w:rPr>
              <w:t>4.8.2.</w:t>
            </w:r>
            <w:r>
              <w:rPr>
                <w:rFonts w:asciiTheme="minorHAnsi" w:hAnsiTheme="minorHAnsi" w:cstheme="minorBidi"/>
                <w:noProof/>
                <w:kern w:val="2"/>
                <w:sz w:val="24"/>
                <w:szCs w:val="24"/>
                <w14:ligatures w14:val="standardContextual"/>
              </w:rPr>
              <w:tab/>
            </w:r>
            <w:r w:rsidRPr="00631D78">
              <w:rPr>
                <w:rStyle w:val="Hyperlink"/>
                <w:noProof/>
              </w:rPr>
              <w:t>Discussion and Findings</w:t>
            </w:r>
            <w:r>
              <w:rPr>
                <w:noProof/>
                <w:webHidden/>
              </w:rPr>
              <w:tab/>
            </w:r>
            <w:r>
              <w:rPr>
                <w:noProof/>
                <w:webHidden/>
              </w:rPr>
              <w:fldChar w:fldCharType="begin"/>
            </w:r>
            <w:r>
              <w:rPr>
                <w:noProof/>
                <w:webHidden/>
              </w:rPr>
              <w:instrText xml:space="preserve"> PAGEREF _Toc229726776 \h </w:instrText>
            </w:r>
            <w:r>
              <w:rPr>
                <w:noProof/>
                <w:webHidden/>
              </w:rPr>
            </w:r>
            <w:r>
              <w:rPr>
                <w:noProof/>
                <w:webHidden/>
              </w:rPr>
              <w:fldChar w:fldCharType="separate"/>
            </w:r>
            <w:r>
              <w:rPr>
                <w:noProof/>
                <w:webHidden/>
              </w:rPr>
              <w:t>83</w:t>
            </w:r>
            <w:r>
              <w:rPr>
                <w:noProof/>
                <w:webHidden/>
              </w:rPr>
              <w:fldChar w:fldCharType="end"/>
            </w:r>
          </w:hyperlink>
        </w:p>
        <w:p w:rsidR="00866B58" w:rsidRDefault="00866B58" w14:paraId="44FD179C" w14:textId="3890D89E">
          <w:pPr>
            <w:pStyle w:val="TOC1"/>
            <w:tabs>
              <w:tab w:val="right" w:leader="dot" w:pos="9350"/>
            </w:tabs>
            <w:rPr>
              <w:rFonts w:asciiTheme="minorHAnsi" w:hAnsiTheme="minorHAnsi" w:cstheme="minorBidi"/>
              <w:noProof/>
              <w:kern w:val="2"/>
              <w:sz w:val="24"/>
              <w:szCs w:val="24"/>
              <w14:ligatures w14:val="standardContextual"/>
            </w:rPr>
          </w:pPr>
          <w:hyperlink w:history="1" w:anchor="_Toc229726777">
            <w:r w:rsidRPr="00631D78">
              <w:rPr>
                <w:rStyle w:val="Hyperlink"/>
                <w:noProof/>
              </w:rPr>
              <w:t>5.</w:t>
            </w:r>
            <w:r>
              <w:rPr>
                <w:rFonts w:asciiTheme="minorHAnsi" w:hAnsiTheme="minorHAnsi" w:cstheme="minorBidi"/>
                <w:noProof/>
                <w:kern w:val="2"/>
                <w:sz w:val="24"/>
                <w:szCs w:val="24"/>
                <w14:ligatures w14:val="standardContextual"/>
              </w:rPr>
              <w:tab/>
            </w:r>
            <w:r w:rsidRPr="00631D78">
              <w:rPr>
                <w:rStyle w:val="Hyperlink"/>
                <w:noProof/>
              </w:rPr>
              <w:t>Petitions for Modification</w:t>
            </w:r>
            <w:r>
              <w:rPr>
                <w:noProof/>
                <w:webHidden/>
              </w:rPr>
              <w:tab/>
            </w:r>
            <w:r>
              <w:rPr>
                <w:noProof/>
                <w:webHidden/>
              </w:rPr>
              <w:fldChar w:fldCharType="begin"/>
            </w:r>
            <w:r>
              <w:rPr>
                <w:noProof/>
                <w:webHidden/>
              </w:rPr>
              <w:instrText xml:space="preserve"> PAGEREF _Toc229726777 \h </w:instrText>
            </w:r>
            <w:r>
              <w:rPr>
                <w:noProof/>
                <w:webHidden/>
              </w:rPr>
            </w:r>
            <w:r>
              <w:rPr>
                <w:noProof/>
                <w:webHidden/>
              </w:rPr>
              <w:fldChar w:fldCharType="separate"/>
            </w:r>
            <w:r>
              <w:rPr>
                <w:noProof/>
                <w:webHidden/>
              </w:rPr>
              <w:t>86</w:t>
            </w:r>
            <w:r>
              <w:rPr>
                <w:noProof/>
                <w:webHidden/>
              </w:rPr>
              <w:fldChar w:fldCharType="end"/>
            </w:r>
          </w:hyperlink>
        </w:p>
        <w:p w:rsidR="00866B58" w:rsidRDefault="00866B58" w14:paraId="3C7F931D" w14:textId="62EA4C1A">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9726778">
            <w:r w:rsidRPr="00631D78">
              <w:rPr>
                <w:rStyle w:val="Hyperlink"/>
                <w:noProof/>
              </w:rPr>
              <w:t>5.1.</w:t>
            </w:r>
            <w:r>
              <w:rPr>
                <w:rFonts w:asciiTheme="minorHAnsi" w:hAnsiTheme="minorHAnsi" w:cstheme="minorBidi"/>
                <w:noProof/>
                <w:kern w:val="2"/>
                <w:sz w:val="24"/>
                <w:szCs w:val="24"/>
                <w14:ligatures w14:val="standardContextual"/>
              </w:rPr>
              <w:tab/>
            </w:r>
            <w:r w:rsidRPr="00631D78">
              <w:rPr>
                <w:rStyle w:val="Hyperlink"/>
                <w:noProof/>
              </w:rPr>
              <w:t>Major Pole Owners and Joint Pole Attachers Petition for Modification of Decision 21</w:t>
            </w:r>
            <w:r w:rsidRPr="00631D78">
              <w:rPr>
                <w:rStyle w:val="Hyperlink"/>
                <w:noProof/>
              </w:rPr>
              <w:noBreakHyphen/>
              <w:t>10</w:t>
            </w:r>
            <w:r w:rsidRPr="00631D78">
              <w:rPr>
                <w:rStyle w:val="Hyperlink"/>
                <w:noProof/>
              </w:rPr>
              <w:noBreakHyphen/>
              <w:t>019</w:t>
            </w:r>
            <w:r>
              <w:rPr>
                <w:noProof/>
                <w:webHidden/>
              </w:rPr>
              <w:tab/>
            </w:r>
            <w:r>
              <w:rPr>
                <w:noProof/>
                <w:webHidden/>
              </w:rPr>
              <w:fldChar w:fldCharType="begin"/>
            </w:r>
            <w:r>
              <w:rPr>
                <w:noProof/>
                <w:webHidden/>
              </w:rPr>
              <w:instrText xml:space="preserve"> PAGEREF _Toc229726778 \h </w:instrText>
            </w:r>
            <w:r>
              <w:rPr>
                <w:noProof/>
                <w:webHidden/>
              </w:rPr>
            </w:r>
            <w:r>
              <w:rPr>
                <w:noProof/>
                <w:webHidden/>
              </w:rPr>
              <w:fldChar w:fldCharType="separate"/>
            </w:r>
            <w:r>
              <w:rPr>
                <w:noProof/>
                <w:webHidden/>
              </w:rPr>
              <w:t>86</w:t>
            </w:r>
            <w:r>
              <w:rPr>
                <w:noProof/>
                <w:webHidden/>
              </w:rPr>
              <w:fldChar w:fldCharType="end"/>
            </w:r>
          </w:hyperlink>
        </w:p>
        <w:p w:rsidR="00866B58" w:rsidRDefault="00866B58" w14:paraId="053B9867" w14:textId="44903194">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9726779">
            <w:r w:rsidRPr="00631D78">
              <w:rPr>
                <w:rStyle w:val="Hyperlink"/>
                <w:noProof/>
              </w:rPr>
              <w:t>5.2.</w:t>
            </w:r>
            <w:r>
              <w:rPr>
                <w:rFonts w:asciiTheme="minorHAnsi" w:hAnsiTheme="minorHAnsi" w:cstheme="minorBidi"/>
                <w:noProof/>
                <w:kern w:val="2"/>
                <w:sz w:val="24"/>
                <w:szCs w:val="24"/>
                <w14:ligatures w14:val="standardContextual"/>
              </w:rPr>
              <w:tab/>
            </w:r>
            <w:r w:rsidRPr="00631D78">
              <w:rPr>
                <w:rStyle w:val="Hyperlink"/>
                <w:noProof/>
              </w:rPr>
              <w:t>Sonic Telecom, LLC’s Petition for Modification of Decision 22</w:t>
            </w:r>
            <w:r w:rsidRPr="00631D78">
              <w:rPr>
                <w:rStyle w:val="Hyperlink"/>
                <w:noProof/>
              </w:rPr>
              <w:noBreakHyphen/>
              <w:t>10</w:t>
            </w:r>
            <w:r w:rsidRPr="00631D78">
              <w:rPr>
                <w:rStyle w:val="Hyperlink"/>
                <w:noProof/>
              </w:rPr>
              <w:noBreakHyphen/>
              <w:t>025</w:t>
            </w:r>
            <w:r>
              <w:rPr>
                <w:noProof/>
                <w:webHidden/>
              </w:rPr>
              <w:tab/>
            </w:r>
            <w:r>
              <w:rPr>
                <w:noProof/>
                <w:webHidden/>
              </w:rPr>
              <w:fldChar w:fldCharType="begin"/>
            </w:r>
            <w:r>
              <w:rPr>
                <w:noProof/>
                <w:webHidden/>
              </w:rPr>
              <w:instrText xml:space="preserve"> PAGEREF _Toc229726779 \h </w:instrText>
            </w:r>
            <w:r>
              <w:rPr>
                <w:noProof/>
                <w:webHidden/>
              </w:rPr>
            </w:r>
            <w:r>
              <w:rPr>
                <w:noProof/>
                <w:webHidden/>
              </w:rPr>
              <w:fldChar w:fldCharType="separate"/>
            </w:r>
            <w:r>
              <w:rPr>
                <w:noProof/>
                <w:webHidden/>
              </w:rPr>
              <w:t>91</w:t>
            </w:r>
            <w:r>
              <w:rPr>
                <w:noProof/>
                <w:webHidden/>
              </w:rPr>
              <w:fldChar w:fldCharType="end"/>
            </w:r>
          </w:hyperlink>
        </w:p>
        <w:p w:rsidR="00866B58" w:rsidRDefault="00866B58" w14:paraId="5A526B3A" w14:textId="04141B6C">
          <w:pPr>
            <w:pStyle w:val="TOC1"/>
            <w:tabs>
              <w:tab w:val="right" w:leader="dot" w:pos="9350"/>
            </w:tabs>
            <w:rPr>
              <w:rFonts w:asciiTheme="minorHAnsi" w:hAnsiTheme="minorHAnsi" w:cstheme="minorBidi"/>
              <w:noProof/>
              <w:kern w:val="2"/>
              <w:sz w:val="24"/>
              <w:szCs w:val="24"/>
              <w14:ligatures w14:val="standardContextual"/>
            </w:rPr>
          </w:pPr>
          <w:hyperlink w:history="1" w:anchor="_Toc229726780">
            <w:r w:rsidRPr="00631D78">
              <w:rPr>
                <w:rStyle w:val="Hyperlink"/>
                <w:noProof/>
              </w:rPr>
              <w:t>6.</w:t>
            </w:r>
            <w:r>
              <w:rPr>
                <w:rFonts w:asciiTheme="minorHAnsi" w:hAnsiTheme="minorHAnsi" w:cstheme="minorBidi"/>
                <w:noProof/>
                <w:kern w:val="2"/>
                <w:sz w:val="24"/>
                <w:szCs w:val="24"/>
                <w14:ligatures w14:val="standardContextual"/>
              </w:rPr>
              <w:tab/>
            </w:r>
            <w:r w:rsidRPr="00631D78">
              <w:rPr>
                <w:rStyle w:val="Hyperlink"/>
                <w:noProof/>
              </w:rPr>
              <w:t>Summary of Public Comment</w:t>
            </w:r>
            <w:r>
              <w:rPr>
                <w:noProof/>
                <w:webHidden/>
              </w:rPr>
              <w:tab/>
            </w:r>
            <w:r>
              <w:rPr>
                <w:noProof/>
                <w:webHidden/>
              </w:rPr>
              <w:fldChar w:fldCharType="begin"/>
            </w:r>
            <w:r>
              <w:rPr>
                <w:noProof/>
                <w:webHidden/>
              </w:rPr>
              <w:instrText xml:space="preserve"> PAGEREF _Toc229726780 \h </w:instrText>
            </w:r>
            <w:r>
              <w:rPr>
                <w:noProof/>
                <w:webHidden/>
              </w:rPr>
            </w:r>
            <w:r>
              <w:rPr>
                <w:noProof/>
                <w:webHidden/>
              </w:rPr>
              <w:fldChar w:fldCharType="separate"/>
            </w:r>
            <w:r>
              <w:rPr>
                <w:noProof/>
                <w:webHidden/>
              </w:rPr>
              <w:t>95</w:t>
            </w:r>
            <w:r>
              <w:rPr>
                <w:noProof/>
                <w:webHidden/>
              </w:rPr>
              <w:fldChar w:fldCharType="end"/>
            </w:r>
          </w:hyperlink>
        </w:p>
        <w:p w:rsidR="00866B58" w:rsidRDefault="00866B58" w14:paraId="26E878AC" w14:textId="6E662ABC">
          <w:pPr>
            <w:pStyle w:val="TOC1"/>
            <w:tabs>
              <w:tab w:val="right" w:leader="dot" w:pos="9350"/>
            </w:tabs>
            <w:rPr>
              <w:rFonts w:asciiTheme="minorHAnsi" w:hAnsiTheme="minorHAnsi" w:cstheme="minorBidi"/>
              <w:noProof/>
              <w:kern w:val="2"/>
              <w:sz w:val="24"/>
              <w:szCs w:val="24"/>
              <w14:ligatures w14:val="standardContextual"/>
            </w:rPr>
          </w:pPr>
          <w:hyperlink w:history="1" w:anchor="_Toc229726781">
            <w:r w:rsidRPr="00631D78">
              <w:rPr>
                <w:rStyle w:val="Hyperlink"/>
                <w:noProof/>
              </w:rPr>
              <w:t>7.</w:t>
            </w:r>
            <w:r>
              <w:rPr>
                <w:rFonts w:asciiTheme="minorHAnsi" w:hAnsiTheme="minorHAnsi" w:cstheme="minorBidi"/>
                <w:noProof/>
                <w:kern w:val="2"/>
                <w:sz w:val="24"/>
                <w:szCs w:val="24"/>
                <w14:ligatures w14:val="standardContextual"/>
              </w:rPr>
              <w:tab/>
            </w:r>
            <w:r w:rsidRPr="00631D78">
              <w:rPr>
                <w:rStyle w:val="Hyperlink"/>
                <w:noProof/>
              </w:rPr>
              <w:t>Conclusion</w:t>
            </w:r>
            <w:r>
              <w:rPr>
                <w:noProof/>
                <w:webHidden/>
              </w:rPr>
              <w:tab/>
            </w:r>
            <w:r>
              <w:rPr>
                <w:noProof/>
                <w:webHidden/>
              </w:rPr>
              <w:fldChar w:fldCharType="begin"/>
            </w:r>
            <w:r>
              <w:rPr>
                <w:noProof/>
                <w:webHidden/>
              </w:rPr>
              <w:instrText xml:space="preserve"> PAGEREF _Toc229726781 \h </w:instrText>
            </w:r>
            <w:r>
              <w:rPr>
                <w:noProof/>
                <w:webHidden/>
              </w:rPr>
            </w:r>
            <w:r>
              <w:rPr>
                <w:noProof/>
                <w:webHidden/>
              </w:rPr>
              <w:fldChar w:fldCharType="separate"/>
            </w:r>
            <w:r>
              <w:rPr>
                <w:noProof/>
                <w:webHidden/>
              </w:rPr>
              <w:t>95</w:t>
            </w:r>
            <w:r>
              <w:rPr>
                <w:noProof/>
                <w:webHidden/>
              </w:rPr>
              <w:fldChar w:fldCharType="end"/>
            </w:r>
          </w:hyperlink>
        </w:p>
        <w:p w:rsidR="00866B58" w:rsidRDefault="00866B58" w14:paraId="3F6A27D7" w14:textId="066E7AE8">
          <w:pPr>
            <w:pStyle w:val="TOC1"/>
            <w:tabs>
              <w:tab w:val="right" w:leader="dot" w:pos="9350"/>
            </w:tabs>
            <w:rPr>
              <w:rFonts w:asciiTheme="minorHAnsi" w:hAnsiTheme="minorHAnsi" w:cstheme="minorBidi"/>
              <w:noProof/>
              <w:kern w:val="2"/>
              <w:sz w:val="24"/>
              <w:szCs w:val="24"/>
              <w14:ligatures w14:val="standardContextual"/>
            </w:rPr>
          </w:pPr>
          <w:hyperlink w:history="1" w:anchor="_Toc229726782">
            <w:r w:rsidRPr="00631D78">
              <w:rPr>
                <w:rStyle w:val="Hyperlink"/>
                <w:noProof/>
              </w:rPr>
              <w:t>8.</w:t>
            </w:r>
            <w:r>
              <w:rPr>
                <w:rFonts w:asciiTheme="minorHAnsi" w:hAnsiTheme="minorHAnsi" w:cstheme="minorBidi"/>
                <w:noProof/>
                <w:kern w:val="2"/>
                <w:sz w:val="24"/>
                <w:szCs w:val="24"/>
                <w14:ligatures w14:val="standardContextual"/>
              </w:rPr>
              <w:tab/>
            </w:r>
            <w:r w:rsidRPr="00631D78">
              <w:rPr>
                <w:rStyle w:val="Hyperlink"/>
                <w:noProof/>
              </w:rPr>
              <w:t>Procedural Matters</w:t>
            </w:r>
            <w:r>
              <w:rPr>
                <w:noProof/>
                <w:webHidden/>
              </w:rPr>
              <w:tab/>
            </w:r>
            <w:r>
              <w:rPr>
                <w:noProof/>
                <w:webHidden/>
              </w:rPr>
              <w:fldChar w:fldCharType="begin"/>
            </w:r>
            <w:r>
              <w:rPr>
                <w:noProof/>
                <w:webHidden/>
              </w:rPr>
              <w:instrText xml:space="preserve"> PAGEREF _Toc229726782 \h </w:instrText>
            </w:r>
            <w:r>
              <w:rPr>
                <w:noProof/>
                <w:webHidden/>
              </w:rPr>
            </w:r>
            <w:r>
              <w:rPr>
                <w:noProof/>
                <w:webHidden/>
              </w:rPr>
              <w:fldChar w:fldCharType="separate"/>
            </w:r>
            <w:r>
              <w:rPr>
                <w:noProof/>
                <w:webHidden/>
              </w:rPr>
              <w:t>96</w:t>
            </w:r>
            <w:r>
              <w:rPr>
                <w:noProof/>
                <w:webHidden/>
              </w:rPr>
              <w:fldChar w:fldCharType="end"/>
            </w:r>
          </w:hyperlink>
        </w:p>
        <w:p w:rsidR="00866B58" w:rsidRDefault="00866B58" w14:paraId="66873646" w14:textId="2A1886B1">
          <w:pPr>
            <w:pStyle w:val="TOC1"/>
            <w:tabs>
              <w:tab w:val="right" w:leader="dot" w:pos="9350"/>
            </w:tabs>
            <w:rPr>
              <w:rFonts w:asciiTheme="minorHAnsi" w:hAnsiTheme="minorHAnsi" w:cstheme="minorBidi"/>
              <w:noProof/>
              <w:kern w:val="2"/>
              <w:sz w:val="24"/>
              <w:szCs w:val="24"/>
              <w14:ligatures w14:val="standardContextual"/>
            </w:rPr>
          </w:pPr>
          <w:hyperlink w:history="1" w:anchor="_Toc229726783">
            <w:r w:rsidRPr="00631D78">
              <w:rPr>
                <w:rStyle w:val="Hyperlink"/>
                <w:noProof/>
              </w:rPr>
              <w:t>9.</w:t>
            </w:r>
            <w:r>
              <w:rPr>
                <w:rFonts w:asciiTheme="minorHAnsi" w:hAnsiTheme="minorHAnsi" w:cstheme="minorBidi"/>
                <w:noProof/>
                <w:kern w:val="2"/>
                <w:sz w:val="24"/>
                <w:szCs w:val="24"/>
                <w14:ligatures w14:val="standardContextual"/>
              </w:rPr>
              <w:tab/>
            </w:r>
            <w:r w:rsidRPr="00631D78">
              <w:rPr>
                <w:rStyle w:val="Hyperlink"/>
                <w:noProof/>
              </w:rPr>
              <w:t>Comments on Proposed Decision</w:t>
            </w:r>
            <w:r>
              <w:rPr>
                <w:noProof/>
                <w:webHidden/>
              </w:rPr>
              <w:tab/>
            </w:r>
            <w:r>
              <w:rPr>
                <w:noProof/>
                <w:webHidden/>
              </w:rPr>
              <w:fldChar w:fldCharType="begin"/>
            </w:r>
            <w:r>
              <w:rPr>
                <w:noProof/>
                <w:webHidden/>
              </w:rPr>
              <w:instrText xml:space="preserve"> PAGEREF _Toc229726783 \h </w:instrText>
            </w:r>
            <w:r>
              <w:rPr>
                <w:noProof/>
                <w:webHidden/>
              </w:rPr>
            </w:r>
            <w:r>
              <w:rPr>
                <w:noProof/>
                <w:webHidden/>
              </w:rPr>
              <w:fldChar w:fldCharType="separate"/>
            </w:r>
            <w:r>
              <w:rPr>
                <w:noProof/>
                <w:webHidden/>
              </w:rPr>
              <w:t>96</w:t>
            </w:r>
            <w:r>
              <w:rPr>
                <w:noProof/>
                <w:webHidden/>
              </w:rPr>
              <w:fldChar w:fldCharType="end"/>
            </w:r>
          </w:hyperlink>
        </w:p>
        <w:p w:rsidR="00866B58" w:rsidRDefault="00866B58" w14:paraId="6C3A0D18" w14:textId="7281B03D">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9726784">
            <w:r w:rsidRPr="00631D78">
              <w:rPr>
                <w:rStyle w:val="Hyperlink"/>
                <w:noProof/>
              </w:rPr>
              <w:t>9.1.</w:t>
            </w:r>
            <w:r>
              <w:rPr>
                <w:rFonts w:asciiTheme="minorHAnsi" w:hAnsiTheme="minorHAnsi" w:cstheme="minorBidi"/>
                <w:noProof/>
                <w:kern w:val="2"/>
                <w:sz w:val="24"/>
                <w:szCs w:val="24"/>
                <w14:ligatures w14:val="standardContextual"/>
              </w:rPr>
              <w:tab/>
            </w:r>
            <w:r w:rsidRPr="00631D78">
              <w:rPr>
                <w:rStyle w:val="Hyperlink"/>
                <w:noProof/>
              </w:rPr>
              <w:t>Summary of Comments</w:t>
            </w:r>
            <w:r>
              <w:rPr>
                <w:noProof/>
                <w:webHidden/>
              </w:rPr>
              <w:tab/>
            </w:r>
            <w:r>
              <w:rPr>
                <w:noProof/>
                <w:webHidden/>
              </w:rPr>
              <w:fldChar w:fldCharType="begin"/>
            </w:r>
            <w:r>
              <w:rPr>
                <w:noProof/>
                <w:webHidden/>
              </w:rPr>
              <w:instrText xml:space="preserve"> PAGEREF _Toc229726784 \h </w:instrText>
            </w:r>
            <w:r>
              <w:rPr>
                <w:noProof/>
                <w:webHidden/>
              </w:rPr>
            </w:r>
            <w:r>
              <w:rPr>
                <w:noProof/>
                <w:webHidden/>
              </w:rPr>
              <w:fldChar w:fldCharType="separate"/>
            </w:r>
            <w:r>
              <w:rPr>
                <w:noProof/>
                <w:webHidden/>
              </w:rPr>
              <w:t>96</w:t>
            </w:r>
            <w:r>
              <w:rPr>
                <w:noProof/>
                <w:webHidden/>
              </w:rPr>
              <w:fldChar w:fldCharType="end"/>
            </w:r>
          </w:hyperlink>
        </w:p>
        <w:p w:rsidR="00866B58" w:rsidRDefault="00866B58" w14:paraId="0A15409E" w14:textId="319D2CFB">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9726785">
            <w:r w:rsidRPr="00631D78">
              <w:rPr>
                <w:rStyle w:val="Hyperlink"/>
                <w:noProof/>
              </w:rPr>
              <w:t>9.2.</w:t>
            </w:r>
            <w:r>
              <w:rPr>
                <w:rFonts w:asciiTheme="minorHAnsi" w:hAnsiTheme="minorHAnsi" w:cstheme="minorBidi"/>
                <w:noProof/>
                <w:kern w:val="2"/>
                <w:sz w:val="24"/>
                <w:szCs w:val="24"/>
                <w14:ligatures w14:val="standardContextual"/>
              </w:rPr>
              <w:tab/>
            </w:r>
            <w:r w:rsidRPr="00631D78">
              <w:rPr>
                <w:rStyle w:val="Hyperlink"/>
                <w:noProof/>
              </w:rPr>
              <w:t>Discussion</w:t>
            </w:r>
            <w:r>
              <w:rPr>
                <w:noProof/>
                <w:webHidden/>
              </w:rPr>
              <w:tab/>
            </w:r>
            <w:r>
              <w:rPr>
                <w:noProof/>
                <w:webHidden/>
              </w:rPr>
              <w:fldChar w:fldCharType="begin"/>
            </w:r>
            <w:r>
              <w:rPr>
                <w:noProof/>
                <w:webHidden/>
              </w:rPr>
              <w:instrText xml:space="preserve"> PAGEREF _Toc229726785 \h </w:instrText>
            </w:r>
            <w:r>
              <w:rPr>
                <w:noProof/>
                <w:webHidden/>
              </w:rPr>
            </w:r>
            <w:r>
              <w:rPr>
                <w:noProof/>
                <w:webHidden/>
              </w:rPr>
              <w:fldChar w:fldCharType="separate"/>
            </w:r>
            <w:r>
              <w:rPr>
                <w:noProof/>
                <w:webHidden/>
              </w:rPr>
              <w:t>104</w:t>
            </w:r>
            <w:r>
              <w:rPr>
                <w:noProof/>
                <w:webHidden/>
              </w:rPr>
              <w:fldChar w:fldCharType="end"/>
            </w:r>
          </w:hyperlink>
        </w:p>
        <w:p w:rsidR="00866B58" w:rsidRDefault="00866B58" w14:paraId="6C5C9A47" w14:textId="48EE2183">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86">
            <w:r w:rsidRPr="00631D78">
              <w:rPr>
                <w:rStyle w:val="Hyperlink"/>
                <w:noProof/>
              </w:rPr>
              <w:t>9.2.1.</w:t>
            </w:r>
            <w:r>
              <w:rPr>
                <w:rFonts w:asciiTheme="minorHAnsi" w:hAnsiTheme="minorHAnsi" w:cstheme="minorBidi"/>
                <w:noProof/>
                <w:kern w:val="2"/>
                <w:sz w:val="24"/>
                <w:szCs w:val="24"/>
                <w14:ligatures w14:val="standardContextual"/>
              </w:rPr>
              <w:tab/>
            </w:r>
            <w:r w:rsidRPr="00631D78">
              <w:rPr>
                <w:rStyle w:val="Hyperlink"/>
                <w:noProof/>
              </w:rPr>
              <w:t>Pole Attachment Database</w:t>
            </w:r>
            <w:r>
              <w:rPr>
                <w:noProof/>
                <w:webHidden/>
              </w:rPr>
              <w:tab/>
            </w:r>
            <w:r>
              <w:rPr>
                <w:noProof/>
                <w:webHidden/>
              </w:rPr>
              <w:fldChar w:fldCharType="begin"/>
            </w:r>
            <w:r>
              <w:rPr>
                <w:noProof/>
                <w:webHidden/>
              </w:rPr>
              <w:instrText xml:space="preserve"> PAGEREF _Toc229726786 \h </w:instrText>
            </w:r>
            <w:r>
              <w:rPr>
                <w:noProof/>
                <w:webHidden/>
              </w:rPr>
            </w:r>
            <w:r>
              <w:rPr>
                <w:noProof/>
                <w:webHidden/>
              </w:rPr>
              <w:fldChar w:fldCharType="separate"/>
            </w:r>
            <w:r>
              <w:rPr>
                <w:noProof/>
                <w:webHidden/>
              </w:rPr>
              <w:t>105</w:t>
            </w:r>
            <w:r>
              <w:rPr>
                <w:noProof/>
                <w:webHidden/>
              </w:rPr>
              <w:fldChar w:fldCharType="end"/>
            </w:r>
          </w:hyperlink>
        </w:p>
        <w:p w:rsidR="00866B58" w:rsidRDefault="00866B58" w14:paraId="37978E6E" w14:textId="773EF41D">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9726787">
            <w:r w:rsidRPr="00631D78">
              <w:rPr>
                <w:rStyle w:val="Hyperlink"/>
                <w:noProof/>
              </w:rPr>
              <w:t>9.2.2.</w:t>
            </w:r>
            <w:r>
              <w:rPr>
                <w:rFonts w:asciiTheme="minorHAnsi" w:hAnsiTheme="minorHAnsi" w:cstheme="minorBidi"/>
                <w:noProof/>
                <w:kern w:val="2"/>
                <w:sz w:val="24"/>
                <w:szCs w:val="24"/>
                <w14:ligatures w14:val="standardContextual"/>
              </w:rPr>
              <w:tab/>
            </w:r>
            <w:r w:rsidRPr="00631D78">
              <w:rPr>
                <w:rStyle w:val="Hyperlink"/>
                <w:noProof/>
              </w:rPr>
              <w:t>Rights-of-Way Rules (GO 178)</w:t>
            </w:r>
            <w:r>
              <w:rPr>
                <w:noProof/>
                <w:webHidden/>
              </w:rPr>
              <w:tab/>
            </w:r>
            <w:r>
              <w:rPr>
                <w:noProof/>
                <w:webHidden/>
              </w:rPr>
              <w:fldChar w:fldCharType="begin"/>
            </w:r>
            <w:r>
              <w:rPr>
                <w:noProof/>
                <w:webHidden/>
              </w:rPr>
              <w:instrText xml:space="preserve"> PAGEREF _Toc229726787 \h </w:instrText>
            </w:r>
            <w:r>
              <w:rPr>
                <w:noProof/>
                <w:webHidden/>
              </w:rPr>
            </w:r>
            <w:r>
              <w:rPr>
                <w:noProof/>
                <w:webHidden/>
              </w:rPr>
              <w:fldChar w:fldCharType="separate"/>
            </w:r>
            <w:r>
              <w:rPr>
                <w:noProof/>
                <w:webHidden/>
              </w:rPr>
              <w:t>112</w:t>
            </w:r>
            <w:r>
              <w:rPr>
                <w:noProof/>
                <w:webHidden/>
              </w:rPr>
              <w:fldChar w:fldCharType="end"/>
            </w:r>
          </w:hyperlink>
        </w:p>
        <w:p w:rsidR="00866B58" w:rsidRDefault="00866B58" w14:paraId="4C3FD685" w14:textId="2A3A2EDB">
          <w:pPr>
            <w:pStyle w:val="TOC1"/>
            <w:tabs>
              <w:tab w:val="right" w:leader="dot" w:pos="9350"/>
            </w:tabs>
            <w:rPr>
              <w:rFonts w:asciiTheme="minorHAnsi" w:hAnsiTheme="minorHAnsi" w:cstheme="minorBidi"/>
              <w:noProof/>
              <w:kern w:val="2"/>
              <w:sz w:val="24"/>
              <w:szCs w:val="24"/>
              <w14:ligatures w14:val="standardContextual"/>
            </w:rPr>
          </w:pPr>
          <w:hyperlink w:history="1" w:anchor="_Toc229726788">
            <w:r w:rsidRPr="00631D78">
              <w:rPr>
                <w:rStyle w:val="Hyperlink"/>
                <w:noProof/>
              </w:rPr>
              <w:t>10.</w:t>
            </w:r>
            <w:r>
              <w:rPr>
                <w:rFonts w:asciiTheme="minorHAnsi" w:hAnsiTheme="minorHAnsi" w:cstheme="minorBidi"/>
                <w:noProof/>
                <w:kern w:val="2"/>
                <w:sz w:val="24"/>
                <w:szCs w:val="24"/>
                <w14:ligatures w14:val="standardContextual"/>
              </w:rPr>
              <w:tab/>
            </w:r>
            <w:r w:rsidRPr="00631D78">
              <w:rPr>
                <w:rStyle w:val="Hyperlink"/>
                <w:noProof/>
              </w:rPr>
              <w:t>Assignment of Proceeding</w:t>
            </w:r>
            <w:r>
              <w:rPr>
                <w:noProof/>
                <w:webHidden/>
              </w:rPr>
              <w:tab/>
            </w:r>
            <w:r>
              <w:rPr>
                <w:noProof/>
                <w:webHidden/>
              </w:rPr>
              <w:fldChar w:fldCharType="begin"/>
            </w:r>
            <w:r>
              <w:rPr>
                <w:noProof/>
                <w:webHidden/>
              </w:rPr>
              <w:instrText xml:space="preserve"> PAGEREF _Toc229726788 \h </w:instrText>
            </w:r>
            <w:r>
              <w:rPr>
                <w:noProof/>
                <w:webHidden/>
              </w:rPr>
            </w:r>
            <w:r>
              <w:rPr>
                <w:noProof/>
                <w:webHidden/>
              </w:rPr>
              <w:fldChar w:fldCharType="separate"/>
            </w:r>
            <w:r>
              <w:rPr>
                <w:noProof/>
                <w:webHidden/>
              </w:rPr>
              <w:t>119</w:t>
            </w:r>
            <w:r>
              <w:rPr>
                <w:noProof/>
                <w:webHidden/>
              </w:rPr>
              <w:fldChar w:fldCharType="end"/>
            </w:r>
          </w:hyperlink>
        </w:p>
        <w:p w:rsidR="00866B58" w:rsidRDefault="00866B58" w14:paraId="48158DDF" w14:textId="2F09FF9E">
          <w:pPr>
            <w:pStyle w:val="TOC1"/>
            <w:tabs>
              <w:tab w:val="right" w:leader="dot" w:pos="9350"/>
            </w:tabs>
            <w:rPr>
              <w:rFonts w:asciiTheme="minorHAnsi" w:hAnsiTheme="minorHAnsi" w:cstheme="minorBidi"/>
              <w:noProof/>
              <w:kern w:val="2"/>
              <w:sz w:val="24"/>
              <w:szCs w:val="24"/>
              <w14:ligatures w14:val="standardContextual"/>
            </w:rPr>
          </w:pPr>
          <w:hyperlink w:history="1" w:anchor="_Toc229726789">
            <w:r w:rsidRPr="00631D78">
              <w:rPr>
                <w:rStyle w:val="Hyperlink"/>
                <w:noProof/>
              </w:rPr>
              <w:t>Findings of Fact</w:t>
            </w:r>
            <w:r>
              <w:rPr>
                <w:noProof/>
                <w:webHidden/>
              </w:rPr>
              <w:tab/>
            </w:r>
            <w:r>
              <w:rPr>
                <w:noProof/>
                <w:webHidden/>
              </w:rPr>
              <w:fldChar w:fldCharType="begin"/>
            </w:r>
            <w:r>
              <w:rPr>
                <w:noProof/>
                <w:webHidden/>
              </w:rPr>
              <w:instrText xml:space="preserve"> PAGEREF _Toc229726789 \h </w:instrText>
            </w:r>
            <w:r>
              <w:rPr>
                <w:noProof/>
                <w:webHidden/>
              </w:rPr>
            </w:r>
            <w:r>
              <w:rPr>
                <w:noProof/>
                <w:webHidden/>
              </w:rPr>
              <w:fldChar w:fldCharType="separate"/>
            </w:r>
            <w:r>
              <w:rPr>
                <w:noProof/>
                <w:webHidden/>
              </w:rPr>
              <w:t>119</w:t>
            </w:r>
            <w:r>
              <w:rPr>
                <w:noProof/>
                <w:webHidden/>
              </w:rPr>
              <w:fldChar w:fldCharType="end"/>
            </w:r>
          </w:hyperlink>
        </w:p>
        <w:p w:rsidR="00866B58" w:rsidRDefault="00866B58" w14:paraId="7DF090E1" w14:textId="71DDB639">
          <w:pPr>
            <w:pStyle w:val="TOC1"/>
            <w:tabs>
              <w:tab w:val="right" w:leader="dot" w:pos="9350"/>
            </w:tabs>
            <w:rPr>
              <w:rFonts w:asciiTheme="minorHAnsi" w:hAnsiTheme="minorHAnsi" w:cstheme="minorBidi"/>
              <w:noProof/>
              <w:kern w:val="2"/>
              <w:sz w:val="24"/>
              <w:szCs w:val="24"/>
              <w14:ligatures w14:val="standardContextual"/>
            </w:rPr>
          </w:pPr>
          <w:hyperlink w:history="1" w:anchor="_Toc229726790">
            <w:r w:rsidRPr="00631D78">
              <w:rPr>
                <w:rStyle w:val="Hyperlink"/>
                <w:noProof/>
              </w:rPr>
              <w:t>Conclusions of Law</w:t>
            </w:r>
            <w:r>
              <w:rPr>
                <w:noProof/>
                <w:webHidden/>
              </w:rPr>
              <w:tab/>
            </w:r>
            <w:r>
              <w:rPr>
                <w:noProof/>
                <w:webHidden/>
              </w:rPr>
              <w:fldChar w:fldCharType="begin"/>
            </w:r>
            <w:r>
              <w:rPr>
                <w:noProof/>
                <w:webHidden/>
              </w:rPr>
              <w:instrText xml:space="preserve"> PAGEREF _Toc229726790 \h </w:instrText>
            </w:r>
            <w:r>
              <w:rPr>
                <w:noProof/>
                <w:webHidden/>
              </w:rPr>
            </w:r>
            <w:r>
              <w:rPr>
                <w:noProof/>
                <w:webHidden/>
              </w:rPr>
              <w:fldChar w:fldCharType="separate"/>
            </w:r>
            <w:r>
              <w:rPr>
                <w:noProof/>
                <w:webHidden/>
              </w:rPr>
              <w:t>120</w:t>
            </w:r>
            <w:r>
              <w:rPr>
                <w:noProof/>
                <w:webHidden/>
              </w:rPr>
              <w:fldChar w:fldCharType="end"/>
            </w:r>
          </w:hyperlink>
        </w:p>
        <w:p w:rsidR="00866B58" w:rsidRDefault="00866B58" w14:paraId="10F30506" w14:textId="0087174C">
          <w:pPr>
            <w:pStyle w:val="TOC1"/>
            <w:tabs>
              <w:tab w:val="right" w:leader="dot" w:pos="9350"/>
            </w:tabs>
            <w:rPr>
              <w:rFonts w:asciiTheme="minorHAnsi" w:hAnsiTheme="minorHAnsi" w:cstheme="minorBidi"/>
              <w:noProof/>
              <w:kern w:val="2"/>
              <w:sz w:val="24"/>
              <w:szCs w:val="24"/>
              <w14:ligatures w14:val="standardContextual"/>
            </w:rPr>
          </w:pPr>
          <w:hyperlink w:history="1" w:anchor="_Toc229726791">
            <w:r w:rsidRPr="00631D78">
              <w:rPr>
                <w:rStyle w:val="Hyperlink"/>
                <w:noProof/>
              </w:rPr>
              <w:t>ORDER</w:t>
            </w:r>
            <w:r>
              <w:rPr>
                <w:noProof/>
                <w:webHidden/>
              </w:rPr>
              <w:tab/>
            </w:r>
            <w:r>
              <w:rPr>
                <w:noProof/>
                <w:webHidden/>
              </w:rPr>
              <w:fldChar w:fldCharType="begin"/>
            </w:r>
            <w:r>
              <w:rPr>
                <w:noProof/>
                <w:webHidden/>
              </w:rPr>
              <w:instrText xml:space="preserve"> PAGEREF _Toc229726791 \h </w:instrText>
            </w:r>
            <w:r>
              <w:rPr>
                <w:noProof/>
                <w:webHidden/>
              </w:rPr>
            </w:r>
            <w:r>
              <w:rPr>
                <w:noProof/>
                <w:webHidden/>
              </w:rPr>
              <w:fldChar w:fldCharType="separate"/>
            </w:r>
            <w:r>
              <w:rPr>
                <w:noProof/>
                <w:webHidden/>
              </w:rPr>
              <w:t>122</w:t>
            </w:r>
            <w:r>
              <w:rPr>
                <w:noProof/>
                <w:webHidden/>
              </w:rPr>
              <w:fldChar w:fldCharType="end"/>
            </w:r>
          </w:hyperlink>
        </w:p>
        <w:p w:rsidR="00D82A43" w:rsidP="00770780" w:rsidRDefault="00770780" w14:paraId="7E95ACB1" w14:textId="56145F44">
          <w:pPr>
            <w:pStyle w:val="TOC1"/>
            <w:tabs>
              <w:tab w:val="right" w:leader="dot" w:pos="9350"/>
            </w:tabs>
            <w:ind w:left="0" w:firstLine="0"/>
          </w:pPr>
          <w:r>
            <w:rPr>
              <w:rFonts w:asciiTheme="minorHAnsi" w:hAnsiTheme="minorHAnsi"/>
              <w:sz w:val="22"/>
            </w:rPr>
            <w:fldChar w:fldCharType="end"/>
          </w:r>
        </w:p>
      </w:sdtContent>
    </w:sdt>
    <w:p w:rsidR="009B3CDC" w:rsidP="00625C2A" w:rsidRDefault="009B3CDC" w14:paraId="71DAC8D0" w14:textId="06033F82">
      <w:pPr>
        <w:tabs>
          <w:tab w:val="left" w:pos="1685"/>
        </w:tabs>
        <w:spacing w:line="240" w:lineRule="auto"/>
        <w:ind w:left="2016" w:hanging="2016"/>
        <w:rPr>
          <w:rFonts w:cs="Arial"/>
          <w:szCs w:val="26"/>
        </w:rPr>
      </w:pPr>
      <w:r>
        <w:rPr>
          <w:rFonts w:cs="Arial"/>
          <w:szCs w:val="26"/>
        </w:rPr>
        <w:t>Attachment</w:t>
      </w:r>
      <w:r w:rsidR="00625C2A">
        <w:rPr>
          <w:rFonts w:cs="Arial"/>
          <w:szCs w:val="26"/>
        </w:rPr>
        <w:t> </w:t>
      </w:r>
      <w:r>
        <w:rPr>
          <w:rFonts w:cs="Arial"/>
          <w:szCs w:val="26"/>
        </w:rPr>
        <w:t>A</w:t>
      </w:r>
      <w:r w:rsidR="00625C2A">
        <w:rPr>
          <w:rFonts w:cs="Arial"/>
          <w:szCs w:val="26"/>
        </w:rPr>
        <w:tab/>
      </w:r>
      <w:r>
        <w:rPr>
          <w:rFonts w:cs="Arial"/>
          <w:szCs w:val="26"/>
        </w:rPr>
        <w:t>—</w:t>
      </w:r>
      <w:r w:rsidR="00625C2A">
        <w:rPr>
          <w:rFonts w:cs="Arial"/>
          <w:szCs w:val="26"/>
        </w:rPr>
        <w:tab/>
      </w:r>
      <w:r w:rsidRPr="009B3CDC">
        <w:rPr>
          <w:rFonts w:cs="Arial"/>
          <w:szCs w:val="26"/>
        </w:rPr>
        <w:t>Proposed General Order 178:</w:t>
      </w:r>
      <w:r>
        <w:rPr>
          <w:rFonts w:cs="Arial"/>
          <w:szCs w:val="26"/>
        </w:rPr>
        <w:t xml:space="preserve"> </w:t>
      </w:r>
      <w:r w:rsidRPr="009B3CDC">
        <w:rPr>
          <w:rFonts w:cs="Arial"/>
          <w:szCs w:val="26"/>
        </w:rPr>
        <w:t>Rules Governing Rights</w:t>
      </w:r>
      <w:r w:rsidR="00E4753D">
        <w:rPr>
          <w:rFonts w:cs="Arial"/>
          <w:szCs w:val="26"/>
        </w:rPr>
        <w:noBreakHyphen/>
      </w:r>
      <w:r w:rsidRPr="009B3CDC">
        <w:rPr>
          <w:rFonts w:cs="Arial"/>
          <w:szCs w:val="26"/>
        </w:rPr>
        <w:t>of</w:t>
      </w:r>
      <w:r w:rsidR="00E4753D">
        <w:rPr>
          <w:rFonts w:cs="Arial"/>
          <w:szCs w:val="26"/>
        </w:rPr>
        <w:noBreakHyphen/>
      </w:r>
      <w:r w:rsidRPr="009B3CDC">
        <w:rPr>
          <w:rFonts w:cs="Arial"/>
          <w:szCs w:val="26"/>
        </w:rPr>
        <w:t>Way in California</w:t>
      </w:r>
      <w:r w:rsidR="00DB3CF9">
        <w:rPr>
          <w:rFonts w:cs="Arial"/>
          <w:szCs w:val="26"/>
        </w:rPr>
        <w:t xml:space="preserve"> (Redlined)</w:t>
      </w:r>
    </w:p>
    <w:p w:rsidR="00DB3CF9" w:rsidP="00625C2A" w:rsidRDefault="00DB3CF9" w14:paraId="5C5FE77F" w14:textId="77777777">
      <w:pPr>
        <w:tabs>
          <w:tab w:val="left" w:pos="1685"/>
        </w:tabs>
        <w:spacing w:line="240" w:lineRule="auto"/>
        <w:ind w:left="2016" w:hanging="2016"/>
        <w:rPr>
          <w:rFonts w:cs="Arial"/>
          <w:szCs w:val="26"/>
        </w:rPr>
      </w:pPr>
    </w:p>
    <w:p w:rsidR="00DB3CF9" w:rsidP="00DB3CF9" w:rsidRDefault="00DB3CF9" w14:paraId="27C468C5" w14:textId="432F106E">
      <w:pPr>
        <w:tabs>
          <w:tab w:val="left" w:pos="1685"/>
        </w:tabs>
        <w:spacing w:line="240" w:lineRule="auto"/>
        <w:ind w:left="2016" w:hanging="2016"/>
        <w:rPr>
          <w:rFonts w:cs="Arial"/>
          <w:szCs w:val="26"/>
        </w:rPr>
      </w:pPr>
      <w:r>
        <w:rPr>
          <w:rFonts w:cs="Arial"/>
          <w:szCs w:val="26"/>
        </w:rPr>
        <w:t>Attachment B</w:t>
      </w:r>
      <w:r>
        <w:rPr>
          <w:rFonts w:cs="Arial"/>
          <w:szCs w:val="26"/>
        </w:rPr>
        <w:tab/>
        <w:t>—</w:t>
      </w:r>
      <w:r>
        <w:rPr>
          <w:rFonts w:cs="Arial"/>
          <w:szCs w:val="26"/>
        </w:rPr>
        <w:tab/>
      </w:r>
      <w:r w:rsidRPr="009B3CDC">
        <w:rPr>
          <w:rFonts w:cs="Arial"/>
          <w:szCs w:val="26"/>
        </w:rPr>
        <w:t>Proposed General Order 178:</w:t>
      </w:r>
      <w:r>
        <w:rPr>
          <w:rFonts w:cs="Arial"/>
          <w:szCs w:val="26"/>
        </w:rPr>
        <w:t xml:space="preserve"> </w:t>
      </w:r>
      <w:r w:rsidRPr="009B3CDC">
        <w:rPr>
          <w:rFonts w:cs="Arial"/>
          <w:szCs w:val="26"/>
        </w:rPr>
        <w:t>Rules Governing Rights</w:t>
      </w:r>
      <w:r w:rsidR="00E4753D">
        <w:rPr>
          <w:rFonts w:cs="Arial"/>
          <w:szCs w:val="26"/>
        </w:rPr>
        <w:noBreakHyphen/>
      </w:r>
      <w:r w:rsidRPr="009B3CDC">
        <w:rPr>
          <w:rFonts w:cs="Arial"/>
          <w:szCs w:val="26"/>
        </w:rPr>
        <w:t>of</w:t>
      </w:r>
      <w:r w:rsidR="00E4753D">
        <w:rPr>
          <w:rFonts w:cs="Arial"/>
          <w:szCs w:val="26"/>
        </w:rPr>
        <w:noBreakHyphen/>
      </w:r>
      <w:r w:rsidRPr="009B3CDC">
        <w:rPr>
          <w:rFonts w:cs="Arial"/>
          <w:szCs w:val="26"/>
        </w:rPr>
        <w:t>Way in California</w:t>
      </w:r>
      <w:r>
        <w:rPr>
          <w:rFonts w:cs="Arial"/>
          <w:szCs w:val="26"/>
        </w:rPr>
        <w:t xml:space="preserve"> (Clean)</w:t>
      </w:r>
    </w:p>
    <w:p w:rsidR="00DB3CF9" w:rsidP="00625C2A" w:rsidRDefault="00DB3CF9" w14:paraId="5B70CC83" w14:textId="77777777">
      <w:pPr>
        <w:tabs>
          <w:tab w:val="left" w:pos="1685"/>
        </w:tabs>
        <w:spacing w:line="240" w:lineRule="auto"/>
        <w:ind w:left="2016" w:hanging="2016"/>
        <w:rPr>
          <w:rFonts w:cs="Arial"/>
          <w:szCs w:val="26"/>
        </w:rPr>
      </w:pPr>
    </w:p>
    <w:p w:rsidR="0013061E" w:rsidP="00ED36CC" w:rsidRDefault="0013061E" w14:paraId="32476846" w14:textId="77777777">
      <w:pPr>
        <w:spacing w:line="240" w:lineRule="auto"/>
        <w:ind w:firstLine="0"/>
        <w:rPr>
          <w:rFonts w:cs="Arial"/>
          <w:szCs w:val="26"/>
        </w:rPr>
      </w:pPr>
    </w:p>
    <w:p w:rsidRPr="00D44DB6" w:rsidR="00D44DB6" w:rsidP="00ED36CC" w:rsidRDefault="00D44DB6" w14:paraId="343604E7" w14:textId="565A008A">
      <w:pPr>
        <w:spacing w:line="240" w:lineRule="auto"/>
        <w:ind w:firstLine="0"/>
        <w:rPr>
          <w:rFonts w:cs="Arial"/>
          <w:i/>
          <w:szCs w:val="26"/>
        </w:rPr>
        <w:sectPr w:rsidRPr="00D44DB6" w:rsidR="00D44DB6" w:rsidSect="00A741FE">
          <w:footerReference w:type="default" r:id="rId15"/>
          <w:pgSz w:w="12240" w:h="15840"/>
          <w:pgMar w:top="1728" w:right="1440" w:bottom="1440" w:left="1440" w:header="720" w:footer="720" w:gutter="0"/>
          <w:pgNumType w:fmt="lowerRoman" w:start="1"/>
          <w:cols w:space="720"/>
          <w:docGrid w:linePitch="360"/>
        </w:sectPr>
      </w:pPr>
    </w:p>
    <w:p w:rsidR="0098655A" w:rsidP="00ED36CC" w:rsidRDefault="004F3322" w14:paraId="1766F1D4" w14:textId="36AA5CDC">
      <w:pPr>
        <w:pStyle w:val="Main"/>
      </w:pPr>
      <w:bookmarkStart w:name="Title" w:id="1"/>
      <w:r>
        <w:lastRenderedPageBreak/>
        <w:t>DECISION ADOPTING REVISED RIGHT</w:t>
      </w:r>
      <w:r w:rsidR="0059086A">
        <w:t>S</w:t>
      </w:r>
      <w:r w:rsidR="00E4753D">
        <w:noBreakHyphen/>
      </w:r>
      <w:r>
        <w:t>OF</w:t>
      </w:r>
      <w:r w:rsidR="00E4753D">
        <w:noBreakHyphen/>
      </w:r>
      <w:r>
        <w:t>WAY RULES AND RESOLVING</w:t>
      </w:r>
      <w:r>
        <w:br/>
        <w:t>PETITION FOR MODIFICATION OF DECISION (D.) 21</w:t>
      </w:r>
      <w:r w:rsidR="00E4753D">
        <w:noBreakHyphen/>
      </w:r>
      <w:r>
        <w:t>10</w:t>
      </w:r>
      <w:r w:rsidR="00E4753D">
        <w:noBreakHyphen/>
      </w:r>
      <w:r>
        <w:t>019</w:t>
      </w:r>
      <w:r>
        <w:br/>
        <w:t>AND PETITION FOR MODIFICATION OF D.22</w:t>
      </w:r>
      <w:r w:rsidR="00E4753D">
        <w:noBreakHyphen/>
      </w:r>
      <w:r>
        <w:t>10</w:t>
      </w:r>
      <w:r w:rsidR="00E4753D">
        <w:noBreakHyphen/>
      </w:r>
      <w:r>
        <w:t>025</w:t>
      </w:r>
      <w:bookmarkEnd w:id="1"/>
    </w:p>
    <w:p w:rsidRPr="004F3322" w:rsidR="004F3322" w:rsidP="00ED36CC" w:rsidRDefault="004F3322" w14:paraId="749595E7" w14:textId="77777777">
      <w:pPr>
        <w:pStyle w:val="Main"/>
        <w:jc w:val="left"/>
      </w:pPr>
    </w:p>
    <w:p w:rsidR="005A148C" w:rsidP="00ED36CC" w:rsidRDefault="005A148C" w14:paraId="635818AC" w14:textId="77777777">
      <w:pPr>
        <w:pStyle w:val="Dummy"/>
        <w:keepLines w:val="0"/>
      </w:pPr>
      <w:bookmarkStart w:name="_Toc8123714" w:id="2"/>
      <w:bookmarkStart w:name="_Toc133843842" w:id="3"/>
      <w:bookmarkStart w:name="_Toc229726738" w:id="4"/>
      <w:r>
        <w:t>Summary</w:t>
      </w:r>
      <w:bookmarkEnd w:id="2"/>
      <w:bookmarkEnd w:id="3"/>
      <w:bookmarkEnd w:id="4"/>
    </w:p>
    <w:p w:rsidR="00E626FA" w:rsidP="00E626FA" w:rsidRDefault="00597374" w14:paraId="66BD19EB" w14:textId="70DAD9BC">
      <w:pPr>
        <w:pStyle w:val="Standard"/>
      </w:pPr>
      <w:r>
        <w:t>This decision adopt</w:t>
      </w:r>
      <w:r w:rsidR="005E7BA2">
        <w:t>s</w:t>
      </w:r>
      <w:r w:rsidR="00E626FA">
        <w:t xml:space="preserve"> General Order</w:t>
      </w:r>
      <w:r w:rsidR="0051059D">
        <w:t> </w:t>
      </w:r>
      <w:r w:rsidR="00E626FA">
        <w:t>178: Rules Governing Right</w:t>
      </w:r>
      <w:r w:rsidR="006136CC">
        <w:t>s</w:t>
      </w:r>
      <w:r w:rsidR="00E4753D">
        <w:noBreakHyphen/>
      </w:r>
      <w:r w:rsidR="00E626FA">
        <w:t>of</w:t>
      </w:r>
      <w:r w:rsidR="00E4753D">
        <w:noBreakHyphen/>
      </w:r>
      <w:r w:rsidR="00E626FA">
        <w:t>Way in California, which</w:t>
      </w:r>
      <w:r w:rsidRPr="00E626FA" w:rsidR="00E626FA">
        <w:t xml:space="preserve"> </w:t>
      </w:r>
      <w:r w:rsidR="00E626FA">
        <w:t>updates</w:t>
      </w:r>
      <w:r w:rsidR="006E4664">
        <w:t>,</w:t>
      </w:r>
      <w:r w:rsidR="00E626FA">
        <w:t xml:space="preserve"> amends</w:t>
      </w:r>
      <w:r w:rsidR="006E4664">
        <w:t>, and renames</w:t>
      </w:r>
      <w:r w:rsidR="00E626FA">
        <w:t xml:space="preserve"> the “</w:t>
      </w:r>
      <w:r w:rsidR="00B256EE">
        <w:t xml:space="preserve">Commission </w:t>
      </w:r>
      <w:r w:rsidR="00E626FA">
        <w:t xml:space="preserve">Adopted </w:t>
      </w:r>
      <w:r w:rsidR="00B256EE">
        <w:t>Rules Governing</w:t>
      </w:r>
      <w:r w:rsidR="00CF059D">
        <w:t xml:space="preserve"> Access</w:t>
      </w:r>
      <w:r w:rsidR="00E626FA">
        <w:t xml:space="preserve"> to the Right</w:t>
      </w:r>
      <w:r w:rsidR="00AC44DB">
        <w:t>s</w:t>
      </w:r>
      <w:r w:rsidR="00E4753D">
        <w:noBreakHyphen/>
      </w:r>
      <w:r w:rsidR="00E626FA">
        <w:t>of</w:t>
      </w:r>
      <w:r w:rsidR="00E4753D">
        <w:noBreakHyphen/>
      </w:r>
      <w:r w:rsidR="00E626FA">
        <w:t xml:space="preserve">Way Rules </w:t>
      </w:r>
      <w:r w:rsidR="00CF059D">
        <w:t xml:space="preserve">and </w:t>
      </w:r>
      <w:r w:rsidR="002C50A6">
        <w:t>Support Structures of Incumbent Telephone and Electric Utilities</w:t>
      </w:r>
      <w:r w:rsidR="00E626FA">
        <w:t xml:space="preserve">” that the Commission </w:t>
      </w:r>
      <w:r w:rsidR="000B62F9">
        <w:t>most recently amended</w:t>
      </w:r>
      <w:r w:rsidR="00E626FA">
        <w:t xml:space="preserve"> in Decision 22</w:t>
      </w:r>
      <w:r w:rsidR="00E4753D">
        <w:noBreakHyphen/>
      </w:r>
      <w:r w:rsidR="00E626FA">
        <w:t>10</w:t>
      </w:r>
      <w:r w:rsidR="00E4753D">
        <w:noBreakHyphen/>
      </w:r>
      <w:r w:rsidR="00E626FA">
        <w:t>025 (</w:t>
      </w:r>
      <w:r w:rsidRPr="00E360BC" w:rsidR="00E626FA">
        <w:rPr>
          <w:i/>
          <w:iCs/>
        </w:rPr>
        <w:t>Decision Adopting One</w:t>
      </w:r>
      <w:r w:rsidR="00E4753D">
        <w:rPr>
          <w:i/>
          <w:iCs/>
        </w:rPr>
        <w:noBreakHyphen/>
      </w:r>
      <w:r w:rsidRPr="00E360BC" w:rsidR="00E626FA">
        <w:rPr>
          <w:i/>
          <w:iCs/>
        </w:rPr>
        <w:t>Touch Make</w:t>
      </w:r>
      <w:r w:rsidR="00E4753D">
        <w:rPr>
          <w:i/>
          <w:iCs/>
        </w:rPr>
        <w:noBreakHyphen/>
      </w:r>
      <w:r w:rsidRPr="00E360BC" w:rsidR="00E626FA">
        <w:rPr>
          <w:i/>
          <w:iCs/>
        </w:rPr>
        <w:t>Ready Requirements</w:t>
      </w:r>
      <w:r w:rsidR="00E626FA">
        <w:t>).</w:t>
      </w:r>
    </w:p>
    <w:p w:rsidR="00E26F1D" w:rsidP="00ED36CC" w:rsidRDefault="00E626FA" w14:paraId="1DFB731B" w14:textId="1AF6A118">
      <w:pPr>
        <w:pStyle w:val="Standard"/>
      </w:pPr>
      <w:r>
        <w:t>The redline version of General Order</w:t>
      </w:r>
      <w:r w:rsidR="007E7CDE">
        <w:t> </w:t>
      </w:r>
      <w:r>
        <w:t>178 is appended as</w:t>
      </w:r>
      <w:r w:rsidR="00940BE9">
        <w:t xml:space="preserve"> </w:t>
      </w:r>
      <w:r w:rsidR="00AE3B9A">
        <w:t>Attachment</w:t>
      </w:r>
      <w:r w:rsidR="0051059D">
        <w:t> </w:t>
      </w:r>
      <w:r w:rsidR="00940BE9">
        <w:t xml:space="preserve">A </w:t>
      </w:r>
      <w:r w:rsidR="005E7BA2">
        <w:t xml:space="preserve">to this decision, </w:t>
      </w:r>
      <w:r>
        <w:t>and the clean version of General Order</w:t>
      </w:r>
      <w:r w:rsidR="007E7CDE">
        <w:t> </w:t>
      </w:r>
      <w:r>
        <w:t>178 is a</w:t>
      </w:r>
      <w:r w:rsidR="00F21348">
        <w:t>pp</w:t>
      </w:r>
      <w:r>
        <w:t>ended as Attachment</w:t>
      </w:r>
      <w:r w:rsidR="007E7CDE">
        <w:t> </w:t>
      </w:r>
      <w:r>
        <w:t>B to this decision.</w:t>
      </w:r>
    </w:p>
    <w:p w:rsidR="00794353" w:rsidP="00ED36CC" w:rsidRDefault="00794353" w14:paraId="3847CBD6" w14:textId="522BD523">
      <w:pPr>
        <w:pStyle w:val="Standard"/>
      </w:pPr>
      <w:r>
        <w:t xml:space="preserve">This decision also denies the </w:t>
      </w:r>
      <w:r w:rsidRPr="00867A46" w:rsidR="00867A46">
        <w:rPr>
          <w:i/>
          <w:iCs/>
        </w:rPr>
        <w:t xml:space="preserve">Petition for Modification of </w:t>
      </w:r>
      <w:r w:rsidR="00CB7606">
        <w:rPr>
          <w:i/>
          <w:iCs/>
        </w:rPr>
        <w:t>Decision</w:t>
      </w:r>
      <w:r w:rsidR="0051059D">
        <w:rPr>
          <w:i/>
          <w:iCs/>
        </w:rPr>
        <w:t> </w:t>
      </w:r>
      <w:r w:rsidRPr="00867A46" w:rsidR="00867A46">
        <w:rPr>
          <w:i/>
          <w:iCs/>
        </w:rPr>
        <w:t>21</w:t>
      </w:r>
      <w:r w:rsidR="00E4753D">
        <w:rPr>
          <w:i/>
          <w:iCs/>
        </w:rPr>
        <w:noBreakHyphen/>
      </w:r>
      <w:r w:rsidRPr="00867A46" w:rsidR="00867A46">
        <w:rPr>
          <w:i/>
          <w:iCs/>
        </w:rPr>
        <w:t>10</w:t>
      </w:r>
      <w:r w:rsidR="00E4753D">
        <w:rPr>
          <w:i/>
          <w:iCs/>
        </w:rPr>
        <w:noBreakHyphen/>
      </w:r>
      <w:r w:rsidRPr="00867A46" w:rsidR="00867A46">
        <w:rPr>
          <w:i/>
          <w:iCs/>
        </w:rPr>
        <w:t>019</w:t>
      </w:r>
      <w:r w:rsidR="00B94953">
        <w:rPr>
          <w:i/>
          <w:iCs/>
        </w:rPr>
        <w:t xml:space="preserve"> by the Major Pole Owners and the Joint Pole Attachers</w:t>
      </w:r>
      <w:r w:rsidR="00F15B00">
        <w:rPr>
          <w:i/>
          <w:iCs/>
        </w:rPr>
        <w:t>,</w:t>
      </w:r>
      <w:r w:rsidRPr="00867A46" w:rsidR="00867A46">
        <w:rPr>
          <w:i/>
          <w:iCs/>
        </w:rPr>
        <w:t xml:space="preserve"> </w:t>
      </w:r>
      <w:r w:rsidR="00867A46">
        <w:t xml:space="preserve">and the </w:t>
      </w:r>
      <w:r w:rsidRPr="00867A46" w:rsidR="00867A46">
        <w:rPr>
          <w:i/>
          <w:iCs/>
        </w:rPr>
        <w:t xml:space="preserve">Petition </w:t>
      </w:r>
      <w:r w:rsidR="00926C40">
        <w:rPr>
          <w:i/>
          <w:iCs/>
        </w:rPr>
        <w:t>of Sonic Telecom, LLC</w:t>
      </w:r>
      <w:r w:rsidR="00B94953">
        <w:rPr>
          <w:i/>
          <w:iCs/>
        </w:rPr>
        <w:t xml:space="preserve"> </w:t>
      </w:r>
      <w:r w:rsidRPr="00867A46" w:rsidR="00867A46">
        <w:rPr>
          <w:i/>
          <w:iCs/>
        </w:rPr>
        <w:t xml:space="preserve">for Modification of </w:t>
      </w:r>
      <w:r w:rsidR="00CB7606">
        <w:rPr>
          <w:i/>
          <w:iCs/>
        </w:rPr>
        <w:t>Decision</w:t>
      </w:r>
      <w:r w:rsidR="0051059D">
        <w:rPr>
          <w:i/>
          <w:iCs/>
        </w:rPr>
        <w:t> </w:t>
      </w:r>
      <w:r w:rsidRPr="00867A46" w:rsidR="00867A46">
        <w:rPr>
          <w:i/>
          <w:iCs/>
        </w:rPr>
        <w:t>22</w:t>
      </w:r>
      <w:r w:rsidR="00E4753D">
        <w:rPr>
          <w:i/>
          <w:iCs/>
        </w:rPr>
        <w:noBreakHyphen/>
      </w:r>
      <w:r w:rsidRPr="00867A46" w:rsidR="00867A46">
        <w:rPr>
          <w:i/>
          <w:iCs/>
        </w:rPr>
        <w:t>10</w:t>
      </w:r>
      <w:r w:rsidR="00E4753D">
        <w:rPr>
          <w:i/>
          <w:iCs/>
        </w:rPr>
        <w:noBreakHyphen/>
      </w:r>
      <w:r w:rsidRPr="00867A46" w:rsidR="00867A46">
        <w:rPr>
          <w:i/>
          <w:iCs/>
        </w:rPr>
        <w:t>025</w:t>
      </w:r>
      <w:r w:rsidR="00867A46">
        <w:t>.</w:t>
      </w:r>
    </w:p>
    <w:p w:rsidR="003738FC" w:rsidP="00ED36CC" w:rsidRDefault="00E626FA" w14:paraId="3AE39FE7" w14:textId="419E0F1E">
      <w:pPr>
        <w:pStyle w:val="Standard"/>
      </w:pPr>
      <w:r>
        <w:t>Investigation</w:t>
      </w:r>
      <w:r w:rsidR="002F0A4C">
        <w:t> </w:t>
      </w:r>
      <w:r>
        <w:t>17</w:t>
      </w:r>
      <w:r w:rsidR="00E4753D">
        <w:noBreakHyphen/>
      </w:r>
      <w:r>
        <w:t>06</w:t>
      </w:r>
      <w:r w:rsidR="00E4753D">
        <w:noBreakHyphen/>
      </w:r>
      <w:r>
        <w:t>027 and Rulemaking</w:t>
      </w:r>
      <w:r w:rsidR="002F0A4C">
        <w:t> </w:t>
      </w:r>
      <w:r>
        <w:t>17</w:t>
      </w:r>
      <w:r w:rsidR="00E4753D">
        <w:noBreakHyphen/>
      </w:r>
      <w:r>
        <w:t>06</w:t>
      </w:r>
      <w:r w:rsidR="00E4753D">
        <w:noBreakHyphen/>
      </w:r>
      <w:r>
        <w:t xml:space="preserve">028 </w:t>
      </w:r>
      <w:r w:rsidR="00F15B00">
        <w:t>are</w:t>
      </w:r>
      <w:r w:rsidR="003738FC">
        <w:t xml:space="preserve"> closed.</w:t>
      </w:r>
    </w:p>
    <w:p w:rsidRPr="00121089" w:rsidR="005A148C" w:rsidP="00334D1B" w:rsidRDefault="002C7FE9" w14:paraId="04FDDB08" w14:textId="77777777">
      <w:pPr>
        <w:pStyle w:val="Heading1"/>
      </w:pPr>
      <w:bookmarkStart w:name="_Toc8123715" w:id="5"/>
      <w:bookmarkStart w:name="_Toc133843843" w:id="6"/>
      <w:bookmarkStart w:name="_Toc229726739" w:id="7"/>
      <w:r w:rsidRPr="00121089">
        <w:t>Background</w:t>
      </w:r>
      <w:bookmarkEnd w:id="5"/>
      <w:bookmarkEnd w:id="6"/>
      <w:bookmarkEnd w:id="7"/>
    </w:p>
    <w:p w:rsidR="00E26F1D" w:rsidP="00ED36CC" w:rsidRDefault="0063491C" w14:paraId="6BCF42AB" w14:textId="7158122B">
      <w:pPr>
        <w:pStyle w:val="Heading2"/>
        <w:keepLines w:val="0"/>
      </w:pPr>
      <w:bookmarkStart w:name="_Toc8123716" w:id="8"/>
      <w:bookmarkStart w:name="_Toc133843844" w:id="9"/>
      <w:bookmarkStart w:name="_Toc229726740" w:id="10"/>
      <w:r>
        <w:t>Factual Background</w:t>
      </w:r>
      <w:bookmarkEnd w:id="8"/>
      <w:bookmarkEnd w:id="9"/>
      <w:bookmarkEnd w:id="10"/>
    </w:p>
    <w:p w:rsidR="006679A5" w:rsidP="00ED36CC" w:rsidRDefault="00525238" w14:paraId="5681AF91" w14:textId="6B7FEC50">
      <w:pPr>
        <w:pStyle w:val="Standard"/>
      </w:pPr>
      <w:r>
        <w:t xml:space="preserve">On </w:t>
      </w:r>
      <w:r w:rsidR="00410529">
        <w:t>June</w:t>
      </w:r>
      <w:r w:rsidR="0051059D">
        <w:t> </w:t>
      </w:r>
      <w:r>
        <w:t xml:space="preserve">29, 2017, the </w:t>
      </w:r>
      <w:r w:rsidR="001162B2">
        <w:t xml:space="preserve">California Public Utilities </w:t>
      </w:r>
      <w:r>
        <w:t xml:space="preserve">Commission </w:t>
      </w:r>
      <w:r w:rsidR="003F39C8">
        <w:t xml:space="preserve">(hereinafter </w:t>
      </w:r>
      <w:r w:rsidR="001162B2">
        <w:t xml:space="preserve">the Commission) </w:t>
      </w:r>
      <w:r>
        <w:t>issued Investigation (I.)</w:t>
      </w:r>
      <w:r w:rsidR="0051059D">
        <w:t> </w:t>
      </w:r>
      <w:r>
        <w:t>17</w:t>
      </w:r>
      <w:r w:rsidR="00E4753D">
        <w:noBreakHyphen/>
      </w:r>
      <w:r>
        <w:t>06</w:t>
      </w:r>
      <w:r w:rsidR="00E4753D">
        <w:noBreakHyphen/>
      </w:r>
      <w:r>
        <w:t>027 and Rulemaking</w:t>
      </w:r>
      <w:r w:rsidR="003F77D0">
        <w:t xml:space="preserve"> (R.) </w:t>
      </w:r>
      <w:r>
        <w:t>17</w:t>
      </w:r>
      <w:r w:rsidR="00E4753D">
        <w:noBreakHyphen/>
      </w:r>
      <w:r>
        <w:t>06</w:t>
      </w:r>
      <w:r w:rsidR="00E4753D">
        <w:noBreakHyphen/>
      </w:r>
      <w:r>
        <w:t>028 (OII/OIR proceeding)</w:t>
      </w:r>
      <w:r w:rsidR="00234674">
        <w:t xml:space="preserve"> to </w:t>
      </w:r>
      <w:r w:rsidR="00071A1F">
        <w:t>consider and develop strategies for increased and non</w:t>
      </w:r>
      <w:r w:rsidR="00E4753D">
        <w:noBreakHyphen/>
      </w:r>
      <w:r w:rsidR="00071A1F">
        <w:t xml:space="preserve">discriminatory access to poles and conduit by competitive communications providers, the impact of such increased access on safety, and how best to ensure the integrity of the affected communications and electric </w:t>
      </w:r>
      <w:r w:rsidR="00602C5C">
        <w:t>supply</w:t>
      </w:r>
      <w:r w:rsidR="00071A1F">
        <w:t xml:space="preserve"> infrastructure going forward. </w:t>
      </w:r>
      <w:r w:rsidR="00307ED6">
        <w:t xml:space="preserve">The Commission also expressed its intention to </w:t>
      </w:r>
      <w:r w:rsidR="00381913">
        <w:t xml:space="preserve">investigate the feasibility of a data management platform that will </w:t>
      </w:r>
      <w:r w:rsidR="00381913">
        <w:lastRenderedPageBreak/>
        <w:t>allow stakeholders to s</w:t>
      </w:r>
      <w:r w:rsidR="00EB31CC">
        <w:t>h</w:t>
      </w:r>
      <w:r w:rsidR="00381913">
        <w:t>are key pole attachment and conduit information;</w:t>
      </w:r>
      <w:r w:rsidR="00EB31CC">
        <w:rPr>
          <w:rStyle w:val="FootnoteReference"/>
        </w:rPr>
        <w:footnoteReference w:id="2"/>
      </w:r>
      <w:r w:rsidR="00EB31CC">
        <w:t xml:space="preserve"> consider rules that will allow broadband Internet access service providers to attach facilities to poles and to use conduit following their classification as public utility telecommunications carriers in the F</w:t>
      </w:r>
      <w:r w:rsidR="00BA38A4">
        <w:t>ederal Communications Commission</w:t>
      </w:r>
      <w:r w:rsidR="00410529">
        <w:t>’</w:t>
      </w:r>
      <w:r w:rsidR="00BA38A4">
        <w:t xml:space="preserve">s </w:t>
      </w:r>
      <w:r w:rsidR="00EB31CC">
        <w:t xml:space="preserve">2015 </w:t>
      </w:r>
      <w:r w:rsidRPr="00867442" w:rsidR="00EB31CC">
        <w:rPr>
          <w:i/>
          <w:iCs/>
        </w:rPr>
        <w:t>Open Internet Order</w:t>
      </w:r>
      <w:r w:rsidR="00EB31CC">
        <w:t>;</w:t>
      </w:r>
      <w:r w:rsidR="00867442">
        <w:rPr>
          <w:rStyle w:val="FootnoteReference"/>
        </w:rPr>
        <w:footnoteReference w:id="3"/>
      </w:r>
      <w:r w:rsidR="00EB31CC">
        <w:t xml:space="preserve"> and consider rules specific to conduct, and better pole management practices.</w:t>
      </w:r>
      <w:r w:rsidR="00932ABA">
        <w:rPr>
          <w:rStyle w:val="FootnoteReference"/>
        </w:rPr>
        <w:footnoteReference w:id="4"/>
      </w:r>
    </w:p>
    <w:p w:rsidR="003A4739" w:rsidP="00ED36CC" w:rsidRDefault="008A7922" w14:paraId="10E631E1" w14:textId="323A8C3F">
      <w:pPr>
        <w:pStyle w:val="Standard"/>
      </w:pPr>
      <w:r>
        <w:t xml:space="preserve">This OII/OIR proceeding was borne out of </w:t>
      </w:r>
      <w:r w:rsidR="0032402B">
        <w:t>the Commission</w:t>
      </w:r>
      <w:r w:rsidR="00410529">
        <w:t>’</w:t>
      </w:r>
      <w:r w:rsidR="0032402B">
        <w:t xml:space="preserve">s </w:t>
      </w:r>
      <w:r w:rsidR="00CD7CA4">
        <w:t>goal</w:t>
      </w:r>
      <w:r w:rsidR="0032402B">
        <w:t xml:space="preserve"> to impose greater </w:t>
      </w:r>
      <w:r w:rsidR="001F3699">
        <w:t xml:space="preserve">clarity and consistency </w:t>
      </w:r>
      <w:r w:rsidR="00A34BAC">
        <w:t xml:space="preserve">in the record keeping for the </w:t>
      </w:r>
      <w:r w:rsidR="000203FF">
        <w:t>5</w:t>
      </w:r>
      <w:r w:rsidR="00A34BAC">
        <w:t>+</w:t>
      </w:r>
      <w:r w:rsidR="0051059D">
        <w:t> </w:t>
      </w:r>
      <w:r w:rsidR="004840C8">
        <w:t>million</w:t>
      </w:r>
      <w:r w:rsidR="00A34BAC">
        <w:t xml:space="preserve"> poles in California</w:t>
      </w:r>
      <w:r w:rsidR="000203FF">
        <w:t xml:space="preserve">, most of </w:t>
      </w:r>
      <w:r w:rsidR="00D57E26">
        <w:t xml:space="preserve">which </w:t>
      </w:r>
      <w:r w:rsidR="00A34BAC">
        <w:t xml:space="preserve">are </w:t>
      </w:r>
      <w:r w:rsidR="00A67AAD">
        <w:t xml:space="preserve">owned by Pacific Gas and Electric Company </w:t>
      </w:r>
      <w:r w:rsidR="004A3D88">
        <w:t>(U</w:t>
      </w:r>
      <w:r w:rsidR="00E4753D">
        <w:noBreakHyphen/>
      </w:r>
      <w:r w:rsidR="004A3D88">
        <w:t>39</w:t>
      </w:r>
      <w:r w:rsidR="00E4753D">
        <w:noBreakHyphen/>
      </w:r>
      <w:r w:rsidR="004A3D88">
        <w:t xml:space="preserve">E) </w:t>
      </w:r>
      <w:r w:rsidR="00A67AAD">
        <w:t xml:space="preserve">(PG&amp;E), </w:t>
      </w:r>
      <w:r w:rsidR="00835EAD">
        <w:t>Southern California</w:t>
      </w:r>
      <w:r w:rsidR="002C25A7">
        <w:t xml:space="preserve"> </w:t>
      </w:r>
      <w:r w:rsidR="004A3D88">
        <w:t>Edison</w:t>
      </w:r>
      <w:r w:rsidR="002C25A7">
        <w:t xml:space="preserve"> </w:t>
      </w:r>
      <w:r w:rsidR="004F1E8E">
        <w:t xml:space="preserve">Company </w:t>
      </w:r>
      <w:r w:rsidR="002C25A7">
        <w:t>(U</w:t>
      </w:r>
      <w:r w:rsidR="00E4753D">
        <w:noBreakHyphen/>
      </w:r>
      <w:r w:rsidR="002C25A7">
        <w:t>338</w:t>
      </w:r>
      <w:r w:rsidR="00E4753D">
        <w:noBreakHyphen/>
      </w:r>
      <w:r w:rsidR="002C25A7">
        <w:t xml:space="preserve">E) (SCE), </w:t>
      </w:r>
      <w:r w:rsidR="003A4B15">
        <w:t>San</w:t>
      </w:r>
      <w:r w:rsidR="0051059D">
        <w:t> </w:t>
      </w:r>
      <w:r w:rsidR="00484D82">
        <w:t>Diego</w:t>
      </w:r>
      <w:r w:rsidR="002C25A7">
        <w:t xml:space="preserve"> Gas</w:t>
      </w:r>
      <w:r w:rsidR="0051059D">
        <w:t> </w:t>
      </w:r>
      <w:r w:rsidR="003A4B15">
        <w:t xml:space="preserve">&amp; </w:t>
      </w:r>
      <w:r w:rsidR="002C25A7">
        <w:t xml:space="preserve">Electric </w:t>
      </w:r>
      <w:r w:rsidR="004F1E8E">
        <w:t xml:space="preserve">Company </w:t>
      </w:r>
      <w:r w:rsidR="00484D82">
        <w:t>(U</w:t>
      </w:r>
      <w:r w:rsidR="00E4753D">
        <w:noBreakHyphen/>
      </w:r>
      <w:r w:rsidR="00484D82">
        <w:t>902</w:t>
      </w:r>
      <w:r w:rsidR="00E4753D">
        <w:noBreakHyphen/>
      </w:r>
      <w:r w:rsidR="00484D82">
        <w:t>E) (SDG&amp;E), Frontier</w:t>
      </w:r>
      <w:r w:rsidR="004A3D88">
        <w:t>,</w:t>
      </w:r>
      <w:r w:rsidR="004A3D88">
        <w:rPr>
          <w:rStyle w:val="FootnoteReference"/>
        </w:rPr>
        <w:footnoteReference w:id="5"/>
      </w:r>
      <w:r w:rsidR="00656D10">
        <w:t xml:space="preserve"> and AT&amp;T</w:t>
      </w:r>
      <w:r w:rsidR="00656D10">
        <w:rPr>
          <w:rStyle w:val="FootnoteReference"/>
        </w:rPr>
        <w:footnoteReference w:id="6"/>
      </w:r>
      <w:r w:rsidR="00E42F52">
        <w:t xml:space="preserve"> (collectively referred to as the </w:t>
      </w:r>
      <w:r w:rsidR="00410529">
        <w:t>“</w:t>
      </w:r>
      <w:r w:rsidR="00E42F52">
        <w:t>Major Pole Owners</w:t>
      </w:r>
      <w:r w:rsidR="00410529">
        <w:t>”</w:t>
      </w:r>
      <w:r w:rsidR="00E42F52">
        <w:t>)</w:t>
      </w:r>
      <w:r w:rsidR="00FE2652">
        <w:t xml:space="preserve">, and accessed by </w:t>
      </w:r>
      <w:r w:rsidR="00ED4DA9">
        <w:t>AT&amp;T, AT&amp;T Wireless</w:t>
      </w:r>
      <w:r w:rsidR="00034F25">
        <w:t>,</w:t>
      </w:r>
      <w:r w:rsidR="0059563C">
        <w:rPr>
          <w:rStyle w:val="FootnoteReference"/>
        </w:rPr>
        <w:footnoteReference w:id="7"/>
      </w:r>
      <w:r w:rsidR="00034F25">
        <w:t xml:space="preserve"> Comcast,</w:t>
      </w:r>
      <w:r w:rsidR="001F0403">
        <w:rPr>
          <w:rStyle w:val="FootnoteReference"/>
        </w:rPr>
        <w:footnoteReference w:id="8"/>
      </w:r>
      <w:r w:rsidR="00034F25">
        <w:t xml:space="preserve"> Cox California Telcom, LLC</w:t>
      </w:r>
      <w:r w:rsidR="00C461F0">
        <w:t xml:space="preserve"> (Cox</w:t>
      </w:r>
      <w:r w:rsidR="00D416D9">
        <w:t>)</w:t>
      </w:r>
      <w:r w:rsidR="00C461F0">
        <w:t>, Crown Castle Fiber LLC (U</w:t>
      </w:r>
      <w:r w:rsidR="00E4753D">
        <w:noBreakHyphen/>
      </w:r>
      <w:r w:rsidR="00C461F0">
        <w:t>6190</w:t>
      </w:r>
      <w:r w:rsidR="00E4753D">
        <w:noBreakHyphen/>
      </w:r>
      <w:r w:rsidR="00C461F0">
        <w:t>C), T</w:t>
      </w:r>
      <w:r w:rsidR="00E4753D">
        <w:noBreakHyphen/>
      </w:r>
      <w:r w:rsidR="00C461F0">
        <w:t>Mobile West LLC d/b/a T</w:t>
      </w:r>
      <w:r w:rsidR="00E4753D">
        <w:noBreakHyphen/>
      </w:r>
      <w:r w:rsidR="00C461F0">
        <w:t>Mobile (U</w:t>
      </w:r>
      <w:r w:rsidR="00E4753D">
        <w:noBreakHyphen/>
      </w:r>
      <w:r w:rsidR="00C461F0">
        <w:t>3056</w:t>
      </w:r>
      <w:r w:rsidR="00E4753D">
        <w:noBreakHyphen/>
      </w:r>
      <w:r w:rsidR="00C461F0">
        <w:t>C), Sonic Telecom, LLC (U</w:t>
      </w:r>
      <w:r w:rsidR="00E4753D">
        <w:noBreakHyphen/>
      </w:r>
      <w:r w:rsidR="00C461F0">
        <w:t>7002</w:t>
      </w:r>
      <w:r w:rsidR="00E4753D">
        <w:noBreakHyphen/>
      </w:r>
      <w:r w:rsidR="006E2348">
        <w:t>C)</w:t>
      </w:r>
      <w:r w:rsidR="003A494A">
        <w:t xml:space="preserve"> (Sonic)</w:t>
      </w:r>
      <w:r w:rsidR="006E2348">
        <w:t>, and Verizon (collectively</w:t>
      </w:r>
      <w:r w:rsidR="00453672">
        <w:t xml:space="preserve"> referred to as</w:t>
      </w:r>
      <w:r w:rsidR="006E2348">
        <w:t xml:space="preserve"> </w:t>
      </w:r>
      <w:r w:rsidR="006E2348">
        <w:lastRenderedPageBreak/>
        <w:t xml:space="preserve">the </w:t>
      </w:r>
      <w:r w:rsidR="00410529">
        <w:t>“</w:t>
      </w:r>
      <w:r w:rsidR="006E2348">
        <w:t>Joint Pole Attachers</w:t>
      </w:r>
      <w:r w:rsidR="00410529">
        <w:t>”</w:t>
      </w:r>
      <w:r w:rsidR="006E2348">
        <w:t>).</w:t>
      </w:r>
      <w:r w:rsidR="00842822">
        <w:t xml:space="preserve"> </w:t>
      </w:r>
      <w:r w:rsidR="00496CA0">
        <w:t xml:space="preserve">When the Commission opened this OII/OIR proceeding, there </w:t>
      </w:r>
      <w:r w:rsidR="00847478">
        <w:t xml:space="preserve">was no shared data repository to track </w:t>
      </w:r>
      <w:r w:rsidR="00C46742">
        <w:t xml:space="preserve">pole locations, attachments, </w:t>
      </w:r>
      <w:r w:rsidR="006B7A8B">
        <w:t xml:space="preserve">their </w:t>
      </w:r>
      <w:r w:rsidR="00C46742">
        <w:t xml:space="preserve">condition, or </w:t>
      </w:r>
      <w:r w:rsidR="006B7A8B">
        <w:t xml:space="preserve">their </w:t>
      </w:r>
      <w:r w:rsidR="00C46742">
        <w:t>ownership</w:t>
      </w:r>
      <w:r w:rsidR="00847478">
        <w:t>.</w:t>
      </w:r>
      <w:r w:rsidR="00847478">
        <w:rPr>
          <w:rStyle w:val="FootnoteReference"/>
        </w:rPr>
        <w:footnoteReference w:id="9"/>
      </w:r>
      <w:r w:rsidR="000A2C0C">
        <w:t xml:space="preserve"> </w:t>
      </w:r>
      <w:r w:rsidR="00301DF0">
        <w:t xml:space="preserve">Requiring the Major Pole Owners to </w:t>
      </w:r>
      <w:r w:rsidR="00653210">
        <w:t>collect and maintain</w:t>
      </w:r>
      <w:r w:rsidR="000A2C0C">
        <w:t xml:space="preserve"> such information </w:t>
      </w:r>
      <w:r w:rsidR="009E4B4F">
        <w:t xml:space="preserve">is essential </w:t>
      </w:r>
      <w:r w:rsidR="00653210">
        <w:t>for</w:t>
      </w:r>
      <w:r w:rsidR="009E4B4F">
        <w:t xml:space="preserve"> the Commission</w:t>
      </w:r>
      <w:r w:rsidR="00653210">
        <w:t xml:space="preserve"> to fulfill its </w:t>
      </w:r>
      <w:r w:rsidR="009E4B4F">
        <w:t>duty of regulatory oversight</w:t>
      </w:r>
      <w:r w:rsidR="00C327DA">
        <w:t>. Pole information databases will assist the Commission in ascertaini</w:t>
      </w:r>
      <w:r w:rsidR="00DD4F5D">
        <w:t>ng</w:t>
      </w:r>
      <w:r w:rsidR="009E4B4F">
        <w:t xml:space="preserve"> </w:t>
      </w:r>
      <w:r w:rsidR="00400CB2">
        <w:t>if poles and attachments are poorly maintained</w:t>
      </w:r>
      <w:r w:rsidR="00F53D42">
        <w:t xml:space="preserve">, and if such </w:t>
      </w:r>
      <w:r w:rsidR="00DD4F5D">
        <w:t xml:space="preserve">a </w:t>
      </w:r>
      <w:r w:rsidR="00F53D42">
        <w:t xml:space="preserve">state of maintenance is the cause </w:t>
      </w:r>
      <w:r w:rsidR="009F428A">
        <w:t xml:space="preserve">or contributing cause </w:t>
      </w:r>
      <w:r w:rsidR="00F53D42">
        <w:t xml:space="preserve">behind </w:t>
      </w:r>
      <w:r w:rsidR="00D32534">
        <w:t>fires throughout California that have resulted in substantial property damage and repeated loss of life.</w:t>
      </w:r>
      <w:r w:rsidR="009F428A">
        <w:rPr>
          <w:rStyle w:val="FootnoteReference"/>
        </w:rPr>
        <w:footnoteReference w:id="10"/>
      </w:r>
    </w:p>
    <w:p w:rsidR="00E26F1D" w:rsidP="00ED36CC" w:rsidRDefault="0063491C" w14:paraId="16992A7A" w14:textId="5ABDF0CF">
      <w:pPr>
        <w:pStyle w:val="Heading2"/>
        <w:keepLines w:val="0"/>
      </w:pPr>
      <w:bookmarkStart w:name="_Toc8123717" w:id="11"/>
      <w:bookmarkStart w:name="_Toc133843845" w:id="12"/>
      <w:bookmarkStart w:name="_Toc229726741" w:id="13"/>
      <w:r>
        <w:t>Procedural Background</w:t>
      </w:r>
      <w:bookmarkEnd w:id="11"/>
      <w:bookmarkEnd w:id="12"/>
      <w:bookmarkEnd w:id="13"/>
    </w:p>
    <w:p w:rsidR="00E26F1D" w:rsidP="00ED36CC" w:rsidRDefault="00306836" w14:paraId="39D54B8C" w14:textId="7F3852E3">
      <w:pPr>
        <w:pStyle w:val="Standard"/>
      </w:pPr>
      <w:r>
        <w:t xml:space="preserve">Because of the size and complexity of the OII/OIR proceeding, the </w:t>
      </w:r>
      <w:r w:rsidR="00D17B3B">
        <w:t>assigned Commissioner</w:t>
      </w:r>
      <w:r w:rsidR="00955036">
        <w:t xml:space="preserve"> </w:t>
      </w:r>
      <w:r>
        <w:t xml:space="preserve">broke the proceeding into </w:t>
      </w:r>
      <w:r w:rsidR="00955036">
        <w:t>t</w:t>
      </w:r>
      <w:r w:rsidR="0056078E">
        <w:t xml:space="preserve">racks to promote the efficient resolution of </w:t>
      </w:r>
      <w:r w:rsidR="00B70DB7">
        <w:t xml:space="preserve">the </w:t>
      </w:r>
      <w:r w:rsidR="0056078E">
        <w:t>issues. Decision</w:t>
      </w:r>
      <w:r w:rsidR="00203876">
        <w:t xml:space="preserve"> </w:t>
      </w:r>
      <w:r w:rsidR="00D832CC">
        <w:t>(D.)</w:t>
      </w:r>
      <w:r w:rsidR="0051059D">
        <w:t> </w:t>
      </w:r>
      <w:r w:rsidR="00203876">
        <w:t>20</w:t>
      </w:r>
      <w:r w:rsidR="00E4753D">
        <w:noBreakHyphen/>
      </w:r>
      <w:r w:rsidR="00203876">
        <w:t>07</w:t>
      </w:r>
      <w:r w:rsidR="00E4753D">
        <w:noBreakHyphen/>
      </w:r>
      <w:r w:rsidR="00203876">
        <w:t xml:space="preserve">004 </w:t>
      </w:r>
      <w:r w:rsidR="00BF2854">
        <w:t>(</w:t>
      </w:r>
      <w:r w:rsidRPr="00401BCB" w:rsidR="00BF2854">
        <w:rPr>
          <w:i/>
          <w:iCs/>
        </w:rPr>
        <w:t xml:space="preserve">Decision approving </w:t>
      </w:r>
      <w:r w:rsidR="00A4557D">
        <w:rPr>
          <w:i/>
          <w:iCs/>
        </w:rPr>
        <w:t>Track</w:t>
      </w:r>
      <w:r w:rsidR="0051059D">
        <w:rPr>
          <w:i/>
          <w:iCs/>
        </w:rPr>
        <w:t> </w:t>
      </w:r>
      <w:r w:rsidRPr="00401BCB" w:rsidR="00BF2854">
        <w:rPr>
          <w:i/>
          <w:iCs/>
        </w:rPr>
        <w:t xml:space="preserve">1 Workshop Report Work Plans for </w:t>
      </w:r>
      <w:r w:rsidR="003A4B15">
        <w:rPr>
          <w:i/>
          <w:iCs/>
        </w:rPr>
        <w:t>San</w:t>
      </w:r>
      <w:r w:rsidR="0051059D">
        <w:rPr>
          <w:i/>
          <w:iCs/>
        </w:rPr>
        <w:t> </w:t>
      </w:r>
      <w:r w:rsidRPr="00401BCB" w:rsidR="00BF2854">
        <w:rPr>
          <w:i/>
          <w:iCs/>
        </w:rPr>
        <w:t>Diego Gas</w:t>
      </w:r>
      <w:r w:rsidR="0051059D">
        <w:rPr>
          <w:i/>
          <w:iCs/>
        </w:rPr>
        <w:t> </w:t>
      </w:r>
      <w:r w:rsidR="003A4B15">
        <w:rPr>
          <w:i/>
          <w:iCs/>
        </w:rPr>
        <w:t xml:space="preserve">&amp; </w:t>
      </w:r>
      <w:r w:rsidRPr="00401BCB" w:rsidR="00BF2854">
        <w:rPr>
          <w:i/>
          <w:iCs/>
        </w:rPr>
        <w:t xml:space="preserve">Electric Company, </w:t>
      </w:r>
      <w:r w:rsidR="00835EAD">
        <w:rPr>
          <w:i/>
          <w:iCs/>
        </w:rPr>
        <w:t>Southern California</w:t>
      </w:r>
      <w:r w:rsidRPr="00401BCB" w:rsidR="00BF2854">
        <w:rPr>
          <w:i/>
          <w:iCs/>
        </w:rPr>
        <w:t xml:space="preserve"> Edison Company, Pacific Gas and Electric Company, AT&amp;T, and Frontier Communications of California</w:t>
      </w:r>
      <w:r w:rsidR="00401BCB">
        <w:t>)</w:t>
      </w:r>
      <w:r w:rsidR="00C06C22">
        <w:t xml:space="preserve"> ordered </w:t>
      </w:r>
      <w:r w:rsidR="003805A9">
        <w:t xml:space="preserve">each of the </w:t>
      </w:r>
      <w:r w:rsidR="009F1705">
        <w:t>M</w:t>
      </w:r>
      <w:r w:rsidR="003805A9">
        <w:t xml:space="preserve">ajor </w:t>
      </w:r>
      <w:r w:rsidR="009F1705">
        <w:t>P</w:t>
      </w:r>
      <w:r w:rsidR="003805A9">
        <w:t xml:space="preserve">ole </w:t>
      </w:r>
      <w:r w:rsidR="009F1705">
        <w:t>O</w:t>
      </w:r>
      <w:r w:rsidR="003805A9">
        <w:t>wners to incorporate data glossaries with consistent meanings into their respective data portals.</w:t>
      </w:r>
    </w:p>
    <w:p w:rsidR="00F012AE" w:rsidP="00ED36CC" w:rsidRDefault="00CB7606" w14:paraId="1D208145" w14:textId="16DFF6F0">
      <w:pPr>
        <w:pStyle w:val="Standard"/>
      </w:pPr>
      <w:r>
        <w:t>D</w:t>
      </w:r>
      <w:r w:rsidR="00242D7E">
        <w:t>.21</w:t>
      </w:r>
      <w:r w:rsidR="00E4753D">
        <w:noBreakHyphen/>
      </w:r>
      <w:r w:rsidR="00242D7E">
        <w:t>10</w:t>
      </w:r>
      <w:r w:rsidR="00E4753D">
        <w:noBreakHyphen/>
      </w:r>
      <w:r w:rsidR="00242D7E">
        <w:t>019 (</w:t>
      </w:r>
      <w:r w:rsidR="00A4557D">
        <w:rPr>
          <w:i/>
          <w:iCs/>
        </w:rPr>
        <w:t>Track</w:t>
      </w:r>
      <w:r w:rsidR="0051059D">
        <w:rPr>
          <w:i/>
          <w:iCs/>
        </w:rPr>
        <w:t> </w:t>
      </w:r>
      <w:r w:rsidRPr="008C01A0" w:rsidR="00242D7E">
        <w:rPr>
          <w:i/>
          <w:iCs/>
        </w:rPr>
        <w:t xml:space="preserve">2 Decision adding Attachment Data to Pole Owner Databases Ordered in </w:t>
      </w:r>
      <w:r>
        <w:rPr>
          <w:i/>
          <w:iCs/>
        </w:rPr>
        <w:t>Decision</w:t>
      </w:r>
      <w:r w:rsidR="0051059D">
        <w:rPr>
          <w:i/>
          <w:iCs/>
        </w:rPr>
        <w:t> </w:t>
      </w:r>
      <w:r w:rsidRPr="008C01A0" w:rsidR="00242D7E">
        <w:rPr>
          <w:i/>
          <w:iCs/>
        </w:rPr>
        <w:t>20</w:t>
      </w:r>
      <w:r w:rsidR="00E4753D">
        <w:rPr>
          <w:i/>
          <w:iCs/>
        </w:rPr>
        <w:noBreakHyphen/>
      </w:r>
      <w:r w:rsidRPr="008C01A0" w:rsidR="00242D7E">
        <w:rPr>
          <w:i/>
          <w:iCs/>
        </w:rPr>
        <w:t>07</w:t>
      </w:r>
      <w:r w:rsidR="00E4753D">
        <w:rPr>
          <w:i/>
          <w:iCs/>
        </w:rPr>
        <w:noBreakHyphen/>
      </w:r>
      <w:r w:rsidRPr="008C01A0" w:rsidR="00242D7E">
        <w:rPr>
          <w:i/>
          <w:iCs/>
        </w:rPr>
        <w:t>004</w:t>
      </w:r>
      <w:r w:rsidR="00242D7E">
        <w:t>)</w:t>
      </w:r>
      <w:r w:rsidR="004C5CB7">
        <w:t xml:space="preserve"> ordered the Major Pole Owners to include granular information about each electric attachment and communications attachment to each pole in each Major Pole Owner</w:t>
      </w:r>
      <w:r w:rsidR="00410529">
        <w:t>’</w:t>
      </w:r>
      <w:r w:rsidR="004C5CB7">
        <w:t xml:space="preserve">s </w:t>
      </w:r>
      <w:r w:rsidR="00125167">
        <w:t>database</w:t>
      </w:r>
      <w:r w:rsidR="004C5CB7">
        <w:t>.</w:t>
      </w:r>
      <w:r w:rsidR="00B44F86">
        <w:t xml:space="preserve"> </w:t>
      </w:r>
      <w:r w:rsidR="007E00A2">
        <w:t xml:space="preserve">On </w:t>
      </w:r>
      <w:r w:rsidR="0023089B">
        <w:t>July</w:t>
      </w:r>
      <w:r w:rsidR="0051059D">
        <w:t> </w:t>
      </w:r>
      <w:r w:rsidR="00C1719A">
        <w:t>25,</w:t>
      </w:r>
      <w:r w:rsidR="007E00A2">
        <w:t xml:space="preserve"> 2025, t</w:t>
      </w:r>
      <w:r w:rsidR="00B44F86">
        <w:t xml:space="preserve">he Major Pole Owners and Joint Pole Attachers filed a </w:t>
      </w:r>
      <w:r w:rsidRPr="00FE0D46" w:rsidR="00B44F86">
        <w:rPr>
          <w:i/>
          <w:iCs/>
        </w:rPr>
        <w:t>Petition for Modification</w:t>
      </w:r>
      <w:r w:rsidR="00B44F86">
        <w:t xml:space="preserve"> </w:t>
      </w:r>
      <w:r w:rsidR="00FE0D46">
        <w:t xml:space="preserve">of </w:t>
      </w:r>
      <w:r w:rsidRPr="00B9212A" w:rsidR="00FE0D46">
        <w:rPr>
          <w:i/>
          <w:iCs/>
        </w:rPr>
        <w:t>D.21</w:t>
      </w:r>
      <w:r w:rsidR="00E4753D">
        <w:rPr>
          <w:i/>
          <w:iCs/>
        </w:rPr>
        <w:noBreakHyphen/>
      </w:r>
      <w:r w:rsidRPr="00B9212A" w:rsidR="00FE0D46">
        <w:rPr>
          <w:i/>
          <w:iCs/>
        </w:rPr>
        <w:t>10</w:t>
      </w:r>
      <w:r w:rsidR="00E4753D">
        <w:rPr>
          <w:i/>
          <w:iCs/>
        </w:rPr>
        <w:noBreakHyphen/>
      </w:r>
      <w:r w:rsidRPr="00B9212A" w:rsidR="00FE0D46">
        <w:rPr>
          <w:i/>
          <w:iCs/>
        </w:rPr>
        <w:t>019</w:t>
      </w:r>
      <w:r w:rsidR="00FE0D46">
        <w:t xml:space="preserve"> </w:t>
      </w:r>
      <w:r w:rsidR="007E1177">
        <w:t>(</w:t>
      </w:r>
      <w:r w:rsidRPr="003D3AC7" w:rsidR="003D3AC7">
        <w:rPr>
          <w:i/>
          <w:iCs/>
        </w:rPr>
        <w:t xml:space="preserve">Joint </w:t>
      </w:r>
      <w:r w:rsidRPr="00044D54" w:rsidR="007E1177">
        <w:rPr>
          <w:i/>
          <w:iCs/>
        </w:rPr>
        <w:t>Petition</w:t>
      </w:r>
      <w:r w:rsidR="007E1177">
        <w:t>)</w:t>
      </w:r>
      <w:r w:rsidR="00044D54">
        <w:t>,</w:t>
      </w:r>
      <w:r w:rsidR="007E1177">
        <w:t xml:space="preserve"> </w:t>
      </w:r>
      <w:r w:rsidR="00FE0D46">
        <w:t xml:space="preserve">which will be resolved in this </w:t>
      </w:r>
      <w:r w:rsidR="00FE0D46">
        <w:lastRenderedPageBreak/>
        <w:t xml:space="preserve">decision, </w:t>
      </w:r>
      <w:r w:rsidRPr="00FE0D46" w:rsidR="00FE0D46">
        <w:rPr>
          <w:i/>
          <w:iCs/>
        </w:rPr>
        <w:t>infra</w:t>
      </w:r>
      <w:r w:rsidR="00C45B12">
        <w:t xml:space="preserve">, at </w:t>
      </w:r>
      <w:r w:rsidR="00B64DFB">
        <w:t>Section</w:t>
      </w:r>
      <w:r w:rsidR="0051059D">
        <w:t> </w:t>
      </w:r>
      <w:r w:rsidR="0076505E">
        <w:t>5</w:t>
      </w:r>
      <w:r w:rsidR="00C45B12">
        <w:t>.</w:t>
      </w:r>
      <w:r w:rsidR="004E00EC">
        <w:t xml:space="preserve"> Because of the allegations made in the </w:t>
      </w:r>
      <w:r w:rsidRPr="003D3AC7" w:rsidR="003D3AC7">
        <w:rPr>
          <w:i/>
          <w:iCs/>
        </w:rPr>
        <w:t>Joint</w:t>
      </w:r>
      <w:r w:rsidR="003D3AC7">
        <w:t xml:space="preserve"> </w:t>
      </w:r>
      <w:r w:rsidRPr="00044D54" w:rsidR="004E00EC">
        <w:rPr>
          <w:i/>
          <w:iCs/>
        </w:rPr>
        <w:t>Petition</w:t>
      </w:r>
      <w:r w:rsidR="004E00EC">
        <w:t xml:space="preserve">, along with party requests for extensions of time to comply with </w:t>
      </w:r>
      <w:r w:rsidR="004C1F30">
        <w:t>D.</w:t>
      </w:r>
      <w:r w:rsidR="004E00EC">
        <w:t>21</w:t>
      </w:r>
      <w:r w:rsidR="00E4753D">
        <w:noBreakHyphen/>
      </w:r>
      <w:r w:rsidR="004E00EC">
        <w:t>10</w:t>
      </w:r>
      <w:r w:rsidR="00E4753D">
        <w:noBreakHyphen/>
      </w:r>
      <w:r w:rsidR="004E00EC">
        <w:t xml:space="preserve">019 until after the </w:t>
      </w:r>
      <w:r w:rsidRPr="003D3AC7" w:rsidR="003D3AC7">
        <w:rPr>
          <w:i/>
          <w:iCs/>
        </w:rPr>
        <w:t>Joint</w:t>
      </w:r>
      <w:r w:rsidR="003D3AC7">
        <w:t xml:space="preserve"> </w:t>
      </w:r>
      <w:r w:rsidRPr="00044D54" w:rsidR="004E00EC">
        <w:rPr>
          <w:i/>
          <w:iCs/>
        </w:rPr>
        <w:t>Petition</w:t>
      </w:r>
      <w:r w:rsidR="004E00EC">
        <w:t xml:space="preserve"> has been resolved,</w:t>
      </w:r>
      <w:r w:rsidR="00044D54">
        <w:rPr>
          <w:rStyle w:val="FootnoteReference"/>
        </w:rPr>
        <w:footnoteReference w:id="11"/>
      </w:r>
      <w:r w:rsidR="004E00EC">
        <w:t xml:space="preserve"> </w:t>
      </w:r>
      <w:r w:rsidR="007E1177">
        <w:t xml:space="preserve">on </w:t>
      </w:r>
      <w:r w:rsidR="0023089B">
        <w:t>August</w:t>
      </w:r>
      <w:r w:rsidR="0051059D">
        <w:t> </w:t>
      </w:r>
      <w:r w:rsidR="00C35CAA">
        <w:t>22, 2025</w:t>
      </w:r>
      <w:r w:rsidR="007E1177">
        <w:t>, the assigned Administrative Law Judge</w:t>
      </w:r>
      <w:r w:rsidR="00EC3176">
        <w:t xml:space="preserve"> (ALJ)</w:t>
      </w:r>
      <w:r w:rsidR="007E1177">
        <w:t xml:space="preserve"> issued his </w:t>
      </w:r>
      <w:r w:rsidRPr="00C1719A" w:rsidR="00BC0EB7">
        <w:rPr>
          <w:i/>
          <w:iCs/>
        </w:rPr>
        <w:t xml:space="preserve">Ruling Requesting Responses to Questions Regarding compliance with </w:t>
      </w:r>
      <w:r>
        <w:rPr>
          <w:i/>
          <w:iCs/>
        </w:rPr>
        <w:t>Decision</w:t>
      </w:r>
      <w:r w:rsidR="0051059D">
        <w:rPr>
          <w:i/>
          <w:iCs/>
        </w:rPr>
        <w:t> </w:t>
      </w:r>
      <w:r w:rsidRPr="00C1719A" w:rsidR="00BC0EB7">
        <w:rPr>
          <w:i/>
          <w:iCs/>
        </w:rPr>
        <w:t>21</w:t>
      </w:r>
      <w:r w:rsidR="00E4753D">
        <w:rPr>
          <w:i/>
          <w:iCs/>
        </w:rPr>
        <w:noBreakHyphen/>
      </w:r>
      <w:r w:rsidRPr="00C1719A" w:rsidR="00BC0EB7">
        <w:rPr>
          <w:i/>
          <w:iCs/>
        </w:rPr>
        <w:t>10</w:t>
      </w:r>
      <w:r w:rsidR="00E4753D">
        <w:rPr>
          <w:i/>
          <w:iCs/>
        </w:rPr>
        <w:noBreakHyphen/>
      </w:r>
      <w:r w:rsidRPr="00C1719A" w:rsidR="00BC0EB7">
        <w:rPr>
          <w:i/>
          <w:iCs/>
        </w:rPr>
        <w:t>019</w:t>
      </w:r>
      <w:r w:rsidR="00BC0EB7">
        <w:t xml:space="preserve"> </w:t>
      </w:r>
      <w:r w:rsidR="00434E4E">
        <w:t>(</w:t>
      </w:r>
      <w:r w:rsidR="0023089B">
        <w:rPr>
          <w:i/>
          <w:iCs/>
        </w:rPr>
        <w:t>August</w:t>
      </w:r>
      <w:r w:rsidR="0051059D">
        <w:rPr>
          <w:i/>
          <w:iCs/>
        </w:rPr>
        <w:t> </w:t>
      </w:r>
      <w:r w:rsidRPr="00434E4E" w:rsidR="00434E4E">
        <w:rPr>
          <w:i/>
          <w:iCs/>
        </w:rPr>
        <w:t>22 Ruling</w:t>
      </w:r>
      <w:r w:rsidR="00434E4E">
        <w:t>).</w:t>
      </w:r>
      <w:r w:rsidR="004F1E8E">
        <w:t xml:space="preserve"> </w:t>
      </w:r>
      <w:r w:rsidR="00BC0EB7">
        <w:t>Responses to th</w:t>
      </w:r>
      <w:r w:rsidR="004F1E8E">
        <w:t>e</w:t>
      </w:r>
      <w:r w:rsidR="00BC0EB7">
        <w:t xml:space="preserve"> </w:t>
      </w:r>
      <w:r w:rsidRPr="00005C91" w:rsidR="004F1E8E">
        <w:rPr>
          <w:i/>
          <w:iCs/>
        </w:rPr>
        <w:t>August</w:t>
      </w:r>
      <w:r w:rsidR="004704DD">
        <w:rPr>
          <w:i/>
          <w:iCs/>
        </w:rPr>
        <w:t> </w:t>
      </w:r>
      <w:r w:rsidRPr="00005C91" w:rsidR="004F1E8E">
        <w:rPr>
          <w:i/>
          <w:iCs/>
        </w:rPr>
        <w:t>22</w:t>
      </w:r>
      <w:r w:rsidR="004F1E8E">
        <w:t xml:space="preserve"> </w:t>
      </w:r>
      <w:r w:rsidRPr="00C1719A" w:rsidR="00BC0EB7">
        <w:rPr>
          <w:i/>
          <w:iCs/>
        </w:rPr>
        <w:t>Ruling</w:t>
      </w:r>
      <w:r w:rsidR="00BC0EB7">
        <w:t xml:space="preserve"> </w:t>
      </w:r>
      <w:r w:rsidR="00C1719A">
        <w:t xml:space="preserve">were received on or about </w:t>
      </w:r>
      <w:r w:rsidR="0023089B">
        <w:t>September</w:t>
      </w:r>
      <w:r w:rsidR="0051059D">
        <w:t> </w:t>
      </w:r>
      <w:r w:rsidR="00C1719A">
        <w:t>3, 2025</w:t>
      </w:r>
      <w:r w:rsidR="006916E2">
        <w:t xml:space="preserve">, from AT&amp;T, Comcast, Cox California, Crown Castle, </w:t>
      </w:r>
      <w:proofErr w:type="spellStart"/>
      <w:r w:rsidR="006916E2">
        <w:t>Extenet</w:t>
      </w:r>
      <w:proofErr w:type="spellEnd"/>
      <w:r w:rsidR="006916E2">
        <w:t xml:space="preserve"> Systems, Frontier, PG&amp;E, SDG&amp;E, Sonic, and Verizon</w:t>
      </w:r>
      <w:r w:rsidR="00BE028D">
        <w:t>.</w:t>
      </w:r>
    </w:p>
    <w:p w:rsidR="003367BB" w:rsidP="00ED36CC" w:rsidRDefault="003367BB" w14:paraId="087CFBCD" w14:textId="29110F8F">
      <w:pPr>
        <w:pStyle w:val="Standard"/>
      </w:pPr>
      <w:r>
        <w:t>D</w:t>
      </w:r>
      <w:r w:rsidR="00C67D86">
        <w:t>.</w:t>
      </w:r>
      <w:r w:rsidR="0038775C">
        <w:t>22</w:t>
      </w:r>
      <w:r w:rsidR="00E4753D">
        <w:noBreakHyphen/>
      </w:r>
      <w:r w:rsidR="0038775C">
        <w:t>10</w:t>
      </w:r>
      <w:r w:rsidR="00E4753D">
        <w:noBreakHyphen/>
      </w:r>
      <w:r w:rsidR="0038775C">
        <w:t>025 (</w:t>
      </w:r>
      <w:r w:rsidRPr="0038775C" w:rsidR="0038775C">
        <w:rPr>
          <w:i/>
          <w:iCs/>
        </w:rPr>
        <w:t>Decision Adopting One</w:t>
      </w:r>
      <w:r w:rsidR="00E4753D">
        <w:rPr>
          <w:i/>
          <w:iCs/>
        </w:rPr>
        <w:noBreakHyphen/>
      </w:r>
      <w:r w:rsidRPr="0038775C" w:rsidR="0038775C">
        <w:rPr>
          <w:i/>
          <w:iCs/>
        </w:rPr>
        <w:t>Touch Make</w:t>
      </w:r>
      <w:r w:rsidR="00E4753D">
        <w:rPr>
          <w:i/>
          <w:iCs/>
        </w:rPr>
        <w:noBreakHyphen/>
      </w:r>
      <w:r w:rsidRPr="0038775C" w:rsidR="0038775C">
        <w:rPr>
          <w:i/>
          <w:iCs/>
        </w:rPr>
        <w:t>Ready Requirements</w:t>
      </w:r>
      <w:r w:rsidRPr="00E61763" w:rsidR="00D74A98">
        <w:t>)</w:t>
      </w:r>
      <w:r w:rsidR="00386F6F">
        <w:rPr>
          <w:rStyle w:val="FootnoteReference"/>
          <w:i/>
          <w:iCs/>
        </w:rPr>
        <w:footnoteReference w:id="12"/>
      </w:r>
      <w:r w:rsidR="0038775C">
        <w:t xml:space="preserve"> </w:t>
      </w:r>
      <w:r w:rsidR="00EA5CE2">
        <w:t>adopted the Commission</w:t>
      </w:r>
      <w:r w:rsidR="00410529">
        <w:t>’</w:t>
      </w:r>
      <w:r w:rsidR="00EA5CE2">
        <w:t>s Staff</w:t>
      </w:r>
      <w:r w:rsidR="005511C7">
        <w:t xml:space="preserve"> Proposal</w:t>
      </w:r>
      <w:r w:rsidR="00843056">
        <w:t xml:space="preserve"> entitled </w:t>
      </w:r>
      <w:r w:rsidR="00410529">
        <w:t>“</w:t>
      </w:r>
      <w:r w:rsidR="00843056">
        <w:t xml:space="preserve">Adopted Amendments to the </w:t>
      </w:r>
      <w:r w:rsidR="00962E61">
        <w:t>R</w:t>
      </w:r>
      <w:r w:rsidR="00843056">
        <w:t>ight</w:t>
      </w:r>
      <w:r w:rsidR="00993EDC">
        <w:t>s</w:t>
      </w:r>
      <w:r w:rsidR="00E4753D">
        <w:noBreakHyphen/>
      </w:r>
      <w:r w:rsidR="00843056">
        <w:t>of</w:t>
      </w:r>
      <w:r w:rsidR="00E4753D">
        <w:noBreakHyphen/>
      </w:r>
      <w:r w:rsidR="00843056">
        <w:t>Way Rules (redline)</w:t>
      </w:r>
      <w:r w:rsidR="00253216">
        <w:t>,</w:t>
      </w:r>
      <w:r w:rsidR="00410529">
        <w:t>”</w:t>
      </w:r>
      <w:r w:rsidR="005511C7">
        <w:t xml:space="preserve"> with modifications, to implement a </w:t>
      </w:r>
      <w:r w:rsidR="00B779F5">
        <w:t>transparent</w:t>
      </w:r>
      <w:r w:rsidR="005511C7">
        <w:t xml:space="preserve"> and efficient pole attachment process that vests new pole attachers with greater options that place them in control of the work necessary to attach their equipment to </w:t>
      </w:r>
      <w:r w:rsidR="00B779F5">
        <w:t xml:space="preserve">the utility poles and provide consumers with greater telecommunications service opportunities. </w:t>
      </w:r>
      <w:r w:rsidR="006D0865">
        <w:t xml:space="preserve">In doing so, the Commission </w:t>
      </w:r>
      <w:r w:rsidR="00725696">
        <w:t xml:space="preserve">furthered its </w:t>
      </w:r>
      <w:r w:rsidR="0021065E">
        <w:t>policy</w:t>
      </w:r>
      <w:r w:rsidR="00725696">
        <w:t xml:space="preserve"> of ensuring nondiscriminatory access to the incumbent utilities</w:t>
      </w:r>
      <w:r w:rsidR="00410529">
        <w:t>’</w:t>
      </w:r>
      <w:r w:rsidR="00725696">
        <w:t xml:space="preserve"> poles and rights</w:t>
      </w:r>
      <w:r w:rsidR="00E4753D">
        <w:noBreakHyphen/>
      </w:r>
      <w:r w:rsidR="00725696">
        <w:t>of</w:t>
      </w:r>
      <w:r w:rsidR="00E4753D">
        <w:noBreakHyphen/>
      </w:r>
      <w:r w:rsidR="00725696">
        <w:t xml:space="preserve">way </w:t>
      </w:r>
      <w:r w:rsidR="009F6323">
        <w:t>to</w:t>
      </w:r>
      <w:r w:rsidR="00375F67">
        <w:t xml:space="preserve"> </w:t>
      </w:r>
      <w:r w:rsidR="004C58B1">
        <w:t>assist</w:t>
      </w:r>
      <w:r w:rsidR="00375F67">
        <w:t xml:space="preserve"> facilities</w:t>
      </w:r>
      <w:r w:rsidR="00E4753D">
        <w:noBreakHyphen/>
      </w:r>
      <w:r w:rsidR="00375F67">
        <w:t xml:space="preserve">based competition </w:t>
      </w:r>
      <w:r w:rsidR="00506696">
        <w:t>reach California</w:t>
      </w:r>
      <w:r w:rsidR="00410529">
        <w:t>’</w:t>
      </w:r>
      <w:r w:rsidR="00506696">
        <w:t xml:space="preserve">s goal of providing broadband access to no less </w:t>
      </w:r>
      <w:r w:rsidR="00451175">
        <w:t>than 98</w:t>
      </w:r>
      <w:r w:rsidR="004840C8">
        <w:t> percent</w:t>
      </w:r>
      <w:r w:rsidR="0021065E">
        <w:t xml:space="preserve"> of </w:t>
      </w:r>
      <w:r w:rsidR="0021065E">
        <w:lastRenderedPageBreak/>
        <w:t>California households</w:t>
      </w:r>
      <w:r w:rsidR="00C46238">
        <w:t xml:space="preserve"> by 2032</w:t>
      </w:r>
      <w:r w:rsidR="0021065E">
        <w:t>.</w:t>
      </w:r>
      <w:r w:rsidR="005E005C">
        <w:rPr>
          <w:rStyle w:val="FootnoteReference"/>
        </w:rPr>
        <w:footnoteReference w:id="13"/>
      </w:r>
      <w:r w:rsidR="0021065E">
        <w:t xml:space="preserve"> </w:t>
      </w:r>
      <w:r w:rsidR="003E63DE">
        <w:t xml:space="preserve">On </w:t>
      </w:r>
      <w:r w:rsidR="00410529">
        <w:t>May</w:t>
      </w:r>
      <w:r w:rsidR="0051059D">
        <w:t> </w:t>
      </w:r>
      <w:r w:rsidR="003E63DE">
        <w:t xml:space="preserve">30, 2025, </w:t>
      </w:r>
      <w:r w:rsidR="00900BD6">
        <w:t xml:space="preserve">Sonic filed a </w:t>
      </w:r>
      <w:r w:rsidRPr="00FE0D46" w:rsidR="00900BD6">
        <w:rPr>
          <w:i/>
          <w:iCs/>
        </w:rPr>
        <w:t>Petition for Modification</w:t>
      </w:r>
      <w:r w:rsidR="00900BD6">
        <w:t xml:space="preserve"> of </w:t>
      </w:r>
      <w:r w:rsidRPr="00B9212A" w:rsidR="00900BD6">
        <w:rPr>
          <w:i/>
          <w:iCs/>
        </w:rPr>
        <w:t>D.2</w:t>
      </w:r>
      <w:r w:rsidR="000239E9">
        <w:rPr>
          <w:i/>
          <w:iCs/>
        </w:rPr>
        <w:t>2</w:t>
      </w:r>
      <w:r w:rsidR="00E4753D">
        <w:rPr>
          <w:i/>
          <w:iCs/>
        </w:rPr>
        <w:noBreakHyphen/>
      </w:r>
      <w:r w:rsidR="000239E9">
        <w:rPr>
          <w:i/>
          <w:iCs/>
        </w:rPr>
        <w:t>10</w:t>
      </w:r>
      <w:r w:rsidR="00E4753D">
        <w:rPr>
          <w:i/>
          <w:iCs/>
        </w:rPr>
        <w:noBreakHyphen/>
      </w:r>
      <w:r w:rsidR="000239E9">
        <w:rPr>
          <w:i/>
          <w:iCs/>
        </w:rPr>
        <w:t>025</w:t>
      </w:r>
      <w:r w:rsidR="00900BD6">
        <w:t xml:space="preserve"> </w:t>
      </w:r>
      <w:r w:rsidR="00FC1AC8">
        <w:t>(</w:t>
      </w:r>
      <w:r w:rsidRPr="00FC1AC8" w:rsidR="00FC1AC8">
        <w:rPr>
          <w:i/>
          <w:iCs/>
        </w:rPr>
        <w:t>Sonic Petition</w:t>
      </w:r>
      <w:r w:rsidR="00FC1AC8">
        <w:t xml:space="preserve">), </w:t>
      </w:r>
      <w:r w:rsidR="00900BD6">
        <w:t xml:space="preserve">which will be resolved in this decision, </w:t>
      </w:r>
      <w:r w:rsidRPr="00FE0D46" w:rsidR="00900BD6">
        <w:rPr>
          <w:i/>
          <w:iCs/>
        </w:rPr>
        <w:t>infra</w:t>
      </w:r>
      <w:r w:rsidR="00900BD6">
        <w:t xml:space="preserve">, at </w:t>
      </w:r>
      <w:r w:rsidR="00B64DFB">
        <w:t>Section</w:t>
      </w:r>
      <w:r w:rsidR="0051059D">
        <w:t> </w:t>
      </w:r>
      <w:r w:rsidR="00E430F9">
        <w:t>5</w:t>
      </w:r>
      <w:r w:rsidR="00900BD6">
        <w:t>.</w:t>
      </w:r>
    </w:p>
    <w:p w:rsidR="00EE3060" w:rsidP="00ED36CC" w:rsidRDefault="001C38BC" w14:paraId="38124CE8" w14:textId="029F0AF3">
      <w:pPr>
        <w:pStyle w:val="Standard"/>
      </w:pPr>
      <w:r>
        <w:t>On</w:t>
      </w:r>
      <w:r w:rsidR="003367BB">
        <w:t xml:space="preserve"> </w:t>
      </w:r>
      <w:r w:rsidR="00410529">
        <w:t>May</w:t>
      </w:r>
      <w:r w:rsidR="0051059D">
        <w:t> </w:t>
      </w:r>
      <w:r w:rsidR="003367BB">
        <w:t>12, 2025</w:t>
      </w:r>
      <w:r>
        <w:t xml:space="preserve">, the assigned </w:t>
      </w:r>
      <w:r w:rsidR="00EC3176">
        <w:t xml:space="preserve">ALJ </w:t>
      </w:r>
      <w:r>
        <w:t xml:space="preserve">issued his </w:t>
      </w:r>
      <w:r w:rsidRPr="00325E68">
        <w:rPr>
          <w:i/>
          <w:iCs/>
        </w:rPr>
        <w:t>Ruling Requesting Comments on Staff Proposal to Modify the Commission</w:t>
      </w:r>
      <w:r w:rsidR="00410529">
        <w:rPr>
          <w:i/>
          <w:iCs/>
        </w:rPr>
        <w:t>’</w:t>
      </w:r>
      <w:r w:rsidRPr="00325E68">
        <w:rPr>
          <w:i/>
          <w:iCs/>
        </w:rPr>
        <w:t>s Right</w:t>
      </w:r>
      <w:r w:rsidR="00993EDC">
        <w:rPr>
          <w:i/>
          <w:iCs/>
        </w:rPr>
        <w:t>s</w:t>
      </w:r>
      <w:r w:rsidR="00E4753D">
        <w:rPr>
          <w:i/>
          <w:iCs/>
        </w:rPr>
        <w:noBreakHyphen/>
      </w:r>
      <w:r w:rsidRPr="00325E68" w:rsidR="00A93C26">
        <w:rPr>
          <w:i/>
          <w:iCs/>
        </w:rPr>
        <w:t>of</w:t>
      </w:r>
      <w:r w:rsidR="00E4753D">
        <w:rPr>
          <w:i/>
          <w:iCs/>
        </w:rPr>
        <w:noBreakHyphen/>
      </w:r>
      <w:r w:rsidRPr="00325E68">
        <w:rPr>
          <w:i/>
          <w:iCs/>
        </w:rPr>
        <w:t>Way Rules</w:t>
      </w:r>
      <w:r>
        <w:t xml:space="preserve"> </w:t>
      </w:r>
      <w:r w:rsidR="001E59E0">
        <w:t xml:space="preserve">(the </w:t>
      </w:r>
      <w:r w:rsidRPr="001E59E0" w:rsidR="001E59E0">
        <w:rPr>
          <w:i/>
          <w:iCs/>
        </w:rPr>
        <w:t>ROW Ruling</w:t>
      </w:r>
      <w:r w:rsidR="001E59E0">
        <w:t>).</w:t>
      </w:r>
      <w:r w:rsidR="003367BB">
        <w:t xml:space="preserve"> </w:t>
      </w:r>
      <w:r w:rsidR="00315146">
        <w:t xml:space="preserve">Appended to the </w:t>
      </w:r>
      <w:r w:rsidRPr="00722A1E" w:rsidR="00315146">
        <w:rPr>
          <w:i/>
          <w:iCs/>
        </w:rPr>
        <w:t>ROW Ruling</w:t>
      </w:r>
      <w:r w:rsidR="00315146">
        <w:t xml:space="preserve"> as </w:t>
      </w:r>
      <w:r w:rsidR="00AE3B9A">
        <w:t>Attachment</w:t>
      </w:r>
      <w:r w:rsidR="0051059D">
        <w:t> </w:t>
      </w:r>
      <w:r w:rsidR="00315146">
        <w:t>A</w:t>
      </w:r>
      <w:r w:rsidR="003B159B">
        <w:t xml:space="preserve"> </w:t>
      </w:r>
      <w:r w:rsidR="00253216">
        <w:t xml:space="preserve">was </w:t>
      </w:r>
      <w:r w:rsidR="00F0565F">
        <w:t xml:space="preserve">the </w:t>
      </w:r>
      <w:r w:rsidR="005038FF">
        <w:t xml:space="preserve">Commission’s Staff Proposal </w:t>
      </w:r>
      <w:r w:rsidR="00F0565F">
        <w:t>document</w:t>
      </w:r>
      <w:r w:rsidR="00962E61">
        <w:t xml:space="preserve"> </w:t>
      </w:r>
      <w:r w:rsidR="00F0565F">
        <w:t xml:space="preserve">entitled </w:t>
      </w:r>
      <w:r w:rsidR="00410529">
        <w:t>“</w:t>
      </w:r>
      <w:r w:rsidRPr="00962E61" w:rsidR="00962E61">
        <w:t>Proposed General Order</w:t>
      </w:r>
      <w:r w:rsidR="00DB6EE4">
        <w:t> </w:t>
      </w:r>
      <w:r w:rsidRPr="00962E61" w:rsidR="00962E61">
        <w:t>178: Rules Governing Rights</w:t>
      </w:r>
      <w:r w:rsidR="00E4753D">
        <w:noBreakHyphen/>
      </w:r>
      <w:r w:rsidRPr="00962E61" w:rsidR="00962E61">
        <w:t>of</w:t>
      </w:r>
      <w:r w:rsidR="00E4753D">
        <w:noBreakHyphen/>
      </w:r>
      <w:r w:rsidRPr="00962E61" w:rsidR="00962E61">
        <w:t>Way in California</w:t>
      </w:r>
      <w:r w:rsidR="00410529">
        <w:t>”</w:t>
      </w:r>
      <w:r w:rsidR="005038FF">
        <w:t xml:space="preserve"> (Staff Proposal).</w:t>
      </w:r>
      <w:r w:rsidR="004D64C1">
        <w:t xml:space="preserve"> This</w:t>
      </w:r>
      <w:r w:rsidR="0091465F">
        <w:t xml:space="preserve"> Staff Proposal was derived from </w:t>
      </w:r>
      <w:r w:rsidR="00B922E9">
        <w:t xml:space="preserve">the </w:t>
      </w:r>
      <w:r w:rsidR="0091465F">
        <w:t>staff</w:t>
      </w:r>
      <w:r w:rsidR="00410529">
        <w:t>’</w:t>
      </w:r>
      <w:r w:rsidR="0091465F">
        <w:t xml:space="preserve">s investigation and </w:t>
      </w:r>
      <w:r w:rsidR="00451EB1">
        <w:t>the</w:t>
      </w:r>
      <w:r w:rsidR="0091465F">
        <w:t xml:space="preserve"> party comments to </w:t>
      </w:r>
      <w:r w:rsidR="00FF58E3">
        <w:t xml:space="preserve">the earlier </w:t>
      </w:r>
      <w:r w:rsidRPr="005E2D61" w:rsidR="00FF58E3">
        <w:rPr>
          <w:i/>
          <w:iCs/>
        </w:rPr>
        <w:t>Ruling requesting Party Comments on Right</w:t>
      </w:r>
      <w:r w:rsidR="00993EDC">
        <w:rPr>
          <w:i/>
          <w:iCs/>
        </w:rPr>
        <w:t>s</w:t>
      </w:r>
      <w:r w:rsidR="00E4753D">
        <w:rPr>
          <w:i/>
          <w:iCs/>
        </w:rPr>
        <w:noBreakHyphen/>
      </w:r>
      <w:r w:rsidRPr="005E2D61" w:rsidR="00FF58E3">
        <w:rPr>
          <w:i/>
          <w:iCs/>
        </w:rPr>
        <w:t>of</w:t>
      </w:r>
      <w:r w:rsidR="00E4753D">
        <w:rPr>
          <w:i/>
          <w:iCs/>
        </w:rPr>
        <w:noBreakHyphen/>
      </w:r>
      <w:r w:rsidRPr="005E2D61" w:rsidR="00FF58E3">
        <w:rPr>
          <w:i/>
          <w:iCs/>
        </w:rPr>
        <w:t>Way Rules</w:t>
      </w:r>
      <w:r w:rsidR="00FF58E3">
        <w:t xml:space="preserve"> </w:t>
      </w:r>
      <w:r w:rsidR="005E2D61">
        <w:t>(</w:t>
      </w:r>
      <w:r w:rsidR="00410529">
        <w:t>May</w:t>
      </w:r>
      <w:r w:rsidR="0051059D">
        <w:t> </w:t>
      </w:r>
      <w:r w:rsidR="00770642">
        <w:t xml:space="preserve">10, 2019) and the </w:t>
      </w:r>
      <w:r w:rsidRPr="005E2D61" w:rsidR="00770642">
        <w:rPr>
          <w:i/>
          <w:iCs/>
        </w:rPr>
        <w:t xml:space="preserve">Ruling Requesting Responses on </w:t>
      </w:r>
      <w:r w:rsidR="005E2D61">
        <w:rPr>
          <w:i/>
          <w:iCs/>
        </w:rPr>
        <w:t>R</w:t>
      </w:r>
      <w:r w:rsidRPr="005E2D61" w:rsidR="00770642">
        <w:rPr>
          <w:i/>
          <w:iCs/>
        </w:rPr>
        <w:t>emaining Proceeding Issues</w:t>
      </w:r>
      <w:r w:rsidR="00770642">
        <w:t xml:space="preserve"> (</w:t>
      </w:r>
      <w:r w:rsidR="0023089B">
        <w:t>December</w:t>
      </w:r>
      <w:r w:rsidR="0051059D">
        <w:t> </w:t>
      </w:r>
      <w:r w:rsidR="00770642">
        <w:t>12, 2022)</w:t>
      </w:r>
      <w:r w:rsidR="00206260">
        <w:t xml:space="preserve"> (</w:t>
      </w:r>
      <w:r w:rsidRPr="00856B49" w:rsidR="00206260">
        <w:rPr>
          <w:i/>
          <w:iCs/>
        </w:rPr>
        <w:t xml:space="preserve">December </w:t>
      </w:r>
      <w:r w:rsidR="00856B49">
        <w:rPr>
          <w:i/>
          <w:iCs/>
        </w:rPr>
        <w:t>20</w:t>
      </w:r>
      <w:r w:rsidRPr="00856B49" w:rsidR="00206260">
        <w:rPr>
          <w:i/>
          <w:iCs/>
        </w:rPr>
        <w:t>22 Ruling</w:t>
      </w:r>
      <w:r w:rsidR="00206260">
        <w:t>)</w:t>
      </w:r>
      <w:r w:rsidR="00770642">
        <w:t>.</w:t>
      </w:r>
    </w:p>
    <w:p w:rsidR="00683B2C" w:rsidP="00ED36CC" w:rsidRDefault="00683B2C" w14:paraId="311D2717" w14:textId="77777777">
      <w:pPr>
        <w:pStyle w:val="Heading2"/>
        <w:keepLines w:val="0"/>
      </w:pPr>
      <w:bookmarkStart w:name="_Toc133843846" w:id="14"/>
      <w:bookmarkStart w:name="_Toc229726742" w:id="15"/>
      <w:r>
        <w:t>Submission Date</w:t>
      </w:r>
      <w:bookmarkEnd w:id="14"/>
      <w:bookmarkEnd w:id="15"/>
    </w:p>
    <w:p w:rsidR="00683B2C" w:rsidP="00ED36CC" w:rsidRDefault="00683B2C" w14:paraId="07F401FD" w14:textId="4B2F5704">
      <w:pPr>
        <w:pStyle w:val="Standard"/>
      </w:pPr>
      <w:r w:rsidRPr="00FF0265">
        <w:t xml:space="preserve">This matter was submitted on </w:t>
      </w:r>
      <w:r w:rsidR="0023089B">
        <w:t>September</w:t>
      </w:r>
      <w:r w:rsidR="0051059D">
        <w:t> </w:t>
      </w:r>
      <w:r w:rsidR="003E63DE">
        <w:t xml:space="preserve">3, 2025, upon the filing of the party responses to </w:t>
      </w:r>
      <w:r w:rsidR="00434E4E">
        <w:t xml:space="preserve">the </w:t>
      </w:r>
      <w:r w:rsidR="0023089B">
        <w:rPr>
          <w:i/>
          <w:iCs/>
        </w:rPr>
        <w:t>August</w:t>
      </w:r>
      <w:r w:rsidR="0051059D">
        <w:rPr>
          <w:i/>
          <w:iCs/>
        </w:rPr>
        <w:t> </w:t>
      </w:r>
      <w:r w:rsidRPr="005460C8" w:rsidR="00434E4E">
        <w:rPr>
          <w:i/>
          <w:iCs/>
        </w:rPr>
        <w:t>22 Ruling</w:t>
      </w:r>
      <w:r w:rsidR="00434E4E">
        <w:t>.</w:t>
      </w:r>
    </w:p>
    <w:p w:rsidR="00E26F1D" w:rsidP="00ED36CC" w:rsidRDefault="0063491C" w14:paraId="4E3154B2" w14:textId="2F8C51F6">
      <w:pPr>
        <w:pStyle w:val="Heading1"/>
        <w:keepLines w:val="0"/>
      </w:pPr>
      <w:bookmarkStart w:name="_Toc8123718" w:id="16"/>
      <w:bookmarkStart w:name="_Toc133843847" w:id="17"/>
      <w:bookmarkStart w:name="_Toc229726743" w:id="18"/>
      <w:r>
        <w:t>Jurisdiction</w:t>
      </w:r>
      <w:bookmarkEnd w:id="16"/>
      <w:bookmarkEnd w:id="17"/>
      <w:bookmarkEnd w:id="18"/>
    </w:p>
    <w:p w:rsidR="007C3C26" w:rsidP="00ED36CC" w:rsidRDefault="004F5260" w14:paraId="7FFDBDB8" w14:textId="139D47C0">
      <w:pPr>
        <w:pStyle w:val="Standard"/>
      </w:pPr>
      <w:r>
        <w:t xml:space="preserve">As we will explain, while the federal government has </w:t>
      </w:r>
      <w:r w:rsidR="00971AB7">
        <w:t xml:space="preserve">authority in the </w:t>
      </w:r>
      <w:r w:rsidR="00517096">
        <w:t>field</w:t>
      </w:r>
      <w:r w:rsidR="00971AB7">
        <w:t xml:space="preserve"> of pole access, California has </w:t>
      </w:r>
      <w:r w:rsidR="00517096">
        <w:t>reverse</w:t>
      </w:r>
      <w:r w:rsidR="00E4753D">
        <w:noBreakHyphen/>
      </w:r>
      <w:r w:rsidR="00517096">
        <w:t>preempted</w:t>
      </w:r>
      <w:r w:rsidR="00971AB7">
        <w:t xml:space="preserve"> </w:t>
      </w:r>
      <w:r w:rsidR="00F455F6">
        <w:t xml:space="preserve">the </w:t>
      </w:r>
      <w:r w:rsidR="00971AB7">
        <w:t>federal regulation of pole attachments.</w:t>
      </w:r>
      <w:r w:rsidR="00384DF8">
        <w:t xml:space="preserve"> </w:t>
      </w:r>
      <w:r w:rsidR="00997A41">
        <w:t>Title</w:t>
      </w:r>
      <w:r w:rsidR="0051059D">
        <w:t> </w:t>
      </w:r>
      <w:r w:rsidR="00384DF8">
        <w:t>47 of the United States Code</w:t>
      </w:r>
      <w:r w:rsidR="005038FF">
        <w:t xml:space="preserve"> (U.S.C</w:t>
      </w:r>
      <w:r w:rsidR="00DB6EE4">
        <w:t>.</w:t>
      </w:r>
      <w:r w:rsidR="005038FF">
        <w:t>)</w:t>
      </w:r>
      <w:r w:rsidR="00384DF8">
        <w:t xml:space="preserve">, at </w:t>
      </w:r>
      <w:r w:rsidR="00B64DFB">
        <w:t>Section</w:t>
      </w:r>
      <w:r w:rsidR="0051059D">
        <w:t> </w:t>
      </w:r>
      <w:r w:rsidR="00384DF8">
        <w:t>224(f)</w:t>
      </w:r>
      <w:r w:rsidR="00CA3CAA">
        <w:t xml:space="preserve"> (</w:t>
      </w:r>
      <w:r w:rsidR="00997A41">
        <w:t>47</w:t>
      </w:r>
      <w:r w:rsidR="0051059D">
        <w:t> </w:t>
      </w:r>
      <w:r w:rsidR="00997A41">
        <w:t>U</w:t>
      </w:r>
      <w:r w:rsidR="00CA3CAA">
        <w:t xml:space="preserve">.S.C. </w:t>
      </w:r>
      <w:r w:rsidR="00B64DFB">
        <w:t>Section</w:t>
      </w:r>
      <w:r w:rsidR="0051059D">
        <w:t> </w:t>
      </w:r>
      <w:r w:rsidR="00CA3CAA">
        <w:t>224(f))</w:t>
      </w:r>
      <w:r w:rsidR="00384DF8">
        <w:t xml:space="preserve">, requires every utility to provide </w:t>
      </w:r>
      <w:r w:rsidR="00410529">
        <w:t>“</w:t>
      </w:r>
      <w:r w:rsidR="00384DF8">
        <w:t xml:space="preserve">a cable television system or any telecommunications carrier with nondiscriminatory access to any </w:t>
      </w:r>
      <w:r w:rsidR="00384DF8">
        <w:lastRenderedPageBreak/>
        <w:t xml:space="preserve">pole, duct, </w:t>
      </w:r>
      <w:r w:rsidR="0005695F">
        <w:t>conduit, or right</w:t>
      </w:r>
      <w:r w:rsidR="00993EDC">
        <w:t>s</w:t>
      </w:r>
      <w:r w:rsidR="00E4753D">
        <w:noBreakHyphen/>
      </w:r>
      <w:r w:rsidR="00253216">
        <w:t>o</w:t>
      </w:r>
      <w:r w:rsidR="0005695F">
        <w:t>f</w:t>
      </w:r>
      <w:r w:rsidR="00E4753D">
        <w:noBreakHyphen/>
      </w:r>
      <w:r w:rsidR="0005695F">
        <w:t>way owned or controlled by</w:t>
      </w:r>
      <w:r w:rsidR="00410529">
        <w:t>”</w:t>
      </w:r>
      <w:r w:rsidR="0005695F">
        <w:t xml:space="preserve"> the utility except in situations where a utility cannot provide access because of </w:t>
      </w:r>
      <w:r w:rsidR="00410529">
        <w:t>“</w:t>
      </w:r>
      <w:r w:rsidR="0005695F">
        <w:t>insufficient capacity and for reasons of safety, reliability and generally applicable engineering principles.</w:t>
      </w:r>
      <w:r w:rsidR="00410529">
        <w:t>”</w:t>
      </w:r>
      <w:r>
        <w:t xml:space="preserve"> </w:t>
      </w:r>
      <w:r w:rsidRPr="006A1AF4" w:rsidR="006A1AF4">
        <w:t xml:space="preserve">The FCC is required by </w:t>
      </w:r>
      <w:r w:rsidR="00997A41">
        <w:t>47</w:t>
      </w:r>
      <w:r w:rsidR="0051059D">
        <w:t> </w:t>
      </w:r>
      <w:r w:rsidR="00997A41">
        <w:t>U</w:t>
      </w:r>
      <w:r w:rsidRPr="006A1AF4" w:rsidR="006A1AF4">
        <w:t xml:space="preserve">.S.C. </w:t>
      </w:r>
      <w:r w:rsidR="00B64DFB">
        <w:t>Section</w:t>
      </w:r>
      <w:r w:rsidR="0051059D">
        <w:t> </w:t>
      </w:r>
      <w:r w:rsidRPr="006A1AF4" w:rsidR="006A1AF4">
        <w:t xml:space="preserve">224(b)(1) to </w:t>
      </w:r>
      <w:r w:rsidR="00410529">
        <w:t>“</w:t>
      </w:r>
      <w:r w:rsidRPr="006A1AF4" w:rsidR="006A1AF4">
        <w:t>regulate the rates, terms, and conditions for pole attachments to provide that such rates, terms, and conditions are just and reasonable, and… to hear and resolve complaints concerning such rates, terms, and conditions.</w:t>
      </w:r>
      <w:r w:rsidR="00410529">
        <w:t>”</w:t>
      </w:r>
      <w:r w:rsidRPr="006A1AF4" w:rsidR="006A1AF4">
        <w:t xml:space="preserve"> The FCC has determined that </w:t>
      </w:r>
      <w:r w:rsidR="00997A41">
        <w:t>47</w:t>
      </w:r>
      <w:r w:rsidR="0051059D">
        <w:t> </w:t>
      </w:r>
      <w:r w:rsidR="00997A41">
        <w:t>U</w:t>
      </w:r>
      <w:r w:rsidRPr="006A1AF4" w:rsidR="006A1AF4">
        <w:t xml:space="preserve">.S.C. </w:t>
      </w:r>
      <w:r w:rsidR="00B64DFB">
        <w:t>Section</w:t>
      </w:r>
      <w:r w:rsidR="0051059D">
        <w:t> </w:t>
      </w:r>
      <w:r w:rsidRPr="006A1AF4" w:rsidR="006A1AF4">
        <w:t>224 applies to wireless carriers and wireless pole attachments</w:t>
      </w:r>
      <w:r w:rsidR="00C74A08">
        <w:t>.</w:t>
      </w:r>
      <w:r w:rsidR="00C74A08">
        <w:rPr>
          <w:rStyle w:val="FootnoteReference"/>
        </w:rPr>
        <w:footnoteReference w:id="14"/>
      </w:r>
    </w:p>
    <w:p w:rsidR="00E26F1D" w:rsidP="00ED36CC" w:rsidRDefault="007774B1" w14:paraId="525B25D2" w14:textId="73D265AC">
      <w:pPr>
        <w:pStyle w:val="Standard"/>
      </w:pPr>
      <w:r>
        <w:t>Despite the FCC</w:t>
      </w:r>
      <w:r w:rsidR="00410529">
        <w:t>’</w:t>
      </w:r>
      <w:r w:rsidR="001172FE">
        <w:t xml:space="preserve">s </w:t>
      </w:r>
      <w:r w:rsidR="00692300">
        <w:t xml:space="preserve">jurisdictional </w:t>
      </w:r>
      <w:r w:rsidR="001172FE">
        <w:t>presence in this field, a</w:t>
      </w:r>
      <w:r w:rsidRPr="00F610E5" w:rsidR="00F610E5">
        <w:t xml:space="preserve"> </w:t>
      </w:r>
      <w:r w:rsidR="001172FE">
        <w:t>s</w:t>
      </w:r>
      <w:r w:rsidRPr="00F610E5" w:rsidR="00F610E5">
        <w:t>tate may preempt the FCC</w:t>
      </w:r>
      <w:r w:rsidR="00410529">
        <w:t>’</w:t>
      </w:r>
      <w:r w:rsidRPr="00F610E5" w:rsidR="00F610E5">
        <w:t xml:space="preserve">s regulation of pole attachments. Specifically, </w:t>
      </w:r>
      <w:r w:rsidR="00997A41">
        <w:t>47</w:t>
      </w:r>
      <w:r w:rsidR="0051059D">
        <w:t> </w:t>
      </w:r>
      <w:r w:rsidR="00997A41">
        <w:t>U</w:t>
      </w:r>
      <w:r w:rsidRPr="00F610E5" w:rsidR="00F610E5">
        <w:t xml:space="preserve">.S.C. </w:t>
      </w:r>
      <w:r w:rsidR="00B64DFB">
        <w:t>Section</w:t>
      </w:r>
      <w:r w:rsidR="0051059D">
        <w:t> </w:t>
      </w:r>
      <w:r w:rsidRPr="00F610E5" w:rsidR="00F610E5">
        <w:t xml:space="preserve">224(c)(1) provides that </w:t>
      </w:r>
      <w:r w:rsidR="00410529">
        <w:t>“</w:t>
      </w:r>
      <w:r w:rsidRPr="00F610E5" w:rsidR="00F610E5">
        <w:t>[n]</w:t>
      </w:r>
      <w:proofErr w:type="spellStart"/>
      <w:r w:rsidRPr="00F610E5" w:rsidR="00F610E5">
        <w:t>othing</w:t>
      </w:r>
      <w:proofErr w:type="spellEnd"/>
      <w:r w:rsidRPr="00F610E5" w:rsidR="00F610E5">
        <w:t xml:space="preserve"> in this section shall be construed to apply to, or to give the [FCC] jurisdiction with respect to rates, terms, and conditions, or access to poles, ducts, conduits, and rights</w:t>
      </w:r>
      <w:r w:rsidR="00E4753D">
        <w:noBreakHyphen/>
      </w:r>
      <w:r w:rsidRPr="00F610E5" w:rsidR="00F610E5">
        <w:t>of</w:t>
      </w:r>
      <w:r w:rsidR="00E4753D">
        <w:noBreakHyphen/>
      </w:r>
      <w:r w:rsidRPr="00F610E5" w:rsidR="00F610E5">
        <w:t>way… where such matters are regulated by a State.</w:t>
      </w:r>
      <w:r w:rsidR="00410529">
        <w:t>”</w:t>
      </w:r>
      <w:r w:rsidRPr="00F610E5" w:rsidR="00F610E5">
        <w:t xml:space="preserve"> For such preemption to occur, a State must certify to the FCC that the State has enacted regulations that meet the following conditions set forth in </w:t>
      </w:r>
      <w:r w:rsidR="00997A41">
        <w:t>47</w:t>
      </w:r>
      <w:r w:rsidR="0051059D">
        <w:t> </w:t>
      </w:r>
      <w:r w:rsidR="00997A41">
        <w:t>U</w:t>
      </w:r>
      <w:r w:rsidRPr="00F610E5" w:rsidR="00F610E5">
        <w:t xml:space="preserve">.S.C. </w:t>
      </w:r>
      <w:r w:rsidR="00CE5DB2">
        <w:t>Sections</w:t>
      </w:r>
      <w:r w:rsidR="0051059D">
        <w:t> </w:t>
      </w:r>
      <w:r w:rsidRPr="00F610E5" w:rsidR="00F610E5">
        <w:t>224(c)(2) and (3):</w:t>
      </w:r>
    </w:p>
    <w:p w:rsidR="00E26F1D" w:rsidP="00260AB3" w:rsidRDefault="00F610E5" w14:paraId="1BAECC61" w14:textId="5F2BE52C">
      <w:pPr>
        <w:pStyle w:val="BlockQuoteH033"/>
      </w:pPr>
      <w:r w:rsidRPr="00F610E5">
        <w:t>(2)</w:t>
      </w:r>
      <w:r w:rsidR="00260AB3">
        <w:tab/>
      </w:r>
      <w:r w:rsidRPr="00F610E5">
        <w:t>Each State which regulates the rates, terms, and conditions for pole attachment shall certify to the [FCC] that</w:t>
      </w:r>
      <w:r w:rsidR="0051059D">
        <w:t> </w:t>
      </w:r>
      <w:r w:rsidR="00260AB3">
        <w:t>—</w:t>
      </w:r>
    </w:p>
    <w:p w:rsidR="00E26F1D" w:rsidP="00170B59" w:rsidRDefault="00F610E5" w14:paraId="7FDCE776" w14:textId="4D79200B">
      <w:pPr>
        <w:pStyle w:val="BlockQuoteH033subH033"/>
      </w:pPr>
      <w:r w:rsidRPr="00F610E5">
        <w:t>(A)</w:t>
      </w:r>
      <w:r w:rsidR="00170B59">
        <w:tab/>
      </w:r>
      <w:r w:rsidRPr="00F610E5">
        <w:t>it regulates such rates, terms, and conditions; and</w:t>
      </w:r>
    </w:p>
    <w:p w:rsidR="00F41922" w:rsidP="00CF76EF" w:rsidRDefault="00363E54" w14:paraId="281C1448" w14:textId="3ACF1E1D">
      <w:pPr>
        <w:pStyle w:val="BlockQuoteH033subH033"/>
      </w:pPr>
      <w:r>
        <w:t>(</w:t>
      </w:r>
      <w:r w:rsidRPr="00F610E5" w:rsidR="00F610E5">
        <w:t>B)</w:t>
      </w:r>
      <w:r w:rsidR="00CF76EF">
        <w:tab/>
      </w:r>
      <w:r w:rsidRPr="00F610E5" w:rsidR="00F610E5">
        <w:t>in so regulating such rates, terms, and conditions, the State has the authority to consider and does consider the interests of the subscribers of the services offered via such attachment, as well as the interests of the consumers of the utility service.</w:t>
      </w:r>
    </w:p>
    <w:p w:rsidR="00E26F1D" w:rsidP="0098087D" w:rsidRDefault="00574834" w14:paraId="585F0886" w14:textId="0B24A67E">
      <w:pPr>
        <w:pStyle w:val="BlockQuoteH033"/>
      </w:pPr>
      <w:r w:rsidRPr="00574834">
        <w:lastRenderedPageBreak/>
        <w:t>(3)</w:t>
      </w:r>
      <w:r w:rsidR="0098087D">
        <w:tab/>
      </w:r>
      <w:r w:rsidRPr="00574834">
        <w:t>For purposes of this subsection, a State shall not be considered to regulate the rates, terms, and conditions for pole attachments</w:t>
      </w:r>
      <w:r w:rsidR="0051059D">
        <w:t> </w:t>
      </w:r>
      <w:r w:rsidR="0098087D">
        <w:t>—</w:t>
      </w:r>
    </w:p>
    <w:p w:rsidR="00E26F1D" w:rsidP="0098087D" w:rsidRDefault="00574834" w14:paraId="5C1EA76D" w14:textId="3FA75BB2">
      <w:pPr>
        <w:pStyle w:val="BlockQuoteH033subH033"/>
      </w:pPr>
      <w:r w:rsidRPr="00574834">
        <w:t>(A) unless the State has issued and made effective rules and regulations implementing the State</w:t>
      </w:r>
      <w:r w:rsidR="00410529">
        <w:t>’</w:t>
      </w:r>
      <w:r w:rsidRPr="00574834">
        <w:t>s regulatory authority over pole attachments; and</w:t>
      </w:r>
    </w:p>
    <w:p w:rsidR="00E26F1D" w:rsidP="0098087D" w:rsidRDefault="00574834" w14:paraId="5CD37565" w14:textId="1275943B">
      <w:pPr>
        <w:pStyle w:val="BlockQuoteH033subH033"/>
      </w:pPr>
      <w:r w:rsidRPr="00574834">
        <w:t>(B) with respect to any individual matter, unless the State takes final action on a complaint regarding such matter</w:t>
      </w:r>
      <w:r w:rsidR="0051059D">
        <w:t> </w:t>
      </w:r>
      <w:r w:rsidR="00017499">
        <w:t>—</w:t>
      </w:r>
    </w:p>
    <w:p w:rsidR="00E26F1D" w:rsidP="00017499" w:rsidRDefault="00574834" w14:paraId="680725F6" w14:textId="437E1261">
      <w:pPr>
        <w:pStyle w:val="BlockQuoteH033subH033subH025"/>
      </w:pPr>
      <w:r w:rsidRPr="00574834">
        <w:t>i.</w:t>
      </w:r>
      <w:r w:rsidR="00017499">
        <w:tab/>
      </w:r>
      <w:r w:rsidRPr="00574834">
        <w:t>within 180 days after the complaint is filed with the State or</w:t>
      </w:r>
    </w:p>
    <w:p w:rsidR="00262D9B" w:rsidP="00017499" w:rsidRDefault="00574834" w14:paraId="200FD835" w14:textId="5693E5F5">
      <w:pPr>
        <w:pStyle w:val="BlockQuoteH033subH033subH025"/>
      </w:pPr>
      <w:r w:rsidRPr="00574834">
        <w:t>ii.</w:t>
      </w:r>
      <w:r w:rsidR="00017499">
        <w:tab/>
      </w:r>
      <w:r w:rsidRPr="00574834">
        <w:t>within the application period prescribed for such final action in such rules and regulations of the State, if the prescribed period does not extend beyond 360 days after the filing of such complaint.</w:t>
      </w:r>
    </w:p>
    <w:p w:rsidR="00FF5721" w:rsidP="00ED36CC" w:rsidRDefault="00FF5721" w14:paraId="0DA7E875" w14:textId="4F7A0F48">
      <w:pPr>
        <w:pStyle w:val="Standard"/>
      </w:pPr>
      <w:r w:rsidRPr="00FF5721">
        <w:t xml:space="preserve">In </w:t>
      </w:r>
      <w:r w:rsidR="00413DEC">
        <w:t>D</w:t>
      </w:r>
      <w:r w:rsidRPr="00FF5721">
        <w:t>.98</w:t>
      </w:r>
      <w:r w:rsidR="00E4753D">
        <w:noBreakHyphen/>
      </w:r>
      <w:r w:rsidRPr="00FF5721">
        <w:t>10</w:t>
      </w:r>
      <w:r w:rsidR="00E4753D">
        <w:noBreakHyphen/>
      </w:r>
      <w:r w:rsidRPr="00FF5721">
        <w:t>058</w:t>
      </w:r>
      <w:r w:rsidR="009F5052">
        <w:t xml:space="preserve"> (</w:t>
      </w:r>
      <w:r w:rsidRPr="00B441B5" w:rsidR="009F5052">
        <w:rPr>
          <w:i/>
          <w:iCs/>
        </w:rPr>
        <w:t>Re Competition for Local Exchange Service</w:t>
      </w:r>
      <w:r w:rsidR="009F5052">
        <w:t>)</w:t>
      </w:r>
      <w:r w:rsidR="00A23AE0">
        <w:t>, as modified by</w:t>
      </w:r>
      <w:r w:rsidRPr="00FF5721">
        <w:t xml:space="preserve"> D.16</w:t>
      </w:r>
      <w:r w:rsidR="00E4753D">
        <w:noBreakHyphen/>
      </w:r>
      <w:r w:rsidRPr="00FF5721">
        <w:t>01</w:t>
      </w:r>
      <w:r w:rsidR="00E4753D">
        <w:noBreakHyphen/>
      </w:r>
      <w:r w:rsidRPr="00FF5721">
        <w:t xml:space="preserve">046, the Commission provided certification pursuant to </w:t>
      </w:r>
      <w:r w:rsidR="00997A41">
        <w:t>47</w:t>
      </w:r>
      <w:r w:rsidR="0051059D">
        <w:t> </w:t>
      </w:r>
      <w:r w:rsidR="00997A41">
        <w:t>U</w:t>
      </w:r>
      <w:r w:rsidRPr="00FF5721">
        <w:t xml:space="preserve">.S.C. </w:t>
      </w:r>
      <w:r w:rsidR="00B64DFB">
        <w:t>Section</w:t>
      </w:r>
      <w:r w:rsidR="0051059D">
        <w:t> </w:t>
      </w:r>
      <w:r w:rsidRPr="00FF5721">
        <w:t>224(c) that the Commission regulates the rate, terms, and conditions of access to poles, ducts, conduits, and rights</w:t>
      </w:r>
      <w:r w:rsidR="00E4753D">
        <w:noBreakHyphen/>
      </w:r>
      <w:r w:rsidRPr="00FF5721">
        <w:t>of</w:t>
      </w:r>
      <w:r w:rsidR="00E4753D">
        <w:noBreakHyphen/>
      </w:r>
      <w:r w:rsidRPr="00FF5721">
        <w:t xml:space="preserve">way in conformance with </w:t>
      </w:r>
      <w:r w:rsidR="00997A41">
        <w:t>47</w:t>
      </w:r>
      <w:r w:rsidR="0051059D">
        <w:t> </w:t>
      </w:r>
      <w:r w:rsidR="00997A41">
        <w:t>U</w:t>
      </w:r>
      <w:r w:rsidRPr="00FF5721">
        <w:t xml:space="preserve">.S.C. </w:t>
      </w:r>
      <w:r w:rsidR="00E96B4F">
        <w:t>Sections</w:t>
      </w:r>
      <w:r w:rsidR="0051059D">
        <w:t> </w:t>
      </w:r>
      <w:r w:rsidRPr="00FF5721">
        <w:t>224(c)(2) and (3).</w:t>
      </w:r>
      <w:r w:rsidR="00511B38">
        <w:rPr>
          <w:rStyle w:val="FootnoteReference"/>
        </w:rPr>
        <w:footnoteReference w:id="15"/>
      </w:r>
      <w:r w:rsidR="00DD2BB2">
        <w:t xml:space="preserve"> As a result, the Commission has </w:t>
      </w:r>
      <w:r w:rsidR="00B3094F">
        <w:t xml:space="preserve">satisfied the procedural requirements to </w:t>
      </w:r>
      <w:r w:rsidR="00DD2BB2">
        <w:t>preempt the FCC</w:t>
      </w:r>
      <w:r w:rsidR="00410529">
        <w:t>’</w:t>
      </w:r>
      <w:r w:rsidR="00DD2BB2">
        <w:t xml:space="preserve">s regulation of pole </w:t>
      </w:r>
      <w:r w:rsidR="00D029EB">
        <w:t>attachments</w:t>
      </w:r>
      <w:r w:rsidR="00DD2BB2">
        <w:t xml:space="preserve"> in California</w:t>
      </w:r>
      <w:r w:rsidR="00BD5BC9">
        <w:t xml:space="preserve"> and may adopt its own </w:t>
      </w:r>
      <w:r w:rsidR="004A62EB">
        <w:t>Rights</w:t>
      </w:r>
      <w:r w:rsidR="00E4753D">
        <w:noBreakHyphen/>
      </w:r>
      <w:r w:rsidR="004A62EB">
        <w:t>of</w:t>
      </w:r>
      <w:r w:rsidR="00E4753D">
        <w:noBreakHyphen/>
      </w:r>
      <w:r w:rsidR="004A62EB">
        <w:t>Way</w:t>
      </w:r>
      <w:r w:rsidR="00BA4E01">
        <w:t xml:space="preserve"> (ROW) Rules.</w:t>
      </w:r>
    </w:p>
    <w:p w:rsidR="00E26F1D" w:rsidP="00606D64" w:rsidRDefault="0001210E" w14:paraId="6FCA81ED" w14:textId="0D092790">
      <w:pPr>
        <w:pStyle w:val="Standard"/>
      </w:pPr>
      <w:r w:rsidRPr="0001210E">
        <w:lastRenderedPageBreak/>
        <w:t xml:space="preserve">California Public Utilities Code </w:t>
      </w:r>
      <w:r w:rsidRPr="0001210E" w:rsidR="00E96B4F">
        <w:t>(</w:t>
      </w:r>
      <w:r w:rsidR="00E96B4F">
        <w:t>Pub.</w:t>
      </w:r>
      <w:r w:rsidR="0051059D">
        <w:t> </w:t>
      </w:r>
      <w:r w:rsidR="00E96B4F">
        <w:t>Util.</w:t>
      </w:r>
      <w:r w:rsidRPr="0001210E" w:rsidR="00E96B4F">
        <w:t xml:space="preserve"> Code) </w:t>
      </w:r>
      <w:r w:rsidRPr="0001210E">
        <w:t>Sections</w:t>
      </w:r>
      <w:r w:rsidR="00E96B4F">
        <w:t> </w:t>
      </w:r>
      <w:r w:rsidRPr="0001210E">
        <w:t>701</w:t>
      </w:r>
      <w:r w:rsidR="00CA18AE">
        <w:rPr>
          <w:rStyle w:val="FootnoteReference"/>
        </w:rPr>
        <w:footnoteReference w:id="16"/>
      </w:r>
      <w:r w:rsidRPr="0001210E">
        <w:t xml:space="preserve"> and 767</w:t>
      </w:r>
      <w:r w:rsidR="006F2EAD">
        <w:rPr>
          <w:rStyle w:val="FootnoteReference"/>
        </w:rPr>
        <w:footnoteReference w:id="17"/>
      </w:r>
      <w:r w:rsidRPr="0001210E">
        <w:t xml:space="preserve"> authorize the Commission to establish rates, terms, and conditions for joint use of public utility poles, ducts, conduits, and rights</w:t>
      </w:r>
      <w:r w:rsidR="00E4753D">
        <w:noBreakHyphen/>
      </w:r>
      <w:r w:rsidRPr="0001210E">
        <w:t>of</w:t>
      </w:r>
      <w:r w:rsidR="00E4753D">
        <w:noBreakHyphen/>
      </w:r>
      <w:r w:rsidRPr="0001210E">
        <w:t xml:space="preserve">way (together, </w:t>
      </w:r>
      <w:r w:rsidR="00410529">
        <w:t>“</w:t>
      </w:r>
      <w:r w:rsidRPr="0001210E">
        <w:t>public utility infrastructure</w:t>
      </w:r>
      <w:r w:rsidR="00410529">
        <w:t>”</w:t>
      </w:r>
      <w:r w:rsidRPr="0001210E">
        <w:t>).</w:t>
      </w:r>
      <w:r w:rsidRPr="00566F20" w:rsidR="00566F20">
        <w:t xml:space="preserve"> D.98</w:t>
      </w:r>
      <w:r w:rsidR="00E4753D">
        <w:noBreakHyphen/>
      </w:r>
      <w:r w:rsidRPr="00566F20" w:rsidR="00566F20">
        <w:t>10</w:t>
      </w:r>
      <w:r w:rsidR="00E4753D">
        <w:noBreakHyphen/>
      </w:r>
      <w:r w:rsidRPr="00566F20" w:rsidR="00566F20">
        <w:t>058, as modified by D.16</w:t>
      </w:r>
      <w:r w:rsidR="00E4753D">
        <w:noBreakHyphen/>
      </w:r>
      <w:r w:rsidRPr="00566F20" w:rsidR="00566F20">
        <w:t>01</w:t>
      </w:r>
      <w:r w:rsidR="00E4753D">
        <w:noBreakHyphen/>
      </w:r>
      <w:r w:rsidRPr="00566F20" w:rsidR="00566F20">
        <w:t>046, adopted rules that provide competitive local exchange carriers (CLECs)</w:t>
      </w:r>
      <w:r w:rsidR="0053588C">
        <w:t>, commercial mobile</w:t>
      </w:r>
      <w:r w:rsidR="00606D64">
        <w:t xml:space="preserve"> </w:t>
      </w:r>
      <w:r w:rsidRPr="00802647" w:rsidR="00802647">
        <w:t>radio service (CMRS) carriers, and cable television (CATV) corporations with nondiscriminatory access to public utility infrastructure that is owned or controlled by (1</w:t>
      </w:r>
      <w:r w:rsidR="000A141B">
        <w:t>)</w:t>
      </w:r>
      <w:r w:rsidR="0051059D">
        <w:t> </w:t>
      </w:r>
      <w:r w:rsidRPr="00802647" w:rsidR="00802647">
        <w:t>large and midsized incumbent local exchange carriers; and (2</w:t>
      </w:r>
      <w:r w:rsidR="000A141B">
        <w:t>)</w:t>
      </w:r>
      <w:r w:rsidR="0051059D">
        <w:t> </w:t>
      </w:r>
      <w:r w:rsidRPr="00802647" w:rsidR="00802647">
        <w:t>three electric utilities consisting of P</w:t>
      </w:r>
      <w:r w:rsidR="0087489C">
        <w:t>G&amp;E</w:t>
      </w:r>
      <w:r w:rsidRPr="00802647" w:rsidR="00802647">
        <w:t>, S</w:t>
      </w:r>
      <w:r w:rsidR="0087489C">
        <w:t>DG&amp;E</w:t>
      </w:r>
      <w:r w:rsidRPr="00802647" w:rsidR="00802647">
        <w:t>, and S</w:t>
      </w:r>
      <w:r w:rsidR="0087489C">
        <w:t>CE</w:t>
      </w:r>
      <w:r w:rsidRPr="00802647" w:rsidR="00802647">
        <w:t>.</w:t>
      </w:r>
      <w:r w:rsidR="00A3325E">
        <w:rPr>
          <w:rStyle w:val="FootnoteReference"/>
        </w:rPr>
        <w:footnoteReference w:id="18"/>
      </w:r>
      <w:r w:rsidRPr="00802647" w:rsidR="00802647">
        <w:t xml:space="preserve"> The </w:t>
      </w:r>
      <w:r w:rsidRPr="00802647" w:rsidR="00802647">
        <w:lastRenderedPageBreak/>
        <w:t>Commission</w:t>
      </w:r>
      <w:r w:rsidR="00410529">
        <w:t>’</w:t>
      </w:r>
      <w:r w:rsidRPr="00802647" w:rsidR="00802647">
        <w:t xml:space="preserve">s rules for nondiscriminatory access to public utility infrastructure are referred to as the </w:t>
      </w:r>
      <w:r w:rsidR="00835EAD">
        <w:t>ROW Rules</w:t>
      </w:r>
      <w:r w:rsidRPr="00802647" w:rsidR="00802647">
        <w:t xml:space="preserve"> and address the following matters:</w:t>
      </w:r>
    </w:p>
    <w:p w:rsidR="00304448" w:rsidP="00295AB1" w:rsidRDefault="00802647" w14:paraId="7AF8C6EB" w14:textId="2323AC91">
      <w:pPr>
        <w:pStyle w:val="BlockQuoteH025"/>
      </w:pPr>
      <w:r w:rsidRPr="00802647">
        <w:t>1.</w:t>
      </w:r>
      <w:r w:rsidR="00295AB1">
        <w:tab/>
      </w:r>
      <w:r w:rsidRPr="00802647">
        <w:t>Requests to access a public utility</w:t>
      </w:r>
      <w:r w:rsidR="00410529">
        <w:t>’</w:t>
      </w:r>
      <w:r w:rsidRPr="00802647">
        <w:t>s infrastructure by CLECs, CMRS carriers, CATV corporations, including the contents of the requests, deadlines for utility responses, and timeframes for the utility to complete make</w:t>
      </w:r>
      <w:r w:rsidR="00E4753D">
        <w:noBreakHyphen/>
      </w:r>
      <w:r w:rsidRPr="00802647">
        <w:t>ready work.</w:t>
      </w:r>
    </w:p>
    <w:p w:rsidR="00304448" w:rsidP="00295AB1" w:rsidRDefault="00802647" w14:paraId="167A5CE8" w14:textId="15E19FBD">
      <w:pPr>
        <w:pStyle w:val="BlockQuoteH025"/>
      </w:pPr>
      <w:r w:rsidRPr="00802647">
        <w:t>2</w:t>
      </w:r>
      <w:r w:rsidR="00295AB1">
        <w:t>.</w:t>
      </w:r>
      <w:r w:rsidR="00295AB1">
        <w:tab/>
      </w:r>
      <w:r w:rsidRPr="00802647">
        <w:t>Protections for proprietary information.</w:t>
      </w:r>
    </w:p>
    <w:p w:rsidR="00304448" w:rsidP="00295AB1" w:rsidRDefault="00802647" w14:paraId="28B6E824" w14:textId="0BB9C82A">
      <w:pPr>
        <w:pStyle w:val="BlockQuoteH025"/>
      </w:pPr>
      <w:r w:rsidRPr="00802647">
        <w:t>3</w:t>
      </w:r>
      <w:r w:rsidR="00295AB1">
        <w:t>.</w:t>
      </w:r>
      <w:r w:rsidR="00295AB1">
        <w:tab/>
      </w:r>
      <w:r w:rsidRPr="00802647">
        <w:t>Fees and contracts for access to public utility infrastructure.</w:t>
      </w:r>
    </w:p>
    <w:p w:rsidR="00E26F1D" w:rsidP="00295AB1" w:rsidRDefault="00802647" w14:paraId="35309CDC" w14:textId="7140B711">
      <w:pPr>
        <w:pStyle w:val="BlockQuoteH025"/>
      </w:pPr>
      <w:r w:rsidRPr="00802647">
        <w:t>4</w:t>
      </w:r>
      <w:r w:rsidR="00295AB1">
        <w:t>.</w:t>
      </w:r>
      <w:r w:rsidR="00295AB1">
        <w:tab/>
      </w:r>
      <w:r w:rsidRPr="00802647">
        <w:t>Reservations of infrastructure capacity for future use.</w:t>
      </w:r>
    </w:p>
    <w:p w:rsidR="00E26F1D" w:rsidP="00295AB1" w:rsidRDefault="00802647" w14:paraId="4FE9AD81" w14:textId="7061950F">
      <w:pPr>
        <w:pStyle w:val="BlockQuoteH025"/>
      </w:pPr>
      <w:r w:rsidRPr="00802647">
        <w:t>5</w:t>
      </w:r>
      <w:r w:rsidR="00295AB1">
        <w:t>.</w:t>
      </w:r>
      <w:r w:rsidR="00295AB1">
        <w:tab/>
      </w:r>
      <w:r w:rsidRPr="00802647">
        <w:t>Procedures for expedited resolution of disputes.</w:t>
      </w:r>
    </w:p>
    <w:p w:rsidR="00E26F1D" w:rsidP="00295AB1" w:rsidRDefault="00802647" w14:paraId="16340FA8" w14:textId="110D188F">
      <w:pPr>
        <w:pStyle w:val="BlockQuoteH025"/>
      </w:pPr>
      <w:r w:rsidRPr="00802647">
        <w:t>6</w:t>
      </w:r>
      <w:r w:rsidR="00295AB1">
        <w:t>.</w:t>
      </w:r>
      <w:r w:rsidR="00295AB1">
        <w:tab/>
      </w:r>
      <w:r w:rsidRPr="00802647">
        <w:t>Safety standards for access to public utility infrastructure.</w:t>
      </w:r>
      <w:r w:rsidR="00A23A72">
        <w:rPr>
          <w:rStyle w:val="FootnoteReference"/>
        </w:rPr>
        <w:footnoteReference w:id="19"/>
      </w:r>
    </w:p>
    <w:p w:rsidR="00802647" w:rsidP="00606D64" w:rsidRDefault="00802647" w14:paraId="2E8DC3FE" w14:textId="54027143">
      <w:pPr>
        <w:pStyle w:val="Standard"/>
      </w:pPr>
      <w:r w:rsidRPr="00802647">
        <w:t>The</w:t>
      </w:r>
      <w:r w:rsidR="0043382A">
        <w:t xml:space="preserve"> Commission administers the</w:t>
      </w:r>
      <w:r w:rsidRPr="00802647">
        <w:t xml:space="preserve"> </w:t>
      </w:r>
      <w:r w:rsidR="00835EAD">
        <w:t>ROW Rules</w:t>
      </w:r>
      <w:r w:rsidRPr="00802647">
        <w:t xml:space="preserve"> in the form of preferred outcomes. Parties may negotiate access agreements that depart from these preferred outcomes, but in resolving any access dispute</w:t>
      </w:r>
      <w:r w:rsidR="00131040">
        <w:t>,</w:t>
      </w:r>
      <w:r w:rsidRPr="00802647">
        <w:t xml:space="preserve"> the Commission will consider how closely each party has conformed to these preferred outcomes.</w:t>
      </w:r>
      <w:r w:rsidR="00B16501">
        <w:rPr>
          <w:rStyle w:val="FootnoteReference"/>
        </w:rPr>
        <w:footnoteReference w:id="20"/>
      </w:r>
    </w:p>
    <w:p w:rsidRPr="0063491C" w:rsidR="0063491C" w:rsidP="00ED36CC" w:rsidRDefault="00976C49" w14:paraId="235D8B49" w14:textId="78A6A87E">
      <w:pPr>
        <w:pStyle w:val="Standard"/>
      </w:pPr>
      <w:r>
        <w:t xml:space="preserve">In addition to the </w:t>
      </w:r>
      <w:r w:rsidR="00835EAD">
        <w:t>ROW Rules</w:t>
      </w:r>
      <w:r>
        <w:t>, the specifics of the Commission</w:t>
      </w:r>
      <w:r w:rsidR="00410529">
        <w:t>’</w:t>
      </w:r>
      <w:r>
        <w:t xml:space="preserve">s pole, pole attachment, and conduit oversight are memorialized in a series of General Orders (GO): </w:t>
      </w:r>
      <w:r w:rsidR="005B40C8">
        <w:t>GO</w:t>
      </w:r>
      <w:r w:rsidR="0051059D">
        <w:t> </w:t>
      </w:r>
      <w:r>
        <w:t xml:space="preserve">52 (Construction and operation of power and communication lines for the prevention or mitigation of inductive interference); </w:t>
      </w:r>
      <w:r w:rsidR="005B40C8">
        <w:t>GO</w:t>
      </w:r>
      <w:r w:rsidR="0051059D">
        <w:t> </w:t>
      </w:r>
      <w:r>
        <w:t xml:space="preserve">95 </w:t>
      </w:r>
      <w:r w:rsidR="00855166">
        <w:t>(</w:t>
      </w:r>
      <w:r>
        <w:t xml:space="preserve">Overhead electric [and communications] line construction); </w:t>
      </w:r>
      <w:r w:rsidR="005B40C8">
        <w:t>GO</w:t>
      </w:r>
      <w:r w:rsidR="0051059D">
        <w:t> </w:t>
      </w:r>
      <w:r>
        <w:t xml:space="preserve">128 (Construction </w:t>
      </w:r>
      <w:r w:rsidR="00855166">
        <w:t xml:space="preserve">of underground electric supply and </w:t>
      </w:r>
      <w:r w:rsidR="00864A96">
        <w:t xml:space="preserve">communication systems); and </w:t>
      </w:r>
      <w:r w:rsidR="005B40C8">
        <w:t>GO</w:t>
      </w:r>
      <w:r w:rsidR="0051059D">
        <w:t> </w:t>
      </w:r>
      <w:r w:rsidR="00864A96">
        <w:t>159A (Construction of cellular radiotelepho</w:t>
      </w:r>
      <w:r w:rsidR="00996248">
        <w:t>ne facilities in California).</w:t>
      </w:r>
    </w:p>
    <w:p w:rsidR="005A148C" w:rsidP="00ED36CC" w:rsidRDefault="005939A5" w14:paraId="56B52578" w14:textId="77777777">
      <w:pPr>
        <w:pStyle w:val="Heading1"/>
        <w:keepLines w:val="0"/>
      </w:pPr>
      <w:bookmarkStart w:name="_Toc8123719" w:id="19"/>
      <w:bookmarkStart w:name="_Toc133843848" w:id="20"/>
      <w:bookmarkStart w:name="_Toc229726744" w:id="21"/>
      <w:r>
        <w:lastRenderedPageBreak/>
        <w:t xml:space="preserve">Issues Before the </w:t>
      </w:r>
      <w:bookmarkEnd w:id="19"/>
      <w:r w:rsidR="008A08BF">
        <w:t>Commission</w:t>
      </w:r>
      <w:bookmarkEnd w:id="20"/>
      <w:bookmarkEnd w:id="21"/>
    </w:p>
    <w:p w:rsidR="00E26F1D" w:rsidP="00ED36CC" w:rsidRDefault="00330CC5" w14:paraId="26910E57" w14:textId="4D67CDAB">
      <w:pPr>
        <w:pStyle w:val="Standard"/>
      </w:pPr>
      <w:r>
        <w:t xml:space="preserve">The Commission identified possible </w:t>
      </w:r>
      <w:r w:rsidR="00835EAD">
        <w:t>ROW Rules</w:t>
      </w:r>
      <w:r>
        <w:t xml:space="preserve"> amendments as within the scope of this proceeding.</w:t>
      </w:r>
      <w:r>
        <w:rPr>
          <w:rStyle w:val="FootnoteReference"/>
        </w:rPr>
        <w:footnoteReference w:id="21"/>
      </w:r>
    </w:p>
    <w:p w:rsidR="005939A5" w:rsidP="00ED36CC" w:rsidRDefault="005939A5" w14:paraId="7337F07A" w14:textId="0B244F58">
      <w:pPr>
        <w:pStyle w:val="Heading1"/>
        <w:keepLines w:val="0"/>
      </w:pPr>
      <w:bookmarkStart w:name="_Toc8123720" w:id="22"/>
      <w:bookmarkStart w:name="_Toc133843849" w:id="23"/>
      <w:bookmarkStart w:name="_Toc229726745" w:id="24"/>
      <w:r>
        <w:t>Discussion and Analysis</w:t>
      </w:r>
      <w:bookmarkEnd w:id="22"/>
      <w:bookmarkEnd w:id="23"/>
      <w:r w:rsidR="00292F0C">
        <w:t xml:space="preserve"> of </w:t>
      </w:r>
      <w:r w:rsidR="00257A55">
        <w:t>Right</w:t>
      </w:r>
      <w:r w:rsidR="00993EDC">
        <w:t>s</w:t>
      </w:r>
      <w:r w:rsidR="00E4753D">
        <w:noBreakHyphen/>
      </w:r>
      <w:r w:rsidR="00257A55">
        <w:t>of</w:t>
      </w:r>
      <w:r w:rsidR="00E4753D">
        <w:noBreakHyphen/>
      </w:r>
      <w:r w:rsidR="00257A55">
        <w:t>Way</w:t>
      </w:r>
      <w:r w:rsidR="00292F0C">
        <w:t xml:space="preserve"> Issues</w:t>
      </w:r>
      <w:bookmarkEnd w:id="24"/>
    </w:p>
    <w:p w:rsidR="00E26F1D" w:rsidP="00ED36CC" w:rsidRDefault="00DE6DC4" w14:paraId="18D0E5DC" w14:textId="66502B02">
      <w:pPr>
        <w:pStyle w:val="Standard"/>
      </w:pPr>
      <w:r>
        <w:t xml:space="preserve">The </w:t>
      </w:r>
      <w:r w:rsidRPr="002C1485">
        <w:rPr>
          <w:i/>
          <w:iCs/>
        </w:rPr>
        <w:t>ROW Ruling</w:t>
      </w:r>
      <w:r>
        <w:t xml:space="preserve"> </w:t>
      </w:r>
      <w:r w:rsidR="00057AA2">
        <w:t xml:space="preserve">identified </w:t>
      </w:r>
      <w:r w:rsidR="00201470">
        <w:t>seven topic are</w:t>
      </w:r>
      <w:r w:rsidR="004C61F1">
        <w:t>as</w:t>
      </w:r>
      <w:r w:rsidR="002D619C">
        <w:t xml:space="preserve"> </w:t>
      </w:r>
      <w:r w:rsidR="00035000">
        <w:t>(</w:t>
      </w:r>
      <w:r w:rsidR="004603FB">
        <w:t>(1</w:t>
      </w:r>
      <w:r w:rsidR="005031A3">
        <w:t>)</w:t>
      </w:r>
      <w:r w:rsidR="0051059D">
        <w:t> </w:t>
      </w:r>
      <w:r w:rsidR="004603FB">
        <w:t xml:space="preserve">unauthorized attachments </w:t>
      </w:r>
      <w:r w:rsidR="00F7242F">
        <w:t>reporting and fire increases; (2</w:t>
      </w:r>
      <w:r w:rsidR="005031A3">
        <w:t>)</w:t>
      </w:r>
      <w:r w:rsidR="0051059D">
        <w:t> </w:t>
      </w:r>
      <w:r w:rsidR="00F7242F">
        <w:t xml:space="preserve">contractor </w:t>
      </w:r>
      <w:r w:rsidR="00F16A38">
        <w:t xml:space="preserve">transparency </w:t>
      </w:r>
      <w:r w:rsidR="00F7242F">
        <w:t>requirements; (3</w:t>
      </w:r>
      <w:r w:rsidR="005031A3">
        <w:t>)</w:t>
      </w:r>
      <w:r w:rsidR="0051059D">
        <w:t> </w:t>
      </w:r>
      <w:r w:rsidR="003D27BB">
        <w:t>documentation of construction standards in addition to the rules specified in Commission general orders; (4</w:t>
      </w:r>
      <w:r w:rsidR="005031A3">
        <w:t>)</w:t>
      </w:r>
      <w:r w:rsidR="0051059D">
        <w:t> </w:t>
      </w:r>
      <w:r w:rsidR="00FF6E49">
        <w:t xml:space="preserve">pole replacement prioritization and </w:t>
      </w:r>
      <w:r w:rsidR="006C0F12">
        <w:t>self</w:t>
      </w:r>
      <w:r w:rsidR="00E4753D">
        <w:noBreakHyphen/>
      </w:r>
      <w:r w:rsidR="006C0F12">
        <w:t>help</w:t>
      </w:r>
      <w:r w:rsidR="00FF6E49">
        <w:t xml:space="preserve"> for attachers; (5</w:t>
      </w:r>
      <w:r w:rsidR="005031A3">
        <w:t>)</w:t>
      </w:r>
      <w:r w:rsidR="0051059D">
        <w:t> </w:t>
      </w:r>
      <w:r w:rsidR="00FF6E49">
        <w:t>conduit data reporting; (6</w:t>
      </w:r>
      <w:r w:rsidR="005031A3">
        <w:t>)</w:t>
      </w:r>
      <w:r w:rsidR="0051059D">
        <w:t> </w:t>
      </w:r>
      <w:r w:rsidR="00543FCE">
        <w:t>applicability of right</w:t>
      </w:r>
      <w:r w:rsidR="00993EDC">
        <w:t>s</w:t>
      </w:r>
      <w:r w:rsidR="00E4753D">
        <w:noBreakHyphen/>
      </w:r>
      <w:r w:rsidR="00543FCE">
        <w:t>of</w:t>
      </w:r>
      <w:r w:rsidR="00E4753D">
        <w:noBreakHyphen/>
      </w:r>
      <w:r w:rsidR="00543FCE">
        <w:t>way rules to local governments and other utilities; and (7</w:t>
      </w:r>
      <w:r w:rsidR="005031A3">
        <w:t>)</w:t>
      </w:r>
      <w:r w:rsidR="0051059D">
        <w:t> </w:t>
      </w:r>
      <w:r w:rsidR="004A16BC">
        <w:t>overlashing</w:t>
      </w:r>
      <w:r w:rsidR="005031A3">
        <w:t>)</w:t>
      </w:r>
      <w:r w:rsidR="00225F7C">
        <w:t xml:space="preserve"> </w:t>
      </w:r>
      <w:r w:rsidR="002D619C">
        <w:t>and</w:t>
      </w:r>
      <w:r w:rsidR="004C61F1">
        <w:t xml:space="preserve"> </w:t>
      </w:r>
      <w:r w:rsidR="0005742B">
        <w:t>posed</w:t>
      </w:r>
      <w:r w:rsidR="004C61F1">
        <w:t xml:space="preserve"> several </w:t>
      </w:r>
      <w:r w:rsidR="0005742B">
        <w:t xml:space="preserve">questions </w:t>
      </w:r>
      <w:r w:rsidR="00A64833">
        <w:t xml:space="preserve">within each topic </w:t>
      </w:r>
      <w:r w:rsidR="0005742B">
        <w:t>for which the parties were invited to comment</w:t>
      </w:r>
      <w:r w:rsidR="00AE2A8E">
        <w:t>.</w:t>
      </w:r>
    </w:p>
    <w:p w:rsidR="00EA36C6" w:rsidP="00ED36CC" w:rsidRDefault="00D367EE" w14:paraId="6D6BFCDF" w14:textId="09D81A98">
      <w:pPr>
        <w:pStyle w:val="Heading2"/>
        <w:keepLines w:val="0"/>
      </w:pPr>
      <w:bookmarkStart w:name="_Toc133843850" w:id="25"/>
      <w:bookmarkStart w:name="_Toc229726746" w:id="26"/>
      <w:r>
        <w:t xml:space="preserve">Unauthorized </w:t>
      </w:r>
      <w:r w:rsidR="00B400CE">
        <w:t>A</w:t>
      </w:r>
      <w:r>
        <w:t>ttachments</w:t>
      </w:r>
      <w:r w:rsidR="00E47681">
        <w:br/>
      </w:r>
      <w:r w:rsidR="00B400CE">
        <w:t>R</w:t>
      </w:r>
      <w:r>
        <w:t>eporting and Fine Increases</w:t>
      </w:r>
      <w:bookmarkEnd w:id="25"/>
      <w:bookmarkEnd w:id="26"/>
    </w:p>
    <w:p w:rsidR="007156B9" w:rsidP="00ED36CC" w:rsidRDefault="001F0F9A" w14:paraId="04F972B2" w14:textId="0A522308">
      <w:pPr>
        <w:pStyle w:val="Heading3"/>
        <w:keepLines w:val="0"/>
      </w:pPr>
      <w:bookmarkStart w:name="_Toc229726747" w:id="27"/>
      <w:r>
        <w:t xml:space="preserve">ROW </w:t>
      </w:r>
      <w:r w:rsidR="005F2C25">
        <w:t>Ruling Background</w:t>
      </w:r>
      <w:r w:rsidR="00E47681">
        <w:br/>
      </w:r>
      <w:r w:rsidR="005F2C25">
        <w:t xml:space="preserve">and </w:t>
      </w:r>
      <w:r w:rsidR="008A2E6A">
        <w:t>Staff Proposal</w:t>
      </w:r>
      <w:bookmarkEnd w:id="27"/>
    </w:p>
    <w:p w:rsidRPr="007D08A2" w:rsidR="009C3650" w:rsidP="00ED36CC" w:rsidRDefault="009C3650" w14:paraId="5B3F145D" w14:textId="01FDDB23">
      <w:pPr>
        <w:pStyle w:val="Standard"/>
        <w:rPr>
          <w:szCs w:val="26"/>
        </w:rPr>
      </w:pPr>
      <w:r w:rsidRPr="007D08A2">
        <w:rPr>
          <w:szCs w:val="26"/>
        </w:rPr>
        <w:t>SCE and PG&amp;E request penalties for unauthorized attachments be increased from $500 to either $2,000 (SCE) or $2,500 (PG&amp;E). They point out that the $500 penalty fee was established over 25 years ago, and that unauthorized attachments have continued to occur since 1998. Specifically, PG&amp;E claims that its postconstruction inspections of attachments have shown that approximately 25 percent of denied pole access applications have resulted in unauthorized attachments by applicants. Further, PG&amp;E argues that due to the increased labor costs to initiate, track, and follow</w:t>
      </w:r>
      <w:r w:rsidR="00E4753D">
        <w:rPr>
          <w:szCs w:val="26"/>
        </w:rPr>
        <w:noBreakHyphen/>
      </w:r>
      <w:r w:rsidRPr="007D08A2">
        <w:rPr>
          <w:szCs w:val="26"/>
        </w:rPr>
        <w:t xml:space="preserve">up on attachment issues, the $500 existing </w:t>
      </w:r>
      <w:r w:rsidRPr="007D08A2">
        <w:rPr>
          <w:szCs w:val="26"/>
        </w:rPr>
        <w:lastRenderedPageBreak/>
        <w:t>penalty is not an effective deterrent and does not provide PG&amp;E with sufficient funds to effectively administer such a program.</w:t>
      </w:r>
    </w:p>
    <w:p w:rsidRPr="007D08A2" w:rsidR="009C3650" w:rsidP="00ED36CC" w:rsidRDefault="001A6A6D" w14:paraId="1DFD2A06" w14:textId="0E8EA789">
      <w:pPr>
        <w:pStyle w:val="Standard"/>
        <w:rPr>
          <w:szCs w:val="26"/>
        </w:rPr>
      </w:pPr>
      <w:r>
        <w:rPr>
          <w:szCs w:val="26"/>
        </w:rPr>
        <w:t>On December</w:t>
      </w:r>
      <w:r w:rsidR="00B863FD">
        <w:rPr>
          <w:szCs w:val="26"/>
        </w:rPr>
        <w:t> </w:t>
      </w:r>
      <w:r>
        <w:rPr>
          <w:szCs w:val="26"/>
        </w:rPr>
        <w:t xml:space="preserve">12, 2022, the </w:t>
      </w:r>
      <w:r w:rsidR="00681391">
        <w:rPr>
          <w:szCs w:val="26"/>
        </w:rPr>
        <w:t>ALJ</w:t>
      </w:r>
      <w:r>
        <w:rPr>
          <w:szCs w:val="26"/>
        </w:rPr>
        <w:t xml:space="preserve"> issued his </w:t>
      </w:r>
      <w:r w:rsidRPr="00005C91">
        <w:rPr>
          <w:i/>
          <w:iCs/>
          <w:szCs w:val="26"/>
        </w:rPr>
        <w:t>Ruling Requesting Responses on Remaining Proceeding Issues</w:t>
      </w:r>
      <w:r>
        <w:rPr>
          <w:szCs w:val="26"/>
        </w:rPr>
        <w:t xml:space="preserve"> and </w:t>
      </w:r>
      <w:r w:rsidR="00DC181F">
        <w:rPr>
          <w:szCs w:val="26"/>
        </w:rPr>
        <w:t>directed the</w:t>
      </w:r>
      <w:r w:rsidRPr="007D08A2" w:rsidR="009C3650">
        <w:rPr>
          <w:szCs w:val="26"/>
        </w:rPr>
        <w:t xml:space="preserve"> </w:t>
      </w:r>
      <w:r w:rsidR="00C40842">
        <w:rPr>
          <w:szCs w:val="26"/>
        </w:rPr>
        <w:t>M</w:t>
      </w:r>
      <w:r w:rsidRPr="007D08A2" w:rsidR="009C3650">
        <w:rPr>
          <w:szCs w:val="26"/>
        </w:rPr>
        <w:t xml:space="preserve">ajor </w:t>
      </w:r>
      <w:r w:rsidR="00C40842">
        <w:rPr>
          <w:szCs w:val="26"/>
        </w:rPr>
        <w:t>P</w:t>
      </w:r>
      <w:r w:rsidRPr="007D08A2" w:rsidR="009C3650">
        <w:rPr>
          <w:szCs w:val="26"/>
        </w:rPr>
        <w:t xml:space="preserve">ole </w:t>
      </w:r>
      <w:r w:rsidR="00C40842">
        <w:rPr>
          <w:szCs w:val="26"/>
        </w:rPr>
        <w:t>O</w:t>
      </w:r>
      <w:r w:rsidRPr="007D08A2" w:rsidR="009C3650">
        <w:rPr>
          <w:szCs w:val="26"/>
        </w:rPr>
        <w:t xml:space="preserve">wners to provide data on the unauthorized attachments their companies have identified over the past </w:t>
      </w:r>
      <w:r w:rsidR="00802B29">
        <w:rPr>
          <w:szCs w:val="26"/>
        </w:rPr>
        <w:t>five</w:t>
      </w:r>
      <w:r w:rsidR="00A41379">
        <w:rPr>
          <w:szCs w:val="26"/>
        </w:rPr>
        <w:t xml:space="preserve"> </w:t>
      </w:r>
      <w:r w:rsidRPr="007D08A2" w:rsidR="009C3650">
        <w:rPr>
          <w:szCs w:val="26"/>
        </w:rPr>
        <w:t xml:space="preserve">years. The data provided by </w:t>
      </w:r>
      <w:r>
        <w:rPr>
          <w:szCs w:val="26"/>
        </w:rPr>
        <w:t>the Major P</w:t>
      </w:r>
      <w:r w:rsidRPr="007D08A2" w:rsidR="009C3650">
        <w:rPr>
          <w:szCs w:val="26"/>
        </w:rPr>
        <w:t xml:space="preserve">ole </w:t>
      </w:r>
      <w:r>
        <w:rPr>
          <w:szCs w:val="26"/>
        </w:rPr>
        <w:t>O</w:t>
      </w:r>
      <w:r w:rsidRPr="007D08A2" w:rsidR="009C3650">
        <w:rPr>
          <w:szCs w:val="26"/>
        </w:rPr>
        <w:t>wners was mixed:</w:t>
      </w:r>
    </w:p>
    <w:p w:rsidRPr="007D08A2" w:rsidR="009C3650" w:rsidRDefault="009C3650" w14:paraId="1441F3C9" w14:textId="297D0C6F">
      <w:pPr>
        <w:pStyle w:val="BlockQuoteBullet1"/>
        <w:numPr>
          <w:ilvl w:val="0"/>
          <w:numId w:val="9"/>
        </w:numPr>
        <w:ind w:left="1080"/>
        <w:rPr>
          <w:szCs w:val="26"/>
        </w:rPr>
      </w:pPr>
      <w:r w:rsidRPr="007D08A2">
        <w:rPr>
          <w:szCs w:val="26"/>
        </w:rPr>
        <w:t xml:space="preserve">AT&amp;T indicated it </w:t>
      </w:r>
      <w:r w:rsidR="00410529">
        <w:rPr>
          <w:szCs w:val="26"/>
        </w:rPr>
        <w:t>“</w:t>
      </w:r>
      <w:r w:rsidRPr="00E22B08">
        <w:t>does</w:t>
      </w:r>
      <w:r w:rsidRPr="007D08A2">
        <w:rPr>
          <w:szCs w:val="26"/>
        </w:rPr>
        <w:t xml:space="preserve"> not track this information on a comprehensive basis in the normal course of business and therefore does not have the requested data.</w:t>
      </w:r>
      <w:r w:rsidR="00410529">
        <w:rPr>
          <w:szCs w:val="26"/>
        </w:rPr>
        <w:t>”</w:t>
      </w:r>
      <w:r w:rsidR="00DC181F">
        <w:rPr>
          <w:rStyle w:val="FootnoteReference"/>
          <w:szCs w:val="26"/>
        </w:rPr>
        <w:footnoteReference w:id="22"/>
      </w:r>
    </w:p>
    <w:p w:rsidRPr="007D08A2" w:rsidR="009C3650" w:rsidRDefault="009C3650" w14:paraId="4132240F" w14:textId="77777777">
      <w:pPr>
        <w:pStyle w:val="BlockQuoteBullet1"/>
        <w:numPr>
          <w:ilvl w:val="0"/>
          <w:numId w:val="9"/>
        </w:numPr>
        <w:ind w:left="1080"/>
        <w:rPr>
          <w:szCs w:val="26"/>
        </w:rPr>
      </w:pPr>
      <w:r w:rsidRPr="007D08A2">
        <w:rPr>
          <w:szCs w:val="26"/>
        </w:rPr>
        <w:t>Frontier did not respond.</w:t>
      </w:r>
    </w:p>
    <w:p w:rsidRPr="007D08A2" w:rsidR="009C3650" w:rsidRDefault="009C3650" w14:paraId="3B9E3C93" w14:textId="3912B17C">
      <w:pPr>
        <w:pStyle w:val="BlockQuoteBullet1"/>
        <w:numPr>
          <w:ilvl w:val="0"/>
          <w:numId w:val="9"/>
        </w:numPr>
        <w:ind w:left="1080"/>
        <w:rPr>
          <w:szCs w:val="26"/>
        </w:rPr>
      </w:pPr>
      <w:r w:rsidRPr="007D08A2">
        <w:rPr>
          <w:szCs w:val="26"/>
        </w:rPr>
        <w:t xml:space="preserve">PG&amp;E indicated it has </w:t>
      </w:r>
      <w:r w:rsidR="00410529">
        <w:rPr>
          <w:szCs w:val="26"/>
        </w:rPr>
        <w:t>“</w:t>
      </w:r>
      <w:r w:rsidRPr="007D08A2">
        <w:rPr>
          <w:szCs w:val="26"/>
        </w:rPr>
        <w:t xml:space="preserve">identified thousands of </w:t>
      </w:r>
      <w:r w:rsidR="00C67752">
        <w:rPr>
          <w:szCs w:val="26"/>
        </w:rPr>
        <w:t>un</w:t>
      </w:r>
      <w:r w:rsidRPr="007D08A2">
        <w:rPr>
          <w:szCs w:val="26"/>
        </w:rPr>
        <w:t>authorized attachments over the past five years. PG&amp;E consistently notifies its licensees that it has identified potential unauthorized attachments so that they can investigate, update their records and apply for attachment under the license agreements. To date, PG&amp;E has not yet issued or recovered penalties from its licensees. Collection of the penalty has been deferred as PG&amp;E continues to work through office verification of records with its licensees. Upon completing the verification process, PG&amp;E anticipates that it will be assessing penalties for unauthorized attachments identified in prior periods.</w:t>
      </w:r>
      <w:r w:rsidR="00410529">
        <w:rPr>
          <w:szCs w:val="26"/>
        </w:rPr>
        <w:t>”</w:t>
      </w:r>
      <w:r w:rsidR="00DC181F">
        <w:rPr>
          <w:rStyle w:val="FootnoteReference"/>
          <w:szCs w:val="26"/>
        </w:rPr>
        <w:footnoteReference w:id="23"/>
      </w:r>
    </w:p>
    <w:p w:rsidRPr="007D08A2" w:rsidR="009C3650" w:rsidRDefault="009C3650" w14:paraId="4086A72C" w14:textId="2F74BB2B">
      <w:pPr>
        <w:pStyle w:val="BlockQuoteBullet1"/>
        <w:numPr>
          <w:ilvl w:val="0"/>
          <w:numId w:val="9"/>
        </w:numPr>
        <w:ind w:left="1080"/>
        <w:rPr>
          <w:szCs w:val="26"/>
        </w:rPr>
      </w:pPr>
      <w:r w:rsidRPr="007D08A2">
        <w:rPr>
          <w:szCs w:val="26"/>
        </w:rPr>
        <w:t xml:space="preserve">SDG&amp;E indicated it </w:t>
      </w:r>
      <w:r w:rsidR="00410529">
        <w:rPr>
          <w:szCs w:val="26"/>
        </w:rPr>
        <w:t>“</w:t>
      </w:r>
      <w:r w:rsidRPr="007D08A2">
        <w:rPr>
          <w:szCs w:val="26"/>
        </w:rPr>
        <w:t xml:space="preserve">does not have any verified records of unauthorized attachments from the past 5 years. SDG&amp;E adopted a new system to track and manage attachment applications in 2012, but due to record retention guidelines and differing historic regulatory requirements, the records for attachments prior to 2012 were not sufficiently reliable </w:t>
      </w:r>
      <w:r w:rsidRPr="007D08A2">
        <w:rPr>
          <w:szCs w:val="26"/>
        </w:rPr>
        <w:lastRenderedPageBreak/>
        <w:t>to issue a penalty charge to a communications company for an unauthorized attachment.</w:t>
      </w:r>
      <w:r w:rsidR="00410529">
        <w:rPr>
          <w:szCs w:val="26"/>
        </w:rPr>
        <w:t>”</w:t>
      </w:r>
      <w:r w:rsidR="00DC181F">
        <w:rPr>
          <w:rStyle w:val="FootnoteReference"/>
          <w:szCs w:val="26"/>
        </w:rPr>
        <w:footnoteReference w:id="24"/>
      </w:r>
    </w:p>
    <w:p w:rsidRPr="007D08A2" w:rsidR="009C3650" w:rsidRDefault="009C3650" w14:paraId="08C81FAD" w14:textId="602572C8">
      <w:pPr>
        <w:pStyle w:val="BlockQuoteBullet1"/>
        <w:numPr>
          <w:ilvl w:val="0"/>
          <w:numId w:val="9"/>
        </w:numPr>
        <w:ind w:left="1080"/>
        <w:rPr>
          <w:szCs w:val="26"/>
        </w:rPr>
      </w:pPr>
      <w:r w:rsidRPr="007D08A2">
        <w:rPr>
          <w:szCs w:val="26"/>
        </w:rPr>
        <w:t>SCE identified 17,334 unauthorized attachments from a variety of attachers</w:t>
      </w:r>
      <w:r w:rsidR="00FF0478">
        <w:rPr>
          <w:szCs w:val="26"/>
        </w:rPr>
        <w:t>, stating</w:t>
      </w:r>
      <w:r w:rsidRPr="007D08A2">
        <w:rPr>
          <w:szCs w:val="26"/>
        </w:rPr>
        <w:t xml:space="preserve"> </w:t>
      </w:r>
      <w:r w:rsidR="00410529">
        <w:rPr>
          <w:szCs w:val="26"/>
        </w:rPr>
        <w:t>“</w:t>
      </w:r>
      <w:r w:rsidRPr="007D08A2">
        <w:rPr>
          <w:szCs w:val="26"/>
        </w:rPr>
        <w:t>SCE billed $8,667,000 in fines from 2018</w:t>
      </w:r>
      <w:r w:rsidR="00E4753D">
        <w:rPr>
          <w:szCs w:val="26"/>
        </w:rPr>
        <w:noBreakHyphen/>
      </w:r>
      <w:r w:rsidRPr="007D08A2">
        <w:rPr>
          <w:szCs w:val="26"/>
        </w:rPr>
        <w:t>2022, which represents the amount from invoices billed and not disputed by the identified unauthorized attacher within the 30</w:t>
      </w:r>
      <w:r w:rsidR="00E4753D">
        <w:rPr>
          <w:szCs w:val="26"/>
        </w:rPr>
        <w:noBreakHyphen/>
      </w:r>
      <w:r w:rsidRPr="007D08A2">
        <w:rPr>
          <w:szCs w:val="26"/>
        </w:rPr>
        <w:t>day time period. SCE has collected most, but not all, of this amount.</w:t>
      </w:r>
      <w:r w:rsidR="00410529">
        <w:rPr>
          <w:szCs w:val="26"/>
        </w:rPr>
        <w:t>”</w:t>
      </w:r>
      <w:r w:rsidR="00C1489F">
        <w:rPr>
          <w:rStyle w:val="FootnoteReference"/>
          <w:szCs w:val="26"/>
        </w:rPr>
        <w:footnoteReference w:id="25"/>
      </w:r>
    </w:p>
    <w:p w:rsidRPr="007D08A2" w:rsidR="009C3650" w:rsidP="00ED36CC" w:rsidRDefault="009C3650" w14:paraId="0073D76A" w14:textId="59D63656">
      <w:pPr>
        <w:pStyle w:val="Standard"/>
        <w:rPr>
          <w:b/>
          <w:bCs/>
          <w:szCs w:val="26"/>
        </w:rPr>
      </w:pPr>
      <w:r w:rsidRPr="007D08A2">
        <w:rPr>
          <w:szCs w:val="26"/>
        </w:rPr>
        <w:t xml:space="preserve">In addition, </w:t>
      </w:r>
      <w:r w:rsidR="007E5D0A">
        <w:rPr>
          <w:szCs w:val="26"/>
        </w:rPr>
        <w:t>the Major P</w:t>
      </w:r>
      <w:r w:rsidRPr="007D08A2">
        <w:rPr>
          <w:szCs w:val="26"/>
        </w:rPr>
        <w:t xml:space="preserve">ole </w:t>
      </w:r>
      <w:r w:rsidR="007E5D0A">
        <w:rPr>
          <w:szCs w:val="26"/>
        </w:rPr>
        <w:t>O</w:t>
      </w:r>
      <w:r w:rsidRPr="007D08A2">
        <w:rPr>
          <w:szCs w:val="26"/>
        </w:rPr>
        <w:t xml:space="preserve">wners have </w:t>
      </w:r>
      <w:r w:rsidR="0027267D">
        <w:rPr>
          <w:szCs w:val="26"/>
        </w:rPr>
        <w:t>asserted</w:t>
      </w:r>
      <w:r w:rsidR="007E5D0A">
        <w:rPr>
          <w:szCs w:val="26"/>
        </w:rPr>
        <w:t xml:space="preserve"> </w:t>
      </w:r>
      <w:r w:rsidRPr="007D08A2">
        <w:rPr>
          <w:szCs w:val="26"/>
        </w:rPr>
        <w:t xml:space="preserve">that many attachers have not provided the data required by </w:t>
      </w:r>
      <w:r w:rsidR="00413DEC">
        <w:rPr>
          <w:szCs w:val="26"/>
        </w:rPr>
        <w:t>D.</w:t>
      </w:r>
      <w:r w:rsidRPr="007D08A2">
        <w:rPr>
          <w:szCs w:val="26"/>
        </w:rPr>
        <w:t>21</w:t>
      </w:r>
      <w:r w:rsidR="00E4753D">
        <w:rPr>
          <w:szCs w:val="26"/>
        </w:rPr>
        <w:noBreakHyphen/>
      </w:r>
      <w:r w:rsidRPr="007D08A2">
        <w:rPr>
          <w:szCs w:val="26"/>
        </w:rPr>
        <w:t>10</w:t>
      </w:r>
      <w:r w:rsidR="00E4753D">
        <w:rPr>
          <w:szCs w:val="26"/>
        </w:rPr>
        <w:noBreakHyphen/>
      </w:r>
      <w:r w:rsidRPr="007D08A2">
        <w:rPr>
          <w:szCs w:val="26"/>
        </w:rPr>
        <w:t>019.</w:t>
      </w:r>
    </w:p>
    <w:p w:rsidR="00E26F1D" w:rsidP="00E3514E" w:rsidRDefault="009C3650" w14:paraId="561AF955" w14:textId="11BDEA4B">
      <w:pPr>
        <w:pStyle w:val="Standard"/>
        <w:rPr>
          <w:szCs w:val="26"/>
        </w:rPr>
      </w:pPr>
      <w:r>
        <w:rPr>
          <w:szCs w:val="26"/>
        </w:rPr>
        <w:t xml:space="preserve">In light of this information, </w:t>
      </w:r>
      <w:r w:rsidR="00C1489F">
        <w:rPr>
          <w:szCs w:val="26"/>
        </w:rPr>
        <w:t>s</w:t>
      </w:r>
      <w:r w:rsidRPr="007D08A2" w:rsidR="00BF0394">
        <w:rPr>
          <w:szCs w:val="26"/>
        </w:rPr>
        <w:t>taff propose</w:t>
      </w:r>
      <w:r w:rsidR="007E5D0A">
        <w:rPr>
          <w:szCs w:val="26"/>
        </w:rPr>
        <w:t>d</w:t>
      </w:r>
      <w:r w:rsidRPr="007D08A2" w:rsidR="00BF0394">
        <w:rPr>
          <w:szCs w:val="26"/>
        </w:rPr>
        <w:t xml:space="preserve"> that the Commission increase the fine (due from violator to utility) for unauthorized attachments from $500 to $1,000, per </w:t>
      </w:r>
      <w:r w:rsidR="004D0AFC">
        <w:rPr>
          <w:szCs w:val="26"/>
        </w:rPr>
        <w:t>violation</w:t>
      </w:r>
      <w:r w:rsidRPr="007D08A2" w:rsidR="00BF0394">
        <w:rPr>
          <w:szCs w:val="26"/>
        </w:rPr>
        <w:t xml:space="preserve">. The expanded fine authority would </w:t>
      </w:r>
      <w:r w:rsidR="002D2D66">
        <w:rPr>
          <w:szCs w:val="26"/>
        </w:rPr>
        <w:t>also be applied to</w:t>
      </w:r>
      <w:r w:rsidRPr="007D08A2" w:rsidR="00BF0394">
        <w:rPr>
          <w:szCs w:val="26"/>
        </w:rPr>
        <w:t xml:space="preserve"> compliance with </w:t>
      </w:r>
      <w:r w:rsidR="00413DEC">
        <w:rPr>
          <w:szCs w:val="26"/>
        </w:rPr>
        <w:t>D.</w:t>
      </w:r>
      <w:r w:rsidRPr="007D08A2" w:rsidR="00BF0394">
        <w:rPr>
          <w:szCs w:val="26"/>
        </w:rPr>
        <w:t>21</w:t>
      </w:r>
      <w:r w:rsidR="00E4753D">
        <w:rPr>
          <w:szCs w:val="26"/>
        </w:rPr>
        <w:noBreakHyphen/>
      </w:r>
      <w:r w:rsidRPr="007D08A2" w:rsidR="00BF0394">
        <w:rPr>
          <w:szCs w:val="26"/>
        </w:rPr>
        <w:t>10</w:t>
      </w:r>
      <w:r w:rsidR="00E4753D">
        <w:rPr>
          <w:szCs w:val="26"/>
        </w:rPr>
        <w:noBreakHyphen/>
      </w:r>
      <w:r w:rsidRPr="007D08A2" w:rsidR="00BF0394">
        <w:rPr>
          <w:szCs w:val="26"/>
        </w:rPr>
        <w:t xml:space="preserve">019.  In addition, </w:t>
      </w:r>
      <w:r w:rsidR="003D6E6D">
        <w:rPr>
          <w:szCs w:val="26"/>
        </w:rPr>
        <w:t xml:space="preserve">staff proposed that </w:t>
      </w:r>
      <w:r w:rsidRPr="007D08A2" w:rsidR="00BF0394">
        <w:rPr>
          <w:szCs w:val="26"/>
        </w:rPr>
        <w:t xml:space="preserve">utilities </w:t>
      </w:r>
      <w:r w:rsidR="003D6E6D">
        <w:rPr>
          <w:szCs w:val="26"/>
        </w:rPr>
        <w:t>should</w:t>
      </w:r>
      <w:r w:rsidRPr="007D08A2" w:rsidR="00BF0394">
        <w:rPr>
          <w:szCs w:val="26"/>
        </w:rPr>
        <w:t xml:space="preserve"> be required to report to the Commission unauthorized attachers and associated fines</w:t>
      </w:r>
      <w:r w:rsidR="004F3C33">
        <w:rPr>
          <w:szCs w:val="26"/>
        </w:rPr>
        <w:t>,</w:t>
      </w:r>
      <w:r w:rsidRPr="007D08A2" w:rsidR="00BF0394">
        <w:rPr>
          <w:szCs w:val="26"/>
        </w:rPr>
        <w:t xml:space="preserve"> which would include an annual compliance filing with the Commission identifying the number of unauthorized attachments identified in the previous calendar year.</w:t>
      </w:r>
    </w:p>
    <w:p w:rsidR="00FD02D3" w:rsidP="00ED36CC" w:rsidRDefault="001F0F9A" w14:paraId="0E9A066E" w14:textId="5328F742">
      <w:pPr>
        <w:pStyle w:val="Heading3"/>
        <w:keepLines w:val="0"/>
      </w:pPr>
      <w:bookmarkStart w:name="_Toc229726748" w:id="28"/>
      <w:r>
        <w:lastRenderedPageBreak/>
        <w:t xml:space="preserve">ROW </w:t>
      </w:r>
      <w:r w:rsidR="00157D66">
        <w:t>Ruling Questions</w:t>
      </w:r>
      <w:r w:rsidR="00073AF6">
        <w:br/>
      </w:r>
      <w:r w:rsidR="00157D66">
        <w:t>and Party Comments</w:t>
      </w:r>
      <w:bookmarkEnd w:id="28"/>
    </w:p>
    <w:p w:rsidR="00AB1B4F" w:rsidP="00E12786" w:rsidRDefault="00DE3BFD" w14:paraId="4E93690A" w14:textId="74B74F93">
      <w:pPr>
        <w:pStyle w:val="Heading4"/>
      </w:pPr>
      <w:r>
        <w:t xml:space="preserve">The Commission </w:t>
      </w:r>
      <w:r w:rsidR="003856E7">
        <w:t>is considering posting the submitted filings to its public website to increase transparency</w:t>
      </w:r>
      <w:r>
        <w:t xml:space="preserve">. What </w:t>
      </w:r>
      <w:r w:rsidR="00524AC8">
        <w:t>information, if any, contained within the annual compliance filing should th</w:t>
      </w:r>
      <w:r w:rsidR="00F55D89">
        <w:t xml:space="preserve">e </w:t>
      </w:r>
      <w:r w:rsidR="0067057E">
        <w:t xml:space="preserve">Commission </w:t>
      </w:r>
      <w:r w:rsidR="00524AC8">
        <w:t>consider as confidential and why</w:t>
      </w:r>
      <w:r w:rsidR="00F55D89">
        <w:t xml:space="preserve">? Your </w:t>
      </w:r>
      <w:r w:rsidR="00524AC8">
        <w:t xml:space="preserve">response must comply with the requirements of </w:t>
      </w:r>
      <w:r w:rsidR="00075AE9">
        <w:t>General Order</w:t>
      </w:r>
      <w:r w:rsidR="0051059D">
        <w:t> </w:t>
      </w:r>
      <w:r w:rsidR="00075AE9">
        <w:t>66</w:t>
      </w:r>
      <w:r w:rsidR="00E4753D">
        <w:noBreakHyphen/>
      </w:r>
      <w:r w:rsidR="00075AE9">
        <w:t xml:space="preserve">D </w:t>
      </w:r>
      <w:r w:rsidR="00524AC8">
        <w:t>for establishing a claim for confidentiality</w:t>
      </w:r>
      <w:r w:rsidR="0045011D">
        <w:t>.</w:t>
      </w:r>
    </w:p>
    <w:p w:rsidRPr="00E22A43" w:rsidR="00702B58" w:rsidP="00ED36CC" w:rsidRDefault="0052772B" w14:paraId="20213285" w14:textId="2FCED3EC">
      <w:pPr>
        <w:pStyle w:val="Standard"/>
      </w:pPr>
      <w:r>
        <w:rPr>
          <w:rFonts w:eastAsia="Calibri" w:cs="Times New Roman"/>
          <w:szCs w:val="26"/>
        </w:rPr>
        <w:t xml:space="preserve">AT&amp;T </w:t>
      </w:r>
      <w:r w:rsidR="00E961C0">
        <w:rPr>
          <w:rFonts w:eastAsia="Calibri" w:cs="Times New Roman"/>
          <w:szCs w:val="26"/>
        </w:rPr>
        <w:t>s</w:t>
      </w:r>
      <w:r w:rsidRPr="00E22A43" w:rsidR="00702B58">
        <w:rPr>
          <w:rFonts w:eastAsia="Calibri" w:cs="Times New Roman"/>
          <w:szCs w:val="26"/>
        </w:rPr>
        <w:t xml:space="preserve">uggests that data on specific attachments might be confidential, including: owner (Data </w:t>
      </w:r>
      <w:r w:rsidR="00752828">
        <w:rPr>
          <w:rFonts w:eastAsia="Calibri" w:cs="Times New Roman"/>
          <w:szCs w:val="26"/>
        </w:rPr>
        <w:t>Point</w:t>
      </w:r>
      <w:r w:rsidR="0051059D">
        <w:rPr>
          <w:rFonts w:eastAsia="Calibri" w:cs="Times New Roman"/>
          <w:szCs w:val="26"/>
        </w:rPr>
        <w:t> </w:t>
      </w:r>
      <w:r w:rsidRPr="00E22A43" w:rsidR="00702B58">
        <w:rPr>
          <w:rFonts w:eastAsia="Calibri" w:cs="Times New Roman"/>
          <w:szCs w:val="26"/>
        </w:rPr>
        <w:t xml:space="preserve">2); status (Data </w:t>
      </w:r>
      <w:r w:rsidR="00752828">
        <w:rPr>
          <w:rFonts w:eastAsia="Calibri" w:cs="Times New Roman"/>
          <w:szCs w:val="26"/>
        </w:rPr>
        <w:t>Point</w:t>
      </w:r>
      <w:r w:rsidR="0051059D">
        <w:rPr>
          <w:rFonts w:eastAsia="Calibri" w:cs="Times New Roman"/>
          <w:szCs w:val="26"/>
        </w:rPr>
        <w:t> </w:t>
      </w:r>
      <w:r w:rsidRPr="00E22A43" w:rsidR="00702B58">
        <w:rPr>
          <w:rFonts w:eastAsia="Calibri" w:cs="Times New Roman"/>
          <w:szCs w:val="26"/>
        </w:rPr>
        <w:t xml:space="preserve">4); description (Data </w:t>
      </w:r>
      <w:r w:rsidR="00752828">
        <w:rPr>
          <w:rFonts w:eastAsia="Calibri" w:cs="Times New Roman"/>
          <w:szCs w:val="26"/>
        </w:rPr>
        <w:t>Point</w:t>
      </w:r>
      <w:r w:rsidR="0051059D">
        <w:rPr>
          <w:rFonts w:eastAsia="Calibri" w:cs="Times New Roman"/>
          <w:szCs w:val="26"/>
        </w:rPr>
        <w:t> </w:t>
      </w:r>
      <w:r w:rsidRPr="00E22A43" w:rsidR="00702B58">
        <w:rPr>
          <w:rFonts w:eastAsia="Calibri" w:cs="Times New Roman"/>
          <w:szCs w:val="26"/>
        </w:rPr>
        <w:t xml:space="preserve">8); dimensions (Data </w:t>
      </w:r>
      <w:r w:rsidR="00752828">
        <w:rPr>
          <w:rFonts w:eastAsia="Calibri" w:cs="Times New Roman"/>
          <w:szCs w:val="26"/>
        </w:rPr>
        <w:t>Point</w:t>
      </w:r>
      <w:r w:rsidR="0051059D">
        <w:rPr>
          <w:rFonts w:eastAsia="Calibri" w:cs="Times New Roman"/>
          <w:szCs w:val="26"/>
        </w:rPr>
        <w:t> </w:t>
      </w:r>
      <w:r w:rsidRPr="00E22A43" w:rsidR="00702B58">
        <w:rPr>
          <w:rFonts w:eastAsia="Calibri" w:cs="Times New Roman"/>
          <w:szCs w:val="26"/>
        </w:rPr>
        <w:t xml:space="preserve">9); and weight (Data </w:t>
      </w:r>
      <w:r w:rsidR="00752828">
        <w:rPr>
          <w:rFonts w:eastAsia="Calibri" w:cs="Times New Roman"/>
          <w:szCs w:val="26"/>
        </w:rPr>
        <w:t>Point</w:t>
      </w:r>
      <w:r w:rsidR="0051059D">
        <w:rPr>
          <w:rFonts w:eastAsia="Calibri" w:cs="Times New Roman"/>
          <w:szCs w:val="26"/>
        </w:rPr>
        <w:t> </w:t>
      </w:r>
      <w:r w:rsidRPr="00E22A43" w:rsidR="00702B58">
        <w:rPr>
          <w:rFonts w:eastAsia="Calibri" w:cs="Times New Roman"/>
          <w:szCs w:val="26"/>
        </w:rPr>
        <w:t xml:space="preserve">10). </w:t>
      </w:r>
      <w:r w:rsidR="00E961C0">
        <w:rPr>
          <w:rFonts w:eastAsia="Calibri" w:cs="Times New Roman"/>
          <w:szCs w:val="26"/>
        </w:rPr>
        <w:t>It a</w:t>
      </w:r>
      <w:r w:rsidRPr="00E22A43" w:rsidR="00702B58">
        <w:rPr>
          <w:rFonts w:eastAsia="Calibri" w:cs="Times New Roman"/>
          <w:szCs w:val="26"/>
        </w:rPr>
        <w:t>rgues these data points could reveal a service provider</w:t>
      </w:r>
      <w:r w:rsidR="00410529">
        <w:rPr>
          <w:rFonts w:eastAsia="Calibri" w:cs="Times New Roman"/>
          <w:szCs w:val="26"/>
        </w:rPr>
        <w:t>’</w:t>
      </w:r>
      <w:r w:rsidRPr="00E22A43" w:rsidR="00702B58">
        <w:rPr>
          <w:rFonts w:eastAsia="Calibri" w:cs="Times New Roman"/>
          <w:szCs w:val="26"/>
        </w:rPr>
        <w:t>s service area, which might cause anti</w:t>
      </w:r>
      <w:r w:rsidR="00E4753D">
        <w:rPr>
          <w:rFonts w:eastAsia="Calibri" w:cs="Times New Roman"/>
          <w:szCs w:val="26"/>
        </w:rPr>
        <w:noBreakHyphen/>
      </w:r>
      <w:r w:rsidRPr="00E22A43" w:rsidR="00702B58">
        <w:rPr>
          <w:rFonts w:eastAsia="Calibri" w:cs="Times New Roman"/>
          <w:szCs w:val="26"/>
        </w:rPr>
        <w:t>competitive practices that harm consumers</w:t>
      </w:r>
      <w:r>
        <w:rPr>
          <w:rFonts w:eastAsia="Calibri" w:cs="Times New Roman"/>
          <w:szCs w:val="26"/>
        </w:rPr>
        <w:t>.</w:t>
      </w:r>
      <w:r w:rsidRPr="00E22A43" w:rsidR="00702B58">
        <w:rPr>
          <w:rFonts w:eastAsia="Calibri" w:cs="Times New Roman"/>
          <w:szCs w:val="26"/>
        </w:rPr>
        <w:t xml:space="preserve"> </w:t>
      </w:r>
      <w:r>
        <w:rPr>
          <w:rFonts w:eastAsia="Calibri" w:cs="Times New Roman"/>
          <w:szCs w:val="26"/>
        </w:rPr>
        <w:t>T</w:t>
      </w:r>
      <w:r w:rsidRPr="00E22A43" w:rsidR="00702B58">
        <w:rPr>
          <w:rFonts w:eastAsia="Calibri" w:cs="Times New Roman"/>
          <w:szCs w:val="26"/>
        </w:rPr>
        <w:t>herefore</w:t>
      </w:r>
      <w:r>
        <w:rPr>
          <w:rFonts w:eastAsia="Calibri" w:cs="Times New Roman"/>
          <w:szCs w:val="26"/>
        </w:rPr>
        <w:t>, AT&amp;T claims</w:t>
      </w:r>
      <w:r w:rsidRPr="00E22A43" w:rsidR="00702B58">
        <w:rPr>
          <w:rFonts w:eastAsia="Calibri" w:cs="Times New Roman"/>
          <w:szCs w:val="26"/>
        </w:rPr>
        <w:t xml:space="preserve"> they should be considered trade secrets and protected as confidential under </w:t>
      </w:r>
      <w:r w:rsidR="005B40C8">
        <w:rPr>
          <w:rFonts w:eastAsia="Calibri" w:cs="Times New Roman"/>
          <w:szCs w:val="26"/>
        </w:rPr>
        <w:t>GO</w:t>
      </w:r>
      <w:r w:rsidR="0051059D">
        <w:rPr>
          <w:rFonts w:eastAsia="Calibri" w:cs="Times New Roman"/>
          <w:szCs w:val="26"/>
        </w:rPr>
        <w:t> </w:t>
      </w:r>
      <w:r w:rsidRPr="00E22A43" w:rsidR="00702B58">
        <w:rPr>
          <w:rFonts w:eastAsia="Calibri" w:cs="Times New Roman"/>
          <w:szCs w:val="26"/>
        </w:rPr>
        <w:t>66</w:t>
      </w:r>
      <w:r w:rsidR="00E4753D">
        <w:rPr>
          <w:rFonts w:eastAsia="Calibri" w:cs="Times New Roman"/>
          <w:szCs w:val="26"/>
        </w:rPr>
        <w:noBreakHyphen/>
      </w:r>
      <w:r w:rsidRPr="00E22A43" w:rsidR="00702B58">
        <w:rPr>
          <w:rFonts w:eastAsia="Calibri" w:cs="Times New Roman"/>
          <w:szCs w:val="26"/>
        </w:rPr>
        <w:t>D.</w:t>
      </w:r>
      <w:r w:rsidRPr="00E22A43" w:rsidR="00702B58">
        <w:rPr>
          <w:rFonts w:eastAsia="Calibri" w:cs="Times New Roman"/>
          <w:szCs w:val="26"/>
          <w:vertAlign w:val="superscript"/>
        </w:rPr>
        <w:footnoteReference w:id="26"/>
      </w:r>
    </w:p>
    <w:p w:rsidR="00304448" w:rsidP="00ED36CC" w:rsidRDefault="00995C9D" w14:paraId="30D15157" w14:textId="49780F42">
      <w:pPr>
        <w:pStyle w:val="Standard"/>
      </w:pPr>
      <w:r>
        <w:rPr>
          <w:rFonts w:eastAsia="Calibri" w:cs="Times New Roman"/>
          <w:szCs w:val="26"/>
        </w:rPr>
        <w:t>California Broadband and Video Association s</w:t>
      </w:r>
      <w:r w:rsidRPr="00E22A43" w:rsidR="00702B58">
        <w:rPr>
          <w:rFonts w:eastAsia="Calibri" w:cs="Times New Roman"/>
          <w:szCs w:val="26"/>
        </w:rPr>
        <w:t xml:space="preserve">uggests redacting, at </w:t>
      </w:r>
      <w:r w:rsidR="00B22C2B">
        <w:rPr>
          <w:rFonts w:eastAsia="Calibri" w:cs="Times New Roman"/>
          <w:szCs w:val="26"/>
        </w:rPr>
        <w:t xml:space="preserve">a </w:t>
      </w:r>
      <w:r w:rsidRPr="00E22A43" w:rsidR="00702B58">
        <w:rPr>
          <w:rFonts w:eastAsia="Calibri" w:cs="Times New Roman"/>
          <w:szCs w:val="26"/>
        </w:rPr>
        <w:t>minimum, the attaching company</w:t>
      </w:r>
      <w:r w:rsidR="00410529">
        <w:rPr>
          <w:rFonts w:eastAsia="Calibri" w:cs="Times New Roman"/>
          <w:szCs w:val="26"/>
        </w:rPr>
        <w:t>’</w:t>
      </w:r>
      <w:r w:rsidRPr="00E22A43" w:rsidR="00702B58">
        <w:rPr>
          <w:rFonts w:eastAsia="Calibri" w:cs="Times New Roman"/>
          <w:szCs w:val="26"/>
        </w:rPr>
        <w:t>s name</w:t>
      </w:r>
      <w:r w:rsidR="004D0AFC">
        <w:rPr>
          <w:rFonts w:eastAsia="Calibri" w:cs="Times New Roman"/>
          <w:szCs w:val="26"/>
        </w:rPr>
        <w:t xml:space="preserve">, </w:t>
      </w:r>
      <w:r w:rsidR="004B72AE">
        <w:rPr>
          <w:rFonts w:eastAsia="Calibri" w:cs="Times New Roman"/>
          <w:szCs w:val="26"/>
        </w:rPr>
        <w:t>to be</w:t>
      </w:r>
      <w:r w:rsidRPr="00E22A43" w:rsidR="00702B58">
        <w:rPr>
          <w:rFonts w:eastAsia="Calibri" w:cs="Times New Roman"/>
          <w:szCs w:val="26"/>
        </w:rPr>
        <w:t xml:space="preserve"> consistent with </w:t>
      </w:r>
      <w:r>
        <w:rPr>
          <w:rFonts w:eastAsia="Calibri" w:cs="Times New Roman"/>
          <w:szCs w:val="26"/>
        </w:rPr>
        <w:t>the California</w:t>
      </w:r>
      <w:r w:rsidRPr="00E22A43" w:rsidR="00702B58">
        <w:rPr>
          <w:rFonts w:eastAsia="Calibri" w:cs="Times New Roman"/>
          <w:szCs w:val="26"/>
        </w:rPr>
        <w:t xml:space="preserve"> Public Records Act and Cal</w:t>
      </w:r>
      <w:r w:rsidR="003D2079">
        <w:rPr>
          <w:rFonts w:eastAsia="Calibri" w:cs="Times New Roman"/>
          <w:szCs w:val="26"/>
        </w:rPr>
        <w:t>ifornia</w:t>
      </w:r>
      <w:r w:rsidRPr="00E22A43" w:rsidR="00702B58">
        <w:rPr>
          <w:rFonts w:eastAsia="Calibri" w:cs="Times New Roman"/>
          <w:szCs w:val="26"/>
        </w:rPr>
        <w:t xml:space="preserve"> Gov</w:t>
      </w:r>
      <w:r w:rsidR="003D2079">
        <w:rPr>
          <w:rFonts w:eastAsia="Calibri" w:cs="Times New Roman"/>
          <w:szCs w:val="26"/>
        </w:rPr>
        <w:t>ernment</w:t>
      </w:r>
      <w:r w:rsidRPr="00E22A43" w:rsidR="00702B58">
        <w:rPr>
          <w:rFonts w:eastAsia="Calibri" w:cs="Times New Roman"/>
          <w:szCs w:val="26"/>
        </w:rPr>
        <w:t xml:space="preserve"> Code </w:t>
      </w:r>
      <w:r w:rsidR="00B64DFB">
        <w:rPr>
          <w:rFonts w:eastAsia="Calibri" w:cs="Times New Roman"/>
          <w:szCs w:val="26"/>
        </w:rPr>
        <w:t>Section</w:t>
      </w:r>
      <w:r w:rsidR="0051059D">
        <w:rPr>
          <w:rFonts w:eastAsia="Calibri" w:cs="Times New Roman"/>
          <w:szCs w:val="26"/>
        </w:rPr>
        <w:t> </w:t>
      </w:r>
      <w:r w:rsidRPr="00E22A43" w:rsidR="00702B58">
        <w:rPr>
          <w:rFonts w:eastAsia="Calibri" w:cs="Times New Roman"/>
          <w:szCs w:val="26"/>
        </w:rPr>
        <w:t>7923.600(a).</w:t>
      </w:r>
      <w:r w:rsidRPr="00E22A43" w:rsidR="00702B58">
        <w:rPr>
          <w:rFonts w:eastAsia="Calibri" w:cs="Times New Roman"/>
          <w:szCs w:val="26"/>
          <w:vertAlign w:val="superscript"/>
        </w:rPr>
        <w:footnoteReference w:id="27"/>
      </w:r>
    </w:p>
    <w:p w:rsidRPr="00E22A43" w:rsidR="00702B58" w:rsidP="00ED36CC" w:rsidRDefault="00F5036C" w14:paraId="5C414A3D" w14:textId="17177F39">
      <w:pPr>
        <w:pStyle w:val="Standard"/>
      </w:pPr>
      <w:proofErr w:type="spellStart"/>
      <w:r>
        <w:rPr>
          <w:rFonts w:eastAsia="Calibri" w:cs="Times New Roman"/>
          <w:szCs w:val="26"/>
        </w:rPr>
        <w:t>Extenet</w:t>
      </w:r>
      <w:proofErr w:type="spellEnd"/>
      <w:r>
        <w:rPr>
          <w:rFonts w:eastAsia="Calibri" w:cs="Times New Roman"/>
          <w:szCs w:val="26"/>
        </w:rPr>
        <w:t xml:space="preserve"> Systems r</w:t>
      </w:r>
      <w:r w:rsidRPr="00E22A43" w:rsidR="00702B58">
        <w:rPr>
          <w:rFonts w:eastAsia="Calibri" w:cs="Times New Roman"/>
          <w:szCs w:val="26"/>
        </w:rPr>
        <w:t xml:space="preserve">ecommends that claims of unauthorized attachments be reviewed for accuracy </w:t>
      </w:r>
      <w:r w:rsidR="00AF73AC">
        <w:rPr>
          <w:rFonts w:eastAsia="Calibri" w:cs="Times New Roman"/>
          <w:szCs w:val="26"/>
        </w:rPr>
        <w:t>before</w:t>
      </w:r>
      <w:r w:rsidRPr="00E22A43" w:rsidR="00702B58">
        <w:rPr>
          <w:rFonts w:eastAsia="Calibri" w:cs="Times New Roman"/>
          <w:szCs w:val="26"/>
        </w:rPr>
        <w:t xml:space="preserve"> public posting</w:t>
      </w:r>
      <w:r w:rsidR="002F1890">
        <w:rPr>
          <w:rFonts w:eastAsia="Calibri" w:cs="Times New Roman"/>
          <w:szCs w:val="26"/>
        </w:rPr>
        <w:t>, suggesting that</w:t>
      </w:r>
      <w:r w:rsidRPr="00E22A43" w:rsidR="00702B58">
        <w:rPr>
          <w:rFonts w:eastAsia="Calibri" w:cs="Times New Roman"/>
          <w:szCs w:val="26"/>
        </w:rPr>
        <w:t xml:space="preserve"> the pole owner provides notice to the attacher, then the attacher </w:t>
      </w:r>
      <w:r w:rsidR="002F1890">
        <w:rPr>
          <w:rFonts w:eastAsia="Calibri" w:cs="Times New Roman"/>
          <w:szCs w:val="26"/>
        </w:rPr>
        <w:t>has</w:t>
      </w:r>
      <w:r w:rsidRPr="00E22A43" w:rsidR="00702B58">
        <w:rPr>
          <w:rFonts w:eastAsia="Calibri" w:cs="Times New Roman"/>
          <w:szCs w:val="26"/>
        </w:rPr>
        <w:t xml:space="preserve"> an opportunity to respond, </w:t>
      </w:r>
      <w:r w:rsidR="000466A3">
        <w:rPr>
          <w:rFonts w:eastAsia="Calibri" w:cs="Times New Roman"/>
          <w:szCs w:val="26"/>
        </w:rPr>
        <w:t xml:space="preserve">and </w:t>
      </w:r>
      <w:r w:rsidRPr="00E22A43" w:rsidR="00702B58">
        <w:rPr>
          <w:rFonts w:eastAsia="Calibri" w:cs="Times New Roman"/>
          <w:szCs w:val="26"/>
        </w:rPr>
        <w:t xml:space="preserve">then CPUC staff </w:t>
      </w:r>
      <w:r w:rsidR="000466A3">
        <w:rPr>
          <w:rFonts w:eastAsia="Calibri" w:cs="Times New Roman"/>
          <w:szCs w:val="26"/>
        </w:rPr>
        <w:t>determines</w:t>
      </w:r>
      <w:r w:rsidRPr="00E22A43" w:rsidR="00702B58">
        <w:rPr>
          <w:rFonts w:eastAsia="Calibri" w:cs="Times New Roman"/>
          <w:szCs w:val="26"/>
        </w:rPr>
        <w:t xml:space="preserve"> if the attachment was unauthorized. </w:t>
      </w:r>
      <w:proofErr w:type="spellStart"/>
      <w:r w:rsidR="009A7ECF">
        <w:rPr>
          <w:rFonts w:eastAsia="Calibri" w:cs="Times New Roman"/>
          <w:szCs w:val="26"/>
        </w:rPr>
        <w:t>Extenet</w:t>
      </w:r>
      <w:proofErr w:type="spellEnd"/>
      <w:r w:rsidR="009A7ECF">
        <w:rPr>
          <w:rFonts w:eastAsia="Calibri" w:cs="Times New Roman"/>
          <w:szCs w:val="26"/>
        </w:rPr>
        <w:t xml:space="preserve"> </w:t>
      </w:r>
      <w:r w:rsidR="009A7ECF">
        <w:rPr>
          <w:rFonts w:eastAsia="Calibri" w:cs="Times New Roman"/>
          <w:szCs w:val="26"/>
        </w:rPr>
        <w:lastRenderedPageBreak/>
        <w:t>c</w:t>
      </w:r>
      <w:r w:rsidRPr="00E22A43" w:rsidR="00702B58">
        <w:rPr>
          <w:rFonts w:eastAsia="Calibri" w:cs="Times New Roman"/>
          <w:szCs w:val="26"/>
        </w:rPr>
        <w:t xml:space="preserve">laims </w:t>
      </w:r>
      <w:r w:rsidR="009D1017">
        <w:rPr>
          <w:rFonts w:eastAsia="Calibri" w:cs="Times New Roman"/>
          <w:szCs w:val="26"/>
        </w:rPr>
        <w:t xml:space="preserve">there are </w:t>
      </w:r>
      <w:r w:rsidRPr="00E22A43" w:rsidR="00702B58">
        <w:rPr>
          <w:rFonts w:eastAsia="Calibri" w:cs="Times New Roman"/>
          <w:szCs w:val="26"/>
        </w:rPr>
        <w:t xml:space="preserve">numerous instances of pole owners incorrectly asserting that an attachment is unauthorized. </w:t>
      </w:r>
      <w:r w:rsidR="009D1017">
        <w:rPr>
          <w:rFonts w:eastAsia="Calibri" w:cs="Times New Roman"/>
          <w:szCs w:val="26"/>
        </w:rPr>
        <w:t xml:space="preserve">Finally, </w:t>
      </w:r>
      <w:proofErr w:type="spellStart"/>
      <w:r w:rsidR="009D1017">
        <w:rPr>
          <w:rFonts w:eastAsia="Calibri" w:cs="Times New Roman"/>
          <w:szCs w:val="26"/>
        </w:rPr>
        <w:t>Extenet</w:t>
      </w:r>
      <w:proofErr w:type="spellEnd"/>
      <w:r w:rsidR="009D1017">
        <w:rPr>
          <w:rFonts w:eastAsia="Calibri" w:cs="Times New Roman"/>
          <w:szCs w:val="26"/>
        </w:rPr>
        <w:t xml:space="preserve"> s</w:t>
      </w:r>
      <w:r w:rsidRPr="00E22A43" w:rsidR="00702B58">
        <w:rPr>
          <w:rFonts w:eastAsia="Calibri" w:cs="Times New Roman"/>
          <w:szCs w:val="26"/>
        </w:rPr>
        <w:t>uggests limiting public info</w:t>
      </w:r>
      <w:r w:rsidR="009D1017">
        <w:rPr>
          <w:rFonts w:eastAsia="Calibri" w:cs="Times New Roman"/>
          <w:szCs w:val="26"/>
        </w:rPr>
        <w:t>rmation</w:t>
      </w:r>
      <w:r w:rsidRPr="00E22A43" w:rsidR="00702B58">
        <w:rPr>
          <w:rFonts w:eastAsia="Calibri" w:cs="Times New Roman"/>
          <w:szCs w:val="26"/>
        </w:rPr>
        <w:t xml:space="preserve"> to only the location of the pole.</w:t>
      </w:r>
      <w:r w:rsidRPr="00E22A43" w:rsidR="00702B58">
        <w:rPr>
          <w:rFonts w:eastAsia="Calibri" w:cs="Times New Roman"/>
          <w:szCs w:val="26"/>
          <w:vertAlign w:val="superscript"/>
        </w:rPr>
        <w:footnoteReference w:id="28"/>
      </w:r>
    </w:p>
    <w:p w:rsidRPr="00E22A43" w:rsidR="00702B58" w:rsidP="00ED36CC" w:rsidRDefault="009D1017" w14:paraId="4FC9EBD6" w14:textId="21C5D925">
      <w:pPr>
        <w:pStyle w:val="Standard"/>
      </w:pPr>
      <w:r>
        <w:rPr>
          <w:rFonts w:eastAsia="Calibri" w:cs="Times New Roman"/>
          <w:szCs w:val="26"/>
        </w:rPr>
        <w:t>PG&amp;E s</w:t>
      </w:r>
      <w:r w:rsidRPr="00E22A43" w:rsidR="00702B58">
        <w:rPr>
          <w:rFonts w:eastAsia="Calibri" w:cs="Times New Roman"/>
          <w:szCs w:val="26"/>
        </w:rPr>
        <w:t>uggests there are no confidentiality concerns with the proposal.</w:t>
      </w:r>
      <w:r w:rsidRPr="00E22A43" w:rsidR="00702B58">
        <w:rPr>
          <w:rFonts w:eastAsia="Calibri" w:cs="Times New Roman"/>
          <w:szCs w:val="26"/>
          <w:vertAlign w:val="superscript"/>
        </w:rPr>
        <w:footnoteReference w:id="29"/>
      </w:r>
    </w:p>
    <w:p w:rsidRPr="00E22A43" w:rsidR="00702B58" w:rsidP="00ED36CC" w:rsidRDefault="009D1017" w14:paraId="10695D3E" w14:textId="3DD20993">
      <w:pPr>
        <w:pStyle w:val="Standard"/>
      </w:pPr>
      <w:r>
        <w:rPr>
          <w:rFonts w:eastAsia="Calibri" w:cs="Times New Roman"/>
          <w:szCs w:val="26"/>
        </w:rPr>
        <w:t>Race</w:t>
      </w:r>
      <w:r w:rsidR="003D2207">
        <w:rPr>
          <w:rFonts w:eastAsia="Calibri" w:cs="Times New Roman"/>
          <w:szCs w:val="26"/>
        </w:rPr>
        <w:t xml:space="preserve"> Communications, LLC (Race)</w:t>
      </w:r>
      <w:r>
        <w:rPr>
          <w:rFonts w:eastAsia="Calibri" w:cs="Times New Roman"/>
          <w:szCs w:val="26"/>
        </w:rPr>
        <w:t xml:space="preserve"> o</w:t>
      </w:r>
      <w:r w:rsidRPr="00E22A43" w:rsidR="00702B58">
        <w:rPr>
          <w:rFonts w:eastAsia="Calibri" w:cs="Times New Roman"/>
          <w:szCs w:val="26"/>
        </w:rPr>
        <w:t xml:space="preserve">bjects to the posting of reports to the web due to concerns regarding unsubstantiated allegations. </w:t>
      </w:r>
      <w:r>
        <w:rPr>
          <w:rFonts w:eastAsia="Calibri" w:cs="Times New Roman"/>
          <w:szCs w:val="26"/>
        </w:rPr>
        <w:t>Ra</w:t>
      </w:r>
      <w:r w:rsidR="00FE7FC3">
        <w:rPr>
          <w:rFonts w:eastAsia="Calibri" w:cs="Times New Roman"/>
          <w:szCs w:val="26"/>
        </w:rPr>
        <w:t>c</w:t>
      </w:r>
      <w:r>
        <w:rPr>
          <w:rFonts w:eastAsia="Calibri" w:cs="Times New Roman"/>
          <w:szCs w:val="26"/>
        </w:rPr>
        <w:t>e asserts</w:t>
      </w:r>
      <w:r w:rsidRPr="00E22A43" w:rsidR="00702B58">
        <w:rPr>
          <w:rFonts w:eastAsia="Calibri" w:cs="Times New Roman"/>
          <w:szCs w:val="26"/>
        </w:rPr>
        <w:t xml:space="preserve"> that attachers should have a chance to reply/object to disputed information. </w:t>
      </w:r>
      <w:r>
        <w:rPr>
          <w:rFonts w:eastAsia="Calibri" w:cs="Times New Roman"/>
          <w:szCs w:val="26"/>
        </w:rPr>
        <w:t>Race argues that</w:t>
      </w:r>
      <w:r w:rsidRPr="00E22A43" w:rsidR="00702B58">
        <w:rPr>
          <w:rFonts w:eastAsia="Calibri" w:cs="Times New Roman"/>
          <w:szCs w:val="26"/>
        </w:rPr>
        <w:t xml:space="preserve"> the reports should not require any data that can reveal the location of facilities</w:t>
      </w:r>
      <w:r w:rsidR="00303094">
        <w:rPr>
          <w:rFonts w:eastAsia="Calibri" w:cs="Times New Roman"/>
          <w:szCs w:val="26"/>
        </w:rPr>
        <w:t xml:space="preserve"> and r</w:t>
      </w:r>
      <w:r w:rsidRPr="00E22A43" w:rsidR="00702B58">
        <w:rPr>
          <w:rFonts w:eastAsia="Calibri" w:cs="Times New Roman"/>
          <w:szCs w:val="26"/>
        </w:rPr>
        <w:t xml:space="preserve">ecommends that reports be submitted to the </w:t>
      </w:r>
      <w:r w:rsidR="004B72AE">
        <w:rPr>
          <w:rFonts w:eastAsia="Calibri" w:cs="Times New Roman"/>
          <w:szCs w:val="26"/>
        </w:rPr>
        <w:t xml:space="preserve">Commission’s </w:t>
      </w:r>
      <w:r w:rsidRPr="00E22A43" w:rsidR="00702B58">
        <w:rPr>
          <w:rFonts w:eastAsia="Calibri" w:cs="Times New Roman"/>
          <w:szCs w:val="26"/>
        </w:rPr>
        <w:t>Communications Division with GO</w:t>
      </w:r>
      <w:r w:rsidR="0051059D">
        <w:rPr>
          <w:rFonts w:eastAsia="Calibri" w:cs="Times New Roman"/>
          <w:szCs w:val="26"/>
        </w:rPr>
        <w:t> </w:t>
      </w:r>
      <w:r w:rsidRPr="00E22A43" w:rsidR="00702B58">
        <w:rPr>
          <w:rFonts w:eastAsia="Calibri" w:cs="Times New Roman"/>
          <w:szCs w:val="26"/>
        </w:rPr>
        <w:t>66</w:t>
      </w:r>
      <w:r w:rsidR="00E4753D">
        <w:rPr>
          <w:rFonts w:eastAsia="Calibri" w:cs="Times New Roman"/>
          <w:szCs w:val="26"/>
        </w:rPr>
        <w:noBreakHyphen/>
      </w:r>
      <w:r w:rsidRPr="00E22A43" w:rsidR="00702B58">
        <w:rPr>
          <w:rFonts w:eastAsia="Calibri" w:cs="Times New Roman"/>
          <w:szCs w:val="26"/>
        </w:rPr>
        <w:t>D protection.</w:t>
      </w:r>
      <w:r w:rsidRPr="00E22A43" w:rsidR="00702B58">
        <w:rPr>
          <w:rFonts w:eastAsia="Calibri" w:cs="Times New Roman"/>
          <w:szCs w:val="26"/>
          <w:vertAlign w:val="superscript"/>
        </w:rPr>
        <w:footnoteReference w:id="30"/>
      </w:r>
    </w:p>
    <w:p w:rsidRPr="00E22A43" w:rsidR="00702B58" w:rsidP="00ED36CC" w:rsidRDefault="009879A7" w14:paraId="352AC799" w14:textId="3DC74322">
      <w:pPr>
        <w:pStyle w:val="Standard"/>
      </w:pPr>
      <w:r>
        <w:rPr>
          <w:rFonts w:eastAsia="Calibri" w:cs="Times New Roman"/>
          <w:szCs w:val="26"/>
        </w:rPr>
        <w:t>SCE</w:t>
      </w:r>
      <w:r w:rsidR="00C7201F">
        <w:rPr>
          <w:rFonts w:eastAsia="Calibri" w:cs="Times New Roman"/>
          <w:szCs w:val="26"/>
        </w:rPr>
        <w:t xml:space="preserve"> su</w:t>
      </w:r>
      <w:r w:rsidRPr="00E22A43" w:rsidR="00702B58">
        <w:rPr>
          <w:rFonts w:eastAsia="Calibri" w:cs="Times New Roman"/>
          <w:szCs w:val="26"/>
        </w:rPr>
        <w:t xml:space="preserve">ggests the information for the filing is not confidential. </w:t>
      </w:r>
      <w:r w:rsidR="00271089">
        <w:rPr>
          <w:rFonts w:eastAsia="Calibri" w:cs="Times New Roman"/>
          <w:szCs w:val="26"/>
        </w:rPr>
        <w:t>SCE r</w:t>
      </w:r>
      <w:r w:rsidRPr="00E22A43" w:rsidR="00702B58">
        <w:rPr>
          <w:rFonts w:eastAsia="Calibri" w:cs="Times New Roman"/>
          <w:szCs w:val="26"/>
        </w:rPr>
        <w:t xml:space="preserve">equests that </w:t>
      </w:r>
      <w:r w:rsidR="00B64DFB">
        <w:rPr>
          <w:rFonts w:eastAsia="Calibri" w:cs="Times New Roman"/>
          <w:szCs w:val="26"/>
        </w:rPr>
        <w:t>Section</w:t>
      </w:r>
      <w:r w:rsidR="0051059D">
        <w:rPr>
          <w:rFonts w:eastAsia="Calibri" w:cs="Times New Roman"/>
          <w:szCs w:val="26"/>
        </w:rPr>
        <w:t> </w:t>
      </w:r>
      <w:r w:rsidRPr="00E22A43" w:rsidR="00702B58">
        <w:rPr>
          <w:rFonts w:eastAsia="Calibri" w:cs="Times New Roman"/>
          <w:szCs w:val="26"/>
        </w:rPr>
        <w:t>VI.D.6.d (Description of Attachments) not be included</w:t>
      </w:r>
      <w:r w:rsidR="00CC1624">
        <w:rPr>
          <w:rFonts w:eastAsia="Calibri" w:cs="Times New Roman"/>
          <w:szCs w:val="26"/>
        </w:rPr>
        <w:t xml:space="preserve"> because it does not believe the information</w:t>
      </w:r>
      <w:r w:rsidRPr="00E22A43" w:rsidR="00702B58">
        <w:rPr>
          <w:rFonts w:eastAsia="Calibri" w:cs="Times New Roman"/>
          <w:szCs w:val="26"/>
        </w:rPr>
        <w:t xml:space="preserve"> is helpful for evaluating deterrence and burdens pole owners. </w:t>
      </w:r>
      <w:r w:rsidR="00CC1624">
        <w:rPr>
          <w:rFonts w:eastAsia="Calibri" w:cs="Times New Roman"/>
          <w:szCs w:val="26"/>
        </w:rPr>
        <w:t>SCE a</w:t>
      </w:r>
      <w:r w:rsidRPr="00E22A43" w:rsidR="00702B58">
        <w:rPr>
          <w:rFonts w:eastAsia="Calibri" w:cs="Times New Roman"/>
          <w:szCs w:val="26"/>
        </w:rPr>
        <w:t xml:space="preserve">lso requests that </w:t>
      </w:r>
      <w:r w:rsidR="00410529">
        <w:rPr>
          <w:rFonts w:eastAsia="Calibri" w:cs="Times New Roman"/>
          <w:szCs w:val="26"/>
        </w:rPr>
        <w:t>“</w:t>
      </w:r>
      <w:r w:rsidRPr="00E22A43" w:rsidR="00702B58">
        <w:rPr>
          <w:rFonts w:eastAsia="Calibri" w:cs="Times New Roman"/>
          <w:szCs w:val="26"/>
        </w:rPr>
        <w:t xml:space="preserve">the date the attachment was </w:t>
      </w:r>
      <w:r w:rsidRPr="00E22A43" w:rsidR="00702B58">
        <w:rPr>
          <w:rFonts w:eastAsia="Calibri" w:cs="Times New Roman"/>
          <w:szCs w:val="26"/>
        </w:rPr>
        <w:lastRenderedPageBreak/>
        <w:t>identified as unauthorized</w:t>
      </w:r>
      <w:r w:rsidR="00410529">
        <w:rPr>
          <w:rFonts w:eastAsia="Calibri" w:cs="Times New Roman"/>
          <w:szCs w:val="26"/>
        </w:rPr>
        <w:t>”</w:t>
      </w:r>
      <w:r w:rsidRPr="00E22A43" w:rsidR="00702B58">
        <w:rPr>
          <w:rFonts w:eastAsia="Calibri" w:cs="Times New Roman"/>
          <w:szCs w:val="26"/>
        </w:rPr>
        <w:t xml:space="preserve"> be reported on a monthly aggregated basis for </w:t>
      </w:r>
      <w:r w:rsidR="00B64DFB">
        <w:rPr>
          <w:rFonts w:eastAsia="Calibri" w:cs="Times New Roman"/>
          <w:szCs w:val="26"/>
        </w:rPr>
        <w:t>Section</w:t>
      </w:r>
      <w:r w:rsidR="0051059D">
        <w:rPr>
          <w:rFonts w:eastAsia="Calibri" w:cs="Times New Roman"/>
          <w:szCs w:val="26"/>
        </w:rPr>
        <w:t> </w:t>
      </w:r>
      <w:r w:rsidRPr="00E22A43" w:rsidR="00702B58">
        <w:rPr>
          <w:rFonts w:eastAsia="Calibri" w:cs="Times New Roman"/>
          <w:szCs w:val="26"/>
        </w:rPr>
        <w:t>VI.D.6.b.</w:t>
      </w:r>
      <w:r w:rsidRPr="00E22A43" w:rsidR="00702B58">
        <w:rPr>
          <w:rFonts w:eastAsia="Calibri" w:cs="Times New Roman"/>
          <w:szCs w:val="26"/>
          <w:vertAlign w:val="superscript"/>
        </w:rPr>
        <w:footnoteReference w:id="31"/>
      </w:r>
      <w:r w:rsidRPr="00E22A43" w:rsidR="00702B58">
        <w:rPr>
          <w:rFonts w:eastAsia="Calibri" w:cs="Times New Roman"/>
          <w:szCs w:val="26"/>
        </w:rPr>
        <w:t xml:space="preserve"> </w:t>
      </w:r>
      <w:r w:rsidR="001470EC">
        <w:rPr>
          <w:rFonts w:eastAsia="Calibri" w:cs="Times New Roman"/>
          <w:szCs w:val="26"/>
        </w:rPr>
        <w:t>Finally, SCE o</w:t>
      </w:r>
      <w:r w:rsidRPr="00E22A43" w:rsidR="00702B58">
        <w:rPr>
          <w:rFonts w:eastAsia="Calibri" w:cs="Times New Roman"/>
          <w:szCs w:val="26"/>
        </w:rPr>
        <w:t>pposes posting the reports online.</w:t>
      </w:r>
      <w:r w:rsidRPr="00E22A43" w:rsidR="00702B58">
        <w:rPr>
          <w:rFonts w:eastAsia="Calibri" w:cs="Times New Roman"/>
          <w:szCs w:val="26"/>
          <w:vertAlign w:val="superscript"/>
        </w:rPr>
        <w:footnoteReference w:id="32"/>
      </w:r>
    </w:p>
    <w:p w:rsidRPr="00E22A43" w:rsidR="00702B58" w:rsidP="00ED36CC" w:rsidRDefault="009879A7" w14:paraId="45381BA3" w14:textId="089EC078">
      <w:pPr>
        <w:pStyle w:val="Standard"/>
      </w:pPr>
      <w:r>
        <w:rPr>
          <w:rFonts w:eastAsia="Calibri" w:cs="Times New Roman"/>
          <w:szCs w:val="26"/>
        </w:rPr>
        <w:t>SDG&amp;E s</w:t>
      </w:r>
      <w:r w:rsidRPr="00E22A43" w:rsidR="00702B58">
        <w:rPr>
          <w:rFonts w:eastAsia="Calibri" w:cs="Times New Roman"/>
          <w:szCs w:val="26"/>
        </w:rPr>
        <w:t xml:space="preserve">uggests that reporting is not necessary, citing existing license agreements and tracking systems. If reporting is required, SDG&amp;E recommends limiting reporting to only undisputed unauthorized attachments unresolved within 90 days. </w:t>
      </w:r>
      <w:r w:rsidR="00C7201F">
        <w:rPr>
          <w:rFonts w:eastAsia="Calibri" w:cs="Times New Roman"/>
          <w:szCs w:val="26"/>
        </w:rPr>
        <w:t>SDG&amp;E a</w:t>
      </w:r>
      <w:r w:rsidRPr="00E22A43" w:rsidR="00702B58">
        <w:rPr>
          <w:rFonts w:eastAsia="Calibri" w:cs="Times New Roman"/>
          <w:szCs w:val="26"/>
        </w:rPr>
        <w:t>lso recommends restricting public disclosure to high level summaries that exclude individual locations, penalties, and descriptions of specific attachments.</w:t>
      </w:r>
      <w:r w:rsidRPr="00E22A43" w:rsidR="00702B58">
        <w:rPr>
          <w:rFonts w:eastAsia="Calibri" w:cs="Times New Roman"/>
          <w:szCs w:val="26"/>
          <w:vertAlign w:val="superscript"/>
        </w:rPr>
        <w:footnoteReference w:id="33"/>
      </w:r>
    </w:p>
    <w:p w:rsidRPr="00E22A43" w:rsidR="00702B58" w:rsidP="00ED36CC" w:rsidRDefault="00112400" w14:paraId="14891B01" w14:textId="32B346BD">
      <w:pPr>
        <w:pStyle w:val="Standard"/>
      </w:pPr>
      <w:r>
        <w:rPr>
          <w:rFonts w:eastAsia="Calibri" w:cs="Times New Roman"/>
          <w:szCs w:val="26"/>
        </w:rPr>
        <w:t>Sonic d</w:t>
      </w:r>
      <w:r w:rsidRPr="00E22A43" w:rsidR="00702B58">
        <w:rPr>
          <w:rFonts w:eastAsia="Calibri" w:cs="Times New Roman"/>
          <w:szCs w:val="26"/>
        </w:rPr>
        <w:t xml:space="preserve">oes not oppose posting filings to </w:t>
      </w:r>
      <w:r w:rsidR="004B72AE">
        <w:rPr>
          <w:rFonts w:eastAsia="Calibri" w:cs="Times New Roman"/>
          <w:szCs w:val="26"/>
        </w:rPr>
        <w:t xml:space="preserve">the Commission’s </w:t>
      </w:r>
      <w:r w:rsidRPr="00E22A43" w:rsidR="00702B58">
        <w:rPr>
          <w:rFonts w:eastAsia="Calibri" w:cs="Times New Roman"/>
          <w:szCs w:val="26"/>
        </w:rPr>
        <w:t xml:space="preserve">website, so long as information that is confidential is protected. </w:t>
      </w:r>
      <w:r>
        <w:rPr>
          <w:rFonts w:eastAsia="Calibri" w:cs="Times New Roman"/>
          <w:szCs w:val="26"/>
        </w:rPr>
        <w:t>Sonic s</w:t>
      </w:r>
      <w:r w:rsidRPr="00E22A43" w:rsidR="00702B58">
        <w:rPr>
          <w:rFonts w:eastAsia="Calibri" w:cs="Times New Roman"/>
          <w:szCs w:val="26"/>
        </w:rPr>
        <w:t>uggest</w:t>
      </w:r>
      <w:r>
        <w:rPr>
          <w:rFonts w:eastAsia="Calibri" w:cs="Times New Roman"/>
          <w:szCs w:val="26"/>
        </w:rPr>
        <w:t>s that</w:t>
      </w:r>
      <w:r w:rsidRPr="00E22A43" w:rsidR="00702B58">
        <w:rPr>
          <w:rFonts w:eastAsia="Calibri" w:cs="Times New Roman"/>
          <w:szCs w:val="26"/>
        </w:rPr>
        <w:t xml:space="preserve"> the CPUC should conduct a compliance investigation prior to posting to the web, and attachers should be given the opportunity to comment, challenge, and/or correct the info before public release.</w:t>
      </w:r>
      <w:r w:rsidRPr="00E22A43" w:rsidR="00702B58">
        <w:rPr>
          <w:rFonts w:eastAsia="Calibri" w:cs="Times New Roman"/>
          <w:szCs w:val="26"/>
          <w:vertAlign w:val="superscript"/>
        </w:rPr>
        <w:footnoteReference w:id="34"/>
      </w:r>
    </w:p>
    <w:p w:rsidRPr="00E22A43" w:rsidR="00702B58" w:rsidP="00ED36CC" w:rsidRDefault="00112400" w14:paraId="6ADDA038" w14:textId="7AF9CEFE">
      <w:pPr>
        <w:pStyle w:val="Standard"/>
      </w:pPr>
      <w:proofErr w:type="spellStart"/>
      <w:r>
        <w:rPr>
          <w:rFonts w:eastAsia="Calibri" w:cs="Times New Roman"/>
          <w:szCs w:val="26"/>
        </w:rPr>
        <w:t>Surfnet</w:t>
      </w:r>
      <w:proofErr w:type="spellEnd"/>
      <w:r w:rsidR="00C67752">
        <w:rPr>
          <w:rFonts w:eastAsia="Calibri" w:cs="Times New Roman"/>
          <w:szCs w:val="26"/>
        </w:rPr>
        <w:t xml:space="preserve"> Communications, Inc. (</w:t>
      </w:r>
      <w:proofErr w:type="spellStart"/>
      <w:r w:rsidR="00C67752">
        <w:rPr>
          <w:rFonts w:eastAsia="Calibri" w:cs="Times New Roman"/>
          <w:szCs w:val="26"/>
        </w:rPr>
        <w:t>Surfnet</w:t>
      </w:r>
      <w:proofErr w:type="spellEnd"/>
      <w:r w:rsidR="00C67752">
        <w:rPr>
          <w:rFonts w:eastAsia="Calibri" w:cs="Times New Roman"/>
          <w:szCs w:val="26"/>
        </w:rPr>
        <w:t>)</w:t>
      </w:r>
      <w:r>
        <w:rPr>
          <w:rFonts w:eastAsia="Calibri" w:cs="Times New Roman"/>
          <w:szCs w:val="26"/>
        </w:rPr>
        <w:t xml:space="preserve"> o</w:t>
      </w:r>
      <w:r w:rsidRPr="00E22A43" w:rsidR="00702B58">
        <w:rPr>
          <w:rFonts w:eastAsia="Calibri" w:cs="Times New Roman"/>
          <w:szCs w:val="26"/>
        </w:rPr>
        <w:t xml:space="preserve">bjects to the posting of reports to the web, citing disputes with pole owners over whether attachments were authorized via the OTMR rules when utility fails to act on an application within 45 days. </w:t>
      </w:r>
      <w:r>
        <w:rPr>
          <w:rFonts w:eastAsia="Calibri" w:cs="Times New Roman"/>
          <w:szCs w:val="26"/>
        </w:rPr>
        <w:t>It n</w:t>
      </w:r>
      <w:r w:rsidRPr="00E22A43" w:rsidR="00702B58">
        <w:rPr>
          <w:rFonts w:eastAsia="Calibri" w:cs="Times New Roman"/>
          <w:szCs w:val="26"/>
        </w:rPr>
        <w:t xml:space="preserve">otes the lack of opportunity for the attacher to dispute accusations. </w:t>
      </w:r>
      <w:r w:rsidR="009068D1">
        <w:rPr>
          <w:rFonts w:eastAsia="Calibri" w:cs="Times New Roman"/>
          <w:szCs w:val="26"/>
        </w:rPr>
        <w:lastRenderedPageBreak/>
        <w:t xml:space="preserve">Finally, </w:t>
      </w:r>
      <w:proofErr w:type="spellStart"/>
      <w:r w:rsidR="009068D1">
        <w:rPr>
          <w:rFonts w:eastAsia="Calibri" w:cs="Times New Roman"/>
          <w:szCs w:val="26"/>
        </w:rPr>
        <w:t>Surfnet</w:t>
      </w:r>
      <w:proofErr w:type="spellEnd"/>
      <w:r w:rsidR="009068D1">
        <w:rPr>
          <w:rFonts w:eastAsia="Calibri" w:cs="Times New Roman"/>
          <w:szCs w:val="26"/>
        </w:rPr>
        <w:t xml:space="preserve"> r</w:t>
      </w:r>
      <w:r w:rsidRPr="00E22A43" w:rsidR="00702B58">
        <w:rPr>
          <w:rFonts w:eastAsia="Calibri" w:cs="Times New Roman"/>
          <w:szCs w:val="26"/>
        </w:rPr>
        <w:t xml:space="preserve">ecommends that reports </w:t>
      </w:r>
      <w:r w:rsidR="009068D1">
        <w:rPr>
          <w:rFonts w:eastAsia="Calibri" w:cs="Times New Roman"/>
          <w:szCs w:val="26"/>
        </w:rPr>
        <w:t>be</w:t>
      </w:r>
      <w:r w:rsidRPr="00E22A43" w:rsidR="00702B58">
        <w:rPr>
          <w:rFonts w:eastAsia="Calibri" w:cs="Times New Roman"/>
          <w:szCs w:val="26"/>
        </w:rPr>
        <w:t xml:space="preserve"> submitted to the CPUC only, and every two years at most.</w:t>
      </w:r>
      <w:r w:rsidRPr="00E22A43" w:rsidR="00702B58">
        <w:rPr>
          <w:rFonts w:eastAsia="Calibri" w:cs="Times New Roman"/>
          <w:szCs w:val="26"/>
          <w:vertAlign w:val="superscript"/>
        </w:rPr>
        <w:footnoteReference w:id="35"/>
      </w:r>
    </w:p>
    <w:p w:rsidR="00304448" w:rsidP="003379A9" w:rsidRDefault="00380A97" w14:paraId="15C1E995" w14:textId="0F5DDDEE">
      <w:pPr>
        <w:pStyle w:val="Heading4"/>
      </w:pPr>
      <w:r>
        <w:t>Is it reasonable to delegate enforcement of D.21</w:t>
      </w:r>
      <w:r w:rsidR="00E4753D">
        <w:noBreakHyphen/>
      </w:r>
      <w:r>
        <w:t>10</w:t>
      </w:r>
      <w:r w:rsidR="00E4753D">
        <w:noBreakHyphen/>
      </w:r>
      <w:r>
        <w:t>019 to pole owners?</w:t>
      </w:r>
    </w:p>
    <w:p w:rsidRPr="00E22A43" w:rsidR="00D52C93" w:rsidP="00ED36CC" w:rsidRDefault="008E503A" w14:paraId="309D7211" w14:textId="1D127064">
      <w:pPr>
        <w:pStyle w:val="Standard"/>
      </w:pPr>
      <w:r>
        <w:rPr>
          <w:rFonts w:eastAsia="Calibri" w:cs="Times New Roman"/>
          <w:szCs w:val="26"/>
        </w:rPr>
        <w:t>AT&amp;T o</w:t>
      </w:r>
      <w:r w:rsidRPr="00E22A43" w:rsidR="00D52C93">
        <w:rPr>
          <w:rFonts w:eastAsia="Calibri" w:cs="Times New Roman"/>
          <w:szCs w:val="26"/>
        </w:rPr>
        <w:t>pposes</w:t>
      </w:r>
      <w:r>
        <w:rPr>
          <w:rFonts w:eastAsia="Calibri" w:cs="Times New Roman"/>
          <w:szCs w:val="26"/>
        </w:rPr>
        <w:t xml:space="preserve"> the </w:t>
      </w:r>
      <w:r w:rsidRPr="00E22A43" w:rsidR="00D52C93">
        <w:rPr>
          <w:rFonts w:eastAsia="Calibri" w:cs="Times New Roman"/>
          <w:szCs w:val="26"/>
        </w:rPr>
        <w:t>delegation of enforcement</w:t>
      </w:r>
      <w:r w:rsidR="00D74993">
        <w:rPr>
          <w:rFonts w:eastAsia="Calibri" w:cs="Times New Roman"/>
          <w:szCs w:val="26"/>
        </w:rPr>
        <w:t xml:space="preserve"> duties</w:t>
      </w:r>
      <w:r w:rsidRPr="00E22A43" w:rsidR="00D52C93">
        <w:rPr>
          <w:rFonts w:eastAsia="Calibri" w:cs="Times New Roman"/>
          <w:szCs w:val="26"/>
        </w:rPr>
        <w:t xml:space="preserve"> and argues pole owners are neither staff</w:t>
      </w:r>
      <w:r w:rsidR="004B72AE">
        <w:rPr>
          <w:rFonts w:eastAsia="Calibri" w:cs="Times New Roman"/>
          <w:szCs w:val="26"/>
        </w:rPr>
        <w:t>ed</w:t>
      </w:r>
      <w:r w:rsidRPr="00E22A43" w:rsidR="00D52C93">
        <w:rPr>
          <w:rFonts w:eastAsia="Calibri" w:cs="Times New Roman"/>
          <w:szCs w:val="26"/>
        </w:rPr>
        <w:t xml:space="preserve"> nor funded to perform that function.</w:t>
      </w:r>
      <w:r w:rsidRPr="00E22A43" w:rsidR="00D52C93">
        <w:rPr>
          <w:rFonts w:eastAsia="Calibri" w:cs="Times New Roman"/>
          <w:szCs w:val="26"/>
          <w:vertAlign w:val="superscript"/>
        </w:rPr>
        <w:footnoteReference w:id="36"/>
      </w:r>
    </w:p>
    <w:p w:rsidR="00E26F1D" w:rsidP="00ED36CC" w:rsidRDefault="00DE1C3B" w14:paraId="0D5B30C4" w14:textId="0986C420">
      <w:pPr>
        <w:pStyle w:val="Standard"/>
        <w:rPr>
          <w:rFonts w:eastAsia="Calibri" w:cs="Times New Roman"/>
          <w:szCs w:val="26"/>
        </w:rPr>
      </w:pPr>
      <w:r>
        <w:rPr>
          <w:rFonts w:eastAsia="Calibri" w:cs="Times New Roman"/>
          <w:szCs w:val="26"/>
        </w:rPr>
        <w:t>California Broadband and Video Association o</w:t>
      </w:r>
      <w:r w:rsidRPr="00E22A43" w:rsidR="00D52C93">
        <w:rPr>
          <w:rFonts w:eastAsia="Calibri" w:cs="Times New Roman"/>
          <w:szCs w:val="26"/>
        </w:rPr>
        <w:t xml:space="preserve">pposes </w:t>
      </w:r>
      <w:r w:rsidR="00D74993">
        <w:rPr>
          <w:rFonts w:eastAsia="Calibri" w:cs="Times New Roman"/>
          <w:szCs w:val="26"/>
        </w:rPr>
        <w:t xml:space="preserve">the </w:t>
      </w:r>
      <w:r w:rsidRPr="00E22A43" w:rsidR="00D52C93">
        <w:rPr>
          <w:rFonts w:eastAsia="Calibri" w:cs="Times New Roman"/>
          <w:szCs w:val="26"/>
        </w:rPr>
        <w:t>delegation</w:t>
      </w:r>
      <w:r w:rsidR="00D74993">
        <w:rPr>
          <w:rFonts w:eastAsia="Calibri" w:cs="Times New Roman"/>
          <w:szCs w:val="26"/>
        </w:rPr>
        <w:t xml:space="preserve"> of enforcement duties. It</w:t>
      </w:r>
      <w:r w:rsidRPr="00E22A43" w:rsidR="00D52C93">
        <w:rPr>
          <w:rFonts w:eastAsia="Calibri" w:cs="Times New Roman"/>
          <w:szCs w:val="26"/>
        </w:rPr>
        <w:t xml:space="preserve"> claims delegating enforcement is unreasonable and unlawful because it allows major pole owners to profit from fines, violates attachers</w:t>
      </w:r>
      <w:r w:rsidR="00410529">
        <w:rPr>
          <w:rFonts w:eastAsia="Calibri" w:cs="Times New Roman"/>
          <w:szCs w:val="26"/>
        </w:rPr>
        <w:t>’</w:t>
      </w:r>
      <w:r w:rsidRPr="00E22A43" w:rsidR="00D52C93">
        <w:rPr>
          <w:rFonts w:eastAsia="Calibri" w:cs="Times New Roman"/>
          <w:szCs w:val="26"/>
        </w:rPr>
        <w:t xml:space="preserve"> due process rights, is inappropriate for ROW rules, and </w:t>
      </w:r>
      <w:r w:rsidR="00901CFB">
        <w:rPr>
          <w:rFonts w:eastAsia="Calibri" w:cs="Times New Roman"/>
          <w:szCs w:val="26"/>
        </w:rPr>
        <w:t xml:space="preserve">is </w:t>
      </w:r>
      <w:r w:rsidRPr="00E22A43" w:rsidR="00D52C93">
        <w:rPr>
          <w:rFonts w:eastAsia="Calibri" w:cs="Times New Roman"/>
          <w:szCs w:val="26"/>
        </w:rPr>
        <w:t>otherwise unnecessary.</w:t>
      </w:r>
      <w:r w:rsidRPr="00E22A43" w:rsidR="00D52C93">
        <w:rPr>
          <w:rFonts w:eastAsia="Calibri" w:cs="Times New Roman"/>
          <w:szCs w:val="26"/>
          <w:vertAlign w:val="superscript"/>
        </w:rPr>
        <w:footnoteReference w:id="37"/>
      </w:r>
    </w:p>
    <w:p w:rsidRPr="00E22A43" w:rsidR="00D52C93" w:rsidP="00ED36CC" w:rsidRDefault="00901CFB" w14:paraId="2E3BEA84" w14:textId="031A9F3B">
      <w:pPr>
        <w:pStyle w:val="Standard"/>
      </w:pPr>
      <w:r>
        <w:rPr>
          <w:rFonts w:eastAsia="Calibri" w:cs="Times New Roman"/>
          <w:szCs w:val="26"/>
        </w:rPr>
        <w:t>Crown Castle o</w:t>
      </w:r>
      <w:r w:rsidRPr="00E22A43" w:rsidR="00D52C93">
        <w:rPr>
          <w:rFonts w:eastAsia="Calibri" w:cs="Times New Roman"/>
          <w:szCs w:val="26"/>
        </w:rPr>
        <w:t xml:space="preserve">pposes </w:t>
      </w:r>
      <w:r w:rsidR="00470650">
        <w:rPr>
          <w:rFonts w:eastAsia="Calibri" w:cs="Times New Roman"/>
          <w:szCs w:val="26"/>
        </w:rPr>
        <w:t xml:space="preserve">the </w:t>
      </w:r>
      <w:r w:rsidRPr="00E22A43" w:rsidR="00D52C93">
        <w:rPr>
          <w:rFonts w:eastAsia="Calibri" w:cs="Times New Roman"/>
          <w:szCs w:val="26"/>
        </w:rPr>
        <w:t>delegation of enforcement</w:t>
      </w:r>
      <w:r w:rsidR="00470650">
        <w:rPr>
          <w:rFonts w:eastAsia="Calibri" w:cs="Times New Roman"/>
          <w:szCs w:val="26"/>
        </w:rPr>
        <w:t xml:space="preserve"> duties</w:t>
      </w:r>
      <w:r w:rsidRPr="00E22A43" w:rsidR="00D52C93">
        <w:rPr>
          <w:rFonts w:eastAsia="Calibri" w:cs="Times New Roman"/>
          <w:szCs w:val="26"/>
        </w:rPr>
        <w:t xml:space="preserve"> due to lack of statutory authorization, CPUC oversight, and due process. </w:t>
      </w:r>
      <w:r w:rsidR="004B72AE">
        <w:rPr>
          <w:rFonts w:eastAsia="Calibri" w:cs="Times New Roman"/>
          <w:szCs w:val="26"/>
        </w:rPr>
        <w:t>Crown Castle a</w:t>
      </w:r>
      <w:r w:rsidRPr="00E22A43" w:rsidR="00D52C93">
        <w:rPr>
          <w:rFonts w:eastAsia="Calibri" w:cs="Times New Roman"/>
          <w:szCs w:val="26"/>
        </w:rPr>
        <w:t xml:space="preserve">rgues delegation would create </w:t>
      </w:r>
      <w:r w:rsidR="004B72AE">
        <w:rPr>
          <w:rFonts w:eastAsia="Calibri" w:cs="Times New Roman"/>
          <w:szCs w:val="26"/>
        </w:rPr>
        <w:t xml:space="preserve">an </w:t>
      </w:r>
      <w:r w:rsidRPr="00E22A43" w:rsidR="00D52C93">
        <w:rPr>
          <w:rFonts w:eastAsia="Calibri" w:cs="Times New Roman"/>
          <w:szCs w:val="26"/>
        </w:rPr>
        <w:t>inherent conflict of interest</w:t>
      </w:r>
      <w:r w:rsidR="004B72AE">
        <w:rPr>
          <w:rFonts w:eastAsia="Calibri" w:cs="Times New Roman"/>
          <w:szCs w:val="26"/>
        </w:rPr>
        <w:t>, and</w:t>
      </w:r>
      <w:r w:rsidRPr="00E22A43" w:rsidR="00D52C93">
        <w:rPr>
          <w:rFonts w:eastAsia="Calibri" w:cs="Times New Roman"/>
          <w:szCs w:val="26"/>
        </w:rPr>
        <w:t xml:space="preserve"> </w:t>
      </w:r>
      <w:r w:rsidR="004B72AE">
        <w:rPr>
          <w:rFonts w:eastAsia="Calibri" w:cs="Times New Roman"/>
          <w:szCs w:val="26"/>
        </w:rPr>
        <w:t>that</w:t>
      </w:r>
      <w:r w:rsidRPr="00E22A43" w:rsidR="00D52C93">
        <w:rPr>
          <w:rFonts w:eastAsia="Calibri" w:cs="Times New Roman"/>
          <w:szCs w:val="26"/>
        </w:rPr>
        <w:t xml:space="preserve"> </w:t>
      </w:r>
      <w:r w:rsidR="004B72AE">
        <w:rPr>
          <w:rFonts w:eastAsia="Calibri" w:cs="Times New Roman"/>
          <w:szCs w:val="26"/>
        </w:rPr>
        <w:t xml:space="preserve">there is a </w:t>
      </w:r>
      <w:r w:rsidRPr="00E22A43" w:rsidR="00D52C93">
        <w:rPr>
          <w:rFonts w:eastAsia="Calibri" w:cs="Times New Roman"/>
          <w:szCs w:val="26"/>
        </w:rPr>
        <w:t xml:space="preserve">lack of justification for </w:t>
      </w:r>
      <w:r w:rsidR="004B72AE">
        <w:rPr>
          <w:rFonts w:eastAsia="Calibri" w:cs="Times New Roman"/>
          <w:szCs w:val="26"/>
        </w:rPr>
        <w:t xml:space="preserve">the </w:t>
      </w:r>
      <w:r w:rsidRPr="00E22A43" w:rsidR="00D52C93">
        <w:rPr>
          <w:rFonts w:eastAsia="Calibri" w:cs="Times New Roman"/>
          <w:szCs w:val="26"/>
        </w:rPr>
        <w:t>penalty amount.</w:t>
      </w:r>
      <w:r w:rsidRPr="00E22A43" w:rsidR="00D52C93">
        <w:rPr>
          <w:rFonts w:eastAsia="Calibri" w:cs="Times New Roman"/>
          <w:szCs w:val="26"/>
          <w:vertAlign w:val="superscript"/>
        </w:rPr>
        <w:footnoteReference w:id="38"/>
      </w:r>
    </w:p>
    <w:p w:rsidRPr="00E22A43" w:rsidR="00D52C93" w:rsidP="00ED36CC" w:rsidRDefault="00470650" w14:paraId="4BA09B06" w14:textId="04C4AE21">
      <w:pPr>
        <w:pStyle w:val="Standard"/>
      </w:pPr>
      <w:r>
        <w:rPr>
          <w:rFonts w:eastAsia="Calibri" w:cs="Times New Roman"/>
          <w:szCs w:val="26"/>
        </w:rPr>
        <w:t>CTIA o</w:t>
      </w:r>
      <w:r w:rsidRPr="00E22A43" w:rsidR="00D52C93">
        <w:rPr>
          <w:rFonts w:eastAsia="Calibri" w:cs="Times New Roman"/>
          <w:szCs w:val="26"/>
        </w:rPr>
        <w:t>pposes</w:t>
      </w:r>
      <w:r>
        <w:rPr>
          <w:rFonts w:eastAsia="Calibri" w:cs="Times New Roman"/>
          <w:szCs w:val="26"/>
        </w:rPr>
        <w:t xml:space="preserve"> the </w:t>
      </w:r>
      <w:r w:rsidRPr="00E22A43" w:rsidR="00D52C93">
        <w:rPr>
          <w:rFonts w:eastAsia="Calibri" w:cs="Times New Roman"/>
          <w:szCs w:val="26"/>
        </w:rPr>
        <w:t>delegation of enforcement</w:t>
      </w:r>
      <w:r>
        <w:rPr>
          <w:rFonts w:eastAsia="Calibri" w:cs="Times New Roman"/>
          <w:szCs w:val="26"/>
        </w:rPr>
        <w:t xml:space="preserve"> duties. It</w:t>
      </w:r>
      <w:r w:rsidRPr="00E22A43" w:rsidR="00D52C93">
        <w:rPr>
          <w:rFonts w:eastAsia="Calibri" w:cs="Times New Roman"/>
          <w:szCs w:val="26"/>
        </w:rPr>
        <w:t xml:space="preserve"> argues </w:t>
      </w:r>
      <w:r w:rsidR="00464D8F">
        <w:rPr>
          <w:rFonts w:eastAsia="Calibri" w:cs="Times New Roman"/>
          <w:szCs w:val="26"/>
        </w:rPr>
        <w:t xml:space="preserve">there is </w:t>
      </w:r>
      <w:r w:rsidRPr="00E22A43" w:rsidR="00D52C93">
        <w:rPr>
          <w:rFonts w:eastAsia="Calibri" w:cs="Times New Roman"/>
          <w:szCs w:val="26"/>
        </w:rPr>
        <w:t>lack of statutory authorization and due process concerns.</w:t>
      </w:r>
      <w:r w:rsidRPr="00E22A43" w:rsidR="00D52C93">
        <w:rPr>
          <w:rFonts w:eastAsia="Calibri" w:cs="Times New Roman"/>
          <w:szCs w:val="26"/>
          <w:vertAlign w:val="superscript"/>
        </w:rPr>
        <w:footnoteReference w:id="39"/>
      </w:r>
    </w:p>
    <w:p w:rsidRPr="00E22A43" w:rsidR="00D52C93" w:rsidP="00ED36CC" w:rsidRDefault="00616398" w14:paraId="6B68238C" w14:textId="1CCD351A">
      <w:pPr>
        <w:pStyle w:val="Standard"/>
      </w:pPr>
      <w:proofErr w:type="spellStart"/>
      <w:r>
        <w:rPr>
          <w:rFonts w:eastAsia="Calibri" w:cs="Times New Roman"/>
          <w:szCs w:val="26"/>
        </w:rPr>
        <w:lastRenderedPageBreak/>
        <w:t>Extenet</w:t>
      </w:r>
      <w:proofErr w:type="spellEnd"/>
      <w:r>
        <w:rPr>
          <w:rFonts w:eastAsia="Calibri" w:cs="Times New Roman"/>
          <w:szCs w:val="26"/>
        </w:rPr>
        <w:t xml:space="preserve"> Systems o</w:t>
      </w:r>
      <w:r w:rsidRPr="00E22A43" w:rsidR="00D52C93">
        <w:rPr>
          <w:rFonts w:eastAsia="Calibri" w:cs="Times New Roman"/>
          <w:szCs w:val="26"/>
        </w:rPr>
        <w:t xml:space="preserve">pposes </w:t>
      </w:r>
      <w:r>
        <w:rPr>
          <w:rFonts w:eastAsia="Calibri" w:cs="Times New Roman"/>
          <w:szCs w:val="26"/>
        </w:rPr>
        <w:t xml:space="preserve">the </w:t>
      </w:r>
      <w:r w:rsidRPr="00E22A43" w:rsidR="00D52C93">
        <w:rPr>
          <w:rFonts w:eastAsia="Calibri" w:cs="Times New Roman"/>
          <w:szCs w:val="26"/>
        </w:rPr>
        <w:t>delegation of enforcement</w:t>
      </w:r>
      <w:r>
        <w:rPr>
          <w:rFonts w:eastAsia="Calibri" w:cs="Times New Roman"/>
          <w:szCs w:val="26"/>
        </w:rPr>
        <w:t xml:space="preserve"> duties. It</w:t>
      </w:r>
      <w:r w:rsidRPr="00E22A43" w:rsidR="00D52C93">
        <w:rPr>
          <w:rFonts w:eastAsia="Calibri" w:cs="Times New Roman"/>
          <w:szCs w:val="26"/>
        </w:rPr>
        <w:t xml:space="preserve"> argues it would create conflict of interest, stretch resources, and possibly increase attachment prices.</w:t>
      </w:r>
      <w:r w:rsidRPr="00E22A43" w:rsidR="00D52C93">
        <w:rPr>
          <w:rFonts w:eastAsia="Calibri" w:cs="Times New Roman"/>
          <w:szCs w:val="26"/>
          <w:vertAlign w:val="superscript"/>
        </w:rPr>
        <w:footnoteReference w:id="40"/>
      </w:r>
    </w:p>
    <w:p w:rsidRPr="00E22A43" w:rsidR="00D52C93" w:rsidP="00ED36CC" w:rsidRDefault="00AC08AC" w14:paraId="1528A10E" w14:textId="7280605E">
      <w:pPr>
        <w:pStyle w:val="Standard"/>
      </w:pPr>
      <w:r>
        <w:rPr>
          <w:rFonts w:eastAsia="Calibri" w:cs="Times New Roman"/>
          <w:szCs w:val="26"/>
        </w:rPr>
        <w:t>PG&amp;E o</w:t>
      </w:r>
      <w:r w:rsidRPr="00E22A43" w:rsidR="00D52C93">
        <w:rPr>
          <w:rFonts w:eastAsia="Calibri" w:cs="Times New Roman"/>
          <w:szCs w:val="26"/>
        </w:rPr>
        <w:t xml:space="preserve">pposes </w:t>
      </w:r>
      <w:r w:rsidR="00FB3D71">
        <w:rPr>
          <w:rFonts w:eastAsia="Calibri" w:cs="Times New Roman"/>
          <w:szCs w:val="26"/>
        </w:rPr>
        <w:t xml:space="preserve">the </w:t>
      </w:r>
      <w:r w:rsidRPr="00E22A43" w:rsidR="00D52C93">
        <w:rPr>
          <w:rFonts w:eastAsia="Calibri" w:cs="Times New Roman"/>
          <w:szCs w:val="26"/>
        </w:rPr>
        <w:t xml:space="preserve">delegation of enforcement </w:t>
      </w:r>
      <w:r>
        <w:rPr>
          <w:rFonts w:eastAsia="Calibri" w:cs="Times New Roman"/>
          <w:szCs w:val="26"/>
        </w:rPr>
        <w:t xml:space="preserve">duties </w:t>
      </w:r>
      <w:r w:rsidRPr="00E22A43" w:rsidR="00D52C93">
        <w:rPr>
          <w:rFonts w:eastAsia="Calibri" w:cs="Times New Roman"/>
          <w:szCs w:val="26"/>
        </w:rPr>
        <w:t>due to</w:t>
      </w:r>
      <w:r>
        <w:rPr>
          <w:rFonts w:eastAsia="Calibri" w:cs="Times New Roman"/>
          <w:szCs w:val="26"/>
        </w:rPr>
        <w:t xml:space="preserve"> the</w:t>
      </w:r>
      <w:r w:rsidRPr="00E22A43" w:rsidR="00D52C93">
        <w:rPr>
          <w:rFonts w:eastAsia="Calibri" w:cs="Times New Roman"/>
          <w:szCs w:val="26"/>
        </w:rPr>
        <w:t xml:space="preserve"> inability to verify compliance. </w:t>
      </w:r>
      <w:r w:rsidR="00FB3D71">
        <w:rPr>
          <w:rFonts w:eastAsia="Calibri" w:cs="Times New Roman"/>
          <w:szCs w:val="26"/>
        </w:rPr>
        <w:t>It c</w:t>
      </w:r>
      <w:r w:rsidRPr="00E22A43" w:rsidR="00D52C93">
        <w:rPr>
          <w:rFonts w:eastAsia="Calibri" w:cs="Times New Roman"/>
          <w:szCs w:val="26"/>
        </w:rPr>
        <w:t>laims many attachers have not provided complete data</w:t>
      </w:r>
      <w:r w:rsidR="00B947DA">
        <w:rPr>
          <w:rFonts w:eastAsia="Calibri" w:cs="Times New Roman"/>
          <w:szCs w:val="26"/>
        </w:rPr>
        <w:t xml:space="preserve"> and points to the alleged</w:t>
      </w:r>
      <w:r w:rsidRPr="00E22A43" w:rsidR="00D52C93">
        <w:rPr>
          <w:rFonts w:eastAsia="Calibri" w:cs="Times New Roman"/>
          <w:szCs w:val="26"/>
        </w:rPr>
        <w:t xml:space="preserve"> frequency of disputes over attachment noncompliance. </w:t>
      </w:r>
      <w:r w:rsidR="00D110B8">
        <w:rPr>
          <w:rFonts w:eastAsia="Calibri" w:cs="Times New Roman"/>
          <w:szCs w:val="26"/>
        </w:rPr>
        <w:t>PG&amp;E r</w:t>
      </w:r>
      <w:r w:rsidRPr="00E22A43" w:rsidR="00D52C93">
        <w:rPr>
          <w:rFonts w:eastAsia="Calibri" w:cs="Times New Roman"/>
          <w:szCs w:val="26"/>
        </w:rPr>
        <w:t>ecommends CPUC</w:t>
      </w:r>
      <w:r w:rsidR="00410529">
        <w:rPr>
          <w:rFonts w:eastAsia="Calibri" w:cs="Times New Roman"/>
          <w:szCs w:val="26"/>
        </w:rPr>
        <w:t>’</w:t>
      </w:r>
      <w:r w:rsidRPr="00E22A43" w:rsidR="00D52C93">
        <w:rPr>
          <w:rFonts w:eastAsia="Calibri" w:cs="Times New Roman"/>
          <w:szCs w:val="26"/>
        </w:rPr>
        <w:t>s Enforcement Division be responsible for enforcing D.21</w:t>
      </w:r>
      <w:r w:rsidR="00E4753D">
        <w:rPr>
          <w:rFonts w:eastAsia="Calibri" w:cs="Times New Roman"/>
          <w:szCs w:val="26"/>
        </w:rPr>
        <w:noBreakHyphen/>
      </w:r>
      <w:r w:rsidRPr="00E22A43" w:rsidR="00D52C93">
        <w:rPr>
          <w:rFonts w:eastAsia="Calibri" w:cs="Times New Roman"/>
          <w:szCs w:val="26"/>
        </w:rPr>
        <w:t>10</w:t>
      </w:r>
      <w:r w:rsidR="00E4753D">
        <w:rPr>
          <w:rFonts w:eastAsia="Calibri" w:cs="Times New Roman"/>
          <w:szCs w:val="26"/>
        </w:rPr>
        <w:noBreakHyphen/>
      </w:r>
      <w:r w:rsidRPr="00E22A43" w:rsidR="00D52C93">
        <w:rPr>
          <w:rFonts w:eastAsia="Calibri" w:cs="Times New Roman"/>
          <w:szCs w:val="26"/>
        </w:rPr>
        <w:t>019.</w:t>
      </w:r>
      <w:r w:rsidRPr="00E22A43" w:rsidR="00D52C93">
        <w:rPr>
          <w:rFonts w:eastAsia="Calibri" w:cs="Times New Roman"/>
          <w:szCs w:val="26"/>
          <w:vertAlign w:val="superscript"/>
        </w:rPr>
        <w:footnoteReference w:id="41"/>
      </w:r>
      <w:r w:rsidRPr="00E22A43" w:rsidR="00D52C93">
        <w:rPr>
          <w:rFonts w:eastAsia="Calibri" w:cs="Times New Roman"/>
          <w:szCs w:val="26"/>
        </w:rPr>
        <w:t xml:space="preserve"> </w:t>
      </w:r>
      <w:r w:rsidR="00183039">
        <w:rPr>
          <w:rFonts w:eastAsia="Calibri" w:cs="Times New Roman"/>
          <w:szCs w:val="26"/>
        </w:rPr>
        <w:t>PG&amp;E also a</w:t>
      </w:r>
      <w:r w:rsidRPr="00E22A43" w:rsidR="00D52C93">
        <w:rPr>
          <w:rFonts w:eastAsia="Calibri" w:cs="Times New Roman"/>
          <w:szCs w:val="26"/>
        </w:rPr>
        <w:t>rgues for a more robust framework for dealing with unauthorized attachments</w:t>
      </w:r>
      <w:r w:rsidR="00183039">
        <w:rPr>
          <w:rFonts w:eastAsia="Calibri" w:cs="Times New Roman"/>
          <w:szCs w:val="26"/>
        </w:rPr>
        <w:t xml:space="preserve">, </w:t>
      </w:r>
      <w:r w:rsidRPr="00E22A43" w:rsidR="00D52C93">
        <w:rPr>
          <w:rFonts w:eastAsia="Calibri" w:cs="Times New Roman"/>
          <w:szCs w:val="26"/>
        </w:rPr>
        <w:t>claim</w:t>
      </w:r>
      <w:r w:rsidR="00183039">
        <w:rPr>
          <w:rFonts w:eastAsia="Calibri" w:cs="Times New Roman"/>
          <w:szCs w:val="26"/>
        </w:rPr>
        <w:t>ing</w:t>
      </w:r>
      <w:r w:rsidR="003C6718">
        <w:rPr>
          <w:rFonts w:eastAsia="Calibri" w:cs="Times New Roman"/>
          <w:szCs w:val="26"/>
        </w:rPr>
        <w:t xml:space="preserve"> that the</w:t>
      </w:r>
      <w:r w:rsidRPr="00E22A43" w:rsidR="00D52C93">
        <w:rPr>
          <w:rFonts w:eastAsia="Calibri" w:cs="Times New Roman"/>
          <w:szCs w:val="26"/>
        </w:rPr>
        <w:t xml:space="preserve"> current framework is insufficient to protect against safety and wildfire risks.</w:t>
      </w:r>
      <w:r w:rsidRPr="00E22A43" w:rsidR="00D52C93">
        <w:rPr>
          <w:rFonts w:eastAsia="Calibri" w:cs="Times New Roman"/>
          <w:szCs w:val="26"/>
          <w:vertAlign w:val="superscript"/>
        </w:rPr>
        <w:footnoteReference w:id="42"/>
      </w:r>
    </w:p>
    <w:p w:rsidRPr="00E22A43" w:rsidR="00D52C93" w:rsidP="00ED36CC" w:rsidRDefault="003C6718" w14:paraId="52B75ED7" w14:textId="1DD4616D">
      <w:pPr>
        <w:pStyle w:val="Standard"/>
      </w:pPr>
      <w:r>
        <w:rPr>
          <w:rFonts w:eastAsia="Calibri" w:cs="Times New Roman"/>
          <w:szCs w:val="26"/>
        </w:rPr>
        <w:t>Race o</w:t>
      </w:r>
      <w:r w:rsidRPr="00E22A43" w:rsidR="00D52C93">
        <w:rPr>
          <w:rFonts w:eastAsia="Calibri" w:cs="Times New Roman"/>
          <w:szCs w:val="26"/>
        </w:rPr>
        <w:t>pposes any delegation of enforcement due to the competing interests of pole owners and attachers.</w:t>
      </w:r>
      <w:r w:rsidRPr="00E22A43" w:rsidR="00D52C93">
        <w:rPr>
          <w:rFonts w:eastAsia="Calibri" w:cs="Times New Roman"/>
          <w:szCs w:val="26"/>
          <w:vertAlign w:val="superscript"/>
        </w:rPr>
        <w:footnoteReference w:id="43"/>
      </w:r>
    </w:p>
    <w:p w:rsidRPr="00E22A43" w:rsidR="00D52C93" w:rsidP="00ED36CC" w:rsidRDefault="00822DB9" w14:paraId="5FBE4641" w14:textId="02D3F744">
      <w:pPr>
        <w:pStyle w:val="Standard"/>
      </w:pPr>
      <w:r>
        <w:rPr>
          <w:rFonts w:eastAsia="Calibri" w:cs="Times New Roman"/>
          <w:szCs w:val="26"/>
        </w:rPr>
        <w:t xml:space="preserve">SCE opposes the </w:t>
      </w:r>
      <w:r w:rsidRPr="00E22A43" w:rsidR="00D52C93">
        <w:rPr>
          <w:rFonts w:eastAsia="Calibri" w:cs="Times New Roman"/>
          <w:szCs w:val="26"/>
        </w:rPr>
        <w:t>delegation of enforcement</w:t>
      </w:r>
      <w:r>
        <w:rPr>
          <w:rFonts w:eastAsia="Calibri" w:cs="Times New Roman"/>
          <w:szCs w:val="26"/>
        </w:rPr>
        <w:t xml:space="preserve"> duties</w:t>
      </w:r>
      <w:r w:rsidRPr="00E22A43" w:rsidR="00D52C93">
        <w:rPr>
          <w:rFonts w:eastAsia="Calibri" w:cs="Times New Roman"/>
          <w:szCs w:val="26"/>
        </w:rPr>
        <w:t xml:space="preserve"> to pole owners, citing lack of authority and resources. </w:t>
      </w:r>
      <w:r w:rsidR="00C5457C">
        <w:rPr>
          <w:rFonts w:eastAsia="Calibri" w:cs="Times New Roman"/>
          <w:szCs w:val="26"/>
        </w:rPr>
        <w:t>It c</w:t>
      </w:r>
      <w:r w:rsidRPr="00E22A43" w:rsidR="00D52C93">
        <w:rPr>
          <w:rFonts w:eastAsia="Calibri" w:cs="Times New Roman"/>
          <w:szCs w:val="26"/>
        </w:rPr>
        <w:t>laims attachers are not contractually obligated under SCE</w:t>
      </w:r>
      <w:r w:rsidR="00410529">
        <w:rPr>
          <w:rFonts w:eastAsia="Calibri" w:cs="Times New Roman"/>
          <w:szCs w:val="26"/>
        </w:rPr>
        <w:t>’</w:t>
      </w:r>
      <w:r w:rsidRPr="00E22A43" w:rsidR="00D52C93">
        <w:rPr>
          <w:rFonts w:eastAsia="Calibri" w:cs="Times New Roman"/>
          <w:szCs w:val="26"/>
        </w:rPr>
        <w:t xml:space="preserve">s Pole Licensing Agreements to provide the required data points. </w:t>
      </w:r>
      <w:r w:rsidR="00C5457C">
        <w:rPr>
          <w:rFonts w:eastAsia="Calibri" w:cs="Times New Roman"/>
          <w:szCs w:val="26"/>
        </w:rPr>
        <w:t>It also c</w:t>
      </w:r>
      <w:r w:rsidRPr="00E22A43" w:rsidR="00D52C93">
        <w:rPr>
          <w:rFonts w:eastAsia="Calibri" w:cs="Times New Roman"/>
          <w:szCs w:val="26"/>
        </w:rPr>
        <w:t>laims</w:t>
      </w:r>
      <w:r w:rsidR="00C5457C">
        <w:rPr>
          <w:rFonts w:eastAsia="Calibri" w:cs="Times New Roman"/>
          <w:szCs w:val="26"/>
        </w:rPr>
        <w:t xml:space="preserve"> that</w:t>
      </w:r>
      <w:r w:rsidRPr="00E22A43" w:rsidR="00D52C93">
        <w:rPr>
          <w:rFonts w:eastAsia="Calibri" w:cs="Times New Roman"/>
          <w:szCs w:val="26"/>
        </w:rPr>
        <w:t xml:space="preserve"> enforcement should reside with the CPUC.</w:t>
      </w:r>
      <w:r w:rsidRPr="00E22A43" w:rsidR="00D52C93">
        <w:rPr>
          <w:rFonts w:eastAsia="Calibri" w:cs="Times New Roman"/>
          <w:szCs w:val="26"/>
          <w:vertAlign w:val="superscript"/>
        </w:rPr>
        <w:footnoteReference w:id="44"/>
      </w:r>
    </w:p>
    <w:p w:rsidRPr="00E22A43" w:rsidR="00D52C93" w:rsidP="00ED36CC" w:rsidRDefault="00D56CE5" w14:paraId="219A17E3" w14:textId="28DCA017">
      <w:pPr>
        <w:pStyle w:val="Standard"/>
      </w:pPr>
      <w:r>
        <w:rPr>
          <w:rFonts w:eastAsia="Calibri" w:cs="Times New Roman"/>
          <w:szCs w:val="26"/>
        </w:rPr>
        <w:t>SDG&amp;E claims it n</w:t>
      </w:r>
      <w:r w:rsidRPr="00E22A43" w:rsidR="00D52C93">
        <w:rPr>
          <w:rFonts w:eastAsia="Calibri" w:cs="Times New Roman"/>
          <w:szCs w:val="26"/>
        </w:rPr>
        <w:t xml:space="preserve">eeds additional information to determine whether delegation of enforcement is reasonable, due to questions on data interpretation and enforcement details. </w:t>
      </w:r>
      <w:r w:rsidR="004B72AE">
        <w:rPr>
          <w:rFonts w:eastAsia="Calibri" w:cs="Times New Roman"/>
          <w:szCs w:val="26"/>
        </w:rPr>
        <w:t>SDG&amp;E o</w:t>
      </w:r>
      <w:r w:rsidRPr="00E22A43" w:rsidR="00D52C93">
        <w:rPr>
          <w:rFonts w:eastAsia="Calibri" w:cs="Times New Roman"/>
          <w:szCs w:val="26"/>
        </w:rPr>
        <w:t xml:space="preserve">pposes shifting enforcement costs to </w:t>
      </w:r>
      <w:r w:rsidRPr="00E22A43" w:rsidR="00D52C93">
        <w:rPr>
          <w:rFonts w:eastAsia="Calibri" w:cs="Times New Roman"/>
          <w:szCs w:val="26"/>
        </w:rPr>
        <w:lastRenderedPageBreak/>
        <w:t>ratepayers or requiring pole owners to confirm the accuracy of data from attachers.</w:t>
      </w:r>
      <w:r w:rsidRPr="00E22A43" w:rsidR="00D52C93">
        <w:rPr>
          <w:rFonts w:eastAsia="Calibri" w:cs="Times New Roman"/>
          <w:szCs w:val="26"/>
          <w:vertAlign w:val="superscript"/>
        </w:rPr>
        <w:footnoteReference w:id="45"/>
      </w:r>
    </w:p>
    <w:p w:rsidRPr="00E22A43" w:rsidR="00D52C93" w:rsidP="00ED36CC" w:rsidRDefault="00C5457C" w14:paraId="2F932500" w14:textId="46A44F3C">
      <w:pPr>
        <w:pStyle w:val="Standard"/>
      </w:pPr>
      <w:r>
        <w:rPr>
          <w:rFonts w:eastAsia="Calibri" w:cs="Times New Roman"/>
          <w:szCs w:val="26"/>
        </w:rPr>
        <w:t>Sonic a</w:t>
      </w:r>
      <w:r w:rsidRPr="00E22A43" w:rsidR="00D52C93">
        <w:rPr>
          <w:rFonts w:eastAsia="Calibri" w:cs="Times New Roman"/>
          <w:szCs w:val="26"/>
        </w:rPr>
        <w:t xml:space="preserve">rgues it is not reasonable, legal, or good public policy to delegate enforcement </w:t>
      </w:r>
      <w:r w:rsidR="00660E46">
        <w:rPr>
          <w:rFonts w:eastAsia="Calibri" w:cs="Times New Roman"/>
          <w:szCs w:val="26"/>
        </w:rPr>
        <w:t xml:space="preserve">duties </w:t>
      </w:r>
      <w:r w:rsidRPr="00E22A43" w:rsidR="00D52C93">
        <w:rPr>
          <w:rFonts w:eastAsia="Calibri" w:cs="Times New Roman"/>
          <w:szCs w:val="26"/>
        </w:rPr>
        <w:t xml:space="preserve">to pole owners. </w:t>
      </w:r>
      <w:r w:rsidR="00660E46">
        <w:rPr>
          <w:rFonts w:eastAsia="Calibri" w:cs="Times New Roman"/>
          <w:szCs w:val="26"/>
        </w:rPr>
        <w:t>It c</w:t>
      </w:r>
      <w:r w:rsidRPr="00E22A43" w:rsidR="00D52C93">
        <w:rPr>
          <w:rFonts w:eastAsia="Calibri" w:cs="Times New Roman"/>
          <w:szCs w:val="26"/>
        </w:rPr>
        <w:t xml:space="preserve">laims delegation would create </w:t>
      </w:r>
      <w:r w:rsidR="00410529">
        <w:rPr>
          <w:rFonts w:eastAsia="Calibri" w:cs="Times New Roman"/>
          <w:szCs w:val="26"/>
        </w:rPr>
        <w:t>“</w:t>
      </w:r>
      <w:r w:rsidRPr="00E22A43" w:rsidR="00D52C93">
        <w:rPr>
          <w:rFonts w:eastAsia="Calibri" w:cs="Times New Roman"/>
          <w:szCs w:val="26"/>
        </w:rPr>
        <w:t>fox in the henhouse</w:t>
      </w:r>
      <w:r w:rsidR="00410529">
        <w:rPr>
          <w:rFonts w:eastAsia="Calibri" w:cs="Times New Roman"/>
          <w:szCs w:val="26"/>
        </w:rPr>
        <w:t>”</w:t>
      </w:r>
      <w:r w:rsidRPr="00E22A43" w:rsidR="00D52C93">
        <w:rPr>
          <w:rFonts w:eastAsia="Calibri" w:cs="Times New Roman"/>
          <w:szCs w:val="26"/>
        </w:rPr>
        <w:t xml:space="preserve"> incentives among competitors, unjustly enrich pole owners, and rely on incomplete and error</w:t>
      </w:r>
      <w:r w:rsidR="00E4753D">
        <w:rPr>
          <w:rFonts w:eastAsia="Calibri" w:cs="Times New Roman"/>
          <w:szCs w:val="26"/>
        </w:rPr>
        <w:noBreakHyphen/>
      </w:r>
      <w:r w:rsidRPr="00E22A43" w:rsidR="00D52C93">
        <w:rPr>
          <w:rFonts w:eastAsia="Calibri" w:cs="Times New Roman"/>
          <w:szCs w:val="26"/>
        </w:rPr>
        <w:t>prone databases.</w:t>
      </w:r>
      <w:r w:rsidRPr="00E22A43" w:rsidR="00D52C93">
        <w:rPr>
          <w:rFonts w:eastAsia="Calibri" w:cs="Times New Roman"/>
          <w:szCs w:val="26"/>
          <w:vertAlign w:val="superscript"/>
        </w:rPr>
        <w:footnoteReference w:id="46"/>
      </w:r>
    </w:p>
    <w:p w:rsidRPr="00E22A43" w:rsidR="00D52C93" w:rsidP="00ED36CC" w:rsidRDefault="0083427C" w14:paraId="3AFF3A0E" w14:textId="64119AE1">
      <w:pPr>
        <w:pStyle w:val="Standard"/>
      </w:pPr>
      <w:proofErr w:type="spellStart"/>
      <w:r>
        <w:rPr>
          <w:rFonts w:eastAsia="Calibri" w:cs="Times New Roman"/>
          <w:szCs w:val="26"/>
        </w:rPr>
        <w:t>Surfnet</w:t>
      </w:r>
      <w:proofErr w:type="spellEnd"/>
      <w:r>
        <w:rPr>
          <w:rFonts w:eastAsia="Calibri" w:cs="Times New Roman"/>
          <w:szCs w:val="26"/>
        </w:rPr>
        <w:t xml:space="preserve"> o</w:t>
      </w:r>
      <w:r w:rsidRPr="00E22A43" w:rsidR="00D52C93">
        <w:rPr>
          <w:rFonts w:eastAsia="Calibri" w:cs="Times New Roman"/>
          <w:szCs w:val="26"/>
        </w:rPr>
        <w:t>pposes</w:t>
      </w:r>
      <w:r>
        <w:rPr>
          <w:rFonts w:eastAsia="Calibri" w:cs="Times New Roman"/>
          <w:szCs w:val="26"/>
        </w:rPr>
        <w:t xml:space="preserve"> the</w:t>
      </w:r>
      <w:r w:rsidRPr="00E22A43" w:rsidR="00D52C93">
        <w:rPr>
          <w:rFonts w:eastAsia="Calibri" w:cs="Times New Roman"/>
          <w:szCs w:val="26"/>
        </w:rPr>
        <w:t xml:space="preserve"> delegation of enforcement</w:t>
      </w:r>
      <w:r>
        <w:rPr>
          <w:rFonts w:eastAsia="Calibri" w:cs="Times New Roman"/>
          <w:szCs w:val="26"/>
        </w:rPr>
        <w:t xml:space="preserve"> duties</w:t>
      </w:r>
      <w:r w:rsidRPr="00E22A43" w:rsidR="00D52C93">
        <w:rPr>
          <w:rFonts w:eastAsia="Calibri" w:cs="Times New Roman"/>
          <w:szCs w:val="26"/>
        </w:rPr>
        <w:t>, citing pole owners</w:t>
      </w:r>
      <w:r w:rsidR="00410529">
        <w:rPr>
          <w:rFonts w:eastAsia="Calibri" w:cs="Times New Roman"/>
          <w:szCs w:val="26"/>
        </w:rPr>
        <w:t>’</w:t>
      </w:r>
      <w:r w:rsidRPr="00E22A43" w:rsidR="00D52C93">
        <w:rPr>
          <w:rFonts w:eastAsia="Calibri" w:cs="Times New Roman"/>
          <w:szCs w:val="26"/>
        </w:rPr>
        <w:t xml:space="preserve"> </w:t>
      </w:r>
      <w:r w:rsidR="000B2190">
        <w:rPr>
          <w:rFonts w:eastAsia="Calibri" w:cs="Times New Roman"/>
          <w:szCs w:val="26"/>
        </w:rPr>
        <w:t xml:space="preserve">allegedly </w:t>
      </w:r>
      <w:r w:rsidRPr="00E22A43" w:rsidR="00D52C93">
        <w:rPr>
          <w:rFonts w:eastAsia="Calibri" w:cs="Times New Roman"/>
          <w:szCs w:val="26"/>
        </w:rPr>
        <w:t xml:space="preserve">poor records and competition with utility telephone companies. </w:t>
      </w:r>
      <w:proofErr w:type="spellStart"/>
      <w:r w:rsidR="000B2190">
        <w:rPr>
          <w:rFonts w:eastAsia="Calibri" w:cs="Times New Roman"/>
          <w:szCs w:val="26"/>
        </w:rPr>
        <w:t>Surfnet</w:t>
      </w:r>
      <w:proofErr w:type="spellEnd"/>
      <w:r w:rsidR="000B2190">
        <w:rPr>
          <w:rFonts w:eastAsia="Calibri" w:cs="Times New Roman"/>
          <w:szCs w:val="26"/>
        </w:rPr>
        <w:t xml:space="preserve"> c</w:t>
      </w:r>
      <w:r w:rsidRPr="00E22A43" w:rsidR="00D52C93">
        <w:rPr>
          <w:rFonts w:eastAsia="Calibri" w:cs="Times New Roman"/>
          <w:szCs w:val="26"/>
        </w:rPr>
        <w:t>laims</w:t>
      </w:r>
      <w:r w:rsidR="000B2190">
        <w:rPr>
          <w:rFonts w:eastAsia="Calibri" w:cs="Times New Roman"/>
          <w:szCs w:val="26"/>
        </w:rPr>
        <w:t xml:space="preserve"> that</w:t>
      </w:r>
      <w:r w:rsidRPr="00E22A43" w:rsidR="00D52C93">
        <w:rPr>
          <w:rFonts w:eastAsia="Calibri" w:cs="Times New Roman"/>
          <w:szCs w:val="26"/>
        </w:rPr>
        <w:t xml:space="preserve"> reporting of unauthorized attachments will be error</w:t>
      </w:r>
      <w:r w:rsidR="00E4753D">
        <w:rPr>
          <w:rFonts w:eastAsia="Calibri" w:cs="Times New Roman"/>
          <w:szCs w:val="26"/>
        </w:rPr>
        <w:noBreakHyphen/>
      </w:r>
      <w:r w:rsidRPr="00E22A43" w:rsidR="00D52C93">
        <w:rPr>
          <w:rFonts w:eastAsia="Calibri" w:cs="Times New Roman"/>
          <w:szCs w:val="26"/>
        </w:rPr>
        <w:t>prone and unverified.</w:t>
      </w:r>
      <w:r w:rsidRPr="00E22A43" w:rsidR="00D52C93">
        <w:rPr>
          <w:rFonts w:eastAsia="Calibri" w:cs="Times New Roman"/>
          <w:szCs w:val="26"/>
          <w:vertAlign w:val="superscript"/>
        </w:rPr>
        <w:footnoteReference w:id="47"/>
      </w:r>
    </w:p>
    <w:p w:rsidR="00262D9B" w:rsidP="00ED36CC" w:rsidRDefault="00C66FA2" w14:paraId="5B21AF6B" w14:textId="579C124D">
      <w:pPr>
        <w:pStyle w:val="Standard"/>
      </w:pPr>
      <w:r>
        <w:rPr>
          <w:rFonts w:eastAsia="Calibri" w:cs="Times New Roman"/>
          <w:szCs w:val="26"/>
        </w:rPr>
        <w:t>Verizon o</w:t>
      </w:r>
      <w:r w:rsidRPr="00E22A43" w:rsidR="00D52C93">
        <w:rPr>
          <w:rFonts w:eastAsia="Calibri" w:cs="Times New Roman"/>
          <w:szCs w:val="26"/>
        </w:rPr>
        <w:t xml:space="preserve">pposes </w:t>
      </w:r>
      <w:r>
        <w:rPr>
          <w:rFonts w:eastAsia="Calibri" w:cs="Times New Roman"/>
          <w:szCs w:val="26"/>
        </w:rPr>
        <w:t xml:space="preserve">the </w:t>
      </w:r>
      <w:r w:rsidRPr="00E22A43" w:rsidR="00D52C93">
        <w:rPr>
          <w:rFonts w:eastAsia="Calibri" w:cs="Times New Roman"/>
          <w:szCs w:val="26"/>
        </w:rPr>
        <w:t>delegation of enforcement</w:t>
      </w:r>
      <w:r>
        <w:rPr>
          <w:rFonts w:eastAsia="Calibri" w:cs="Times New Roman"/>
          <w:szCs w:val="26"/>
        </w:rPr>
        <w:t xml:space="preserve"> duties</w:t>
      </w:r>
      <w:r w:rsidR="00EE6904">
        <w:rPr>
          <w:rFonts w:eastAsia="Calibri" w:cs="Times New Roman"/>
          <w:szCs w:val="26"/>
        </w:rPr>
        <w:t>,</w:t>
      </w:r>
      <w:r w:rsidRPr="00E22A43" w:rsidR="00D52C93">
        <w:rPr>
          <w:rFonts w:eastAsia="Calibri" w:cs="Times New Roman"/>
          <w:szCs w:val="26"/>
        </w:rPr>
        <w:t xml:space="preserve"> argu</w:t>
      </w:r>
      <w:r w:rsidR="00EE6904">
        <w:rPr>
          <w:rFonts w:eastAsia="Calibri" w:cs="Times New Roman"/>
          <w:szCs w:val="26"/>
        </w:rPr>
        <w:t>ing that</w:t>
      </w:r>
      <w:r w:rsidRPr="00E22A43" w:rsidR="00D52C93">
        <w:rPr>
          <w:rFonts w:eastAsia="Calibri" w:cs="Times New Roman"/>
          <w:szCs w:val="26"/>
        </w:rPr>
        <w:t xml:space="preserve"> it would be an unlawful delegation to private entities; the fines could be unduly punitive and create an unfair burden on attachers; and it lacks due process (</w:t>
      </w:r>
      <w:r w:rsidRPr="0078766A" w:rsidR="00D52C93">
        <w:rPr>
          <w:rFonts w:eastAsia="Calibri" w:cs="Times New Roman"/>
          <w:i/>
          <w:iCs/>
          <w:szCs w:val="26"/>
        </w:rPr>
        <w:t>e.g</w:t>
      </w:r>
      <w:r w:rsidRPr="00E22A43" w:rsidR="00D52C93">
        <w:rPr>
          <w:rFonts w:eastAsia="Calibri" w:cs="Times New Roman"/>
          <w:szCs w:val="26"/>
        </w:rPr>
        <w:t>., mechanism for attachers to challenge a pole owner</w:t>
      </w:r>
      <w:r w:rsidR="00410529">
        <w:rPr>
          <w:rFonts w:eastAsia="Calibri" w:cs="Times New Roman"/>
          <w:szCs w:val="26"/>
        </w:rPr>
        <w:t>’</w:t>
      </w:r>
      <w:r w:rsidRPr="00E22A43" w:rsidR="00D52C93">
        <w:rPr>
          <w:rFonts w:eastAsia="Calibri" w:cs="Times New Roman"/>
          <w:szCs w:val="26"/>
        </w:rPr>
        <w:t>s findings).</w:t>
      </w:r>
      <w:r w:rsidRPr="00E22A43" w:rsidR="00D52C93">
        <w:rPr>
          <w:rFonts w:eastAsia="Calibri" w:cs="Times New Roman"/>
          <w:szCs w:val="26"/>
          <w:vertAlign w:val="superscript"/>
        </w:rPr>
        <w:footnoteReference w:id="48"/>
      </w:r>
    </w:p>
    <w:p w:rsidR="00D96F69" w:rsidP="003379A9" w:rsidRDefault="004D7604" w14:paraId="55CDE3E4" w14:textId="46BCFC23">
      <w:pPr>
        <w:pStyle w:val="Heading4"/>
      </w:pPr>
      <w:r>
        <w:t xml:space="preserve">How should information from pole owners regarding </w:t>
      </w:r>
      <w:r w:rsidR="005D5833">
        <w:t>unauthorized attachments and fines be reported to the Commission</w:t>
      </w:r>
      <w:r w:rsidR="00AD5939">
        <w:t>,</w:t>
      </w:r>
      <w:r w:rsidR="005D5833">
        <w:t xml:space="preserve"> and what information should be included?</w:t>
      </w:r>
    </w:p>
    <w:p w:rsidRPr="00E22A43" w:rsidR="00426700" w:rsidP="00ED36CC" w:rsidRDefault="00B90B9E" w14:paraId="1764F3D0" w14:textId="2E6BC0F9">
      <w:pPr>
        <w:pStyle w:val="Standard"/>
      </w:pPr>
      <w:r>
        <w:rPr>
          <w:rFonts w:eastAsia="Calibri" w:cs="Times New Roman"/>
          <w:szCs w:val="26"/>
        </w:rPr>
        <w:t>AT&amp;T o</w:t>
      </w:r>
      <w:r w:rsidRPr="00E22A43" w:rsidR="00426700">
        <w:rPr>
          <w:rFonts w:eastAsia="Calibri" w:cs="Times New Roman"/>
          <w:szCs w:val="26"/>
        </w:rPr>
        <w:t>pposes ongoing reporting requirements, c</w:t>
      </w:r>
      <w:r>
        <w:rPr>
          <w:rFonts w:eastAsia="Calibri" w:cs="Times New Roman"/>
          <w:szCs w:val="26"/>
        </w:rPr>
        <w:t>laiming</w:t>
      </w:r>
      <w:r w:rsidRPr="00E22A43" w:rsidR="00426700">
        <w:rPr>
          <w:rFonts w:eastAsia="Calibri" w:cs="Times New Roman"/>
          <w:szCs w:val="26"/>
        </w:rPr>
        <w:t xml:space="preserve"> </w:t>
      </w:r>
      <w:r>
        <w:rPr>
          <w:rFonts w:eastAsia="Calibri" w:cs="Times New Roman"/>
          <w:szCs w:val="26"/>
        </w:rPr>
        <w:t xml:space="preserve">a </w:t>
      </w:r>
      <w:r w:rsidRPr="00E22A43" w:rsidR="00426700">
        <w:rPr>
          <w:rFonts w:eastAsia="Calibri" w:cs="Times New Roman"/>
          <w:szCs w:val="26"/>
        </w:rPr>
        <w:t>lack of purpose/need and unnecessary additional costs to both pole owners and attachers.</w:t>
      </w:r>
      <w:r w:rsidRPr="00E22A43" w:rsidR="00426700">
        <w:rPr>
          <w:rFonts w:eastAsia="Calibri" w:cs="Times New Roman"/>
          <w:szCs w:val="26"/>
          <w:vertAlign w:val="superscript"/>
        </w:rPr>
        <w:footnoteReference w:id="49"/>
      </w:r>
    </w:p>
    <w:p w:rsidRPr="00E22A43" w:rsidR="00426700" w:rsidP="00ED36CC" w:rsidRDefault="005D5CF1" w14:paraId="16EA3E65" w14:textId="06DDE494">
      <w:pPr>
        <w:pStyle w:val="Standard"/>
      </w:pPr>
      <w:r>
        <w:rPr>
          <w:rFonts w:eastAsia="Calibri" w:cs="Times New Roman"/>
          <w:szCs w:val="26"/>
        </w:rPr>
        <w:lastRenderedPageBreak/>
        <w:t>California Broadband and Video Association c</w:t>
      </w:r>
      <w:r w:rsidRPr="00E22A43" w:rsidR="00426700">
        <w:rPr>
          <w:rFonts w:eastAsia="Calibri" w:cs="Times New Roman"/>
          <w:szCs w:val="26"/>
        </w:rPr>
        <w:t xml:space="preserve">laims that reporting on unauthorized attachments is not needed; reports would be impractical and </w:t>
      </w:r>
      <w:r w:rsidR="00AF71F0">
        <w:rPr>
          <w:rFonts w:eastAsia="Calibri" w:cs="Times New Roman"/>
          <w:szCs w:val="26"/>
        </w:rPr>
        <w:t xml:space="preserve">could </w:t>
      </w:r>
      <w:r w:rsidRPr="00E22A43" w:rsidR="00426700">
        <w:rPr>
          <w:rFonts w:eastAsia="Calibri" w:cs="Times New Roman"/>
          <w:szCs w:val="26"/>
        </w:rPr>
        <w:t xml:space="preserve">lead to unnecessary disputes. </w:t>
      </w:r>
      <w:r w:rsidR="00AF71F0">
        <w:rPr>
          <w:rFonts w:eastAsia="Calibri" w:cs="Times New Roman"/>
          <w:szCs w:val="26"/>
        </w:rPr>
        <w:t>It s</w:t>
      </w:r>
      <w:r w:rsidRPr="00E22A43" w:rsidR="00426700">
        <w:rPr>
          <w:rFonts w:eastAsia="Calibri" w:cs="Times New Roman"/>
          <w:szCs w:val="26"/>
        </w:rPr>
        <w:t xml:space="preserve">uggests the CPUC already has vehicles to obtain data. </w:t>
      </w:r>
      <w:r w:rsidR="00AF71F0">
        <w:rPr>
          <w:rFonts w:eastAsia="Calibri" w:cs="Times New Roman"/>
          <w:szCs w:val="26"/>
        </w:rPr>
        <w:t>Finally, it</w:t>
      </w:r>
      <w:r w:rsidR="00B3273A">
        <w:rPr>
          <w:rFonts w:eastAsia="Calibri" w:cs="Times New Roman"/>
          <w:szCs w:val="26"/>
        </w:rPr>
        <w:t xml:space="preserve"> r</w:t>
      </w:r>
      <w:r w:rsidRPr="00E22A43" w:rsidR="00426700">
        <w:rPr>
          <w:rFonts w:eastAsia="Calibri" w:cs="Times New Roman"/>
          <w:szCs w:val="26"/>
        </w:rPr>
        <w:t xml:space="preserve">ecommends that </w:t>
      </w:r>
      <w:r w:rsidR="00B3273A">
        <w:rPr>
          <w:rFonts w:eastAsia="Calibri" w:cs="Times New Roman"/>
          <w:szCs w:val="26"/>
        </w:rPr>
        <w:t xml:space="preserve">if reports are going to be required, </w:t>
      </w:r>
      <w:r w:rsidRPr="00E22A43" w:rsidR="00426700">
        <w:rPr>
          <w:rFonts w:eastAsia="Calibri" w:cs="Times New Roman"/>
          <w:szCs w:val="26"/>
        </w:rPr>
        <w:t xml:space="preserve">any </w:t>
      </w:r>
      <w:r w:rsidR="00B3273A">
        <w:rPr>
          <w:rFonts w:eastAsia="Calibri" w:cs="Times New Roman"/>
          <w:szCs w:val="26"/>
        </w:rPr>
        <w:t xml:space="preserve">such </w:t>
      </w:r>
      <w:r w:rsidRPr="00E22A43" w:rsidR="00426700">
        <w:rPr>
          <w:rFonts w:eastAsia="Calibri" w:cs="Times New Roman"/>
          <w:szCs w:val="26"/>
        </w:rPr>
        <w:t>reports</w:t>
      </w:r>
      <w:r w:rsidR="00B3273A">
        <w:rPr>
          <w:rFonts w:eastAsia="Calibri" w:cs="Times New Roman"/>
          <w:szCs w:val="26"/>
        </w:rPr>
        <w:t xml:space="preserve"> should </w:t>
      </w:r>
      <w:r w:rsidRPr="00E22A43" w:rsidR="00426700">
        <w:rPr>
          <w:rFonts w:eastAsia="Calibri" w:cs="Times New Roman"/>
          <w:szCs w:val="26"/>
        </w:rPr>
        <w:t>redact the attaching company</w:t>
      </w:r>
      <w:r w:rsidR="00410529">
        <w:rPr>
          <w:rFonts w:eastAsia="Calibri" w:cs="Times New Roman"/>
          <w:szCs w:val="26"/>
        </w:rPr>
        <w:t>’</w:t>
      </w:r>
      <w:r w:rsidRPr="00E22A43" w:rsidR="00426700">
        <w:rPr>
          <w:rFonts w:eastAsia="Calibri" w:cs="Times New Roman"/>
          <w:szCs w:val="26"/>
        </w:rPr>
        <w:t>s name.</w:t>
      </w:r>
      <w:r w:rsidRPr="00E22A43" w:rsidR="00426700">
        <w:rPr>
          <w:rFonts w:eastAsia="Calibri" w:cs="Times New Roman"/>
          <w:szCs w:val="26"/>
          <w:vertAlign w:val="superscript"/>
        </w:rPr>
        <w:footnoteReference w:id="50"/>
      </w:r>
    </w:p>
    <w:p w:rsidRPr="00E22A43" w:rsidR="00426700" w:rsidP="00ED36CC" w:rsidRDefault="001E569F" w14:paraId="33685546" w14:textId="6485D640">
      <w:pPr>
        <w:pStyle w:val="Standard"/>
      </w:pPr>
      <w:r>
        <w:rPr>
          <w:rFonts w:eastAsia="Calibri" w:cs="Times New Roman"/>
          <w:szCs w:val="26"/>
        </w:rPr>
        <w:t>Crown Castle o</w:t>
      </w:r>
      <w:r w:rsidRPr="00E22A43" w:rsidR="00426700">
        <w:rPr>
          <w:rFonts w:eastAsia="Calibri" w:cs="Times New Roman"/>
          <w:szCs w:val="26"/>
        </w:rPr>
        <w:t xml:space="preserve">pposes </w:t>
      </w:r>
      <w:r w:rsidR="00254194">
        <w:rPr>
          <w:rFonts w:eastAsia="Calibri" w:cs="Times New Roman"/>
          <w:szCs w:val="26"/>
        </w:rPr>
        <w:t xml:space="preserve">the </w:t>
      </w:r>
      <w:r w:rsidRPr="00E22A43" w:rsidR="00426700">
        <w:rPr>
          <w:rFonts w:eastAsia="Calibri" w:cs="Times New Roman"/>
          <w:szCs w:val="26"/>
        </w:rPr>
        <w:t xml:space="preserve">reporting of unauthorized attachments and fines. </w:t>
      </w:r>
      <w:r w:rsidR="00254194">
        <w:rPr>
          <w:rFonts w:eastAsia="Calibri" w:cs="Times New Roman"/>
          <w:szCs w:val="26"/>
        </w:rPr>
        <w:t>It a</w:t>
      </w:r>
      <w:r w:rsidRPr="00E22A43" w:rsidR="00426700">
        <w:rPr>
          <w:rFonts w:eastAsia="Calibri" w:cs="Times New Roman"/>
          <w:szCs w:val="26"/>
        </w:rPr>
        <w:t xml:space="preserve">rgues </w:t>
      </w:r>
      <w:r w:rsidR="00254194">
        <w:rPr>
          <w:rFonts w:eastAsia="Calibri" w:cs="Times New Roman"/>
          <w:szCs w:val="26"/>
        </w:rPr>
        <w:t xml:space="preserve">the </w:t>
      </w:r>
      <w:r w:rsidRPr="00E22A43" w:rsidR="00426700">
        <w:rPr>
          <w:rFonts w:eastAsia="Calibri" w:cs="Times New Roman"/>
          <w:szCs w:val="26"/>
        </w:rPr>
        <w:t>reports are of limited usefulness, burdensome</w:t>
      </w:r>
      <w:r w:rsidR="00254194">
        <w:rPr>
          <w:rFonts w:eastAsia="Calibri" w:cs="Times New Roman"/>
          <w:szCs w:val="26"/>
        </w:rPr>
        <w:t xml:space="preserve"> </w:t>
      </w:r>
      <w:r w:rsidR="000F7B88">
        <w:rPr>
          <w:rFonts w:eastAsia="Calibri" w:cs="Times New Roman"/>
          <w:szCs w:val="26"/>
        </w:rPr>
        <w:t xml:space="preserve">and costly </w:t>
      </w:r>
      <w:r w:rsidR="00254194">
        <w:rPr>
          <w:rFonts w:eastAsia="Calibri" w:cs="Times New Roman"/>
          <w:szCs w:val="26"/>
        </w:rPr>
        <w:t>to prepare</w:t>
      </w:r>
      <w:r w:rsidRPr="00E22A43" w:rsidR="00426700">
        <w:rPr>
          <w:rFonts w:eastAsia="Calibri" w:cs="Times New Roman"/>
          <w:szCs w:val="26"/>
        </w:rPr>
        <w:t xml:space="preserve">, and </w:t>
      </w:r>
      <w:r w:rsidR="000F7B88">
        <w:rPr>
          <w:rFonts w:eastAsia="Calibri" w:cs="Times New Roman"/>
          <w:szCs w:val="26"/>
        </w:rPr>
        <w:t>that</w:t>
      </w:r>
      <w:r w:rsidRPr="00E22A43" w:rsidR="00426700">
        <w:rPr>
          <w:rFonts w:eastAsia="Calibri" w:cs="Times New Roman"/>
          <w:szCs w:val="26"/>
        </w:rPr>
        <w:t xml:space="preserve"> the CPUC already can request the information if needed. </w:t>
      </w:r>
      <w:r w:rsidR="00AE396E">
        <w:rPr>
          <w:rFonts w:eastAsia="Calibri" w:cs="Times New Roman"/>
          <w:szCs w:val="26"/>
        </w:rPr>
        <w:t>Crown Castle also claims</w:t>
      </w:r>
      <w:r w:rsidRPr="00E22A43" w:rsidR="00426700">
        <w:rPr>
          <w:rFonts w:eastAsia="Calibri" w:cs="Times New Roman"/>
          <w:szCs w:val="26"/>
        </w:rPr>
        <w:t xml:space="preserve"> that determining whether attachments are unauthorized is often unclear and </w:t>
      </w:r>
      <w:r w:rsidR="007D1D41">
        <w:rPr>
          <w:rFonts w:eastAsia="Calibri" w:cs="Times New Roman"/>
          <w:szCs w:val="26"/>
        </w:rPr>
        <w:t xml:space="preserve">should be </w:t>
      </w:r>
      <w:r w:rsidRPr="00E22A43" w:rsidR="00426700">
        <w:rPr>
          <w:rFonts w:eastAsia="Calibri" w:cs="Times New Roman"/>
          <w:szCs w:val="26"/>
        </w:rPr>
        <w:t>resolved informally between parties.</w:t>
      </w:r>
      <w:r w:rsidRPr="00E22A43" w:rsidR="00426700">
        <w:rPr>
          <w:rFonts w:eastAsia="Calibri" w:cs="Times New Roman"/>
          <w:szCs w:val="26"/>
          <w:vertAlign w:val="superscript"/>
        </w:rPr>
        <w:footnoteReference w:id="51"/>
      </w:r>
    </w:p>
    <w:p w:rsidRPr="00E22A43" w:rsidR="00426700" w:rsidP="00ED36CC" w:rsidRDefault="003C05DA" w14:paraId="449C3B31" w14:textId="488B56F5">
      <w:pPr>
        <w:pStyle w:val="Standard"/>
      </w:pPr>
      <w:proofErr w:type="spellStart"/>
      <w:r>
        <w:rPr>
          <w:rFonts w:eastAsia="Calibri" w:cs="Times New Roman"/>
          <w:szCs w:val="26"/>
        </w:rPr>
        <w:t>Extenet</w:t>
      </w:r>
      <w:proofErr w:type="spellEnd"/>
      <w:r>
        <w:rPr>
          <w:rFonts w:eastAsia="Calibri" w:cs="Times New Roman"/>
          <w:szCs w:val="26"/>
        </w:rPr>
        <w:t xml:space="preserve"> System s</w:t>
      </w:r>
      <w:r w:rsidRPr="00E22A43" w:rsidR="00426700">
        <w:rPr>
          <w:rFonts w:eastAsia="Calibri" w:cs="Times New Roman"/>
          <w:szCs w:val="26"/>
        </w:rPr>
        <w:t xml:space="preserve">uggests </w:t>
      </w:r>
      <w:r>
        <w:rPr>
          <w:rFonts w:eastAsia="Calibri" w:cs="Times New Roman"/>
          <w:szCs w:val="26"/>
        </w:rPr>
        <w:t xml:space="preserve">the required </w:t>
      </w:r>
      <w:r w:rsidRPr="00E22A43" w:rsidR="00426700">
        <w:rPr>
          <w:rFonts w:eastAsia="Calibri" w:cs="Times New Roman"/>
          <w:szCs w:val="26"/>
        </w:rPr>
        <w:t>documentation</w:t>
      </w:r>
      <w:r w:rsidR="000F7B88">
        <w:rPr>
          <w:rFonts w:eastAsia="Calibri" w:cs="Times New Roman"/>
          <w:szCs w:val="26"/>
        </w:rPr>
        <w:t xml:space="preserve"> for unauthorized attachments and fines</w:t>
      </w:r>
      <w:r w:rsidRPr="00E22A43" w:rsidR="00426700">
        <w:rPr>
          <w:rFonts w:eastAsia="Calibri" w:cs="Times New Roman"/>
          <w:szCs w:val="26"/>
        </w:rPr>
        <w:t xml:space="preserve"> include: name of pole owner, notice from pole owner to attacher, attacher</w:t>
      </w:r>
      <w:r w:rsidR="00410529">
        <w:rPr>
          <w:rFonts w:eastAsia="Calibri" w:cs="Times New Roman"/>
          <w:szCs w:val="26"/>
        </w:rPr>
        <w:t>’</w:t>
      </w:r>
      <w:r w:rsidRPr="00E22A43" w:rsidR="00426700">
        <w:rPr>
          <w:rFonts w:eastAsia="Calibri" w:cs="Times New Roman"/>
          <w:szCs w:val="26"/>
        </w:rPr>
        <w:t>s response to pole owner, and key dates.</w:t>
      </w:r>
      <w:r w:rsidRPr="00E22A43" w:rsidR="00426700">
        <w:rPr>
          <w:rFonts w:eastAsia="Calibri" w:cs="Times New Roman"/>
          <w:szCs w:val="26"/>
          <w:vertAlign w:val="superscript"/>
        </w:rPr>
        <w:footnoteReference w:id="52"/>
      </w:r>
    </w:p>
    <w:p w:rsidRPr="00E22A43" w:rsidR="00426700" w:rsidP="00ED36CC" w:rsidRDefault="00B86D6C" w14:paraId="38979BB2" w14:textId="07AB79B7">
      <w:pPr>
        <w:pStyle w:val="Standard"/>
      </w:pPr>
      <w:r>
        <w:rPr>
          <w:rFonts w:eastAsia="Calibri" w:cs="Times New Roman"/>
          <w:szCs w:val="26"/>
        </w:rPr>
        <w:t>PG&amp;E g</w:t>
      </w:r>
      <w:r w:rsidRPr="00E22A43" w:rsidR="00426700">
        <w:rPr>
          <w:rFonts w:eastAsia="Calibri" w:cs="Times New Roman"/>
          <w:szCs w:val="26"/>
        </w:rPr>
        <w:t xml:space="preserve">enerally supports </w:t>
      </w:r>
      <w:r w:rsidR="004B7801">
        <w:rPr>
          <w:rFonts w:eastAsia="Calibri" w:cs="Times New Roman"/>
          <w:szCs w:val="26"/>
        </w:rPr>
        <w:t>the Staff P</w:t>
      </w:r>
      <w:r w:rsidRPr="00E22A43" w:rsidR="00426700">
        <w:rPr>
          <w:rFonts w:eastAsia="Calibri" w:cs="Times New Roman"/>
          <w:szCs w:val="26"/>
        </w:rPr>
        <w:t>roposal</w:t>
      </w:r>
      <w:r w:rsidR="003C2BF1">
        <w:rPr>
          <w:rFonts w:eastAsia="Calibri" w:cs="Times New Roman"/>
          <w:szCs w:val="26"/>
        </w:rPr>
        <w:t>, but</w:t>
      </w:r>
      <w:r>
        <w:rPr>
          <w:rFonts w:eastAsia="Calibri" w:cs="Times New Roman"/>
          <w:szCs w:val="26"/>
        </w:rPr>
        <w:t xml:space="preserve"> r</w:t>
      </w:r>
      <w:r w:rsidRPr="00E22A43" w:rsidR="00426700">
        <w:rPr>
          <w:rFonts w:eastAsia="Calibri" w:cs="Times New Roman"/>
          <w:szCs w:val="26"/>
        </w:rPr>
        <w:t xml:space="preserve">ecommends modifications to proposed </w:t>
      </w:r>
      <w:r w:rsidR="00B64DFB">
        <w:rPr>
          <w:rFonts w:eastAsia="Calibri" w:cs="Times New Roman"/>
          <w:szCs w:val="26"/>
        </w:rPr>
        <w:t>Section</w:t>
      </w:r>
      <w:r w:rsidR="0051059D">
        <w:rPr>
          <w:rFonts w:eastAsia="Calibri" w:cs="Times New Roman"/>
          <w:szCs w:val="26"/>
        </w:rPr>
        <w:t> </w:t>
      </w:r>
      <w:r w:rsidRPr="00E22A43" w:rsidR="00426700">
        <w:rPr>
          <w:rFonts w:eastAsia="Calibri" w:cs="Times New Roman"/>
          <w:szCs w:val="26"/>
        </w:rPr>
        <w:t xml:space="preserve">VI.D.6 of </w:t>
      </w:r>
      <w:r w:rsidR="005B40C8">
        <w:rPr>
          <w:rFonts w:eastAsia="Calibri" w:cs="Times New Roman"/>
          <w:szCs w:val="26"/>
        </w:rPr>
        <w:t>GO</w:t>
      </w:r>
      <w:r w:rsidR="0051059D">
        <w:rPr>
          <w:rFonts w:eastAsia="Calibri" w:cs="Times New Roman"/>
          <w:szCs w:val="26"/>
        </w:rPr>
        <w:t> </w:t>
      </w:r>
      <w:r w:rsidRPr="00E22A43" w:rsidR="00426700">
        <w:rPr>
          <w:rFonts w:eastAsia="Calibri" w:cs="Times New Roman"/>
          <w:szCs w:val="26"/>
        </w:rPr>
        <w:t>178</w:t>
      </w:r>
      <w:r w:rsidR="000F7B88">
        <w:rPr>
          <w:rFonts w:eastAsia="Calibri" w:cs="Times New Roman"/>
          <w:szCs w:val="26"/>
        </w:rPr>
        <w:t xml:space="preserve"> to</w:t>
      </w:r>
      <w:r w:rsidRPr="00E22A43" w:rsidR="00426700">
        <w:rPr>
          <w:rFonts w:eastAsia="Calibri" w:cs="Times New Roman"/>
          <w:szCs w:val="26"/>
        </w:rPr>
        <w:t>:</w:t>
      </w:r>
      <w:r w:rsidR="000F7B88">
        <w:rPr>
          <w:rFonts w:eastAsia="Calibri" w:cs="Times New Roman"/>
          <w:szCs w:val="26"/>
        </w:rPr>
        <w:t xml:space="preserve"> (1)</w:t>
      </w:r>
      <w:r w:rsidR="00DA7A3E">
        <w:rPr>
          <w:rFonts w:eastAsia="Calibri" w:cs="Times New Roman"/>
          <w:szCs w:val="26"/>
        </w:rPr>
        <w:t> </w:t>
      </w:r>
      <w:r w:rsidRPr="00E22A43" w:rsidR="00426700">
        <w:rPr>
          <w:rFonts w:eastAsia="Calibri" w:cs="Times New Roman"/>
          <w:szCs w:val="26"/>
        </w:rPr>
        <w:t>remove reference to D.21</w:t>
      </w:r>
      <w:r w:rsidR="00E4753D">
        <w:rPr>
          <w:rFonts w:eastAsia="Calibri" w:cs="Times New Roman"/>
          <w:szCs w:val="26"/>
        </w:rPr>
        <w:noBreakHyphen/>
      </w:r>
      <w:r w:rsidRPr="00E22A43" w:rsidR="00426700">
        <w:rPr>
          <w:rFonts w:eastAsia="Calibri" w:cs="Times New Roman"/>
          <w:szCs w:val="26"/>
        </w:rPr>
        <w:t>10</w:t>
      </w:r>
      <w:r w:rsidR="00E4753D">
        <w:rPr>
          <w:rFonts w:eastAsia="Calibri" w:cs="Times New Roman"/>
          <w:szCs w:val="26"/>
        </w:rPr>
        <w:noBreakHyphen/>
      </w:r>
      <w:r w:rsidRPr="00E22A43" w:rsidR="00426700">
        <w:rPr>
          <w:rFonts w:eastAsia="Calibri" w:cs="Times New Roman"/>
          <w:szCs w:val="26"/>
        </w:rPr>
        <w:t xml:space="preserve">019; </w:t>
      </w:r>
      <w:r w:rsidR="000F7B88">
        <w:rPr>
          <w:rFonts w:eastAsia="Calibri" w:cs="Times New Roman"/>
          <w:szCs w:val="26"/>
        </w:rPr>
        <w:t>(2)</w:t>
      </w:r>
      <w:r w:rsidR="00DA7A3E">
        <w:rPr>
          <w:rFonts w:eastAsia="Calibri" w:cs="Times New Roman"/>
          <w:szCs w:val="26"/>
        </w:rPr>
        <w:t> </w:t>
      </w:r>
      <w:r w:rsidRPr="00E22A43" w:rsidR="00426700">
        <w:rPr>
          <w:rFonts w:eastAsia="Calibri" w:cs="Times New Roman"/>
          <w:szCs w:val="26"/>
        </w:rPr>
        <w:t xml:space="preserve">delete </w:t>
      </w:r>
      <w:r w:rsidR="00B64DFB">
        <w:rPr>
          <w:rFonts w:eastAsia="Calibri" w:cs="Times New Roman"/>
          <w:szCs w:val="26"/>
        </w:rPr>
        <w:t>Section</w:t>
      </w:r>
      <w:r w:rsidR="0051059D">
        <w:rPr>
          <w:rFonts w:eastAsia="Calibri" w:cs="Times New Roman"/>
          <w:szCs w:val="26"/>
        </w:rPr>
        <w:t> </w:t>
      </w:r>
      <w:r w:rsidRPr="00E22A43" w:rsidR="00426700">
        <w:rPr>
          <w:rFonts w:eastAsia="Calibri" w:cs="Times New Roman"/>
          <w:szCs w:val="26"/>
        </w:rPr>
        <w:t xml:space="preserve">VI.D.6.d; </w:t>
      </w:r>
      <w:r w:rsidR="000F7B88">
        <w:rPr>
          <w:rFonts w:eastAsia="Calibri" w:cs="Times New Roman"/>
          <w:szCs w:val="26"/>
        </w:rPr>
        <w:t>(3)</w:t>
      </w:r>
      <w:r w:rsidR="00DA7A3E">
        <w:rPr>
          <w:rFonts w:eastAsia="Calibri" w:cs="Times New Roman"/>
          <w:szCs w:val="26"/>
        </w:rPr>
        <w:t> </w:t>
      </w:r>
      <w:r w:rsidRPr="00E22A43" w:rsidR="00426700">
        <w:rPr>
          <w:rFonts w:eastAsia="Calibri" w:cs="Times New Roman"/>
          <w:szCs w:val="26"/>
        </w:rPr>
        <w:t xml:space="preserve">add </w:t>
      </w:r>
      <w:r w:rsidR="00410529">
        <w:rPr>
          <w:rFonts w:eastAsia="Calibri" w:cs="Times New Roman"/>
          <w:szCs w:val="26"/>
        </w:rPr>
        <w:t>“</w:t>
      </w:r>
      <w:r w:rsidRPr="00E22A43" w:rsidR="00426700">
        <w:rPr>
          <w:rFonts w:eastAsia="Calibri" w:cs="Times New Roman"/>
          <w:szCs w:val="26"/>
        </w:rPr>
        <w:t>the county in which the unauthorized attachment was located</w:t>
      </w:r>
      <w:r w:rsidR="00410529">
        <w:rPr>
          <w:rFonts w:eastAsia="Calibri" w:cs="Times New Roman"/>
          <w:szCs w:val="26"/>
        </w:rPr>
        <w:t>”</w:t>
      </w:r>
      <w:r w:rsidRPr="00E22A43" w:rsidR="00426700">
        <w:rPr>
          <w:rFonts w:eastAsia="Calibri" w:cs="Times New Roman"/>
          <w:szCs w:val="26"/>
        </w:rPr>
        <w:t xml:space="preserve"> so local authorities and customers can review and monitor the impact of unauthorized attachments; </w:t>
      </w:r>
      <w:r w:rsidR="000F7B88">
        <w:rPr>
          <w:rFonts w:eastAsia="Calibri" w:cs="Times New Roman"/>
          <w:szCs w:val="26"/>
        </w:rPr>
        <w:t>and (4)</w:t>
      </w:r>
      <w:r w:rsidR="000E7F98">
        <w:rPr>
          <w:rFonts w:eastAsia="Calibri" w:cs="Times New Roman"/>
          <w:szCs w:val="26"/>
        </w:rPr>
        <w:t> </w:t>
      </w:r>
      <w:r w:rsidRPr="00E22A43" w:rsidR="00426700">
        <w:rPr>
          <w:rFonts w:eastAsia="Calibri" w:cs="Times New Roman"/>
          <w:szCs w:val="26"/>
        </w:rPr>
        <w:t xml:space="preserve">add </w:t>
      </w:r>
      <w:r w:rsidR="00410529">
        <w:rPr>
          <w:rFonts w:eastAsia="Calibri" w:cs="Times New Roman"/>
          <w:szCs w:val="26"/>
        </w:rPr>
        <w:t>“</w:t>
      </w:r>
      <w:r w:rsidRPr="00E22A43" w:rsidR="00426700">
        <w:rPr>
          <w:rFonts w:eastAsia="Calibri" w:cs="Times New Roman"/>
          <w:szCs w:val="26"/>
        </w:rPr>
        <w:t>Whether the unauthorized attachment was in a High Fire Threat District, and if so, which Tier.</w:t>
      </w:r>
      <w:r w:rsidR="00410529">
        <w:rPr>
          <w:rFonts w:eastAsia="Calibri" w:cs="Times New Roman"/>
          <w:szCs w:val="26"/>
        </w:rPr>
        <w:t>”</w:t>
      </w:r>
      <w:r w:rsidRPr="00E22A43" w:rsidR="00426700">
        <w:rPr>
          <w:rFonts w:eastAsia="Calibri" w:cs="Times New Roman"/>
          <w:szCs w:val="26"/>
          <w:vertAlign w:val="superscript"/>
        </w:rPr>
        <w:footnoteReference w:id="53"/>
      </w:r>
    </w:p>
    <w:p w:rsidRPr="00E22A43" w:rsidR="00426700" w:rsidP="00ED36CC" w:rsidRDefault="00D55CEB" w14:paraId="2B3CCDC9" w14:textId="5180FEEE">
      <w:pPr>
        <w:pStyle w:val="Standard"/>
      </w:pPr>
      <w:r>
        <w:rPr>
          <w:rFonts w:eastAsia="Calibri" w:cs="Times New Roman"/>
          <w:szCs w:val="26"/>
        </w:rPr>
        <w:lastRenderedPageBreak/>
        <w:t>Race q</w:t>
      </w:r>
      <w:r w:rsidRPr="00E22A43" w:rsidR="00426700">
        <w:rPr>
          <w:rFonts w:eastAsia="Calibri" w:cs="Times New Roman"/>
          <w:szCs w:val="26"/>
        </w:rPr>
        <w:t xml:space="preserve">uestions the need for reporting on unauthorized attachments. </w:t>
      </w:r>
      <w:r w:rsidR="000E7B5A">
        <w:rPr>
          <w:rFonts w:eastAsia="Calibri" w:cs="Times New Roman"/>
          <w:szCs w:val="26"/>
        </w:rPr>
        <w:t>It o</w:t>
      </w:r>
      <w:r w:rsidRPr="00E22A43" w:rsidR="00426700">
        <w:rPr>
          <w:rFonts w:eastAsia="Calibri" w:cs="Times New Roman"/>
          <w:szCs w:val="26"/>
        </w:rPr>
        <w:t xml:space="preserve">bjects to including any location information in public filings, citing national security, competitive, and cybersecurity concerns. </w:t>
      </w:r>
      <w:r w:rsidR="000E7B5A">
        <w:rPr>
          <w:rFonts w:eastAsia="Calibri" w:cs="Times New Roman"/>
          <w:szCs w:val="26"/>
        </w:rPr>
        <w:t>It c</w:t>
      </w:r>
      <w:r w:rsidRPr="00E22A43" w:rsidR="00426700">
        <w:rPr>
          <w:rFonts w:eastAsia="Calibri" w:cs="Times New Roman"/>
          <w:szCs w:val="26"/>
        </w:rPr>
        <w:t>laims additional reporting requirements would create a significant burden with little apparent benefit to consumers or public safety.</w:t>
      </w:r>
      <w:r w:rsidRPr="00E22A43" w:rsidR="00426700">
        <w:rPr>
          <w:rFonts w:eastAsia="Calibri" w:cs="Times New Roman"/>
          <w:szCs w:val="26"/>
          <w:vertAlign w:val="superscript"/>
        </w:rPr>
        <w:footnoteReference w:id="54"/>
      </w:r>
    </w:p>
    <w:p w:rsidRPr="00E22A43" w:rsidR="00426700" w:rsidP="00ED36CC" w:rsidRDefault="00426700" w14:paraId="56AF74DB" w14:textId="52CB443F">
      <w:pPr>
        <w:pStyle w:val="Standard"/>
      </w:pPr>
      <w:r w:rsidRPr="00E22A43">
        <w:rPr>
          <w:rFonts w:eastAsia="Calibri" w:cs="Times New Roman"/>
          <w:szCs w:val="26"/>
        </w:rPr>
        <w:t>S</w:t>
      </w:r>
      <w:r w:rsidR="00AE5F57">
        <w:rPr>
          <w:rFonts w:eastAsia="Calibri" w:cs="Times New Roman"/>
          <w:szCs w:val="26"/>
        </w:rPr>
        <w:t>CE s</w:t>
      </w:r>
      <w:r w:rsidRPr="00E22A43">
        <w:rPr>
          <w:rFonts w:eastAsia="Calibri" w:cs="Times New Roman"/>
          <w:szCs w:val="26"/>
        </w:rPr>
        <w:t xml:space="preserve">upports including the information in </w:t>
      </w:r>
      <w:r w:rsidR="00CE5DB2">
        <w:rPr>
          <w:rFonts w:eastAsia="Calibri" w:cs="Times New Roman"/>
          <w:szCs w:val="26"/>
        </w:rPr>
        <w:t>Sections</w:t>
      </w:r>
      <w:r w:rsidR="0051059D">
        <w:rPr>
          <w:rFonts w:eastAsia="Calibri" w:cs="Times New Roman"/>
          <w:szCs w:val="26"/>
        </w:rPr>
        <w:t> </w:t>
      </w:r>
      <w:r w:rsidRPr="00E22A43">
        <w:rPr>
          <w:rFonts w:eastAsia="Calibri" w:cs="Times New Roman"/>
          <w:szCs w:val="26"/>
        </w:rPr>
        <w:t>VI.D.6.a</w:t>
      </w:r>
      <w:r w:rsidR="00E4753D">
        <w:rPr>
          <w:rFonts w:eastAsia="Calibri" w:cs="Times New Roman"/>
          <w:szCs w:val="26"/>
        </w:rPr>
        <w:noBreakHyphen/>
      </w:r>
      <w:r w:rsidRPr="00E22A43">
        <w:rPr>
          <w:rFonts w:eastAsia="Calibri" w:cs="Times New Roman"/>
          <w:szCs w:val="26"/>
        </w:rPr>
        <w:t>c</w:t>
      </w:r>
      <w:r w:rsidR="00251514">
        <w:rPr>
          <w:rFonts w:eastAsia="Calibri" w:cs="Times New Roman"/>
          <w:szCs w:val="26"/>
        </w:rPr>
        <w:t xml:space="preserve"> and</w:t>
      </w:r>
      <w:r w:rsidRPr="00E22A43">
        <w:rPr>
          <w:rFonts w:eastAsia="Calibri" w:cs="Times New Roman"/>
          <w:szCs w:val="26"/>
        </w:rPr>
        <w:t xml:space="preserve"> e</w:t>
      </w:r>
      <w:r w:rsidR="00E4753D">
        <w:rPr>
          <w:rFonts w:eastAsia="Calibri" w:cs="Times New Roman"/>
          <w:szCs w:val="26"/>
        </w:rPr>
        <w:noBreakHyphen/>
      </w:r>
      <w:r w:rsidRPr="00E22A43">
        <w:rPr>
          <w:rFonts w:eastAsia="Calibri" w:cs="Times New Roman"/>
          <w:szCs w:val="26"/>
        </w:rPr>
        <w:t xml:space="preserve">f of </w:t>
      </w:r>
      <w:r w:rsidR="005B40C8">
        <w:rPr>
          <w:rFonts w:eastAsia="Calibri" w:cs="Times New Roman"/>
          <w:szCs w:val="26"/>
        </w:rPr>
        <w:t>GO</w:t>
      </w:r>
      <w:r w:rsidR="0051059D">
        <w:rPr>
          <w:rFonts w:eastAsia="Calibri" w:cs="Times New Roman"/>
          <w:szCs w:val="26"/>
        </w:rPr>
        <w:t> </w:t>
      </w:r>
      <w:r w:rsidRPr="00E22A43">
        <w:rPr>
          <w:rFonts w:eastAsia="Calibri" w:cs="Times New Roman"/>
          <w:szCs w:val="26"/>
        </w:rPr>
        <w:t xml:space="preserve">178 in the Annual Compliance Report. </w:t>
      </w:r>
      <w:r w:rsidR="00AE5F57">
        <w:rPr>
          <w:rFonts w:eastAsia="Calibri" w:cs="Times New Roman"/>
          <w:szCs w:val="26"/>
        </w:rPr>
        <w:t>It a</w:t>
      </w:r>
      <w:r w:rsidRPr="00E22A43">
        <w:rPr>
          <w:rFonts w:eastAsia="Calibri" w:cs="Times New Roman"/>
          <w:szCs w:val="26"/>
        </w:rPr>
        <w:t xml:space="preserve">grees the Annual Compliance Report should be submitted via </w:t>
      </w:r>
      <w:hyperlink w:history="1" r:id="rId16">
        <w:r w:rsidRPr="008E5B9A">
          <w:rPr>
            <w:rStyle w:val="Hyperlink"/>
            <w:rFonts w:eastAsia="Calibri" w:cs="Times New Roman"/>
            <w:szCs w:val="26"/>
          </w:rPr>
          <w:t>CDcompliance@cpuc.ca.gov</w:t>
        </w:r>
      </w:hyperlink>
      <w:r w:rsidRPr="00E22A43">
        <w:rPr>
          <w:rFonts w:eastAsia="Calibri" w:cs="Times New Roman"/>
          <w:szCs w:val="26"/>
        </w:rPr>
        <w:t xml:space="preserve"> on </w:t>
      </w:r>
      <w:r w:rsidR="00410529">
        <w:rPr>
          <w:rFonts w:eastAsia="Calibri" w:cs="Times New Roman"/>
          <w:szCs w:val="26"/>
        </w:rPr>
        <w:t>April </w:t>
      </w:r>
      <w:r w:rsidRPr="00E22A43">
        <w:rPr>
          <w:rFonts w:eastAsia="Calibri" w:cs="Times New Roman"/>
          <w:szCs w:val="26"/>
        </w:rPr>
        <w:t>1</w:t>
      </w:r>
      <w:r w:rsidR="00410529">
        <w:rPr>
          <w:rFonts w:eastAsia="Calibri" w:cs="Times New Roman"/>
          <w:szCs w:val="26"/>
        </w:rPr>
        <w:t>st</w:t>
      </w:r>
      <w:r w:rsidRPr="00E22A43">
        <w:rPr>
          <w:rFonts w:eastAsia="Calibri" w:cs="Times New Roman"/>
          <w:szCs w:val="26"/>
        </w:rPr>
        <w:t xml:space="preserve"> so the CPUC can evaluate the effectiveness of the increased penalty.</w:t>
      </w:r>
      <w:r w:rsidRPr="00E22A43">
        <w:rPr>
          <w:rFonts w:eastAsia="Calibri" w:cs="Times New Roman"/>
          <w:szCs w:val="26"/>
          <w:vertAlign w:val="superscript"/>
        </w:rPr>
        <w:footnoteReference w:id="55"/>
      </w:r>
    </w:p>
    <w:p w:rsidRPr="00E22A43" w:rsidR="00426700" w:rsidP="00ED36CC" w:rsidRDefault="009D57B6" w14:paraId="2422D16C" w14:textId="626BFE28">
      <w:pPr>
        <w:pStyle w:val="Standard"/>
      </w:pPr>
      <w:r>
        <w:rPr>
          <w:rFonts w:eastAsia="Calibri" w:cs="Times New Roman"/>
          <w:szCs w:val="26"/>
        </w:rPr>
        <w:t>SDG&amp;E d</w:t>
      </w:r>
      <w:r w:rsidRPr="00E22A43" w:rsidR="00426700">
        <w:rPr>
          <w:rFonts w:eastAsia="Calibri" w:cs="Times New Roman"/>
          <w:szCs w:val="26"/>
        </w:rPr>
        <w:t xml:space="preserve">oes not recommend that unauthorized attachments be reported. If reporting is required, </w:t>
      </w:r>
      <w:r w:rsidR="00C3792D">
        <w:rPr>
          <w:rFonts w:eastAsia="Calibri" w:cs="Times New Roman"/>
          <w:szCs w:val="26"/>
        </w:rPr>
        <w:t>SDG&amp;E</w:t>
      </w:r>
      <w:r>
        <w:rPr>
          <w:rFonts w:eastAsia="Calibri" w:cs="Times New Roman"/>
          <w:szCs w:val="26"/>
        </w:rPr>
        <w:t xml:space="preserve"> </w:t>
      </w:r>
      <w:r w:rsidRPr="00E22A43" w:rsidR="00426700">
        <w:rPr>
          <w:rFonts w:eastAsia="Calibri" w:cs="Times New Roman"/>
          <w:szCs w:val="26"/>
        </w:rPr>
        <w:t xml:space="preserve">recommends reporting only undisputed unauthorized attachments on an annual basis when not resolved within 90 days, identifying the total number of affected poles and the attachment owner. </w:t>
      </w:r>
      <w:r w:rsidR="00AC51AF">
        <w:rPr>
          <w:rFonts w:eastAsia="Calibri" w:cs="Times New Roman"/>
          <w:szCs w:val="26"/>
        </w:rPr>
        <w:t>It s</w:t>
      </w:r>
      <w:r w:rsidRPr="00E22A43" w:rsidR="00426700">
        <w:rPr>
          <w:rFonts w:eastAsia="Calibri" w:cs="Times New Roman"/>
          <w:szCs w:val="26"/>
        </w:rPr>
        <w:t>uggests that any fines could be reported under the Non</w:t>
      </w:r>
      <w:r w:rsidR="00E4753D">
        <w:rPr>
          <w:rFonts w:eastAsia="Calibri" w:cs="Times New Roman"/>
          <w:szCs w:val="26"/>
        </w:rPr>
        <w:noBreakHyphen/>
      </w:r>
      <w:r w:rsidRPr="00E22A43" w:rsidR="00426700">
        <w:rPr>
          <w:rFonts w:eastAsia="Calibri" w:cs="Times New Roman"/>
          <w:szCs w:val="26"/>
        </w:rPr>
        <w:t xml:space="preserve">Tariffed Product and Services Report governed by </w:t>
      </w:r>
      <w:r w:rsidR="00A929DC">
        <w:rPr>
          <w:rFonts w:eastAsia="Calibri" w:cs="Times New Roman"/>
          <w:szCs w:val="26"/>
        </w:rPr>
        <w:t>Rule</w:t>
      </w:r>
      <w:r w:rsidR="0051059D">
        <w:rPr>
          <w:rFonts w:eastAsia="Calibri" w:cs="Times New Roman"/>
          <w:szCs w:val="26"/>
        </w:rPr>
        <w:t> </w:t>
      </w:r>
      <w:r w:rsidRPr="00E22A43" w:rsidR="00426700">
        <w:rPr>
          <w:rFonts w:eastAsia="Calibri" w:cs="Times New Roman"/>
          <w:szCs w:val="26"/>
        </w:rPr>
        <w:t>VII under D.97</w:t>
      </w:r>
      <w:r w:rsidR="00E4753D">
        <w:rPr>
          <w:rFonts w:eastAsia="Calibri" w:cs="Times New Roman"/>
          <w:szCs w:val="26"/>
        </w:rPr>
        <w:noBreakHyphen/>
      </w:r>
      <w:r w:rsidRPr="00E22A43" w:rsidR="00426700">
        <w:rPr>
          <w:rFonts w:eastAsia="Calibri" w:cs="Times New Roman"/>
          <w:szCs w:val="26"/>
        </w:rPr>
        <w:t>12</w:t>
      </w:r>
      <w:r w:rsidR="00E4753D">
        <w:rPr>
          <w:rFonts w:eastAsia="Calibri" w:cs="Times New Roman"/>
          <w:szCs w:val="26"/>
        </w:rPr>
        <w:noBreakHyphen/>
      </w:r>
      <w:r w:rsidRPr="00E22A43" w:rsidR="00426700">
        <w:rPr>
          <w:rFonts w:eastAsia="Calibri" w:cs="Times New Roman"/>
          <w:szCs w:val="26"/>
        </w:rPr>
        <w:t>088.</w:t>
      </w:r>
      <w:r w:rsidRPr="00E22A43" w:rsidR="00426700">
        <w:rPr>
          <w:rFonts w:eastAsia="Calibri" w:cs="Times New Roman"/>
          <w:szCs w:val="26"/>
          <w:vertAlign w:val="superscript"/>
        </w:rPr>
        <w:footnoteReference w:id="56"/>
      </w:r>
    </w:p>
    <w:p w:rsidRPr="00E22A43" w:rsidR="00426700" w:rsidP="00ED36CC" w:rsidRDefault="00AC51AF" w14:paraId="66C8EA3C" w14:textId="3E0C167D">
      <w:pPr>
        <w:pStyle w:val="Standard"/>
      </w:pPr>
      <w:r>
        <w:rPr>
          <w:rFonts w:eastAsia="Calibri" w:cs="Times New Roman"/>
          <w:szCs w:val="26"/>
        </w:rPr>
        <w:t>Sonic r</w:t>
      </w:r>
      <w:r w:rsidRPr="00E22A43" w:rsidR="00426700">
        <w:rPr>
          <w:rFonts w:eastAsia="Calibri" w:cs="Times New Roman"/>
          <w:szCs w:val="26"/>
        </w:rPr>
        <w:t xml:space="preserve">ecommends pole owners report alleged unauthorized attachments to </w:t>
      </w:r>
      <w:r w:rsidR="00C3792D">
        <w:rPr>
          <w:rFonts w:eastAsia="Calibri" w:cs="Times New Roman"/>
          <w:szCs w:val="26"/>
        </w:rPr>
        <w:t>the Commission’s Safety and Enforcement Division (</w:t>
      </w:r>
      <w:r w:rsidRPr="00E22A43" w:rsidR="00426700">
        <w:rPr>
          <w:rFonts w:eastAsia="Calibri" w:cs="Times New Roman"/>
          <w:szCs w:val="26"/>
        </w:rPr>
        <w:t>SED</w:t>
      </w:r>
      <w:r w:rsidR="00C3792D">
        <w:rPr>
          <w:rFonts w:eastAsia="Calibri" w:cs="Times New Roman"/>
          <w:szCs w:val="26"/>
        </w:rPr>
        <w:t>)</w:t>
      </w:r>
      <w:r w:rsidRPr="00E22A43" w:rsidR="00426700">
        <w:rPr>
          <w:rFonts w:eastAsia="Calibri" w:cs="Times New Roman"/>
          <w:szCs w:val="26"/>
        </w:rPr>
        <w:t>/</w:t>
      </w:r>
      <w:r w:rsidR="00C3792D">
        <w:rPr>
          <w:rFonts w:eastAsia="Calibri" w:cs="Times New Roman"/>
          <w:szCs w:val="26"/>
        </w:rPr>
        <w:t>Electric Safety and Reliability Branch (</w:t>
      </w:r>
      <w:r w:rsidRPr="00E22A43" w:rsidR="00426700">
        <w:rPr>
          <w:rFonts w:eastAsia="Calibri" w:cs="Times New Roman"/>
          <w:szCs w:val="26"/>
        </w:rPr>
        <w:t>ESRB</w:t>
      </w:r>
      <w:r w:rsidR="00C3792D">
        <w:rPr>
          <w:rFonts w:eastAsia="Calibri" w:cs="Times New Roman"/>
          <w:szCs w:val="26"/>
        </w:rPr>
        <w:t>)</w:t>
      </w:r>
      <w:r w:rsidRPr="00E22A43" w:rsidR="00426700">
        <w:rPr>
          <w:rFonts w:eastAsia="Calibri" w:cs="Times New Roman"/>
          <w:szCs w:val="26"/>
        </w:rPr>
        <w:t xml:space="preserve"> for compliance investigation. </w:t>
      </w:r>
      <w:r w:rsidR="00C3792D">
        <w:rPr>
          <w:rFonts w:eastAsia="Calibri" w:cs="Times New Roman"/>
          <w:szCs w:val="26"/>
        </w:rPr>
        <w:t>Sonic</w:t>
      </w:r>
      <w:r w:rsidR="00995EF6">
        <w:rPr>
          <w:rFonts w:eastAsia="Calibri" w:cs="Times New Roman"/>
          <w:szCs w:val="26"/>
        </w:rPr>
        <w:t xml:space="preserve"> </w:t>
      </w:r>
      <w:r w:rsidR="008D2C1E">
        <w:rPr>
          <w:rFonts w:eastAsia="Calibri" w:cs="Times New Roman"/>
          <w:szCs w:val="26"/>
        </w:rPr>
        <w:t>s</w:t>
      </w:r>
      <w:r w:rsidRPr="00E22A43" w:rsidR="00426700">
        <w:rPr>
          <w:rFonts w:eastAsia="Calibri" w:cs="Times New Roman"/>
          <w:szCs w:val="26"/>
        </w:rPr>
        <w:t xml:space="preserve">uggests the data include whether the attacher was contacted and given the opportunity to correct any errors. </w:t>
      </w:r>
      <w:r w:rsidR="008D2C1E">
        <w:rPr>
          <w:rFonts w:eastAsia="Calibri" w:cs="Times New Roman"/>
          <w:szCs w:val="26"/>
        </w:rPr>
        <w:t xml:space="preserve">It </w:t>
      </w:r>
      <w:r w:rsidR="00C3792D">
        <w:rPr>
          <w:rFonts w:eastAsia="Calibri" w:cs="Times New Roman"/>
          <w:szCs w:val="26"/>
        </w:rPr>
        <w:t xml:space="preserve">also </w:t>
      </w:r>
      <w:r w:rsidR="008D2C1E">
        <w:rPr>
          <w:rFonts w:eastAsia="Calibri" w:cs="Times New Roman"/>
          <w:szCs w:val="26"/>
        </w:rPr>
        <w:t>r</w:t>
      </w:r>
      <w:r w:rsidRPr="00E22A43" w:rsidR="00426700">
        <w:rPr>
          <w:rFonts w:eastAsia="Calibri" w:cs="Times New Roman"/>
          <w:szCs w:val="26"/>
        </w:rPr>
        <w:t>ecommends allowing attachers to submit comments, challenges, and corrections before any penalties are assessed or information is posted to the web.</w:t>
      </w:r>
      <w:r w:rsidRPr="00E22A43" w:rsidR="00426700">
        <w:rPr>
          <w:rFonts w:eastAsia="Calibri" w:cs="Times New Roman"/>
          <w:szCs w:val="26"/>
          <w:vertAlign w:val="superscript"/>
        </w:rPr>
        <w:footnoteReference w:id="57"/>
      </w:r>
    </w:p>
    <w:p w:rsidRPr="00E22A43" w:rsidR="00426700" w:rsidP="00ED36CC" w:rsidRDefault="008D2C1E" w14:paraId="44CEDD02" w14:textId="60997AD4">
      <w:pPr>
        <w:pStyle w:val="Standard"/>
      </w:pPr>
      <w:proofErr w:type="spellStart"/>
      <w:r>
        <w:rPr>
          <w:rFonts w:eastAsia="Calibri" w:cs="Times New Roman"/>
          <w:szCs w:val="26"/>
        </w:rPr>
        <w:lastRenderedPageBreak/>
        <w:t>Surfnet</w:t>
      </w:r>
      <w:proofErr w:type="spellEnd"/>
      <w:r>
        <w:rPr>
          <w:rFonts w:eastAsia="Calibri" w:cs="Times New Roman"/>
          <w:szCs w:val="26"/>
        </w:rPr>
        <w:t xml:space="preserve"> o</w:t>
      </w:r>
      <w:r w:rsidRPr="00E22A43" w:rsidR="00426700">
        <w:rPr>
          <w:rFonts w:eastAsia="Calibri" w:cs="Times New Roman"/>
          <w:szCs w:val="26"/>
        </w:rPr>
        <w:t xml:space="preserve">pposes reporting on unauthorized attachments, citing costs, burdens, and lack of benefits. </w:t>
      </w:r>
      <w:r>
        <w:rPr>
          <w:rFonts w:eastAsia="Calibri" w:cs="Times New Roman"/>
          <w:szCs w:val="26"/>
        </w:rPr>
        <w:t xml:space="preserve">It </w:t>
      </w:r>
      <w:r w:rsidR="003E2339">
        <w:rPr>
          <w:rFonts w:eastAsia="Calibri" w:cs="Times New Roman"/>
          <w:szCs w:val="26"/>
        </w:rPr>
        <w:t>o</w:t>
      </w:r>
      <w:r w:rsidRPr="00E22A43" w:rsidR="00426700">
        <w:rPr>
          <w:rFonts w:eastAsia="Calibri" w:cs="Times New Roman"/>
          <w:szCs w:val="26"/>
        </w:rPr>
        <w:t>pposes including any location info</w:t>
      </w:r>
      <w:r w:rsidR="003E2339">
        <w:rPr>
          <w:rFonts w:eastAsia="Calibri" w:cs="Times New Roman"/>
          <w:szCs w:val="26"/>
        </w:rPr>
        <w:t>rmation</w:t>
      </w:r>
      <w:r w:rsidRPr="00E22A43" w:rsidR="00426700">
        <w:rPr>
          <w:rFonts w:eastAsia="Calibri" w:cs="Times New Roman"/>
          <w:szCs w:val="26"/>
        </w:rPr>
        <w:t xml:space="preserve"> in public filings due to confidentiality and competition</w:t>
      </w:r>
      <w:r w:rsidR="003E2339">
        <w:rPr>
          <w:rFonts w:eastAsia="Calibri" w:cs="Times New Roman"/>
          <w:szCs w:val="26"/>
        </w:rPr>
        <w:t xml:space="preserve"> concerns, citing </w:t>
      </w:r>
      <w:r w:rsidRPr="00E22A43" w:rsidR="00426700">
        <w:rPr>
          <w:rFonts w:eastAsia="Calibri" w:cs="Times New Roman"/>
          <w:szCs w:val="26"/>
        </w:rPr>
        <w:t xml:space="preserve">California Government Code </w:t>
      </w:r>
      <w:r w:rsidR="00B64DFB">
        <w:rPr>
          <w:rFonts w:eastAsia="Calibri" w:cs="Times New Roman"/>
          <w:szCs w:val="26"/>
        </w:rPr>
        <w:t>Section</w:t>
      </w:r>
      <w:r w:rsidR="000931D1">
        <w:rPr>
          <w:rFonts w:eastAsia="Calibri" w:cs="Times New Roman"/>
          <w:szCs w:val="26"/>
        </w:rPr>
        <w:t>s</w:t>
      </w:r>
      <w:r w:rsidR="00B64DFB">
        <w:rPr>
          <w:rFonts w:eastAsia="Calibri" w:cs="Times New Roman"/>
          <w:szCs w:val="26"/>
        </w:rPr>
        <w:t> </w:t>
      </w:r>
      <w:r w:rsidRPr="00E22A43" w:rsidR="00426700">
        <w:rPr>
          <w:rFonts w:eastAsia="Calibri" w:cs="Times New Roman"/>
          <w:szCs w:val="26"/>
        </w:rPr>
        <w:t>6254(e) and 6254(a</w:t>
      </w:r>
      <w:r w:rsidR="002449CD">
        <w:rPr>
          <w:rFonts w:eastAsia="Calibri" w:cs="Times New Roman"/>
          <w:szCs w:val="26"/>
        </w:rPr>
        <w:t>)(</w:t>
      </w:r>
      <w:r w:rsidRPr="00E22A43" w:rsidR="00426700">
        <w:rPr>
          <w:rFonts w:eastAsia="Calibri" w:cs="Times New Roman"/>
          <w:szCs w:val="26"/>
        </w:rPr>
        <w:t>b) regarding disclosure of sensitive information.</w:t>
      </w:r>
      <w:r w:rsidRPr="00E22A43" w:rsidR="00426700">
        <w:rPr>
          <w:rFonts w:eastAsia="Calibri" w:cs="Times New Roman"/>
          <w:szCs w:val="26"/>
          <w:vertAlign w:val="superscript"/>
        </w:rPr>
        <w:footnoteReference w:id="58"/>
      </w:r>
    </w:p>
    <w:p w:rsidR="00BF0394" w:rsidP="00ED4B15" w:rsidRDefault="001500F2" w14:paraId="274C9C09" w14:textId="5F263B36">
      <w:pPr>
        <w:pStyle w:val="Heading4"/>
      </w:pPr>
      <w:r>
        <w:t>For electric utilities, where do the monies from unauthorized attachment penalties go? How are these costs divided between ratepayers and shareholders?</w:t>
      </w:r>
    </w:p>
    <w:p w:rsidR="00E26F1D" w:rsidP="00ED36CC" w:rsidRDefault="00036811" w14:paraId="5982A398" w14:textId="237F58F3">
      <w:pPr>
        <w:pStyle w:val="Standard"/>
        <w:rPr>
          <w:rFonts w:eastAsia="Calibri" w:cs="Times New Roman"/>
          <w:szCs w:val="26"/>
        </w:rPr>
      </w:pPr>
      <w:r>
        <w:rPr>
          <w:rFonts w:eastAsia="Calibri" w:cs="Times New Roman"/>
          <w:szCs w:val="26"/>
        </w:rPr>
        <w:t>California Broadband and Video Association o</w:t>
      </w:r>
      <w:r w:rsidRPr="00E22A43" w:rsidR="004C1287">
        <w:rPr>
          <w:rFonts w:eastAsia="Calibri" w:cs="Times New Roman"/>
          <w:szCs w:val="26"/>
        </w:rPr>
        <w:t>pposes increasing the penalty for unauthorized attachments because</w:t>
      </w:r>
      <w:r w:rsidR="006619EB">
        <w:rPr>
          <w:rFonts w:eastAsia="Calibri" w:cs="Times New Roman"/>
          <w:szCs w:val="26"/>
        </w:rPr>
        <w:t xml:space="preserve"> it believes </w:t>
      </w:r>
      <w:r w:rsidR="00001E7D">
        <w:rPr>
          <w:rFonts w:eastAsia="Calibri" w:cs="Times New Roman"/>
          <w:szCs w:val="26"/>
        </w:rPr>
        <w:t xml:space="preserve">that </w:t>
      </w:r>
      <w:r w:rsidRPr="00E22A43" w:rsidR="00001E7D">
        <w:rPr>
          <w:rFonts w:eastAsia="Calibri" w:cs="Times New Roman"/>
          <w:szCs w:val="26"/>
        </w:rPr>
        <w:t>$</w:t>
      </w:r>
      <w:r w:rsidRPr="00E22A43" w:rsidR="004C1287">
        <w:rPr>
          <w:rFonts w:eastAsia="Calibri" w:cs="Times New Roman"/>
          <w:szCs w:val="26"/>
        </w:rPr>
        <w:t xml:space="preserve">500 </w:t>
      </w:r>
      <w:r w:rsidR="00001E7D">
        <w:rPr>
          <w:rFonts w:eastAsia="Calibri" w:cs="Times New Roman"/>
          <w:szCs w:val="26"/>
        </w:rPr>
        <w:t>is</w:t>
      </w:r>
      <w:r w:rsidRPr="00E22A43" w:rsidR="004C1287">
        <w:rPr>
          <w:rFonts w:eastAsia="Calibri" w:cs="Times New Roman"/>
          <w:szCs w:val="26"/>
        </w:rPr>
        <w:t xml:space="preserve"> sufficient, if not already too high.</w:t>
      </w:r>
      <w:r w:rsidRPr="00E22A43" w:rsidR="004C1287">
        <w:rPr>
          <w:rFonts w:eastAsia="Calibri" w:cs="Times New Roman"/>
          <w:szCs w:val="26"/>
          <w:vertAlign w:val="superscript"/>
        </w:rPr>
        <w:footnoteReference w:id="59"/>
      </w:r>
    </w:p>
    <w:p w:rsidRPr="00E22A43" w:rsidR="004C1287" w:rsidP="00ED36CC" w:rsidRDefault="006619EB" w14:paraId="61BDC442" w14:textId="2AFD5355">
      <w:pPr>
        <w:pStyle w:val="Standard"/>
      </w:pPr>
      <w:r>
        <w:rPr>
          <w:rFonts w:eastAsia="Calibri" w:cs="Times New Roman"/>
          <w:szCs w:val="26"/>
        </w:rPr>
        <w:t>Crown Castle o</w:t>
      </w:r>
      <w:r w:rsidRPr="00E22A43" w:rsidR="004C1287">
        <w:rPr>
          <w:rFonts w:eastAsia="Calibri" w:cs="Times New Roman"/>
          <w:szCs w:val="26"/>
        </w:rPr>
        <w:t xml:space="preserve">pposes proposed increase in fines for unauthorized attachments. </w:t>
      </w:r>
      <w:r w:rsidR="00F04859">
        <w:rPr>
          <w:rFonts w:eastAsia="Calibri" w:cs="Times New Roman"/>
          <w:szCs w:val="26"/>
        </w:rPr>
        <w:t>Crown Castl</w:t>
      </w:r>
      <w:r w:rsidR="00E84484">
        <w:rPr>
          <w:rFonts w:eastAsia="Calibri" w:cs="Times New Roman"/>
          <w:szCs w:val="26"/>
        </w:rPr>
        <w:t>e</w:t>
      </w:r>
      <w:r w:rsidR="000B6529">
        <w:rPr>
          <w:rFonts w:eastAsia="Calibri" w:cs="Times New Roman"/>
          <w:szCs w:val="26"/>
        </w:rPr>
        <w:t xml:space="preserve"> a</w:t>
      </w:r>
      <w:r w:rsidRPr="00E22A43" w:rsidR="004C1287">
        <w:rPr>
          <w:rFonts w:eastAsia="Calibri" w:cs="Times New Roman"/>
          <w:szCs w:val="26"/>
        </w:rPr>
        <w:t xml:space="preserve">rgues the original </w:t>
      </w:r>
      <w:r w:rsidR="00F04859">
        <w:rPr>
          <w:rFonts w:eastAsia="Calibri" w:cs="Times New Roman"/>
          <w:szCs w:val="26"/>
        </w:rPr>
        <w:t xml:space="preserve">fine </w:t>
      </w:r>
      <w:r w:rsidRPr="00E22A43" w:rsidR="004C1287">
        <w:rPr>
          <w:rFonts w:eastAsia="Calibri" w:cs="Times New Roman"/>
          <w:szCs w:val="26"/>
        </w:rPr>
        <w:t>amount may not have been reasonable</w:t>
      </w:r>
      <w:r w:rsidR="00F04859">
        <w:rPr>
          <w:rFonts w:eastAsia="Calibri" w:cs="Times New Roman"/>
          <w:szCs w:val="26"/>
        </w:rPr>
        <w:t>,</w:t>
      </w:r>
      <w:r w:rsidRPr="00E22A43" w:rsidR="004C1287">
        <w:rPr>
          <w:rFonts w:eastAsia="Calibri" w:cs="Times New Roman"/>
          <w:szCs w:val="26"/>
        </w:rPr>
        <w:t xml:space="preserve"> and </w:t>
      </w:r>
      <w:r w:rsidR="00F04859">
        <w:rPr>
          <w:rFonts w:eastAsia="Calibri" w:cs="Times New Roman"/>
          <w:szCs w:val="26"/>
        </w:rPr>
        <w:t xml:space="preserve">that staff’s </w:t>
      </w:r>
      <w:r w:rsidRPr="00E22A43" w:rsidR="004C1287">
        <w:rPr>
          <w:rFonts w:eastAsia="Calibri" w:cs="Times New Roman"/>
          <w:szCs w:val="26"/>
        </w:rPr>
        <w:t xml:space="preserve">proposed increase lacks justification. </w:t>
      </w:r>
      <w:r w:rsidR="000B6529">
        <w:rPr>
          <w:rFonts w:eastAsia="Calibri" w:cs="Times New Roman"/>
          <w:szCs w:val="26"/>
        </w:rPr>
        <w:t>It r</w:t>
      </w:r>
      <w:r w:rsidRPr="00E22A43" w:rsidR="004C1287">
        <w:rPr>
          <w:rFonts w:eastAsia="Calibri" w:cs="Times New Roman"/>
          <w:szCs w:val="26"/>
        </w:rPr>
        <w:t xml:space="preserve">ecommends </w:t>
      </w:r>
      <w:r w:rsidR="00113400">
        <w:rPr>
          <w:rFonts w:eastAsia="Calibri" w:cs="Times New Roman"/>
          <w:szCs w:val="26"/>
        </w:rPr>
        <w:t xml:space="preserve">the </w:t>
      </w:r>
      <w:r w:rsidRPr="00E22A43" w:rsidR="004C1287">
        <w:rPr>
          <w:rFonts w:eastAsia="Calibri" w:cs="Times New Roman"/>
          <w:szCs w:val="26"/>
        </w:rPr>
        <w:t>FCC</w:t>
      </w:r>
      <w:r w:rsidR="00410529">
        <w:rPr>
          <w:rFonts w:eastAsia="Calibri" w:cs="Times New Roman"/>
          <w:szCs w:val="26"/>
        </w:rPr>
        <w:t>’</w:t>
      </w:r>
      <w:r w:rsidRPr="00E22A43" w:rsidR="004C1287">
        <w:rPr>
          <w:rFonts w:eastAsia="Calibri" w:cs="Times New Roman"/>
          <w:szCs w:val="26"/>
        </w:rPr>
        <w:t>s more moderate and inflation</w:t>
      </w:r>
      <w:r w:rsidR="00E4753D">
        <w:rPr>
          <w:rFonts w:eastAsia="Calibri" w:cs="Times New Roman"/>
          <w:szCs w:val="26"/>
        </w:rPr>
        <w:noBreakHyphen/>
      </w:r>
      <w:r w:rsidRPr="00E22A43" w:rsidR="004C1287">
        <w:rPr>
          <w:rFonts w:eastAsia="Calibri" w:cs="Times New Roman"/>
          <w:szCs w:val="26"/>
        </w:rPr>
        <w:t>adjusted amount of five times the annual attachment fee plus interest.</w:t>
      </w:r>
      <w:r w:rsidRPr="00E22A43" w:rsidR="004C1287">
        <w:rPr>
          <w:rFonts w:eastAsia="Calibri" w:cs="Times New Roman"/>
          <w:szCs w:val="26"/>
          <w:vertAlign w:val="superscript"/>
        </w:rPr>
        <w:footnoteReference w:id="60"/>
      </w:r>
    </w:p>
    <w:p w:rsidRPr="00E22A43" w:rsidR="004C1287" w:rsidP="00ED36CC" w:rsidRDefault="00001E7D" w14:paraId="481F0CB7" w14:textId="5DF01456">
      <w:pPr>
        <w:pStyle w:val="Standard"/>
      </w:pPr>
      <w:proofErr w:type="spellStart"/>
      <w:r>
        <w:rPr>
          <w:rFonts w:eastAsia="Calibri" w:cs="Times New Roman"/>
          <w:szCs w:val="26"/>
        </w:rPr>
        <w:t>Extenet</w:t>
      </w:r>
      <w:proofErr w:type="spellEnd"/>
      <w:r>
        <w:rPr>
          <w:rFonts w:eastAsia="Calibri" w:cs="Times New Roman"/>
          <w:szCs w:val="26"/>
        </w:rPr>
        <w:t xml:space="preserve"> Systems r</w:t>
      </w:r>
      <w:r w:rsidRPr="00E22A43" w:rsidR="004C1287">
        <w:rPr>
          <w:rFonts w:eastAsia="Calibri" w:cs="Times New Roman"/>
          <w:szCs w:val="26"/>
        </w:rPr>
        <w:t xml:space="preserve">ecommends the funds be kept in a specific account earmarked for pole maintenance. </w:t>
      </w:r>
      <w:r w:rsidR="00C1155C">
        <w:rPr>
          <w:rFonts w:eastAsia="Calibri" w:cs="Times New Roman"/>
          <w:szCs w:val="26"/>
        </w:rPr>
        <w:t>It a</w:t>
      </w:r>
      <w:r w:rsidRPr="00E22A43" w:rsidR="004C1287">
        <w:rPr>
          <w:rFonts w:eastAsia="Calibri" w:cs="Times New Roman"/>
          <w:szCs w:val="26"/>
        </w:rPr>
        <w:t>rgues penalties are not revenue and should not go to shareholders.</w:t>
      </w:r>
      <w:r w:rsidRPr="00E22A43" w:rsidR="004C1287">
        <w:rPr>
          <w:rFonts w:eastAsia="Calibri" w:cs="Times New Roman"/>
          <w:szCs w:val="26"/>
          <w:vertAlign w:val="superscript"/>
        </w:rPr>
        <w:footnoteReference w:id="61"/>
      </w:r>
    </w:p>
    <w:p w:rsidRPr="00E22A43" w:rsidR="004C1287" w:rsidP="00ED36CC" w:rsidRDefault="00C1155C" w14:paraId="6A37A22B" w14:textId="775426EE">
      <w:pPr>
        <w:pStyle w:val="Standard"/>
      </w:pPr>
      <w:r>
        <w:rPr>
          <w:rFonts w:eastAsia="Calibri" w:cs="Times New Roman"/>
          <w:szCs w:val="26"/>
        </w:rPr>
        <w:t>PG&amp;E r</w:t>
      </w:r>
      <w:r w:rsidRPr="00E22A43" w:rsidR="004C1287">
        <w:rPr>
          <w:rFonts w:eastAsia="Calibri" w:cs="Times New Roman"/>
          <w:szCs w:val="26"/>
        </w:rPr>
        <w:t xml:space="preserve">ecommends raising the </w:t>
      </w:r>
      <w:r w:rsidR="00613EE6">
        <w:rPr>
          <w:rFonts w:eastAsia="Calibri" w:cs="Times New Roman"/>
          <w:szCs w:val="26"/>
        </w:rPr>
        <w:t xml:space="preserve">penalty </w:t>
      </w:r>
      <w:r w:rsidRPr="00E22A43" w:rsidR="004C1287">
        <w:rPr>
          <w:rFonts w:eastAsia="Calibri" w:cs="Times New Roman"/>
          <w:szCs w:val="26"/>
        </w:rPr>
        <w:t>fee to $5,000</w:t>
      </w:r>
      <w:r>
        <w:rPr>
          <w:rFonts w:eastAsia="Calibri" w:cs="Times New Roman"/>
          <w:szCs w:val="26"/>
        </w:rPr>
        <w:t>, reasoning that</w:t>
      </w:r>
      <w:r w:rsidR="004528B5">
        <w:rPr>
          <w:rFonts w:eastAsia="Calibri" w:cs="Times New Roman"/>
          <w:szCs w:val="26"/>
        </w:rPr>
        <w:t xml:space="preserve"> </w:t>
      </w:r>
      <w:r w:rsidRPr="00E22A43" w:rsidR="004C1287">
        <w:rPr>
          <w:rFonts w:eastAsia="Calibri" w:cs="Times New Roman"/>
          <w:szCs w:val="26"/>
        </w:rPr>
        <w:t>cost</w:t>
      </w:r>
      <w:r w:rsidR="004528B5">
        <w:rPr>
          <w:rFonts w:eastAsia="Calibri" w:cs="Times New Roman"/>
          <w:szCs w:val="26"/>
        </w:rPr>
        <w:t>s</w:t>
      </w:r>
      <w:r w:rsidRPr="00E22A43" w:rsidR="004C1287">
        <w:rPr>
          <w:rFonts w:eastAsia="Calibri" w:cs="Times New Roman"/>
          <w:szCs w:val="26"/>
        </w:rPr>
        <w:t xml:space="preserve"> to respond to unauthorized attachments often exceeds the $500 fee. </w:t>
      </w:r>
      <w:r w:rsidR="00613EE6">
        <w:rPr>
          <w:rFonts w:eastAsia="Calibri" w:cs="Times New Roman"/>
          <w:szCs w:val="26"/>
        </w:rPr>
        <w:t>PG&amp;E</w:t>
      </w:r>
      <w:r w:rsidR="004528B5">
        <w:rPr>
          <w:rFonts w:eastAsia="Calibri" w:cs="Times New Roman"/>
          <w:szCs w:val="26"/>
        </w:rPr>
        <w:t xml:space="preserve"> e</w:t>
      </w:r>
      <w:r w:rsidRPr="00E22A43" w:rsidR="004C1287">
        <w:rPr>
          <w:rFonts w:eastAsia="Calibri" w:cs="Times New Roman"/>
          <w:szCs w:val="26"/>
        </w:rPr>
        <w:t xml:space="preserve">xplains the </w:t>
      </w:r>
      <w:r w:rsidR="00613EE6">
        <w:rPr>
          <w:rFonts w:eastAsia="Calibri" w:cs="Times New Roman"/>
          <w:szCs w:val="26"/>
        </w:rPr>
        <w:t>fees</w:t>
      </w:r>
      <w:r w:rsidRPr="00E22A43" w:rsidR="00613EE6">
        <w:rPr>
          <w:rFonts w:eastAsia="Calibri" w:cs="Times New Roman"/>
          <w:szCs w:val="26"/>
        </w:rPr>
        <w:t xml:space="preserve"> </w:t>
      </w:r>
      <w:r w:rsidRPr="00E22A43" w:rsidR="004C1287">
        <w:rPr>
          <w:rFonts w:eastAsia="Calibri" w:cs="Times New Roman"/>
          <w:szCs w:val="26"/>
        </w:rPr>
        <w:t>offset the costs associated with PG&amp;E</w:t>
      </w:r>
      <w:r w:rsidR="00410529">
        <w:rPr>
          <w:rFonts w:eastAsia="Calibri" w:cs="Times New Roman"/>
          <w:szCs w:val="26"/>
        </w:rPr>
        <w:t>’</w:t>
      </w:r>
      <w:r w:rsidRPr="00E22A43" w:rsidR="004C1287">
        <w:rPr>
          <w:rFonts w:eastAsia="Calibri" w:cs="Times New Roman"/>
          <w:szCs w:val="26"/>
        </w:rPr>
        <w:t>s joint utilities program</w:t>
      </w:r>
      <w:r w:rsidR="00613EE6">
        <w:rPr>
          <w:rFonts w:eastAsia="Calibri" w:cs="Times New Roman"/>
          <w:szCs w:val="26"/>
        </w:rPr>
        <w:t>,</w:t>
      </w:r>
      <w:r w:rsidRPr="00E22A43" w:rsidR="004C1287">
        <w:rPr>
          <w:rFonts w:eastAsia="Calibri" w:cs="Times New Roman"/>
          <w:szCs w:val="26"/>
        </w:rPr>
        <w:t xml:space="preserve"> </w:t>
      </w:r>
      <w:r w:rsidRPr="00E22A43" w:rsidR="004C1287">
        <w:rPr>
          <w:rFonts w:eastAsia="Calibri" w:cs="Times New Roman"/>
          <w:szCs w:val="26"/>
        </w:rPr>
        <w:lastRenderedPageBreak/>
        <w:t xml:space="preserve">and that the monies are included within Other Operating Revenues </w:t>
      </w:r>
      <w:r w:rsidR="00613EE6">
        <w:rPr>
          <w:rFonts w:eastAsia="Calibri" w:cs="Times New Roman"/>
          <w:szCs w:val="26"/>
        </w:rPr>
        <w:t>of</w:t>
      </w:r>
      <w:r w:rsidRPr="00E22A43" w:rsidR="004C1287">
        <w:rPr>
          <w:rFonts w:eastAsia="Calibri" w:cs="Times New Roman"/>
          <w:szCs w:val="26"/>
        </w:rPr>
        <w:t xml:space="preserve"> </w:t>
      </w:r>
      <w:r w:rsidR="00613EE6">
        <w:rPr>
          <w:rFonts w:eastAsia="Calibri" w:cs="Times New Roman"/>
          <w:szCs w:val="26"/>
        </w:rPr>
        <w:t xml:space="preserve">PG&amp;E’s </w:t>
      </w:r>
      <w:r w:rsidR="003F77D0">
        <w:t>General Rate Case</w:t>
      </w:r>
      <w:r w:rsidRPr="00E22A43" w:rsidR="004C1287">
        <w:rPr>
          <w:rFonts w:eastAsia="Calibri" w:cs="Times New Roman"/>
          <w:szCs w:val="26"/>
        </w:rPr>
        <w:t>.</w:t>
      </w:r>
      <w:r w:rsidRPr="00E22A43" w:rsidR="004C1287">
        <w:rPr>
          <w:rFonts w:eastAsia="Calibri" w:cs="Times New Roman"/>
          <w:szCs w:val="26"/>
          <w:vertAlign w:val="superscript"/>
        </w:rPr>
        <w:footnoteReference w:id="62"/>
      </w:r>
    </w:p>
    <w:p w:rsidRPr="00E22A43" w:rsidR="004C1287" w:rsidP="00ED36CC" w:rsidRDefault="007751DE" w14:paraId="735535B7" w14:textId="76C9DDC7">
      <w:pPr>
        <w:pStyle w:val="Standard"/>
      </w:pPr>
      <w:r>
        <w:rPr>
          <w:rFonts w:eastAsia="Calibri" w:cs="Times New Roman"/>
          <w:szCs w:val="26"/>
        </w:rPr>
        <w:t>SCE s</w:t>
      </w:r>
      <w:r w:rsidRPr="00E22A43" w:rsidR="004C1287">
        <w:rPr>
          <w:rFonts w:eastAsia="Calibri" w:cs="Times New Roman"/>
          <w:szCs w:val="26"/>
        </w:rPr>
        <w:t>upports increasing the proposed penalty fee beyond $1,000</w:t>
      </w:r>
      <w:r w:rsidR="00613EE6">
        <w:rPr>
          <w:rFonts w:eastAsia="Calibri" w:cs="Times New Roman"/>
          <w:szCs w:val="26"/>
        </w:rPr>
        <w:t xml:space="preserve">, and </w:t>
      </w:r>
      <w:r>
        <w:rPr>
          <w:rFonts w:eastAsia="Calibri" w:cs="Times New Roman"/>
          <w:szCs w:val="26"/>
        </w:rPr>
        <w:t>s</w:t>
      </w:r>
      <w:r w:rsidRPr="00E22A43" w:rsidR="004C1287">
        <w:rPr>
          <w:rFonts w:eastAsia="Calibri" w:cs="Times New Roman"/>
          <w:szCs w:val="26"/>
        </w:rPr>
        <w:t>uggests the fee should increase annually by 10</w:t>
      </w:r>
      <w:r w:rsidR="004840C8">
        <w:rPr>
          <w:rFonts w:eastAsia="Calibri" w:cs="Times New Roman"/>
          <w:szCs w:val="26"/>
        </w:rPr>
        <w:t> percent</w:t>
      </w:r>
      <w:r w:rsidRPr="00E22A43" w:rsidR="004C1287">
        <w:rPr>
          <w:rFonts w:eastAsia="Calibri" w:cs="Times New Roman"/>
          <w:szCs w:val="26"/>
        </w:rPr>
        <w:t xml:space="preserve"> and re</w:t>
      </w:r>
      <w:r w:rsidR="00E4753D">
        <w:rPr>
          <w:rFonts w:eastAsia="Calibri" w:cs="Times New Roman"/>
          <w:szCs w:val="26"/>
        </w:rPr>
        <w:noBreakHyphen/>
      </w:r>
      <w:r w:rsidRPr="00E22A43" w:rsidR="004C1287">
        <w:rPr>
          <w:rFonts w:eastAsia="Calibri" w:cs="Times New Roman"/>
          <w:szCs w:val="26"/>
        </w:rPr>
        <w:t>occur monthly. SCE requests the CPUC develop a process to address flagrant violations.</w:t>
      </w:r>
      <w:r w:rsidRPr="00E22A43" w:rsidR="004C1287">
        <w:rPr>
          <w:rFonts w:eastAsia="Calibri" w:cs="Times New Roman"/>
          <w:szCs w:val="26"/>
          <w:vertAlign w:val="superscript"/>
        </w:rPr>
        <w:footnoteReference w:id="63"/>
      </w:r>
    </w:p>
    <w:p w:rsidRPr="00E22A43" w:rsidR="004C1287" w:rsidP="00ED36CC" w:rsidRDefault="003E33EB" w14:paraId="26FAB57A" w14:textId="35FD2C7F">
      <w:pPr>
        <w:pStyle w:val="Standard"/>
      </w:pPr>
      <w:r>
        <w:rPr>
          <w:rFonts w:eastAsia="Calibri" w:cs="Times New Roman"/>
          <w:szCs w:val="26"/>
        </w:rPr>
        <w:t>Sonic r</w:t>
      </w:r>
      <w:r w:rsidRPr="00E22A43" w:rsidR="004C1287">
        <w:rPr>
          <w:rFonts w:eastAsia="Calibri" w:cs="Times New Roman"/>
          <w:szCs w:val="26"/>
        </w:rPr>
        <w:t xml:space="preserve">ecommends the monies </w:t>
      </w:r>
      <w:r w:rsidR="006F0C22">
        <w:rPr>
          <w:rFonts w:eastAsia="Calibri" w:cs="Times New Roman"/>
          <w:szCs w:val="26"/>
        </w:rPr>
        <w:t xml:space="preserve">should </w:t>
      </w:r>
      <w:r w:rsidRPr="00E22A43" w:rsidR="004C1287">
        <w:rPr>
          <w:rFonts w:eastAsia="Calibri" w:cs="Times New Roman"/>
          <w:szCs w:val="26"/>
        </w:rPr>
        <w:t>go to the General Fund and not the utilities or their shareholders.</w:t>
      </w:r>
      <w:r w:rsidRPr="00E22A43" w:rsidR="004C1287">
        <w:rPr>
          <w:rFonts w:eastAsia="Calibri" w:cs="Times New Roman"/>
          <w:szCs w:val="26"/>
          <w:vertAlign w:val="superscript"/>
        </w:rPr>
        <w:footnoteReference w:id="64"/>
      </w:r>
    </w:p>
    <w:p w:rsidR="004E4525" w:rsidP="00ED36CC" w:rsidRDefault="008D3ED6" w14:paraId="2D1F24D1" w14:textId="247AA39E">
      <w:pPr>
        <w:pStyle w:val="Heading3"/>
        <w:keepLines w:val="0"/>
      </w:pPr>
      <w:bookmarkStart w:name="_Toc229726749" w:id="29"/>
      <w:r>
        <w:t>Discussion and Findings</w:t>
      </w:r>
      <w:r w:rsidRPr="006D4F4C" w:rsidR="00251D8E">
        <w:rPr>
          <w:rStyle w:val="FootnoteReference"/>
        </w:rPr>
        <w:footnoteReference w:id="65"/>
      </w:r>
      <w:bookmarkEnd w:id="29"/>
    </w:p>
    <w:p w:rsidR="00154312" w:rsidP="00ED36CC" w:rsidRDefault="008A1AF4" w14:paraId="22F0DFE0" w14:textId="64CD2D31">
      <w:pPr>
        <w:pStyle w:val="Standard"/>
      </w:pPr>
      <w:r>
        <w:t>I</w:t>
      </w:r>
      <w:r w:rsidR="00E023AD">
        <w:t>n light of the parties</w:t>
      </w:r>
      <w:r w:rsidR="00410529">
        <w:t>’</w:t>
      </w:r>
      <w:r w:rsidR="00E023AD">
        <w:t xml:space="preserve"> comments and staff investigation, we amend </w:t>
      </w:r>
      <w:r w:rsidR="0059443C">
        <w:t>Section</w:t>
      </w:r>
      <w:r w:rsidR="00402F0F">
        <w:t> </w:t>
      </w:r>
      <w:r w:rsidR="00464A7C">
        <w:t>VI.D (UNAUTHORIZED ATTACHMENTS</w:t>
      </w:r>
      <w:r w:rsidR="005A6E57">
        <w:t>)</w:t>
      </w:r>
      <w:r w:rsidR="00EB0439">
        <w:t xml:space="preserve"> of</w:t>
      </w:r>
      <w:r w:rsidR="0059443C">
        <w:t xml:space="preserve"> Proposed </w:t>
      </w:r>
      <w:r w:rsidR="00EB0439">
        <w:t>GO</w:t>
      </w:r>
      <w:r w:rsidR="007F6DD8">
        <w:t> </w:t>
      </w:r>
      <w:r w:rsidR="00EB0439">
        <w:t>178</w:t>
      </w:r>
      <w:r w:rsidR="007A66EC">
        <w:t xml:space="preserve"> as follows</w:t>
      </w:r>
      <w:r w:rsidR="0069296C">
        <w:t xml:space="preserve">, </w:t>
      </w:r>
      <w:r w:rsidR="0059443C">
        <w:t>and as shown in Attachment</w:t>
      </w:r>
      <w:r w:rsidR="00860B18">
        <w:t> </w:t>
      </w:r>
      <w:r w:rsidR="0059443C">
        <w:t>A to this decision</w:t>
      </w:r>
      <w:r w:rsidR="007A66EC">
        <w:t>:</w:t>
      </w:r>
    </w:p>
    <w:p w:rsidRPr="00E83798" w:rsidR="00450C6E" w:rsidP="00ED36CC" w:rsidRDefault="00450C6E" w14:paraId="11D522EB" w14:textId="77777777">
      <w:pPr>
        <w:pStyle w:val="Standard"/>
        <w:keepNext/>
        <w:ind w:firstLine="0"/>
      </w:pPr>
      <w:r w:rsidRPr="00E83798">
        <w:t xml:space="preserve">UNAUTHORIZED ATTACHMENTS </w:t>
      </w:r>
      <w:r w:rsidRPr="00E83798">
        <w:rPr>
          <w:i/>
          <w:iCs/>
          <w:color w:val="0915FF"/>
        </w:rPr>
        <w:t>AND ATTACHMENT DATA</w:t>
      </w:r>
    </w:p>
    <w:p w:rsidRPr="00E83798" w:rsidR="00B0789F" w:rsidP="00B0789F" w:rsidRDefault="00B0789F" w14:paraId="7E66A854" w14:textId="314043E6">
      <w:pPr>
        <w:tabs>
          <w:tab w:val="left" w:pos="1080"/>
        </w:tabs>
        <w:spacing w:after="120" w:line="240" w:lineRule="auto"/>
        <w:ind w:left="1080" w:hanging="360"/>
        <w:rPr>
          <w:rFonts w:ascii="Palatino" w:hAnsi="Palatino" w:eastAsia="Times New Roman" w:cs="Times New Roman"/>
          <w:szCs w:val="20"/>
        </w:rPr>
      </w:pPr>
      <w:r w:rsidRPr="00E83798">
        <w:rPr>
          <w:rFonts w:ascii="Palatino" w:hAnsi="Palatino" w:eastAsia="Times New Roman" w:cs="Times New Roman"/>
          <w:szCs w:val="20"/>
        </w:rPr>
        <w:t>1.</w:t>
      </w:r>
      <w:r w:rsidRPr="00E83798">
        <w:rPr>
          <w:rFonts w:ascii="Palatino" w:hAnsi="Palatino" w:eastAsia="Times New Roman" w:cs="Times New Roman"/>
          <w:szCs w:val="20"/>
        </w:rPr>
        <w:tab/>
        <w:t>No party may attach to the right</w:t>
      </w:r>
      <w:r w:rsidR="00E4753D">
        <w:rPr>
          <w:rFonts w:ascii="Palatino" w:hAnsi="Palatino" w:eastAsia="Times New Roman" w:cs="Times New Roman"/>
          <w:szCs w:val="20"/>
        </w:rPr>
        <w:noBreakHyphen/>
      </w:r>
      <w:r w:rsidRPr="00E83798">
        <w:rPr>
          <w:rFonts w:ascii="Palatino" w:hAnsi="Palatino" w:eastAsia="Times New Roman" w:cs="Times New Roman"/>
          <w:szCs w:val="20"/>
        </w:rPr>
        <w:t>of</w:t>
      </w:r>
      <w:r w:rsidR="00E4753D">
        <w:rPr>
          <w:rFonts w:ascii="Palatino" w:hAnsi="Palatino" w:eastAsia="Times New Roman" w:cs="Times New Roman"/>
          <w:szCs w:val="20"/>
        </w:rPr>
        <w:noBreakHyphen/>
      </w:r>
      <w:r w:rsidRPr="00E83798">
        <w:rPr>
          <w:rFonts w:ascii="Palatino" w:hAnsi="Palatino" w:eastAsia="Times New Roman" w:cs="Times New Roman"/>
          <w:szCs w:val="20"/>
        </w:rPr>
        <w:t xml:space="preserve">way or support structure of another utility without the express written authorization from the utility. </w:t>
      </w:r>
    </w:p>
    <w:p w:rsidRPr="00E83798" w:rsidR="00B0789F" w:rsidP="00B0789F" w:rsidRDefault="00B0789F" w14:paraId="435496B3" w14:textId="77777777">
      <w:pPr>
        <w:tabs>
          <w:tab w:val="left" w:pos="1080"/>
        </w:tabs>
        <w:spacing w:after="120" w:line="240" w:lineRule="auto"/>
        <w:ind w:left="1080" w:hanging="360"/>
        <w:rPr>
          <w:rFonts w:ascii="Palatino" w:hAnsi="Palatino" w:eastAsia="Times New Roman" w:cs="Times New Roman"/>
          <w:szCs w:val="20"/>
        </w:rPr>
      </w:pPr>
      <w:r w:rsidRPr="00E83798">
        <w:rPr>
          <w:rFonts w:ascii="Palatino" w:hAnsi="Palatino" w:eastAsia="Times New Roman" w:cs="Times New Roman"/>
          <w:szCs w:val="20"/>
        </w:rPr>
        <w:t>2.</w:t>
      </w:r>
      <w:r w:rsidRPr="00E83798">
        <w:rPr>
          <w:rFonts w:ascii="Palatino" w:hAnsi="Palatino" w:eastAsia="Times New Roman" w:cs="Times New Roman"/>
          <w:szCs w:val="20"/>
        </w:rPr>
        <w:tab/>
        <w:t xml:space="preserve">For every violation of the duty to obtain approval before attaching, the owner or operator of the unauthorized attachment shall pay to the utility a penalty of </w:t>
      </w:r>
      <w:r w:rsidRPr="00E83798">
        <w:rPr>
          <w:rFonts w:ascii="Palatino" w:hAnsi="Palatino" w:eastAsia="Times New Roman" w:cs="Times New Roman"/>
          <w:strike/>
          <w:color w:val="FF0000"/>
          <w:szCs w:val="20"/>
        </w:rPr>
        <w:t>$500</w:t>
      </w:r>
      <w:r w:rsidRPr="00E83798">
        <w:rPr>
          <w:rFonts w:ascii="Palatino" w:hAnsi="Palatino" w:eastAsia="Times New Roman" w:cs="Times New Roman"/>
          <w:i/>
          <w:iCs/>
          <w:color w:val="FF0000"/>
          <w:szCs w:val="20"/>
        </w:rPr>
        <w:t xml:space="preserve"> </w:t>
      </w:r>
      <w:r w:rsidRPr="00E83798">
        <w:rPr>
          <w:rFonts w:ascii="Palatino" w:hAnsi="Palatino" w:eastAsia="Times New Roman" w:cs="Times New Roman"/>
          <w:i/>
          <w:iCs/>
          <w:color w:val="0915FF"/>
          <w:szCs w:val="20"/>
        </w:rPr>
        <w:t>up to $1,000</w:t>
      </w:r>
      <w:r w:rsidRPr="00E83798">
        <w:rPr>
          <w:rFonts w:ascii="Palatino" w:hAnsi="Palatino" w:eastAsia="Times New Roman" w:cs="Times New Roman"/>
          <w:szCs w:val="20"/>
        </w:rPr>
        <w:t xml:space="preserve"> for each violation.  This fee is in addition to all other costs which are part of the attacher’s responsibility.  Each unauthorized pole attachment shall count as a separate violation for assessing the penalty.</w:t>
      </w:r>
    </w:p>
    <w:p w:rsidRPr="00E83798" w:rsidR="00B0789F" w:rsidP="00B0789F" w:rsidRDefault="00B0789F" w14:paraId="1F26385B" w14:textId="77777777">
      <w:pPr>
        <w:tabs>
          <w:tab w:val="left" w:pos="1080"/>
        </w:tabs>
        <w:spacing w:after="120" w:line="240" w:lineRule="auto"/>
        <w:ind w:left="1080" w:hanging="360"/>
        <w:rPr>
          <w:rFonts w:ascii="Palatino" w:hAnsi="Palatino" w:eastAsia="Times New Roman" w:cs="Times New Roman"/>
          <w:szCs w:val="20"/>
        </w:rPr>
      </w:pPr>
      <w:bookmarkStart w:name="_Hlk168916360" w:id="30"/>
      <w:r w:rsidRPr="00E83798">
        <w:rPr>
          <w:rFonts w:ascii="Palatino" w:hAnsi="Palatino" w:eastAsia="Times New Roman" w:cs="Times New Roman"/>
          <w:szCs w:val="20"/>
        </w:rPr>
        <w:lastRenderedPageBreak/>
        <w:t>3.</w:t>
      </w:r>
      <w:r w:rsidRPr="00E83798">
        <w:rPr>
          <w:rFonts w:ascii="Palatino" w:hAnsi="Palatino" w:eastAsia="Times New Roman" w:cs="Times New Roman"/>
          <w:szCs w:val="20"/>
        </w:rPr>
        <w:tab/>
        <w:t>Any violation of the duty to obtain permission before attaching shall be cause for imposition of sanctions as, in the Commission</w:t>
      </w:r>
      <w:r w:rsidRPr="00E83798">
        <w:rPr>
          <w:rFonts w:ascii="Palatino" w:hAnsi="Palatino" w:eastAsia="Times New Roman" w:cs="Times New Roman"/>
          <w:strike/>
          <w:color w:val="FF0000"/>
          <w:szCs w:val="20"/>
        </w:rPr>
        <w:t>er</w:t>
      </w:r>
      <w:r w:rsidRPr="00E83798">
        <w:rPr>
          <w:rFonts w:ascii="Palatino" w:hAnsi="Palatino" w:eastAsia="Times New Roman" w:cs="Times New Roman"/>
          <w:szCs w:val="20"/>
        </w:rPr>
        <w:t xml:space="preserve">’s judgment, are necessary to deter the party from in the future breaching its duty to obtain permission before attaching </w:t>
      </w:r>
      <w:r w:rsidRPr="00A20E51">
        <w:rPr>
          <w:rFonts w:ascii="Palatino" w:hAnsi="Palatino" w:eastAsia="Times New Roman" w:cs="Times New Roman"/>
          <w:i/>
          <w:iCs/>
          <w:color w:val="0000FF"/>
          <w:szCs w:val="20"/>
          <w:highlight w:val="yellow"/>
        </w:rPr>
        <w:t>and</w:t>
      </w:r>
      <w:r w:rsidRPr="00A20E51">
        <w:rPr>
          <w:rFonts w:ascii="Palatino" w:hAnsi="Palatino" w:eastAsia="Times New Roman" w:cs="Times New Roman"/>
          <w:color w:val="0000FF"/>
          <w:szCs w:val="20"/>
        </w:rPr>
        <w:t xml:space="preserve"> </w:t>
      </w:r>
      <w:r w:rsidRPr="00E83798">
        <w:rPr>
          <w:rFonts w:ascii="Palatino" w:hAnsi="Palatino" w:eastAsia="Times New Roman" w:cs="Times New Roman"/>
          <w:szCs w:val="20"/>
        </w:rPr>
        <w:t>will be accompanied by findings of fact that permit the pole owner to seek further remedies in a civil action.</w:t>
      </w:r>
    </w:p>
    <w:p w:rsidRPr="00E83798" w:rsidR="00B0789F" w:rsidP="00B0789F" w:rsidRDefault="00B0789F" w14:paraId="184CC10B" w14:textId="77777777">
      <w:pPr>
        <w:tabs>
          <w:tab w:val="left" w:pos="1080"/>
        </w:tabs>
        <w:spacing w:after="240" w:line="240" w:lineRule="auto"/>
        <w:ind w:left="1080" w:hanging="360"/>
        <w:rPr>
          <w:rFonts w:ascii="Palatino" w:hAnsi="Palatino" w:eastAsia="Times New Roman" w:cs="Times New Roman"/>
          <w:szCs w:val="20"/>
        </w:rPr>
      </w:pPr>
      <w:r w:rsidRPr="00E83798">
        <w:rPr>
          <w:rFonts w:ascii="Palatino" w:hAnsi="Palatino" w:eastAsia="Times New Roman" w:cs="Times New Roman"/>
          <w:szCs w:val="20"/>
        </w:rPr>
        <w:t>4.</w:t>
      </w:r>
      <w:r w:rsidRPr="00E83798">
        <w:rPr>
          <w:rFonts w:ascii="Palatino" w:hAnsi="Palatino" w:eastAsia="Times New Roman" w:cs="Times New Roman"/>
          <w:szCs w:val="20"/>
        </w:rPr>
        <w:tab/>
        <w:t xml:space="preserve">This Section </w:t>
      </w:r>
      <w:r w:rsidRPr="00E83798">
        <w:rPr>
          <w:rFonts w:ascii="Palatino" w:hAnsi="Palatino" w:eastAsia="Times New Roman" w:cs="Times New Roman"/>
          <w:strike/>
          <w:color w:val="FF0000"/>
          <w:szCs w:val="20"/>
        </w:rPr>
        <w:t xml:space="preserve">D </w:t>
      </w:r>
      <w:r w:rsidRPr="00E83798">
        <w:rPr>
          <w:rFonts w:ascii="Palatino" w:hAnsi="Palatino" w:eastAsia="Times New Roman" w:cs="Times New Roman"/>
          <w:szCs w:val="20"/>
        </w:rPr>
        <w:t xml:space="preserve">applies to </w:t>
      </w:r>
      <w:r w:rsidRPr="00E83798">
        <w:rPr>
          <w:rFonts w:ascii="Palatino" w:hAnsi="Palatino" w:eastAsia="Times New Roman" w:cs="Times New Roman"/>
          <w:i/>
          <w:iCs/>
          <w:color w:val="0915FF"/>
          <w:szCs w:val="20"/>
        </w:rPr>
        <w:t xml:space="preserve">all </w:t>
      </w:r>
      <w:r w:rsidRPr="00E83798">
        <w:rPr>
          <w:rFonts w:ascii="Palatino" w:hAnsi="Palatino" w:eastAsia="Times New Roman" w:cs="Times New Roman"/>
          <w:strike/>
          <w:color w:val="FF0000"/>
          <w:szCs w:val="20"/>
        </w:rPr>
        <w:t>existing</w:t>
      </w:r>
      <w:r w:rsidRPr="00E83798">
        <w:rPr>
          <w:rFonts w:ascii="Palatino" w:hAnsi="Palatino" w:eastAsia="Times New Roman" w:cs="Times New Roman"/>
          <w:szCs w:val="20"/>
        </w:rPr>
        <w:t xml:space="preserve"> attachments </w:t>
      </w:r>
      <w:r w:rsidRPr="00E83798">
        <w:rPr>
          <w:rFonts w:ascii="Palatino" w:hAnsi="Palatino" w:eastAsia="Times New Roman" w:cs="Times New Roman"/>
          <w:strike/>
          <w:color w:val="FF0000"/>
          <w:szCs w:val="20"/>
        </w:rPr>
        <w:t>as of the effective date of these rules</w:t>
      </w:r>
      <w:r w:rsidRPr="00E83798">
        <w:rPr>
          <w:rFonts w:ascii="Palatino" w:hAnsi="Palatino" w:eastAsia="Times New Roman" w:cs="Times New Roman"/>
          <w:szCs w:val="20"/>
        </w:rPr>
        <w:t>.</w:t>
      </w:r>
    </w:p>
    <w:p w:rsidR="00B0789F" w:rsidP="00B0789F" w:rsidRDefault="00B0789F" w14:paraId="53968F7F" w14:textId="0954EBF7">
      <w:pPr>
        <w:tabs>
          <w:tab w:val="left" w:pos="1080"/>
        </w:tabs>
        <w:spacing w:after="240" w:line="240" w:lineRule="auto"/>
        <w:ind w:left="1080" w:hanging="360"/>
        <w:rPr>
          <w:rFonts w:ascii="Palatino" w:hAnsi="Palatino" w:eastAsia="Times New Roman" w:cs="Times New Roman"/>
          <w:i/>
          <w:iCs/>
          <w:color w:val="0915FF"/>
          <w:szCs w:val="20"/>
        </w:rPr>
      </w:pPr>
      <w:r w:rsidRPr="00E83798">
        <w:rPr>
          <w:rFonts w:ascii="Palatino" w:hAnsi="Palatino" w:eastAsia="Times New Roman" w:cs="Times New Roman"/>
          <w:i/>
          <w:iCs/>
          <w:color w:val="0915FF"/>
          <w:szCs w:val="20"/>
        </w:rPr>
        <w:t>5.</w:t>
      </w:r>
      <w:r w:rsidRPr="00E83798">
        <w:rPr>
          <w:rFonts w:ascii="Palatino" w:hAnsi="Palatino" w:eastAsia="Times New Roman" w:cs="Times New Roman"/>
          <w:i/>
          <w:iCs/>
          <w:color w:val="0915FF"/>
          <w:szCs w:val="20"/>
        </w:rPr>
        <w:tab/>
        <w:t xml:space="preserve">All </w:t>
      </w:r>
      <w:r>
        <w:rPr>
          <w:rFonts w:ascii="Palatino" w:hAnsi="Palatino" w:eastAsia="Times New Roman" w:cs="Times New Roman"/>
          <w:i/>
          <w:iCs/>
          <w:color w:val="0915FF"/>
          <w:szCs w:val="20"/>
          <w:highlight w:val="yellow"/>
        </w:rPr>
        <w:t>incumbent utilities</w:t>
      </w:r>
      <w:r w:rsidRPr="00031A98">
        <w:rPr>
          <w:rFonts w:ascii="Palatino" w:hAnsi="Palatino" w:eastAsia="Times New Roman" w:cs="Times New Roman"/>
          <w:i/>
          <w:iCs/>
          <w:color w:val="0915FF"/>
          <w:szCs w:val="20"/>
          <w:highlight w:val="yellow"/>
        </w:rPr>
        <w:t xml:space="preserve"> shall require attachers to provide</w:t>
      </w:r>
      <w:r>
        <w:rPr>
          <w:rFonts w:ascii="Palatino" w:hAnsi="Palatino" w:eastAsia="Times New Roman" w:cs="Times New Roman"/>
          <w:i/>
          <w:iCs/>
          <w:color w:val="0915FF"/>
          <w:szCs w:val="20"/>
          <w:highlight w:val="yellow"/>
        </w:rPr>
        <w:t xml:space="preserve"> and maintain</w:t>
      </w:r>
      <w:r w:rsidRPr="00031A98">
        <w:rPr>
          <w:rFonts w:ascii="Palatino" w:hAnsi="Palatino" w:eastAsia="Times New Roman" w:cs="Times New Roman"/>
          <w:i/>
          <w:iCs/>
          <w:color w:val="0915FF"/>
          <w:szCs w:val="20"/>
          <w:highlight w:val="yellow"/>
        </w:rPr>
        <w:t xml:space="preserve"> complete</w:t>
      </w:r>
      <w:r>
        <w:rPr>
          <w:rFonts w:ascii="Palatino" w:hAnsi="Palatino" w:eastAsia="Times New Roman" w:cs="Times New Roman"/>
          <w:i/>
          <w:iCs/>
          <w:color w:val="0915FF"/>
          <w:szCs w:val="20"/>
          <w:highlight w:val="yellow"/>
        </w:rPr>
        <w:t>, accurate</w:t>
      </w:r>
      <w:r w:rsidRPr="00031A98">
        <w:rPr>
          <w:rFonts w:ascii="Palatino" w:hAnsi="Palatino" w:eastAsia="Times New Roman" w:cs="Times New Roman"/>
          <w:i/>
          <w:iCs/>
          <w:color w:val="0915FF"/>
          <w:szCs w:val="20"/>
          <w:highlight w:val="yellow"/>
        </w:rPr>
        <w:t xml:space="preserve"> and up to date </w:t>
      </w:r>
      <w:r>
        <w:rPr>
          <w:rFonts w:ascii="Palatino" w:hAnsi="Palatino" w:eastAsia="Times New Roman" w:cs="Times New Roman"/>
          <w:i/>
          <w:iCs/>
          <w:color w:val="0915FF"/>
          <w:szCs w:val="20"/>
          <w:highlight w:val="yellow"/>
        </w:rPr>
        <w:t xml:space="preserve">data </w:t>
      </w:r>
      <w:r w:rsidRPr="00031A98">
        <w:rPr>
          <w:rFonts w:ascii="Palatino" w:hAnsi="Palatino" w:eastAsia="Times New Roman" w:cs="Times New Roman"/>
          <w:i/>
          <w:iCs/>
          <w:color w:val="0915FF"/>
          <w:szCs w:val="20"/>
          <w:highlight w:val="yellow"/>
        </w:rPr>
        <w:t>on their attachments</w:t>
      </w:r>
      <w:r>
        <w:rPr>
          <w:rFonts w:ascii="Palatino" w:hAnsi="Palatino" w:eastAsia="Times New Roman" w:cs="Times New Roman"/>
          <w:i/>
          <w:iCs/>
          <w:color w:val="0915FF"/>
          <w:szCs w:val="20"/>
          <w:highlight w:val="yellow"/>
        </w:rPr>
        <w:t xml:space="preserve"> as a condition for use of their right</w:t>
      </w:r>
      <w:r w:rsidR="00E4753D">
        <w:rPr>
          <w:rFonts w:ascii="Palatino" w:hAnsi="Palatino" w:eastAsia="Times New Roman" w:cs="Times New Roman"/>
          <w:i/>
          <w:iCs/>
          <w:color w:val="0915FF"/>
          <w:szCs w:val="20"/>
          <w:highlight w:val="yellow"/>
        </w:rPr>
        <w:noBreakHyphen/>
      </w:r>
      <w:r>
        <w:rPr>
          <w:rFonts w:ascii="Palatino" w:hAnsi="Palatino" w:eastAsia="Times New Roman" w:cs="Times New Roman"/>
          <w:i/>
          <w:iCs/>
          <w:color w:val="0915FF"/>
          <w:szCs w:val="20"/>
          <w:highlight w:val="yellow"/>
        </w:rPr>
        <w:t>of</w:t>
      </w:r>
      <w:r w:rsidR="00E4753D">
        <w:rPr>
          <w:rFonts w:ascii="Palatino" w:hAnsi="Palatino" w:eastAsia="Times New Roman" w:cs="Times New Roman"/>
          <w:i/>
          <w:iCs/>
          <w:color w:val="0915FF"/>
          <w:szCs w:val="20"/>
          <w:highlight w:val="yellow"/>
        </w:rPr>
        <w:noBreakHyphen/>
      </w:r>
      <w:r>
        <w:rPr>
          <w:rFonts w:ascii="Palatino" w:hAnsi="Palatino" w:eastAsia="Times New Roman" w:cs="Times New Roman"/>
          <w:i/>
          <w:iCs/>
          <w:color w:val="0915FF"/>
          <w:szCs w:val="20"/>
          <w:highlight w:val="yellow"/>
        </w:rPr>
        <w:t>way and support structures</w:t>
      </w:r>
      <w:r w:rsidRPr="00031A98">
        <w:rPr>
          <w:rFonts w:ascii="Palatino" w:hAnsi="Palatino" w:eastAsia="Times New Roman" w:cs="Times New Roman"/>
          <w:i/>
          <w:iCs/>
          <w:color w:val="0915FF"/>
          <w:szCs w:val="20"/>
          <w:highlight w:val="yellow"/>
        </w:rPr>
        <w:t xml:space="preserve">. </w:t>
      </w:r>
      <w:r w:rsidRPr="00031A98">
        <w:rPr>
          <w:rFonts w:ascii="Palatino" w:hAnsi="Palatino" w:eastAsia="Times New Roman" w:cs="Times New Roman"/>
          <w:i/>
          <w:iCs/>
          <w:strike/>
          <w:color w:val="EE0000"/>
          <w:szCs w:val="20"/>
          <w:highlight w:val="yellow"/>
        </w:rPr>
        <w:t>attachers shall comply with the data reporting requirements imposed by pole owners in addition to and in compliance with Decision 21</w:t>
      </w:r>
      <w:r w:rsidR="00E4753D">
        <w:rPr>
          <w:rFonts w:ascii="Palatino" w:hAnsi="Palatino" w:eastAsia="Times New Roman" w:cs="Times New Roman"/>
          <w:i/>
          <w:iCs/>
          <w:strike/>
          <w:color w:val="EE0000"/>
          <w:szCs w:val="20"/>
          <w:highlight w:val="yellow"/>
        </w:rPr>
        <w:noBreakHyphen/>
      </w:r>
      <w:r w:rsidRPr="00031A98">
        <w:rPr>
          <w:rFonts w:ascii="Palatino" w:hAnsi="Palatino" w:eastAsia="Times New Roman" w:cs="Times New Roman"/>
          <w:i/>
          <w:iCs/>
          <w:strike/>
          <w:color w:val="EE0000"/>
          <w:szCs w:val="20"/>
          <w:highlight w:val="yellow"/>
        </w:rPr>
        <w:t>10</w:t>
      </w:r>
      <w:r w:rsidR="00E4753D">
        <w:rPr>
          <w:rFonts w:ascii="Palatino" w:hAnsi="Palatino" w:eastAsia="Times New Roman" w:cs="Times New Roman"/>
          <w:i/>
          <w:iCs/>
          <w:strike/>
          <w:color w:val="EE0000"/>
          <w:szCs w:val="20"/>
          <w:highlight w:val="yellow"/>
        </w:rPr>
        <w:noBreakHyphen/>
      </w:r>
      <w:r w:rsidRPr="00031A98">
        <w:rPr>
          <w:rFonts w:ascii="Palatino" w:hAnsi="Palatino" w:eastAsia="Times New Roman" w:cs="Times New Roman"/>
          <w:i/>
          <w:iCs/>
          <w:strike/>
          <w:color w:val="EE0000"/>
          <w:szCs w:val="20"/>
          <w:highlight w:val="yellow"/>
        </w:rPr>
        <w:t>019.</w:t>
      </w:r>
      <w:r w:rsidRPr="00E83798">
        <w:rPr>
          <w:rFonts w:ascii="Palatino" w:hAnsi="Palatino" w:eastAsia="Times New Roman" w:cs="Times New Roman"/>
          <w:i/>
          <w:iCs/>
          <w:color w:val="0915FF"/>
          <w:szCs w:val="20"/>
        </w:rPr>
        <w:t xml:space="preserve"> If an incumbent utility identifies attachers that are not in compliance</w:t>
      </w:r>
      <w:r>
        <w:rPr>
          <w:rFonts w:ascii="Palatino" w:hAnsi="Palatino" w:eastAsia="Times New Roman" w:cs="Times New Roman"/>
          <w:i/>
          <w:iCs/>
          <w:color w:val="0915FF"/>
          <w:szCs w:val="20"/>
        </w:rPr>
        <w:t xml:space="preserve"> </w:t>
      </w:r>
      <w:r w:rsidRPr="0004673A">
        <w:rPr>
          <w:rFonts w:ascii="Palatino" w:hAnsi="Palatino" w:eastAsia="Times New Roman" w:cs="Times New Roman"/>
          <w:i/>
          <w:iCs/>
          <w:color w:val="0915FF"/>
          <w:szCs w:val="20"/>
          <w:highlight w:val="yellow"/>
        </w:rPr>
        <w:t>with this requirement</w:t>
      </w:r>
      <w:r w:rsidRPr="00E83798">
        <w:rPr>
          <w:rFonts w:ascii="Palatino" w:hAnsi="Palatino" w:eastAsia="Times New Roman" w:cs="Times New Roman"/>
          <w:i/>
          <w:iCs/>
          <w:color w:val="0915FF"/>
          <w:szCs w:val="20"/>
        </w:rPr>
        <w:t xml:space="preserve">, the owner or operator of the attachments </w:t>
      </w:r>
      <w:r w:rsidRPr="002E15A9">
        <w:rPr>
          <w:rFonts w:ascii="Palatino" w:hAnsi="Palatino" w:eastAsia="Times New Roman" w:cs="Times New Roman"/>
          <w:i/>
          <w:iCs/>
          <w:color w:val="0915FF"/>
          <w:szCs w:val="20"/>
          <w:highlight w:val="yellow"/>
        </w:rPr>
        <w:t xml:space="preserve">may be fined </w:t>
      </w:r>
      <w:r w:rsidRPr="00F422FD">
        <w:rPr>
          <w:rFonts w:ascii="Palatino" w:hAnsi="Palatino" w:eastAsia="Times New Roman" w:cs="Times New Roman"/>
          <w:i/>
          <w:iCs/>
          <w:color w:val="0915FF"/>
          <w:szCs w:val="20"/>
          <w:highlight w:val="yellow"/>
        </w:rPr>
        <w:t xml:space="preserve">by the incumbent utility </w:t>
      </w:r>
      <w:r w:rsidRPr="00F422FD">
        <w:rPr>
          <w:rFonts w:ascii="Palatino" w:hAnsi="Palatino" w:eastAsia="Times New Roman" w:cs="Times New Roman"/>
          <w:i/>
          <w:iCs/>
          <w:strike/>
          <w:color w:val="EE0000"/>
          <w:szCs w:val="20"/>
          <w:highlight w:val="yellow"/>
        </w:rPr>
        <w:t>s</w:t>
      </w:r>
      <w:r w:rsidRPr="002E15A9">
        <w:rPr>
          <w:rFonts w:ascii="Palatino" w:hAnsi="Palatino" w:eastAsia="Times New Roman" w:cs="Times New Roman"/>
          <w:i/>
          <w:iCs/>
          <w:strike/>
          <w:color w:val="EE0000"/>
          <w:szCs w:val="20"/>
          <w:highlight w:val="yellow"/>
        </w:rPr>
        <w:t xml:space="preserve">hall pay to the </w:t>
      </w:r>
      <w:r w:rsidRPr="00F422FD">
        <w:rPr>
          <w:rFonts w:ascii="Palatino" w:hAnsi="Palatino" w:eastAsia="Times New Roman" w:cs="Times New Roman"/>
          <w:i/>
          <w:iCs/>
          <w:strike/>
          <w:color w:val="EE0000"/>
          <w:szCs w:val="20"/>
          <w:highlight w:val="yellow"/>
        </w:rPr>
        <w:t>utility</w:t>
      </w:r>
      <w:r w:rsidRPr="00E83798">
        <w:rPr>
          <w:rFonts w:ascii="Palatino" w:hAnsi="Palatino" w:eastAsia="Times New Roman" w:cs="Times New Roman"/>
          <w:i/>
          <w:iCs/>
          <w:color w:val="0915FF"/>
          <w:szCs w:val="20"/>
        </w:rPr>
        <w:t xml:space="preserve"> a penalty of up to </w:t>
      </w:r>
      <w:r w:rsidRPr="00031A98">
        <w:rPr>
          <w:rFonts w:ascii="Palatino" w:hAnsi="Palatino" w:eastAsia="Times New Roman" w:cs="Times New Roman"/>
          <w:i/>
          <w:iCs/>
          <w:color w:val="0915FF"/>
          <w:szCs w:val="20"/>
          <w:highlight w:val="yellow"/>
        </w:rPr>
        <w:t>$100</w:t>
      </w:r>
      <w:r w:rsidRPr="00031A98">
        <w:rPr>
          <w:rFonts w:ascii="Palatino" w:hAnsi="Palatino" w:eastAsia="Times New Roman" w:cs="Times New Roman"/>
          <w:i/>
          <w:iCs/>
          <w:strike/>
          <w:color w:val="EE0000"/>
          <w:szCs w:val="20"/>
          <w:highlight w:val="yellow"/>
        </w:rPr>
        <w:t>$1,000</w:t>
      </w:r>
      <w:r w:rsidRPr="00E83798">
        <w:rPr>
          <w:rFonts w:ascii="Palatino" w:hAnsi="Palatino" w:eastAsia="Times New Roman" w:cs="Times New Roman"/>
          <w:i/>
          <w:iCs/>
          <w:color w:val="0915FF"/>
          <w:szCs w:val="20"/>
        </w:rPr>
        <w:t xml:space="preserve"> for each violation</w:t>
      </w:r>
      <w:r w:rsidRPr="007911AA">
        <w:rPr>
          <w:rFonts w:ascii="Palatino" w:hAnsi="Palatino" w:eastAsia="Times New Roman" w:cs="Times New Roman"/>
          <w:i/>
          <w:iCs/>
          <w:color w:val="0915FF"/>
          <w:szCs w:val="20"/>
          <w:highlight w:val="yellow"/>
        </w:rPr>
        <w:t>, subject to defined notice periods and an opportunity to come into compliance</w:t>
      </w:r>
      <w:r w:rsidRPr="00E83798">
        <w:rPr>
          <w:rFonts w:ascii="Palatino" w:hAnsi="Palatino" w:eastAsia="Times New Roman" w:cs="Times New Roman"/>
          <w:i/>
          <w:iCs/>
          <w:color w:val="0915FF"/>
          <w:szCs w:val="20"/>
        </w:rPr>
        <w:t xml:space="preserve">.  This fee is in addition to all other costs which are part of the attacher’s responsibility.  Each </w:t>
      </w:r>
      <w:r w:rsidRPr="007B6A2C">
        <w:rPr>
          <w:rFonts w:ascii="Palatino" w:hAnsi="Palatino" w:eastAsia="Times New Roman" w:cs="Times New Roman"/>
          <w:i/>
          <w:iCs/>
          <w:strike/>
          <w:color w:val="EE0000"/>
          <w:szCs w:val="20"/>
          <w:highlight w:val="yellow"/>
        </w:rPr>
        <w:t xml:space="preserve">pole </w:t>
      </w:r>
      <w:r w:rsidRPr="00E83798">
        <w:rPr>
          <w:rFonts w:ascii="Palatino" w:hAnsi="Palatino" w:eastAsia="Times New Roman" w:cs="Times New Roman"/>
          <w:i/>
          <w:iCs/>
          <w:color w:val="0915FF"/>
          <w:szCs w:val="20"/>
        </w:rPr>
        <w:t>attachment shall count as a separate violation for assessing the penalty.</w:t>
      </w:r>
    </w:p>
    <w:p w:rsidRPr="00E83798" w:rsidR="00B0789F" w:rsidP="00B0789F" w:rsidRDefault="00B0789F" w14:paraId="520BE66F" w14:textId="1032356F">
      <w:pPr>
        <w:tabs>
          <w:tab w:val="left" w:pos="1080"/>
        </w:tabs>
        <w:spacing w:after="240" w:line="240" w:lineRule="auto"/>
        <w:ind w:left="1080" w:hanging="360"/>
        <w:rPr>
          <w:rFonts w:ascii="Palatino" w:hAnsi="Palatino" w:eastAsia="Times New Roman" w:cs="Times New Roman"/>
          <w:i/>
          <w:iCs/>
          <w:color w:val="0915FF"/>
          <w:szCs w:val="20"/>
        </w:rPr>
      </w:pPr>
      <w:r w:rsidRPr="00E83798">
        <w:rPr>
          <w:rFonts w:ascii="Palatino" w:hAnsi="Palatino" w:eastAsia="Times New Roman" w:cs="Times New Roman"/>
          <w:i/>
          <w:iCs/>
          <w:color w:val="0915FF"/>
          <w:szCs w:val="20"/>
        </w:rPr>
        <w:t xml:space="preserve">6. All </w:t>
      </w:r>
      <w:r w:rsidRPr="0024483E" w:rsidR="00836818">
        <w:rPr>
          <w:rFonts w:ascii="Palatino" w:hAnsi="Palatino" w:eastAsia="Times New Roman" w:cs="Times New Roman"/>
          <w:i/>
          <w:iCs/>
          <w:color w:val="0915FF"/>
          <w:szCs w:val="20"/>
          <w:highlight w:val="yellow"/>
        </w:rPr>
        <w:t>incumbent</w:t>
      </w:r>
      <w:r w:rsidR="00836818">
        <w:rPr>
          <w:rFonts w:ascii="Palatino" w:hAnsi="Palatino" w:eastAsia="Times New Roman" w:cs="Times New Roman"/>
          <w:i/>
          <w:iCs/>
          <w:color w:val="0915FF"/>
          <w:szCs w:val="20"/>
        </w:rPr>
        <w:t xml:space="preserve"> </w:t>
      </w:r>
      <w:r w:rsidRPr="00E83798">
        <w:rPr>
          <w:rFonts w:ascii="Palatino" w:hAnsi="Palatino" w:eastAsia="Times New Roman" w:cs="Times New Roman"/>
          <w:i/>
          <w:iCs/>
          <w:color w:val="0915FF"/>
          <w:szCs w:val="20"/>
        </w:rPr>
        <w:t xml:space="preserve">utilities shall annually submit a compliance filing to </w:t>
      </w:r>
      <w:hyperlink w:history="1" r:id="rId17">
        <w:r w:rsidRPr="00E83798">
          <w:rPr>
            <w:rStyle w:val="Hyperlink"/>
            <w:rFonts w:ascii="Palatino" w:hAnsi="Palatino" w:eastAsia="Times New Roman" w:cs="Times New Roman"/>
            <w:i/>
            <w:iCs/>
            <w:szCs w:val="20"/>
          </w:rPr>
          <w:t>CDcompliance@cpuc.ca.gov</w:t>
        </w:r>
      </w:hyperlink>
      <w:r w:rsidRPr="00E83798">
        <w:rPr>
          <w:rFonts w:ascii="Palatino" w:hAnsi="Palatino" w:eastAsia="Times New Roman" w:cs="Times New Roman"/>
          <w:i/>
          <w:iCs/>
          <w:color w:val="0915FF"/>
          <w:szCs w:val="20"/>
        </w:rPr>
        <w:t xml:space="preserve">, </w:t>
      </w:r>
      <w:r w:rsidRPr="00AD7861">
        <w:rPr>
          <w:rFonts w:ascii="Palatino" w:hAnsi="Palatino" w:eastAsia="Times New Roman" w:cs="Times New Roman"/>
          <w:i/>
          <w:iCs/>
          <w:strike/>
          <w:color w:val="EE0000"/>
          <w:szCs w:val="20"/>
          <w:highlight w:val="yellow"/>
        </w:rPr>
        <w:t>identifying the number of</w:t>
      </w:r>
      <w:r w:rsidRPr="00AD7861">
        <w:rPr>
          <w:rFonts w:ascii="Palatino" w:hAnsi="Palatino" w:eastAsia="Times New Roman" w:cs="Times New Roman"/>
          <w:i/>
          <w:iCs/>
          <w:color w:val="EE0000"/>
          <w:szCs w:val="20"/>
          <w:highlight w:val="yellow"/>
        </w:rPr>
        <w:t xml:space="preserve"> </w:t>
      </w:r>
      <w:r w:rsidRPr="00AD7861">
        <w:rPr>
          <w:rFonts w:ascii="Palatino" w:hAnsi="Palatino" w:eastAsia="Times New Roman" w:cs="Times New Roman"/>
          <w:i/>
          <w:iCs/>
          <w:color w:val="0915FF"/>
          <w:szCs w:val="20"/>
          <w:highlight w:val="yellow"/>
        </w:rPr>
        <w:t>with information on</w:t>
      </w:r>
      <w:r w:rsidRPr="00E83798">
        <w:rPr>
          <w:rFonts w:ascii="Palatino" w:hAnsi="Palatino" w:eastAsia="Times New Roman" w:cs="Times New Roman"/>
          <w:i/>
          <w:iCs/>
          <w:color w:val="0915FF"/>
          <w:szCs w:val="20"/>
        </w:rPr>
        <w:t xml:space="preserve"> unauthorized attachments identified</w:t>
      </w:r>
      <w:r w:rsidRPr="00AD7861">
        <w:rPr>
          <w:rFonts w:ascii="Palatino" w:hAnsi="Palatino" w:eastAsia="Times New Roman" w:cs="Times New Roman"/>
          <w:i/>
          <w:iCs/>
          <w:strike/>
          <w:color w:val="EE0000"/>
          <w:szCs w:val="20"/>
          <w:highlight w:val="yellow"/>
        </w:rPr>
        <w:t xml:space="preserve"> in</w:t>
      </w:r>
      <w:r w:rsidRPr="00AD7861">
        <w:rPr>
          <w:rFonts w:ascii="Palatino" w:hAnsi="Palatino" w:eastAsia="Times New Roman" w:cs="Times New Roman"/>
          <w:i/>
          <w:iCs/>
          <w:color w:val="0915FF"/>
          <w:szCs w:val="20"/>
          <w:highlight w:val="yellow"/>
        </w:rPr>
        <w:t xml:space="preserve"> during</w:t>
      </w:r>
      <w:r>
        <w:rPr>
          <w:rFonts w:ascii="Palatino" w:hAnsi="Palatino" w:eastAsia="Times New Roman" w:cs="Times New Roman"/>
          <w:i/>
          <w:iCs/>
          <w:color w:val="0915FF"/>
          <w:szCs w:val="20"/>
        </w:rPr>
        <w:t xml:space="preserve"> </w:t>
      </w:r>
      <w:r w:rsidRPr="00E83798">
        <w:rPr>
          <w:rFonts w:ascii="Palatino" w:hAnsi="Palatino" w:eastAsia="Times New Roman" w:cs="Times New Roman"/>
          <w:i/>
          <w:iCs/>
          <w:color w:val="0915FF"/>
          <w:szCs w:val="20"/>
        </w:rPr>
        <w:t>the previous calendar year</w:t>
      </w:r>
      <w:r w:rsidRPr="00FC6467">
        <w:rPr>
          <w:rFonts w:ascii="Palatino" w:hAnsi="Palatino" w:eastAsia="Times New Roman" w:cs="Times New Roman"/>
          <w:i/>
          <w:iCs/>
          <w:color w:val="0915FF"/>
          <w:szCs w:val="20"/>
          <w:highlight w:val="yellow"/>
        </w:rPr>
        <w:t xml:space="preserve">, </w:t>
      </w:r>
      <w:r w:rsidR="001D33CA">
        <w:rPr>
          <w:rFonts w:ascii="Palatino" w:hAnsi="Palatino" w:eastAsia="Times New Roman" w:cs="Times New Roman"/>
          <w:i/>
          <w:iCs/>
          <w:color w:val="0915FF"/>
          <w:szCs w:val="20"/>
          <w:highlight w:val="yellow"/>
        </w:rPr>
        <w:t>including</w:t>
      </w:r>
      <w:r w:rsidR="00DF6694">
        <w:rPr>
          <w:rFonts w:ascii="Palatino" w:hAnsi="Palatino" w:eastAsia="Times New Roman" w:cs="Times New Roman"/>
          <w:i/>
          <w:iCs/>
          <w:color w:val="0915FF"/>
          <w:szCs w:val="20"/>
          <w:highlight w:val="yellow"/>
        </w:rPr>
        <w:t xml:space="preserve"> information on</w:t>
      </w:r>
      <w:r w:rsidR="001D33CA">
        <w:rPr>
          <w:rFonts w:ascii="Palatino" w:hAnsi="Palatino" w:eastAsia="Times New Roman" w:cs="Times New Roman"/>
          <w:i/>
          <w:iCs/>
          <w:color w:val="0915FF"/>
          <w:szCs w:val="20"/>
          <w:highlight w:val="yellow"/>
        </w:rPr>
        <w:t xml:space="preserve"> una</w:t>
      </w:r>
      <w:r w:rsidR="00DF6694">
        <w:rPr>
          <w:rFonts w:ascii="Palatino" w:hAnsi="Palatino" w:eastAsia="Times New Roman" w:cs="Times New Roman"/>
          <w:i/>
          <w:iCs/>
          <w:color w:val="0915FF"/>
          <w:szCs w:val="20"/>
          <w:highlight w:val="yellow"/>
        </w:rPr>
        <w:t>u</w:t>
      </w:r>
      <w:r w:rsidR="001D33CA">
        <w:rPr>
          <w:rFonts w:ascii="Palatino" w:hAnsi="Palatino" w:eastAsia="Times New Roman" w:cs="Times New Roman"/>
          <w:i/>
          <w:iCs/>
          <w:color w:val="0915FF"/>
          <w:szCs w:val="20"/>
          <w:highlight w:val="yellow"/>
        </w:rPr>
        <w:t xml:space="preserve">thorized attachment disputes that </w:t>
      </w:r>
      <w:r w:rsidRPr="00FC6467">
        <w:rPr>
          <w:rFonts w:ascii="Palatino" w:hAnsi="Palatino" w:eastAsia="Times New Roman" w:cs="Times New Roman"/>
          <w:i/>
          <w:iCs/>
          <w:color w:val="0915FF"/>
          <w:szCs w:val="20"/>
          <w:highlight w:val="yellow"/>
        </w:rPr>
        <w:t>remained unresolved at the time of the compliance filing</w:t>
      </w:r>
      <w:r w:rsidRPr="00E83798">
        <w:rPr>
          <w:rFonts w:ascii="Palatino" w:hAnsi="Palatino" w:eastAsia="Times New Roman" w:cs="Times New Roman"/>
          <w:i/>
          <w:iCs/>
          <w:color w:val="0915FF"/>
          <w:szCs w:val="20"/>
        </w:rPr>
        <w:t xml:space="preserve">. Commission staff may require specific reporting templates, formatting, </w:t>
      </w:r>
      <w:r w:rsidRPr="00674994">
        <w:rPr>
          <w:rFonts w:ascii="Palatino" w:hAnsi="Palatino" w:eastAsia="Times New Roman" w:cs="Times New Roman"/>
          <w:i/>
          <w:iCs/>
          <w:color w:val="0915FF"/>
          <w:szCs w:val="20"/>
          <w:highlight w:val="yellow"/>
        </w:rPr>
        <w:t>or additional details.</w:t>
      </w:r>
      <w:r w:rsidRPr="00674994">
        <w:rPr>
          <w:rFonts w:ascii="Palatino" w:hAnsi="Palatino" w:eastAsia="Times New Roman" w:cs="Times New Roman"/>
          <w:i/>
          <w:iCs/>
          <w:strike/>
          <w:color w:val="EE0000"/>
          <w:szCs w:val="20"/>
          <w:highlight w:val="yellow"/>
        </w:rPr>
        <w:t xml:space="preserve"> and post filings on the Commission’s website for transparenc</w:t>
      </w:r>
      <w:r w:rsidRPr="003B33A2">
        <w:rPr>
          <w:rFonts w:ascii="Palatino" w:hAnsi="Palatino" w:eastAsia="Times New Roman" w:cs="Times New Roman"/>
          <w:i/>
          <w:iCs/>
          <w:strike/>
          <w:color w:val="EE0000"/>
          <w:szCs w:val="20"/>
          <w:highlight w:val="yellow"/>
        </w:rPr>
        <w:t>y</w:t>
      </w:r>
      <w:r w:rsidRPr="0024483E">
        <w:rPr>
          <w:rFonts w:ascii="Palatino" w:hAnsi="Palatino" w:eastAsia="Times New Roman" w:cs="Times New Roman"/>
          <w:i/>
          <w:iCs/>
          <w:strike/>
          <w:color w:val="EE0000"/>
          <w:szCs w:val="20"/>
          <w:highlight w:val="yellow"/>
        </w:rPr>
        <w:t>.</w:t>
      </w:r>
      <w:r w:rsidRPr="00E83798">
        <w:rPr>
          <w:rFonts w:ascii="Palatino" w:hAnsi="Palatino" w:eastAsia="Times New Roman" w:cs="Times New Roman"/>
          <w:i/>
          <w:iCs/>
          <w:color w:val="0915FF"/>
          <w:szCs w:val="20"/>
        </w:rPr>
        <w:t xml:space="preserve"> For each incident, the report shall:</w:t>
      </w:r>
    </w:p>
    <w:p w:rsidRPr="00E83798" w:rsidR="00B0789F" w:rsidP="00B0789F" w:rsidRDefault="00B0789F" w14:paraId="2D940E5C" w14:textId="77777777">
      <w:pPr>
        <w:tabs>
          <w:tab w:val="left" w:pos="1080"/>
        </w:tabs>
        <w:spacing w:after="240" w:line="240" w:lineRule="auto"/>
        <w:ind w:left="1440" w:hanging="360"/>
        <w:rPr>
          <w:rFonts w:ascii="Palatino" w:hAnsi="Palatino" w:eastAsia="Times New Roman" w:cs="Times New Roman"/>
          <w:i/>
          <w:iCs/>
          <w:color w:val="0915FF"/>
          <w:szCs w:val="20"/>
        </w:rPr>
      </w:pPr>
      <w:r w:rsidRPr="00E83798">
        <w:rPr>
          <w:rFonts w:ascii="Palatino" w:hAnsi="Palatino" w:eastAsia="Times New Roman" w:cs="Times New Roman"/>
          <w:i/>
          <w:iCs/>
          <w:color w:val="0915FF"/>
          <w:szCs w:val="20"/>
        </w:rPr>
        <w:tab/>
        <w:t>a. Identify the entity, if known.</w:t>
      </w:r>
    </w:p>
    <w:p w:rsidR="00B0789F" w:rsidP="00B0789F" w:rsidRDefault="00B0789F" w14:paraId="23F7B7B0" w14:textId="026AD513">
      <w:pPr>
        <w:tabs>
          <w:tab w:val="left" w:pos="1080"/>
        </w:tabs>
        <w:spacing w:after="240" w:line="240" w:lineRule="auto"/>
        <w:ind w:left="1440" w:hanging="360"/>
        <w:rPr>
          <w:rFonts w:ascii="Palatino" w:hAnsi="Palatino" w:eastAsia="Times New Roman" w:cs="Times New Roman"/>
          <w:i/>
          <w:iCs/>
          <w:color w:val="0915FF"/>
          <w:szCs w:val="20"/>
        </w:rPr>
      </w:pPr>
      <w:r w:rsidRPr="00E83798">
        <w:rPr>
          <w:rFonts w:ascii="Palatino" w:hAnsi="Palatino" w:eastAsia="Times New Roman" w:cs="Times New Roman"/>
          <w:i/>
          <w:iCs/>
          <w:color w:val="0915FF"/>
          <w:szCs w:val="20"/>
        </w:rPr>
        <w:tab/>
        <w:t>b. The date the unauthorized attachment(s) or noncompliance with the</w:t>
      </w:r>
      <w:r>
        <w:rPr>
          <w:rFonts w:ascii="Palatino" w:hAnsi="Palatino" w:eastAsia="Times New Roman" w:cs="Times New Roman"/>
          <w:i/>
          <w:iCs/>
          <w:color w:val="0915FF"/>
          <w:szCs w:val="20"/>
        </w:rPr>
        <w:t xml:space="preserve"> </w:t>
      </w:r>
      <w:r w:rsidRPr="00430124">
        <w:rPr>
          <w:rFonts w:ascii="Palatino" w:hAnsi="Palatino" w:eastAsia="Times New Roman" w:cs="Times New Roman"/>
          <w:i/>
          <w:iCs/>
          <w:color w:val="0915FF"/>
          <w:szCs w:val="20"/>
          <w:highlight w:val="yellow"/>
        </w:rPr>
        <w:t>incumbent utility’s</w:t>
      </w:r>
      <w:r w:rsidRPr="00E83798">
        <w:rPr>
          <w:rFonts w:ascii="Palatino" w:hAnsi="Palatino" w:eastAsia="Times New Roman" w:cs="Times New Roman"/>
          <w:i/>
          <w:iCs/>
          <w:color w:val="0915FF"/>
          <w:szCs w:val="20"/>
        </w:rPr>
        <w:t xml:space="preserve"> data reporting requirements </w:t>
      </w:r>
      <w:r w:rsidRPr="00430124">
        <w:rPr>
          <w:rFonts w:ascii="Palatino" w:hAnsi="Palatino" w:eastAsia="Times New Roman" w:cs="Times New Roman"/>
          <w:i/>
          <w:iCs/>
          <w:strike/>
          <w:color w:val="EE0000"/>
          <w:szCs w:val="20"/>
          <w:highlight w:val="yellow"/>
        </w:rPr>
        <w:t>imposed by pole owners in addition to and in compliance with Decision 21</w:t>
      </w:r>
      <w:r w:rsidR="00E4753D">
        <w:rPr>
          <w:rFonts w:ascii="Palatino" w:hAnsi="Palatino" w:eastAsia="Times New Roman" w:cs="Times New Roman"/>
          <w:i/>
          <w:iCs/>
          <w:strike/>
          <w:color w:val="EE0000"/>
          <w:szCs w:val="20"/>
          <w:highlight w:val="yellow"/>
        </w:rPr>
        <w:noBreakHyphen/>
      </w:r>
      <w:r w:rsidRPr="00430124">
        <w:rPr>
          <w:rFonts w:ascii="Palatino" w:hAnsi="Palatino" w:eastAsia="Times New Roman" w:cs="Times New Roman"/>
          <w:i/>
          <w:iCs/>
          <w:strike/>
          <w:color w:val="EE0000"/>
          <w:szCs w:val="20"/>
          <w:highlight w:val="yellow"/>
        </w:rPr>
        <w:t>10</w:t>
      </w:r>
      <w:r w:rsidR="00E4753D">
        <w:rPr>
          <w:rFonts w:ascii="Palatino" w:hAnsi="Palatino" w:eastAsia="Times New Roman" w:cs="Times New Roman"/>
          <w:i/>
          <w:iCs/>
          <w:strike/>
          <w:color w:val="EE0000"/>
          <w:szCs w:val="20"/>
          <w:highlight w:val="yellow"/>
        </w:rPr>
        <w:noBreakHyphen/>
      </w:r>
      <w:r w:rsidRPr="00430124">
        <w:rPr>
          <w:rFonts w:ascii="Palatino" w:hAnsi="Palatino" w:eastAsia="Times New Roman" w:cs="Times New Roman"/>
          <w:i/>
          <w:iCs/>
          <w:strike/>
          <w:color w:val="EE0000"/>
          <w:szCs w:val="20"/>
          <w:highlight w:val="yellow"/>
        </w:rPr>
        <w:t>019</w:t>
      </w:r>
      <w:r w:rsidRPr="00430124">
        <w:rPr>
          <w:rFonts w:ascii="Palatino" w:hAnsi="Palatino" w:eastAsia="Times New Roman" w:cs="Times New Roman"/>
          <w:i/>
          <w:iCs/>
          <w:color w:val="EE0000"/>
          <w:szCs w:val="20"/>
        </w:rPr>
        <w:t xml:space="preserve"> </w:t>
      </w:r>
      <w:r w:rsidRPr="00E83798">
        <w:rPr>
          <w:rFonts w:ascii="Palatino" w:hAnsi="Palatino" w:eastAsia="Times New Roman" w:cs="Times New Roman"/>
          <w:i/>
          <w:iCs/>
          <w:color w:val="0915FF"/>
          <w:szCs w:val="20"/>
        </w:rPr>
        <w:t>were identified.</w:t>
      </w:r>
    </w:p>
    <w:p w:rsidR="00B0789F" w:rsidP="00B0789F" w:rsidRDefault="00B0789F" w14:paraId="714EB3BA" w14:textId="77777777">
      <w:pPr>
        <w:tabs>
          <w:tab w:val="left" w:pos="1080"/>
        </w:tabs>
        <w:spacing w:after="240" w:line="240" w:lineRule="auto"/>
        <w:ind w:left="1800" w:hanging="360"/>
        <w:rPr>
          <w:rFonts w:ascii="Palatino" w:hAnsi="Palatino" w:eastAsia="Times New Roman" w:cs="Times New Roman"/>
          <w:i/>
          <w:iCs/>
          <w:color w:val="0915FF"/>
          <w:szCs w:val="20"/>
          <w:highlight w:val="yellow"/>
        </w:rPr>
      </w:pPr>
      <w:r>
        <w:rPr>
          <w:rFonts w:ascii="Palatino" w:hAnsi="Palatino" w:eastAsia="Times New Roman" w:cs="Times New Roman"/>
          <w:i/>
          <w:iCs/>
          <w:color w:val="0915FF"/>
          <w:szCs w:val="20"/>
          <w:highlight w:val="yellow"/>
        </w:rPr>
        <w:t>c. The county in which the unauthorized attachment was located.</w:t>
      </w:r>
    </w:p>
    <w:p w:rsidRPr="0083625B" w:rsidR="00B0789F" w:rsidP="00B0789F" w:rsidRDefault="00B0789F" w14:paraId="7351C9C6" w14:textId="6BF9A152">
      <w:pPr>
        <w:tabs>
          <w:tab w:val="left" w:pos="1080"/>
        </w:tabs>
        <w:spacing w:after="240" w:line="240" w:lineRule="auto"/>
        <w:ind w:left="1800" w:hanging="360"/>
        <w:rPr>
          <w:rFonts w:ascii="Palatino" w:hAnsi="Palatino" w:eastAsia="Times New Roman" w:cs="Times New Roman"/>
          <w:color w:val="0915FF"/>
          <w:szCs w:val="20"/>
          <w:highlight w:val="yellow"/>
        </w:rPr>
      </w:pPr>
      <w:r>
        <w:rPr>
          <w:rFonts w:ascii="Palatino" w:hAnsi="Palatino" w:eastAsia="Times New Roman" w:cs="Times New Roman"/>
          <w:i/>
          <w:iCs/>
          <w:color w:val="0915FF"/>
          <w:szCs w:val="20"/>
          <w:highlight w:val="yellow"/>
        </w:rPr>
        <w:lastRenderedPageBreak/>
        <w:t>d. Whether the unauthorized attachment was in a High Fire</w:t>
      </w:r>
      <w:r w:rsidR="00E4753D">
        <w:rPr>
          <w:rFonts w:ascii="Palatino" w:hAnsi="Palatino" w:eastAsia="Times New Roman" w:cs="Times New Roman"/>
          <w:i/>
          <w:iCs/>
          <w:color w:val="0915FF"/>
          <w:szCs w:val="20"/>
          <w:highlight w:val="yellow"/>
        </w:rPr>
        <w:noBreakHyphen/>
      </w:r>
      <w:r>
        <w:rPr>
          <w:rFonts w:ascii="Palatino" w:hAnsi="Palatino" w:eastAsia="Times New Roman" w:cs="Times New Roman"/>
          <w:i/>
          <w:iCs/>
          <w:color w:val="0915FF"/>
          <w:szCs w:val="20"/>
          <w:highlight w:val="yellow"/>
        </w:rPr>
        <w:t>Threat District, and if so, which Tier</w:t>
      </w:r>
      <w:r>
        <w:rPr>
          <w:rFonts w:ascii="Palatino" w:hAnsi="Palatino" w:eastAsia="Times New Roman" w:cs="Times New Roman"/>
          <w:color w:val="0915FF"/>
          <w:szCs w:val="20"/>
          <w:highlight w:val="yellow"/>
        </w:rPr>
        <w:t>.</w:t>
      </w:r>
    </w:p>
    <w:p w:rsidRPr="00E83798" w:rsidR="00B0789F" w:rsidP="00B0789F" w:rsidRDefault="00B0789F" w14:paraId="23B69DA7" w14:textId="77777777">
      <w:pPr>
        <w:tabs>
          <w:tab w:val="left" w:pos="1080"/>
        </w:tabs>
        <w:spacing w:after="240" w:line="240" w:lineRule="auto"/>
        <w:ind w:left="1440" w:hanging="360"/>
        <w:rPr>
          <w:rFonts w:ascii="Palatino" w:hAnsi="Palatino" w:eastAsia="Times New Roman" w:cs="Times New Roman"/>
          <w:i/>
          <w:iCs/>
          <w:color w:val="0915FF"/>
          <w:szCs w:val="20"/>
        </w:rPr>
      </w:pPr>
      <w:r w:rsidRPr="00E83798">
        <w:rPr>
          <w:rFonts w:ascii="Palatino" w:hAnsi="Palatino" w:eastAsia="Times New Roman" w:cs="Times New Roman"/>
          <w:i/>
          <w:iCs/>
          <w:color w:val="0915FF"/>
          <w:szCs w:val="20"/>
        </w:rPr>
        <w:tab/>
      </w:r>
      <w:r w:rsidRPr="00F67003">
        <w:rPr>
          <w:rFonts w:ascii="Palatino" w:hAnsi="Palatino" w:eastAsia="Times New Roman" w:cs="Times New Roman"/>
          <w:i/>
          <w:iCs/>
          <w:color w:val="0915FF"/>
          <w:szCs w:val="20"/>
          <w:highlight w:val="yellow"/>
        </w:rPr>
        <w:t xml:space="preserve">e. </w:t>
      </w:r>
      <w:r w:rsidRPr="00F67003">
        <w:rPr>
          <w:rFonts w:ascii="Palatino" w:hAnsi="Palatino" w:eastAsia="Times New Roman" w:cs="Times New Roman"/>
          <w:i/>
          <w:iCs/>
          <w:strike/>
          <w:color w:val="EE0000"/>
          <w:szCs w:val="20"/>
          <w:highlight w:val="yellow"/>
        </w:rPr>
        <w:t>c</w:t>
      </w:r>
      <w:r w:rsidRPr="00A00B48">
        <w:rPr>
          <w:rFonts w:ascii="Palatino" w:hAnsi="Palatino" w:eastAsia="Times New Roman" w:cs="Times New Roman"/>
          <w:i/>
          <w:iCs/>
          <w:strike/>
          <w:color w:val="EE0000"/>
          <w:szCs w:val="20"/>
          <w:highlight w:val="yellow"/>
        </w:rPr>
        <w:t xml:space="preserve">. </w:t>
      </w:r>
      <w:r w:rsidRPr="00E83798">
        <w:rPr>
          <w:rFonts w:ascii="Palatino" w:hAnsi="Palatino" w:eastAsia="Times New Roman" w:cs="Times New Roman"/>
          <w:i/>
          <w:iCs/>
          <w:color w:val="0915FF"/>
          <w:szCs w:val="20"/>
        </w:rPr>
        <w:t>The number of unauthorized attachments identified.</w:t>
      </w:r>
    </w:p>
    <w:p w:rsidRPr="00E83798" w:rsidR="00B0789F" w:rsidP="00B0789F" w:rsidRDefault="00B0789F" w14:paraId="2FCAD8B9" w14:textId="77777777">
      <w:pPr>
        <w:tabs>
          <w:tab w:val="left" w:pos="1080"/>
        </w:tabs>
        <w:spacing w:after="240" w:line="240" w:lineRule="auto"/>
        <w:ind w:left="1440" w:hanging="360"/>
        <w:rPr>
          <w:rFonts w:ascii="Palatino" w:hAnsi="Palatino" w:eastAsia="Times New Roman" w:cs="Times New Roman"/>
          <w:i/>
          <w:iCs/>
          <w:color w:val="0915FF"/>
          <w:szCs w:val="20"/>
        </w:rPr>
      </w:pPr>
      <w:r w:rsidRPr="00E83798">
        <w:rPr>
          <w:rFonts w:ascii="Palatino" w:hAnsi="Palatino" w:eastAsia="Times New Roman" w:cs="Times New Roman"/>
          <w:i/>
          <w:iCs/>
          <w:color w:val="0915FF"/>
          <w:szCs w:val="20"/>
        </w:rPr>
        <w:tab/>
      </w:r>
      <w:r w:rsidRPr="00F67003">
        <w:rPr>
          <w:rFonts w:ascii="Palatino" w:hAnsi="Palatino" w:eastAsia="Times New Roman" w:cs="Times New Roman"/>
          <w:i/>
          <w:iCs/>
          <w:color w:val="0915FF"/>
          <w:szCs w:val="20"/>
          <w:highlight w:val="yellow"/>
        </w:rPr>
        <w:t xml:space="preserve">f. </w:t>
      </w:r>
      <w:r w:rsidRPr="00F67003">
        <w:rPr>
          <w:rFonts w:ascii="Palatino" w:hAnsi="Palatino" w:eastAsia="Times New Roman" w:cs="Times New Roman"/>
          <w:i/>
          <w:iCs/>
          <w:strike/>
          <w:color w:val="EE0000"/>
          <w:szCs w:val="20"/>
          <w:highlight w:val="yellow"/>
        </w:rPr>
        <w:t>d</w:t>
      </w:r>
      <w:r w:rsidRPr="00A00B48">
        <w:rPr>
          <w:rFonts w:ascii="Palatino" w:hAnsi="Palatino" w:eastAsia="Times New Roman" w:cs="Times New Roman"/>
          <w:i/>
          <w:iCs/>
          <w:strike/>
          <w:color w:val="EE0000"/>
          <w:szCs w:val="20"/>
          <w:highlight w:val="yellow"/>
        </w:rPr>
        <w:t>.</w:t>
      </w:r>
      <w:r w:rsidRPr="00E83798">
        <w:rPr>
          <w:rFonts w:ascii="Palatino" w:hAnsi="Palatino" w:eastAsia="Times New Roman" w:cs="Times New Roman"/>
          <w:i/>
          <w:iCs/>
          <w:color w:val="0915FF"/>
          <w:szCs w:val="20"/>
        </w:rPr>
        <w:t xml:space="preserve"> A description of the attachment(s).</w:t>
      </w:r>
    </w:p>
    <w:p w:rsidRPr="00E83798" w:rsidR="00B0789F" w:rsidP="00B0789F" w:rsidRDefault="00B0789F" w14:paraId="13E90EDF" w14:textId="77777777">
      <w:pPr>
        <w:tabs>
          <w:tab w:val="left" w:pos="1080"/>
        </w:tabs>
        <w:spacing w:after="240" w:line="240" w:lineRule="auto"/>
        <w:ind w:left="1440" w:hanging="360"/>
        <w:rPr>
          <w:rFonts w:ascii="Palatino" w:hAnsi="Palatino" w:eastAsia="Times New Roman" w:cs="Times New Roman"/>
          <w:i/>
          <w:iCs/>
          <w:color w:val="0915FF"/>
          <w:szCs w:val="20"/>
        </w:rPr>
      </w:pPr>
      <w:r w:rsidRPr="00E83798">
        <w:rPr>
          <w:rFonts w:ascii="Palatino" w:hAnsi="Palatino" w:eastAsia="Times New Roman" w:cs="Times New Roman"/>
          <w:i/>
          <w:iCs/>
          <w:color w:val="0915FF"/>
          <w:szCs w:val="20"/>
        </w:rPr>
        <w:tab/>
      </w:r>
      <w:r w:rsidRPr="00F67003">
        <w:rPr>
          <w:rFonts w:ascii="Palatino" w:hAnsi="Palatino" w:eastAsia="Times New Roman" w:cs="Times New Roman"/>
          <w:i/>
          <w:iCs/>
          <w:color w:val="0915FF"/>
          <w:szCs w:val="20"/>
          <w:highlight w:val="yellow"/>
        </w:rPr>
        <w:t xml:space="preserve">g. </w:t>
      </w:r>
      <w:r w:rsidRPr="00F67003">
        <w:rPr>
          <w:rFonts w:ascii="Palatino" w:hAnsi="Palatino" w:eastAsia="Times New Roman" w:cs="Times New Roman"/>
          <w:i/>
          <w:iCs/>
          <w:strike/>
          <w:color w:val="EE0000"/>
          <w:szCs w:val="20"/>
          <w:highlight w:val="yellow"/>
        </w:rPr>
        <w:t>e</w:t>
      </w:r>
      <w:r w:rsidRPr="00A00B48">
        <w:rPr>
          <w:rFonts w:ascii="Palatino" w:hAnsi="Palatino" w:eastAsia="Times New Roman" w:cs="Times New Roman"/>
          <w:i/>
          <w:iCs/>
          <w:strike/>
          <w:color w:val="EE0000"/>
          <w:szCs w:val="20"/>
          <w:highlight w:val="yellow"/>
        </w:rPr>
        <w:t>.</w:t>
      </w:r>
      <w:r w:rsidRPr="00E83798">
        <w:rPr>
          <w:rFonts w:ascii="Palatino" w:hAnsi="Palatino" w:eastAsia="Times New Roman" w:cs="Times New Roman"/>
          <w:i/>
          <w:iCs/>
          <w:color w:val="0915FF"/>
          <w:szCs w:val="20"/>
        </w:rPr>
        <w:t xml:space="preserve"> The penalties imposed, if applicable.</w:t>
      </w:r>
    </w:p>
    <w:p w:rsidR="00B0789F" w:rsidP="00B0789F" w:rsidRDefault="00B0789F" w14:paraId="6EEC366F" w14:textId="77777777">
      <w:pPr>
        <w:tabs>
          <w:tab w:val="left" w:pos="1080"/>
        </w:tabs>
        <w:spacing w:after="240" w:line="240" w:lineRule="auto"/>
        <w:ind w:left="1440" w:hanging="360"/>
        <w:rPr>
          <w:rFonts w:ascii="Palatino" w:hAnsi="Palatino" w:eastAsia="Times New Roman" w:cs="Times New Roman"/>
          <w:i/>
          <w:iCs/>
          <w:color w:val="0915FF"/>
          <w:szCs w:val="20"/>
        </w:rPr>
      </w:pPr>
      <w:r w:rsidRPr="00E83798">
        <w:rPr>
          <w:rFonts w:ascii="Palatino" w:hAnsi="Palatino" w:eastAsia="Times New Roman" w:cs="Times New Roman"/>
          <w:i/>
          <w:iCs/>
          <w:color w:val="0915FF"/>
          <w:szCs w:val="20"/>
        </w:rPr>
        <w:tab/>
      </w:r>
      <w:r w:rsidRPr="00F67003">
        <w:rPr>
          <w:rFonts w:ascii="Palatino" w:hAnsi="Palatino" w:eastAsia="Times New Roman" w:cs="Times New Roman"/>
          <w:i/>
          <w:iCs/>
          <w:color w:val="0915FF"/>
          <w:szCs w:val="20"/>
          <w:highlight w:val="yellow"/>
        </w:rPr>
        <w:t xml:space="preserve">h. </w:t>
      </w:r>
      <w:r w:rsidRPr="00F67003">
        <w:rPr>
          <w:rFonts w:ascii="Palatino" w:hAnsi="Palatino" w:eastAsia="Times New Roman" w:cs="Times New Roman"/>
          <w:i/>
          <w:iCs/>
          <w:strike/>
          <w:color w:val="EE0000"/>
          <w:szCs w:val="20"/>
          <w:highlight w:val="yellow"/>
        </w:rPr>
        <w:t>f</w:t>
      </w:r>
      <w:r w:rsidRPr="00A00B48">
        <w:rPr>
          <w:rFonts w:ascii="Palatino" w:hAnsi="Palatino" w:eastAsia="Times New Roman" w:cs="Times New Roman"/>
          <w:i/>
          <w:iCs/>
          <w:strike/>
          <w:color w:val="EE0000"/>
          <w:szCs w:val="20"/>
          <w:highlight w:val="yellow"/>
        </w:rPr>
        <w:t>.</w:t>
      </w:r>
      <w:r w:rsidRPr="00E83798">
        <w:rPr>
          <w:rFonts w:ascii="Palatino" w:hAnsi="Palatino" w:eastAsia="Times New Roman" w:cs="Times New Roman"/>
          <w:i/>
          <w:iCs/>
          <w:color w:val="0915FF"/>
          <w:szCs w:val="20"/>
        </w:rPr>
        <w:t xml:space="preserve"> The status or outcome of the incident (e.g., pending investigation, fine paid, authorization provided, facilities removed, etc.)</w:t>
      </w:r>
    </w:p>
    <w:p w:rsidRPr="00E83798" w:rsidR="00B0789F" w:rsidP="00B0789F" w:rsidRDefault="00B0789F" w14:paraId="76F12DB7" w14:textId="77777777">
      <w:pPr>
        <w:tabs>
          <w:tab w:val="left" w:pos="1080"/>
        </w:tabs>
        <w:spacing w:after="240" w:line="240" w:lineRule="auto"/>
        <w:ind w:left="1440" w:hanging="360"/>
        <w:rPr>
          <w:rFonts w:ascii="Palatino" w:hAnsi="Palatino" w:eastAsia="Times New Roman" w:cs="Times New Roman"/>
          <w:i/>
          <w:iCs/>
          <w:color w:val="0915FF"/>
          <w:szCs w:val="20"/>
        </w:rPr>
      </w:pPr>
      <w:r w:rsidRPr="00892E15">
        <w:rPr>
          <w:rFonts w:ascii="Palatino" w:hAnsi="Palatino" w:eastAsia="Times New Roman" w:cs="Times New Roman"/>
          <w:i/>
          <w:iCs/>
          <w:color w:val="0915FF"/>
          <w:szCs w:val="20"/>
          <w:highlight w:val="yellow"/>
        </w:rPr>
        <w:t>7.  Incumbent utilities may refer instances of attacher</w:t>
      </w:r>
      <w:r>
        <w:rPr>
          <w:rFonts w:ascii="Palatino" w:hAnsi="Palatino" w:eastAsia="Times New Roman" w:cs="Times New Roman"/>
          <w:i/>
          <w:iCs/>
          <w:color w:val="0915FF"/>
          <w:szCs w:val="20"/>
          <w:highlight w:val="yellow"/>
        </w:rPr>
        <w:t xml:space="preserve"> noncompliance</w:t>
      </w:r>
      <w:r w:rsidRPr="00892E15">
        <w:rPr>
          <w:rFonts w:ascii="Palatino" w:hAnsi="Palatino" w:eastAsia="Times New Roman" w:cs="Times New Roman"/>
          <w:i/>
          <w:iCs/>
          <w:color w:val="0915FF"/>
          <w:szCs w:val="20"/>
          <w:highlight w:val="yellow"/>
        </w:rPr>
        <w:t xml:space="preserve"> to the Commission for </w:t>
      </w:r>
      <w:r>
        <w:rPr>
          <w:rFonts w:ascii="Palatino" w:hAnsi="Palatino" w:eastAsia="Times New Roman" w:cs="Times New Roman"/>
          <w:i/>
          <w:iCs/>
          <w:color w:val="0915FF"/>
          <w:szCs w:val="20"/>
          <w:highlight w:val="yellow"/>
        </w:rPr>
        <w:t xml:space="preserve">further </w:t>
      </w:r>
      <w:r w:rsidRPr="00892E15">
        <w:rPr>
          <w:rFonts w:ascii="Palatino" w:hAnsi="Palatino" w:eastAsia="Times New Roman" w:cs="Times New Roman"/>
          <w:i/>
          <w:iCs/>
          <w:color w:val="0915FF"/>
          <w:szCs w:val="20"/>
          <w:highlight w:val="yellow"/>
        </w:rPr>
        <w:t>enforcement</w:t>
      </w:r>
      <w:r>
        <w:rPr>
          <w:rFonts w:ascii="Palatino" w:hAnsi="Palatino" w:eastAsia="Times New Roman" w:cs="Times New Roman"/>
          <w:i/>
          <w:iCs/>
          <w:color w:val="0915FF"/>
          <w:szCs w:val="20"/>
          <w:highlight w:val="yellow"/>
        </w:rPr>
        <w:t>, including but not limited to additional fines, sanctions, ordering of remedial actions (e.g., ordering of external audits at the attacher’s expense), and license revocation</w:t>
      </w:r>
      <w:r w:rsidRPr="00892E15">
        <w:rPr>
          <w:rFonts w:ascii="Palatino" w:hAnsi="Palatino" w:eastAsia="Times New Roman" w:cs="Times New Roman"/>
          <w:i/>
          <w:iCs/>
          <w:color w:val="0915FF"/>
          <w:szCs w:val="20"/>
          <w:highlight w:val="yellow"/>
        </w:rPr>
        <w:t xml:space="preserve">. Attachers may </w:t>
      </w:r>
      <w:r>
        <w:rPr>
          <w:rFonts w:ascii="Palatino" w:hAnsi="Palatino" w:eastAsia="Times New Roman" w:cs="Times New Roman"/>
          <w:i/>
          <w:iCs/>
          <w:color w:val="0915FF"/>
          <w:szCs w:val="20"/>
          <w:highlight w:val="yellow"/>
        </w:rPr>
        <w:t>appeal</w:t>
      </w:r>
      <w:r w:rsidRPr="00892E15">
        <w:rPr>
          <w:rFonts w:ascii="Palatino" w:hAnsi="Palatino" w:eastAsia="Times New Roman" w:cs="Times New Roman"/>
          <w:i/>
          <w:iCs/>
          <w:color w:val="0915FF"/>
          <w:szCs w:val="20"/>
          <w:highlight w:val="yellow"/>
        </w:rPr>
        <w:t xml:space="preserve"> incumbent utilit</w:t>
      </w:r>
      <w:r>
        <w:rPr>
          <w:rFonts w:ascii="Palatino" w:hAnsi="Palatino" w:eastAsia="Times New Roman" w:cs="Times New Roman"/>
          <w:i/>
          <w:iCs/>
          <w:color w:val="0915FF"/>
          <w:szCs w:val="20"/>
          <w:highlight w:val="yellow"/>
        </w:rPr>
        <w:t>y</w:t>
      </w:r>
      <w:r w:rsidRPr="00892E15">
        <w:rPr>
          <w:rFonts w:ascii="Palatino" w:hAnsi="Palatino" w:eastAsia="Times New Roman" w:cs="Times New Roman"/>
          <w:i/>
          <w:iCs/>
          <w:color w:val="0915FF"/>
          <w:szCs w:val="20"/>
          <w:highlight w:val="yellow"/>
        </w:rPr>
        <w:t xml:space="preserve"> enforcement </w:t>
      </w:r>
      <w:r>
        <w:rPr>
          <w:rFonts w:ascii="Palatino" w:hAnsi="Palatino" w:eastAsia="Times New Roman" w:cs="Times New Roman"/>
          <w:i/>
          <w:iCs/>
          <w:color w:val="0915FF"/>
          <w:szCs w:val="20"/>
          <w:highlight w:val="yellow"/>
        </w:rPr>
        <w:t>to</w:t>
      </w:r>
      <w:r w:rsidRPr="00892E15">
        <w:rPr>
          <w:rFonts w:ascii="Palatino" w:hAnsi="Palatino" w:eastAsia="Times New Roman" w:cs="Times New Roman"/>
          <w:i/>
          <w:iCs/>
          <w:color w:val="0915FF"/>
          <w:szCs w:val="20"/>
          <w:highlight w:val="yellow"/>
        </w:rPr>
        <w:t xml:space="preserve"> the Commission.</w:t>
      </w:r>
    </w:p>
    <w:bookmarkEnd w:id="30"/>
    <w:p w:rsidR="007A66EC" w:rsidP="00ED36CC" w:rsidRDefault="00BD0435" w14:paraId="698F14D4" w14:textId="195CBDDA">
      <w:pPr>
        <w:pStyle w:val="Standard"/>
      </w:pPr>
      <w:r>
        <w:t>First, i</w:t>
      </w:r>
      <w:r w:rsidR="00A40FED">
        <w:t xml:space="preserve">n making these modifications, the Commission </w:t>
      </w:r>
      <w:r w:rsidR="009068CB">
        <w:t>does not deviate from the existing data and enforcement requirements. Having accurate and complete information on the attachments for each utility pole is essential for determining what is authorized to be on utility poles.</w:t>
      </w:r>
      <w:r w:rsidR="007F7FE0">
        <w:t xml:space="preserve"> Considering the ongoing disputes between pole owners and attachers as to what is authorized to be on utility poles, </w:t>
      </w:r>
      <w:r w:rsidR="00251012">
        <w:t>the current state of record keeping is insufficient.</w:t>
      </w:r>
    </w:p>
    <w:p w:rsidR="00E26F1D" w:rsidP="00ED36CC" w:rsidRDefault="00BD0435" w14:paraId="4DC82D8D" w14:textId="45E4605C">
      <w:pPr>
        <w:pStyle w:val="Standard"/>
        <w:rPr>
          <w:szCs w:val="26"/>
        </w:rPr>
      </w:pPr>
      <w:r>
        <w:rPr>
          <w:szCs w:val="26"/>
        </w:rPr>
        <w:t>Second, w</w:t>
      </w:r>
      <w:r w:rsidRPr="00251012" w:rsidR="00BA53E6">
        <w:rPr>
          <w:szCs w:val="26"/>
        </w:rPr>
        <w:t>ith the enhanced reporting and enforcement</w:t>
      </w:r>
      <w:r w:rsidR="00D23027">
        <w:rPr>
          <w:szCs w:val="26"/>
        </w:rPr>
        <w:t>,</w:t>
      </w:r>
      <w:r w:rsidRPr="00251012" w:rsidR="00BA53E6">
        <w:rPr>
          <w:szCs w:val="26"/>
        </w:rPr>
        <w:t xml:space="preserve"> we find that increasing the fine amount further is unnecessary. Despite claims from SCE and PG&amp;E that </w:t>
      </w:r>
      <w:r w:rsidR="00410529">
        <w:rPr>
          <w:szCs w:val="26"/>
        </w:rPr>
        <w:t>“</w:t>
      </w:r>
      <w:r w:rsidRPr="00251012" w:rsidR="00BA53E6">
        <w:rPr>
          <w:szCs w:val="26"/>
        </w:rPr>
        <w:t>the unauthorized attachment fee is no longer a deterrent is because the fee never increased over 25 years,</w:t>
      </w:r>
      <w:r w:rsidR="00410529">
        <w:rPr>
          <w:szCs w:val="26"/>
        </w:rPr>
        <w:t>”</w:t>
      </w:r>
      <w:r w:rsidRPr="00251012" w:rsidR="00BA53E6">
        <w:rPr>
          <w:szCs w:val="26"/>
        </w:rPr>
        <w:t xml:space="preserve"> the record shows that no pole owner has complete and accurate information on their utility poles</w:t>
      </w:r>
      <w:r w:rsidR="0071701B">
        <w:rPr>
          <w:szCs w:val="26"/>
        </w:rPr>
        <w:t>,</w:t>
      </w:r>
      <w:r w:rsidR="003D2568">
        <w:rPr>
          <w:szCs w:val="26"/>
        </w:rPr>
        <w:t xml:space="preserve"> </w:t>
      </w:r>
      <w:r w:rsidR="005D6B3E">
        <w:rPr>
          <w:szCs w:val="26"/>
        </w:rPr>
        <w:t xml:space="preserve">incomplete pole owner data has hampered </w:t>
      </w:r>
      <w:r w:rsidR="00355CE1">
        <w:rPr>
          <w:szCs w:val="26"/>
        </w:rPr>
        <w:t xml:space="preserve">unauthorized attachment enforcement, and </w:t>
      </w:r>
      <w:r w:rsidR="00B00513">
        <w:rPr>
          <w:szCs w:val="26"/>
        </w:rPr>
        <w:t xml:space="preserve">few pole owners have </w:t>
      </w:r>
      <w:r w:rsidR="005D6B3E">
        <w:rPr>
          <w:szCs w:val="26"/>
        </w:rPr>
        <w:t>effective enforcement programs</w:t>
      </w:r>
      <w:r w:rsidRPr="00251012" w:rsidR="00BA53E6">
        <w:rPr>
          <w:szCs w:val="26"/>
        </w:rPr>
        <w:t>.</w:t>
      </w:r>
    </w:p>
    <w:p w:rsidR="00E26F1D" w:rsidP="00ED36CC" w:rsidRDefault="00BD0435" w14:paraId="7252615C" w14:textId="3038CF1A">
      <w:pPr>
        <w:pStyle w:val="Standard"/>
        <w:rPr>
          <w:szCs w:val="26"/>
        </w:rPr>
      </w:pPr>
      <w:r w:rsidRPr="00FE0CF8">
        <w:rPr>
          <w:szCs w:val="26"/>
        </w:rPr>
        <w:lastRenderedPageBreak/>
        <w:t xml:space="preserve">Third, </w:t>
      </w:r>
      <w:r w:rsidRPr="00FE0CF8" w:rsidR="00AD04B3">
        <w:rPr>
          <w:szCs w:val="26"/>
        </w:rPr>
        <w:t>the</w:t>
      </w:r>
      <w:r w:rsidRPr="0024483E" w:rsidR="00A22CA1">
        <w:rPr>
          <w:szCs w:val="26"/>
        </w:rPr>
        <w:t xml:space="preserve"> requirement to</w:t>
      </w:r>
      <w:r w:rsidRPr="00FE0CF8" w:rsidR="00BA53E6">
        <w:rPr>
          <w:szCs w:val="26"/>
        </w:rPr>
        <w:t xml:space="preserve"> post compliance filings on unauthorized attachments to </w:t>
      </w:r>
      <w:r w:rsidRPr="00FE0CF8" w:rsidR="003C0273">
        <w:rPr>
          <w:szCs w:val="26"/>
        </w:rPr>
        <w:t xml:space="preserve">the </w:t>
      </w:r>
      <w:r w:rsidRPr="00FE0CF8" w:rsidR="0059443C">
        <w:rPr>
          <w:szCs w:val="26"/>
        </w:rPr>
        <w:t xml:space="preserve">Commission’s </w:t>
      </w:r>
      <w:r w:rsidRPr="00FE0CF8" w:rsidR="00BA53E6">
        <w:rPr>
          <w:szCs w:val="26"/>
        </w:rPr>
        <w:t>website</w:t>
      </w:r>
      <w:r w:rsidRPr="0024483E" w:rsidR="00A22CA1">
        <w:rPr>
          <w:szCs w:val="26"/>
        </w:rPr>
        <w:t xml:space="preserve"> </w:t>
      </w:r>
      <w:r w:rsidRPr="0024483E" w:rsidR="007A4639">
        <w:rPr>
          <w:szCs w:val="26"/>
        </w:rPr>
        <w:t>is</w:t>
      </w:r>
      <w:r w:rsidRPr="0024483E" w:rsidR="00A22CA1">
        <w:rPr>
          <w:szCs w:val="26"/>
        </w:rPr>
        <w:t xml:space="preserve"> removed</w:t>
      </w:r>
      <w:r w:rsidRPr="00FE0CF8" w:rsidR="00033ED8">
        <w:rPr>
          <w:szCs w:val="26"/>
        </w:rPr>
        <w:t>.</w:t>
      </w:r>
    </w:p>
    <w:p w:rsidR="00E26F1D" w:rsidP="00ED36CC" w:rsidRDefault="00033ED8" w14:paraId="5CEAA8F2" w14:textId="638518B9">
      <w:pPr>
        <w:pStyle w:val="Standard"/>
        <w:rPr>
          <w:szCs w:val="26"/>
        </w:rPr>
      </w:pPr>
      <w:r>
        <w:rPr>
          <w:szCs w:val="26"/>
        </w:rPr>
        <w:t>Fourth, we will r</w:t>
      </w:r>
      <w:r w:rsidRPr="00033ED8" w:rsidR="00BA53E6">
        <w:rPr>
          <w:szCs w:val="26"/>
        </w:rPr>
        <w:t xml:space="preserve">ecast enforcement of pole data requirements to instead </w:t>
      </w:r>
      <w:r w:rsidR="0059443C">
        <w:rPr>
          <w:szCs w:val="26"/>
        </w:rPr>
        <w:t>direct</w:t>
      </w:r>
      <w:r w:rsidRPr="00033ED8" w:rsidR="0059443C">
        <w:rPr>
          <w:szCs w:val="26"/>
        </w:rPr>
        <w:t xml:space="preserve"> </w:t>
      </w:r>
      <w:r w:rsidRPr="00033ED8" w:rsidR="00BA53E6">
        <w:rPr>
          <w:szCs w:val="26"/>
        </w:rPr>
        <w:t>pole owners to require attachers to agree to maintain updated information on their attachments. This more appropriately reflects the relationship between pole owners and attachers</w:t>
      </w:r>
      <w:r w:rsidR="00403555">
        <w:rPr>
          <w:szCs w:val="26"/>
        </w:rPr>
        <w:t>, and this approach</w:t>
      </w:r>
      <w:r w:rsidRPr="00033ED8" w:rsidR="00BA53E6">
        <w:rPr>
          <w:szCs w:val="26"/>
        </w:rPr>
        <w:t xml:space="preserve"> is in line with the overall goal of ensuring pole owners keep detailed and up</w:t>
      </w:r>
      <w:r w:rsidR="00E4753D">
        <w:rPr>
          <w:szCs w:val="26"/>
        </w:rPr>
        <w:noBreakHyphen/>
      </w:r>
      <w:r w:rsidRPr="00033ED8" w:rsidR="00BA53E6">
        <w:rPr>
          <w:szCs w:val="26"/>
        </w:rPr>
        <w:t>to</w:t>
      </w:r>
      <w:r w:rsidR="00E4753D">
        <w:rPr>
          <w:szCs w:val="26"/>
        </w:rPr>
        <w:noBreakHyphen/>
      </w:r>
      <w:r w:rsidRPr="00033ED8" w:rsidR="00BA53E6">
        <w:rPr>
          <w:szCs w:val="26"/>
        </w:rPr>
        <w:t>date inventory and data on poles and attachments.</w:t>
      </w:r>
    </w:p>
    <w:p w:rsidR="00E26F1D" w:rsidP="00ED36CC" w:rsidRDefault="004F5A0A" w14:paraId="5224BCCF" w14:textId="57B017DA">
      <w:pPr>
        <w:pStyle w:val="Standard"/>
        <w:rPr>
          <w:szCs w:val="26"/>
        </w:rPr>
      </w:pPr>
      <w:r>
        <w:rPr>
          <w:szCs w:val="26"/>
        </w:rPr>
        <w:t>Fifth, we have decided to r</w:t>
      </w:r>
      <w:r w:rsidRPr="004F5A0A" w:rsidR="00BA53E6">
        <w:rPr>
          <w:szCs w:val="26"/>
        </w:rPr>
        <w:t xml:space="preserve">educe </w:t>
      </w:r>
      <w:r w:rsidR="00EA7212">
        <w:rPr>
          <w:szCs w:val="26"/>
        </w:rPr>
        <w:t>the</w:t>
      </w:r>
      <w:r w:rsidR="0096665E">
        <w:rPr>
          <w:szCs w:val="26"/>
        </w:rPr>
        <w:t xml:space="preserve"> </w:t>
      </w:r>
      <w:r w:rsidRPr="004F5A0A" w:rsidR="00BA53E6">
        <w:rPr>
          <w:szCs w:val="26"/>
        </w:rPr>
        <w:t xml:space="preserve">fine for missing or incomplete data to $100 per attachment. </w:t>
      </w:r>
      <w:r w:rsidR="0096665E">
        <w:rPr>
          <w:szCs w:val="26"/>
        </w:rPr>
        <w:t>We will also require the pole owner to provide</w:t>
      </w:r>
      <w:r w:rsidRPr="004F5A0A" w:rsidR="00BA53E6">
        <w:rPr>
          <w:szCs w:val="26"/>
        </w:rPr>
        <w:t xml:space="preserve"> notice and opportunity for attachers to come into compliance.</w:t>
      </w:r>
    </w:p>
    <w:p w:rsidR="00E26F1D" w:rsidP="00ED36CC" w:rsidRDefault="00347BBF" w14:paraId="5F0F4C8D" w14:textId="198FFC0F">
      <w:pPr>
        <w:pStyle w:val="Standard"/>
        <w:rPr>
          <w:szCs w:val="26"/>
        </w:rPr>
      </w:pPr>
      <w:r>
        <w:rPr>
          <w:szCs w:val="26"/>
        </w:rPr>
        <w:t xml:space="preserve">Sixth, </w:t>
      </w:r>
      <w:r w:rsidR="00BB1A12">
        <w:rPr>
          <w:szCs w:val="26"/>
        </w:rPr>
        <w:t xml:space="preserve">due to complaints from pole owners, </w:t>
      </w:r>
      <w:r w:rsidR="00751E00">
        <w:rPr>
          <w:szCs w:val="26"/>
        </w:rPr>
        <w:t>we will adjust the</w:t>
      </w:r>
      <w:r w:rsidRPr="00347BBF" w:rsidR="00BA53E6">
        <w:rPr>
          <w:szCs w:val="26"/>
        </w:rPr>
        <w:t xml:space="preserve"> requirement for pole owners to enforce data requirements from a </w:t>
      </w:r>
      <w:r w:rsidR="00410529">
        <w:rPr>
          <w:szCs w:val="26"/>
        </w:rPr>
        <w:t>“</w:t>
      </w:r>
      <w:r w:rsidRPr="00347BBF" w:rsidR="00BA53E6">
        <w:rPr>
          <w:szCs w:val="26"/>
        </w:rPr>
        <w:t>shall</w:t>
      </w:r>
      <w:r w:rsidR="00410529">
        <w:rPr>
          <w:szCs w:val="26"/>
        </w:rPr>
        <w:t>”</w:t>
      </w:r>
      <w:r w:rsidRPr="00347BBF" w:rsidR="00BA53E6">
        <w:rPr>
          <w:szCs w:val="26"/>
        </w:rPr>
        <w:t xml:space="preserve"> to a </w:t>
      </w:r>
      <w:r w:rsidR="00410529">
        <w:rPr>
          <w:szCs w:val="26"/>
        </w:rPr>
        <w:t>“</w:t>
      </w:r>
      <w:r w:rsidRPr="00347BBF" w:rsidR="00BA53E6">
        <w:rPr>
          <w:szCs w:val="26"/>
        </w:rPr>
        <w:t>may</w:t>
      </w:r>
      <w:r w:rsidR="00410529">
        <w:rPr>
          <w:szCs w:val="26"/>
        </w:rPr>
        <w:t>”</w:t>
      </w:r>
      <w:r w:rsidRPr="00347BBF" w:rsidR="00BA53E6">
        <w:rPr>
          <w:szCs w:val="26"/>
        </w:rPr>
        <w:t xml:space="preserve"> to reflect that we are not directing pole owners to hire new auditors and compliance staff</w:t>
      </w:r>
      <w:r w:rsidR="00751E00">
        <w:rPr>
          <w:szCs w:val="26"/>
        </w:rPr>
        <w:t xml:space="preserve">. Instead, we are encouraging the </w:t>
      </w:r>
      <w:r w:rsidR="00BB1A12">
        <w:rPr>
          <w:szCs w:val="26"/>
        </w:rPr>
        <w:t>enhancement of</w:t>
      </w:r>
      <w:r w:rsidRPr="00347BBF" w:rsidR="00BA53E6">
        <w:rPr>
          <w:szCs w:val="26"/>
        </w:rPr>
        <w:t xml:space="preserve"> existing processes with new tools.</w:t>
      </w:r>
    </w:p>
    <w:p w:rsidR="00E26F1D" w:rsidP="00ED36CC" w:rsidRDefault="00794D3A" w14:paraId="28CCF8AD" w14:textId="394E0F0F">
      <w:pPr>
        <w:pStyle w:val="Standard"/>
        <w:rPr>
          <w:szCs w:val="26"/>
        </w:rPr>
      </w:pPr>
      <w:r>
        <w:rPr>
          <w:szCs w:val="26"/>
        </w:rPr>
        <w:t>Seventh, f</w:t>
      </w:r>
      <w:r w:rsidRPr="00794D3A" w:rsidR="00BA53E6">
        <w:rPr>
          <w:szCs w:val="26"/>
        </w:rPr>
        <w:t xml:space="preserve">or </w:t>
      </w:r>
      <w:r>
        <w:rPr>
          <w:szCs w:val="26"/>
        </w:rPr>
        <w:t xml:space="preserve">the </w:t>
      </w:r>
      <w:r w:rsidRPr="00794D3A" w:rsidR="00BA53E6">
        <w:rPr>
          <w:szCs w:val="26"/>
        </w:rPr>
        <w:t xml:space="preserve">requirement that pole owners report to </w:t>
      </w:r>
      <w:r w:rsidR="0065564F">
        <w:rPr>
          <w:szCs w:val="26"/>
        </w:rPr>
        <w:t xml:space="preserve">the </w:t>
      </w:r>
      <w:r w:rsidRPr="00794D3A" w:rsidR="0059443C">
        <w:rPr>
          <w:szCs w:val="26"/>
        </w:rPr>
        <w:t>C</w:t>
      </w:r>
      <w:r w:rsidR="0059443C">
        <w:rPr>
          <w:szCs w:val="26"/>
        </w:rPr>
        <w:t>ommission</w:t>
      </w:r>
      <w:r w:rsidRPr="00794D3A" w:rsidR="0059443C">
        <w:rPr>
          <w:szCs w:val="26"/>
        </w:rPr>
        <w:t xml:space="preserve"> </w:t>
      </w:r>
      <w:r w:rsidRPr="00794D3A" w:rsidR="00BA53E6">
        <w:rPr>
          <w:szCs w:val="26"/>
        </w:rPr>
        <w:t>info</w:t>
      </w:r>
      <w:r w:rsidR="0059443C">
        <w:rPr>
          <w:szCs w:val="26"/>
        </w:rPr>
        <w:t>rmation</w:t>
      </w:r>
      <w:r w:rsidRPr="00794D3A" w:rsidR="00BA53E6">
        <w:rPr>
          <w:szCs w:val="26"/>
        </w:rPr>
        <w:t xml:space="preserve"> on unauthorized attachments and fines</w:t>
      </w:r>
      <w:r>
        <w:rPr>
          <w:szCs w:val="26"/>
        </w:rPr>
        <w:t xml:space="preserve">, we </w:t>
      </w:r>
      <w:r w:rsidR="00D46782">
        <w:rPr>
          <w:szCs w:val="26"/>
        </w:rPr>
        <w:t>modify</w:t>
      </w:r>
      <w:r>
        <w:rPr>
          <w:szCs w:val="26"/>
        </w:rPr>
        <w:t xml:space="preserve"> the S</w:t>
      </w:r>
      <w:r w:rsidRPr="00794D3A" w:rsidR="00BA53E6">
        <w:rPr>
          <w:szCs w:val="26"/>
        </w:rPr>
        <w:t xml:space="preserve">taff </w:t>
      </w:r>
      <w:r>
        <w:rPr>
          <w:szCs w:val="26"/>
        </w:rPr>
        <w:t>P</w:t>
      </w:r>
      <w:r w:rsidRPr="00794D3A" w:rsidR="00BA53E6">
        <w:rPr>
          <w:szCs w:val="26"/>
        </w:rPr>
        <w:t>roposal with PG&amp;E</w:t>
      </w:r>
      <w:r w:rsidR="00410529">
        <w:rPr>
          <w:szCs w:val="26"/>
        </w:rPr>
        <w:t>’</w:t>
      </w:r>
      <w:r w:rsidR="00E4489D">
        <w:rPr>
          <w:szCs w:val="26"/>
        </w:rPr>
        <w:t>s</w:t>
      </w:r>
      <w:r w:rsidRPr="00794D3A" w:rsidR="00BA53E6">
        <w:rPr>
          <w:szCs w:val="26"/>
        </w:rPr>
        <w:t xml:space="preserve"> recommended changes to add county and H</w:t>
      </w:r>
      <w:r w:rsidR="0059443C">
        <w:rPr>
          <w:szCs w:val="26"/>
        </w:rPr>
        <w:t>igh Fire Threat District</w:t>
      </w:r>
      <w:r w:rsidRPr="00794D3A" w:rsidR="00BA53E6">
        <w:rPr>
          <w:szCs w:val="26"/>
        </w:rPr>
        <w:t xml:space="preserve"> (new/current fire designation)</w:t>
      </w:r>
      <w:r w:rsidR="00E23402">
        <w:rPr>
          <w:szCs w:val="26"/>
        </w:rPr>
        <w:t xml:space="preserve"> information</w:t>
      </w:r>
      <w:r w:rsidRPr="00794D3A" w:rsidR="00BA53E6">
        <w:rPr>
          <w:szCs w:val="26"/>
        </w:rPr>
        <w:t>.</w:t>
      </w:r>
    </w:p>
    <w:p w:rsidRPr="00DB2B91" w:rsidR="00BA53E6" w:rsidP="00ED36CC" w:rsidRDefault="00DB2B91" w14:paraId="70AAEC47" w14:textId="68F8B88D">
      <w:pPr>
        <w:pStyle w:val="Standard"/>
      </w:pPr>
      <w:r>
        <w:rPr>
          <w:szCs w:val="26"/>
        </w:rPr>
        <w:t xml:space="preserve">Finally, we have modified the language so </w:t>
      </w:r>
      <w:r w:rsidR="005115A4">
        <w:rPr>
          <w:szCs w:val="26"/>
        </w:rPr>
        <w:t xml:space="preserve">that </w:t>
      </w:r>
      <w:r w:rsidRPr="00DB2B91" w:rsidR="00BA53E6">
        <w:rPr>
          <w:szCs w:val="26"/>
        </w:rPr>
        <w:t xml:space="preserve">attachers </w:t>
      </w:r>
      <w:r w:rsidR="005115A4">
        <w:rPr>
          <w:szCs w:val="26"/>
        </w:rPr>
        <w:t xml:space="preserve">may be referred </w:t>
      </w:r>
      <w:r w:rsidRPr="00DB2B91" w:rsidR="00BA53E6">
        <w:rPr>
          <w:szCs w:val="26"/>
        </w:rPr>
        <w:t>to the Commission for consideration of egregious cases for further investigation and enforcement, including but not limited to additional fines, sanctions, ordering of remedial actions, and license revocation.</w:t>
      </w:r>
      <w:r w:rsidR="005115A4">
        <w:rPr>
          <w:szCs w:val="26"/>
        </w:rPr>
        <w:t xml:space="preserve"> As part of this process,</w:t>
      </w:r>
      <w:r w:rsidRPr="00DB2B91" w:rsidR="00BA53E6">
        <w:rPr>
          <w:szCs w:val="26"/>
        </w:rPr>
        <w:t xml:space="preserve"> attachers may also contest enforcement actions </w:t>
      </w:r>
      <w:r w:rsidR="00643DB3">
        <w:rPr>
          <w:szCs w:val="26"/>
        </w:rPr>
        <w:t>before</w:t>
      </w:r>
      <w:r w:rsidRPr="00DB2B91" w:rsidR="00BA53E6">
        <w:rPr>
          <w:szCs w:val="26"/>
        </w:rPr>
        <w:t xml:space="preserve"> the </w:t>
      </w:r>
      <w:r w:rsidR="00643DB3">
        <w:rPr>
          <w:szCs w:val="26"/>
        </w:rPr>
        <w:t>C</w:t>
      </w:r>
      <w:r w:rsidRPr="00DB2B91" w:rsidR="00BA53E6">
        <w:rPr>
          <w:szCs w:val="26"/>
        </w:rPr>
        <w:t>ommission.</w:t>
      </w:r>
    </w:p>
    <w:p w:rsidRPr="008D3ED6" w:rsidR="00BA53E6" w:rsidP="00ED36CC" w:rsidRDefault="00FF515A" w14:paraId="0D471276" w14:textId="1EAC727A">
      <w:pPr>
        <w:pStyle w:val="Heading2"/>
        <w:keepLines w:val="0"/>
      </w:pPr>
      <w:bookmarkStart w:name="_Toc229726750" w:id="31"/>
      <w:r>
        <w:lastRenderedPageBreak/>
        <w:t>Contractor Transparency Requirements</w:t>
      </w:r>
      <w:bookmarkEnd w:id="31"/>
    </w:p>
    <w:p w:rsidR="00BF0394" w:rsidP="00ED36CC" w:rsidRDefault="001F0F9A" w14:paraId="590CC79E" w14:textId="03D55FB0">
      <w:pPr>
        <w:pStyle w:val="Heading3"/>
        <w:keepLines w:val="0"/>
      </w:pPr>
      <w:bookmarkStart w:name="_Toc229726751" w:id="32"/>
      <w:r>
        <w:t xml:space="preserve">ROW </w:t>
      </w:r>
      <w:r w:rsidR="002963E8">
        <w:t>Ruling Background</w:t>
      </w:r>
      <w:r w:rsidR="00E215CF">
        <w:br/>
      </w:r>
      <w:r w:rsidR="002963E8">
        <w:t>and Staff Proposal</w:t>
      </w:r>
      <w:bookmarkEnd w:id="32"/>
    </w:p>
    <w:p w:rsidR="00E26F1D" w:rsidP="00ED36CC" w:rsidRDefault="005E4F4F" w14:paraId="1D7CB98D" w14:textId="6577AF2D">
      <w:pPr>
        <w:pStyle w:val="Standard"/>
        <w:rPr>
          <w:szCs w:val="26"/>
        </w:rPr>
      </w:pPr>
      <w:r w:rsidRPr="007D08A2">
        <w:rPr>
          <w:szCs w:val="26"/>
        </w:rPr>
        <w:t>The Communications Workers of America, District 9 (CWA) and Coalition of California Utility Employees (CUE) proposed revisions that they suggest would further the CPUC</w:t>
      </w:r>
      <w:r w:rsidR="00410529">
        <w:rPr>
          <w:szCs w:val="26"/>
        </w:rPr>
        <w:t>’</w:t>
      </w:r>
      <w:r w:rsidRPr="007D08A2">
        <w:rPr>
          <w:szCs w:val="26"/>
        </w:rPr>
        <w:t>s safety objectives. The proposals would require attachers to use utility vetted and approved contractors; requir</w:t>
      </w:r>
      <w:r w:rsidR="00226955">
        <w:rPr>
          <w:szCs w:val="26"/>
        </w:rPr>
        <w:t>e</w:t>
      </w:r>
      <w:r w:rsidRPr="007D08A2">
        <w:rPr>
          <w:szCs w:val="26"/>
        </w:rPr>
        <w:t xml:space="preserve"> contractors to show proof of workers compensation insurance; requir</w:t>
      </w:r>
      <w:r w:rsidR="00226955">
        <w:rPr>
          <w:szCs w:val="26"/>
        </w:rPr>
        <w:t>e</w:t>
      </w:r>
      <w:r w:rsidRPr="007D08A2">
        <w:rPr>
          <w:szCs w:val="26"/>
        </w:rPr>
        <w:t xml:space="preserve"> contractors to certify their employees have an </w:t>
      </w:r>
      <w:r w:rsidRPr="006B0768" w:rsidR="006B0768">
        <w:rPr>
          <w:szCs w:val="26"/>
        </w:rPr>
        <w:t xml:space="preserve">Occupational and Safety Health Administration </w:t>
      </w:r>
      <w:r w:rsidR="006B0768">
        <w:rPr>
          <w:szCs w:val="26"/>
        </w:rPr>
        <w:t>(</w:t>
      </w:r>
      <w:r w:rsidRPr="007D08A2">
        <w:rPr>
          <w:szCs w:val="26"/>
        </w:rPr>
        <w:t>OSHA</w:t>
      </w:r>
      <w:r w:rsidR="006B0768">
        <w:rPr>
          <w:szCs w:val="26"/>
        </w:rPr>
        <w:t>)</w:t>
      </w:r>
      <w:r w:rsidRPr="007D08A2">
        <w:rPr>
          <w:szCs w:val="26"/>
        </w:rPr>
        <w:t> 10 card; and enforc</w:t>
      </w:r>
      <w:r w:rsidR="00226955">
        <w:rPr>
          <w:szCs w:val="26"/>
        </w:rPr>
        <w:t>e</w:t>
      </w:r>
      <w:r w:rsidRPr="007D08A2">
        <w:rPr>
          <w:szCs w:val="26"/>
        </w:rPr>
        <w:t xml:space="preserve"> contractor requirements by creating a publicly accessible electronic database for contractor verification.</w:t>
      </w:r>
    </w:p>
    <w:p w:rsidR="005E4F4F" w:rsidP="00ED36CC" w:rsidRDefault="00A02529" w14:paraId="552227C7" w14:textId="4ACA94E9">
      <w:pPr>
        <w:pStyle w:val="Standard"/>
        <w:rPr>
          <w:szCs w:val="26"/>
        </w:rPr>
      </w:pPr>
      <w:r>
        <w:rPr>
          <w:szCs w:val="26"/>
        </w:rPr>
        <w:t>As discussed below, t</w:t>
      </w:r>
      <w:r w:rsidRPr="007D08A2" w:rsidR="005E4F4F">
        <w:rPr>
          <w:szCs w:val="26"/>
        </w:rPr>
        <w:t>he</w:t>
      </w:r>
      <w:r w:rsidR="00E24C55">
        <w:rPr>
          <w:szCs w:val="26"/>
        </w:rPr>
        <w:t xml:space="preserve"> </w:t>
      </w:r>
      <w:r w:rsidR="00431AE2">
        <w:rPr>
          <w:szCs w:val="26"/>
        </w:rPr>
        <w:t>S</w:t>
      </w:r>
      <w:r w:rsidRPr="007D08A2" w:rsidR="005E4F4F">
        <w:rPr>
          <w:szCs w:val="26"/>
        </w:rPr>
        <w:t xml:space="preserve">taff </w:t>
      </w:r>
      <w:r w:rsidR="00E24C55">
        <w:rPr>
          <w:szCs w:val="26"/>
        </w:rPr>
        <w:t>P</w:t>
      </w:r>
      <w:r w:rsidRPr="007D08A2" w:rsidR="005E4F4F">
        <w:rPr>
          <w:szCs w:val="26"/>
        </w:rPr>
        <w:t xml:space="preserve">roposal </w:t>
      </w:r>
      <w:r w:rsidR="007D7F58">
        <w:rPr>
          <w:szCs w:val="26"/>
        </w:rPr>
        <w:t xml:space="preserve">and amendments </w:t>
      </w:r>
      <w:r>
        <w:rPr>
          <w:szCs w:val="26"/>
        </w:rPr>
        <w:t xml:space="preserve">adopted </w:t>
      </w:r>
      <w:r w:rsidR="007D7F58">
        <w:rPr>
          <w:szCs w:val="26"/>
        </w:rPr>
        <w:t>in this decision include</w:t>
      </w:r>
      <w:r w:rsidRPr="007D08A2" w:rsidR="005E4F4F">
        <w:rPr>
          <w:szCs w:val="26"/>
        </w:rPr>
        <w:t xml:space="preserve"> revisions to the </w:t>
      </w:r>
      <w:r w:rsidR="00835EAD">
        <w:rPr>
          <w:szCs w:val="26"/>
        </w:rPr>
        <w:t>ROW Rules</w:t>
      </w:r>
      <w:r w:rsidRPr="007D08A2" w:rsidR="005E4F4F">
        <w:rPr>
          <w:szCs w:val="26"/>
        </w:rPr>
        <w:t xml:space="preserve"> to improve transparency of contractor requirements and strengthen the existing requirement for each utility, including electric utilities, to maintain a publicly available list of qualified/approved contractors on its website. The </w:t>
      </w:r>
      <w:r w:rsidR="00BE21A8">
        <w:rPr>
          <w:szCs w:val="26"/>
        </w:rPr>
        <w:t>Staff P</w:t>
      </w:r>
      <w:r w:rsidRPr="007D08A2" w:rsidR="005E4F4F">
        <w:rPr>
          <w:szCs w:val="26"/>
        </w:rPr>
        <w:t>roposal additionally clarifies that contractors must be in compliance</w:t>
      </w:r>
      <w:r w:rsidR="00226955">
        <w:rPr>
          <w:szCs w:val="26"/>
        </w:rPr>
        <w:t xml:space="preserve"> </w:t>
      </w:r>
      <w:r w:rsidRPr="007D08A2" w:rsidR="005E4F4F">
        <w:rPr>
          <w:szCs w:val="26"/>
        </w:rPr>
        <w:t xml:space="preserve">with all relevant </w:t>
      </w:r>
      <w:r>
        <w:rPr>
          <w:szCs w:val="26"/>
        </w:rPr>
        <w:t xml:space="preserve">OSHA </w:t>
      </w:r>
      <w:r w:rsidRPr="007D08A2" w:rsidR="005E4F4F">
        <w:rPr>
          <w:szCs w:val="26"/>
        </w:rPr>
        <w:t>training and rules</w:t>
      </w:r>
      <w:r>
        <w:rPr>
          <w:szCs w:val="26"/>
        </w:rPr>
        <w:t xml:space="preserve">, and </w:t>
      </w:r>
      <w:r w:rsidRPr="007D08A2" w:rsidR="005E4F4F">
        <w:rPr>
          <w:szCs w:val="26"/>
        </w:rPr>
        <w:t xml:space="preserve">clarifies that a Qualified Electrical Worker must perform any work occurring above the communications space, consistent with </w:t>
      </w:r>
      <w:proofErr w:type="spellStart"/>
      <w:r w:rsidR="008129A1">
        <w:rPr>
          <w:szCs w:val="26"/>
        </w:rPr>
        <w:t>CalOSHA</w:t>
      </w:r>
      <w:proofErr w:type="spellEnd"/>
      <w:r w:rsidRPr="007D08A2" w:rsidR="005E4F4F">
        <w:rPr>
          <w:szCs w:val="26"/>
        </w:rPr>
        <w:t xml:space="preserve"> </w:t>
      </w:r>
      <w:r w:rsidR="00997A41">
        <w:rPr>
          <w:szCs w:val="26"/>
        </w:rPr>
        <w:t>Title</w:t>
      </w:r>
      <w:r w:rsidR="0051059D">
        <w:rPr>
          <w:szCs w:val="26"/>
        </w:rPr>
        <w:t> </w:t>
      </w:r>
      <w:r w:rsidRPr="007D08A2" w:rsidR="005E4F4F">
        <w:rPr>
          <w:szCs w:val="26"/>
        </w:rPr>
        <w:t>8, Sub</w:t>
      </w:r>
      <w:r w:rsidR="0077222F">
        <w:rPr>
          <w:szCs w:val="26"/>
        </w:rPr>
        <w:t>chapter</w:t>
      </w:r>
      <w:r w:rsidR="0051059D">
        <w:rPr>
          <w:szCs w:val="26"/>
        </w:rPr>
        <w:t> </w:t>
      </w:r>
      <w:r w:rsidRPr="007D08A2" w:rsidR="005E4F4F">
        <w:rPr>
          <w:szCs w:val="26"/>
        </w:rPr>
        <w:t xml:space="preserve">5, </w:t>
      </w:r>
      <w:r w:rsidR="00B33FB9">
        <w:rPr>
          <w:szCs w:val="26"/>
        </w:rPr>
        <w:t>§ </w:t>
      </w:r>
      <w:r w:rsidRPr="007D08A2" w:rsidR="005E4F4F">
        <w:rPr>
          <w:szCs w:val="26"/>
        </w:rPr>
        <w:t xml:space="preserve">2700. For </w:t>
      </w:r>
      <w:r w:rsidR="00357602">
        <w:rPr>
          <w:szCs w:val="26"/>
        </w:rPr>
        <w:t>a complete list of</w:t>
      </w:r>
      <w:r w:rsidRPr="007D08A2" w:rsidR="00357602">
        <w:rPr>
          <w:szCs w:val="26"/>
        </w:rPr>
        <w:t xml:space="preserve"> </w:t>
      </w:r>
      <w:r w:rsidRPr="007D08A2" w:rsidR="005E4F4F">
        <w:rPr>
          <w:szCs w:val="26"/>
        </w:rPr>
        <w:t xml:space="preserve">revisions, refer to Section </w:t>
      </w:r>
      <w:r w:rsidR="00410529">
        <w:rPr>
          <w:szCs w:val="26"/>
        </w:rPr>
        <w:t>“</w:t>
      </w:r>
      <w:r w:rsidRPr="007D08A2" w:rsidR="005E4F4F">
        <w:rPr>
          <w:szCs w:val="26"/>
        </w:rPr>
        <w:t>H. Use of Third Party Contractors</w:t>
      </w:r>
      <w:r w:rsidR="00410529">
        <w:rPr>
          <w:szCs w:val="26"/>
        </w:rPr>
        <w:t>”</w:t>
      </w:r>
      <w:r w:rsidR="003241D8">
        <w:rPr>
          <w:szCs w:val="26"/>
        </w:rPr>
        <w:t xml:space="preserve"> of Attachment</w:t>
      </w:r>
      <w:r w:rsidR="007A36AA">
        <w:rPr>
          <w:szCs w:val="26"/>
        </w:rPr>
        <w:t> </w:t>
      </w:r>
      <w:r w:rsidR="003241D8">
        <w:rPr>
          <w:szCs w:val="26"/>
        </w:rPr>
        <w:t>A to this decision.</w:t>
      </w:r>
    </w:p>
    <w:p w:rsidR="00C86BB5" w:rsidP="00C86BB5" w:rsidRDefault="00C86BB5" w14:paraId="2E87F39E" w14:textId="77777777">
      <w:pPr>
        <w:pStyle w:val="Standard"/>
        <w:rPr>
          <w:szCs w:val="26"/>
        </w:rPr>
      </w:pPr>
      <w:r>
        <w:rPr>
          <w:szCs w:val="26"/>
        </w:rPr>
        <w:t>For all these reasons, we decline to adopt</w:t>
      </w:r>
      <w:r w:rsidRPr="007D08A2">
        <w:rPr>
          <w:szCs w:val="26"/>
        </w:rPr>
        <w:t xml:space="preserve"> CWA/CUE</w:t>
      </w:r>
      <w:r>
        <w:rPr>
          <w:szCs w:val="26"/>
        </w:rPr>
        <w:t>’</w:t>
      </w:r>
      <w:r w:rsidRPr="007D08A2">
        <w:rPr>
          <w:szCs w:val="26"/>
        </w:rPr>
        <w:t>s proposal</w:t>
      </w:r>
      <w:r>
        <w:rPr>
          <w:szCs w:val="26"/>
        </w:rPr>
        <w:t>s</w:t>
      </w:r>
      <w:r w:rsidRPr="007D08A2">
        <w:rPr>
          <w:szCs w:val="26"/>
        </w:rPr>
        <w:t>.</w:t>
      </w:r>
    </w:p>
    <w:p w:rsidR="002963E8" w:rsidP="00ED36CC" w:rsidRDefault="001F0F9A" w14:paraId="51DBF73D" w14:textId="366A0FAD">
      <w:pPr>
        <w:pStyle w:val="Heading3"/>
        <w:keepLines w:val="0"/>
      </w:pPr>
      <w:bookmarkStart w:name="_Toc229726752" w:id="33"/>
      <w:r>
        <w:lastRenderedPageBreak/>
        <w:t xml:space="preserve">ROW </w:t>
      </w:r>
      <w:r w:rsidR="00531951">
        <w:t>Ruling Questions</w:t>
      </w:r>
      <w:r w:rsidR="000D1995">
        <w:br/>
      </w:r>
      <w:r w:rsidR="00531951">
        <w:t>and Party Comments</w:t>
      </w:r>
      <w:bookmarkEnd w:id="33"/>
    </w:p>
    <w:p w:rsidR="00531951" w:rsidP="00ED4B15" w:rsidRDefault="00F522CF" w14:paraId="0D17FDDD" w14:textId="487EA14E">
      <w:pPr>
        <w:pStyle w:val="Heading4"/>
      </w:pPr>
      <w:r>
        <w:t>Should the Commission require that incumbent utilities include a mini</w:t>
      </w:r>
      <w:r w:rsidR="001E21C3">
        <w:t>mum number of qualified contractors on its publicly available list for attachers to utilize to select a contractor?</w:t>
      </w:r>
    </w:p>
    <w:p w:rsidRPr="00832FC2" w:rsidR="001125A6" w:rsidP="00ED36CC" w:rsidRDefault="00190200" w14:paraId="1AB79C85" w14:textId="43F57B3C">
      <w:pPr>
        <w:pStyle w:val="Standard"/>
      </w:pPr>
      <w:r>
        <w:rPr>
          <w:rFonts w:eastAsia="Calibri" w:cs="Times New Roman"/>
          <w:szCs w:val="26"/>
        </w:rPr>
        <w:t>AT&amp;T a</w:t>
      </w:r>
      <w:r w:rsidRPr="00832FC2" w:rsidR="001125A6">
        <w:rPr>
          <w:rFonts w:eastAsia="Calibri" w:cs="Times New Roman"/>
          <w:szCs w:val="26"/>
        </w:rPr>
        <w:t>grees that pole owners should provide a list of authorized contractors but claims there is no need for industry wide regulation of this issue. AT&amp;T</w:t>
      </w:r>
      <w:r>
        <w:rPr>
          <w:rFonts w:eastAsia="Calibri" w:cs="Times New Roman"/>
          <w:szCs w:val="26"/>
        </w:rPr>
        <w:t xml:space="preserve"> asserts its</w:t>
      </w:r>
      <w:r w:rsidRPr="00832FC2" w:rsidR="001125A6">
        <w:rPr>
          <w:rFonts w:eastAsia="Calibri" w:cs="Times New Roman"/>
          <w:szCs w:val="26"/>
        </w:rPr>
        <w:t xml:space="preserve"> CLEC website includes lists of authorized contractors, and attachers can submit an application to add contractors to AT&amp;T</w:t>
      </w:r>
      <w:r w:rsidR="00410529">
        <w:rPr>
          <w:rFonts w:eastAsia="Calibri" w:cs="Times New Roman"/>
          <w:szCs w:val="26"/>
        </w:rPr>
        <w:t>’</w:t>
      </w:r>
      <w:r w:rsidRPr="00832FC2" w:rsidR="001125A6">
        <w:rPr>
          <w:rFonts w:eastAsia="Calibri" w:cs="Times New Roman"/>
          <w:szCs w:val="26"/>
        </w:rPr>
        <w:t>s lists.</w:t>
      </w:r>
      <w:r w:rsidRPr="00832FC2" w:rsidR="001125A6">
        <w:rPr>
          <w:rFonts w:eastAsia="Calibri" w:cs="Times New Roman"/>
          <w:szCs w:val="26"/>
          <w:vertAlign w:val="superscript"/>
        </w:rPr>
        <w:footnoteReference w:id="66"/>
      </w:r>
    </w:p>
    <w:p w:rsidRPr="00832FC2" w:rsidR="001125A6" w:rsidP="00ED36CC" w:rsidRDefault="001125A6" w14:paraId="10FC5E48" w14:textId="111AFC37">
      <w:pPr>
        <w:pStyle w:val="Standard"/>
      </w:pPr>
      <w:r w:rsidRPr="004D6133">
        <w:rPr>
          <w:rFonts w:eastAsia="Calibri" w:cs="Times New Roman"/>
          <w:szCs w:val="26"/>
        </w:rPr>
        <w:t>California Broadband and Video Association</w:t>
      </w:r>
      <w:r w:rsidR="004D6133">
        <w:rPr>
          <w:rFonts w:eastAsia="Calibri" w:cs="Times New Roman"/>
          <w:szCs w:val="26"/>
        </w:rPr>
        <w:t xml:space="preserve"> s</w:t>
      </w:r>
      <w:r w:rsidRPr="00832FC2">
        <w:rPr>
          <w:rFonts w:eastAsia="Calibri" w:cs="Times New Roman"/>
          <w:szCs w:val="26"/>
        </w:rPr>
        <w:t xml:space="preserve">upports </w:t>
      </w:r>
      <w:r w:rsidR="00930FCE">
        <w:rPr>
          <w:rFonts w:eastAsia="Calibri" w:cs="Times New Roman"/>
          <w:szCs w:val="26"/>
        </w:rPr>
        <w:t xml:space="preserve">the </w:t>
      </w:r>
      <w:r w:rsidRPr="00832FC2">
        <w:rPr>
          <w:rFonts w:eastAsia="Calibri" w:cs="Times New Roman"/>
          <w:szCs w:val="26"/>
        </w:rPr>
        <w:t xml:space="preserve">requirement for utilities to have a list of contractors on their website. </w:t>
      </w:r>
      <w:r w:rsidR="00930FCE">
        <w:rPr>
          <w:rFonts w:eastAsia="Calibri" w:cs="Times New Roman"/>
          <w:szCs w:val="26"/>
        </w:rPr>
        <w:t>It r</w:t>
      </w:r>
      <w:r w:rsidRPr="00832FC2">
        <w:rPr>
          <w:rFonts w:eastAsia="Calibri" w:cs="Times New Roman"/>
          <w:szCs w:val="26"/>
        </w:rPr>
        <w:t xml:space="preserve">ecommends adding </w:t>
      </w:r>
      <w:r w:rsidR="00F12EFE">
        <w:rPr>
          <w:rFonts w:eastAsia="Calibri" w:cs="Times New Roman"/>
          <w:szCs w:val="26"/>
        </w:rPr>
        <w:t xml:space="preserve">a </w:t>
      </w:r>
      <w:r w:rsidRPr="00832FC2">
        <w:rPr>
          <w:rFonts w:eastAsia="Calibri" w:cs="Times New Roman"/>
          <w:szCs w:val="26"/>
        </w:rPr>
        <w:t>rule giving utilities 30 days to approve contractors and an additional 14 days to complete the contractor onboarding process.</w:t>
      </w:r>
      <w:r w:rsidRPr="00832FC2">
        <w:rPr>
          <w:rFonts w:eastAsia="Calibri" w:cs="Times New Roman"/>
          <w:szCs w:val="26"/>
          <w:vertAlign w:val="superscript"/>
        </w:rPr>
        <w:footnoteReference w:id="67"/>
      </w:r>
    </w:p>
    <w:p w:rsidRPr="00832FC2" w:rsidR="001125A6" w:rsidP="00ED36CC" w:rsidRDefault="001125A6" w14:paraId="3CB999F7" w14:textId="4D45F7FD">
      <w:pPr>
        <w:pStyle w:val="Standard"/>
      </w:pPr>
      <w:r w:rsidRPr="00BD16FD">
        <w:rPr>
          <w:rFonts w:eastAsia="Calibri" w:cs="Times New Roman"/>
          <w:szCs w:val="26"/>
        </w:rPr>
        <w:t>Crown Castle</w:t>
      </w:r>
      <w:r w:rsidRPr="00832FC2">
        <w:rPr>
          <w:rFonts w:eastAsia="Calibri" w:cs="Times New Roman"/>
          <w:szCs w:val="26"/>
          <w:vertAlign w:val="superscript"/>
        </w:rPr>
        <w:footnoteReference w:id="68"/>
      </w:r>
      <w:r w:rsidRPr="00832FC2">
        <w:rPr>
          <w:rFonts w:eastAsia="Calibri" w:cs="Times New Roman"/>
          <w:color w:val="2F5496"/>
          <w:szCs w:val="26"/>
        </w:rPr>
        <w:t xml:space="preserve"> </w:t>
      </w:r>
      <w:r w:rsidRPr="00832FC2">
        <w:rPr>
          <w:rFonts w:eastAsia="Calibri" w:cs="Times New Roman"/>
          <w:szCs w:val="26"/>
        </w:rPr>
        <w:t>and</w:t>
      </w:r>
      <w:r w:rsidRPr="00832FC2">
        <w:rPr>
          <w:rFonts w:eastAsia="Calibri" w:cs="Times New Roman"/>
          <w:color w:val="2F5496"/>
          <w:szCs w:val="26"/>
        </w:rPr>
        <w:t xml:space="preserve"> </w:t>
      </w:r>
      <w:r w:rsidRPr="00BD16FD">
        <w:rPr>
          <w:rFonts w:eastAsia="Calibri" w:cs="Times New Roman"/>
          <w:szCs w:val="26"/>
        </w:rPr>
        <w:t>CTIA</w:t>
      </w:r>
      <w:r w:rsidRPr="00832FC2">
        <w:rPr>
          <w:rFonts w:eastAsia="Calibri" w:cs="Times New Roman"/>
          <w:szCs w:val="26"/>
          <w:vertAlign w:val="superscript"/>
        </w:rPr>
        <w:footnoteReference w:id="69"/>
      </w:r>
      <w:r w:rsidRPr="00832FC2">
        <w:rPr>
          <w:rFonts w:eastAsia="Calibri" w:cs="Times New Roman"/>
          <w:szCs w:val="26"/>
        </w:rPr>
        <w:t xml:space="preserve"> </w:t>
      </w:r>
      <w:r w:rsidR="004F3E9B">
        <w:rPr>
          <w:rFonts w:eastAsia="Calibri" w:cs="Times New Roman"/>
          <w:szCs w:val="26"/>
        </w:rPr>
        <w:t>s</w:t>
      </w:r>
      <w:r w:rsidRPr="00832FC2">
        <w:rPr>
          <w:rFonts w:eastAsia="Calibri" w:cs="Times New Roman"/>
          <w:szCs w:val="26"/>
        </w:rPr>
        <w:t>upport proposed rules regarding the use of third</w:t>
      </w:r>
      <w:r w:rsidR="00E4753D">
        <w:rPr>
          <w:rFonts w:eastAsia="Calibri" w:cs="Times New Roman"/>
          <w:szCs w:val="26"/>
        </w:rPr>
        <w:noBreakHyphen/>
      </w:r>
      <w:r w:rsidRPr="00832FC2">
        <w:rPr>
          <w:rFonts w:eastAsia="Calibri" w:cs="Times New Roman"/>
          <w:szCs w:val="26"/>
        </w:rPr>
        <w:t xml:space="preserve">party contractors. </w:t>
      </w:r>
      <w:r w:rsidR="004F3E9B">
        <w:rPr>
          <w:rFonts w:eastAsia="Calibri" w:cs="Times New Roman"/>
          <w:szCs w:val="26"/>
        </w:rPr>
        <w:t>The</w:t>
      </w:r>
      <w:r w:rsidR="003241D8">
        <w:rPr>
          <w:rFonts w:eastAsia="Calibri" w:cs="Times New Roman"/>
          <w:szCs w:val="26"/>
        </w:rPr>
        <w:t>se parties</w:t>
      </w:r>
      <w:r w:rsidR="004F3E9B">
        <w:rPr>
          <w:rFonts w:eastAsia="Calibri" w:cs="Times New Roman"/>
          <w:szCs w:val="26"/>
        </w:rPr>
        <w:t xml:space="preserve"> a</w:t>
      </w:r>
      <w:r w:rsidRPr="00832FC2">
        <w:rPr>
          <w:rFonts w:eastAsia="Calibri" w:cs="Times New Roman"/>
          <w:szCs w:val="26"/>
        </w:rPr>
        <w:t>gree that utility websites should have both a list of approved contractors and qualification guidelines</w:t>
      </w:r>
      <w:r w:rsidR="003241D8">
        <w:rPr>
          <w:rFonts w:eastAsia="Calibri" w:cs="Times New Roman"/>
          <w:szCs w:val="26"/>
        </w:rPr>
        <w:t xml:space="preserve">, and </w:t>
      </w:r>
      <w:r w:rsidR="00016131">
        <w:rPr>
          <w:rFonts w:eastAsia="Calibri" w:cs="Times New Roman"/>
          <w:szCs w:val="26"/>
        </w:rPr>
        <w:t>have n</w:t>
      </w:r>
      <w:r w:rsidRPr="00832FC2">
        <w:rPr>
          <w:rFonts w:eastAsia="Calibri" w:cs="Times New Roman"/>
          <w:szCs w:val="26"/>
        </w:rPr>
        <w:t xml:space="preserve">o recommendation on </w:t>
      </w:r>
      <w:r w:rsidR="00016131">
        <w:rPr>
          <w:rFonts w:eastAsia="Calibri" w:cs="Times New Roman"/>
          <w:szCs w:val="26"/>
        </w:rPr>
        <w:t xml:space="preserve">the </w:t>
      </w:r>
      <w:r w:rsidRPr="00832FC2">
        <w:rPr>
          <w:rFonts w:eastAsia="Calibri" w:cs="Times New Roman"/>
          <w:szCs w:val="26"/>
        </w:rPr>
        <w:t>minimum number of contractors.</w:t>
      </w:r>
    </w:p>
    <w:p w:rsidR="001125A6" w:rsidP="00ED36CC" w:rsidRDefault="001125A6" w14:paraId="37548035" w14:textId="27247078">
      <w:pPr>
        <w:pStyle w:val="Standard"/>
        <w:rPr>
          <w:rFonts w:eastAsia="Calibri" w:cs="Times New Roman"/>
          <w:szCs w:val="26"/>
        </w:rPr>
      </w:pPr>
      <w:proofErr w:type="spellStart"/>
      <w:r w:rsidRPr="00BD16FD">
        <w:rPr>
          <w:rFonts w:eastAsia="Calibri" w:cs="Times New Roman"/>
          <w:szCs w:val="26"/>
        </w:rPr>
        <w:t>Extenet</w:t>
      </w:r>
      <w:proofErr w:type="spellEnd"/>
      <w:r w:rsidRPr="00BD16FD">
        <w:rPr>
          <w:rFonts w:eastAsia="Calibri" w:cs="Times New Roman"/>
          <w:szCs w:val="26"/>
        </w:rPr>
        <w:t xml:space="preserve"> Systems</w:t>
      </w:r>
      <w:r w:rsidR="00BD16FD">
        <w:rPr>
          <w:rFonts w:eastAsia="Calibri" w:cs="Times New Roman"/>
          <w:szCs w:val="26"/>
        </w:rPr>
        <w:t xml:space="preserve"> c</w:t>
      </w:r>
      <w:r w:rsidRPr="00832FC2">
        <w:rPr>
          <w:rFonts w:eastAsia="Calibri" w:cs="Times New Roman"/>
          <w:szCs w:val="26"/>
        </w:rPr>
        <w:t>laims that utilities</w:t>
      </w:r>
      <w:r w:rsidR="00410529">
        <w:rPr>
          <w:rFonts w:eastAsia="Calibri" w:cs="Times New Roman"/>
          <w:szCs w:val="26"/>
        </w:rPr>
        <w:t>’</w:t>
      </w:r>
      <w:r w:rsidRPr="00832FC2">
        <w:rPr>
          <w:rFonts w:eastAsia="Calibri" w:cs="Times New Roman"/>
          <w:szCs w:val="26"/>
        </w:rPr>
        <w:t xml:space="preserve"> lists are out of date</w:t>
      </w:r>
      <w:r w:rsidR="00647774">
        <w:rPr>
          <w:rFonts w:eastAsia="Calibri" w:cs="Times New Roman"/>
          <w:szCs w:val="26"/>
        </w:rPr>
        <w:t xml:space="preserve"> and s</w:t>
      </w:r>
      <w:r w:rsidRPr="00832FC2">
        <w:rPr>
          <w:rFonts w:eastAsia="Calibri" w:cs="Times New Roman"/>
          <w:szCs w:val="26"/>
        </w:rPr>
        <w:t>upports</w:t>
      </w:r>
      <w:r w:rsidR="00647774">
        <w:rPr>
          <w:rFonts w:eastAsia="Calibri" w:cs="Times New Roman"/>
          <w:szCs w:val="26"/>
        </w:rPr>
        <w:t xml:space="preserve"> the</w:t>
      </w:r>
      <w:r w:rsidR="003C2488">
        <w:rPr>
          <w:rFonts w:eastAsia="Calibri" w:cs="Times New Roman"/>
          <w:szCs w:val="26"/>
        </w:rPr>
        <w:t xml:space="preserve"> </w:t>
      </w:r>
      <w:r w:rsidRPr="00832FC2">
        <w:rPr>
          <w:rFonts w:eastAsia="Calibri" w:cs="Times New Roman"/>
          <w:szCs w:val="26"/>
        </w:rPr>
        <w:t>requirement for utilities to keep their list up</w:t>
      </w:r>
      <w:r w:rsidR="00E4753D">
        <w:rPr>
          <w:rFonts w:eastAsia="Calibri" w:cs="Times New Roman"/>
          <w:szCs w:val="26"/>
        </w:rPr>
        <w:noBreakHyphen/>
      </w:r>
      <w:r w:rsidRPr="00832FC2">
        <w:rPr>
          <w:rFonts w:eastAsia="Calibri" w:cs="Times New Roman"/>
          <w:szCs w:val="26"/>
        </w:rPr>
        <w:t>to</w:t>
      </w:r>
      <w:r w:rsidR="00E4753D">
        <w:rPr>
          <w:rFonts w:eastAsia="Calibri" w:cs="Times New Roman"/>
          <w:szCs w:val="26"/>
        </w:rPr>
        <w:noBreakHyphen/>
      </w:r>
      <w:r w:rsidRPr="00832FC2">
        <w:rPr>
          <w:rFonts w:eastAsia="Calibri" w:cs="Times New Roman"/>
          <w:szCs w:val="26"/>
        </w:rPr>
        <w:t xml:space="preserve">date and current within 48 hours of changes. </w:t>
      </w:r>
      <w:r w:rsidR="00647774">
        <w:rPr>
          <w:rFonts w:eastAsia="Calibri" w:cs="Times New Roman"/>
          <w:szCs w:val="26"/>
        </w:rPr>
        <w:t>It r</w:t>
      </w:r>
      <w:r w:rsidRPr="00832FC2">
        <w:rPr>
          <w:rFonts w:eastAsia="Calibri" w:cs="Times New Roman"/>
          <w:szCs w:val="26"/>
        </w:rPr>
        <w:t>ecommend</w:t>
      </w:r>
      <w:r w:rsidR="00647774">
        <w:rPr>
          <w:rFonts w:eastAsia="Calibri" w:cs="Times New Roman"/>
          <w:szCs w:val="26"/>
        </w:rPr>
        <w:t>s th</w:t>
      </w:r>
      <w:r w:rsidR="003241D8">
        <w:rPr>
          <w:rFonts w:eastAsia="Calibri" w:cs="Times New Roman"/>
          <w:szCs w:val="26"/>
        </w:rPr>
        <w:t>e</w:t>
      </w:r>
      <w:r w:rsidRPr="00832FC2">
        <w:rPr>
          <w:rFonts w:eastAsia="Calibri" w:cs="Times New Roman"/>
          <w:szCs w:val="26"/>
        </w:rPr>
        <w:t xml:space="preserve"> utilities</w:t>
      </w:r>
      <w:r w:rsidR="00410529">
        <w:rPr>
          <w:rFonts w:eastAsia="Calibri" w:cs="Times New Roman"/>
          <w:szCs w:val="26"/>
        </w:rPr>
        <w:t>’</w:t>
      </w:r>
      <w:r w:rsidRPr="00832FC2">
        <w:rPr>
          <w:rFonts w:eastAsia="Calibri" w:cs="Times New Roman"/>
          <w:szCs w:val="26"/>
        </w:rPr>
        <w:t xml:space="preserve"> lists include </w:t>
      </w:r>
      <w:r w:rsidR="00647774">
        <w:rPr>
          <w:rFonts w:eastAsia="Calibri" w:cs="Times New Roman"/>
          <w:szCs w:val="26"/>
        </w:rPr>
        <w:t xml:space="preserve">a </w:t>
      </w:r>
      <w:r w:rsidRPr="00832FC2">
        <w:rPr>
          <w:rFonts w:eastAsia="Calibri" w:cs="Times New Roman"/>
          <w:szCs w:val="26"/>
        </w:rPr>
        <w:t>notation for who approved the contractor.</w:t>
      </w:r>
      <w:r w:rsidRPr="00832FC2">
        <w:rPr>
          <w:rFonts w:eastAsia="Calibri" w:cs="Times New Roman"/>
          <w:szCs w:val="26"/>
          <w:vertAlign w:val="superscript"/>
        </w:rPr>
        <w:footnoteReference w:id="70"/>
      </w:r>
    </w:p>
    <w:p w:rsidR="009975CB" w:rsidP="009975CB" w:rsidRDefault="009975CB" w14:paraId="5604797B" w14:textId="77777777">
      <w:pPr>
        <w:pStyle w:val="Standard"/>
      </w:pPr>
      <w:proofErr w:type="spellStart"/>
      <w:r w:rsidRPr="00CB725C">
        <w:rPr>
          <w:rFonts w:eastAsia="Calibri" w:cs="Times New Roman"/>
          <w:szCs w:val="26"/>
        </w:rPr>
        <w:lastRenderedPageBreak/>
        <w:t>Surfnet</w:t>
      </w:r>
      <w:proofErr w:type="spellEnd"/>
      <w:r>
        <w:rPr>
          <w:rFonts w:eastAsia="Calibri" w:cs="Times New Roman"/>
          <w:szCs w:val="26"/>
        </w:rPr>
        <w:t xml:space="preserve"> r</w:t>
      </w:r>
      <w:r w:rsidRPr="00832FC2">
        <w:rPr>
          <w:rFonts w:eastAsia="Calibri" w:cs="Times New Roman"/>
          <w:szCs w:val="26"/>
        </w:rPr>
        <w:t xml:space="preserve">ecommends that lists include at least 100 qualified contractors. </w:t>
      </w:r>
      <w:r>
        <w:rPr>
          <w:rFonts w:eastAsia="Calibri" w:cs="Times New Roman"/>
          <w:szCs w:val="26"/>
        </w:rPr>
        <w:t>As support, it r</w:t>
      </w:r>
      <w:r w:rsidRPr="00832FC2">
        <w:rPr>
          <w:rFonts w:eastAsia="Calibri" w:cs="Times New Roman"/>
          <w:szCs w:val="26"/>
        </w:rPr>
        <w:t>eferences AT&amp;T</w:t>
      </w:r>
      <w:r>
        <w:rPr>
          <w:rFonts w:eastAsia="Calibri" w:cs="Times New Roman"/>
          <w:szCs w:val="26"/>
        </w:rPr>
        <w:t>’</w:t>
      </w:r>
      <w:r w:rsidRPr="00832FC2">
        <w:rPr>
          <w:rFonts w:eastAsia="Calibri" w:cs="Times New Roman"/>
          <w:szCs w:val="26"/>
        </w:rPr>
        <w:t>s published list of 200 approved contractors.</w:t>
      </w:r>
      <w:r w:rsidRPr="00832FC2">
        <w:rPr>
          <w:rFonts w:eastAsia="Calibri" w:cs="Times New Roman"/>
          <w:szCs w:val="26"/>
          <w:vertAlign w:val="superscript"/>
        </w:rPr>
        <w:footnoteReference w:id="71"/>
      </w:r>
    </w:p>
    <w:p w:rsidRPr="00832FC2" w:rsidR="001125A6" w:rsidP="00ED36CC" w:rsidRDefault="001125A6" w14:paraId="3FC7452D" w14:textId="7170FD2C">
      <w:pPr>
        <w:pStyle w:val="Standard"/>
      </w:pPr>
      <w:r w:rsidRPr="00647774">
        <w:rPr>
          <w:rFonts w:eastAsia="Calibri" w:cs="Times New Roman"/>
          <w:szCs w:val="26"/>
        </w:rPr>
        <w:t>PG&amp;E</w:t>
      </w:r>
      <w:r w:rsidRPr="00832FC2">
        <w:rPr>
          <w:rFonts w:eastAsia="Calibri" w:cs="Times New Roman"/>
          <w:szCs w:val="26"/>
        </w:rPr>
        <w:t xml:space="preserve"> </w:t>
      </w:r>
      <w:r w:rsidR="00647774">
        <w:rPr>
          <w:rFonts w:eastAsia="Calibri" w:cs="Times New Roman"/>
          <w:szCs w:val="26"/>
        </w:rPr>
        <w:t>d</w:t>
      </w:r>
      <w:r w:rsidRPr="00832FC2">
        <w:rPr>
          <w:rFonts w:eastAsia="Calibri" w:cs="Times New Roman"/>
          <w:szCs w:val="26"/>
        </w:rPr>
        <w:t>oes not object to this proposal.</w:t>
      </w:r>
      <w:r w:rsidRPr="00832FC2">
        <w:rPr>
          <w:rFonts w:eastAsia="Calibri" w:cs="Times New Roman"/>
          <w:szCs w:val="26"/>
          <w:vertAlign w:val="superscript"/>
        </w:rPr>
        <w:footnoteReference w:id="72"/>
      </w:r>
      <w:r w:rsidRPr="00832FC2">
        <w:rPr>
          <w:rFonts w:eastAsia="Calibri" w:cs="Times New Roman"/>
          <w:szCs w:val="26"/>
        </w:rPr>
        <w:t xml:space="preserve"> </w:t>
      </w:r>
      <w:r w:rsidR="004A770E">
        <w:rPr>
          <w:rFonts w:eastAsia="Calibri" w:cs="Times New Roman"/>
          <w:szCs w:val="26"/>
        </w:rPr>
        <w:t>It s</w:t>
      </w:r>
      <w:r w:rsidRPr="00832FC2">
        <w:rPr>
          <w:rFonts w:eastAsia="Calibri" w:cs="Times New Roman"/>
          <w:szCs w:val="26"/>
        </w:rPr>
        <w:t>upports SCE</w:t>
      </w:r>
      <w:r w:rsidR="00410529">
        <w:rPr>
          <w:rFonts w:eastAsia="Calibri" w:cs="Times New Roman"/>
          <w:szCs w:val="26"/>
        </w:rPr>
        <w:t>’</w:t>
      </w:r>
      <w:r w:rsidRPr="00832FC2">
        <w:rPr>
          <w:rFonts w:eastAsia="Calibri" w:cs="Times New Roman"/>
          <w:szCs w:val="26"/>
        </w:rPr>
        <w:t xml:space="preserve">s </w:t>
      </w:r>
      <w:r w:rsidR="004A770E">
        <w:rPr>
          <w:rFonts w:eastAsia="Calibri" w:cs="Times New Roman"/>
          <w:szCs w:val="26"/>
        </w:rPr>
        <w:t xml:space="preserve">proposed </w:t>
      </w:r>
      <w:r w:rsidRPr="00832FC2">
        <w:rPr>
          <w:rFonts w:eastAsia="Calibri" w:cs="Times New Roman"/>
          <w:szCs w:val="26"/>
        </w:rPr>
        <w:t xml:space="preserve">edits to the proposed </w:t>
      </w:r>
      <w:r w:rsidR="00B64DFB">
        <w:rPr>
          <w:rFonts w:eastAsia="Calibri" w:cs="Times New Roman"/>
          <w:szCs w:val="26"/>
        </w:rPr>
        <w:t>Section</w:t>
      </w:r>
      <w:r w:rsidR="0051059D">
        <w:rPr>
          <w:rFonts w:eastAsia="Calibri" w:cs="Times New Roman"/>
          <w:szCs w:val="26"/>
        </w:rPr>
        <w:t> </w:t>
      </w:r>
      <w:r w:rsidRPr="00832FC2">
        <w:rPr>
          <w:rFonts w:eastAsia="Calibri" w:cs="Times New Roman"/>
          <w:szCs w:val="26"/>
        </w:rPr>
        <w:t xml:space="preserve">IV.H.8 and supports posting only a </w:t>
      </w:r>
      <w:r w:rsidR="00410529">
        <w:rPr>
          <w:rFonts w:eastAsia="Calibri" w:cs="Times New Roman"/>
          <w:szCs w:val="26"/>
        </w:rPr>
        <w:t>“</w:t>
      </w:r>
      <w:r w:rsidRPr="00832FC2">
        <w:rPr>
          <w:rFonts w:eastAsia="Calibri" w:cs="Times New Roman"/>
          <w:szCs w:val="26"/>
        </w:rPr>
        <w:t>reasonably sufficient list</w:t>
      </w:r>
      <w:r w:rsidR="00410529">
        <w:rPr>
          <w:rFonts w:eastAsia="Calibri" w:cs="Times New Roman"/>
          <w:szCs w:val="26"/>
        </w:rPr>
        <w:t>”</w:t>
      </w:r>
      <w:r w:rsidRPr="00832FC2">
        <w:rPr>
          <w:rFonts w:eastAsia="Calibri" w:cs="Times New Roman"/>
          <w:szCs w:val="26"/>
        </w:rPr>
        <w:t xml:space="preserve"> of qualified contractors. </w:t>
      </w:r>
      <w:r w:rsidR="003241D8">
        <w:rPr>
          <w:rFonts w:eastAsia="Calibri" w:cs="Times New Roman"/>
          <w:szCs w:val="26"/>
        </w:rPr>
        <w:t>PG&amp;E</w:t>
      </w:r>
      <w:r w:rsidR="0068059C">
        <w:rPr>
          <w:rFonts w:eastAsia="Calibri" w:cs="Times New Roman"/>
          <w:szCs w:val="26"/>
        </w:rPr>
        <w:t xml:space="preserve"> o</w:t>
      </w:r>
      <w:r w:rsidRPr="00832FC2">
        <w:rPr>
          <w:rFonts w:eastAsia="Calibri" w:cs="Times New Roman"/>
          <w:szCs w:val="26"/>
        </w:rPr>
        <w:t xml:space="preserve">pposes </w:t>
      </w:r>
      <w:proofErr w:type="spellStart"/>
      <w:r w:rsidR="006C2431">
        <w:rPr>
          <w:rFonts w:eastAsia="Calibri" w:cs="Times New Roman"/>
          <w:szCs w:val="26"/>
        </w:rPr>
        <w:t>Surfnet</w:t>
      </w:r>
      <w:r w:rsidR="00410529">
        <w:rPr>
          <w:rFonts w:eastAsia="Calibri" w:cs="Times New Roman"/>
          <w:szCs w:val="26"/>
        </w:rPr>
        <w:t>’</w:t>
      </w:r>
      <w:r w:rsidRPr="00832FC2">
        <w:rPr>
          <w:rFonts w:eastAsia="Calibri" w:cs="Times New Roman"/>
          <w:szCs w:val="26"/>
        </w:rPr>
        <w:t>s</w:t>
      </w:r>
      <w:proofErr w:type="spellEnd"/>
      <w:r w:rsidRPr="00832FC2">
        <w:rPr>
          <w:rFonts w:eastAsia="Calibri" w:cs="Times New Roman"/>
          <w:szCs w:val="26"/>
        </w:rPr>
        <w:t xml:space="preserve"> recommendation of at least 100.</w:t>
      </w:r>
      <w:r w:rsidRPr="00832FC2">
        <w:rPr>
          <w:rFonts w:eastAsia="Calibri" w:cs="Times New Roman"/>
          <w:szCs w:val="26"/>
          <w:vertAlign w:val="superscript"/>
        </w:rPr>
        <w:footnoteReference w:id="73"/>
      </w:r>
    </w:p>
    <w:p w:rsidRPr="00832FC2" w:rsidR="001125A6" w:rsidP="00ED36CC" w:rsidRDefault="001125A6" w14:paraId="5AB5939B" w14:textId="35FC6164">
      <w:pPr>
        <w:pStyle w:val="Standard"/>
      </w:pPr>
      <w:r w:rsidRPr="0068059C">
        <w:rPr>
          <w:rFonts w:eastAsia="Calibri" w:cs="Times New Roman"/>
          <w:szCs w:val="26"/>
        </w:rPr>
        <w:t>Race</w:t>
      </w:r>
      <w:r w:rsidR="0068059C">
        <w:rPr>
          <w:rFonts w:eastAsia="Calibri" w:cs="Times New Roman"/>
          <w:szCs w:val="26"/>
        </w:rPr>
        <w:t xml:space="preserve"> ge</w:t>
      </w:r>
      <w:r w:rsidRPr="00832FC2">
        <w:rPr>
          <w:rFonts w:eastAsia="Calibri" w:cs="Times New Roman"/>
          <w:szCs w:val="26"/>
        </w:rPr>
        <w:t xml:space="preserve">nerally objects to the </w:t>
      </w:r>
      <w:r w:rsidR="002A5A93">
        <w:rPr>
          <w:rFonts w:eastAsia="Calibri" w:cs="Times New Roman"/>
          <w:szCs w:val="26"/>
        </w:rPr>
        <w:t>S</w:t>
      </w:r>
      <w:r w:rsidRPr="00832FC2">
        <w:rPr>
          <w:rFonts w:eastAsia="Calibri" w:cs="Times New Roman"/>
          <w:szCs w:val="26"/>
        </w:rPr>
        <w:t xml:space="preserve">taff </w:t>
      </w:r>
      <w:r w:rsidR="002A5A93">
        <w:rPr>
          <w:rFonts w:eastAsia="Calibri" w:cs="Times New Roman"/>
          <w:szCs w:val="26"/>
        </w:rPr>
        <w:t>P</w:t>
      </w:r>
      <w:r w:rsidRPr="00832FC2">
        <w:rPr>
          <w:rFonts w:eastAsia="Calibri" w:cs="Times New Roman"/>
          <w:szCs w:val="26"/>
        </w:rPr>
        <w:t xml:space="preserve">roposal as being too limiting. </w:t>
      </w:r>
      <w:r w:rsidR="002A5A93">
        <w:rPr>
          <w:rFonts w:eastAsia="Calibri" w:cs="Times New Roman"/>
          <w:szCs w:val="26"/>
        </w:rPr>
        <w:t>It c</w:t>
      </w:r>
      <w:r w:rsidRPr="00832FC2">
        <w:rPr>
          <w:rFonts w:eastAsia="Calibri" w:cs="Times New Roman"/>
          <w:szCs w:val="26"/>
        </w:rPr>
        <w:t xml:space="preserve">laims attachers should have discretion to choose their qualified contractors so long as they meet the qualifications in </w:t>
      </w:r>
      <w:r w:rsidR="00B64DFB">
        <w:rPr>
          <w:rFonts w:eastAsia="Calibri" w:cs="Times New Roman"/>
          <w:szCs w:val="26"/>
        </w:rPr>
        <w:t>Section</w:t>
      </w:r>
      <w:r w:rsidR="0051059D">
        <w:rPr>
          <w:rFonts w:eastAsia="Calibri" w:cs="Times New Roman"/>
          <w:szCs w:val="26"/>
        </w:rPr>
        <w:t> </w:t>
      </w:r>
      <w:r w:rsidRPr="00832FC2">
        <w:rPr>
          <w:rFonts w:eastAsia="Calibri" w:cs="Times New Roman"/>
          <w:szCs w:val="26"/>
        </w:rPr>
        <w:t xml:space="preserve">IV.H of the existing ROW rules. </w:t>
      </w:r>
      <w:r w:rsidR="002C6C07">
        <w:rPr>
          <w:rFonts w:eastAsia="Calibri" w:cs="Times New Roman"/>
          <w:szCs w:val="26"/>
        </w:rPr>
        <w:t>It c</w:t>
      </w:r>
      <w:r w:rsidRPr="00832FC2">
        <w:rPr>
          <w:rFonts w:eastAsia="Calibri" w:cs="Times New Roman"/>
          <w:szCs w:val="26"/>
        </w:rPr>
        <w:t xml:space="preserve">laims that requiring the use of a limited list selected by the pole owner could slow deployment and jeopardize timely completion of </w:t>
      </w:r>
      <w:r w:rsidR="00761F29">
        <w:rPr>
          <w:rFonts w:eastAsia="Calibri" w:cs="Times New Roman"/>
          <w:szCs w:val="26"/>
        </w:rPr>
        <w:t>California Advanced Services Fund (</w:t>
      </w:r>
      <w:r w:rsidRPr="00832FC2">
        <w:rPr>
          <w:rFonts w:eastAsia="Calibri" w:cs="Times New Roman"/>
          <w:szCs w:val="26"/>
        </w:rPr>
        <w:t>CASF</w:t>
      </w:r>
      <w:r w:rsidR="00761F29">
        <w:rPr>
          <w:rFonts w:eastAsia="Calibri" w:cs="Times New Roman"/>
          <w:szCs w:val="26"/>
        </w:rPr>
        <w:t>)</w:t>
      </w:r>
      <w:r w:rsidRPr="00832FC2">
        <w:rPr>
          <w:rFonts w:eastAsia="Calibri" w:cs="Times New Roman"/>
          <w:szCs w:val="26"/>
        </w:rPr>
        <w:t xml:space="preserve"> and </w:t>
      </w:r>
      <w:r w:rsidR="00112CFA">
        <w:rPr>
          <w:rFonts w:eastAsia="Calibri" w:cs="Times New Roman"/>
          <w:szCs w:val="26"/>
        </w:rPr>
        <w:t>Last Mile Federal Funding Account (</w:t>
      </w:r>
      <w:r w:rsidRPr="00832FC2">
        <w:rPr>
          <w:rFonts w:eastAsia="Calibri" w:cs="Times New Roman"/>
          <w:szCs w:val="26"/>
        </w:rPr>
        <w:t>FFA</w:t>
      </w:r>
      <w:r w:rsidR="00112CFA">
        <w:rPr>
          <w:rFonts w:eastAsia="Calibri" w:cs="Times New Roman"/>
          <w:szCs w:val="26"/>
        </w:rPr>
        <w:t>)</w:t>
      </w:r>
      <w:r w:rsidRPr="00832FC2">
        <w:rPr>
          <w:rFonts w:eastAsia="Calibri" w:cs="Times New Roman"/>
          <w:szCs w:val="26"/>
        </w:rPr>
        <w:t xml:space="preserve"> grant</w:t>
      </w:r>
      <w:r w:rsidR="00E4753D">
        <w:rPr>
          <w:rFonts w:eastAsia="Calibri" w:cs="Times New Roman"/>
          <w:szCs w:val="26"/>
        </w:rPr>
        <w:noBreakHyphen/>
      </w:r>
      <w:r w:rsidRPr="00832FC2">
        <w:rPr>
          <w:rFonts w:eastAsia="Calibri" w:cs="Times New Roman"/>
          <w:szCs w:val="26"/>
        </w:rPr>
        <w:t>funded projects.</w:t>
      </w:r>
      <w:r w:rsidRPr="00832FC2">
        <w:rPr>
          <w:rFonts w:eastAsia="Calibri" w:cs="Times New Roman"/>
          <w:szCs w:val="26"/>
          <w:vertAlign w:val="superscript"/>
        </w:rPr>
        <w:footnoteReference w:id="74"/>
      </w:r>
    </w:p>
    <w:p w:rsidRPr="00832FC2" w:rsidR="001125A6" w:rsidP="00ED36CC" w:rsidRDefault="001125A6" w14:paraId="02EC8D5C" w14:textId="3A1E46A9">
      <w:pPr>
        <w:pStyle w:val="Standard"/>
      </w:pPr>
      <w:r w:rsidRPr="002C6C07">
        <w:rPr>
          <w:rFonts w:eastAsia="Calibri" w:cs="Times New Roman"/>
          <w:szCs w:val="26"/>
        </w:rPr>
        <w:t>SCE</w:t>
      </w:r>
      <w:r w:rsidR="002C6C07">
        <w:rPr>
          <w:rFonts w:eastAsia="Calibri" w:cs="Times New Roman"/>
          <w:color w:val="2F5496"/>
          <w:szCs w:val="26"/>
        </w:rPr>
        <w:t xml:space="preserve"> </w:t>
      </w:r>
      <w:r w:rsidRPr="002C6C07" w:rsidR="002C6C07">
        <w:rPr>
          <w:rFonts w:eastAsia="Calibri" w:cs="Times New Roman"/>
          <w:szCs w:val="26"/>
        </w:rPr>
        <w:t>a</w:t>
      </w:r>
      <w:r w:rsidRPr="00832FC2">
        <w:rPr>
          <w:rFonts w:eastAsia="Calibri" w:cs="Times New Roman"/>
          <w:szCs w:val="26"/>
        </w:rPr>
        <w:t xml:space="preserve">grees with the addition of new </w:t>
      </w:r>
      <w:r w:rsidR="00B64DFB">
        <w:rPr>
          <w:rFonts w:eastAsia="Calibri" w:cs="Times New Roman"/>
          <w:szCs w:val="26"/>
        </w:rPr>
        <w:t>Section</w:t>
      </w:r>
      <w:r w:rsidR="0051059D">
        <w:rPr>
          <w:rFonts w:eastAsia="Calibri" w:cs="Times New Roman"/>
          <w:szCs w:val="26"/>
        </w:rPr>
        <w:t> </w:t>
      </w:r>
      <w:r w:rsidRPr="00832FC2">
        <w:rPr>
          <w:rFonts w:eastAsia="Calibri" w:cs="Times New Roman"/>
          <w:szCs w:val="26"/>
        </w:rPr>
        <w:t>IV.H.8 allowing only Qualified Electric Workers to work in the electric space.</w:t>
      </w:r>
      <w:r w:rsidR="0025746A">
        <w:rPr>
          <w:rFonts w:eastAsia="Calibri" w:cs="Times New Roman"/>
          <w:szCs w:val="26"/>
        </w:rPr>
        <w:t xml:space="preserve"> It r</w:t>
      </w:r>
      <w:r w:rsidRPr="00832FC2">
        <w:rPr>
          <w:rFonts w:eastAsia="Calibri" w:cs="Times New Roman"/>
          <w:szCs w:val="26"/>
        </w:rPr>
        <w:t>ecommends specific revisions to clarify that attachers</w:t>
      </w:r>
      <w:r w:rsidR="00410529">
        <w:rPr>
          <w:rFonts w:eastAsia="Calibri" w:cs="Times New Roman"/>
          <w:szCs w:val="26"/>
        </w:rPr>
        <w:t>’</w:t>
      </w:r>
      <w:r w:rsidRPr="00832FC2">
        <w:rPr>
          <w:rFonts w:eastAsia="Calibri" w:cs="Times New Roman"/>
          <w:szCs w:val="26"/>
        </w:rPr>
        <w:t xml:space="preserve"> contractors are subject to </w:t>
      </w:r>
      <w:r w:rsidR="00CE5DB2">
        <w:rPr>
          <w:rFonts w:eastAsia="Calibri" w:cs="Times New Roman"/>
          <w:szCs w:val="26"/>
        </w:rPr>
        <w:t>Sections</w:t>
      </w:r>
      <w:r w:rsidR="0051059D">
        <w:rPr>
          <w:rFonts w:eastAsia="Calibri" w:cs="Times New Roman"/>
          <w:szCs w:val="26"/>
        </w:rPr>
        <w:t> </w:t>
      </w:r>
      <w:r w:rsidRPr="00832FC2">
        <w:rPr>
          <w:rFonts w:eastAsia="Calibri" w:cs="Times New Roman"/>
          <w:szCs w:val="26"/>
        </w:rPr>
        <w:t>IV.H.2 and IV.H.8.</w:t>
      </w:r>
      <w:r w:rsidR="00040B21">
        <w:rPr>
          <w:rFonts w:eastAsia="Calibri" w:cs="Times New Roman"/>
          <w:szCs w:val="26"/>
        </w:rPr>
        <w:t xml:space="preserve"> SCE</w:t>
      </w:r>
      <w:r w:rsidR="0025746A">
        <w:rPr>
          <w:rFonts w:eastAsia="Calibri" w:cs="Times New Roman"/>
          <w:szCs w:val="26"/>
        </w:rPr>
        <w:t xml:space="preserve"> d</w:t>
      </w:r>
      <w:r w:rsidRPr="00832FC2">
        <w:rPr>
          <w:rFonts w:eastAsia="Calibri" w:cs="Times New Roman"/>
          <w:szCs w:val="26"/>
        </w:rPr>
        <w:t xml:space="preserve">oes not oppose </w:t>
      </w:r>
      <w:r w:rsidR="0025746A">
        <w:rPr>
          <w:rFonts w:eastAsia="Calibri" w:cs="Times New Roman"/>
          <w:szCs w:val="26"/>
        </w:rPr>
        <w:t xml:space="preserve">the </w:t>
      </w:r>
      <w:r w:rsidRPr="00832FC2">
        <w:rPr>
          <w:rFonts w:eastAsia="Calibri" w:cs="Times New Roman"/>
          <w:szCs w:val="26"/>
        </w:rPr>
        <w:t xml:space="preserve">posting of </w:t>
      </w:r>
      <w:r w:rsidR="0025746A">
        <w:rPr>
          <w:rFonts w:eastAsia="Calibri" w:cs="Times New Roman"/>
          <w:szCs w:val="26"/>
        </w:rPr>
        <w:t xml:space="preserve">a </w:t>
      </w:r>
      <w:r w:rsidRPr="00832FC2">
        <w:rPr>
          <w:rFonts w:eastAsia="Calibri" w:cs="Times New Roman"/>
          <w:szCs w:val="26"/>
        </w:rPr>
        <w:t>list on web</w:t>
      </w:r>
      <w:r w:rsidR="0025746A">
        <w:rPr>
          <w:rFonts w:eastAsia="Calibri" w:cs="Times New Roman"/>
          <w:szCs w:val="26"/>
        </w:rPr>
        <w:t>sites</w:t>
      </w:r>
      <w:r w:rsidRPr="00832FC2">
        <w:rPr>
          <w:rFonts w:eastAsia="Calibri" w:cs="Times New Roman"/>
          <w:szCs w:val="26"/>
        </w:rPr>
        <w:t xml:space="preserve"> and suggests a requirement for a </w:t>
      </w:r>
      <w:r w:rsidR="00410529">
        <w:rPr>
          <w:rFonts w:eastAsia="Calibri" w:cs="Times New Roman"/>
          <w:szCs w:val="26"/>
        </w:rPr>
        <w:t>“</w:t>
      </w:r>
      <w:r w:rsidRPr="00832FC2">
        <w:rPr>
          <w:rFonts w:eastAsia="Calibri" w:cs="Times New Roman"/>
          <w:szCs w:val="26"/>
        </w:rPr>
        <w:t>reasonably sufficient list.</w:t>
      </w:r>
      <w:r w:rsidR="00410529">
        <w:rPr>
          <w:rFonts w:eastAsia="Calibri" w:cs="Times New Roman"/>
          <w:szCs w:val="26"/>
        </w:rPr>
        <w:t>”</w:t>
      </w:r>
      <w:r w:rsidRPr="00832FC2">
        <w:rPr>
          <w:rFonts w:eastAsia="Calibri" w:cs="Times New Roman"/>
          <w:szCs w:val="26"/>
          <w:vertAlign w:val="superscript"/>
        </w:rPr>
        <w:footnoteReference w:id="75"/>
      </w:r>
      <w:r w:rsidRPr="00832FC2">
        <w:rPr>
          <w:rFonts w:eastAsia="Calibri" w:cs="Times New Roman"/>
          <w:szCs w:val="26"/>
        </w:rPr>
        <w:t xml:space="preserve"> </w:t>
      </w:r>
      <w:r w:rsidR="0015308B">
        <w:rPr>
          <w:rFonts w:eastAsia="Calibri" w:cs="Times New Roman"/>
          <w:szCs w:val="26"/>
        </w:rPr>
        <w:t>It o</w:t>
      </w:r>
      <w:r w:rsidRPr="00832FC2">
        <w:rPr>
          <w:rFonts w:eastAsia="Calibri" w:cs="Times New Roman"/>
          <w:szCs w:val="26"/>
        </w:rPr>
        <w:t>pposes a timeline requirement for utilities to update their contractor list.</w:t>
      </w:r>
      <w:r w:rsidRPr="00832FC2">
        <w:rPr>
          <w:rFonts w:eastAsia="Calibri" w:cs="Times New Roman"/>
          <w:szCs w:val="26"/>
          <w:vertAlign w:val="superscript"/>
        </w:rPr>
        <w:footnoteReference w:id="76"/>
      </w:r>
    </w:p>
    <w:p w:rsidRPr="00832FC2" w:rsidR="001125A6" w:rsidP="00ED36CC" w:rsidRDefault="001125A6" w14:paraId="47F7B30D" w14:textId="57D6D49D">
      <w:pPr>
        <w:pStyle w:val="Standard"/>
      </w:pPr>
      <w:r w:rsidRPr="0015308B">
        <w:rPr>
          <w:rFonts w:eastAsia="Calibri" w:cs="Times New Roman"/>
          <w:szCs w:val="26"/>
        </w:rPr>
        <w:lastRenderedPageBreak/>
        <w:t>SDG&amp;E</w:t>
      </w:r>
      <w:r w:rsidRPr="00832FC2">
        <w:rPr>
          <w:rFonts w:eastAsia="Calibri" w:cs="Times New Roman"/>
          <w:szCs w:val="26"/>
        </w:rPr>
        <w:t xml:space="preserve"> </w:t>
      </w:r>
      <w:r w:rsidR="0015308B">
        <w:rPr>
          <w:rFonts w:eastAsia="Calibri" w:cs="Times New Roman"/>
          <w:szCs w:val="26"/>
        </w:rPr>
        <w:t>d</w:t>
      </w:r>
      <w:r w:rsidRPr="00832FC2">
        <w:rPr>
          <w:rFonts w:eastAsia="Calibri" w:cs="Times New Roman"/>
          <w:szCs w:val="26"/>
        </w:rPr>
        <w:t xml:space="preserve">oes not support </w:t>
      </w:r>
      <w:r w:rsidR="00714850">
        <w:rPr>
          <w:rFonts w:eastAsia="Calibri" w:cs="Times New Roman"/>
          <w:szCs w:val="26"/>
        </w:rPr>
        <w:t xml:space="preserve">the </w:t>
      </w:r>
      <w:r w:rsidRPr="00832FC2">
        <w:rPr>
          <w:rFonts w:eastAsia="Calibri" w:cs="Times New Roman"/>
          <w:szCs w:val="26"/>
        </w:rPr>
        <w:t xml:space="preserve">requirement for any minimum number of qualified contractors. </w:t>
      </w:r>
      <w:r w:rsidR="00714850">
        <w:rPr>
          <w:rFonts w:eastAsia="Calibri" w:cs="Times New Roman"/>
          <w:szCs w:val="26"/>
        </w:rPr>
        <w:t>It e</w:t>
      </w:r>
      <w:r w:rsidRPr="00832FC2">
        <w:rPr>
          <w:rFonts w:eastAsia="Calibri" w:cs="Times New Roman"/>
          <w:szCs w:val="26"/>
        </w:rPr>
        <w:t xml:space="preserve">nsures vendor availability by maintaining at least two qualified contractors per scope of work. </w:t>
      </w:r>
      <w:r w:rsidR="001A1E8D">
        <w:rPr>
          <w:rFonts w:eastAsia="Calibri" w:cs="Times New Roman"/>
          <w:szCs w:val="26"/>
        </w:rPr>
        <w:t>SDG&amp;E</w:t>
      </w:r>
      <w:r w:rsidR="00135C3C">
        <w:rPr>
          <w:rFonts w:eastAsia="Calibri" w:cs="Times New Roman"/>
          <w:szCs w:val="26"/>
        </w:rPr>
        <w:t xml:space="preserve"> s</w:t>
      </w:r>
      <w:r w:rsidRPr="00832FC2">
        <w:rPr>
          <w:rFonts w:eastAsia="Calibri" w:cs="Times New Roman"/>
          <w:szCs w:val="26"/>
        </w:rPr>
        <w:t xml:space="preserve">upports sharing a list with attachers that have executed </w:t>
      </w:r>
      <w:r w:rsidR="002B4085">
        <w:rPr>
          <w:rFonts w:eastAsia="Calibri" w:cs="Times New Roman"/>
          <w:szCs w:val="26"/>
        </w:rPr>
        <w:t xml:space="preserve">the </w:t>
      </w:r>
      <w:r w:rsidRPr="00832FC2">
        <w:rPr>
          <w:rFonts w:eastAsia="Calibri" w:cs="Times New Roman"/>
          <w:szCs w:val="26"/>
        </w:rPr>
        <w:t>master license agreement</w:t>
      </w:r>
      <w:r w:rsidR="001A1E8D">
        <w:rPr>
          <w:rFonts w:eastAsia="Calibri" w:cs="Times New Roman"/>
          <w:szCs w:val="26"/>
        </w:rPr>
        <w:t>, but</w:t>
      </w:r>
      <w:r w:rsidR="002B4085">
        <w:rPr>
          <w:rFonts w:eastAsia="Calibri" w:cs="Times New Roman"/>
          <w:szCs w:val="26"/>
        </w:rPr>
        <w:t xml:space="preserve"> o</w:t>
      </w:r>
      <w:r w:rsidRPr="00832FC2">
        <w:rPr>
          <w:rFonts w:eastAsia="Calibri" w:cs="Times New Roman"/>
          <w:szCs w:val="26"/>
        </w:rPr>
        <w:t>pposes publicly posting this list due to concerns over competitive disadvantage, security threats, and operational disruption.</w:t>
      </w:r>
      <w:r w:rsidRPr="00832FC2">
        <w:rPr>
          <w:rFonts w:eastAsia="Calibri" w:cs="Times New Roman"/>
          <w:szCs w:val="26"/>
          <w:vertAlign w:val="superscript"/>
        </w:rPr>
        <w:footnoteReference w:id="77"/>
      </w:r>
      <w:r w:rsidRPr="00832FC2">
        <w:rPr>
          <w:rFonts w:eastAsia="Calibri" w:cs="Times New Roman"/>
          <w:szCs w:val="26"/>
        </w:rPr>
        <w:t xml:space="preserve"> </w:t>
      </w:r>
      <w:r w:rsidR="001A1E8D">
        <w:rPr>
          <w:rFonts w:eastAsia="Calibri" w:cs="Times New Roman"/>
          <w:szCs w:val="26"/>
        </w:rPr>
        <w:t>SDG&amp;E</w:t>
      </w:r>
      <w:r w:rsidR="002B4085">
        <w:rPr>
          <w:rFonts w:eastAsia="Calibri" w:cs="Times New Roman"/>
          <w:szCs w:val="26"/>
        </w:rPr>
        <w:t xml:space="preserve"> o</w:t>
      </w:r>
      <w:r w:rsidRPr="00832FC2">
        <w:rPr>
          <w:rFonts w:eastAsia="Calibri" w:cs="Times New Roman"/>
          <w:szCs w:val="26"/>
        </w:rPr>
        <w:t xml:space="preserve">pposes </w:t>
      </w:r>
      <w:proofErr w:type="spellStart"/>
      <w:r w:rsidRPr="00832FC2">
        <w:rPr>
          <w:rFonts w:eastAsia="Calibri" w:cs="Times New Roman"/>
          <w:szCs w:val="26"/>
        </w:rPr>
        <w:t>Surfnet</w:t>
      </w:r>
      <w:r w:rsidR="00410529">
        <w:rPr>
          <w:rFonts w:eastAsia="Calibri" w:cs="Times New Roman"/>
          <w:szCs w:val="26"/>
        </w:rPr>
        <w:t>’</w:t>
      </w:r>
      <w:r w:rsidRPr="00832FC2">
        <w:rPr>
          <w:rFonts w:eastAsia="Calibri" w:cs="Times New Roman"/>
          <w:szCs w:val="26"/>
        </w:rPr>
        <w:t>s</w:t>
      </w:r>
      <w:proofErr w:type="spellEnd"/>
      <w:r w:rsidRPr="00832FC2">
        <w:rPr>
          <w:rFonts w:eastAsia="Calibri" w:cs="Times New Roman"/>
          <w:szCs w:val="26"/>
        </w:rPr>
        <w:t xml:space="preserve"> recommendation of 100 contractors.</w:t>
      </w:r>
      <w:r w:rsidRPr="00832FC2">
        <w:rPr>
          <w:rFonts w:eastAsia="Calibri" w:cs="Times New Roman"/>
          <w:szCs w:val="26"/>
          <w:vertAlign w:val="superscript"/>
        </w:rPr>
        <w:footnoteReference w:id="78"/>
      </w:r>
    </w:p>
    <w:p w:rsidRPr="00832FC2" w:rsidR="001125A6" w:rsidP="00ED36CC" w:rsidRDefault="001125A6" w14:paraId="049CCF26" w14:textId="41DC4FAA">
      <w:pPr>
        <w:pStyle w:val="Standard"/>
      </w:pPr>
      <w:r w:rsidRPr="003F5C96">
        <w:rPr>
          <w:rFonts w:eastAsia="Calibri" w:cs="Times New Roman"/>
          <w:szCs w:val="26"/>
        </w:rPr>
        <w:t>Sonic</w:t>
      </w:r>
      <w:r w:rsidRPr="00832FC2">
        <w:rPr>
          <w:rFonts w:eastAsia="Calibri" w:cs="Times New Roman"/>
          <w:szCs w:val="26"/>
        </w:rPr>
        <w:t xml:space="preserve"> </w:t>
      </w:r>
      <w:r w:rsidR="003F5C96">
        <w:rPr>
          <w:rFonts w:eastAsia="Calibri" w:cs="Times New Roman"/>
          <w:szCs w:val="26"/>
        </w:rPr>
        <w:t>r</w:t>
      </w:r>
      <w:r w:rsidRPr="00832FC2">
        <w:rPr>
          <w:rFonts w:eastAsia="Calibri" w:cs="Times New Roman"/>
          <w:szCs w:val="26"/>
        </w:rPr>
        <w:t xml:space="preserve">ecommends a minimum number </w:t>
      </w:r>
      <w:r w:rsidR="00AB0480">
        <w:rPr>
          <w:rFonts w:eastAsia="Calibri" w:cs="Times New Roman"/>
          <w:szCs w:val="26"/>
        </w:rPr>
        <w:t xml:space="preserve">of </w:t>
      </w:r>
      <w:r w:rsidR="009975CB">
        <w:rPr>
          <w:rFonts w:eastAsia="Calibri" w:cs="Times New Roman"/>
          <w:szCs w:val="26"/>
        </w:rPr>
        <w:t xml:space="preserve">qualified contractors </w:t>
      </w:r>
      <w:r w:rsidRPr="00832FC2">
        <w:rPr>
          <w:rFonts w:eastAsia="Calibri" w:cs="Times New Roman"/>
          <w:szCs w:val="26"/>
        </w:rPr>
        <w:t xml:space="preserve">to avoid delays for attachers. </w:t>
      </w:r>
      <w:r w:rsidR="00E91528">
        <w:rPr>
          <w:rFonts w:eastAsia="Calibri" w:cs="Times New Roman"/>
          <w:szCs w:val="26"/>
        </w:rPr>
        <w:t>It r</w:t>
      </w:r>
      <w:r w:rsidRPr="00832FC2">
        <w:rPr>
          <w:rFonts w:eastAsia="Calibri" w:cs="Times New Roman"/>
          <w:szCs w:val="26"/>
        </w:rPr>
        <w:t>ecommends</w:t>
      </w:r>
      <w:r w:rsidR="00E91528">
        <w:rPr>
          <w:rFonts w:eastAsia="Calibri" w:cs="Times New Roman"/>
          <w:szCs w:val="26"/>
        </w:rPr>
        <w:t xml:space="preserve"> the Commission hold </w:t>
      </w:r>
      <w:r w:rsidRPr="00832FC2">
        <w:rPr>
          <w:rFonts w:eastAsia="Calibri" w:cs="Times New Roman"/>
          <w:szCs w:val="26"/>
        </w:rPr>
        <w:t xml:space="preserve">workshops on this issue. </w:t>
      </w:r>
      <w:r w:rsidR="009975CB">
        <w:rPr>
          <w:rFonts w:eastAsia="Calibri" w:cs="Times New Roman"/>
          <w:szCs w:val="26"/>
        </w:rPr>
        <w:t>Sonic</w:t>
      </w:r>
      <w:r w:rsidR="00E91528">
        <w:rPr>
          <w:rFonts w:eastAsia="Calibri" w:cs="Times New Roman"/>
          <w:szCs w:val="26"/>
        </w:rPr>
        <w:t xml:space="preserve"> s</w:t>
      </w:r>
      <w:r w:rsidRPr="00832FC2">
        <w:rPr>
          <w:rFonts w:eastAsia="Calibri" w:cs="Times New Roman"/>
          <w:szCs w:val="26"/>
        </w:rPr>
        <w:t>upports allowing attachers to propose additional contractors be added to the utilities list.</w:t>
      </w:r>
      <w:r w:rsidRPr="00832FC2">
        <w:rPr>
          <w:rFonts w:eastAsia="Calibri" w:cs="Times New Roman"/>
          <w:szCs w:val="26"/>
          <w:vertAlign w:val="superscript"/>
        </w:rPr>
        <w:footnoteReference w:id="79"/>
      </w:r>
    </w:p>
    <w:p w:rsidR="001E21C3" w:rsidP="00ED36CC" w:rsidRDefault="007C384B" w14:paraId="20E82252" w14:textId="36537A82">
      <w:pPr>
        <w:pStyle w:val="Heading3"/>
        <w:keepLines w:val="0"/>
      </w:pPr>
      <w:bookmarkStart w:name="_Toc229726753" w:id="34"/>
      <w:r>
        <w:t>Discussion and Findings</w:t>
      </w:r>
      <w:bookmarkEnd w:id="34"/>
    </w:p>
    <w:p w:rsidR="007C384B" w:rsidP="00ED36CC" w:rsidRDefault="009F44A0" w14:paraId="1DC3C961" w14:textId="2C9C4014">
      <w:pPr>
        <w:pStyle w:val="Standard"/>
      </w:pPr>
      <w:r>
        <w:t xml:space="preserve">Based on the party comments and staff recommendations, we </w:t>
      </w:r>
      <w:r w:rsidR="00B7305A">
        <w:t>amend Section</w:t>
      </w:r>
      <w:r w:rsidR="0068239E">
        <w:t> </w:t>
      </w:r>
      <w:r w:rsidR="004D3F1F">
        <w:t>IV.H. (USE OF THIRD</w:t>
      </w:r>
      <w:r w:rsidR="00E4753D">
        <w:noBreakHyphen/>
      </w:r>
      <w:r w:rsidR="004D3F1F">
        <w:t>PARTY CONTRACTORS)</w:t>
      </w:r>
      <w:r w:rsidR="00B7305A">
        <w:t xml:space="preserve"> of</w:t>
      </w:r>
      <w:r w:rsidRPr="00B7305A" w:rsidR="00B7305A">
        <w:t xml:space="preserve"> Proposed GO</w:t>
      </w:r>
      <w:r w:rsidR="0020454A">
        <w:t> </w:t>
      </w:r>
      <w:r w:rsidRPr="00B7305A" w:rsidR="00B7305A">
        <w:t>178</w:t>
      </w:r>
      <w:r w:rsidR="00B7305A">
        <w:t xml:space="preserve"> as follows</w:t>
      </w:r>
      <w:r w:rsidR="0069296C">
        <w:t>,</w:t>
      </w:r>
      <w:r w:rsidR="00B7305A">
        <w:t xml:space="preserve"> and as shown in Attachment</w:t>
      </w:r>
      <w:r w:rsidR="00055A43">
        <w:t> </w:t>
      </w:r>
      <w:r w:rsidR="00B7305A">
        <w:t>A to this decision</w:t>
      </w:r>
      <w:r w:rsidR="004B435F">
        <w:t>:</w:t>
      </w:r>
    </w:p>
    <w:p w:rsidRPr="00E83798" w:rsidR="00B0789F" w:rsidP="00B0789F" w:rsidRDefault="00B0789F" w14:paraId="2D8F8492" w14:textId="6919F375">
      <w:pPr>
        <w:keepNext/>
        <w:tabs>
          <w:tab w:val="left" w:pos="540"/>
        </w:tabs>
        <w:spacing w:after="120" w:line="240" w:lineRule="auto"/>
        <w:ind w:left="547" w:hanging="547"/>
        <w:rPr>
          <w:rFonts w:ascii="Palatino" w:hAnsi="Palatino" w:eastAsia="Times New Roman" w:cs="Times New Roman"/>
          <w:szCs w:val="20"/>
        </w:rPr>
      </w:pPr>
      <w:bookmarkStart w:name="_Hlk65170665" w:id="35"/>
      <w:r w:rsidRPr="00E83798">
        <w:rPr>
          <w:rFonts w:ascii="Palatino" w:hAnsi="Palatino" w:eastAsia="Times New Roman" w:cs="Times New Roman"/>
          <w:szCs w:val="20"/>
        </w:rPr>
        <w:t xml:space="preserve">H. </w:t>
      </w:r>
      <w:r w:rsidRPr="00E83798">
        <w:rPr>
          <w:rFonts w:ascii="Palatino" w:hAnsi="Palatino" w:eastAsia="Times New Roman" w:cs="Times New Roman"/>
          <w:szCs w:val="20"/>
        </w:rPr>
        <w:tab/>
        <w:t>USE OF THIRD</w:t>
      </w:r>
      <w:r w:rsidR="00E4753D">
        <w:rPr>
          <w:rFonts w:ascii="Palatino" w:hAnsi="Palatino" w:eastAsia="Times New Roman" w:cs="Times New Roman"/>
          <w:i/>
          <w:iCs/>
          <w:color w:val="0915FF"/>
          <w:szCs w:val="20"/>
        </w:rPr>
        <w:noBreakHyphen/>
      </w:r>
      <w:r w:rsidRPr="00E83798">
        <w:rPr>
          <w:rFonts w:ascii="Palatino" w:hAnsi="Palatino" w:eastAsia="Times New Roman" w:cs="Times New Roman"/>
          <w:szCs w:val="20"/>
        </w:rPr>
        <w:t>PARTY CONTRACTORS</w:t>
      </w:r>
    </w:p>
    <w:bookmarkEnd w:id="35"/>
    <w:p w:rsidRPr="00E83798" w:rsidR="00B0789F" w:rsidP="00B0789F" w:rsidRDefault="00B0789F" w14:paraId="75DDA9EE" w14:textId="10250B9A">
      <w:pPr>
        <w:tabs>
          <w:tab w:val="left" w:pos="1080"/>
        </w:tabs>
        <w:spacing w:after="120" w:line="240" w:lineRule="auto"/>
        <w:ind w:left="1080" w:hanging="360"/>
        <w:rPr>
          <w:rFonts w:ascii="Palatino" w:hAnsi="Palatino" w:eastAsia="Times New Roman" w:cs="Times New Roman"/>
          <w:szCs w:val="20"/>
        </w:rPr>
      </w:pPr>
      <w:r w:rsidRPr="00E83798">
        <w:rPr>
          <w:rFonts w:ascii="Palatino" w:hAnsi="Palatino" w:eastAsia="Times New Roman" w:cs="Times New Roman"/>
          <w:szCs w:val="20"/>
        </w:rPr>
        <w:t xml:space="preserve">1. </w:t>
      </w:r>
      <w:r w:rsidRPr="00E83798">
        <w:rPr>
          <w:rFonts w:ascii="Palatino" w:hAnsi="Palatino" w:eastAsia="Times New Roman" w:cs="Times New Roman"/>
          <w:szCs w:val="20"/>
        </w:rPr>
        <w:tab/>
      </w:r>
      <w:r w:rsidRPr="00E83798">
        <w:rPr>
          <w:rFonts w:ascii="Palatino" w:hAnsi="Palatino" w:eastAsia="Times New Roman" w:cs="Times New Roman"/>
          <w:i/>
          <w:iCs/>
          <w:color w:val="0915FF"/>
          <w:szCs w:val="20"/>
        </w:rPr>
        <w:t>Each utility</w:t>
      </w:r>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The ILEC</w:t>
      </w:r>
      <w:r w:rsidRPr="00E83798">
        <w:rPr>
          <w:rFonts w:ascii="Palatino" w:hAnsi="Palatino" w:eastAsia="Times New Roman" w:cs="Times New Roman"/>
          <w:szCs w:val="20"/>
        </w:rPr>
        <w:t xml:space="preserve"> shall maintain </w:t>
      </w:r>
      <w:r w:rsidRPr="00E83798">
        <w:rPr>
          <w:rFonts w:ascii="Palatino" w:hAnsi="Palatino" w:eastAsia="Times New Roman" w:cs="Times New Roman"/>
          <w:i/>
          <w:iCs/>
          <w:color w:val="0915FF"/>
          <w:szCs w:val="20"/>
        </w:rPr>
        <w:t>a publicly available</w:t>
      </w:r>
      <w:r w:rsidRPr="00E83798">
        <w:rPr>
          <w:rFonts w:ascii="Palatino" w:hAnsi="Palatino" w:eastAsia="Times New Roman" w:cs="Times New Roman"/>
          <w:color w:val="0915FF"/>
          <w:szCs w:val="20"/>
        </w:rPr>
        <w:t xml:space="preserve"> </w:t>
      </w:r>
      <w:r w:rsidRPr="00E83798">
        <w:rPr>
          <w:rFonts w:ascii="Palatino" w:hAnsi="Palatino" w:eastAsia="Times New Roman" w:cs="Times New Roman"/>
          <w:szCs w:val="20"/>
        </w:rPr>
        <w:t xml:space="preserve">list of contractors </w:t>
      </w:r>
      <w:r w:rsidRPr="00E83798">
        <w:rPr>
          <w:rFonts w:ascii="Palatino" w:hAnsi="Palatino" w:eastAsia="Times New Roman" w:cs="Times New Roman"/>
          <w:i/>
          <w:iCs/>
          <w:color w:val="0915FF"/>
          <w:szCs w:val="20"/>
        </w:rPr>
        <w:t>on its internet website</w:t>
      </w:r>
      <w:r w:rsidRPr="00E83798">
        <w:rPr>
          <w:rFonts w:ascii="Palatino" w:hAnsi="Palatino" w:eastAsia="Times New Roman" w:cs="Times New Roman"/>
          <w:szCs w:val="20"/>
        </w:rPr>
        <w:t xml:space="preserve"> that are qualified to respond to requests for information and requests for access, as well as to perform make</w:t>
      </w:r>
      <w:r w:rsidR="00E4753D">
        <w:rPr>
          <w:rFonts w:ascii="Palatino" w:hAnsi="Palatino" w:eastAsia="Times New Roman" w:cs="Times New Roman"/>
          <w:szCs w:val="20"/>
        </w:rPr>
        <w:noBreakHyphen/>
      </w:r>
      <w:r w:rsidRPr="00E83798">
        <w:rPr>
          <w:rFonts w:ascii="Palatino" w:hAnsi="Palatino" w:eastAsia="Times New Roman" w:cs="Times New Roman"/>
          <w:szCs w:val="20"/>
        </w:rPr>
        <w:t xml:space="preserve">ready work and attachment and installation of </w:t>
      </w:r>
      <w:r w:rsidRPr="00E83798">
        <w:rPr>
          <w:rFonts w:ascii="Palatino" w:hAnsi="Palatino" w:eastAsia="Times New Roman" w:cs="Times New Roman"/>
          <w:i/>
          <w:iCs/>
          <w:color w:val="0915FF"/>
          <w:szCs w:val="20"/>
        </w:rPr>
        <w:t>the attacher’s facilities</w:t>
      </w:r>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 xml:space="preserve">telecommunications carrier facilities, CMRS facilities, or cable TV facilities </w:t>
      </w:r>
      <w:r w:rsidRPr="00E83798">
        <w:rPr>
          <w:rFonts w:ascii="Palatino" w:hAnsi="Palatino" w:eastAsia="Times New Roman" w:cs="Times New Roman"/>
          <w:szCs w:val="20"/>
        </w:rPr>
        <w:t xml:space="preserve">on the utility’s support structures.  </w:t>
      </w:r>
      <w:r w:rsidRPr="00E83798">
        <w:rPr>
          <w:rFonts w:ascii="Palatino" w:hAnsi="Palatino" w:eastAsia="Times New Roman" w:cs="Times New Roman"/>
          <w:strike/>
          <w:color w:val="FF0000"/>
          <w:szCs w:val="20"/>
        </w:rPr>
        <w:t>This requirement shall not apply to electric utilities.</w:t>
      </w:r>
      <w:r w:rsidRPr="00E83798">
        <w:rPr>
          <w:rFonts w:ascii="Palatino" w:hAnsi="Palatino" w:eastAsia="Times New Roman" w:cs="Times New Roman"/>
          <w:szCs w:val="20"/>
        </w:rPr>
        <w:t xml:space="preserve">  This requirement shall not affect the discretion of a utility to use its own employees.</w:t>
      </w:r>
    </w:p>
    <w:p w:rsidRPr="00E83798" w:rsidR="00B0789F" w:rsidP="00B0789F" w:rsidRDefault="00B0789F" w14:paraId="53CD07F2" w14:textId="77777777">
      <w:pPr>
        <w:tabs>
          <w:tab w:val="left" w:pos="1080"/>
        </w:tabs>
        <w:spacing w:after="120" w:line="240" w:lineRule="auto"/>
        <w:ind w:left="1080" w:hanging="360"/>
        <w:rPr>
          <w:rFonts w:ascii="Palatino" w:hAnsi="Palatino" w:eastAsia="Times New Roman" w:cs="Times New Roman"/>
          <w:szCs w:val="20"/>
        </w:rPr>
      </w:pPr>
      <w:r w:rsidRPr="00E83798">
        <w:rPr>
          <w:rFonts w:ascii="Palatino" w:hAnsi="Palatino" w:eastAsia="Times New Roman" w:cs="Times New Roman"/>
          <w:szCs w:val="20"/>
        </w:rPr>
        <w:lastRenderedPageBreak/>
        <w:t xml:space="preserve">2. </w:t>
      </w:r>
      <w:r w:rsidRPr="00E83798">
        <w:rPr>
          <w:rFonts w:ascii="Palatino" w:hAnsi="Palatino" w:eastAsia="Times New Roman" w:cs="Times New Roman"/>
          <w:szCs w:val="20"/>
        </w:rPr>
        <w:tab/>
        <w:t>A</w:t>
      </w:r>
      <w:r w:rsidRPr="00E83798">
        <w:rPr>
          <w:rFonts w:ascii="Palatino" w:hAnsi="Palatino" w:eastAsia="Times New Roman" w:cs="Times New Roman"/>
          <w:i/>
          <w:iCs/>
          <w:color w:val="0915FF"/>
          <w:szCs w:val="20"/>
        </w:rPr>
        <w:t xml:space="preserve">n attacher </w:t>
      </w:r>
      <w:r w:rsidRPr="00E83798">
        <w:rPr>
          <w:rFonts w:ascii="Palatino" w:hAnsi="Palatino" w:eastAsia="Times New Roman" w:cs="Times New Roman"/>
          <w:strike/>
          <w:color w:val="FF0000"/>
          <w:szCs w:val="20"/>
        </w:rPr>
        <w:t>telecommunications carrier, CMRS carrier, or cable TV company</w:t>
      </w:r>
      <w:r w:rsidRPr="00E83798">
        <w:rPr>
          <w:rFonts w:ascii="Palatino" w:hAnsi="Palatino" w:eastAsia="Times New Roman" w:cs="Times New Roman"/>
          <w:szCs w:val="20"/>
        </w:rPr>
        <w:t xml:space="preserve"> may use its own personnel to attach or install </w:t>
      </w:r>
      <w:r w:rsidRPr="00E83798">
        <w:rPr>
          <w:rFonts w:ascii="Palatino" w:hAnsi="Palatino" w:eastAsia="Times New Roman" w:cs="Times New Roman"/>
          <w:i/>
          <w:iCs/>
          <w:color w:val="0915FF"/>
          <w:szCs w:val="20"/>
        </w:rPr>
        <w:t>its</w:t>
      </w:r>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the carrier’s</w:t>
      </w:r>
      <w:r w:rsidRPr="00E83798">
        <w:rPr>
          <w:rFonts w:ascii="Palatino" w:hAnsi="Palatino" w:eastAsia="Times New Roman" w:cs="Times New Roman"/>
          <w:szCs w:val="20"/>
        </w:rPr>
        <w:t xml:space="preserve"> facilities in or on a utility’s facilities, provided that in the utility’s reasonable judgment, the </w:t>
      </w:r>
      <w:proofErr w:type="spellStart"/>
      <w:r w:rsidRPr="00E83798">
        <w:rPr>
          <w:rFonts w:ascii="Palatino" w:hAnsi="Palatino" w:eastAsia="Times New Roman" w:cs="Times New Roman"/>
          <w:i/>
          <w:iCs/>
          <w:color w:val="0915FF"/>
          <w:szCs w:val="20"/>
        </w:rPr>
        <w:t>attacher’s</w:t>
      </w:r>
      <w:proofErr w:type="spellEnd"/>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 xml:space="preserve">telecommunications </w:t>
      </w:r>
      <w:proofErr w:type="spellStart"/>
      <w:r w:rsidRPr="00E83798">
        <w:rPr>
          <w:rFonts w:ascii="Palatino" w:hAnsi="Palatino" w:eastAsia="Times New Roman" w:cs="Times New Roman"/>
          <w:strike/>
          <w:color w:val="FF0000"/>
          <w:szCs w:val="20"/>
        </w:rPr>
        <w:t>carrier’s</w:t>
      </w:r>
      <w:proofErr w:type="spellEnd"/>
      <w:r w:rsidRPr="00E83798">
        <w:rPr>
          <w:rFonts w:ascii="Palatino" w:hAnsi="Palatino" w:eastAsia="Times New Roman" w:cs="Times New Roman"/>
          <w:strike/>
          <w:color w:val="FF0000"/>
          <w:szCs w:val="20"/>
        </w:rPr>
        <w:t>, CMRS carrier’s, or cable TV company’s</w:t>
      </w:r>
      <w:r w:rsidRPr="00E83798">
        <w:rPr>
          <w:rFonts w:ascii="Palatino" w:hAnsi="Palatino" w:eastAsia="Times New Roman" w:cs="Times New Roman"/>
          <w:szCs w:val="20"/>
        </w:rPr>
        <w:t xml:space="preserve"> personnel or agents demonstrate that they are trained and qualified to work on or in the utility’s facilities.  To use its own personnel or contractors on electric utility poles, the </w:t>
      </w:r>
      <w:r w:rsidRPr="00E83798">
        <w:rPr>
          <w:rFonts w:ascii="Palatino" w:hAnsi="Palatino" w:eastAsia="Times New Roman" w:cs="Times New Roman"/>
          <w:i/>
          <w:iCs/>
          <w:color w:val="0915FF"/>
          <w:szCs w:val="20"/>
        </w:rPr>
        <w:t>attacher</w:t>
      </w:r>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 xml:space="preserve">telecommunications carrier, CMRS carrier, or cable TV company </w:t>
      </w:r>
      <w:r w:rsidRPr="00E83798">
        <w:rPr>
          <w:rFonts w:ascii="Palatino" w:hAnsi="Palatino" w:eastAsia="Times New Roman" w:cs="Times New Roman"/>
          <w:szCs w:val="20"/>
        </w:rPr>
        <w:t xml:space="preserve">must give 48 hours advance notice to the electric utility, unless an electrical shutdown is required.  If an electrical shutdown is required, the </w:t>
      </w:r>
      <w:r w:rsidRPr="00E83798">
        <w:rPr>
          <w:rFonts w:ascii="Palatino" w:hAnsi="Palatino" w:eastAsia="Times New Roman" w:cs="Times New Roman"/>
          <w:i/>
          <w:iCs/>
          <w:color w:val="0915FF"/>
          <w:szCs w:val="20"/>
        </w:rPr>
        <w:t>attacher</w:t>
      </w:r>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 xml:space="preserve">telecommunications carrier, CMRS carrier, or cable TV company </w:t>
      </w:r>
      <w:r w:rsidRPr="00E83798">
        <w:rPr>
          <w:rFonts w:ascii="Palatino" w:hAnsi="Palatino" w:eastAsia="Times New Roman" w:cs="Times New Roman"/>
          <w:szCs w:val="20"/>
        </w:rPr>
        <w:t xml:space="preserve">must arrange a specific schedule with the electric utility.  The </w:t>
      </w:r>
      <w:r w:rsidRPr="00E83798">
        <w:rPr>
          <w:rFonts w:ascii="Palatino" w:hAnsi="Palatino" w:eastAsia="Times New Roman" w:cs="Times New Roman"/>
          <w:i/>
          <w:iCs/>
          <w:color w:val="0915FF"/>
          <w:szCs w:val="20"/>
        </w:rPr>
        <w:t>attacher</w:t>
      </w:r>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telecommunications carrier, CMRS carrier, or cable TV company</w:t>
      </w:r>
      <w:r w:rsidRPr="00E83798">
        <w:rPr>
          <w:rFonts w:ascii="Palatino" w:hAnsi="Palatino" w:eastAsia="Times New Roman" w:cs="Times New Roman"/>
          <w:szCs w:val="20"/>
        </w:rPr>
        <w:t xml:space="preserve"> is responsible for all costs associated with an electrical shutdown.  The inspection will be paid for by the attaching entity.  The </w:t>
      </w:r>
      <w:r w:rsidRPr="00E83798">
        <w:rPr>
          <w:rFonts w:ascii="Palatino" w:hAnsi="Palatino" w:eastAsia="Times New Roman" w:cs="Times New Roman"/>
          <w:i/>
          <w:iCs/>
          <w:color w:val="0915FF"/>
          <w:szCs w:val="20"/>
        </w:rPr>
        <w:t>attacher</w:t>
      </w:r>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telecommunications carrier, CMRS carrier, or cable TV company</w:t>
      </w:r>
      <w:r w:rsidRPr="00E83798">
        <w:rPr>
          <w:rFonts w:ascii="Palatino" w:hAnsi="Palatino" w:eastAsia="Times New Roman" w:cs="Times New Roman"/>
          <w:szCs w:val="20"/>
        </w:rPr>
        <w:t xml:space="preserve"> must allow the electric utility, in the utility’s discretion to inspect the attachment to the support structure.  This provision shall not apply to electric underground facilities containing energized electric supply cables.  Work involving electric underground facilities containing energized electric supply cables or the rearranging of overhead electric facilities will be conducted as required by the electric utility at its sole discretion.  In no event shall the</w:t>
      </w:r>
      <w:r w:rsidRPr="00E83798">
        <w:rPr>
          <w:rFonts w:ascii="Palatino" w:hAnsi="Palatino" w:eastAsia="Times New Roman" w:cs="Times New Roman"/>
          <w:i/>
          <w:iCs/>
          <w:color w:val="0915FF"/>
          <w:szCs w:val="20"/>
        </w:rPr>
        <w:t xml:space="preserve"> attacher</w:t>
      </w:r>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 xml:space="preserve">telecommunications carrier, CMRS carrier, or cable TV company </w:t>
      </w:r>
      <w:r w:rsidRPr="00E83798">
        <w:rPr>
          <w:rFonts w:ascii="Palatino" w:hAnsi="Palatino" w:eastAsia="Times New Roman" w:cs="Times New Roman"/>
          <w:szCs w:val="20"/>
        </w:rPr>
        <w:t>or their respective contractor, interfere with the electric utility’s equipment or service.</w:t>
      </w:r>
    </w:p>
    <w:p w:rsidRPr="00E83798" w:rsidR="00B0789F" w:rsidP="00B0789F" w:rsidRDefault="00B0789F" w14:paraId="7BB6ABBF" w14:textId="009C3837">
      <w:pPr>
        <w:tabs>
          <w:tab w:val="left" w:pos="1080"/>
        </w:tabs>
        <w:spacing w:after="120" w:line="240" w:lineRule="auto"/>
        <w:ind w:left="1080" w:hanging="360"/>
        <w:rPr>
          <w:rFonts w:ascii="Palatino" w:hAnsi="Palatino" w:eastAsia="Times New Roman" w:cs="Times New Roman"/>
          <w:szCs w:val="20"/>
        </w:rPr>
      </w:pPr>
      <w:r w:rsidRPr="00E83798">
        <w:rPr>
          <w:rFonts w:ascii="Palatino" w:hAnsi="Palatino" w:eastAsia="Times New Roman" w:cs="Times New Roman"/>
          <w:szCs w:val="20"/>
        </w:rPr>
        <w:t xml:space="preserve">3. </w:t>
      </w:r>
      <w:r w:rsidRPr="00E83798">
        <w:rPr>
          <w:rFonts w:ascii="Palatino" w:hAnsi="Palatino" w:eastAsia="Times New Roman" w:cs="Times New Roman"/>
          <w:szCs w:val="20"/>
        </w:rPr>
        <w:tab/>
        <w:t xml:space="preserve">Incumbent utilities </w:t>
      </w:r>
      <w:r w:rsidRPr="00E83798">
        <w:rPr>
          <w:rFonts w:ascii="Palatino" w:hAnsi="Palatino" w:eastAsia="Times New Roman" w:cs="Times New Roman"/>
          <w:i/>
          <w:iCs/>
          <w:color w:val="0915FF"/>
          <w:szCs w:val="20"/>
        </w:rPr>
        <w:t>shall maintain</w:t>
      </w:r>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should adopt</w:t>
      </w:r>
      <w:r w:rsidRPr="00E83798">
        <w:rPr>
          <w:rFonts w:ascii="Palatino" w:hAnsi="Palatino" w:eastAsia="Times New Roman" w:cs="Times New Roman"/>
          <w:szCs w:val="20"/>
        </w:rPr>
        <w:t xml:space="preserve"> written guidelines to ensure that </w:t>
      </w:r>
      <w:r w:rsidRPr="00E83798">
        <w:rPr>
          <w:rFonts w:ascii="Palatino" w:hAnsi="Palatino" w:eastAsia="Times New Roman" w:cs="Times New Roman"/>
          <w:i/>
          <w:iCs/>
          <w:color w:val="0915FF"/>
          <w:szCs w:val="20"/>
        </w:rPr>
        <w:t>attachers’</w:t>
      </w:r>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 xml:space="preserve">telecommunication carriers’, CMRS carrier’s, and cable TV companies’ </w:t>
      </w:r>
      <w:r w:rsidRPr="00E83798">
        <w:rPr>
          <w:rFonts w:ascii="Palatino" w:hAnsi="Palatino" w:eastAsia="Times New Roman" w:cs="Times New Roman"/>
          <w:szCs w:val="20"/>
        </w:rPr>
        <w:t>personnel and third</w:t>
      </w:r>
      <w:r w:rsidR="00E4753D">
        <w:rPr>
          <w:rFonts w:ascii="Palatino" w:hAnsi="Palatino" w:eastAsia="Times New Roman" w:cs="Times New Roman"/>
          <w:szCs w:val="20"/>
        </w:rPr>
        <w:noBreakHyphen/>
      </w:r>
      <w:r w:rsidRPr="00E83798">
        <w:rPr>
          <w:rFonts w:ascii="Palatino" w:hAnsi="Palatino" w:eastAsia="Times New Roman" w:cs="Times New Roman"/>
          <w:szCs w:val="20"/>
        </w:rPr>
        <w:t>party contractors are qualified.  These guidelines must be reasonable and objective, and must apply equally to the incumbent utility’s own personnel or the incumbent utility’s own third</w:t>
      </w:r>
      <w:r w:rsidR="00E4753D">
        <w:rPr>
          <w:rFonts w:ascii="Palatino" w:hAnsi="Palatino" w:eastAsia="Times New Roman" w:cs="Times New Roman"/>
          <w:szCs w:val="20"/>
        </w:rPr>
        <w:noBreakHyphen/>
      </w:r>
      <w:r w:rsidRPr="00E83798">
        <w:rPr>
          <w:rFonts w:ascii="Palatino" w:hAnsi="Palatino" w:eastAsia="Times New Roman" w:cs="Times New Roman"/>
          <w:szCs w:val="20"/>
        </w:rPr>
        <w:t xml:space="preserve">party contractors.  Incumbent utilities must seek industry input when drafting such guidelines. </w:t>
      </w:r>
      <w:r w:rsidRPr="00E83798">
        <w:rPr>
          <w:rFonts w:ascii="Palatino" w:hAnsi="Palatino" w:eastAsia="Times New Roman" w:cs="Times New Roman"/>
          <w:i/>
          <w:iCs/>
          <w:color w:val="0915FF"/>
          <w:szCs w:val="20"/>
        </w:rPr>
        <w:t>These guidelines shall be publicly available on the utility’s internet website.</w:t>
      </w:r>
    </w:p>
    <w:p w:rsidRPr="00E83798" w:rsidR="00B0789F" w:rsidP="00B0789F" w:rsidRDefault="00B0789F" w14:paraId="29E7C09D" w14:textId="02A47E5B">
      <w:pPr>
        <w:tabs>
          <w:tab w:val="left" w:pos="1080"/>
        </w:tabs>
        <w:spacing w:after="120" w:line="240" w:lineRule="auto"/>
        <w:ind w:left="1080" w:hanging="360"/>
        <w:rPr>
          <w:rFonts w:ascii="Palatino" w:hAnsi="Palatino" w:eastAsia="Times New Roman" w:cs="Times New Roman"/>
          <w:szCs w:val="20"/>
        </w:rPr>
      </w:pPr>
      <w:bookmarkStart w:name="_Hlk65097339" w:id="36"/>
      <w:r w:rsidRPr="00E83798">
        <w:rPr>
          <w:rFonts w:ascii="Palatino" w:hAnsi="Palatino" w:eastAsia="Times New Roman" w:cs="Times New Roman"/>
          <w:szCs w:val="20"/>
        </w:rPr>
        <w:lastRenderedPageBreak/>
        <w:t>4.</w:t>
      </w:r>
      <w:r w:rsidRPr="00E83798">
        <w:rPr>
          <w:rFonts w:ascii="Palatino" w:hAnsi="Palatino" w:eastAsia="Times New Roman" w:cs="Times New Roman"/>
          <w:b/>
          <w:bCs/>
          <w:szCs w:val="20"/>
        </w:rPr>
        <w:tab/>
        <w:t>Contractors for self</w:t>
      </w:r>
      <w:r w:rsidR="00E4753D">
        <w:rPr>
          <w:rFonts w:ascii="Palatino" w:hAnsi="Palatino" w:eastAsia="Times New Roman" w:cs="Times New Roman"/>
          <w:b/>
          <w:bCs/>
          <w:szCs w:val="20"/>
        </w:rPr>
        <w:noBreakHyphen/>
      </w:r>
      <w:r w:rsidRPr="00E83798">
        <w:rPr>
          <w:rFonts w:ascii="Palatino" w:hAnsi="Palatino" w:eastAsia="Times New Roman" w:cs="Times New Roman"/>
          <w:b/>
          <w:bCs/>
          <w:szCs w:val="20"/>
        </w:rPr>
        <w:t>help complex and above the communications space make</w:t>
      </w:r>
      <w:r w:rsidR="00E4753D">
        <w:rPr>
          <w:rFonts w:ascii="Palatino" w:hAnsi="Palatino" w:eastAsia="Times New Roman" w:cs="Times New Roman"/>
          <w:b/>
          <w:bCs/>
          <w:szCs w:val="20"/>
        </w:rPr>
        <w:noBreakHyphen/>
      </w:r>
      <w:r w:rsidRPr="00E83798">
        <w:rPr>
          <w:rFonts w:ascii="Palatino" w:hAnsi="Palatino" w:eastAsia="Times New Roman" w:cs="Times New Roman"/>
          <w:b/>
          <w:bCs/>
          <w:szCs w:val="20"/>
        </w:rPr>
        <w:t>ready.</w:t>
      </w:r>
      <w:r w:rsidRPr="00E83798">
        <w:rPr>
          <w:rFonts w:ascii="Palatino" w:hAnsi="Palatino" w:eastAsia="Times New Roman" w:cs="Times New Roman"/>
          <w:szCs w:val="20"/>
        </w:rPr>
        <w:t> A utility shall make available and keep up</w:t>
      </w:r>
      <w:r w:rsidR="00E4753D">
        <w:rPr>
          <w:rFonts w:ascii="Palatino" w:hAnsi="Palatino" w:eastAsia="Times New Roman" w:cs="Times New Roman"/>
          <w:szCs w:val="20"/>
        </w:rPr>
        <w:noBreakHyphen/>
      </w:r>
      <w:r w:rsidRPr="00E83798">
        <w:rPr>
          <w:rFonts w:ascii="Palatino" w:hAnsi="Palatino" w:eastAsia="Times New Roman" w:cs="Times New Roman"/>
          <w:szCs w:val="20"/>
        </w:rPr>
        <w:t>to</w:t>
      </w:r>
      <w:r w:rsidR="00E4753D">
        <w:rPr>
          <w:rFonts w:ascii="Palatino" w:hAnsi="Palatino" w:eastAsia="Times New Roman" w:cs="Times New Roman"/>
          <w:szCs w:val="20"/>
        </w:rPr>
        <w:noBreakHyphen/>
      </w:r>
      <w:r w:rsidRPr="00E83798">
        <w:rPr>
          <w:rFonts w:ascii="Palatino" w:hAnsi="Palatino" w:eastAsia="Times New Roman" w:cs="Times New Roman"/>
          <w:szCs w:val="20"/>
        </w:rPr>
        <w:t>date a reasonably sufficient list of contractors it authorizes to perform self</w:t>
      </w:r>
      <w:r w:rsidR="00E4753D">
        <w:rPr>
          <w:rFonts w:ascii="Palatino" w:hAnsi="Palatino" w:eastAsia="Times New Roman" w:cs="Times New Roman"/>
          <w:szCs w:val="20"/>
        </w:rPr>
        <w:noBreakHyphen/>
      </w:r>
      <w:r w:rsidRPr="00E83798">
        <w:rPr>
          <w:rFonts w:ascii="Palatino" w:hAnsi="Palatino" w:eastAsia="Times New Roman" w:cs="Times New Roman"/>
          <w:szCs w:val="20"/>
        </w:rPr>
        <w:t>help surveys and make</w:t>
      </w:r>
      <w:r w:rsidR="00E4753D">
        <w:rPr>
          <w:rFonts w:ascii="Palatino" w:hAnsi="Palatino" w:eastAsia="Times New Roman" w:cs="Times New Roman"/>
          <w:szCs w:val="20"/>
        </w:rPr>
        <w:noBreakHyphen/>
      </w:r>
      <w:r w:rsidRPr="00E83798">
        <w:rPr>
          <w:rFonts w:ascii="Palatino" w:hAnsi="Palatino" w:eastAsia="Times New Roman" w:cs="Times New Roman"/>
          <w:szCs w:val="20"/>
        </w:rPr>
        <w:t>ready that is complex and self</w:t>
      </w:r>
      <w:r w:rsidR="00E4753D">
        <w:rPr>
          <w:rFonts w:ascii="Palatino" w:hAnsi="Palatino" w:eastAsia="Times New Roman" w:cs="Times New Roman"/>
          <w:szCs w:val="20"/>
        </w:rPr>
        <w:noBreakHyphen/>
      </w:r>
      <w:r w:rsidRPr="00E83798">
        <w:rPr>
          <w:rFonts w:ascii="Palatino" w:hAnsi="Palatino" w:eastAsia="Times New Roman" w:cs="Times New Roman"/>
          <w:szCs w:val="20"/>
        </w:rPr>
        <w:t>help surveys and make</w:t>
      </w:r>
      <w:r w:rsidR="00E4753D">
        <w:rPr>
          <w:rFonts w:ascii="Palatino" w:hAnsi="Palatino" w:eastAsia="Times New Roman" w:cs="Times New Roman"/>
          <w:szCs w:val="20"/>
        </w:rPr>
        <w:noBreakHyphen/>
      </w:r>
      <w:r w:rsidRPr="00E83798">
        <w:rPr>
          <w:rFonts w:ascii="Palatino" w:hAnsi="Palatino" w:eastAsia="Times New Roman" w:cs="Times New Roman"/>
          <w:szCs w:val="20"/>
        </w:rPr>
        <w:t xml:space="preserve">ready that is above the communications space on its poles. </w:t>
      </w:r>
      <w:r w:rsidRPr="00E83798">
        <w:rPr>
          <w:rFonts w:ascii="Palatino" w:hAnsi="Palatino" w:eastAsia="Times New Roman" w:cs="Times New Roman"/>
          <w:i/>
          <w:iCs/>
          <w:color w:val="0915FF"/>
          <w:szCs w:val="20"/>
        </w:rPr>
        <w:t>The list shall be made publicly available on its internet website.</w:t>
      </w:r>
      <w:r w:rsidRPr="00E83798">
        <w:rPr>
          <w:rFonts w:ascii="Palatino" w:hAnsi="Palatino" w:eastAsia="Times New Roman" w:cs="Times New Roman"/>
          <w:szCs w:val="20"/>
        </w:rPr>
        <w:t xml:space="preserve"> The new attacher must use a contractor from this list to perform self</w:t>
      </w:r>
      <w:r w:rsidR="00E4753D">
        <w:rPr>
          <w:rFonts w:ascii="Palatino" w:hAnsi="Palatino" w:eastAsia="Times New Roman" w:cs="Times New Roman"/>
          <w:szCs w:val="20"/>
        </w:rPr>
        <w:noBreakHyphen/>
      </w:r>
      <w:r w:rsidRPr="00E83798">
        <w:rPr>
          <w:rFonts w:ascii="Palatino" w:hAnsi="Palatino" w:eastAsia="Times New Roman" w:cs="Times New Roman"/>
          <w:szCs w:val="20"/>
        </w:rPr>
        <w:t>help work that is complex or above the communications space. New and existing attachers may request the addition to the list of any contractor that meets the minimum qualifications in paragraphs (H)(6)(a) through (H</w:t>
      </w:r>
      <w:r w:rsidR="000202BF">
        <w:rPr>
          <w:rFonts w:ascii="Palatino" w:hAnsi="Palatino" w:eastAsia="Times New Roman" w:cs="Times New Roman"/>
          <w:szCs w:val="20"/>
        </w:rPr>
        <w:t>)</w:t>
      </w:r>
      <w:r w:rsidRPr="00E83798">
        <w:rPr>
          <w:rFonts w:ascii="Palatino" w:hAnsi="Palatino" w:eastAsia="Times New Roman" w:cs="Times New Roman"/>
          <w:szCs w:val="20"/>
        </w:rPr>
        <w:t>(6)(e) of this section and the utility may not unreasonably withhold its consent.</w:t>
      </w:r>
      <w:r w:rsidRPr="003B55CE" w:rsidR="0050701D">
        <w:rPr>
          <w:rFonts w:ascii="Palatino" w:hAnsi="Palatino" w:eastAsia="Times New Roman" w:cs="Times New Roman"/>
          <w:i/>
          <w:iCs/>
          <w:color w:val="0915FF"/>
          <w:szCs w:val="20"/>
          <w:highlight w:val="yellow"/>
        </w:rPr>
        <w:t xml:space="preserve"> The utility has a period of </w:t>
      </w:r>
      <w:r w:rsidRPr="006443D5" w:rsidR="0050701D">
        <w:rPr>
          <w:rFonts w:ascii="Palatino" w:hAnsi="Palatino" w:eastAsia="Times New Roman" w:cs="Times New Roman"/>
          <w:i/>
          <w:iCs/>
          <w:strike/>
          <w:color w:val="EE0000"/>
          <w:szCs w:val="20"/>
          <w:highlight w:val="green"/>
        </w:rPr>
        <w:t>thirty (30)</w:t>
      </w:r>
      <w:r w:rsidRPr="0022442B" w:rsidR="0050701D">
        <w:rPr>
          <w:rFonts w:ascii="Palatino" w:hAnsi="Palatino" w:eastAsia="Times New Roman" w:cs="Times New Roman"/>
          <w:i/>
          <w:iCs/>
          <w:color w:val="0915FF"/>
          <w:szCs w:val="20"/>
          <w:highlight w:val="green"/>
        </w:rPr>
        <w:t>one hundred and twenty (120)</w:t>
      </w:r>
      <w:r w:rsidRPr="003B55CE" w:rsidR="0050701D">
        <w:rPr>
          <w:rFonts w:ascii="Palatino" w:hAnsi="Palatino" w:eastAsia="Times New Roman" w:cs="Times New Roman"/>
          <w:i/>
          <w:iCs/>
          <w:color w:val="0915FF"/>
          <w:szCs w:val="20"/>
          <w:highlight w:val="yellow"/>
        </w:rPr>
        <w:t xml:space="preserve"> days for approval of contractors</w:t>
      </w:r>
      <w:r w:rsidR="0050701D">
        <w:rPr>
          <w:rFonts w:ascii="Palatino" w:hAnsi="Palatino" w:eastAsia="Times New Roman" w:cs="Times New Roman"/>
          <w:i/>
          <w:iCs/>
          <w:strike/>
          <w:color w:val="EE0000"/>
          <w:szCs w:val="20"/>
          <w:highlight w:val="green"/>
        </w:rPr>
        <w:t xml:space="preserve"> a</w:t>
      </w:r>
      <w:r w:rsidRPr="000056D4" w:rsidR="0050701D">
        <w:rPr>
          <w:rFonts w:ascii="Palatino" w:hAnsi="Palatino" w:eastAsia="Times New Roman" w:cs="Times New Roman"/>
          <w:i/>
          <w:iCs/>
          <w:strike/>
          <w:color w:val="EE0000"/>
          <w:szCs w:val="20"/>
          <w:highlight w:val="green"/>
        </w:rPr>
        <w:t>nd an additional fourteen (14) days to complete the contractor onboarding process</w:t>
      </w:r>
      <w:r w:rsidRPr="003B55CE" w:rsidR="0050701D">
        <w:rPr>
          <w:rFonts w:ascii="Palatino" w:hAnsi="Palatino" w:eastAsia="Times New Roman" w:cs="Times New Roman"/>
          <w:i/>
          <w:iCs/>
          <w:color w:val="0915FF"/>
          <w:szCs w:val="20"/>
          <w:highlight w:val="yellow"/>
        </w:rPr>
        <w:t>.</w:t>
      </w:r>
    </w:p>
    <w:p w:rsidRPr="00E83798" w:rsidR="00B0789F" w:rsidP="00B0789F" w:rsidRDefault="00B0789F" w14:paraId="3AD51530" w14:textId="7B901C9B">
      <w:pPr>
        <w:tabs>
          <w:tab w:val="left" w:pos="1080"/>
        </w:tabs>
        <w:spacing w:after="120" w:line="240" w:lineRule="auto"/>
        <w:ind w:left="1080" w:hanging="360"/>
        <w:rPr>
          <w:rFonts w:ascii="Palatino" w:hAnsi="Palatino" w:eastAsia="Times New Roman" w:cs="Times New Roman"/>
          <w:szCs w:val="20"/>
        </w:rPr>
      </w:pPr>
      <w:r w:rsidRPr="00E83798">
        <w:rPr>
          <w:rFonts w:ascii="Palatino" w:hAnsi="Palatino" w:eastAsia="Times New Roman" w:cs="Times New Roman"/>
          <w:szCs w:val="20"/>
        </w:rPr>
        <w:t>5.</w:t>
      </w:r>
      <w:r w:rsidRPr="00E83798">
        <w:rPr>
          <w:rFonts w:ascii="Palatino" w:hAnsi="Palatino" w:eastAsia="Times New Roman" w:cs="Times New Roman"/>
          <w:szCs w:val="20"/>
        </w:rPr>
        <w:tab/>
      </w:r>
      <w:r w:rsidRPr="00E83798">
        <w:rPr>
          <w:rFonts w:ascii="Palatino" w:hAnsi="Palatino" w:eastAsia="Times New Roman" w:cs="Times New Roman"/>
          <w:b/>
          <w:bCs/>
          <w:szCs w:val="20"/>
        </w:rPr>
        <w:t>Contractors for simple work. </w:t>
      </w:r>
      <w:r w:rsidRPr="00E83798">
        <w:rPr>
          <w:rFonts w:ascii="Palatino" w:hAnsi="Palatino" w:eastAsia="Times New Roman" w:cs="Times New Roman"/>
          <w:szCs w:val="20"/>
        </w:rPr>
        <w:t>A utility shall keep up</w:t>
      </w:r>
      <w:r w:rsidR="00E4753D">
        <w:rPr>
          <w:rFonts w:ascii="Palatino" w:hAnsi="Palatino" w:eastAsia="Times New Roman" w:cs="Times New Roman"/>
          <w:szCs w:val="20"/>
        </w:rPr>
        <w:noBreakHyphen/>
      </w:r>
      <w:r w:rsidRPr="00E83798">
        <w:rPr>
          <w:rFonts w:ascii="Palatino" w:hAnsi="Palatino" w:eastAsia="Times New Roman" w:cs="Times New Roman"/>
          <w:szCs w:val="20"/>
        </w:rPr>
        <w:t>to</w:t>
      </w:r>
      <w:r w:rsidR="00E4753D">
        <w:rPr>
          <w:rFonts w:ascii="Palatino" w:hAnsi="Palatino" w:eastAsia="Times New Roman" w:cs="Times New Roman"/>
          <w:szCs w:val="20"/>
        </w:rPr>
        <w:noBreakHyphen/>
      </w:r>
      <w:r w:rsidRPr="00E83798">
        <w:rPr>
          <w:rFonts w:ascii="Palatino" w:hAnsi="Palatino" w:eastAsia="Times New Roman" w:cs="Times New Roman"/>
          <w:szCs w:val="20"/>
        </w:rPr>
        <w:t>date a reasonably sufficient list of contractors it authorizes to perform surveys and simple make</w:t>
      </w:r>
      <w:r w:rsidR="00E4753D">
        <w:rPr>
          <w:rFonts w:ascii="Palatino" w:hAnsi="Palatino" w:eastAsia="Times New Roman" w:cs="Times New Roman"/>
          <w:szCs w:val="20"/>
        </w:rPr>
        <w:noBreakHyphen/>
      </w:r>
      <w:r w:rsidRPr="00E83798">
        <w:rPr>
          <w:rFonts w:ascii="Palatino" w:hAnsi="Palatino" w:eastAsia="Times New Roman" w:cs="Times New Roman"/>
          <w:szCs w:val="20"/>
        </w:rPr>
        <w:t>ready.</w:t>
      </w:r>
      <w:r w:rsidRPr="00E83798">
        <w:rPr>
          <w:rFonts w:ascii="Palatino" w:hAnsi="Palatino" w:eastAsia="Times New Roman" w:cs="Times New Roman"/>
          <w:i/>
          <w:iCs/>
          <w:color w:val="0915FF"/>
          <w:szCs w:val="20"/>
        </w:rPr>
        <w:t xml:space="preserve"> The list shall be made publicly available on its internet website.</w:t>
      </w:r>
      <w:r w:rsidRPr="00E83798">
        <w:rPr>
          <w:rFonts w:ascii="Palatino" w:hAnsi="Palatino" w:eastAsia="Times New Roman" w:cs="Times New Roman"/>
          <w:szCs w:val="20"/>
        </w:rPr>
        <w:t xml:space="preserve">  If a utility provides such a list, then the new attacher must choose a contractor from the list to perform the work. New and existing attachers may request the addition to the list of any contractor that meets the minimum qualifications in paragraphs (H)(6)(a) through (H(6)(e) of this section and the utility may not unreasonably withhold its consent.</w:t>
      </w:r>
      <w:r w:rsidRPr="003B55CE" w:rsidR="00C31DCB">
        <w:rPr>
          <w:rFonts w:ascii="Palatino" w:hAnsi="Palatino" w:eastAsia="Times New Roman" w:cs="Times New Roman"/>
          <w:i/>
          <w:iCs/>
          <w:color w:val="0915FF"/>
          <w:szCs w:val="20"/>
          <w:highlight w:val="yellow"/>
        </w:rPr>
        <w:t xml:space="preserve"> The utility has a period of </w:t>
      </w:r>
      <w:r w:rsidRPr="006443D5" w:rsidR="00C31DCB">
        <w:rPr>
          <w:rFonts w:ascii="Palatino" w:hAnsi="Palatino" w:eastAsia="Times New Roman" w:cs="Times New Roman"/>
          <w:i/>
          <w:iCs/>
          <w:strike/>
          <w:color w:val="EE0000"/>
          <w:szCs w:val="20"/>
          <w:highlight w:val="green"/>
        </w:rPr>
        <w:t>thirty (30)</w:t>
      </w:r>
      <w:r w:rsidRPr="0022442B" w:rsidR="00C31DCB">
        <w:rPr>
          <w:rFonts w:ascii="Palatino" w:hAnsi="Palatino" w:eastAsia="Times New Roman" w:cs="Times New Roman"/>
          <w:i/>
          <w:iCs/>
          <w:color w:val="0915FF"/>
          <w:szCs w:val="20"/>
          <w:highlight w:val="green"/>
        </w:rPr>
        <w:t>one hundred and twenty (120)</w:t>
      </w:r>
      <w:r w:rsidRPr="003B55CE" w:rsidR="00C31DCB">
        <w:rPr>
          <w:rFonts w:ascii="Palatino" w:hAnsi="Palatino" w:eastAsia="Times New Roman" w:cs="Times New Roman"/>
          <w:i/>
          <w:iCs/>
          <w:color w:val="0915FF"/>
          <w:szCs w:val="20"/>
          <w:highlight w:val="yellow"/>
        </w:rPr>
        <w:t xml:space="preserve"> days for approval of contractors</w:t>
      </w:r>
      <w:r w:rsidR="00C31DCB">
        <w:rPr>
          <w:rFonts w:ascii="Palatino" w:hAnsi="Palatino" w:eastAsia="Times New Roman" w:cs="Times New Roman"/>
          <w:i/>
          <w:iCs/>
          <w:strike/>
          <w:color w:val="EE0000"/>
          <w:szCs w:val="20"/>
          <w:highlight w:val="green"/>
        </w:rPr>
        <w:t xml:space="preserve"> a</w:t>
      </w:r>
      <w:r w:rsidRPr="000056D4" w:rsidR="00C31DCB">
        <w:rPr>
          <w:rFonts w:ascii="Palatino" w:hAnsi="Palatino" w:eastAsia="Times New Roman" w:cs="Times New Roman"/>
          <w:i/>
          <w:iCs/>
          <w:strike/>
          <w:color w:val="EE0000"/>
          <w:szCs w:val="20"/>
          <w:highlight w:val="green"/>
        </w:rPr>
        <w:t>nd an additional fourteen (14) days to complete the contractor onboarding process</w:t>
      </w:r>
      <w:r w:rsidRPr="003B55CE" w:rsidR="00C31DCB">
        <w:rPr>
          <w:rFonts w:ascii="Palatino" w:hAnsi="Palatino" w:eastAsia="Times New Roman" w:cs="Times New Roman"/>
          <w:i/>
          <w:iCs/>
          <w:color w:val="0915FF"/>
          <w:szCs w:val="20"/>
          <w:highlight w:val="yellow"/>
        </w:rPr>
        <w:t>.</w:t>
      </w:r>
    </w:p>
    <w:p w:rsidRPr="00E83798" w:rsidR="00B0789F" w:rsidP="00B0789F" w:rsidRDefault="00B0789F" w14:paraId="1B9A9739" w14:textId="3DA119C1">
      <w:pPr>
        <w:tabs>
          <w:tab w:val="left" w:pos="1080"/>
        </w:tabs>
        <w:spacing w:after="120" w:line="240" w:lineRule="auto"/>
        <w:ind w:left="1440" w:hanging="360"/>
        <w:rPr>
          <w:rFonts w:ascii="Palatino" w:hAnsi="Palatino" w:eastAsia="Times New Roman" w:cs="Times New Roman"/>
          <w:szCs w:val="20"/>
        </w:rPr>
      </w:pPr>
      <w:r w:rsidRPr="00E83798">
        <w:rPr>
          <w:rFonts w:ascii="Palatino" w:hAnsi="Palatino" w:eastAsia="Times New Roman" w:cs="Times New Roman"/>
          <w:szCs w:val="20"/>
        </w:rPr>
        <w:t>a.</w:t>
      </w:r>
      <w:r w:rsidRPr="00E83798">
        <w:rPr>
          <w:rFonts w:ascii="Palatino" w:hAnsi="Palatino" w:eastAsia="Times New Roman" w:cs="Times New Roman"/>
          <w:szCs w:val="20"/>
        </w:rPr>
        <w:tab/>
        <w:t>If the utility does not provide a list of approved contractors for surveys or simple make</w:t>
      </w:r>
      <w:r w:rsidR="00E4753D">
        <w:rPr>
          <w:rFonts w:ascii="Palatino" w:hAnsi="Palatino" w:eastAsia="Times New Roman" w:cs="Times New Roman"/>
          <w:szCs w:val="20"/>
        </w:rPr>
        <w:noBreakHyphen/>
      </w:r>
      <w:r w:rsidRPr="00E83798">
        <w:rPr>
          <w:rFonts w:ascii="Palatino" w:hAnsi="Palatino" w:eastAsia="Times New Roman" w:cs="Times New Roman"/>
          <w:szCs w:val="20"/>
        </w:rPr>
        <w:t>ready or no utility</w:t>
      </w:r>
      <w:r w:rsidR="00E4753D">
        <w:rPr>
          <w:rFonts w:ascii="Palatino" w:hAnsi="Palatino" w:eastAsia="Times New Roman" w:cs="Times New Roman"/>
          <w:szCs w:val="20"/>
        </w:rPr>
        <w:noBreakHyphen/>
      </w:r>
      <w:r w:rsidRPr="00E83798">
        <w:rPr>
          <w:rFonts w:ascii="Palatino" w:hAnsi="Palatino" w:eastAsia="Times New Roman" w:cs="Times New Roman"/>
          <w:szCs w:val="20"/>
        </w:rPr>
        <w:t>approved contractor is available within a reasonable time period, then the new attacher may choose its own qualified contractor that meets the requirements in paragraph (H)(6) of this section. When choosing a contractor that is not on a utility</w:t>
      </w:r>
      <w:r w:rsidR="00E4753D">
        <w:rPr>
          <w:rFonts w:ascii="Palatino" w:hAnsi="Palatino" w:eastAsia="Times New Roman" w:cs="Times New Roman"/>
          <w:szCs w:val="20"/>
        </w:rPr>
        <w:noBreakHyphen/>
      </w:r>
      <w:r w:rsidRPr="00E83798">
        <w:rPr>
          <w:rFonts w:ascii="Palatino" w:hAnsi="Palatino" w:eastAsia="Times New Roman" w:cs="Times New Roman"/>
          <w:szCs w:val="20"/>
        </w:rPr>
        <w:t xml:space="preserve">provided list, the new attacher must certify to the utility that its contractor meets the minimum qualifications described in paragraph (H)(6) of this section when providing notices required </w:t>
      </w:r>
      <w:bookmarkStart w:name="_Hlk65173744" w:id="37"/>
      <w:r w:rsidRPr="00E83798">
        <w:rPr>
          <w:rFonts w:ascii="Palatino" w:hAnsi="Palatino" w:eastAsia="Times New Roman" w:cs="Times New Roman"/>
          <w:szCs w:val="20"/>
        </w:rPr>
        <w:t xml:space="preserve">by paragraphs (E)(1)(b), (E)(2)(a), (F)(3)(a), and (F)(4). </w:t>
      </w:r>
      <w:bookmarkEnd w:id="37"/>
    </w:p>
    <w:p w:rsidRPr="00E83798" w:rsidR="00B0789F" w:rsidP="00B0789F" w:rsidRDefault="00B0789F" w14:paraId="14A835CF" w14:textId="26F22FCA">
      <w:pPr>
        <w:tabs>
          <w:tab w:val="left" w:pos="1080"/>
        </w:tabs>
        <w:spacing w:after="120" w:line="240" w:lineRule="auto"/>
        <w:ind w:left="1440" w:hanging="360"/>
        <w:rPr>
          <w:rFonts w:ascii="Palatino" w:hAnsi="Palatino" w:eastAsia="Times New Roman" w:cs="Times New Roman"/>
          <w:szCs w:val="20"/>
        </w:rPr>
      </w:pPr>
      <w:r w:rsidRPr="00E83798">
        <w:rPr>
          <w:rFonts w:ascii="Palatino" w:hAnsi="Palatino" w:eastAsia="Times New Roman" w:cs="Times New Roman"/>
          <w:szCs w:val="20"/>
        </w:rPr>
        <w:lastRenderedPageBreak/>
        <w:t>b.</w:t>
      </w:r>
      <w:r w:rsidRPr="00E83798">
        <w:rPr>
          <w:rFonts w:ascii="Palatino" w:hAnsi="Palatino" w:eastAsia="Times New Roman" w:cs="Times New Roman"/>
          <w:szCs w:val="20"/>
        </w:rPr>
        <w:tab/>
        <w:t>The utility may disqualify any contractor chosen by the new attacher that is not on a utility</w:t>
      </w:r>
      <w:r w:rsidR="00E4753D">
        <w:rPr>
          <w:rFonts w:ascii="Palatino" w:hAnsi="Palatino" w:eastAsia="Times New Roman" w:cs="Times New Roman"/>
          <w:szCs w:val="20"/>
        </w:rPr>
        <w:noBreakHyphen/>
      </w:r>
      <w:r w:rsidRPr="00E83798">
        <w:rPr>
          <w:rFonts w:ascii="Palatino" w:hAnsi="Palatino" w:eastAsia="Times New Roman" w:cs="Times New Roman"/>
          <w:szCs w:val="20"/>
        </w:rPr>
        <w:t>provided list, but such disqualification must be based on reasonable safety or reliability concerns related to the contractor's failure to meet any of the minimum qualifications described in paragraph (H)(6) of this section or to meet the utility's publicly available and commercially reasonable safety or reliability standards. The utility must provide notice of its contractor objection within the notice periods provided by the new attacher in paragraphs (E)(1)(b), (E)(2)(a), (F)(3)(a), and (F)(4) and in its objection must identify at least one available qualified contractor.</w:t>
      </w:r>
    </w:p>
    <w:p w:rsidRPr="00E83798" w:rsidR="00B0789F" w:rsidP="00B0789F" w:rsidRDefault="00B0789F" w14:paraId="14250059" w14:textId="4DC41976">
      <w:pPr>
        <w:tabs>
          <w:tab w:val="left" w:pos="1080"/>
        </w:tabs>
        <w:spacing w:after="120" w:line="240" w:lineRule="auto"/>
        <w:ind w:left="1080" w:hanging="360"/>
        <w:rPr>
          <w:rFonts w:ascii="Palatino" w:hAnsi="Palatino" w:eastAsia="Times New Roman" w:cs="Times New Roman"/>
          <w:szCs w:val="20"/>
        </w:rPr>
      </w:pPr>
      <w:r w:rsidRPr="00E83798">
        <w:rPr>
          <w:rFonts w:ascii="Palatino" w:hAnsi="Palatino" w:eastAsia="Times New Roman" w:cs="Times New Roman"/>
          <w:szCs w:val="20"/>
        </w:rPr>
        <w:t>6.</w:t>
      </w:r>
      <w:r w:rsidRPr="00E83798">
        <w:rPr>
          <w:rFonts w:ascii="Palatino" w:hAnsi="Palatino" w:eastAsia="Times New Roman" w:cs="Times New Roman"/>
          <w:szCs w:val="20"/>
        </w:rPr>
        <w:tab/>
      </w:r>
      <w:r w:rsidRPr="00E83798">
        <w:rPr>
          <w:rFonts w:ascii="Palatino" w:hAnsi="Palatino" w:eastAsia="Times New Roman" w:cs="Times New Roman"/>
          <w:b/>
          <w:bCs/>
          <w:szCs w:val="20"/>
        </w:rPr>
        <w:t>Contractor minimum qualification requirements. </w:t>
      </w:r>
      <w:r w:rsidRPr="00E83798">
        <w:rPr>
          <w:rFonts w:ascii="Palatino" w:hAnsi="Palatino" w:eastAsia="Times New Roman" w:cs="Times New Roman"/>
          <w:szCs w:val="20"/>
        </w:rPr>
        <w:t>Utilities must ensure that contractors on a utility</w:t>
      </w:r>
      <w:r w:rsidR="00E4753D">
        <w:rPr>
          <w:rFonts w:ascii="Palatino" w:hAnsi="Palatino" w:eastAsia="Times New Roman" w:cs="Times New Roman"/>
          <w:szCs w:val="20"/>
        </w:rPr>
        <w:noBreakHyphen/>
      </w:r>
      <w:r w:rsidRPr="00E83798">
        <w:rPr>
          <w:rFonts w:ascii="Palatino" w:hAnsi="Palatino" w:eastAsia="Times New Roman" w:cs="Times New Roman"/>
          <w:szCs w:val="20"/>
        </w:rPr>
        <w:t>provided list, and new attachers must ensure that contractors they select pursuant to paragraph (H)(5)(a) of this section, meet the following minimum requirements:</w:t>
      </w:r>
    </w:p>
    <w:p w:rsidRPr="00E83798" w:rsidR="00B0789F" w:rsidP="00B0789F" w:rsidRDefault="00B0789F" w14:paraId="6A8B0802" w14:textId="77777777">
      <w:pPr>
        <w:tabs>
          <w:tab w:val="left" w:pos="1080"/>
        </w:tabs>
        <w:spacing w:after="120" w:line="240" w:lineRule="auto"/>
        <w:ind w:left="1440" w:hanging="360"/>
        <w:rPr>
          <w:rFonts w:ascii="Palatino" w:hAnsi="Palatino" w:eastAsia="Times New Roman" w:cs="Times New Roman"/>
          <w:szCs w:val="20"/>
        </w:rPr>
      </w:pPr>
      <w:r w:rsidRPr="00E83798">
        <w:rPr>
          <w:rFonts w:ascii="Palatino" w:hAnsi="Palatino" w:eastAsia="Times New Roman" w:cs="Times New Roman"/>
          <w:szCs w:val="20"/>
        </w:rPr>
        <w:t>a.</w:t>
      </w:r>
      <w:r w:rsidRPr="00E83798">
        <w:rPr>
          <w:rFonts w:ascii="Palatino" w:hAnsi="Palatino" w:eastAsia="Times New Roman" w:cs="Times New Roman"/>
          <w:szCs w:val="20"/>
        </w:rPr>
        <w:tab/>
        <w:t xml:space="preserve">The contractor has agreed to follow published safety and operational guidelines of the utility, </w:t>
      </w:r>
      <w:r w:rsidRPr="00E83798">
        <w:rPr>
          <w:rFonts w:ascii="Palatino" w:hAnsi="Palatino" w:eastAsia="Times New Roman" w:cs="Times New Roman"/>
          <w:strike/>
          <w:color w:val="FF0000"/>
          <w:szCs w:val="20"/>
        </w:rPr>
        <w:t>if available, but if unavailable,</w:t>
      </w:r>
      <w:r w:rsidRPr="00E83798">
        <w:rPr>
          <w:rFonts w:ascii="Palatino" w:hAnsi="Palatino" w:eastAsia="Times New Roman" w:cs="Times New Roman"/>
          <w:szCs w:val="20"/>
        </w:rPr>
        <w:t xml:space="preserve"> </w:t>
      </w:r>
      <w:r w:rsidRPr="00E83798">
        <w:rPr>
          <w:rFonts w:ascii="Palatino" w:hAnsi="Palatino" w:eastAsia="Times New Roman" w:cs="Times New Roman"/>
          <w:i/>
          <w:iCs/>
          <w:color w:val="0915FF"/>
          <w:szCs w:val="20"/>
        </w:rPr>
        <w:t xml:space="preserve">and </w:t>
      </w:r>
      <w:r w:rsidRPr="00E83798">
        <w:rPr>
          <w:rFonts w:ascii="Palatino" w:hAnsi="Palatino" w:eastAsia="Times New Roman" w:cs="Times New Roman"/>
          <w:szCs w:val="20"/>
        </w:rPr>
        <w:t>the contractor shall agree to follow Public Utilities Commission</w:t>
      </w:r>
      <w:r w:rsidRPr="00E83798">
        <w:rPr>
          <w:rFonts w:ascii="Palatino" w:hAnsi="Palatino" w:eastAsia="Times New Roman" w:cs="Times New Roman"/>
          <w:i/>
          <w:iCs/>
          <w:color w:val="0915FF"/>
          <w:szCs w:val="20"/>
        </w:rPr>
        <w:t>’</w:t>
      </w:r>
      <w:r w:rsidRPr="00E83798">
        <w:rPr>
          <w:rFonts w:ascii="Palatino" w:hAnsi="Palatino" w:eastAsia="Times New Roman" w:cs="Times New Roman"/>
          <w:szCs w:val="20"/>
        </w:rPr>
        <w:t>s General Order 95 guidelines;</w:t>
      </w:r>
    </w:p>
    <w:p w:rsidRPr="00E83798" w:rsidR="00B0789F" w:rsidP="00B0789F" w:rsidRDefault="00B0789F" w14:paraId="72BF1EF9" w14:textId="2A03F3AD">
      <w:pPr>
        <w:tabs>
          <w:tab w:val="left" w:pos="1080"/>
        </w:tabs>
        <w:spacing w:after="120" w:line="240" w:lineRule="auto"/>
        <w:ind w:left="1440" w:hanging="360"/>
        <w:rPr>
          <w:rFonts w:ascii="Palatino" w:hAnsi="Palatino" w:eastAsia="Times New Roman" w:cs="Times New Roman"/>
          <w:szCs w:val="20"/>
        </w:rPr>
      </w:pPr>
      <w:r w:rsidRPr="00E83798">
        <w:rPr>
          <w:rFonts w:ascii="Palatino" w:hAnsi="Palatino" w:eastAsia="Times New Roman" w:cs="Times New Roman"/>
          <w:szCs w:val="20"/>
        </w:rPr>
        <w:t>b.</w:t>
      </w:r>
      <w:r w:rsidRPr="00E83798">
        <w:rPr>
          <w:rFonts w:ascii="Palatino" w:hAnsi="Palatino" w:eastAsia="Times New Roman" w:cs="Times New Roman"/>
          <w:szCs w:val="20"/>
        </w:rPr>
        <w:tab/>
        <w:t>The contractor has acknowledged that it knows how to read and follow licensed</w:t>
      </w:r>
      <w:r w:rsidR="00E4753D">
        <w:rPr>
          <w:rFonts w:ascii="Palatino" w:hAnsi="Palatino" w:eastAsia="Times New Roman" w:cs="Times New Roman"/>
          <w:szCs w:val="20"/>
        </w:rPr>
        <w:noBreakHyphen/>
      </w:r>
      <w:r w:rsidRPr="00E83798">
        <w:rPr>
          <w:rFonts w:ascii="Palatino" w:hAnsi="Palatino" w:eastAsia="Times New Roman" w:cs="Times New Roman"/>
          <w:szCs w:val="20"/>
        </w:rPr>
        <w:t>engineered pole designs for make</w:t>
      </w:r>
      <w:r w:rsidR="00E4753D">
        <w:rPr>
          <w:rFonts w:ascii="Palatino" w:hAnsi="Palatino" w:eastAsia="Times New Roman" w:cs="Times New Roman"/>
          <w:szCs w:val="20"/>
        </w:rPr>
        <w:noBreakHyphen/>
      </w:r>
      <w:r w:rsidRPr="00E83798">
        <w:rPr>
          <w:rFonts w:ascii="Palatino" w:hAnsi="Palatino" w:eastAsia="Times New Roman" w:cs="Times New Roman"/>
          <w:szCs w:val="20"/>
        </w:rPr>
        <w:t>ready, if required by the utility;</w:t>
      </w:r>
    </w:p>
    <w:p w:rsidRPr="00E83798" w:rsidR="00B0789F" w:rsidP="00B0789F" w:rsidRDefault="00B0789F" w14:paraId="29142607" w14:textId="77777777">
      <w:pPr>
        <w:tabs>
          <w:tab w:val="left" w:pos="1080"/>
        </w:tabs>
        <w:spacing w:after="120" w:line="240" w:lineRule="auto"/>
        <w:ind w:left="1440" w:hanging="360"/>
        <w:rPr>
          <w:rFonts w:ascii="Palatino" w:hAnsi="Palatino" w:eastAsia="Times New Roman" w:cs="Times New Roman"/>
          <w:szCs w:val="20"/>
        </w:rPr>
      </w:pPr>
      <w:r w:rsidRPr="00E83798">
        <w:rPr>
          <w:rFonts w:ascii="Palatino" w:hAnsi="Palatino" w:eastAsia="Times New Roman" w:cs="Times New Roman"/>
          <w:szCs w:val="20"/>
        </w:rPr>
        <w:t>c.</w:t>
      </w:r>
      <w:r w:rsidRPr="00E83798">
        <w:rPr>
          <w:rFonts w:ascii="Palatino" w:hAnsi="Palatino" w:eastAsia="Times New Roman" w:cs="Times New Roman"/>
          <w:szCs w:val="20"/>
        </w:rPr>
        <w:tab/>
        <w:t xml:space="preserve">The contractor has agreed to follow all local, state, and federal laws and regulations including, but not limited to, the rules regarding Qualified and Competent Persons under the requirements of the Occupational and Safety Health Administration (OSHA) rules </w:t>
      </w:r>
      <w:r w:rsidRPr="00E83798">
        <w:rPr>
          <w:rFonts w:ascii="Palatino" w:hAnsi="Palatino" w:eastAsia="Times New Roman" w:cs="Times New Roman"/>
          <w:i/>
          <w:iCs/>
          <w:color w:val="0915FF"/>
          <w:szCs w:val="20"/>
        </w:rPr>
        <w:t>and its relevant staff are in compliance with all relevant Occupational and Safety Health Administration training and rules;</w:t>
      </w:r>
    </w:p>
    <w:p w:rsidRPr="00E83798" w:rsidR="00B0789F" w:rsidP="00B0789F" w:rsidRDefault="00B0789F" w14:paraId="05039FDB" w14:textId="77777777">
      <w:pPr>
        <w:tabs>
          <w:tab w:val="left" w:pos="1080"/>
        </w:tabs>
        <w:spacing w:after="240" w:line="240" w:lineRule="auto"/>
        <w:ind w:left="1440" w:hanging="360"/>
        <w:rPr>
          <w:rFonts w:ascii="Palatino" w:hAnsi="Palatino" w:eastAsia="Times New Roman" w:cs="Times New Roman"/>
          <w:szCs w:val="20"/>
        </w:rPr>
      </w:pPr>
      <w:r w:rsidRPr="00E83798">
        <w:rPr>
          <w:rFonts w:ascii="Palatino" w:hAnsi="Palatino" w:eastAsia="Times New Roman" w:cs="Times New Roman"/>
          <w:szCs w:val="20"/>
        </w:rPr>
        <w:t>d.</w:t>
      </w:r>
      <w:r w:rsidRPr="00E83798">
        <w:rPr>
          <w:rFonts w:ascii="Palatino" w:hAnsi="Palatino" w:eastAsia="Times New Roman" w:cs="Times New Roman"/>
          <w:szCs w:val="20"/>
        </w:rPr>
        <w:tab/>
        <w:t>The contractor has agreed to meet or exceed any uniformly applied and reasonable safety and reliability thresholds set by the utility</w:t>
      </w:r>
      <w:r w:rsidRPr="00E83798">
        <w:rPr>
          <w:rFonts w:ascii="Palatino" w:hAnsi="Palatino" w:eastAsia="Times New Roman" w:cs="Times New Roman"/>
          <w:strike/>
          <w:color w:val="FF0000"/>
          <w:szCs w:val="20"/>
        </w:rPr>
        <w:t>, if made available</w:t>
      </w:r>
      <w:r w:rsidRPr="00E83798">
        <w:rPr>
          <w:rFonts w:ascii="Palatino" w:hAnsi="Palatino" w:eastAsia="Times New Roman" w:cs="Times New Roman"/>
          <w:szCs w:val="20"/>
        </w:rPr>
        <w:t>; and</w:t>
      </w:r>
    </w:p>
    <w:p w:rsidRPr="00E83798" w:rsidR="00B0789F" w:rsidP="00B0789F" w:rsidRDefault="00B0789F" w14:paraId="771848B5" w14:textId="6DF6CC8C">
      <w:pPr>
        <w:tabs>
          <w:tab w:val="left" w:pos="1080"/>
        </w:tabs>
        <w:spacing w:after="120" w:line="240" w:lineRule="auto"/>
        <w:ind w:left="1440" w:hanging="360"/>
        <w:rPr>
          <w:rFonts w:ascii="Palatino" w:hAnsi="Palatino" w:eastAsia="Times New Roman" w:cs="Times New Roman"/>
          <w:szCs w:val="20"/>
        </w:rPr>
      </w:pPr>
      <w:r w:rsidRPr="00E83798">
        <w:t>e.</w:t>
      </w:r>
      <w:r w:rsidRPr="00E83798">
        <w:rPr>
          <w:rFonts w:ascii="Palatino" w:hAnsi="Palatino" w:eastAsia="Times New Roman" w:cs="Times New Roman"/>
          <w:i/>
          <w:iCs/>
          <w:color w:val="0915FF"/>
          <w:szCs w:val="20"/>
        </w:rPr>
        <w:tab/>
      </w:r>
      <w:r w:rsidRPr="00E83798">
        <w:rPr>
          <w:rFonts w:ascii="Palatino" w:hAnsi="Palatino" w:eastAsia="Times New Roman" w:cs="Times New Roman"/>
          <w:szCs w:val="20"/>
        </w:rPr>
        <w:t>The contractor is adequately insured or will establish an adequate performance bond for the make</w:t>
      </w:r>
      <w:r w:rsidR="00E4753D">
        <w:rPr>
          <w:rFonts w:ascii="Palatino" w:hAnsi="Palatino" w:eastAsia="Times New Roman" w:cs="Times New Roman"/>
          <w:szCs w:val="20"/>
        </w:rPr>
        <w:noBreakHyphen/>
      </w:r>
      <w:r w:rsidRPr="00E83798">
        <w:rPr>
          <w:rFonts w:ascii="Palatino" w:hAnsi="Palatino" w:eastAsia="Times New Roman" w:cs="Times New Roman"/>
          <w:szCs w:val="20"/>
        </w:rPr>
        <w:t>ready it will perform, including work it will perform on facilities owned by existing attachers.</w:t>
      </w:r>
    </w:p>
    <w:p w:rsidRPr="00E83798" w:rsidR="00B0789F" w:rsidP="00B0789F" w:rsidRDefault="00B0789F" w14:paraId="79AA31C6" w14:textId="77777777">
      <w:pPr>
        <w:tabs>
          <w:tab w:val="left" w:pos="1080"/>
        </w:tabs>
        <w:spacing w:after="120" w:line="240" w:lineRule="auto"/>
        <w:ind w:left="1080" w:hanging="360"/>
        <w:rPr>
          <w:rFonts w:ascii="Palatino" w:hAnsi="Palatino" w:eastAsia="Times New Roman" w:cs="Times New Roman"/>
          <w:szCs w:val="20"/>
        </w:rPr>
      </w:pPr>
      <w:r w:rsidRPr="00E83798">
        <w:rPr>
          <w:rFonts w:ascii="Palatino" w:hAnsi="Palatino" w:eastAsia="Times New Roman" w:cs="Times New Roman"/>
          <w:szCs w:val="20"/>
        </w:rPr>
        <w:lastRenderedPageBreak/>
        <w:t>7.</w:t>
      </w:r>
      <w:r w:rsidRPr="00E83798">
        <w:rPr>
          <w:rFonts w:ascii="Palatino" w:hAnsi="Palatino" w:eastAsia="Times New Roman" w:cs="Times New Roman"/>
          <w:szCs w:val="20"/>
        </w:rPr>
        <w:tab/>
        <w:t>The consulting representative of a</w:t>
      </w:r>
      <w:r w:rsidRPr="00E83798">
        <w:rPr>
          <w:rFonts w:ascii="Palatino" w:hAnsi="Palatino" w:eastAsia="Times New Roman" w:cs="Times New Roman"/>
          <w:strike/>
          <w:color w:val="FF0000"/>
          <w:szCs w:val="20"/>
        </w:rPr>
        <w:t>n electric</w:t>
      </w:r>
      <w:r w:rsidRPr="00E83798">
        <w:rPr>
          <w:rFonts w:ascii="Palatino" w:hAnsi="Palatino" w:eastAsia="Times New Roman" w:cs="Times New Roman"/>
          <w:szCs w:val="20"/>
        </w:rPr>
        <w:t> utility may make final determinations, on a nondiscriminatory basis, where there is insufficient capacity and for reasons of safety, reliability, and generally applicable engineering purposes.</w:t>
      </w:r>
      <w:bookmarkEnd w:id="36"/>
    </w:p>
    <w:p w:rsidRPr="00E83798" w:rsidR="00B0789F" w:rsidP="00B0789F" w:rsidRDefault="00B0789F" w14:paraId="11447A09" w14:textId="77777777">
      <w:pPr>
        <w:tabs>
          <w:tab w:val="left" w:pos="1080"/>
        </w:tabs>
        <w:spacing w:after="120" w:line="240" w:lineRule="auto"/>
        <w:ind w:left="1440" w:hanging="360"/>
        <w:rPr>
          <w:rFonts w:ascii="Palatino" w:hAnsi="Palatino" w:eastAsia="Times New Roman" w:cs="Times New Roman"/>
          <w:szCs w:val="20"/>
        </w:rPr>
      </w:pPr>
      <w:r w:rsidRPr="00E83798">
        <w:rPr>
          <w:rFonts w:ascii="Palatino" w:hAnsi="Palatino" w:eastAsia="Times New Roman" w:cs="Times New Roman"/>
          <w:szCs w:val="20"/>
        </w:rPr>
        <w:tab/>
        <w:t>a. If the consultant denies the pole attachment, then the decision shall be specific, shall include all relevant evidence and information supporting its decision, and shall explain how such evidence and information relate to a denial of access for reasons of lack of capacity, safety, reliability, or engineering standards.</w:t>
      </w:r>
    </w:p>
    <w:p w:rsidRPr="00E83798" w:rsidR="00B0789F" w:rsidP="00B0789F" w:rsidRDefault="00B0789F" w14:paraId="0B0A5D8D" w14:textId="77777777">
      <w:pPr>
        <w:tabs>
          <w:tab w:val="left" w:pos="1080"/>
        </w:tabs>
        <w:spacing w:after="120" w:line="240" w:lineRule="auto"/>
        <w:ind w:left="1080" w:hanging="360"/>
        <w:rPr>
          <w:rFonts w:ascii="Palatino" w:hAnsi="Palatino" w:eastAsia="Times New Roman" w:cs="Times New Roman"/>
          <w:i/>
          <w:iCs/>
          <w:color w:val="0915FF"/>
          <w:szCs w:val="20"/>
        </w:rPr>
      </w:pPr>
      <w:r w:rsidRPr="00E83798">
        <w:rPr>
          <w:rFonts w:ascii="Palatino" w:hAnsi="Palatino" w:eastAsia="Times New Roman" w:cs="Times New Roman"/>
          <w:i/>
          <w:iCs/>
          <w:color w:val="0915FF"/>
          <w:szCs w:val="20"/>
        </w:rPr>
        <w:t>8.</w:t>
      </w:r>
      <w:r w:rsidRPr="00E83798">
        <w:rPr>
          <w:rFonts w:ascii="Palatino" w:hAnsi="Palatino" w:eastAsia="Times New Roman" w:cs="Times New Roman"/>
          <w:i/>
          <w:iCs/>
          <w:color w:val="0915FF"/>
          <w:szCs w:val="20"/>
        </w:rPr>
        <w:tab/>
        <w:t xml:space="preserve">Any work occurring above the communications space must be performed by a Qualified Electrical Worker, consistent with </w:t>
      </w:r>
      <w:proofErr w:type="spellStart"/>
      <w:r w:rsidRPr="00E83798">
        <w:rPr>
          <w:rFonts w:ascii="Palatino" w:hAnsi="Palatino" w:eastAsia="Times New Roman" w:cs="Times New Roman"/>
          <w:i/>
          <w:iCs/>
          <w:color w:val="0915FF"/>
          <w:szCs w:val="20"/>
        </w:rPr>
        <w:t>CalOSHA</w:t>
      </w:r>
      <w:proofErr w:type="spellEnd"/>
      <w:r w:rsidRPr="00E83798">
        <w:rPr>
          <w:rFonts w:ascii="Palatino" w:hAnsi="Palatino" w:eastAsia="Times New Roman" w:cs="Times New Roman"/>
          <w:i/>
          <w:iCs/>
          <w:color w:val="0915FF"/>
          <w:szCs w:val="20"/>
        </w:rPr>
        <w:t xml:space="preserve"> Title 8, Subchapter 5, §2700.</w:t>
      </w:r>
    </w:p>
    <w:p w:rsidR="00404BCE" w:rsidP="00ED36CC" w:rsidRDefault="00846772" w14:paraId="4B879FAA" w14:textId="200C9F20">
      <w:pPr>
        <w:pStyle w:val="Standard"/>
      </w:pPr>
      <w:r>
        <w:t>In making the above edits, we</w:t>
      </w:r>
      <w:r w:rsidR="00B37B8B">
        <w:t xml:space="preserve"> require that </w:t>
      </w:r>
      <w:r w:rsidR="00F87323">
        <w:t xml:space="preserve">the </w:t>
      </w:r>
      <w:r w:rsidR="00FF470C">
        <w:t>‘</w:t>
      </w:r>
      <w:r w:rsidR="00B37B8B">
        <w:t>relevant staff</w:t>
      </w:r>
      <w:r w:rsidR="00FF470C">
        <w:t>,’ as indicated above,</w:t>
      </w:r>
      <w:r w:rsidR="00B37B8B">
        <w:t xml:space="preserve"> must be in compliance with the applicable </w:t>
      </w:r>
      <w:r w:rsidR="001E3842">
        <w:t>OSHA</w:t>
      </w:r>
      <w:r w:rsidR="00B37B8B">
        <w:t xml:space="preserve"> training and rules. </w:t>
      </w:r>
      <w:r w:rsidR="00F87323">
        <w:t>Further, any work occurring above the communications space must be performed by a Qualified Electrical Worker, consistent with</w:t>
      </w:r>
      <w:r w:rsidR="009D2502">
        <w:t xml:space="preserve"> </w:t>
      </w:r>
      <w:proofErr w:type="spellStart"/>
      <w:r w:rsidR="008129A1">
        <w:t>CalOSHA</w:t>
      </w:r>
      <w:proofErr w:type="spellEnd"/>
      <w:r w:rsidR="009D2502">
        <w:t xml:space="preserve"> </w:t>
      </w:r>
      <w:r w:rsidR="00997A41">
        <w:t>Title</w:t>
      </w:r>
      <w:r w:rsidR="0051059D">
        <w:t> </w:t>
      </w:r>
      <w:r w:rsidR="009D2502">
        <w:t>8, Sub</w:t>
      </w:r>
      <w:r w:rsidR="0077222F">
        <w:t>chapter</w:t>
      </w:r>
      <w:r w:rsidR="0051059D">
        <w:t> </w:t>
      </w:r>
      <w:r w:rsidR="009D2502">
        <w:t xml:space="preserve">5, </w:t>
      </w:r>
      <w:r w:rsidR="00B64DFB">
        <w:t>Section</w:t>
      </w:r>
      <w:r w:rsidR="0051059D">
        <w:t> </w:t>
      </w:r>
      <w:r w:rsidR="009D2502">
        <w:t>2700.</w:t>
      </w:r>
    </w:p>
    <w:p w:rsidR="00E26F1D" w:rsidP="00ED36CC" w:rsidRDefault="0048361F" w14:paraId="7FAB9FFE" w14:textId="123C66E9">
      <w:pPr>
        <w:pStyle w:val="Standard"/>
        <w:rPr>
          <w:szCs w:val="26"/>
        </w:rPr>
      </w:pPr>
      <w:r>
        <w:rPr>
          <w:szCs w:val="26"/>
        </w:rPr>
        <w:t>Next, we will require</w:t>
      </w:r>
      <w:r w:rsidR="006F0B95">
        <w:rPr>
          <w:szCs w:val="26"/>
        </w:rPr>
        <w:t xml:space="preserve"> the </w:t>
      </w:r>
      <w:r w:rsidRPr="0048361F" w:rsidR="006A0FBB">
        <w:rPr>
          <w:szCs w:val="26"/>
        </w:rPr>
        <w:t xml:space="preserve">public posting </w:t>
      </w:r>
      <w:r w:rsidR="006F0B95">
        <w:rPr>
          <w:szCs w:val="26"/>
        </w:rPr>
        <w:t xml:space="preserve">of the </w:t>
      </w:r>
      <w:r w:rsidRPr="0048361F" w:rsidR="006A0FBB">
        <w:rPr>
          <w:szCs w:val="26"/>
        </w:rPr>
        <w:t>list of approved contractors.</w:t>
      </w:r>
      <w:r w:rsidR="00007BBA">
        <w:rPr>
          <w:szCs w:val="26"/>
        </w:rPr>
        <w:t xml:space="preserve"> But we decline to adopt a precise numerical minimum as the </w:t>
      </w:r>
      <w:r w:rsidR="00B10ED0">
        <w:rPr>
          <w:szCs w:val="26"/>
        </w:rPr>
        <w:t>number of approved contracts could fluctuate</w:t>
      </w:r>
      <w:r w:rsidR="00F830C5">
        <w:rPr>
          <w:szCs w:val="26"/>
        </w:rPr>
        <w:t xml:space="preserve"> </w:t>
      </w:r>
      <w:r w:rsidR="006B51AF">
        <w:rPr>
          <w:szCs w:val="26"/>
        </w:rPr>
        <w:t>due to</w:t>
      </w:r>
      <w:r w:rsidR="00F830C5">
        <w:rPr>
          <w:szCs w:val="26"/>
        </w:rPr>
        <w:t xml:space="preserve"> factual or other circumstances that could </w:t>
      </w:r>
      <w:r w:rsidR="002440E0">
        <w:rPr>
          <w:szCs w:val="26"/>
        </w:rPr>
        <w:t>affect</w:t>
      </w:r>
      <w:r w:rsidR="00CB5B76">
        <w:rPr>
          <w:szCs w:val="26"/>
        </w:rPr>
        <w:t xml:space="preserve"> </w:t>
      </w:r>
      <w:r w:rsidR="00F830C5">
        <w:rPr>
          <w:szCs w:val="26"/>
        </w:rPr>
        <w:t xml:space="preserve">the number of available </w:t>
      </w:r>
      <w:r w:rsidR="00CB5B76">
        <w:rPr>
          <w:szCs w:val="26"/>
        </w:rPr>
        <w:t xml:space="preserve">contractors for each of the </w:t>
      </w:r>
      <w:r w:rsidR="00EA3C1B">
        <w:rPr>
          <w:szCs w:val="26"/>
        </w:rPr>
        <w:t>incumbent utilities</w:t>
      </w:r>
      <w:r w:rsidR="00CB5B76">
        <w:rPr>
          <w:szCs w:val="26"/>
        </w:rPr>
        <w:t>.</w:t>
      </w:r>
      <w:r w:rsidR="00BE74D5">
        <w:rPr>
          <w:szCs w:val="26"/>
        </w:rPr>
        <w:t xml:space="preserve"> Instead, we will expect each of the </w:t>
      </w:r>
      <w:r w:rsidR="00EA3C1B">
        <w:rPr>
          <w:szCs w:val="26"/>
        </w:rPr>
        <w:t>incumbent utilities</w:t>
      </w:r>
      <w:r w:rsidR="00BE74D5">
        <w:rPr>
          <w:szCs w:val="26"/>
        </w:rPr>
        <w:t xml:space="preserve"> to maintain a</w:t>
      </w:r>
      <w:r w:rsidR="009E53C8">
        <w:rPr>
          <w:szCs w:val="26"/>
        </w:rPr>
        <w:t>nd update</w:t>
      </w:r>
      <w:r w:rsidR="00D5142B">
        <w:rPr>
          <w:szCs w:val="26"/>
        </w:rPr>
        <w:t>,</w:t>
      </w:r>
      <w:r w:rsidR="009E53C8">
        <w:rPr>
          <w:szCs w:val="26"/>
        </w:rPr>
        <w:t xml:space="preserve"> as needed</w:t>
      </w:r>
      <w:r w:rsidR="00D5142B">
        <w:rPr>
          <w:szCs w:val="26"/>
        </w:rPr>
        <w:t>,</w:t>
      </w:r>
      <w:r w:rsidR="009E53C8">
        <w:rPr>
          <w:szCs w:val="26"/>
        </w:rPr>
        <w:t xml:space="preserve"> their current and </w:t>
      </w:r>
      <w:r w:rsidR="00BE74D5">
        <w:rPr>
          <w:szCs w:val="26"/>
        </w:rPr>
        <w:t>comp</w:t>
      </w:r>
      <w:r w:rsidR="009E53C8">
        <w:rPr>
          <w:szCs w:val="26"/>
        </w:rPr>
        <w:t>rehensive</w:t>
      </w:r>
      <w:r w:rsidR="00D5142B">
        <w:rPr>
          <w:szCs w:val="26"/>
        </w:rPr>
        <w:t xml:space="preserve"> list of approved contractors.</w:t>
      </w:r>
    </w:p>
    <w:p w:rsidR="007C384B" w:rsidP="00ED36CC" w:rsidRDefault="008F4E21" w14:paraId="3C3AFB33" w14:textId="4A6B4FB5">
      <w:pPr>
        <w:pStyle w:val="Heading2"/>
        <w:keepLines w:val="0"/>
      </w:pPr>
      <w:bookmarkStart w:name="_Toc229726754" w:id="38"/>
      <w:r>
        <w:t>Documentation of Construction Standards</w:t>
      </w:r>
      <w:r w:rsidR="00672163">
        <w:br/>
      </w:r>
      <w:r>
        <w:t xml:space="preserve">in Addition to the Rules Specified in </w:t>
      </w:r>
      <w:r w:rsidR="00AB1997">
        <w:t>Commission General Orders</w:t>
      </w:r>
      <w:bookmarkEnd w:id="38"/>
    </w:p>
    <w:p w:rsidR="007C62A1" w:rsidP="00ED36CC" w:rsidRDefault="001F0F9A" w14:paraId="0466738D" w14:textId="768B615D">
      <w:pPr>
        <w:pStyle w:val="Heading3"/>
        <w:keepLines w:val="0"/>
      </w:pPr>
      <w:bookmarkStart w:name="_Toc229726755" w:id="39"/>
      <w:r>
        <w:t xml:space="preserve">ROW </w:t>
      </w:r>
      <w:r w:rsidR="007C62A1">
        <w:t>Ruling Background</w:t>
      </w:r>
      <w:r w:rsidR="00672163">
        <w:br/>
      </w:r>
      <w:r w:rsidR="007C62A1">
        <w:t>and Staff Proposal</w:t>
      </w:r>
      <w:bookmarkEnd w:id="39"/>
    </w:p>
    <w:p w:rsidR="00E26F1D" w:rsidP="00ED36CC" w:rsidRDefault="005E6E5B" w14:paraId="252E957C" w14:textId="7C2B0CB0">
      <w:pPr>
        <w:pStyle w:val="Standard"/>
        <w:rPr>
          <w:szCs w:val="26"/>
        </w:rPr>
      </w:pPr>
      <w:r w:rsidRPr="007D08A2">
        <w:rPr>
          <w:szCs w:val="26"/>
        </w:rPr>
        <w:t xml:space="preserve">The </w:t>
      </w:r>
      <w:r>
        <w:rPr>
          <w:szCs w:val="26"/>
        </w:rPr>
        <w:t>S</w:t>
      </w:r>
      <w:r w:rsidRPr="007D08A2">
        <w:rPr>
          <w:szCs w:val="26"/>
        </w:rPr>
        <w:t xml:space="preserve">taff </w:t>
      </w:r>
      <w:r>
        <w:rPr>
          <w:szCs w:val="26"/>
        </w:rPr>
        <w:t>P</w:t>
      </w:r>
      <w:r w:rsidRPr="007D08A2">
        <w:rPr>
          <w:szCs w:val="26"/>
        </w:rPr>
        <w:t xml:space="preserve">roposal includes revisions to the </w:t>
      </w:r>
      <w:r w:rsidR="00835EAD">
        <w:rPr>
          <w:szCs w:val="26"/>
        </w:rPr>
        <w:t>ROW Rules</w:t>
      </w:r>
      <w:r w:rsidRPr="007D08A2">
        <w:rPr>
          <w:szCs w:val="26"/>
        </w:rPr>
        <w:t xml:space="preserve"> that require all incumbent utility internal design, construction and maintenance standards that </w:t>
      </w:r>
      <w:r w:rsidRPr="007D08A2">
        <w:rPr>
          <w:szCs w:val="26"/>
        </w:rPr>
        <w:lastRenderedPageBreak/>
        <w:t>diverge from the Commission</w:t>
      </w:r>
      <w:r w:rsidR="00410529">
        <w:rPr>
          <w:szCs w:val="26"/>
        </w:rPr>
        <w:t>’</w:t>
      </w:r>
      <w:r w:rsidRPr="007D08A2">
        <w:rPr>
          <w:szCs w:val="26"/>
        </w:rPr>
        <w:t xml:space="preserve">s </w:t>
      </w:r>
      <w:r w:rsidR="00350C6F">
        <w:rPr>
          <w:szCs w:val="26"/>
        </w:rPr>
        <w:t>GOs</w:t>
      </w:r>
      <w:r w:rsidRPr="007D08A2">
        <w:rPr>
          <w:szCs w:val="26"/>
        </w:rPr>
        <w:t xml:space="preserve"> to be made publicly available. The proposal additionally requires incumbent utilities to notify attachers of any proposed changes to these standards.</w:t>
      </w:r>
    </w:p>
    <w:p w:rsidRPr="007D08A2" w:rsidR="00350C6F" w:rsidP="00350C6F" w:rsidRDefault="00350C6F" w14:paraId="4A221ACD" w14:textId="2DAC1C33">
      <w:pPr>
        <w:pStyle w:val="Standard"/>
        <w:rPr>
          <w:b/>
          <w:bCs/>
          <w:szCs w:val="26"/>
        </w:rPr>
      </w:pPr>
      <w:r w:rsidRPr="007D08A2">
        <w:rPr>
          <w:szCs w:val="26"/>
        </w:rPr>
        <w:t xml:space="preserve">The </w:t>
      </w:r>
      <w:r w:rsidRPr="00005C91" w:rsidR="000D1B7F">
        <w:rPr>
          <w:i/>
          <w:iCs/>
          <w:szCs w:val="26"/>
        </w:rPr>
        <w:t>ROW Ruling</w:t>
      </w:r>
      <w:r w:rsidRPr="007D08A2">
        <w:rPr>
          <w:szCs w:val="26"/>
        </w:rPr>
        <w:t xml:space="preserve"> asked for </w:t>
      </w:r>
      <w:r w:rsidRPr="007D08A2" w:rsidR="00170211">
        <w:rPr>
          <w:szCs w:val="26"/>
        </w:rPr>
        <w:t>comments</w:t>
      </w:r>
      <w:r w:rsidRPr="007D08A2">
        <w:rPr>
          <w:szCs w:val="26"/>
        </w:rPr>
        <w:t xml:space="preserve"> on the pole owners</w:t>
      </w:r>
      <w:r>
        <w:rPr>
          <w:szCs w:val="26"/>
        </w:rPr>
        <w:t>’</w:t>
      </w:r>
      <w:r w:rsidRPr="007D08A2">
        <w:rPr>
          <w:szCs w:val="26"/>
        </w:rPr>
        <w:t xml:space="preserve"> ability to adopt standards that are in addition to</w:t>
      </w:r>
      <w:r>
        <w:rPr>
          <w:szCs w:val="26"/>
        </w:rPr>
        <w:t>,</w:t>
      </w:r>
      <w:r w:rsidRPr="007D08A2">
        <w:rPr>
          <w:szCs w:val="26"/>
        </w:rPr>
        <w:t xml:space="preserve"> and further the objectives of the requirements of</w:t>
      </w:r>
      <w:r>
        <w:rPr>
          <w:szCs w:val="26"/>
        </w:rPr>
        <w:t>,</w:t>
      </w:r>
      <w:r w:rsidRPr="007D08A2">
        <w:rPr>
          <w:szCs w:val="26"/>
        </w:rPr>
        <w:t xml:space="preserve"> the Commission</w:t>
      </w:r>
      <w:r>
        <w:rPr>
          <w:szCs w:val="26"/>
        </w:rPr>
        <w:t>’</w:t>
      </w:r>
      <w:r w:rsidRPr="007D08A2">
        <w:rPr>
          <w:szCs w:val="26"/>
        </w:rPr>
        <w:t xml:space="preserve">s </w:t>
      </w:r>
      <w:r>
        <w:rPr>
          <w:szCs w:val="26"/>
        </w:rPr>
        <w:t>GOs</w:t>
      </w:r>
      <w:r w:rsidRPr="007D08A2">
        <w:rPr>
          <w:szCs w:val="26"/>
        </w:rPr>
        <w:t>, where these additional standards are documented, and whether these standards are sufficiently transparent for the public and attachers. A</w:t>
      </w:r>
      <w:r w:rsidR="000D1B7F">
        <w:rPr>
          <w:szCs w:val="26"/>
        </w:rPr>
        <w:t>s discussed below, a</w:t>
      </w:r>
      <w:r w:rsidRPr="007D08A2">
        <w:rPr>
          <w:szCs w:val="26"/>
        </w:rPr>
        <w:t>ttachers suggest these standards are not sufficiently transparent, and dispute whether pole owners should be permitted to adopt such standards.</w:t>
      </w:r>
    </w:p>
    <w:p w:rsidRPr="007C62A1" w:rsidR="007C62A1" w:rsidP="00ED36CC" w:rsidRDefault="001F0F9A" w14:paraId="62AF00A1" w14:textId="5FEF5E76">
      <w:pPr>
        <w:pStyle w:val="Heading3"/>
        <w:keepLines w:val="0"/>
      </w:pPr>
      <w:bookmarkStart w:name="_Toc229726756" w:id="40"/>
      <w:r>
        <w:t xml:space="preserve">ROW </w:t>
      </w:r>
      <w:r w:rsidR="00116A25">
        <w:t>Ruling Questions</w:t>
      </w:r>
      <w:r w:rsidR="00672163">
        <w:br/>
      </w:r>
      <w:r w:rsidR="00116A25">
        <w:t>and Party Comments</w:t>
      </w:r>
      <w:bookmarkEnd w:id="40"/>
    </w:p>
    <w:p w:rsidR="00BF0394" w:rsidP="00ED4B15" w:rsidRDefault="00AB62CF" w14:paraId="39FB95EE" w14:textId="7C2C4E5C">
      <w:pPr>
        <w:pStyle w:val="Heading4"/>
      </w:pPr>
      <w:r>
        <w:t>Is the Staff Proposal</w:t>
      </w:r>
      <w:r w:rsidR="00B03B88">
        <w:t xml:space="preserve"> (for utilities to make publicly available all internal design, construction</w:t>
      </w:r>
      <w:r w:rsidR="00713FCB">
        <w:t xml:space="preserve"> </w:t>
      </w:r>
      <w:r w:rsidR="00B03B88">
        <w:t>and maintenance standards that dive</w:t>
      </w:r>
      <w:r w:rsidR="00713FCB">
        <w:t>rge from CPUC General Orders; and for utilities to notify attachers of any proposed changes to these standards) a reasonable approach? Why or why not?</w:t>
      </w:r>
    </w:p>
    <w:p w:rsidRPr="004F30F6" w:rsidR="00882054" w:rsidP="00ED36CC" w:rsidRDefault="00882054" w14:paraId="5F0AE9FE" w14:textId="1452DB72">
      <w:pPr>
        <w:pStyle w:val="Standard"/>
      </w:pPr>
      <w:r w:rsidRPr="00667EA8">
        <w:rPr>
          <w:rFonts w:eastAsia="Calibri" w:cs="Times New Roman"/>
          <w:szCs w:val="26"/>
        </w:rPr>
        <w:t>AT&amp;T</w:t>
      </w:r>
      <w:r w:rsidR="00667EA8">
        <w:rPr>
          <w:rFonts w:eastAsia="Calibri" w:cs="Times New Roman"/>
          <w:szCs w:val="26"/>
        </w:rPr>
        <w:t xml:space="preserve"> o</w:t>
      </w:r>
      <w:r w:rsidRPr="004F30F6">
        <w:rPr>
          <w:rFonts w:eastAsia="Calibri" w:cs="Times New Roman"/>
          <w:szCs w:val="26"/>
        </w:rPr>
        <w:t>pposes</w:t>
      </w:r>
      <w:r w:rsidR="00667EA8">
        <w:rPr>
          <w:rFonts w:eastAsia="Calibri" w:cs="Times New Roman"/>
          <w:szCs w:val="26"/>
        </w:rPr>
        <w:t xml:space="preserve"> th</w:t>
      </w:r>
      <w:r w:rsidR="00ED7162">
        <w:rPr>
          <w:rFonts w:eastAsia="Calibri" w:cs="Times New Roman"/>
          <w:szCs w:val="26"/>
        </w:rPr>
        <w:t>ese measures</w:t>
      </w:r>
      <w:r w:rsidR="00B03B06">
        <w:rPr>
          <w:rFonts w:eastAsia="Calibri" w:cs="Times New Roman"/>
          <w:szCs w:val="26"/>
        </w:rPr>
        <w:t>. It</w:t>
      </w:r>
      <w:r w:rsidRPr="004F30F6">
        <w:rPr>
          <w:rFonts w:eastAsia="Calibri" w:cs="Times New Roman"/>
          <w:szCs w:val="26"/>
        </w:rPr>
        <w:t xml:space="preserve"> claims this is not an area that requires additional regulation. </w:t>
      </w:r>
      <w:r w:rsidR="00B03B06">
        <w:rPr>
          <w:rFonts w:eastAsia="Calibri" w:cs="Times New Roman"/>
          <w:szCs w:val="26"/>
        </w:rPr>
        <w:t>AT&amp;T says it r</w:t>
      </w:r>
      <w:r w:rsidRPr="004F30F6">
        <w:rPr>
          <w:rFonts w:eastAsia="Calibri" w:cs="Times New Roman"/>
          <w:szCs w:val="26"/>
        </w:rPr>
        <w:t>ecognizes the importance of transparency of construction standards</w:t>
      </w:r>
      <w:r w:rsidR="00B03B06">
        <w:rPr>
          <w:rFonts w:eastAsia="Calibri" w:cs="Times New Roman"/>
          <w:szCs w:val="26"/>
        </w:rPr>
        <w:t xml:space="preserve"> and</w:t>
      </w:r>
      <w:r w:rsidRPr="004F30F6">
        <w:rPr>
          <w:rFonts w:eastAsia="Calibri" w:cs="Times New Roman"/>
          <w:szCs w:val="26"/>
        </w:rPr>
        <w:t xml:space="preserve"> publishes guidelines on their website. </w:t>
      </w:r>
      <w:r w:rsidR="00C2260B">
        <w:rPr>
          <w:rFonts w:eastAsia="Calibri" w:cs="Times New Roman"/>
          <w:szCs w:val="26"/>
        </w:rPr>
        <w:t>It c</w:t>
      </w:r>
      <w:r w:rsidRPr="004F30F6">
        <w:rPr>
          <w:rFonts w:eastAsia="Calibri" w:cs="Times New Roman"/>
          <w:szCs w:val="26"/>
        </w:rPr>
        <w:t xml:space="preserve">laims construction standards and guidelines are sufficiently transparent and understood by attachers. </w:t>
      </w:r>
      <w:r w:rsidR="00657DFA">
        <w:rPr>
          <w:rFonts w:eastAsia="Calibri" w:cs="Times New Roman"/>
          <w:szCs w:val="26"/>
        </w:rPr>
        <w:t>It r</w:t>
      </w:r>
      <w:r w:rsidRPr="004F30F6">
        <w:rPr>
          <w:rFonts w:eastAsia="Calibri" w:cs="Times New Roman"/>
          <w:szCs w:val="26"/>
        </w:rPr>
        <w:t>ecommends</w:t>
      </w:r>
      <w:r w:rsidR="00657DFA">
        <w:rPr>
          <w:rFonts w:eastAsia="Calibri" w:cs="Times New Roman"/>
          <w:szCs w:val="26"/>
        </w:rPr>
        <w:t xml:space="preserve"> that any</w:t>
      </w:r>
      <w:r w:rsidRPr="004F30F6">
        <w:rPr>
          <w:rFonts w:eastAsia="Calibri" w:cs="Times New Roman"/>
          <w:szCs w:val="26"/>
        </w:rPr>
        <w:t xml:space="preserve"> deficiencies by other pole owners be addressed on a case</w:t>
      </w:r>
      <w:r w:rsidR="00E4753D">
        <w:rPr>
          <w:rFonts w:eastAsia="Calibri" w:cs="Times New Roman"/>
          <w:szCs w:val="26"/>
        </w:rPr>
        <w:noBreakHyphen/>
      </w:r>
      <w:r w:rsidRPr="004F30F6">
        <w:rPr>
          <w:rFonts w:eastAsia="Calibri" w:cs="Times New Roman"/>
          <w:szCs w:val="26"/>
        </w:rPr>
        <w:t>by</w:t>
      </w:r>
      <w:r w:rsidR="00E4753D">
        <w:rPr>
          <w:rFonts w:eastAsia="Calibri" w:cs="Times New Roman"/>
          <w:szCs w:val="26"/>
        </w:rPr>
        <w:noBreakHyphen/>
      </w:r>
      <w:r w:rsidRPr="004F30F6">
        <w:rPr>
          <w:rFonts w:eastAsia="Calibri" w:cs="Times New Roman"/>
          <w:szCs w:val="26"/>
        </w:rPr>
        <w:t>case basis.</w:t>
      </w:r>
      <w:r w:rsidRPr="004F30F6">
        <w:rPr>
          <w:rFonts w:eastAsia="Calibri" w:cs="Times New Roman"/>
          <w:szCs w:val="26"/>
          <w:vertAlign w:val="superscript"/>
        </w:rPr>
        <w:footnoteReference w:id="80"/>
      </w:r>
    </w:p>
    <w:p w:rsidRPr="004F30F6" w:rsidR="00882054" w:rsidP="00ED36CC" w:rsidRDefault="00882054" w14:paraId="40BF9DF3" w14:textId="62C9F762">
      <w:pPr>
        <w:pStyle w:val="Standard"/>
      </w:pPr>
      <w:r w:rsidRPr="00657DFA">
        <w:rPr>
          <w:rFonts w:eastAsia="Calibri" w:cs="Times New Roman"/>
          <w:szCs w:val="26"/>
        </w:rPr>
        <w:t>California Broadband and Video Association</w:t>
      </w:r>
      <w:r w:rsidR="00657DFA">
        <w:rPr>
          <w:rFonts w:eastAsia="Calibri" w:cs="Times New Roman"/>
          <w:szCs w:val="26"/>
        </w:rPr>
        <w:t xml:space="preserve"> s</w:t>
      </w:r>
      <w:r w:rsidRPr="004F30F6">
        <w:rPr>
          <w:rFonts w:eastAsia="Calibri" w:cs="Times New Roman"/>
          <w:szCs w:val="26"/>
        </w:rPr>
        <w:t xml:space="preserve">upports the proposed transparency measures. </w:t>
      </w:r>
      <w:r w:rsidR="00B81B1B">
        <w:rPr>
          <w:rFonts w:eastAsia="Calibri" w:cs="Times New Roman"/>
          <w:szCs w:val="26"/>
        </w:rPr>
        <w:t>It r</w:t>
      </w:r>
      <w:r w:rsidRPr="004F30F6">
        <w:rPr>
          <w:rFonts w:eastAsia="Calibri" w:cs="Times New Roman"/>
          <w:szCs w:val="26"/>
        </w:rPr>
        <w:t xml:space="preserve">ecommends adding a rule to clarify that pole owners </w:t>
      </w:r>
      <w:r w:rsidRPr="004F30F6">
        <w:rPr>
          <w:rFonts w:eastAsia="Calibri" w:cs="Times New Roman"/>
          <w:szCs w:val="26"/>
        </w:rPr>
        <w:lastRenderedPageBreak/>
        <w:t>must process applications based on the standard that is in effect at the time application is filed.</w:t>
      </w:r>
      <w:r w:rsidRPr="004F30F6">
        <w:rPr>
          <w:rFonts w:eastAsia="Calibri" w:cs="Times New Roman"/>
          <w:szCs w:val="26"/>
          <w:vertAlign w:val="superscript"/>
        </w:rPr>
        <w:footnoteReference w:id="81"/>
      </w:r>
    </w:p>
    <w:p w:rsidRPr="004F30F6" w:rsidR="00882054" w:rsidP="00ED36CC" w:rsidRDefault="00882054" w14:paraId="121B439B" w14:textId="67286F17">
      <w:pPr>
        <w:pStyle w:val="Standard"/>
      </w:pPr>
      <w:r w:rsidRPr="00070487">
        <w:rPr>
          <w:rFonts w:eastAsia="Calibri" w:cs="Times New Roman"/>
          <w:szCs w:val="26"/>
        </w:rPr>
        <w:t>CTIA</w:t>
      </w:r>
      <w:r w:rsidRPr="004F30F6">
        <w:rPr>
          <w:rFonts w:eastAsia="Calibri" w:cs="Times New Roman"/>
          <w:szCs w:val="26"/>
        </w:rPr>
        <w:t xml:space="preserve"> </w:t>
      </w:r>
      <w:r w:rsidR="00070487">
        <w:rPr>
          <w:rFonts w:eastAsia="Calibri" w:cs="Times New Roman"/>
          <w:szCs w:val="26"/>
        </w:rPr>
        <w:t>s</w:t>
      </w:r>
      <w:r w:rsidRPr="004F30F6">
        <w:rPr>
          <w:rFonts w:eastAsia="Calibri" w:cs="Times New Roman"/>
          <w:szCs w:val="26"/>
        </w:rPr>
        <w:t xml:space="preserve">upports </w:t>
      </w:r>
      <w:r w:rsidR="00070487">
        <w:rPr>
          <w:rFonts w:eastAsia="Calibri" w:cs="Times New Roman"/>
          <w:szCs w:val="26"/>
        </w:rPr>
        <w:t>the S</w:t>
      </w:r>
      <w:r w:rsidRPr="004F30F6">
        <w:rPr>
          <w:rFonts w:eastAsia="Calibri" w:cs="Times New Roman"/>
          <w:szCs w:val="26"/>
        </w:rPr>
        <w:t xml:space="preserve">taff </w:t>
      </w:r>
      <w:r w:rsidR="00070487">
        <w:rPr>
          <w:rFonts w:eastAsia="Calibri" w:cs="Times New Roman"/>
          <w:szCs w:val="26"/>
        </w:rPr>
        <w:t>P</w:t>
      </w:r>
      <w:r w:rsidRPr="004F30F6">
        <w:rPr>
          <w:rFonts w:eastAsia="Calibri" w:cs="Times New Roman"/>
          <w:szCs w:val="26"/>
        </w:rPr>
        <w:t>roposal</w:t>
      </w:r>
      <w:r w:rsidR="005A23AC">
        <w:rPr>
          <w:rFonts w:eastAsia="Calibri" w:cs="Times New Roman"/>
          <w:szCs w:val="26"/>
        </w:rPr>
        <w:t>,</w:t>
      </w:r>
      <w:r w:rsidRPr="004F30F6">
        <w:rPr>
          <w:rFonts w:eastAsia="Calibri" w:cs="Times New Roman"/>
          <w:szCs w:val="26"/>
        </w:rPr>
        <w:t xml:space="preserve"> but recommends requiring </w:t>
      </w:r>
      <w:r w:rsidR="005A23AC">
        <w:rPr>
          <w:rFonts w:eastAsia="Calibri" w:cs="Times New Roman"/>
          <w:szCs w:val="26"/>
        </w:rPr>
        <w:t xml:space="preserve">the </w:t>
      </w:r>
      <w:r w:rsidRPr="004F30F6">
        <w:rPr>
          <w:rFonts w:eastAsia="Calibri" w:cs="Times New Roman"/>
          <w:szCs w:val="26"/>
        </w:rPr>
        <w:t xml:space="preserve">disclosure of </w:t>
      </w:r>
      <w:r w:rsidRPr="005A23AC">
        <w:rPr>
          <w:rFonts w:eastAsia="Calibri" w:cs="Times New Roman"/>
          <w:szCs w:val="26"/>
        </w:rPr>
        <w:t>all</w:t>
      </w:r>
      <w:r w:rsidRPr="004F30F6">
        <w:rPr>
          <w:rFonts w:eastAsia="Calibri" w:cs="Times New Roman"/>
          <w:szCs w:val="26"/>
        </w:rPr>
        <w:t xml:space="preserve"> internal design, construction and maintenance standards, not just those that </w:t>
      </w:r>
      <w:r w:rsidR="00410529">
        <w:rPr>
          <w:rFonts w:eastAsia="Calibri" w:cs="Times New Roman"/>
          <w:szCs w:val="26"/>
        </w:rPr>
        <w:t>“</w:t>
      </w:r>
      <w:r w:rsidRPr="004F30F6">
        <w:rPr>
          <w:rFonts w:eastAsia="Calibri" w:cs="Times New Roman"/>
          <w:szCs w:val="26"/>
        </w:rPr>
        <w:t>diverge from the Commission</w:t>
      </w:r>
      <w:r w:rsidR="00410529">
        <w:rPr>
          <w:rFonts w:eastAsia="Calibri" w:cs="Times New Roman"/>
          <w:szCs w:val="26"/>
        </w:rPr>
        <w:t>’</w:t>
      </w:r>
      <w:r w:rsidRPr="004F30F6">
        <w:rPr>
          <w:rFonts w:eastAsia="Calibri" w:cs="Times New Roman"/>
          <w:szCs w:val="26"/>
        </w:rPr>
        <w:t>s General Orders</w:t>
      </w:r>
      <w:r w:rsidR="00410529">
        <w:rPr>
          <w:rFonts w:eastAsia="Calibri" w:cs="Times New Roman"/>
          <w:szCs w:val="26"/>
        </w:rPr>
        <w:t>”</w:t>
      </w:r>
      <w:r w:rsidR="00BF0871">
        <w:rPr>
          <w:rFonts w:eastAsia="Calibri" w:cs="Times New Roman"/>
          <w:szCs w:val="26"/>
        </w:rPr>
        <w:t xml:space="preserve"> because it believes that</w:t>
      </w:r>
      <w:r w:rsidRPr="004F30F6">
        <w:rPr>
          <w:rFonts w:eastAsia="Calibri" w:cs="Times New Roman"/>
          <w:szCs w:val="26"/>
        </w:rPr>
        <w:t xml:space="preserve"> </w:t>
      </w:r>
      <w:r w:rsidR="00410529">
        <w:rPr>
          <w:rFonts w:eastAsia="Calibri" w:cs="Times New Roman"/>
          <w:szCs w:val="26"/>
        </w:rPr>
        <w:t>“</w:t>
      </w:r>
      <w:r w:rsidRPr="004F30F6">
        <w:rPr>
          <w:rFonts w:eastAsia="Calibri" w:cs="Times New Roman"/>
          <w:szCs w:val="26"/>
        </w:rPr>
        <w:t>diverge</w:t>
      </w:r>
      <w:r w:rsidR="00410529">
        <w:rPr>
          <w:rFonts w:eastAsia="Calibri" w:cs="Times New Roman"/>
          <w:szCs w:val="26"/>
        </w:rPr>
        <w:t>”</w:t>
      </w:r>
      <w:r w:rsidRPr="004F30F6">
        <w:rPr>
          <w:rFonts w:eastAsia="Calibri" w:cs="Times New Roman"/>
          <w:szCs w:val="26"/>
        </w:rPr>
        <w:t xml:space="preserve"> is problematic.</w:t>
      </w:r>
      <w:r w:rsidRPr="004F30F6">
        <w:rPr>
          <w:rFonts w:eastAsia="Calibri" w:cs="Times New Roman"/>
          <w:szCs w:val="26"/>
          <w:vertAlign w:val="superscript"/>
        </w:rPr>
        <w:footnoteReference w:id="82"/>
      </w:r>
      <w:r w:rsidRPr="004F30F6">
        <w:rPr>
          <w:rFonts w:eastAsia="Calibri" w:cs="Times New Roman"/>
          <w:szCs w:val="26"/>
        </w:rPr>
        <w:t xml:space="preserve"> </w:t>
      </w:r>
      <w:r w:rsidR="008F4267">
        <w:rPr>
          <w:rFonts w:eastAsia="Calibri" w:cs="Times New Roman"/>
          <w:szCs w:val="26"/>
        </w:rPr>
        <w:t>CTIA</w:t>
      </w:r>
      <w:r w:rsidR="00BF0871">
        <w:rPr>
          <w:rFonts w:eastAsia="Calibri" w:cs="Times New Roman"/>
          <w:szCs w:val="26"/>
        </w:rPr>
        <w:t xml:space="preserve"> r</w:t>
      </w:r>
      <w:r w:rsidRPr="004F30F6">
        <w:rPr>
          <w:rFonts w:eastAsia="Calibri" w:cs="Times New Roman"/>
          <w:szCs w:val="26"/>
        </w:rPr>
        <w:t>ecommends requiring a minimum 30</w:t>
      </w:r>
      <w:r w:rsidR="00E4753D">
        <w:rPr>
          <w:rFonts w:eastAsia="Calibri" w:cs="Times New Roman"/>
          <w:szCs w:val="26"/>
        </w:rPr>
        <w:noBreakHyphen/>
      </w:r>
      <w:r w:rsidRPr="004F30F6">
        <w:rPr>
          <w:rFonts w:eastAsia="Calibri" w:cs="Times New Roman"/>
          <w:szCs w:val="26"/>
        </w:rPr>
        <w:t>day advance notice for all changes to standards.</w:t>
      </w:r>
      <w:r w:rsidRPr="004F30F6">
        <w:rPr>
          <w:rFonts w:eastAsia="Calibri" w:cs="Times New Roman"/>
          <w:szCs w:val="26"/>
          <w:vertAlign w:val="superscript"/>
        </w:rPr>
        <w:footnoteReference w:id="83"/>
      </w:r>
    </w:p>
    <w:p w:rsidRPr="004F30F6" w:rsidR="00882054" w:rsidP="00ED36CC" w:rsidRDefault="00882054" w14:paraId="3AFD39FF" w14:textId="695BFC62">
      <w:pPr>
        <w:pStyle w:val="Standard"/>
      </w:pPr>
      <w:proofErr w:type="spellStart"/>
      <w:r w:rsidRPr="00912F3E">
        <w:rPr>
          <w:rFonts w:eastAsia="Calibri" w:cs="Times New Roman"/>
          <w:szCs w:val="26"/>
        </w:rPr>
        <w:t>Extenet</w:t>
      </w:r>
      <w:proofErr w:type="spellEnd"/>
      <w:r w:rsidRPr="00912F3E">
        <w:rPr>
          <w:rFonts w:eastAsia="Calibri" w:cs="Times New Roman"/>
          <w:szCs w:val="26"/>
        </w:rPr>
        <w:t xml:space="preserve"> Systems</w:t>
      </w:r>
      <w:r w:rsidR="00912F3E">
        <w:rPr>
          <w:rFonts w:eastAsia="Calibri" w:cs="Times New Roman"/>
          <w:szCs w:val="26"/>
        </w:rPr>
        <w:t xml:space="preserve"> s</w:t>
      </w:r>
      <w:r w:rsidRPr="004F30F6">
        <w:rPr>
          <w:rFonts w:eastAsia="Calibri" w:cs="Times New Roman"/>
          <w:szCs w:val="26"/>
        </w:rPr>
        <w:t>upports the</w:t>
      </w:r>
      <w:r w:rsidR="00912F3E">
        <w:rPr>
          <w:rFonts w:eastAsia="Calibri" w:cs="Times New Roman"/>
          <w:szCs w:val="26"/>
        </w:rPr>
        <w:t xml:space="preserve"> Staff Proposal.</w:t>
      </w:r>
      <w:r w:rsidRPr="004F30F6">
        <w:rPr>
          <w:rFonts w:eastAsia="Calibri" w:cs="Times New Roman"/>
          <w:szCs w:val="26"/>
        </w:rPr>
        <w:t xml:space="preserve"> </w:t>
      </w:r>
      <w:r w:rsidR="00912F3E">
        <w:rPr>
          <w:rFonts w:eastAsia="Calibri" w:cs="Times New Roman"/>
          <w:szCs w:val="26"/>
        </w:rPr>
        <w:t>It r</w:t>
      </w:r>
      <w:r w:rsidRPr="004F30F6">
        <w:rPr>
          <w:rFonts w:eastAsia="Calibri" w:cs="Times New Roman"/>
          <w:szCs w:val="26"/>
        </w:rPr>
        <w:t>ecommends requiring pole owners to notify attachers about potential changes to construction standards</w:t>
      </w:r>
      <w:r w:rsidR="006D361A">
        <w:rPr>
          <w:rFonts w:eastAsia="Calibri" w:cs="Times New Roman"/>
          <w:szCs w:val="26"/>
        </w:rPr>
        <w:t>, and that</w:t>
      </w:r>
      <w:r w:rsidRPr="004F30F6">
        <w:rPr>
          <w:rFonts w:eastAsia="Calibri" w:cs="Times New Roman"/>
          <w:szCs w:val="26"/>
        </w:rPr>
        <w:t xml:space="preserve"> the pole owner should be required to obtain approval from the CPUC for material changes. </w:t>
      </w:r>
      <w:r w:rsidR="006D361A">
        <w:rPr>
          <w:rFonts w:eastAsia="Calibri" w:cs="Times New Roman"/>
          <w:szCs w:val="26"/>
        </w:rPr>
        <w:t>It r</w:t>
      </w:r>
      <w:r w:rsidRPr="004F30F6">
        <w:rPr>
          <w:rFonts w:eastAsia="Calibri" w:cs="Times New Roman"/>
          <w:szCs w:val="26"/>
        </w:rPr>
        <w:t>ecommends that attachers get the opportunity to provide feedback to pole owners.</w:t>
      </w:r>
      <w:r w:rsidRPr="004F30F6">
        <w:rPr>
          <w:rFonts w:eastAsia="Calibri" w:cs="Times New Roman"/>
          <w:szCs w:val="26"/>
          <w:vertAlign w:val="superscript"/>
        </w:rPr>
        <w:footnoteReference w:id="84"/>
      </w:r>
    </w:p>
    <w:p w:rsidRPr="004F30F6" w:rsidR="00882054" w:rsidP="00ED36CC" w:rsidRDefault="00882054" w14:paraId="1FA6B751" w14:textId="3D6CC000">
      <w:pPr>
        <w:pStyle w:val="Standard"/>
      </w:pPr>
      <w:r w:rsidRPr="00666969">
        <w:rPr>
          <w:rFonts w:eastAsia="Calibri" w:cs="Times New Roman"/>
          <w:szCs w:val="26"/>
        </w:rPr>
        <w:t>PG&amp;E</w:t>
      </w:r>
      <w:r w:rsidR="00666969">
        <w:rPr>
          <w:rFonts w:eastAsia="Calibri" w:cs="Times New Roman"/>
          <w:szCs w:val="26"/>
        </w:rPr>
        <w:t xml:space="preserve"> p</w:t>
      </w:r>
      <w:r w:rsidRPr="004F30F6">
        <w:rPr>
          <w:rFonts w:eastAsia="Calibri" w:cs="Times New Roman"/>
          <w:szCs w:val="26"/>
        </w:rPr>
        <w:t xml:space="preserve">roposes four modifications to </w:t>
      </w:r>
      <w:r w:rsidR="00666969">
        <w:rPr>
          <w:rFonts w:eastAsia="Calibri" w:cs="Times New Roman"/>
          <w:szCs w:val="26"/>
        </w:rPr>
        <w:t xml:space="preserve">the </w:t>
      </w:r>
      <w:r w:rsidRPr="004F30F6">
        <w:rPr>
          <w:rFonts w:eastAsia="Calibri" w:cs="Times New Roman"/>
          <w:szCs w:val="26"/>
        </w:rPr>
        <w:t>Staff Proposal: (1</w:t>
      </w:r>
      <w:r w:rsidR="00BC722E">
        <w:rPr>
          <w:rFonts w:eastAsia="Calibri" w:cs="Times New Roman"/>
          <w:szCs w:val="26"/>
        </w:rPr>
        <w:t>)</w:t>
      </w:r>
      <w:r w:rsidR="0051059D">
        <w:rPr>
          <w:rFonts w:eastAsia="Calibri" w:cs="Times New Roman"/>
          <w:szCs w:val="26"/>
        </w:rPr>
        <w:t> </w:t>
      </w:r>
      <w:r w:rsidR="008F4267">
        <w:rPr>
          <w:rFonts w:eastAsia="Calibri" w:cs="Times New Roman"/>
          <w:szCs w:val="26"/>
        </w:rPr>
        <w:t>c</w:t>
      </w:r>
      <w:r w:rsidRPr="004F30F6">
        <w:rPr>
          <w:rFonts w:eastAsia="Calibri" w:cs="Times New Roman"/>
          <w:szCs w:val="26"/>
        </w:rPr>
        <w:t>larify relevant internal standards are for the pole attachment process and not unrelated company standards; (2</w:t>
      </w:r>
      <w:r w:rsidR="00BC722E">
        <w:rPr>
          <w:rFonts w:eastAsia="Calibri" w:cs="Times New Roman"/>
          <w:szCs w:val="26"/>
        </w:rPr>
        <w:t>)</w:t>
      </w:r>
      <w:r w:rsidR="0051059D">
        <w:rPr>
          <w:rFonts w:eastAsia="Calibri" w:cs="Times New Roman"/>
          <w:szCs w:val="26"/>
        </w:rPr>
        <w:t> </w:t>
      </w:r>
      <w:r w:rsidR="008F4267">
        <w:rPr>
          <w:rFonts w:eastAsia="Calibri" w:cs="Times New Roman"/>
          <w:szCs w:val="26"/>
        </w:rPr>
        <w:t>d</w:t>
      </w:r>
      <w:r w:rsidR="00582108">
        <w:rPr>
          <w:rFonts w:eastAsia="Calibri" w:cs="Times New Roman"/>
          <w:szCs w:val="26"/>
        </w:rPr>
        <w:t>on</w:t>
      </w:r>
      <w:r w:rsidR="00410529">
        <w:rPr>
          <w:rFonts w:eastAsia="Calibri" w:cs="Times New Roman"/>
          <w:szCs w:val="26"/>
        </w:rPr>
        <w:t>’</w:t>
      </w:r>
      <w:r w:rsidR="00582108">
        <w:rPr>
          <w:rFonts w:eastAsia="Calibri" w:cs="Times New Roman"/>
          <w:szCs w:val="26"/>
        </w:rPr>
        <w:t>t make</w:t>
      </w:r>
      <w:r w:rsidRPr="004F30F6">
        <w:rPr>
          <w:rFonts w:eastAsia="Calibri" w:cs="Times New Roman"/>
          <w:szCs w:val="26"/>
        </w:rPr>
        <w:t xml:space="preserve"> standards publicly available and</w:t>
      </w:r>
      <w:r w:rsidR="002A7892">
        <w:rPr>
          <w:rFonts w:eastAsia="Calibri" w:cs="Times New Roman"/>
          <w:szCs w:val="26"/>
        </w:rPr>
        <w:t xml:space="preserve">, instead, </w:t>
      </w:r>
      <w:r w:rsidRPr="004F30F6">
        <w:rPr>
          <w:rFonts w:eastAsia="Calibri" w:cs="Times New Roman"/>
          <w:szCs w:val="26"/>
        </w:rPr>
        <w:t>limit availability to attachers; (3</w:t>
      </w:r>
      <w:r w:rsidR="00BC722E">
        <w:rPr>
          <w:rFonts w:eastAsia="Calibri" w:cs="Times New Roman"/>
          <w:szCs w:val="26"/>
        </w:rPr>
        <w:t>)</w:t>
      </w:r>
      <w:r w:rsidR="0051059D">
        <w:rPr>
          <w:rFonts w:eastAsia="Calibri" w:cs="Times New Roman"/>
          <w:szCs w:val="26"/>
        </w:rPr>
        <w:t> </w:t>
      </w:r>
      <w:r w:rsidR="008F4267">
        <w:rPr>
          <w:rFonts w:eastAsia="Calibri" w:cs="Times New Roman"/>
          <w:szCs w:val="26"/>
        </w:rPr>
        <w:t>r</w:t>
      </w:r>
      <w:r w:rsidRPr="004F30F6">
        <w:rPr>
          <w:rFonts w:eastAsia="Calibri" w:cs="Times New Roman"/>
          <w:szCs w:val="26"/>
        </w:rPr>
        <w:t xml:space="preserve">eplace </w:t>
      </w:r>
      <w:r w:rsidR="00410529">
        <w:rPr>
          <w:rFonts w:eastAsia="Calibri" w:cs="Times New Roman"/>
          <w:szCs w:val="26"/>
        </w:rPr>
        <w:t>“</w:t>
      </w:r>
      <w:r w:rsidRPr="004F30F6">
        <w:rPr>
          <w:rFonts w:eastAsia="Calibri" w:cs="Times New Roman"/>
          <w:szCs w:val="26"/>
        </w:rPr>
        <w:t>diverge</w:t>
      </w:r>
      <w:r w:rsidR="00410529">
        <w:rPr>
          <w:rFonts w:eastAsia="Calibri" w:cs="Times New Roman"/>
          <w:szCs w:val="26"/>
        </w:rPr>
        <w:t>”</w:t>
      </w:r>
      <w:r w:rsidRPr="004F30F6">
        <w:rPr>
          <w:rFonts w:eastAsia="Calibri" w:cs="Times New Roman"/>
          <w:szCs w:val="26"/>
        </w:rPr>
        <w:t xml:space="preserve"> with </w:t>
      </w:r>
      <w:r w:rsidR="00410529">
        <w:rPr>
          <w:rFonts w:eastAsia="Calibri" w:cs="Times New Roman"/>
          <w:szCs w:val="26"/>
        </w:rPr>
        <w:t>“</w:t>
      </w:r>
      <w:r w:rsidRPr="004F30F6">
        <w:rPr>
          <w:rFonts w:eastAsia="Calibri" w:cs="Times New Roman"/>
          <w:szCs w:val="26"/>
        </w:rPr>
        <w:t>supplement</w:t>
      </w:r>
      <w:r w:rsidR="00410529">
        <w:rPr>
          <w:rFonts w:eastAsia="Calibri" w:cs="Times New Roman"/>
          <w:szCs w:val="26"/>
        </w:rPr>
        <w:t>”</w:t>
      </w:r>
      <w:r w:rsidRPr="004F30F6">
        <w:rPr>
          <w:rFonts w:eastAsia="Calibri" w:cs="Times New Roman"/>
          <w:szCs w:val="26"/>
        </w:rPr>
        <w:t xml:space="preserve"> in discussion of standards that are different from </w:t>
      </w:r>
      <w:r w:rsidR="008F4267">
        <w:rPr>
          <w:rFonts w:eastAsia="Calibri" w:cs="Times New Roman"/>
          <w:szCs w:val="26"/>
        </w:rPr>
        <w:t>GOs</w:t>
      </w:r>
      <w:r w:rsidRPr="004F30F6">
        <w:rPr>
          <w:rFonts w:eastAsia="Calibri" w:cs="Times New Roman"/>
          <w:szCs w:val="26"/>
        </w:rPr>
        <w:t xml:space="preserve">; </w:t>
      </w:r>
      <w:r w:rsidR="008F4267">
        <w:rPr>
          <w:rFonts w:eastAsia="Calibri" w:cs="Times New Roman"/>
          <w:szCs w:val="26"/>
        </w:rPr>
        <w:t xml:space="preserve">and </w:t>
      </w:r>
      <w:r w:rsidRPr="004F30F6">
        <w:rPr>
          <w:rFonts w:eastAsia="Calibri" w:cs="Times New Roman"/>
          <w:szCs w:val="26"/>
        </w:rPr>
        <w:t>(4</w:t>
      </w:r>
      <w:r w:rsidR="00BC722E">
        <w:rPr>
          <w:rFonts w:eastAsia="Calibri" w:cs="Times New Roman"/>
          <w:szCs w:val="26"/>
        </w:rPr>
        <w:t>)</w:t>
      </w:r>
      <w:r w:rsidR="0051059D">
        <w:rPr>
          <w:rFonts w:eastAsia="Calibri" w:cs="Times New Roman"/>
          <w:szCs w:val="26"/>
        </w:rPr>
        <w:t> </w:t>
      </w:r>
      <w:r w:rsidR="008F4267">
        <w:rPr>
          <w:rFonts w:eastAsia="Calibri" w:cs="Times New Roman"/>
          <w:szCs w:val="26"/>
        </w:rPr>
        <w:t>r</w:t>
      </w:r>
      <w:r w:rsidRPr="004F30F6">
        <w:rPr>
          <w:rFonts w:eastAsia="Calibri" w:cs="Times New Roman"/>
          <w:szCs w:val="26"/>
        </w:rPr>
        <w:t xml:space="preserve">emove </w:t>
      </w:r>
      <w:r w:rsidR="008F4267">
        <w:rPr>
          <w:rFonts w:eastAsia="Calibri" w:cs="Times New Roman"/>
          <w:szCs w:val="26"/>
        </w:rPr>
        <w:t xml:space="preserve">the </w:t>
      </w:r>
      <w:r w:rsidRPr="004F30F6">
        <w:rPr>
          <w:rFonts w:eastAsia="Calibri" w:cs="Times New Roman"/>
          <w:szCs w:val="26"/>
        </w:rPr>
        <w:t xml:space="preserve">requirement to notify attachers of </w:t>
      </w:r>
      <w:r w:rsidR="00410529">
        <w:rPr>
          <w:rFonts w:eastAsia="Calibri" w:cs="Times New Roman"/>
          <w:szCs w:val="26"/>
        </w:rPr>
        <w:t>“</w:t>
      </w:r>
      <w:r w:rsidRPr="004F30F6">
        <w:rPr>
          <w:rFonts w:eastAsia="Calibri" w:cs="Times New Roman"/>
          <w:szCs w:val="26"/>
        </w:rPr>
        <w:t>proposed</w:t>
      </w:r>
      <w:r w:rsidR="00410529">
        <w:rPr>
          <w:rFonts w:eastAsia="Calibri" w:cs="Times New Roman"/>
          <w:szCs w:val="26"/>
        </w:rPr>
        <w:t>”</w:t>
      </w:r>
      <w:r w:rsidRPr="004F30F6">
        <w:rPr>
          <w:rFonts w:eastAsia="Calibri" w:cs="Times New Roman"/>
          <w:szCs w:val="26"/>
        </w:rPr>
        <w:t xml:space="preserve"> changes.</w:t>
      </w:r>
      <w:r w:rsidR="008F4267">
        <w:rPr>
          <w:rFonts w:eastAsia="Calibri" w:cs="Times New Roman"/>
          <w:szCs w:val="26"/>
        </w:rPr>
        <w:t xml:space="preserve"> PG&amp;E</w:t>
      </w:r>
      <w:r w:rsidR="00B13D3C">
        <w:rPr>
          <w:rFonts w:eastAsia="Calibri" w:cs="Times New Roman"/>
          <w:szCs w:val="26"/>
        </w:rPr>
        <w:t xml:space="preserve"> s</w:t>
      </w:r>
      <w:r w:rsidRPr="004F30F6">
        <w:rPr>
          <w:rFonts w:eastAsia="Calibri" w:cs="Times New Roman"/>
          <w:szCs w:val="26"/>
        </w:rPr>
        <w:t xml:space="preserve">upports advanced notice of changes only if the notice period is reasonable and allows </w:t>
      </w:r>
      <w:r w:rsidRPr="004F30F6">
        <w:rPr>
          <w:rFonts w:eastAsia="Calibri" w:cs="Times New Roman"/>
          <w:szCs w:val="26"/>
        </w:rPr>
        <w:lastRenderedPageBreak/>
        <w:t>flexibility for urgent safety</w:t>
      </w:r>
      <w:r w:rsidR="00E4753D">
        <w:rPr>
          <w:rFonts w:eastAsia="Calibri" w:cs="Times New Roman"/>
          <w:szCs w:val="26"/>
        </w:rPr>
        <w:noBreakHyphen/>
      </w:r>
      <w:r w:rsidRPr="004F30F6">
        <w:rPr>
          <w:rFonts w:eastAsia="Calibri" w:cs="Times New Roman"/>
          <w:szCs w:val="26"/>
        </w:rPr>
        <w:t>related updates.</w:t>
      </w:r>
      <w:r w:rsidRPr="004F30F6">
        <w:rPr>
          <w:rFonts w:eastAsia="Calibri" w:cs="Times New Roman"/>
          <w:szCs w:val="26"/>
          <w:vertAlign w:val="superscript"/>
        </w:rPr>
        <w:footnoteReference w:id="85"/>
      </w:r>
      <w:r w:rsidRPr="004F30F6">
        <w:rPr>
          <w:rFonts w:eastAsia="Calibri" w:cs="Times New Roman"/>
          <w:szCs w:val="26"/>
        </w:rPr>
        <w:t xml:space="preserve"> </w:t>
      </w:r>
      <w:r w:rsidR="00B13D3C">
        <w:rPr>
          <w:rFonts w:eastAsia="Calibri" w:cs="Times New Roman"/>
          <w:szCs w:val="26"/>
        </w:rPr>
        <w:t>It o</w:t>
      </w:r>
      <w:r w:rsidRPr="004F30F6">
        <w:rPr>
          <w:rFonts w:eastAsia="Calibri" w:cs="Times New Roman"/>
          <w:szCs w:val="26"/>
        </w:rPr>
        <w:t>pposes any requirement to secure CPUC pre</w:t>
      </w:r>
      <w:r w:rsidR="00E4753D">
        <w:rPr>
          <w:rFonts w:eastAsia="Calibri" w:cs="Times New Roman"/>
          <w:szCs w:val="26"/>
        </w:rPr>
        <w:noBreakHyphen/>
      </w:r>
      <w:r w:rsidRPr="004F30F6">
        <w:rPr>
          <w:rFonts w:eastAsia="Calibri" w:cs="Times New Roman"/>
          <w:szCs w:val="26"/>
        </w:rPr>
        <w:t xml:space="preserve">approval for </w:t>
      </w:r>
      <w:r w:rsidR="00410529">
        <w:rPr>
          <w:rFonts w:eastAsia="Calibri" w:cs="Times New Roman"/>
          <w:szCs w:val="26"/>
        </w:rPr>
        <w:t>“</w:t>
      </w:r>
      <w:r w:rsidRPr="004F30F6">
        <w:rPr>
          <w:rFonts w:eastAsia="Calibri" w:cs="Times New Roman"/>
          <w:szCs w:val="26"/>
        </w:rPr>
        <w:t>material</w:t>
      </w:r>
      <w:r w:rsidR="00410529">
        <w:rPr>
          <w:rFonts w:eastAsia="Calibri" w:cs="Times New Roman"/>
          <w:szCs w:val="26"/>
        </w:rPr>
        <w:t>”</w:t>
      </w:r>
      <w:r w:rsidRPr="004F30F6">
        <w:rPr>
          <w:rFonts w:eastAsia="Calibri" w:cs="Times New Roman"/>
          <w:szCs w:val="26"/>
        </w:rPr>
        <w:t xml:space="preserve"> updates.</w:t>
      </w:r>
      <w:r w:rsidRPr="004F30F6">
        <w:rPr>
          <w:rFonts w:eastAsia="Calibri" w:cs="Times New Roman"/>
          <w:szCs w:val="26"/>
          <w:vertAlign w:val="superscript"/>
        </w:rPr>
        <w:footnoteReference w:id="86"/>
      </w:r>
    </w:p>
    <w:p w:rsidRPr="004F30F6" w:rsidR="00882054" w:rsidP="00ED36CC" w:rsidRDefault="00882054" w14:paraId="59D3636F" w14:textId="539BE3D0">
      <w:pPr>
        <w:pStyle w:val="Standard"/>
      </w:pPr>
      <w:r w:rsidRPr="00156B7E">
        <w:rPr>
          <w:rFonts w:eastAsia="Calibri" w:cs="Times New Roman"/>
          <w:szCs w:val="26"/>
        </w:rPr>
        <w:t>Race</w:t>
      </w:r>
      <w:r w:rsidRPr="004F30F6">
        <w:rPr>
          <w:rFonts w:eastAsia="Calibri" w:cs="Times New Roman"/>
          <w:szCs w:val="26"/>
        </w:rPr>
        <w:t xml:space="preserve"> </w:t>
      </w:r>
      <w:r w:rsidR="00156B7E">
        <w:rPr>
          <w:rFonts w:eastAsia="Calibri" w:cs="Times New Roman"/>
          <w:szCs w:val="26"/>
        </w:rPr>
        <w:t>a</w:t>
      </w:r>
      <w:r w:rsidRPr="004F30F6">
        <w:rPr>
          <w:rFonts w:eastAsia="Calibri" w:cs="Times New Roman"/>
          <w:szCs w:val="26"/>
        </w:rPr>
        <w:t xml:space="preserve">grees that pole owners should publish standards that differ from </w:t>
      </w:r>
      <w:r w:rsidR="008F4267">
        <w:rPr>
          <w:rFonts w:eastAsia="Calibri" w:cs="Times New Roman"/>
          <w:szCs w:val="26"/>
        </w:rPr>
        <w:t>the Commission’s GOs</w:t>
      </w:r>
      <w:r w:rsidRPr="004F30F6">
        <w:rPr>
          <w:rFonts w:eastAsia="Calibri" w:cs="Times New Roman"/>
          <w:szCs w:val="26"/>
        </w:rPr>
        <w:t xml:space="preserve">. </w:t>
      </w:r>
      <w:r w:rsidR="000E32D6">
        <w:rPr>
          <w:rFonts w:eastAsia="Calibri" w:cs="Times New Roman"/>
          <w:szCs w:val="26"/>
        </w:rPr>
        <w:t>It e</w:t>
      </w:r>
      <w:r w:rsidRPr="004F30F6">
        <w:rPr>
          <w:rFonts w:eastAsia="Calibri" w:cs="Times New Roman"/>
          <w:szCs w:val="26"/>
        </w:rPr>
        <w:t>xplains that pole owners have a broad variety of internal standards which vary considerably</w:t>
      </w:r>
      <w:r w:rsidR="000E32D6">
        <w:rPr>
          <w:rFonts w:eastAsia="Calibri" w:cs="Times New Roman"/>
          <w:szCs w:val="26"/>
        </w:rPr>
        <w:t>, along with</w:t>
      </w:r>
      <w:r w:rsidRPr="004F30F6">
        <w:rPr>
          <w:rFonts w:eastAsia="Calibri" w:cs="Times New Roman"/>
          <w:szCs w:val="26"/>
        </w:rPr>
        <w:t xml:space="preserve"> inconsistent standards and interpretations of guidelines. </w:t>
      </w:r>
      <w:r w:rsidR="008F4267">
        <w:rPr>
          <w:rFonts w:eastAsia="Calibri" w:cs="Times New Roman"/>
          <w:szCs w:val="26"/>
        </w:rPr>
        <w:t>Race c</w:t>
      </w:r>
      <w:r w:rsidRPr="004F30F6">
        <w:rPr>
          <w:rFonts w:eastAsia="Calibri" w:cs="Times New Roman"/>
          <w:szCs w:val="26"/>
        </w:rPr>
        <w:t xml:space="preserve">autions that too much variance from </w:t>
      </w:r>
      <w:r w:rsidR="002649EE">
        <w:rPr>
          <w:rFonts w:eastAsia="Calibri" w:cs="Times New Roman"/>
          <w:szCs w:val="26"/>
        </w:rPr>
        <w:t>GOs</w:t>
      </w:r>
      <w:r w:rsidR="0051059D">
        <w:rPr>
          <w:rFonts w:eastAsia="Calibri" w:cs="Times New Roman"/>
          <w:szCs w:val="26"/>
        </w:rPr>
        <w:t> </w:t>
      </w:r>
      <w:r w:rsidRPr="004F30F6">
        <w:rPr>
          <w:rFonts w:eastAsia="Calibri" w:cs="Times New Roman"/>
          <w:szCs w:val="26"/>
        </w:rPr>
        <w:t>95 and 128 can create a patchwork of differing requirements that increases cost and slows broadband deployment.</w:t>
      </w:r>
      <w:r w:rsidRPr="004F30F6">
        <w:rPr>
          <w:rFonts w:eastAsia="Calibri" w:cs="Times New Roman"/>
          <w:szCs w:val="26"/>
          <w:vertAlign w:val="superscript"/>
        </w:rPr>
        <w:footnoteReference w:id="87"/>
      </w:r>
    </w:p>
    <w:p w:rsidRPr="004F30F6" w:rsidR="00882054" w:rsidP="00ED36CC" w:rsidRDefault="00882054" w14:paraId="1D9A7E54" w14:textId="63249359">
      <w:pPr>
        <w:pStyle w:val="Standard"/>
      </w:pPr>
      <w:r w:rsidRPr="000E32D6">
        <w:rPr>
          <w:rFonts w:eastAsia="Calibri" w:cs="Times New Roman"/>
          <w:szCs w:val="26"/>
        </w:rPr>
        <w:t>SCE</w:t>
      </w:r>
      <w:r w:rsidR="000E32D6">
        <w:rPr>
          <w:rFonts w:eastAsia="Calibri" w:cs="Times New Roman"/>
          <w:szCs w:val="26"/>
        </w:rPr>
        <w:t xml:space="preserve"> ag</w:t>
      </w:r>
      <w:r w:rsidRPr="004F30F6">
        <w:rPr>
          <w:rFonts w:eastAsia="Calibri" w:cs="Times New Roman"/>
          <w:szCs w:val="26"/>
        </w:rPr>
        <w:t xml:space="preserve">rees with proposals to publish standards on </w:t>
      </w:r>
      <w:r w:rsidR="00BE5DE8">
        <w:rPr>
          <w:rFonts w:eastAsia="Calibri" w:cs="Times New Roman"/>
          <w:szCs w:val="26"/>
        </w:rPr>
        <w:t xml:space="preserve">the </w:t>
      </w:r>
      <w:r w:rsidRPr="004F30F6">
        <w:rPr>
          <w:rFonts w:eastAsia="Calibri" w:cs="Times New Roman"/>
          <w:szCs w:val="26"/>
        </w:rPr>
        <w:t>web</w:t>
      </w:r>
      <w:r w:rsidR="00BE5DE8">
        <w:rPr>
          <w:rFonts w:eastAsia="Calibri" w:cs="Times New Roman"/>
          <w:szCs w:val="26"/>
        </w:rPr>
        <w:t>site</w:t>
      </w:r>
      <w:r w:rsidRPr="004F30F6">
        <w:rPr>
          <w:rFonts w:eastAsia="Calibri" w:cs="Times New Roman"/>
          <w:szCs w:val="26"/>
        </w:rPr>
        <w:t xml:space="preserve"> and notify attachers when changes are made.</w:t>
      </w:r>
      <w:r w:rsidRPr="004F30F6">
        <w:rPr>
          <w:rFonts w:eastAsia="Calibri" w:cs="Times New Roman"/>
          <w:szCs w:val="26"/>
          <w:vertAlign w:val="superscript"/>
        </w:rPr>
        <w:footnoteReference w:id="88"/>
      </w:r>
      <w:r w:rsidRPr="004F30F6">
        <w:rPr>
          <w:rFonts w:eastAsia="Calibri" w:cs="Times New Roman"/>
          <w:szCs w:val="26"/>
        </w:rPr>
        <w:t xml:space="preserve"> </w:t>
      </w:r>
      <w:r w:rsidR="001138FB">
        <w:rPr>
          <w:rFonts w:eastAsia="Calibri" w:cs="Times New Roman"/>
          <w:szCs w:val="26"/>
        </w:rPr>
        <w:t>It o</w:t>
      </w:r>
      <w:r w:rsidRPr="004F30F6">
        <w:rPr>
          <w:rFonts w:eastAsia="Calibri" w:cs="Times New Roman"/>
          <w:szCs w:val="26"/>
        </w:rPr>
        <w:t>pposes proposals for standards to be subject to CPUC approval and feedback from parties.</w:t>
      </w:r>
      <w:r w:rsidRPr="004F30F6">
        <w:rPr>
          <w:rFonts w:eastAsia="Calibri" w:cs="Times New Roman"/>
          <w:szCs w:val="26"/>
          <w:vertAlign w:val="superscript"/>
        </w:rPr>
        <w:footnoteReference w:id="89"/>
      </w:r>
    </w:p>
    <w:p w:rsidRPr="004F30F6" w:rsidR="00882054" w:rsidP="00ED36CC" w:rsidRDefault="00882054" w14:paraId="4AED30A9" w14:textId="7C7947A5">
      <w:pPr>
        <w:pStyle w:val="Standard"/>
      </w:pPr>
      <w:r w:rsidRPr="001138FB">
        <w:rPr>
          <w:rFonts w:eastAsia="Calibri" w:cs="Times New Roman"/>
          <w:szCs w:val="26"/>
        </w:rPr>
        <w:t>SDG&amp;E</w:t>
      </w:r>
      <w:r w:rsidR="001138FB">
        <w:rPr>
          <w:rFonts w:eastAsia="Calibri" w:cs="Times New Roman"/>
          <w:szCs w:val="26"/>
        </w:rPr>
        <w:t xml:space="preserve"> a</w:t>
      </w:r>
      <w:r w:rsidRPr="004F30F6">
        <w:rPr>
          <w:rFonts w:eastAsia="Calibri" w:cs="Times New Roman"/>
          <w:szCs w:val="26"/>
        </w:rPr>
        <w:t xml:space="preserve">grees the </w:t>
      </w:r>
      <w:r w:rsidR="00B0663E">
        <w:rPr>
          <w:rFonts w:eastAsia="Calibri" w:cs="Times New Roman"/>
          <w:szCs w:val="26"/>
        </w:rPr>
        <w:t>Staff P</w:t>
      </w:r>
      <w:r w:rsidRPr="004F30F6">
        <w:rPr>
          <w:rFonts w:eastAsia="Calibri" w:cs="Times New Roman"/>
          <w:szCs w:val="26"/>
        </w:rPr>
        <w:t xml:space="preserve">roposal is reasonable and supports publishing distribution standards that deviate from </w:t>
      </w:r>
      <w:r w:rsidR="008F4267">
        <w:rPr>
          <w:rFonts w:eastAsia="Calibri" w:cs="Times New Roman"/>
          <w:szCs w:val="26"/>
        </w:rPr>
        <w:t>GOs</w:t>
      </w:r>
      <w:r w:rsidRPr="004F30F6">
        <w:rPr>
          <w:rFonts w:eastAsia="Calibri" w:cs="Times New Roman"/>
          <w:szCs w:val="26"/>
        </w:rPr>
        <w:t xml:space="preserve"> or clarify construction methods. SDG&amp;E </w:t>
      </w:r>
      <w:r w:rsidR="00AD7F23">
        <w:rPr>
          <w:rFonts w:eastAsia="Calibri" w:cs="Times New Roman"/>
          <w:szCs w:val="26"/>
        </w:rPr>
        <w:t xml:space="preserve">claims it </w:t>
      </w:r>
      <w:r w:rsidRPr="004F30F6">
        <w:rPr>
          <w:rFonts w:eastAsia="Calibri" w:cs="Times New Roman"/>
          <w:szCs w:val="26"/>
        </w:rPr>
        <w:t>posts standards on its website with revisions tracked</w:t>
      </w:r>
      <w:r w:rsidR="008755B5">
        <w:rPr>
          <w:rFonts w:eastAsia="Calibri" w:cs="Times New Roman"/>
          <w:szCs w:val="26"/>
        </w:rPr>
        <w:t>,</w:t>
      </w:r>
      <w:r w:rsidRPr="004F30F6">
        <w:rPr>
          <w:rFonts w:eastAsia="Calibri" w:cs="Times New Roman"/>
          <w:szCs w:val="26"/>
        </w:rPr>
        <w:t xml:space="preserve"> but only shares transmission standards under agreement due to system security and proprietary concerns.</w:t>
      </w:r>
      <w:r w:rsidRPr="004F30F6">
        <w:rPr>
          <w:rFonts w:eastAsia="Calibri" w:cs="Times New Roman"/>
          <w:szCs w:val="26"/>
          <w:vertAlign w:val="superscript"/>
        </w:rPr>
        <w:footnoteReference w:id="90"/>
      </w:r>
    </w:p>
    <w:p w:rsidRPr="004F30F6" w:rsidR="00882054" w:rsidP="00ED36CC" w:rsidRDefault="00882054" w14:paraId="08709C90" w14:textId="33AC3C23">
      <w:pPr>
        <w:pStyle w:val="Standard"/>
      </w:pPr>
      <w:r w:rsidRPr="008755B5">
        <w:rPr>
          <w:rFonts w:eastAsia="Calibri" w:cs="Times New Roman"/>
          <w:szCs w:val="26"/>
        </w:rPr>
        <w:t>Sonic</w:t>
      </w:r>
      <w:r w:rsidR="008755B5">
        <w:rPr>
          <w:rFonts w:eastAsia="Calibri" w:cs="Times New Roman"/>
          <w:szCs w:val="26"/>
        </w:rPr>
        <w:t xml:space="preserve"> a</w:t>
      </w:r>
      <w:r w:rsidR="008F4267">
        <w:rPr>
          <w:rFonts w:eastAsia="Calibri" w:cs="Times New Roman"/>
          <w:szCs w:val="26"/>
        </w:rPr>
        <w:t>sserts</w:t>
      </w:r>
      <w:r w:rsidRPr="004F30F6">
        <w:rPr>
          <w:rFonts w:eastAsia="Calibri" w:cs="Times New Roman"/>
          <w:szCs w:val="26"/>
        </w:rPr>
        <w:t xml:space="preserve"> the </w:t>
      </w:r>
      <w:r w:rsidR="00B0663E">
        <w:rPr>
          <w:rFonts w:eastAsia="Calibri" w:cs="Times New Roman"/>
          <w:szCs w:val="26"/>
        </w:rPr>
        <w:t>Staff P</w:t>
      </w:r>
      <w:r w:rsidRPr="004F30F6">
        <w:rPr>
          <w:rFonts w:eastAsia="Calibri" w:cs="Times New Roman"/>
          <w:szCs w:val="26"/>
        </w:rPr>
        <w:t xml:space="preserve">roposal is reasonable. </w:t>
      </w:r>
      <w:r w:rsidR="00617C6A">
        <w:rPr>
          <w:rFonts w:eastAsia="Calibri" w:cs="Times New Roman"/>
          <w:szCs w:val="26"/>
        </w:rPr>
        <w:t>It n</w:t>
      </w:r>
      <w:r w:rsidRPr="004F30F6">
        <w:rPr>
          <w:rFonts w:eastAsia="Calibri" w:cs="Times New Roman"/>
          <w:szCs w:val="26"/>
        </w:rPr>
        <w:t>otes that documentation of standards is essential to fiber deployment</w:t>
      </w:r>
      <w:r w:rsidR="00C06016">
        <w:rPr>
          <w:rFonts w:eastAsia="Calibri" w:cs="Times New Roman"/>
          <w:szCs w:val="26"/>
        </w:rPr>
        <w:t>, and c</w:t>
      </w:r>
      <w:r w:rsidRPr="004F30F6">
        <w:rPr>
          <w:rFonts w:eastAsia="Calibri" w:cs="Times New Roman"/>
          <w:szCs w:val="26"/>
        </w:rPr>
        <w:t xml:space="preserve">laims that </w:t>
      </w:r>
      <w:r w:rsidR="00C06016">
        <w:rPr>
          <w:rFonts w:eastAsia="Calibri" w:cs="Times New Roman"/>
          <w:szCs w:val="26"/>
        </w:rPr>
        <w:t xml:space="preserve">the </w:t>
      </w:r>
      <w:r w:rsidRPr="004F30F6">
        <w:rPr>
          <w:rFonts w:eastAsia="Calibri" w:cs="Times New Roman"/>
          <w:szCs w:val="26"/>
        </w:rPr>
        <w:t xml:space="preserve">pole owners use of undisclosed or </w:t>
      </w:r>
      <w:r w:rsidR="00410529">
        <w:rPr>
          <w:rFonts w:eastAsia="Calibri" w:cs="Times New Roman"/>
          <w:szCs w:val="26"/>
        </w:rPr>
        <w:t>“</w:t>
      </w:r>
      <w:r w:rsidRPr="004F30F6">
        <w:rPr>
          <w:rFonts w:eastAsia="Calibri" w:cs="Times New Roman"/>
          <w:szCs w:val="26"/>
        </w:rPr>
        <w:t>secret</w:t>
      </w:r>
      <w:r w:rsidR="00410529">
        <w:rPr>
          <w:rFonts w:eastAsia="Calibri" w:cs="Times New Roman"/>
          <w:szCs w:val="26"/>
        </w:rPr>
        <w:t>”</w:t>
      </w:r>
      <w:r w:rsidRPr="004F30F6">
        <w:rPr>
          <w:rFonts w:eastAsia="Calibri" w:cs="Times New Roman"/>
          <w:szCs w:val="26"/>
        </w:rPr>
        <w:t xml:space="preserve"> standards has caused unnecessary application rejections, even when applications complied with </w:t>
      </w:r>
      <w:r w:rsidR="005B40C8">
        <w:rPr>
          <w:rFonts w:eastAsia="Calibri" w:cs="Times New Roman"/>
          <w:szCs w:val="26"/>
        </w:rPr>
        <w:t>GO</w:t>
      </w:r>
      <w:r w:rsidR="0051059D">
        <w:rPr>
          <w:rFonts w:eastAsia="Calibri" w:cs="Times New Roman"/>
          <w:szCs w:val="26"/>
        </w:rPr>
        <w:t> </w:t>
      </w:r>
      <w:r w:rsidRPr="004F30F6">
        <w:rPr>
          <w:rFonts w:eastAsia="Calibri" w:cs="Times New Roman"/>
          <w:szCs w:val="26"/>
        </w:rPr>
        <w:t xml:space="preserve">95. </w:t>
      </w:r>
      <w:r w:rsidR="000D6FFF">
        <w:rPr>
          <w:rFonts w:eastAsia="Calibri" w:cs="Times New Roman"/>
          <w:szCs w:val="26"/>
        </w:rPr>
        <w:t>It a</w:t>
      </w:r>
      <w:r w:rsidRPr="004F30F6">
        <w:rPr>
          <w:rFonts w:eastAsia="Calibri" w:cs="Times New Roman"/>
          <w:szCs w:val="26"/>
        </w:rPr>
        <w:t xml:space="preserve">rgues that standards </w:t>
      </w:r>
      <w:r w:rsidRPr="004F30F6">
        <w:rPr>
          <w:rFonts w:eastAsia="Calibri" w:cs="Times New Roman"/>
          <w:szCs w:val="26"/>
        </w:rPr>
        <w:lastRenderedPageBreak/>
        <w:t>should be justified on safety grounds and should not be used to block otherwise compliant attachments.</w:t>
      </w:r>
      <w:r w:rsidRPr="004F30F6">
        <w:rPr>
          <w:rFonts w:eastAsia="Calibri" w:cs="Times New Roman"/>
          <w:szCs w:val="26"/>
          <w:vertAlign w:val="superscript"/>
        </w:rPr>
        <w:footnoteReference w:id="91"/>
      </w:r>
    </w:p>
    <w:p w:rsidRPr="004F30F6" w:rsidR="00882054" w:rsidP="00ED36CC" w:rsidRDefault="00882054" w14:paraId="6332F9A1" w14:textId="76FCC3E8">
      <w:pPr>
        <w:pStyle w:val="Standard"/>
      </w:pPr>
      <w:proofErr w:type="spellStart"/>
      <w:r w:rsidRPr="00595AEF">
        <w:rPr>
          <w:rFonts w:eastAsia="Calibri" w:cs="Times New Roman"/>
          <w:szCs w:val="26"/>
        </w:rPr>
        <w:t>Surfnet</w:t>
      </w:r>
      <w:proofErr w:type="spellEnd"/>
      <w:r w:rsidRPr="004F30F6">
        <w:rPr>
          <w:rFonts w:eastAsia="Calibri" w:cs="Times New Roman"/>
          <w:szCs w:val="26"/>
        </w:rPr>
        <w:t xml:space="preserve"> </w:t>
      </w:r>
      <w:r w:rsidR="00595AEF">
        <w:rPr>
          <w:rFonts w:eastAsia="Calibri" w:cs="Times New Roman"/>
          <w:szCs w:val="26"/>
        </w:rPr>
        <w:t>s</w:t>
      </w:r>
      <w:r w:rsidRPr="004F30F6">
        <w:rPr>
          <w:rFonts w:eastAsia="Calibri" w:cs="Times New Roman"/>
          <w:szCs w:val="26"/>
        </w:rPr>
        <w:t xml:space="preserve">upports the </w:t>
      </w:r>
      <w:r w:rsidR="00595AEF">
        <w:rPr>
          <w:rFonts w:eastAsia="Calibri" w:cs="Times New Roman"/>
          <w:szCs w:val="26"/>
        </w:rPr>
        <w:t>Staff P</w:t>
      </w:r>
      <w:r w:rsidRPr="004F30F6">
        <w:rPr>
          <w:rFonts w:eastAsia="Calibri" w:cs="Times New Roman"/>
          <w:szCs w:val="26"/>
        </w:rPr>
        <w:t>roposal.</w:t>
      </w:r>
      <w:r w:rsidRPr="004F30F6">
        <w:rPr>
          <w:rFonts w:eastAsia="Calibri" w:cs="Times New Roman"/>
          <w:szCs w:val="26"/>
          <w:vertAlign w:val="superscript"/>
        </w:rPr>
        <w:footnoteReference w:id="92"/>
      </w:r>
    </w:p>
    <w:p w:rsidRPr="004F30F6" w:rsidR="00882054" w:rsidP="00ED36CC" w:rsidRDefault="00882054" w14:paraId="359F93F8" w14:textId="0DB3843C">
      <w:pPr>
        <w:pStyle w:val="Standard"/>
      </w:pPr>
      <w:r w:rsidRPr="000D6FFF">
        <w:rPr>
          <w:rFonts w:eastAsia="Calibri" w:cs="Times New Roman"/>
          <w:szCs w:val="26"/>
        </w:rPr>
        <w:t>Verizon</w:t>
      </w:r>
      <w:r w:rsidR="000D6FFF">
        <w:rPr>
          <w:rFonts w:eastAsia="Calibri" w:cs="Times New Roman"/>
          <w:szCs w:val="26"/>
        </w:rPr>
        <w:t xml:space="preserve"> s</w:t>
      </w:r>
      <w:r w:rsidRPr="004F30F6">
        <w:rPr>
          <w:rFonts w:eastAsia="Calibri" w:cs="Times New Roman"/>
          <w:szCs w:val="26"/>
        </w:rPr>
        <w:t xml:space="preserve">upports </w:t>
      </w:r>
      <w:r w:rsidR="000D6FFF">
        <w:rPr>
          <w:rFonts w:eastAsia="Calibri" w:cs="Times New Roman"/>
          <w:szCs w:val="26"/>
        </w:rPr>
        <w:t>the S</w:t>
      </w:r>
      <w:r w:rsidRPr="004F30F6">
        <w:rPr>
          <w:rFonts w:eastAsia="Calibri" w:cs="Times New Roman"/>
          <w:szCs w:val="26"/>
        </w:rPr>
        <w:t xml:space="preserve">taff </w:t>
      </w:r>
      <w:r w:rsidR="000D6FFF">
        <w:rPr>
          <w:rFonts w:eastAsia="Calibri" w:cs="Times New Roman"/>
          <w:szCs w:val="26"/>
        </w:rPr>
        <w:t>P</w:t>
      </w:r>
      <w:r w:rsidRPr="004F30F6">
        <w:rPr>
          <w:rFonts w:eastAsia="Calibri" w:cs="Times New Roman"/>
          <w:szCs w:val="26"/>
        </w:rPr>
        <w:t>roposal</w:t>
      </w:r>
      <w:r w:rsidR="000D6FFF">
        <w:rPr>
          <w:rFonts w:eastAsia="Calibri" w:cs="Times New Roman"/>
          <w:szCs w:val="26"/>
        </w:rPr>
        <w:t>,</w:t>
      </w:r>
      <w:r w:rsidRPr="004F30F6">
        <w:rPr>
          <w:rFonts w:eastAsia="Calibri" w:cs="Times New Roman"/>
          <w:szCs w:val="26"/>
        </w:rPr>
        <w:t xml:space="preserve"> but recommends the CPUC </w:t>
      </w:r>
      <w:r w:rsidR="0079281E">
        <w:rPr>
          <w:rFonts w:eastAsia="Calibri" w:cs="Times New Roman"/>
          <w:szCs w:val="26"/>
        </w:rPr>
        <w:t>not</w:t>
      </w:r>
      <w:r w:rsidRPr="004F30F6">
        <w:rPr>
          <w:rFonts w:eastAsia="Calibri" w:cs="Times New Roman"/>
          <w:szCs w:val="26"/>
        </w:rPr>
        <w:t xml:space="preserve"> allow standards that conflict with </w:t>
      </w:r>
      <w:r w:rsidR="005B40C8">
        <w:rPr>
          <w:rFonts w:eastAsia="Calibri" w:cs="Times New Roman"/>
          <w:szCs w:val="26"/>
        </w:rPr>
        <w:t>GO</w:t>
      </w:r>
      <w:r w:rsidR="0051059D">
        <w:rPr>
          <w:rFonts w:eastAsia="Calibri" w:cs="Times New Roman"/>
          <w:szCs w:val="26"/>
        </w:rPr>
        <w:t> </w:t>
      </w:r>
      <w:r w:rsidRPr="004F30F6">
        <w:rPr>
          <w:rFonts w:eastAsia="Calibri" w:cs="Times New Roman"/>
          <w:szCs w:val="26"/>
        </w:rPr>
        <w:t>95.</w:t>
      </w:r>
      <w:r w:rsidRPr="004F30F6">
        <w:rPr>
          <w:rFonts w:eastAsia="Calibri" w:cs="Times New Roman"/>
          <w:szCs w:val="26"/>
          <w:vertAlign w:val="superscript"/>
        </w:rPr>
        <w:footnoteReference w:id="93"/>
      </w:r>
    </w:p>
    <w:p w:rsidR="009276BB" w:rsidP="00ED36CC" w:rsidRDefault="002E64C1" w14:paraId="70A2AE17" w14:textId="602A1361">
      <w:pPr>
        <w:pStyle w:val="Heading3"/>
        <w:keepLines w:val="0"/>
      </w:pPr>
      <w:bookmarkStart w:name="_Toc229726757" w:id="41"/>
      <w:r>
        <w:t>Discussion and Findings</w:t>
      </w:r>
      <w:bookmarkEnd w:id="41"/>
    </w:p>
    <w:p w:rsidR="00522B3B" w:rsidP="00ED36CC" w:rsidRDefault="00013960" w14:paraId="2AFAA181" w14:textId="4939B2AC">
      <w:pPr>
        <w:pStyle w:val="Standard"/>
      </w:pPr>
      <w:r>
        <w:t xml:space="preserve">Based on party comments and staff recommendations, we </w:t>
      </w:r>
      <w:r w:rsidR="0069296C">
        <w:t>amend Section</w:t>
      </w:r>
      <w:r w:rsidR="004F08AF">
        <w:t> </w:t>
      </w:r>
      <w:r w:rsidRPr="0069296C" w:rsidR="0069296C">
        <w:t>IV</w:t>
      </w:r>
      <w:r w:rsidR="0069296C">
        <w:t>.</w:t>
      </w:r>
      <w:r>
        <w:t>B.</w:t>
      </w:r>
      <w:r w:rsidR="002A0A5F">
        <w:t xml:space="preserve">2. (Application </w:t>
      </w:r>
      <w:r w:rsidR="00D903ED">
        <w:t xml:space="preserve">Review </w:t>
      </w:r>
      <w:r w:rsidR="002A0A5F">
        <w:t>on the Merits)</w:t>
      </w:r>
      <w:r w:rsidR="0069296C">
        <w:t xml:space="preserve"> of Proposed </w:t>
      </w:r>
      <w:r w:rsidRPr="0069296C" w:rsidR="0069296C">
        <w:t>GO</w:t>
      </w:r>
      <w:r w:rsidR="004F08AF">
        <w:t> </w:t>
      </w:r>
      <w:r w:rsidRPr="0069296C" w:rsidR="0069296C">
        <w:t>178</w:t>
      </w:r>
      <w:r w:rsidR="0069296C">
        <w:t xml:space="preserve"> as follows, and as shown in Attachment</w:t>
      </w:r>
      <w:r w:rsidR="004F08AF">
        <w:t> </w:t>
      </w:r>
      <w:r w:rsidR="0069296C">
        <w:t xml:space="preserve">A </w:t>
      </w:r>
      <w:r w:rsidR="003B24A6">
        <w:t xml:space="preserve">to </w:t>
      </w:r>
      <w:r w:rsidR="0069296C">
        <w:t>this decision</w:t>
      </w:r>
      <w:r w:rsidR="002A0A5F">
        <w:t>:</w:t>
      </w:r>
    </w:p>
    <w:p w:rsidRPr="00E83798" w:rsidR="001A1A38" w:rsidP="001A1A38" w:rsidRDefault="001A1A38" w14:paraId="2DCDCAF7" w14:textId="4A6889E8">
      <w:pPr>
        <w:tabs>
          <w:tab w:val="left" w:pos="1080"/>
        </w:tabs>
        <w:spacing w:after="120" w:line="240" w:lineRule="auto"/>
        <w:ind w:left="720" w:firstLine="0"/>
        <w:rPr>
          <w:rFonts w:ascii="Palatino" w:hAnsi="Palatino" w:eastAsia="Times New Roman" w:cs="Times New Roman"/>
          <w:szCs w:val="20"/>
        </w:rPr>
      </w:pPr>
      <w:r w:rsidRPr="00E83798">
        <w:rPr>
          <w:rFonts w:ascii="Palatino" w:hAnsi="Palatino" w:eastAsia="Times New Roman" w:cs="Times New Roman"/>
          <w:szCs w:val="20"/>
        </w:rPr>
        <w:t xml:space="preserve">A utility shall respond in writing to the written request of </w:t>
      </w:r>
      <w:r w:rsidRPr="00E83798">
        <w:rPr>
          <w:rFonts w:ascii="Palatino" w:hAnsi="Palatino" w:eastAsia="Times New Roman" w:cs="Times New Roman"/>
          <w:i/>
          <w:iCs/>
          <w:color w:val="0915FF"/>
          <w:szCs w:val="20"/>
        </w:rPr>
        <w:t xml:space="preserve">an </w:t>
      </w:r>
      <w:proofErr w:type="spellStart"/>
      <w:r w:rsidRPr="00E83798">
        <w:rPr>
          <w:rFonts w:ascii="Palatino" w:hAnsi="Palatino" w:eastAsia="Times New Roman" w:cs="Times New Roman"/>
          <w:i/>
          <w:iCs/>
          <w:color w:val="0915FF"/>
          <w:szCs w:val="20"/>
        </w:rPr>
        <w:t>attacher</w:t>
      </w:r>
      <w:proofErr w:type="spellEnd"/>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 xml:space="preserve">a telecommunications </w:t>
      </w:r>
      <w:proofErr w:type="spellStart"/>
      <w:r w:rsidRPr="00E83798">
        <w:rPr>
          <w:rFonts w:ascii="Palatino" w:hAnsi="Palatino" w:eastAsia="Times New Roman" w:cs="Times New Roman"/>
          <w:strike/>
          <w:color w:val="FF0000"/>
          <w:szCs w:val="20"/>
        </w:rPr>
        <w:t>carrier,CMRS</w:t>
      </w:r>
      <w:proofErr w:type="spellEnd"/>
      <w:r w:rsidRPr="00E83798">
        <w:rPr>
          <w:rFonts w:ascii="Palatino" w:hAnsi="Palatino" w:eastAsia="Times New Roman" w:cs="Times New Roman"/>
          <w:strike/>
          <w:color w:val="FF0000"/>
          <w:szCs w:val="20"/>
        </w:rPr>
        <w:t xml:space="preserve"> carrier, or cable TV company </w:t>
      </w:r>
      <w:r w:rsidRPr="00E83798">
        <w:rPr>
          <w:rFonts w:ascii="Palatino" w:hAnsi="Palatino" w:eastAsia="Times New Roman" w:cs="Times New Roman"/>
          <w:szCs w:val="20"/>
        </w:rPr>
        <w:t>for access (“request for access”) to its rights</w:t>
      </w:r>
      <w:r w:rsidR="00E4753D">
        <w:rPr>
          <w:rFonts w:ascii="Palatino" w:hAnsi="Palatino" w:eastAsia="Times New Roman" w:cs="Times New Roman"/>
          <w:szCs w:val="20"/>
        </w:rPr>
        <w:noBreakHyphen/>
      </w:r>
      <w:r w:rsidRPr="00E83798">
        <w:rPr>
          <w:rFonts w:ascii="Palatino" w:hAnsi="Palatino" w:eastAsia="Times New Roman" w:cs="Times New Roman"/>
          <w:szCs w:val="20"/>
        </w:rPr>
        <w:t>of</w:t>
      </w:r>
      <w:r w:rsidR="00E4753D">
        <w:rPr>
          <w:rFonts w:ascii="Palatino" w:hAnsi="Palatino" w:eastAsia="Times New Roman" w:cs="Times New Roman"/>
          <w:szCs w:val="20"/>
        </w:rPr>
        <w:noBreakHyphen/>
      </w:r>
      <w:r w:rsidRPr="00E83798">
        <w:rPr>
          <w:rFonts w:ascii="Palatino" w:hAnsi="Palatino" w:eastAsia="Times New Roman" w:cs="Times New Roman"/>
          <w:szCs w:val="20"/>
        </w:rPr>
        <w:t>way and support structures as quickly as possible, by granting access or denying access within 45 days of receipt of a complete application to attach facilities to its utility poles (or within 60 days in the case of larger orders).</w:t>
      </w:r>
      <w:r w:rsidRPr="005A642C">
        <w:rPr>
          <w:rFonts w:ascii="Palatino" w:hAnsi="Palatino" w:eastAsia="Times New Roman" w:cs="Times New Roman"/>
          <w:i/>
          <w:iCs/>
          <w:color w:val="0915FF"/>
          <w:szCs w:val="20"/>
          <w:highlight w:val="yellow"/>
        </w:rPr>
        <w:t xml:space="preserve">  The utility shall evaluate an application based on the design, construction, and maintenance standards that are in effect on the date the application is filed.</w:t>
      </w:r>
    </w:p>
    <w:p w:rsidRPr="00E83798" w:rsidR="001A1A38" w:rsidP="001A1A38" w:rsidRDefault="001A1A38" w14:paraId="4AF021F9" w14:textId="77777777">
      <w:pPr>
        <w:tabs>
          <w:tab w:val="left" w:pos="1080"/>
        </w:tabs>
        <w:spacing w:after="120" w:line="240" w:lineRule="auto"/>
        <w:ind w:left="720" w:firstLine="0"/>
        <w:rPr>
          <w:rFonts w:ascii="Palatino" w:hAnsi="Palatino" w:eastAsia="Times New Roman" w:cs="Times New Roman"/>
          <w:szCs w:val="20"/>
        </w:rPr>
      </w:pPr>
      <w:r w:rsidRPr="00E83798">
        <w:rPr>
          <w:rFonts w:ascii="Palatino" w:hAnsi="Palatino" w:eastAsia="Times New Roman" w:cs="Times New Roman"/>
          <w:szCs w:val="20"/>
        </w:rPr>
        <w:t xml:space="preserve">The response shall affirmatively state whether the utility will grant access or, if it intends to deny access. </w:t>
      </w:r>
    </w:p>
    <w:p w:rsidRPr="00E83798" w:rsidR="001A1A38" w:rsidP="001A1A38" w:rsidRDefault="001A1A38" w14:paraId="795428CB" w14:textId="77777777">
      <w:pPr>
        <w:tabs>
          <w:tab w:val="left" w:pos="1080"/>
        </w:tabs>
        <w:spacing w:after="120" w:line="240" w:lineRule="auto"/>
        <w:ind w:left="720" w:firstLine="0"/>
        <w:rPr>
          <w:rFonts w:ascii="Palatino" w:hAnsi="Palatino" w:eastAsia="Times New Roman" w:cs="Times New Roman"/>
          <w:szCs w:val="20"/>
        </w:rPr>
      </w:pPr>
      <w:r w:rsidRPr="00E83798">
        <w:rPr>
          <w:rFonts w:ascii="Palatino" w:hAnsi="Palatino" w:eastAsia="Times New Roman" w:cs="Times New Roman"/>
          <w:szCs w:val="20"/>
        </w:rPr>
        <w:t>If the utility denies the application on its merits, then its decision shall be specific, shall include all relevant evidence and information supporting its decision, internal design, construction and maintenance standards, and shall explain how such evidence and information relate to a denial of access for reasons of lack of capacity, safety, reliability, or engineering standards.</w:t>
      </w:r>
    </w:p>
    <w:p w:rsidRPr="00E83798" w:rsidR="001A1A38" w:rsidP="001A1A38" w:rsidRDefault="001A1A38" w14:paraId="2CADDDB2" w14:textId="77777777">
      <w:pPr>
        <w:tabs>
          <w:tab w:val="left" w:pos="1080"/>
        </w:tabs>
        <w:spacing w:after="120" w:line="240" w:lineRule="auto"/>
        <w:ind w:left="720" w:firstLine="0"/>
        <w:rPr>
          <w:rFonts w:ascii="Palatino" w:hAnsi="Palatino" w:eastAsia="Times New Roman" w:cs="Times New Roman"/>
          <w:szCs w:val="20"/>
        </w:rPr>
      </w:pPr>
      <w:r w:rsidRPr="00E83798">
        <w:rPr>
          <w:rFonts w:ascii="Palatino" w:hAnsi="Palatino" w:eastAsia="Times New Roman" w:cs="Times New Roman"/>
          <w:szCs w:val="20"/>
        </w:rPr>
        <w:t xml:space="preserve">Failure to respond within 45 days shall be deemed an acceptance of the request for access.  </w:t>
      </w:r>
    </w:p>
    <w:p w:rsidRPr="00E83798" w:rsidR="001A1A38" w:rsidP="001A1A38" w:rsidRDefault="001A1A38" w14:paraId="251EC983" w14:textId="25C6E813">
      <w:pPr>
        <w:tabs>
          <w:tab w:val="left" w:pos="1080"/>
        </w:tabs>
        <w:spacing w:after="120" w:line="240" w:lineRule="auto"/>
        <w:ind w:left="720" w:firstLine="0"/>
        <w:rPr>
          <w:rFonts w:ascii="Palatino" w:hAnsi="Palatino" w:eastAsia="Times New Roman" w:cs="Times New Roman"/>
          <w:szCs w:val="20"/>
        </w:rPr>
      </w:pPr>
      <w:r w:rsidRPr="00E83798">
        <w:rPr>
          <w:rFonts w:ascii="Palatino" w:hAnsi="Palatino" w:eastAsia="Times New Roman" w:cs="Times New Roman"/>
          <w:szCs w:val="20"/>
        </w:rPr>
        <w:lastRenderedPageBreak/>
        <w:t>A </w:t>
      </w:r>
      <w:hyperlink w:history="1" r:id="rId18">
        <w:r w:rsidRPr="00E83798">
          <w:rPr>
            <w:rFonts w:ascii="Palatino" w:hAnsi="Palatino" w:eastAsia="Times New Roman" w:cs="Times New Roman"/>
            <w:szCs w:val="20"/>
          </w:rPr>
          <w:t>utility</w:t>
        </w:r>
      </w:hyperlink>
      <w:r w:rsidRPr="00E83798">
        <w:rPr>
          <w:rFonts w:ascii="Palatino" w:hAnsi="Palatino" w:eastAsia="Times New Roman" w:cs="Times New Roman"/>
          <w:szCs w:val="20"/>
        </w:rPr>
        <w:t> may not deny the new attacher pole access based on a preexisting violation not caused by any prior attachments of the new attacher.</w:t>
      </w:r>
    </w:p>
    <w:p w:rsidRPr="00E83798" w:rsidR="001A1A38" w:rsidP="001A1A38" w:rsidRDefault="001A1A38" w14:paraId="292563E2" w14:textId="77777777">
      <w:pPr>
        <w:tabs>
          <w:tab w:val="left" w:pos="1080"/>
        </w:tabs>
        <w:spacing w:after="120" w:line="240" w:lineRule="auto"/>
        <w:ind w:left="1080" w:hanging="360"/>
        <w:rPr>
          <w:rFonts w:ascii="Palatino" w:hAnsi="Palatino" w:eastAsia="Times New Roman" w:cs="Times New Roman"/>
          <w:szCs w:val="20"/>
        </w:rPr>
      </w:pPr>
      <w:r w:rsidRPr="00E83798">
        <w:rPr>
          <w:rFonts w:ascii="Palatino" w:hAnsi="Palatino" w:eastAsia="Times New Roman" w:cs="Times New Roman"/>
          <w:szCs w:val="20"/>
        </w:rPr>
        <w:t xml:space="preserve">a. </w:t>
      </w:r>
      <w:r w:rsidRPr="00E83798">
        <w:rPr>
          <w:rFonts w:ascii="Palatino" w:hAnsi="Palatino" w:eastAsia="Times New Roman" w:cs="Times New Roman"/>
          <w:szCs w:val="20"/>
        </w:rPr>
        <w:tab/>
        <w:t xml:space="preserve">If, pursuant to a request for access, the utility has notified the </w:t>
      </w:r>
      <w:r w:rsidRPr="00E83798">
        <w:rPr>
          <w:rFonts w:ascii="Palatino" w:hAnsi="Palatino" w:eastAsia="Times New Roman" w:cs="Times New Roman"/>
          <w:i/>
          <w:iCs/>
          <w:color w:val="0915FF"/>
          <w:szCs w:val="20"/>
        </w:rPr>
        <w:t>attacher</w:t>
      </w:r>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telecommunication carrier,</w:t>
      </w:r>
      <w:r w:rsidRPr="00E83798">
        <w:rPr>
          <w:rFonts w:ascii="Palatino" w:hAnsi="Palatino" w:eastAsia="Times New Roman" w:cs="Times New Roman"/>
          <w:i/>
          <w:iCs/>
          <w:strike/>
          <w:color w:val="FF0000"/>
          <w:szCs w:val="20"/>
        </w:rPr>
        <w:t xml:space="preserve"> </w:t>
      </w:r>
      <w:r w:rsidRPr="00E83798">
        <w:rPr>
          <w:rFonts w:ascii="Palatino" w:hAnsi="Palatino" w:eastAsia="Times New Roman" w:cs="Times New Roman"/>
          <w:strike/>
          <w:color w:val="FF0000"/>
          <w:szCs w:val="20"/>
        </w:rPr>
        <w:t>CMRS carrier, or cable TV company</w:t>
      </w:r>
      <w:r w:rsidRPr="00E83798">
        <w:rPr>
          <w:rFonts w:ascii="Palatino" w:hAnsi="Palatino" w:eastAsia="Times New Roman" w:cs="Times New Roman"/>
          <w:color w:val="FF0000"/>
          <w:szCs w:val="20"/>
        </w:rPr>
        <w:t xml:space="preserve"> </w:t>
      </w:r>
      <w:r w:rsidRPr="00E83798">
        <w:rPr>
          <w:rFonts w:ascii="Palatino" w:hAnsi="Palatino" w:eastAsia="Times New Roman" w:cs="Times New Roman"/>
          <w:szCs w:val="20"/>
        </w:rPr>
        <w:t xml:space="preserve">that both adequate space and strength are available for the attachment, and the entity seeking access advises the utility in writing that it wants to make the attachment, the utility shall provide this entity with a list of the rearrangements or changes required to accommodate the entity’s facilities and an estimate of the time required and the cost to perform the utility’s portion of such rearrangements or changes according to the requirements of Section IV.b.4 (Estimates).  </w:t>
      </w:r>
      <w:r w:rsidRPr="00E83798">
        <w:rPr>
          <w:rFonts w:ascii="Palatino" w:hAnsi="Palatino" w:eastAsia="Times New Roman" w:cs="Times New Roman"/>
          <w:i/>
          <w:iCs/>
          <w:color w:val="0915FF"/>
          <w:szCs w:val="20"/>
        </w:rPr>
        <w:t>If there is deviation from those costs all being assigned to the attacher, the utility shall clearly communicate the breakdown and assignment of those costs.</w:t>
      </w:r>
    </w:p>
    <w:p w:rsidRPr="00E83798" w:rsidR="001A1A38" w:rsidP="001A1A38" w:rsidRDefault="001A1A38" w14:paraId="1A759EE9" w14:textId="77777777">
      <w:pPr>
        <w:tabs>
          <w:tab w:val="left" w:pos="1080"/>
        </w:tabs>
        <w:spacing w:after="120" w:line="240" w:lineRule="auto"/>
        <w:ind w:left="1080" w:hanging="360"/>
        <w:rPr>
          <w:rFonts w:ascii="Palatino" w:hAnsi="Palatino" w:eastAsia="Times New Roman" w:cs="Times New Roman"/>
          <w:szCs w:val="20"/>
        </w:rPr>
      </w:pPr>
      <w:r w:rsidRPr="00E83798">
        <w:rPr>
          <w:rFonts w:ascii="Palatino" w:hAnsi="Palatino" w:eastAsia="Times New Roman" w:cs="Times New Roman"/>
          <w:szCs w:val="20"/>
        </w:rPr>
        <w:t xml:space="preserve">b. </w:t>
      </w:r>
      <w:r w:rsidRPr="00E83798">
        <w:rPr>
          <w:rFonts w:ascii="Palatino" w:hAnsi="Palatino" w:eastAsia="Times New Roman" w:cs="Times New Roman"/>
          <w:szCs w:val="20"/>
        </w:rPr>
        <w:tab/>
        <w:t xml:space="preserve">If the utility does not own the property on which its support structures are located, the </w:t>
      </w:r>
      <w:r w:rsidRPr="00E83798">
        <w:rPr>
          <w:rFonts w:ascii="Palatino" w:hAnsi="Palatino" w:eastAsia="Times New Roman" w:cs="Times New Roman"/>
          <w:i/>
          <w:iCs/>
          <w:color w:val="0915FF"/>
          <w:szCs w:val="20"/>
        </w:rPr>
        <w:t>attacher</w:t>
      </w:r>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 xml:space="preserve">telecommunication carrier, CMRS carrier, or cable TV company </w:t>
      </w:r>
      <w:r w:rsidRPr="00E83798">
        <w:rPr>
          <w:rFonts w:ascii="Palatino" w:hAnsi="Palatino" w:eastAsia="Times New Roman" w:cs="Times New Roman"/>
          <w:szCs w:val="20"/>
        </w:rPr>
        <w:t xml:space="preserve">must obtain written permission from the owner of that property before attaching or installing its facilities.  The </w:t>
      </w:r>
      <w:r w:rsidRPr="00E83798">
        <w:rPr>
          <w:rFonts w:ascii="Palatino" w:hAnsi="Palatino" w:eastAsia="Times New Roman" w:cs="Times New Roman"/>
          <w:i/>
          <w:iCs/>
          <w:color w:val="0915FF"/>
          <w:szCs w:val="20"/>
        </w:rPr>
        <w:t>attacher</w:t>
      </w:r>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telecommunication carrier, CMRS carrier, or cable TV company</w:t>
      </w:r>
      <w:r w:rsidRPr="00E83798">
        <w:rPr>
          <w:rFonts w:ascii="Palatino" w:hAnsi="Palatino" w:eastAsia="Times New Roman" w:cs="Times New Roman"/>
          <w:szCs w:val="20"/>
        </w:rPr>
        <w:t xml:space="preserve"> by using such facilities shall defend and indemnify the owner of the utility facilities, if its franchise or other rights to use the real property are challenged as a result of the</w:t>
      </w:r>
      <w:r w:rsidRPr="00E83798">
        <w:rPr>
          <w:rFonts w:ascii="Palatino" w:hAnsi="Palatino" w:eastAsia="Times New Roman" w:cs="Times New Roman"/>
          <w:i/>
          <w:iCs/>
          <w:color w:val="0915FF"/>
          <w:szCs w:val="20"/>
        </w:rPr>
        <w:t xml:space="preserve"> attacher’s</w:t>
      </w:r>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telecommunication carrier’s, CMRS carrier’s, or the cable TV company’s</w:t>
      </w:r>
      <w:r w:rsidRPr="00E83798">
        <w:rPr>
          <w:rFonts w:ascii="Palatino" w:hAnsi="Palatino" w:eastAsia="Times New Roman" w:cs="Times New Roman"/>
          <w:szCs w:val="20"/>
        </w:rPr>
        <w:t xml:space="preserve"> use or attachment.</w:t>
      </w:r>
    </w:p>
    <w:p w:rsidR="001A1A38" w:rsidP="001A1A38" w:rsidRDefault="001A1A38" w14:paraId="2D5E00E6" w14:textId="3AE4199F">
      <w:pPr>
        <w:pStyle w:val="Standard"/>
      </w:pPr>
      <w:r>
        <w:t>In addition, we make the following amendments to Attachment A, IV.I.:</w:t>
      </w:r>
    </w:p>
    <w:p w:rsidR="001A1A38" w:rsidP="001A1A38" w:rsidRDefault="00017E2E" w14:paraId="0A555080" w14:textId="5BB7BD6E">
      <w:pPr>
        <w:tabs>
          <w:tab w:val="left" w:pos="1080"/>
        </w:tabs>
        <w:spacing w:after="120" w:line="240" w:lineRule="auto"/>
        <w:ind w:firstLine="0"/>
        <w:rPr>
          <w:rFonts w:ascii="Palatino" w:hAnsi="Palatino" w:eastAsia="Times New Roman" w:cs="Times New Roman"/>
          <w:i/>
          <w:iCs/>
          <w:color w:val="0000FF"/>
          <w:szCs w:val="20"/>
        </w:rPr>
      </w:pPr>
      <w:r>
        <w:rPr>
          <w:rFonts w:ascii="Palatino" w:hAnsi="Palatino" w:eastAsia="Times New Roman" w:cs="Times New Roman"/>
          <w:i/>
          <w:iCs/>
          <w:color w:val="0000FF"/>
          <w:szCs w:val="20"/>
        </w:rPr>
        <w:t>1.</w:t>
      </w:r>
      <w:r w:rsidRPr="00E83798" w:rsidR="001A1A38">
        <w:rPr>
          <w:rFonts w:ascii="Palatino" w:hAnsi="Palatino" w:eastAsia="Times New Roman" w:cs="Times New Roman"/>
          <w:i/>
          <w:iCs/>
          <w:color w:val="0000FF"/>
          <w:szCs w:val="20"/>
        </w:rPr>
        <w:tab/>
      </w:r>
      <w:r w:rsidRPr="00667D38" w:rsidR="001A1A38">
        <w:rPr>
          <w:rFonts w:ascii="Palatino" w:hAnsi="Palatino" w:eastAsia="Times New Roman" w:cs="Times New Roman"/>
          <w:i/>
          <w:iCs/>
          <w:color w:val="0000FF"/>
          <w:szCs w:val="20"/>
          <w:highlight w:val="yellow"/>
        </w:rPr>
        <w:t xml:space="preserve">All incumbent utility </w:t>
      </w:r>
      <w:r w:rsidR="001A1A38">
        <w:rPr>
          <w:rFonts w:ascii="Palatino" w:hAnsi="Palatino" w:eastAsia="Times New Roman" w:cs="Times New Roman"/>
          <w:i/>
          <w:iCs/>
          <w:color w:val="0000FF"/>
          <w:szCs w:val="20"/>
          <w:highlight w:val="yellow"/>
        </w:rPr>
        <w:t xml:space="preserve">standards, rules and </w:t>
      </w:r>
      <w:r w:rsidRPr="00667D38" w:rsidR="001A1A38">
        <w:rPr>
          <w:rFonts w:ascii="Palatino" w:hAnsi="Palatino" w:eastAsia="Times New Roman" w:cs="Times New Roman"/>
          <w:i/>
          <w:iCs/>
          <w:color w:val="0000FF"/>
          <w:szCs w:val="20"/>
          <w:highlight w:val="yellow"/>
        </w:rPr>
        <w:t xml:space="preserve">requirements for </w:t>
      </w:r>
      <w:r w:rsidRPr="00757EFD" w:rsidR="001A1A38">
        <w:rPr>
          <w:rFonts w:ascii="Palatino" w:hAnsi="Palatino" w:eastAsia="Times New Roman" w:cs="Times New Roman"/>
          <w:i/>
          <w:iCs/>
          <w:color w:val="0000FF"/>
          <w:szCs w:val="20"/>
          <w:highlight w:val="yellow"/>
        </w:rPr>
        <w:t>access to rights of way or associated support structures shall be made publicly available.</w:t>
      </w:r>
    </w:p>
    <w:p w:rsidRPr="00E83798" w:rsidR="001A1A38" w:rsidP="001A1A38" w:rsidRDefault="00017E2E" w14:paraId="05FDE2EB" w14:textId="32EB088B">
      <w:pPr>
        <w:tabs>
          <w:tab w:val="left" w:pos="1080"/>
        </w:tabs>
        <w:spacing w:after="120" w:line="240" w:lineRule="auto"/>
        <w:ind w:firstLine="0"/>
        <w:rPr>
          <w:rFonts w:ascii="Palatino" w:hAnsi="Palatino" w:eastAsia="Times New Roman" w:cs="Times New Roman"/>
          <w:i/>
          <w:iCs/>
          <w:color w:val="0000FF"/>
          <w:szCs w:val="20"/>
        </w:rPr>
      </w:pPr>
      <w:r>
        <w:rPr>
          <w:rFonts w:ascii="Palatino" w:hAnsi="Palatino" w:eastAsia="Times New Roman" w:cs="Times New Roman"/>
          <w:i/>
          <w:iCs/>
          <w:color w:val="0000FF"/>
          <w:szCs w:val="20"/>
        </w:rPr>
        <w:t>2.</w:t>
      </w:r>
      <w:r w:rsidRPr="00E83798" w:rsidR="001A1A38">
        <w:rPr>
          <w:rFonts w:ascii="Palatino" w:hAnsi="Palatino" w:eastAsia="Times New Roman" w:cs="Times New Roman"/>
          <w:i/>
          <w:iCs/>
          <w:color w:val="0000FF"/>
          <w:szCs w:val="20"/>
        </w:rPr>
        <w:tab/>
        <w:t xml:space="preserve">All incumbent utility internal design, construction and maintenance standards </w:t>
      </w:r>
      <w:r w:rsidRPr="00E57118" w:rsidR="001A1A38">
        <w:rPr>
          <w:rFonts w:ascii="Palatino" w:hAnsi="Palatino" w:eastAsia="Times New Roman" w:cs="Times New Roman"/>
          <w:i/>
          <w:iCs/>
          <w:color w:val="0000FF"/>
          <w:szCs w:val="20"/>
          <w:highlight w:val="yellow"/>
        </w:rPr>
        <w:t xml:space="preserve">relevant to the construction and access of facilities subject to this General Order </w:t>
      </w:r>
      <w:r w:rsidRPr="00E57118" w:rsidR="001A1A38">
        <w:rPr>
          <w:rFonts w:ascii="Palatino" w:hAnsi="Palatino" w:eastAsia="Times New Roman" w:cs="Times New Roman"/>
          <w:strike/>
          <w:color w:val="FF0000"/>
          <w:szCs w:val="20"/>
          <w:highlight w:val="yellow"/>
        </w:rPr>
        <w:t xml:space="preserve">that </w:t>
      </w:r>
      <w:r w:rsidRPr="00F178A4" w:rsidR="001A1A38">
        <w:rPr>
          <w:rFonts w:ascii="Palatino" w:hAnsi="Palatino" w:eastAsia="Times New Roman" w:cs="Times New Roman"/>
          <w:strike/>
          <w:color w:val="FF0000"/>
          <w:szCs w:val="20"/>
          <w:highlight w:val="yellow"/>
        </w:rPr>
        <w:t>diverge from the Commission’s General Orders</w:t>
      </w:r>
      <w:r w:rsidRPr="0028435C" w:rsidR="001A1A38">
        <w:rPr>
          <w:rFonts w:ascii="Palatino" w:hAnsi="Palatino" w:eastAsia="Times New Roman" w:cs="Times New Roman"/>
          <w:i/>
          <w:iCs/>
          <w:color w:val="0000FF"/>
          <w:szCs w:val="20"/>
        </w:rPr>
        <w:t xml:space="preserve"> shall be made publicly available. </w:t>
      </w:r>
    </w:p>
    <w:p w:rsidRPr="00E83798" w:rsidR="001A1A38" w:rsidP="001E34AF" w:rsidRDefault="00017E2E" w14:paraId="77F70F7C" w14:textId="7DB37F54">
      <w:pPr>
        <w:tabs>
          <w:tab w:val="left" w:pos="1080"/>
        </w:tabs>
        <w:spacing w:after="240" w:line="240" w:lineRule="auto"/>
        <w:ind w:left="720" w:firstLine="0"/>
        <w:rPr>
          <w:rFonts w:ascii="Palatino" w:hAnsi="Palatino" w:eastAsia="Times New Roman" w:cs="Times New Roman"/>
          <w:i/>
          <w:iCs/>
          <w:color w:val="0000FF"/>
          <w:szCs w:val="20"/>
        </w:rPr>
      </w:pPr>
      <w:r>
        <w:rPr>
          <w:rFonts w:ascii="Palatino" w:hAnsi="Palatino" w:eastAsia="Times New Roman" w:cs="Times New Roman"/>
          <w:i/>
          <w:iCs/>
          <w:color w:val="0000FF"/>
          <w:szCs w:val="20"/>
        </w:rPr>
        <w:t>a.</w:t>
      </w:r>
      <w:r w:rsidRPr="00E83798" w:rsidR="001A1A38">
        <w:rPr>
          <w:rFonts w:ascii="Palatino" w:hAnsi="Palatino" w:eastAsia="Times New Roman" w:cs="Times New Roman"/>
          <w:i/>
          <w:iCs/>
          <w:color w:val="0000FF"/>
          <w:szCs w:val="20"/>
        </w:rPr>
        <w:tab/>
        <w:t>All attachers to the incumbent utility’s facilities shall be notified of any proposed changes to these standards</w:t>
      </w:r>
      <w:r w:rsidRPr="00CC696B" w:rsidR="001A1A38">
        <w:rPr>
          <w:rFonts w:ascii="Palatino" w:hAnsi="Palatino" w:eastAsia="Times New Roman" w:cs="Times New Roman"/>
          <w:i/>
          <w:iCs/>
          <w:color w:val="0000FF"/>
          <w:szCs w:val="20"/>
          <w:highlight w:val="yellow"/>
        </w:rPr>
        <w:t>, rule</w:t>
      </w:r>
      <w:r w:rsidR="00517AF7">
        <w:rPr>
          <w:rFonts w:ascii="Palatino" w:hAnsi="Palatino" w:eastAsia="Times New Roman" w:cs="Times New Roman"/>
          <w:i/>
          <w:iCs/>
          <w:color w:val="0000FF"/>
          <w:szCs w:val="20"/>
          <w:highlight w:val="yellow"/>
        </w:rPr>
        <w:t>s</w:t>
      </w:r>
      <w:r w:rsidRPr="00CC696B" w:rsidR="001A1A38">
        <w:rPr>
          <w:rFonts w:ascii="Palatino" w:hAnsi="Palatino" w:eastAsia="Times New Roman" w:cs="Times New Roman"/>
          <w:i/>
          <w:iCs/>
          <w:color w:val="0000FF"/>
          <w:szCs w:val="20"/>
          <w:highlight w:val="yellow"/>
        </w:rPr>
        <w:t xml:space="preserve"> and requirements</w:t>
      </w:r>
      <w:r w:rsidRPr="00E83798" w:rsidR="001A1A38">
        <w:rPr>
          <w:rFonts w:ascii="Palatino" w:hAnsi="Palatino" w:eastAsia="Times New Roman" w:cs="Times New Roman"/>
          <w:i/>
          <w:iCs/>
          <w:color w:val="0000FF"/>
          <w:szCs w:val="20"/>
        </w:rPr>
        <w:t xml:space="preserve">. </w:t>
      </w:r>
    </w:p>
    <w:p w:rsidRPr="00522B3B" w:rsidR="00E55EC6" w:rsidP="00ED36CC" w:rsidRDefault="00A97719" w14:paraId="74EF9CA4" w14:textId="5C1618ED">
      <w:pPr>
        <w:pStyle w:val="Standard"/>
      </w:pPr>
      <w:r>
        <w:t xml:space="preserve">We believe it </w:t>
      </w:r>
      <w:r w:rsidR="003E4192">
        <w:t xml:space="preserve">is </w:t>
      </w:r>
      <w:r>
        <w:t>prudent</w:t>
      </w:r>
      <w:r w:rsidR="00CE06FC">
        <w:t>, based on California Broadband and Video Association</w:t>
      </w:r>
      <w:r w:rsidR="00410529">
        <w:t>’</w:t>
      </w:r>
      <w:r w:rsidR="00CE06FC">
        <w:t>s recommendation,</w:t>
      </w:r>
      <w:r>
        <w:t xml:space="preserve"> to require that pole owners must process attacher </w:t>
      </w:r>
      <w:r>
        <w:lastRenderedPageBreak/>
        <w:t>applications based on the stand due</w:t>
      </w:r>
      <w:r w:rsidR="00E4753D">
        <w:noBreakHyphen/>
      </w:r>
      <w:r>
        <w:t xml:space="preserve">date that is in effect at the time the </w:t>
      </w:r>
      <w:r w:rsidR="00CE06FC">
        <w:t>application is filed.</w:t>
      </w:r>
    </w:p>
    <w:p w:rsidR="00E26F1D" w:rsidP="00C21D2B" w:rsidRDefault="00427A74" w14:paraId="3A6488F9" w14:textId="5678E55D">
      <w:pPr>
        <w:pStyle w:val="Standard"/>
      </w:pPr>
      <w:r>
        <w:t xml:space="preserve">Second, </w:t>
      </w:r>
      <w:r w:rsidR="005C101B">
        <w:t>based on CTIA</w:t>
      </w:r>
      <w:r w:rsidR="00410529">
        <w:t>’</w:t>
      </w:r>
      <w:r w:rsidR="005C101B">
        <w:t xml:space="preserve">s recommendation, </w:t>
      </w:r>
      <w:r>
        <w:t>we have added a</w:t>
      </w:r>
      <w:r w:rsidR="00054F1C">
        <w:t xml:space="preserve"> provision requiring </w:t>
      </w:r>
      <w:r w:rsidRPr="00403B01" w:rsidR="00DD4B61">
        <w:t>pole owners to disclose/post all internal design, construction</w:t>
      </w:r>
      <w:r w:rsidR="00BB2707">
        <w:t>,</w:t>
      </w:r>
      <w:r w:rsidRPr="00403B01" w:rsidR="00DD4B61">
        <w:t xml:space="preserve"> and maintenance standards, not just those that </w:t>
      </w:r>
      <w:r w:rsidR="00410529">
        <w:t>“</w:t>
      </w:r>
      <w:r w:rsidRPr="00403B01" w:rsidR="00DD4B61">
        <w:t>diverge from the Commission</w:t>
      </w:r>
      <w:r w:rsidR="00410529">
        <w:t>’</w:t>
      </w:r>
      <w:r w:rsidRPr="00403B01" w:rsidR="00DD4B61">
        <w:t>s General Orders.</w:t>
      </w:r>
      <w:r w:rsidR="00410529">
        <w:t>”</w:t>
      </w:r>
      <w:r w:rsidRPr="00403B01" w:rsidR="00DD4B61">
        <w:t xml:space="preserve"> This </w:t>
      </w:r>
      <w:r w:rsidR="00BB2707">
        <w:t xml:space="preserve">change </w:t>
      </w:r>
      <w:r w:rsidR="00A75244">
        <w:t>is intended to</w:t>
      </w:r>
      <w:r w:rsidR="00BB2707">
        <w:t xml:space="preserve"> resolve the </w:t>
      </w:r>
      <w:r w:rsidRPr="00403B01" w:rsidR="00DD4B61">
        <w:t xml:space="preserve">ambiguity of </w:t>
      </w:r>
      <w:r w:rsidR="00BB2707">
        <w:t xml:space="preserve">the </w:t>
      </w:r>
      <w:r w:rsidRPr="00403B01" w:rsidR="00DD4B61">
        <w:t xml:space="preserve">term </w:t>
      </w:r>
      <w:r w:rsidR="00410529">
        <w:t>“</w:t>
      </w:r>
      <w:r w:rsidRPr="00403B01" w:rsidR="00DD4B61">
        <w:t>diverge</w:t>
      </w:r>
      <w:r w:rsidR="00A75244">
        <w:t>.</w:t>
      </w:r>
      <w:r w:rsidR="00410529">
        <w:t>”</w:t>
      </w:r>
    </w:p>
    <w:p w:rsidRPr="00403B01" w:rsidR="00AC66E9" w:rsidP="00C21D2B" w:rsidRDefault="00AC66E9" w14:paraId="312617E7" w14:textId="49C58AA4">
      <w:pPr>
        <w:pStyle w:val="Standard"/>
      </w:pPr>
      <w:r>
        <w:t>Finally, we have clarified, as PG&amp;E has recommended, that the relevant internal standards are for the pole attachment process and not unrelated company standards.</w:t>
      </w:r>
    </w:p>
    <w:p w:rsidRPr="00713FCB" w:rsidR="00713FCB" w:rsidP="00ED36CC" w:rsidRDefault="0029394C" w14:paraId="54572BF9" w14:textId="5C448836">
      <w:pPr>
        <w:pStyle w:val="Heading2"/>
        <w:keepLines w:val="0"/>
      </w:pPr>
      <w:bookmarkStart w:name="_Toc229726758" w:id="42"/>
      <w:r>
        <w:t>Pole Replacement Prioritization</w:t>
      </w:r>
      <w:r w:rsidR="00D75F21">
        <w:br/>
      </w:r>
      <w:r>
        <w:t>and Self Help for Attachers</w:t>
      </w:r>
      <w:bookmarkEnd w:id="42"/>
    </w:p>
    <w:p w:rsidR="00AC56C2" w:rsidP="00ED36CC" w:rsidRDefault="001F0F9A" w14:paraId="35054399" w14:textId="1F32E061">
      <w:pPr>
        <w:pStyle w:val="Heading3"/>
        <w:keepLines w:val="0"/>
      </w:pPr>
      <w:bookmarkStart w:name="_Toc229726759" w:id="43"/>
      <w:r>
        <w:t xml:space="preserve">ROW </w:t>
      </w:r>
      <w:r w:rsidR="00F71122">
        <w:t>Ruling Background</w:t>
      </w:r>
      <w:r w:rsidR="00D75F21">
        <w:br/>
      </w:r>
      <w:r w:rsidR="00F71122">
        <w:t>and Staff Proposal</w:t>
      </w:r>
      <w:bookmarkEnd w:id="43"/>
    </w:p>
    <w:p w:rsidRPr="007D08A2" w:rsidR="00BA0652" w:rsidP="00ED36CC" w:rsidRDefault="00BA0652" w14:paraId="3FA75B8F" w14:textId="57081139">
      <w:pPr>
        <w:pStyle w:val="Standard"/>
        <w:rPr>
          <w:b/>
          <w:bCs/>
          <w:szCs w:val="26"/>
        </w:rPr>
      </w:pPr>
      <w:r w:rsidRPr="007D08A2">
        <w:rPr>
          <w:szCs w:val="26"/>
        </w:rPr>
        <w:t>Various communications attachers have indicated over the course of this proceeding that delays in replacing overloaded utility poles</w:t>
      </w:r>
      <w:r w:rsidR="00ED4B15">
        <w:rPr>
          <w:szCs w:val="26"/>
        </w:rPr>
        <w:t xml:space="preserve"> — </w:t>
      </w:r>
      <w:r w:rsidRPr="007D08A2">
        <w:rPr>
          <w:szCs w:val="26"/>
        </w:rPr>
        <w:t xml:space="preserve">or utility poles that would become overloaded with </w:t>
      </w:r>
      <w:r w:rsidR="00B16954">
        <w:rPr>
          <w:szCs w:val="26"/>
        </w:rPr>
        <w:t xml:space="preserve">the </w:t>
      </w:r>
      <w:r w:rsidRPr="007D08A2">
        <w:rPr>
          <w:szCs w:val="26"/>
        </w:rPr>
        <w:t>placement of additional attachments</w:t>
      </w:r>
      <w:r w:rsidR="00ED4B15">
        <w:rPr>
          <w:szCs w:val="26"/>
        </w:rPr>
        <w:t xml:space="preserve"> — </w:t>
      </w:r>
      <w:r w:rsidRPr="007D08A2">
        <w:rPr>
          <w:szCs w:val="26"/>
        </w:rPr>
        <w:t>causes significant delays in deploying broadband infrastructure. The attachers suggest these delays may result in additional project costs, make projects infeasible, and ultimately may hinder the achievement of the state</w:t>
      </w:r>
      <w:r w:rsidR="00410529">
        <w:rPr>
          <w:szCs w:val="26"/>
        </w:rPr>
        <w:t>’</w:t>
      </w:r>
      <w:r w:rsidRPr="007D08A2">
        <w:rPr>
          <w:szCs w:val="26"/>
        </w:rPr>
        <w:t>s broadband deployment objectives.</w:t>
      </w:r>
    </w:p>
    <w:p w:rsidRPr="007D08A2" w:rsidR="00BA0652" w:rsidP="00ED36CC" w:rsidRDefault="00BA0652" w14:paraId="127063C1" w14:textId="2F50C1F9">
      <w:pPr>
        <w:pStyle w:val="Standard"/>
        <w:rPr>
          <w:szCs w:val="26"/>
        </w:rPr>
      </w:pPr>
      <w:r w:rsidRPr="007D08A2">
        <w:rPr>
          <w:szCs w:val="26"/>
        </w:rPr>
        <w:t>Existing rules (</w:t>
      </w:r>
      <w:r w:rsidR="005B40C8">
        <w:rPr>
          <w:szCs w:val="26"/>
        </w:rPr>
        <w:t>GO</w:t>
      </w:r>
      <w:r w:rsidR="0051059D">
        <w:rPr>
          <w:szCs w:val="26"/>
        </w:rPr>
        <w:t> </w:t>
      </w:r>
      <w:r w:rsidRPr="007D08A2">
        <w:rPr>
          <w:szCs w:val="26"/>
        </w:rPr>
        <w:t>95</w:t>
      </w:r>
      <w:r w:rsidR="00C5285D">
        <w:rPr>
          <w:szCs w:val="26"/>
        </w:rPr>
        <w:t>,</w:t>
      </w:r>
      <w:r w:rsidRPr="007D08A2">
        <w:rPr>
          <w:szCs w:val="26"/>
        </w:rPr>
        <w:t xml:space="preserve"> </w:t>
      </w:r>
      <w:r w:rsidR="00A929DC">
        <w:rPr>
          <w:szCs w:val="26"/>
        </w:rPr>
        <w:t>Rule</w:t>
      </w:r>
      <w:r w:rsidR="0051059D">
        <w:rPr>
          <w:szCs w:val="26"/>
        </w:rPr>
        <w:t> </w:t>
      </w:r>
      <w:r w:rsidRPr="007D08A2">
        <w:rPr>
          <w:szCs w:val="26"/>
        </w:rPr>
        <w:t>18</w:t>
      </w:r>
      <w:r w:rsidR="00E4753D">
        <w:rPr>
          <w:szCs w:val="26"/>
        </w:rPr>
        <w:noBreakHyphen/>
      </w:r>
      <w:r w:rsidRPr="007D08A2">
        <w:rPr>
          <w:szCs w:val="26"/>
        </w:rPr>
        <w:t>B) permit pole owners to delay addressing poles that are out of compliance for as long as 60 months. Since the poles are out of compliance, no new attachments to these poles may be made until the poles are repaired or replaced.</w:t>
      </w:r>
    </w:p>
    <w:p w:rsidR="00E26F1D" w:rsidP="00ED36CC" w:rsidRDefault="00BA0652" w14:paraId="60A5345F" w14:textId="4AC51E05">
      <w:pPr>
        <w:pStyle w:val="Standard"/>
        <w:rPr>
          <w:szCs w:val="26"/>
        </w:rPr>
      </w:pPr>
      <w:r w:rsidRPr="007D08A2">
        <w:rPr>
          <w:szCs w:val="26"/>
        </w:rPr>
        <w:t xml:space="preserve">Electric utilities suggest that pole replacements for purposes of broadband deployment should not be prioritized over other maintenance work, as these </w:t>
      </w:r>
      <w:r w:rsidRPr="007D08A2">
        <w:rPr>
          <w:szCs w:val="26"/>
        </w:rPr>
        <w:lastRenderedPageBreak/>
        <w:t>maintenance schedules are developed well in advance to allow time for design, followed by the procurement and delivery of poles and related construction materials, and efficient deployment of either internal or external crews.</w:t>
      </w:r>
    </w:p>
    <w:p w:rsidR="00F71122" w:rsidP="009F68DB" w:rsidRDefault="00CD0FAB" w14:paraId="6B360832" w14:textId="75E31ACE">
      <w:pPr>
        <w:pStyle w:val="Standard"/>
        <w:keepNext/>
      </w:pPr>
      <w:r>
        <w:t>Based on the foregoing, t</w:t>
      </w:r>
      <w:r w:rsidR="009815FB">
        <w:t>he Staff Proposal</w:t>
      </w:r>
      <w:r>
        <w:t xml:space="preserve"> included the following proposals</w:t>
      </w:r>
      <w:r w:rsidR="00410529">
        <w:t>:</w:t>
      </w:r>
    </w:p>
    <w:p w:rsidRPr="007D08A2" w:rsidR="00715360" w:rsidRDefault="00715360" w14:paraId="43534B44" w14:textId="682D971D">
      <w:pPr>
        <w:pStyle w:val="BlockQuoteBullet1"/>
        <w:numPr>
          <w:ilvl w:val="0"/>
          <w:numId w:val="11"/>
        </w:numPr>
        <w:ind w:left="1080"/>
        <w:rPr>
          <w:szCs w:val="26"/>
        </w:rPr>
      </w:pPr>
      <w:r w:rsidRPr="007D08A2">
        <w:rPr>
          <w:szCs w:val="26"/>
          <w:u w:val="single"/>
        </w:rPr>
        <w:t>Require Pole Owners to Perform Replacements</w:t>
      </w:r>
      <w:r w:rsidRPr="00A07CA9" w:rsidR="00A07CA9">
        <w:rPr>
          <w:szCs w:val="26"/>
        </w:rPr>
        <w:t>.</w:t>
      </w:r>
      <w:r w:rsidRPr="007D08A2">
        <w:rPr>
          <w:szCs w:val="26"/>
        </w:rPr>
        <w:t xml:space="preserve"> Staff proposes that the Commission require electric utilities to replace poles upon receipt of a completed request for attachment. Staff believes that requiring the poles to be replaced </w:t>
      </w:r>
      <w:r w:rsidRPr="005752A6">
        <w:t>within</w:t>
      </w:r>
      <w:r w:rsidRPr="007D08A2">
        <w:rPr>
          <w:szCs w:val="26"/>
        </w:rPr>
        <w:t xml:space="preserve"> a certain period of time may give the utilities the ability to rearrange workload to minimize impact (</w:t>
      </w:r>
      <w:r w:rsidRPr="007D08A2">
        <w:rPr>
          <w:i/>
          <w:iCs/>
          <w:szCs w:val="26"/>
        </w:rPr>
        <w:t>i.e</w:t>
      </w:r>
      <w:r w:rsidRPr="007D08A2">
        <w:rPr>
          <w:szCs w:val="26"/>
        </w:rPr>
        <w:t>., replace poles within 6 months or 1 year). Additionally, Staff believes that incentives could be provided by having the new attacher contribute additional funding for the pole replacements (</w:t>
      </w:r>
      <w:r w:rsidRPr="007D08A2">
        <w:rPr>
          <w:i/>
          <w:iCs/>
          <w:szCs w:val="26"/>
        </w:rPr>
        <w:t>e.g.</w:t>
      </w:r>
      <w:r w:rsidRPr="007D08A2">
        <w:rPr>
          <w:szCs w:val="26"/>
        </w:rPr>
        <w:t>, all or just a portion of the costs).</w:t>
      </w:r>
    </w:p>
    <w:p w:rsidRPr="007D08A2" w:rsidR="00715360" w:rsidRDefault="00715360" w14:paraId="6D7B450B" w14:textId="1B6BC948">
      <w:pPr>
        <w:pStyle w:val="BlockQuoteBullet1"/>
        <w:numPr>
          <w:ilvl w:val="0"/>
          <w:numId w:val="11"/>
        </w:numPr>
        <w:ind w:left="1080"/>
        <w:rPr>
          <w:szCs w:val="26"/>
          <w:u w:val="single"/>
        </w:rPr>
      </w:pPr>
      <w:r w:rsidRPr="007D08A2">
        <w:rPr>
          <w:szCs w:val="26"/>
          <w:u w:val="single"/>
        </w:rPr>
        <w:t xml:space="preserve">Authorize </w:t>
      </w:r>
      <w:r w:rsidR="00410529">
        <w:rPr>
          <w:szCs w:val="26"/>
          <w:u w:val="single"/>
        </w:rPr>
        <w:t>“</w:t>
      </w:r>
      <w:r w:rsidRPr="007D08A2">
        <w:rPr>
          <w:szCs w:val="26"/>
          <w:u w:val="single"/>
        </w:rPr>
        <w:t>Self Help</w:t>
      </w:r>
      <w:r w:rsidR="00410529">
        <w:rPr>
          <w:szCs w:val="26"/>
          <w:u w:val="single"/>
        </w:rPr>
        <w:t>”</w:t>
      </w:r>
      <w:r w:rsidRPr="007D08A2">
        <w:rPr>
          <w:szCs w:val="26"/>
          <w:u w:val="single"/>
        </w:rPr>
        <w:t xml:space="preserve"> for Pole Replacements</w:t>
      </w:r>
      <w:r w:rsidRPr="00A07CA9" w:rsidR="00A07CA9">
        <w:rPr>
          <w:szCs w:val="26"/>
        </w:rPr>
        <w:t>.</w:t>
      </w:r>
      <w:r w:rsidRPr="007D08A2">
        <w:rPr>
          <w:szCs w:val="26"/>
        </w:rPr>
        <w:t xml:space="preserve">  Staff proposes that the Commission permit attachers to hire the same contractors that pole owners utilize for pole replacements, which Staff contends is currently prohibited by Commission rules. Costs should still be covered by the pole owner and existing attachers in instances where poles are already in violation of safety standards. Staff suggests that the Commission could also limit this remedy to pole replacements that do not require deenergization of electric service.</w:t>
      </w:r>
    </w:p>
    <w:p w:rsidRPr="00005C91" w:rsidR="00262D9B" w:rsidRDefault="00715360" w14:paraId="79DAC521" w14:textId="2F3345A8">
      <w:pPr>
        <w:pStyle w:val="BlockQuoteBullet1"/>
        <w:numPr>
          <w:ilvl w:val="0"/>
          <w:numId w:val="11"/>
        </w:numPr>
        <w:ind w:left="1080"/>
        <w:rPr>
          <w:b/>
          <w:bCs/>
          <w:szCs w:val="26"/>
        </w:rPr>
      </w:pPr>
      <w:r w:rsidRPr="007D08A2">
        <w:rPr>
          <w:szCs w:val="26"/>
          <w:u w:val="single"/>
        </w:rPr>
        <w:t>Pole Reinforcements</w:t>
      </w:r>
      <w:r w:rsidRPr="00A07CA9" w:rsidR="00A07CA9">
        <w:rPr>
          <w:szCs w:val="26"/>
        </w:rPr>
        <w:t>.</w:t>
      </w:r>
      <w:r w:rsidRPr="007D08A2">
        <w:rPr>
          <w:szCs w:val="26"/>
        </w:rPr>
        <w:t xml:space="preserve"> There are various types of reinforcements to expand the weight</w:t>
      </w:r>
      <w:r w:rsidR="00E4753D">
        <w:rPr>
          <w:szCs w:val="26"/>
        </w:rPr>
        <w:noBreakHyphen/>
      </w:r>
      <w:r w:rsidRPr="007D08A2">
        <w:rPr>
          <w:szCs w:val="26"/>
        </w:rPr>
        <w:t xml:space="preserve">bearing, foundation, and height of utility poles that are consistent with </w:t>
      </w:r>
      <w:r w:rsidR="005B40C8">
        <w:rPr>
          <w:szCs w:val="26"/>
        </w:rPr>
        <w:t>GO</w:t>
      </w:r>
      <w:r w:rsidR="0051059D">
        <w:rPr>
          <w:szCs w:val="26"/>
        </w:rPr>
        <w:t> </w:t>
      </w:r>
      <w:r w:rsidRPr="007D08A2">
        <w:rPr>
          <w:szCs w:val="26"/>
        </w:rPr>
        <w:t xml:space="preserve">95. However, not all pole owners permit these types of reinforcements. Staff believes that there may be an opportunity to reduce the need, costs, and disruption of pole replacements by requiring pole owners to authorize reinforcements. This will require the parties to further </w:t>
      </w:r>
      <w:r w:rsidRPr="007D08A2">
        <w:rPr>
          <w:szCs w:val="26"/>
        </w:rPr>
        <w:lastRenderedPageBreak/>
        <w:t>develop the record to understand the extent this would be helpful.</w:t>
      </w:r>
    </w:p>
    <w:p w:rsidR="00CD0FAB" w:rsidP="00CA4C66" w:rsidRDefault="00CD0FAB" w14:paraId="76A5217E" w14:textId="496E0CD8">
      <w:pPr>
        <w:pStyle w:val="Standard"/>
      </w:pPr>
      <w:r w:rsidRPr="00005C91">
        <w:t>Party comments</w:t>
      </w:r>
      <w:r>
        <w:t xml:space="preserve"> on these proposals, and the associated questions in the </w:t>
      </w:r>
      <w:r w:rsidRPr="00005C91">
        <w:rPr>
          <w:i/>
          <w:iCs/>
        </w:rPr>
        <w:t>ROW Ruling</w:t>
      </w:r>
      <w:r>
        <w:t>, are provided below.</w:t>
      </w:r>
    </w:p>
    <w:p w:rsidR="009815FB" w:rsidP="00ED36CC" w:rsidRDefault="001F0F9A" w14:paraId="6D8C155B" w14:textId="54308D7A">
      <w:pPr>
        <w:pStyle w:val="Heading3"/>
        <w:keepLines w:val="0"/>
      </w:pPr>
      <w:bookmarkStart w:name="_Toc229726760" w:id="44"/>
      <w:r>
        <w:t xml:space="preserve">ROW </w:t>
      </w:r>
      <w:r w:rsidR="00302483">
        <w:t>Ruling Questions</w:t>
      </w:r>
      <w:r w:rsidR="005752A6">
        <w:br/>
      </w:r>
      <w:r w:rsidR="00302483">
        <w:t>and Party Comments</w:t>
      </w:r>
      <w:bookmarkEnd w:id="44"/>
    </w:p>
    <w:p w:rsidR="00302483" w:rsidP="00ED4B15" w:rsidRDefault="00993A01" w14:paraId="07BFD46C" w14:textId="655DF799">
      <w:pPr>
        <w:pStyle w:val="Heading4"/>
      </w:pPr>
      <w:r>
        <w:t>Communications attachers raise various means of reinforcing o expanding poles to enable additional attachments (</w:t>
      </w:r>
      <w:r w:rsidRPr="004840C8" w:rsidR="004840C8">
        <w:rPr>
          <w:i/>
        </w:rPr>
        <w:t>e.g</w:t>
      </w:r>
      <w:r>
        <w:t>.</w:t>
      </w:r>
      <w:r w:rsidR="004840C8">
        <w:t xml:space="preserve">, </w:t>
      </w:r>
      <w:r>
        <w:t xml:space="preserve">extension arms, boxing, and </w:t>
      </w:r>
      <w:r w:rsidR="00332521">
        <w:t xml:space="preserve">trussing), however, they suggest that pole owners are not willing to permit these modifications. Are these modifications consistent with </w:t>
      </w:r>
      <w:r w:rsidR="005B40C8">
        <w:t>GO</w:t>
      </w:r>
      <w:r w:rsidR="0051059D">
        <w:t> </w:t>
      </w:r>
      <w:r w:rsidR="00332521">
        <w:t>95? Are pole owners prohibiting these modifications</w:t>
      </w:r>
      <w:r w:rsidR="00FD7378">
        <w:t>? If so, why? How should costs be shared?</w:t>
      </w:r>
    </w:p>
    <w:p w:rsidRPr="00DD3762" w:rsidR="00F57838" w:rsidP="00ED36CC" w:rsidRDefault="00F57838" w14:paraId="1A744CF2" w14:textId="24C21014">
      <w:pPr>
        <w:pStyle w:val="Standard"/>
      </w:pPr>
      <w:r w:rsidRPr="003C7E90">
        <w:rPr>
          <w:rFonts w:eastAsia="Calibri" w:cs="Times New Roman"/>
          <w:szCs w:val="26"/>
        </w:rPr>
        <w:t>AT&amp;T</w:t>
      </w:r>
      <w:r w:rsidR="003C7E90">
        <w:rPr>
          <w:rFonts w:eastAsia="Calibri" w:cs="Times New Roman"/>
          <w:szCs w:val="26"/>
        </w:rPr>
        <w:t xml:space="preserve"> favors allowing</w:t>
      </w:r>
      <w:r w:rsidRPr="00DD3762">
        <w:rPr>
          <w:rFonts w:eastAsia="Calibri" w:cs="Times New Roman"/>
          <w:szCs w:val="26"/>
        </w:rPr>
        <w:t xml:space="preserve"> attachers to use reinforcement/expansion techniques (extension arms, boxing, trussing) if they comply with </w:t>
      </w:r>
      <w:r w:rsidR="005B40C8">
        <w:rPr>
          <w:rFonts w:eastAsia="Calibri" w:cs="Times New Roman"/>
          <w:szCs w:val="26"/>
        </w:rPr>
        <w:t>GO</w:t>
      </w:r>
      <w:r w:rsidR="0051059D">
        <w:rPr>
          <w:rFonts w:eastAsia="Calibri" w:cs="Times New Roman"/>
          <w:szCs w:val="26"/>
        </w:rPr>
        <w:t> </w:t>
      </w:r>
      <w:r w:rsidRPr="00DD3762">
        <w:rPr>
          <w:rFonts w:eastAsia="Calibri" w:cs="Times New Roman"/>
          <w:szCs w:val="26"/>
        </w:rPr>
        <w:t xml:space="preserve">95. </w:t>
      </w:r>
      <w:r w:rsidR="003C7E90">
        <w:rPr>
          <w:rFonts w:eastAsia="Calibri" w:cs="Times New Roman"/>
          <w:szCs w:val="26"/>
        </w:rPr>
        <w:t>It e</w:t>
      </w:r>
      <w:r w:rsidRPr="00DD3762">
        <w:rPr>
          <w:rFonts w:eastAsia="Calibri" w:cs="Times New Roman"/>
          <w:szCs w:val="26"/>
        </w:rPr>
        <w:t>xplains that techniques depend on specific pole conditions and are a case</w:t>
      </w:r>
      <w:r w:rsidR="00E4753D">
        <w:rPr>
          <w:rFonts w:eastAsia="Calibri" w:cs="Times New Roman"/>
          <w:szCs w:val="26"/>
        </w:rPr>
        <w:noBreakHyphen/>
      </w:r>
      <w:r w:rsidRPr="00DD3762">
        <w:rPr>
          <w:rFonts w:eastAsia="Calibri" w:cs="Times New Roman"/>
          <w:szCs w:val="26"/>
        </w:rPr>
        <w:t>by</w:t>
      </w:r>
      <w:r w:rsidR="00E4753D">
        <w:rPr>
          <w:rFonts w:eastAsia="Calibri" w:cs="Times New Roman"/>
          <w:szCs w:val="26"/>
        </w:rPr>
        <w:noBreakHyphen/>
      </w:r>
      <w:r w:rsidRPr="00DD3762">
        <w:rPr>
          <w:rFonts w:eastAsia="Calibri" w:cs="Times New Roman"/>
          <w:szCs w:val="26"/>
        </w:rPr>
        <w:t>case basis</w:t>
      </w:r>
      <w:r w:rsidR="008C74C3">
        <w:rPr>
          <w:rFonts w:eastAsia="Calibri" w:cs="Times New Roman"/>
          <w:szCs w:val="26"/>
        </w:rPr>
        <w:t>, and</w:t>
      </w:r>
      <w:r w:rsidR="0081229D">
        <w:rPr>
          <w:rFonts w:eastAsia="Calibri" w:cs="Times New Roman"/>
          <w:szCs w:val="26"/>
        </w:rPr>
        <w:t xml:space="preserve"> s</w:t>
      </w:r>
      <w:r w:rsidRPr="00DD3762">
        <w:rPr>
          <w:rFonts w:eastAsia="Calibri" w:cs="Times New Roman"/>
          <w:szCs w:val="26"/>
        </w:rPr>
        <w:t>uggests that industry</w:t>
      </w:r>
      <w:r w:rsidR="00E4753D">
        <w:rPr>
          <w:rFonts w:eastAsia="Calibri" w:cs="Times New Roman"/>
          <w:szCs w:val="26"/>
        </w:rPr>
        <w:noBreakHyphen/>
      </w:r>
      <w:r w:rsidRPr="00DD3762">
        <w:rPr>
          <w:rFonts w:eastAsia="Calibri" w:cs="Times New Roman"/>
          <w:szCs w:val="26"/>
        </w:rPr>
        <w:t xml:space="preserve">wide rules are best developed through technical workshops. </w:t>
      </w:r>
      <w:r w:rsidR="00ED61AC">
        <w:rPr>
          <w:rFonts w:eastAsia="Calibri" w:cs="Times New Roman"/>
          <w:szCs w:val="26"/>
        </w:rPr>
        <w:t xml:space="preserve">Finally, </w:t>
      </w:r>
      <w:r w:rsidR="008C74C3">
        <w:rPr>
          <w:rFonts w:eastAsia="Calibri" w:cs="Times New Roman"/>
          <w:szCs w:val="26"/>
        </w:rPr>
        <w:t>AT&amp;T</w:t>
      </w:r>
      <w:r w:rsidR="00ED61AC">
        <w:rPr>
          <w:rFonts w:eastAsia="Calibri" w:cs="Times New Roman"/>
          <w:szCs w:val="26"/>
        </w:rPr>
        <w:t xml:space="preserve"> claims that</w:t>
      </w:r>
      <w:r w:rsidRPr="00DD3762">
        <w:rPr>
          <w:rFonts w:eastAsia="Calibri" w:cs="Times New Roman"/>
          <w:szCs w:val="26"/>
        </w:rPr>
        <w:t xml:space="preserve"> if an attachment needs reinforcement</w:t>
      </w:r>
      <w:r w:rsidR="00ED61AC">
        <w:rPr>
          <w:rFonts w:eastAsia="Calibri" w:cs="Times New Roman"/>
          <w:szCs w:val="26"/>
        </w:rPr>
        <w:t>, then</w:t>
      </w:r>
      <w:r w:rsidRPr="00DD3762">
        <w:rPr>
          <w:rFonts w:eastAsia="Calibri" w:cs="Times New Roman"/>
          <w:szCs w:val="26"/>
        </w:rPr>
        <w:t xml:space="preserve"> the attacher should bear the cost.</w:t>
      </w:r>
      <w:r w:rsidRPr="00DD3762">
        <w:rPr>
          <w:rFonts w:eastAsia="Calibri" w:cs="Times New Roman"/>
          <w:szCs w:val="26"/>
          <w:vertAlign w:val="superscript"/>
        </w:rPr>
        <w:footnoteReference w:id="94"/>
      </w:r>
    </w:p>
    <w:p w:rsidRPr="00DD3762" w:rsidR="00F57838" w:rsidP="00ED36CC" w:rsidRDefault="00F57838" w14:paraId="7AB8A705" w14:textId="59CA5E6A">
      <w:pPr>
        <w:pStyle w:val="Standard"/>
      </w:pPr>
      <w:r w:rsidRPr="00885F69">
        <w:rPr>
          <w:rFonts w:eastAsia="Calibri" w:cs="Times New Roman"/>
          <w:szCs w:val="26"/>
        </w:rPr>
        <w:t>California Broadband and Video Association</w:t>
      </w:r>
      <w:r w:rsidR="00885F69">
        <w:rPr>
          <w:rFonts w:eastAsia="Calibri" w:cs="Times New Roman"/>
          <w:szCs w:val="26"/>
        </w:rPr>
        <w:t xml:space="preserve"> r</w:t>
      </w:r>
      <w:r w:rsidRPr="00DD3762">
        <w:rPr>
          <w:rFonts w:eastAsia="Calibri" w:cs="Times New Roman"/>
          <w:szCs w:val="26"/>
        </w:rPr>
        <w:t>ecommends prohibiting utilities from denying space</w:t>
      </w:r>
      <w:r w:rsidR="00E4753D">
        <w:rPr>
          <w:rFonts w:eastAsia="Calibri" w:cs="Times New Roman"/>
          <w:szCs w:val="26"/>
        </w:rPr>
        <w:noBreakHyphen/>
      </w:r>
      <w:r w:rsidRPr="00DD3762">
        <w:rPr>
          <w:rFonts w:eastAsia="Calibri" w:cs="Times New Roman"/>
          <w:szCs w:val="26"/>
        </w:rPr>
        <w:t xml:space="preserve">saving techniques where </w:t>
      </w:r>
      <w:r w:rsidR="00885F69">
        <w:rPr>
          <w:rFonts w:eastAsia="Calibri" w:cs="Times New Roman"/>
          <w:szCs w:val="26"/>
        </w:rPr>
        <w:t xml:space="preserve">the techniques are </w:t>
      </w:r>
      <w:r w:rsidRPr="00DD3762">
        <w:rPr>
          <w:rFonts w:eastAsia="Calibri" w:cs="Times New Roman"/>
          <w:szCs w:val="26"/>
        </w:rPr>
        <w:t xml:space="preserve">consistent with </w:t>
      </w:r>
      <w:r w:rsidR="005B40C8">
        <w:rPr>
          <w:rFonts w:eastAsia="Calibri" w:cs="Times New Roman"/>
          <w:szCs w:val="26"/>
        </w:rPr>
        <w:t>GO</w:t>
      </w:r>
      <w:r w:rsidR="0051059D">
        <w:rPr>
          <w:rFonts w:eastAsia="Calibri" w:cs="Times New Roman"/>
          <w:szCs w:val="26"/>
        </w:rPr>
        <w:t> </w:t>
      </w:r>
      <w:r w:rsidRPr="00DD3762">
        <w:rPr>
          <w:rFonts w:eastAsia="Calibri" w:cs="Times New Roman"/>
          <w:szCs w:val="26"/>
        </w:rPr>
        <w:t xml:space="preserve">95, which aligns with FCC guidance. </w:t>
      </w:r>
      <w:r w:rsidR="00B30144">
        <w:rPr>
          <w:rFonts w:eastAsia="Calibri" w:cs="Times New Roman"/>
          <w:szCs w:val="26"/>
        </w:rPr>
        <w:t>It believes that e</w:t>
      </w:r>
      <w:r w:rsidRPr="00DD3762">
        <w:rPr>
          <w:rFonts w:eastAsia="Calibri" w:cs="Times New Roman"/>
          <w:szCs w:val="26"/>
        </w:rPr>
        <w:t xml:space="preserve">xtension arms, boxing, and trussing can </w:t>
      </w:r>
      <w:r w:rsidR="00B30144">
        <w:rPr>
          <w:rFonts w:eastAsia="Calibri" w:cs="Times New Roman"/>
          <w:szCs w:val="26"/>
        </w:rPr>
        <w:t>be done in conformity</w:t>
      </w:r>
      <w:r w:rsidRPr="00DD3762">
        <w:rPr>
          <w:rFonts w:eastAsia="Calibri" w:cs="Times New Roman"/>
          <w:szCs w:val="26"/>
        </w:rPr>
        <w:t xml:space="preserve"> with </w:t>
      </w:r>
      <w:r w:rsidR="005B40C8">
        <w:rPr>
          <w:rFonts w:eastAsia="Calibri" w:cs="Times New Roman"/>
          <w:szCs w:val="26"/>
        </w:rPr>
        <w:t>GO</w:t>
      </w:r>
      <w:r w:rsidR="0051059D">
        <w:rPr>
          <w:rFonts w:eastAsia="Calibri" w:cs="Times New Roman"/>
          <w:szCs w:val="26"/>
        </w:rPr>
        <w:t> </w:t>
      </w:r>
      <w:r w:rsidRPr="00DD3762">
        <w:rPr>
          <w:rFonts w:eastAsia="Calibri" w:cs="Times New Roman"/>
          <w:szCs w:val="26"/>
        </w:rPr>
        <w:t>95.</w:t>
      </w:r>
      <w:r w:rsidRPr="00DD3762">
        <w:rPr>
          <w:rFonts w:eastAsia="Calibri" w:cs="Times New Roman"/>
          <w:szCs w:val="26"/>
          <w:vertAlign w:val="superscript"/>
        </w:rPr>
        <w:footnoteReference w:id="95"/>
      </w:r>
    </w:p>
    <w:p w:rsidRPr="00DD3762" w:rsidR="00F57838" w:rsidP="00ED36CC" w:rsidRDefault="00F57838" w14:paraId="18EC531F" w14:textId="6574FAE8">
      <w:pPr>
        <w:pStyle w:val="Standard"/>
      </w:pPr>
      <w:proofErr w:type="spellStart"/>
      <w:r w:rsidRPr="00B30144">
        <w:rPr>
          <w:rFonts w:eastAsia="Calibri" w:cs="Times New Roman"/>
          <w:szCs w:val="26"/>
        </w:rPr>
        <w:t>Extenet</w:t>
      </w:r>
      <w:proofErr w:type="spellEnd"/>
      <w:r w:rsidRPr="00B30144">
        <w:rPr>
          <w:rFonts w:eastAsia="Calibri" w:cs="Times New Roman"/>
          <w:szCs w:val="26"/>
        </w:rPr>
        <w:t xml:space="preserve"> Systems</w:t>
      </w:r>
      <w:r w:rsidR="00B30144">
        <w:rPr>
          <w:rFonts w:eastAsia="Calibri" w:cs="Times New Roman"/>
          <w:szCs w:val="26"/>
        </w:rPr>
        <w:t xml:space="preserve"> c</w:t>
      </w:r>
      <w:r w:rsidRPr="00DD3762">
        <w:rPr>
          <w:rFonts w:eastAsia="Calibri" w:cs="Times New Roman"/>
          <w:szCs w:val="26"/>
        </w:rPr>
        <w:t xml:space="preserve">laims </w:t>
      </w:r>
      <w:r w:rsidR="00B30144">
        <w:rPr>
          <w:rFonts w:eastAsia="Calibri" w:cs="Times New Roman"/>
          <w:szCs w:val="26"/>
        </w:rPr>
        <w:t xml:space="preserve">that </w:t>
      </w:r>
      <w:r w:rsidRPr="00DD3762">
        <w:rPr>
          <w:rFonts w:eastAsia="Calibri" w:cs="Times New Roman"/>
          <w:szCs w:val="26"/>
        </w:rPr>
        <w:t xml:space="preserve">PG&amp;E is unwilling to approve trusses as a method for attachers to reinforce poles, despite electric utilities routinely using </w:t>
      </w:r>
      <w:r w:rsidRPr="00DD3762">
        <w:rPr>
          <w:rFonts w:eastAsia="Calibri" w:cs="Times New Roman"/>
          <w:szCs w:val="26"/>
        </w:rPr>
        <w:lastRenderedPageBreak/>
        <w:t xml:space="preserve">trusses themselves. </w:t>
      </w:r>
      <w:r w:rsidR="00A70C9B">
        <w:rPr>
          <w:rFonts w:eastAsia="Calibri" w:cs="Times New Roman"/>
          <w:szCs w:val="26"/>
        </w:rPr>
        <w:t>It a</w:t>
      </w:r>
      <w:r w:rsidRPr="00DD3762">
        <w:rPr>
          <w:rFonts w:eastAsia="Calibri" w:cs="Times New Roman"/>
          <w:szCs w:val="26"/>
        </w:rPr>
        <w:t>rgues that attachers and pole owners should share in the cost for modifications that prolong</w:t>
      </w:r>
      <w:r w:rsidR="00D27F92">
        <w:rPr>
          <w:rFonts w:eastAsia="Calibri" w:cs="Times New Roman"/>
          <w:szCs w:val="26"/>
        </w:rPr>
        <w:t xml:space="preserve"> the</w:t>
      </w:r>
      <w:r w:rsidRPr="00DD3762">
        <w:rPr>
          <w:rFonts w:eastAsia="Calibri" w:cs="Times New Roman"/>
          <w:szCs w:val="26"/>
        </w:rPr>
        <w:t xml:space="preserve"> life of a pole.</w:t>
      </w:r>
      <w:r w:rsidRPr="00DD3762">
        <w:rPr>
          <w:rFonts w:eastAsia="Calibri" w:cs="Times New Roman"/>
          <w:szCs w:val="26"/>
          <w:vertAlign w:val="superscript"/>
        </w:rPr>
        <w:footnoteReference w:id="96"/>
      </w:r>
    </w:p>
    <w:p w:rsidRPr="00DD3762" w:rsidR="00F57838" w:rsidP="00ED36CC" w:rsidRDefault="00F57838" w14:paraId="3D3D79BE" w14:textId="0F4E2DF8">
      <w:pPr>
        <w:pStyle w:val="Standard"/>
      </w:pPr>
      <w:r w:rsidRPr="00D27F92">
        <w:rPr>
          <w:rFonts w:eastAsia="Calibri" w:cs="Times New Roman"/>
          <w:szCs w:val="26"/>
        </w:rPr>
        <w:t>PG&amp;E</w:t>
      </w:r>
      <w:r w:rsidRPr="00DD3762">
        <w:rPr>
          <w:rFonts w:eastAsia="Calibri" w:cs="Times New Roman"/>
          <w:szCs w:val="26"/>
        </w:rPr>
        <w:t xml:space="preserve"> </w:t>
      </w:r>
      <w:r w:rsidR="00D27F92">
        <w:rPr>
          <w:rFonts w:eastAsia="Calibri" w:cs="Times New Roman"/>
          <w:szCs w:val="26"/>
        </w:rPr>
        <w:t>a</w:t>
      </w:r>
      <w:r w:rsidRPr="00DD3762">
        <w:rPr>
          <w:rFonts w:eastAsia="Calibri" w:cs="Times New Roman"/>
          <w:szCs w:val="26"/>
        </w:rPr>
        <w:t xml:space="preserve">rgues that the proposal for </w:t>
      </w:r>
      <w:r w:rsidR="00B64DFB">
        <w:rPr>
          <w:rFonts w:eastAsia="Calibri" w:cs="Times New Roman"/>
          <w:szCs w:val="26"/>
        </w:rPr>
        <w:t>Section</w:t>
      </w:r>
      <w:r w:rsidR="0051059D">
        <w:rPr>
          <w:rFonts w:eastAsia="Calibri" w:cs="Times New Roman"/>
          <w:szCs w:val="26"/>
        </w:rPr>
        <w:t> </w:t>
      </w:r>
      <w:r w:rsidRPr="00DD3762">
        <w:rPr>
          <w:rFonts w:eastAsia="Calibri" w:cs="Times New Roman"/>
          <w:szCs w:val="26"/>
        </w:rPr>
        <w:t>IV.E.3.a is insufficient because it suggests that any type of reinforcement is permitted</w:t>
      </w:r>
      <w:r w:rsidR="008C74C3">
        <w:rPr>
          <w:rFonts w:eastAsia="Calibri" w:cs="Times New Roman"/>
          <w:szCs w:val="26"/>
        </w:rPr>
        <w:t>,</w:t>
      </w:r>
      <w:r w:rsidRPr="00DD3762">
        <w:rPr>
          <w:rFonts w:eastAsia="Calibri" w:cs="Times New Roman"/>
          <w:szCs w:val="26"/>
        </w:rPr>
        <w:t xml:space="preserve"> </w:t>
      </w:r>
      <w:r w:rsidR="008C74C3">
        <w:rPr>
          <w:rFonts w:eastAsia="Calibri" w:cs="Times New Roman"/>
          <w:szCs w:val="26"/>
        </w:rPr>
        <w:t>which</w:t>
      </w:r>
      <w:r w:rsidRPr="00DD3762" w:rsidR="008C74C3">
        <w:rPr>
          <w:rFonts w:eastAsia="Calibri" w:cs="Times New Roman"/>
          <w:szCs w:val="26"/>
        </w:rPr>
        <w:t xml:space="preserve"> </w:t>
      </w:r>
      <w:r w:rsidRPr="00DD3762">
        <w:rPr>
          <w:rFonts w:eastAsia="Calibri" w:cs="Times New Roman"/>
          <w:szCs w:val="26"/>
        </w:rPr>
        <w:t>may lead to unnecessary disputes. PG&amp;E allows certain reinforcements (</w:t>
      </w:r>
      <w:r w:rsidRPr="003F2E5D">
        <w:rPr>
          <w:rFonts w:eastAsia="Calibri" w:cs="Times New Roman"/>
          <w:i/>
          <w:iCs/>
          <w:szCs w:val="26"/>
        </w:rPr>
        <w:t>e.g</w:t>
      </w:r>
      <w:r w:rsidRPr="00DD3762">
        <w:rPr>
          <w:rFonts w:eastAsia="Calibri" w:cs="Times New Roman"/>
          <w:szCs w:val="26"/>
        </w:rPr>
        <w:t xml:space="preserve">., steel trussing) consistent with </w:t>
      </w:r>
      <w:r w:rsidR="005B40C8">
        <w:rPr>
          <w:rFonts w:eastAsia="Calibri" w:cs="Times New Roman"/>
          <w:szCs w:val="26"/>
        </w:rPr>
        <w:t>GO</w:t>
      </w:r>
      <w:r w:rsidR="0051059D">
        <w:rPr>
          <w:rFonts w:eastAsia="Calibri" w:cs="Times New Roman"/>
          <w:szCs w:val="26"/>
        </w:rPr>
        <w:t> </w:t>
      </w:r>
      <w:r w:rsidRPr="00DD3762">
        <w:rPr>
          <w:rFonts w:eastAsia="Calibri" w:cs="Times New Roman"/>
          <w:szCs w:val="26"/>
        </w:rPr>
        <w:t xml:space="preserve">95 but does not approve reinforcements that exceed the original strength of the pole. </w:t>
      </w:r>
      <w:r w:rsidR="003F2E5D">
        <w:rPr>
          <w:rFonts w:eastAsia="Calibri" w:cs="Times New Roman"/>
          <w:szCs w:val="26"/>
        </w:rPr>
        <w:t>PG&amp;E n</w:t>
      </w:r>
      <w:r w:rsidRPr="00DD3762">
        <w:rPr>
          <w:rFonts w:eastAsia="Calibri" w:cs="Times New Roman"/>
          <w:szCs w:val="26"/>
        </w:rPr>
        <w:t xml:space="preserve">otes that some reinforcement methods may conflict with </w:t>
      </w:r>
      <w:r w:rsidR="005B40C8">
        <w:rPr>
          <w:rFonts w:eastAsia="Calibri" w:cs="Times New Roman"/>
          <w:szCs w:val="26"/>
        </w:rPr>
        <w:t>GO</w:t>
      </w:r>
      <w:r w:rsidR="0051059D">
        <w:rPr>
          <w:rFonts w:eastAsia="Calibri" w:cs="Times New Roman"/>
          <w:szCs w:val="26"/>
        </w:rPr>
        <w:t> </w:t>
      </w:r>
      <w:r w:rsidRPr="00DD3762">
        <w:rPr>
          <w:rFonts w:eastAsia="Calibri" w:cs="Times New Roman"/>
          <w:szCs w:val="26"/>
        </w:rPr>
        <w:t xml:space="preserve">95. </w:t>
      </w:r>
      <w:r w:rsidR="003F2E5D">
        <w:rPr>
          <w:rFonts w:eastAsia="Calibri" w:cs="Times New Roman"/>
          <w:szCs w:val="26"/>
        </w:rPr>
        <w:t>It p</w:t>
      </w:r>
      <w:r w:rsidRPr="00DD3762">
        <w:rPr>
          <w:rFonts w:eastAsia="Calibri" w:cs="Times New Roman"/>
          <w:szCs w:val="26"/>
        </w:rPr>
        <w:t xml:space="preserve">roposes that if reinforcement is required solely due to a new attachment, the attacher should bear the full cost. </w:t>
      </w:r>
      <w:r w:rsidR="002C7B3F">
        <w:rPr>
          <w:rFonts w:eastAsia="Calibri" w:cs="Times New Roman"/>
          <w:szCs w:val="26"/>
        </w:rPr>
        <w:t>It further p</w:t>
      </w:r>
      <w:r w:rsidRPr="00DD3762">
        <w:rPr>
          <w:rFonts w:eastAsia="Calibri" w:cs="Times New Roman"/>
          <w:szCs w:val="26"/>
        </w:rPr>
        <w:t>roposes that for noncompliant poles, the pole owner should bear costs necessary to restore compliance, but not additional costs associated with new attachments.</w:t>
      </w:r>
      <w:r w:rsidRPr="00DD3762">
        <w:rPr>
          <w:rFonts w:eastAsia="Calibri" w:cs="Times New Roman"/>
          <w:szCs w:val="26"/>
          <w:vertAlign w:val="superscript"/>
        </w:rPr>
        <w:footnoteReference w:id="97"/>
      </w:r>
    </w:p>
    <w:p w:rsidRPr="00DD3762" w:rsidR="00F57838" w:rsidP="00ED36CC" w:rsidRDefault="00F57838" w14:paraId="7A7451AD" w14:textId="42D5F555">
      <w:pPr>
        <w:pStyle w:val="Standard"/>
      </w:pPr>
      <w:r w:rsidRPr="006922C2">
        <w:t>Race</w:t>
      </w:r>
      <w:r w:rsidRPr="00DD3762">
        <w:t xml:space="preserve"> </w:t>
      </w:r>
      <w:r w:rsidR="006922C2">
        <w:t>a</w:t>
      </w:r>
      <w:r w:rsidRPr="00DD3762">
        <w:t>grees that pole replacements and self</w:t>
      </w:r>
      <w:r w:rsidR="00E4753D">
        <w:rPr>
          <w:rFonts w:eastAsia="Calibri" w:cs="Times New Roman"/>
          <w:szCs w:val="26"/>
        </w:rPr>
        <w:noBreakHyphen/>
      </w:r>
      <w:r w:rsidRPr="00DD3762">
        <w:t xml:space="preserve">help remedies should be prioritized due to </w:t>
      </w:r>
      <w:r w:rsidR="0014412A">
        <w:t xml:space="preserve">potentially </w:t>
      </w:r>
      <w:r w:rsidRPr="00DD3762">
        <w:t>significant delays by pole owners</w:t>
      </w:r>
      <w:r w:rsidR="008C74C3">
        <w:t>,</w:t>
      </w:r>
      <w:r w:rsidRPr="00DD3762">
        <w:t xml:space="preserve"> which can increase project costs. </w:t>
      </w:r>
      <w:r w:rsidR="0014412A">
        <w:t>It s</w:t>
      </w:r>
      <w:r w:rsidRPr="00DD3762">
        <w:t xml:space="preserve">upports allowing pole reinforcements and replacements as long as they are consistent with </w:t>
      </w:r>
      <w:r w:rsidR="005B40C8">
        <w:t>GO</w:t>
      </w:r>
      <w:r w:rsidR="0051059D">
        <w:rPr>
          <w:rFonts w:eastAsia="Calibri" w:cs="Times New Roman"/>
          <w:szCs w:val="26"/>
        </w:rPr>
        <w:t> </w:t>
      </w:r>
      <w:r w:rsidRPr="00DD3762">
        <w:t xml:space="preserve">95. </w:t>
      </w:r>
      <w:r w:rsidR="0014412A">
        <w:t>Race is w</w:t>
      </w:r>
      <w:r w:rsidRPr="00DD3762">
        <w:t>illing to share costs fairly among the pole owners and all attachers.</w:t>
      </w:r>
      <w:r w:rsidRPr="00DD3762">
        <w:rPr>
          <w:vertAlign w:val="superscript"/>
        </w:rPr>
        <w:footnoteReference w:id="98"/>
      </w:r>
    </w:p>
    <w:p w:rsidRPr="00DD3762" w:rsidR="00F57838" w:rsidP="00ED36CC" w:rsidRDefault="00F57838" w14:paraId="5B6E4A04" w14:textId="777CE335">
      <w:pPr>
        <w:pStyle w:val="Standard"/>
      </w:pPr>
      <w:r w:rsidRPr="002B30F7">
        <w:t>SCE</w:t>
      </w:r>
      <w:r w:rsidR="002B30F7">
        <w:t xml:space="preserve"> s</w:t>
      </w:r>
      <w:r w:rsidRPr="00DD3762">
        <w:t xml:space="preserve">tates that not all reinforcements are safe under all circumstances and should only be permitted if consistent with </w:t>
      </w:r>
      <w:r w:rsidR="005B40C8">
        <w:t>GO</w:t>
      </w:r>
      <w:r w:rsidR="0051059D">
        <w:rPr>
          <w:rFonts w:eastAsia="Calibri" w:cs="Times New Roman"/>
          <w:szCs w:val="26"/>
        </w:rPr>
        <w:t> </w:t>
      </w:r>
      <w:r w:rsidRPr="00DD3762">
        <w:t xml:space="preserve">95, pole load calculations, and applicable SCE standards. </w:t>
      </w:r>
      <w:r w:rsidR="00B94D31">
        <w:t>It a</w:t>
      </w:r>
      <w:r w:rsidRPr="00DD3762">
        <w:t xml:space="preserve">llows attachers to install certain pole reinforcements including trussing, cross arms, and V braces. </w:t>
      </w:r>
      <w:r w:rsidR="00B94D31">
        <w:t>SCE r</w:t>
      </w:r>
      <w:r w:rsidRPr="00DD3762">
        <w:t>ecommends utilities</w:t>
      </w:r>
      <w:r w:rsidR="00F232F2">
        <w:t xml:space="preserve"> should</w:t>
      </w:r>
      <w:r w:rsidRPr="00DD3762">
        <w:t xml:space="preserve"> retain</w:t>
      </w:r>
      <w:r w:rsidR="00F232F2">
        <w:t xml:space="preserve"> the</w:t>
      </w:r>
      <w:r w:rsidRPr="00DD3762">
        <w:t xml:space="preserve"> right to approve any reinforcements. </w:t>
      </w:r>
      <w:r w:rsidR="00F232F2">
        <w:t>SCE e</w:t>
      </w:r>
      <w:r w:rsidRPr="00DD3762">
        <w:t xml:space="preserve">xplains that costs for reinforcements are paid by the attacher seeking modification as per </w:t>
      </w:r>
      <w:r w:rsidR="00BF03FB">
        <w:t xml:space="preserve">the </w:t>
      </w:r>
      <w:r w:rsidRPr="00DD3762">
        <w:t xml:space="preserve">Pole License Agreement. </w:t>
      </w:r>
      <w:r w:rsidR="00BF03FB">
        <w:t>It r</w:t>
      </w:r>
      <w:r w:rsidRPr="00DD3762">
        <w:t xml:space="preserve">ecommends specific revisions to proposed rules to </w:t>
      </w:r>
      <w:r w:rsidRPr="00DD3762">
        <w:lastRenderedPageBreak/>
        <w:t>mitigate safety risks.</w:t>
      </w:r>
      <w:r w:rsidRPr="00DD3762">
        <w:rPr>
          <w:vertAlign w:val="superscript"/>
        </w:rPr>
        <w:footnoteReference w:id="99"/>
      </w:r>
      <w:r w:rsidRPr="00DD3762">
        <w:t xml:space="preserve"> </w:t>
      </w:r>
      <w:r w:rsidR="00BF03FB">
        <w:t>It also r</w:t>
      </w:r>
      <w:r w:rsidRPr="00DD3762">
        <w:t>ecommends the CPUC follow cost</w:t>
      </w:r>
      <w:r w:rsidR="00E4753D">
        <w:rPr>
          <w:rFonts w:eastAsia="Calibri" w:cs="Times New Roman"/>
          <w:szCs w:val="26"/>
        </w:rPr>
        <w:noBreakHyphen/>
      </w:r>
      <w:r w:rsidRPr="00DD3762">
        <w:t>causation principles for replacements and reinforcements.</w:t>
      </w:r>
      <w:r w:rsidRPr="00DD3762">
        <w:rPr>
          <w:vertAlign w:val="superscript"/>
        </w:rPr>
        <w:footnoteReference w:id="100"/>
      </w:r>
    </w:p>
    <w:p w:rsidRPr="00DD3762" w:rsidR="00F57838" w:rsidP="00ED36CC" w:rsidRDefault="00F57838" w14:paraId="311A5225" w14:textId="000790A4">
      <w:pPr>
        <w:pStyle w:val="Standard"/>
      </w:pPr>
      <w:r w:rsidRPr="00010B12">
        <w:rPr>
          <w:rFonts w:eastAsia="Calibri" w:cs="Times New Roman"/>
          <w:szCs w:val="26"/>
        </w:rPr>
        <w:t>SDG&amp;E</w:t>
      </w:r>
      <w:r w:rsidR="00010B12">
        <w:rPr>
          <w:rFonts w:eastAsia="Calibri" w:cs="Times New Roman"/>
          <w:szCs w:val="26"/>
        </w:rPr>
        <w:t xml:space="preserve"> s</w:t>
      </w:r>
      <w:r w:rsidRPr="00DD3762">
        <w:rPr>
          <w:rFonts w:eastAsia="Calibri" w:cs="Times New Roman"/>
          <w:szCs w:val="26"/>
        </w:rPr>
        <w:t xml:space="preserve">tates it will not approve pole modifications that are inconsistent with </w:t>
      </w:r>
      <w:r w:rsidR="005B40C8">
        <w:rPr>
          <w:rFonts w:eastAsia="Calibri" w:cs="Times New Roman"/>
          <w:szCs w:val="26"/>
        </w:rPr>
        <w:t>GO</w:t>
      </w:r>
      <w:r w:rsidR="0051059D">
        <w:rPr>
          <w:rFonts w:eastAsia="Calibri" w:cs="Times New Roman"/>
          <w:szCs w:val="26"/>
        </w:rPr>
        <w:t> </w:t>
      </w:r>
      <w:r w:rsidRPr="00DD3762">
        <w:rPr>
          <w:rFonts w:eastAsia="Calibri" w:cs="Times New Roman"/>
          <w:szCs w:val="26"/>
        </w:rPr>
        <w:t xml:space="preserve">95 or that pose risks to structural integrity or public safety. </w:t>
      </w:r>
      <w:r w:rsidR="00A8489A">
        <w:rPr>
          <w:rFonts w:eastAsia="Calibri" w:cs="Times New Roman"/>
          <w:szCs w:val="26"/>
        </w:rPr>
        <w:t>It currently r</w:t>
      </w:r>
      <w:r w:rsidRPr="00DD3762">
        <w:rPr>
          <w:rFonts w:eastAsia="Calibri" w:cs="Times New Roman"/>
          <w:szCs w:val="26"/>
        </w:rPr>
        <w:t>eviews modifications through the attachers</w:t>
      </w:r>
      <w:r w:rsidR="00410529">
        <w:rPr>
          <w:rFonts w:eastAsia="Calibri" w:cs="Times New Roman"/>
          <w:szCs w:val="26"/>
        </w:rPr>
        <w:t>’</w:t>
      </w:r>
      <w:r w:rsidRPr="00DD3762">
        <w:rPr>
          <w:rFonts w:eastAsia="Calibri" w:cs="Times New Roman"/>
          <w:szCs w:val="26"/>
        </w:rPr>
        <w:t xml:space="preserve"> applications</w:t>
      </w:r>
      <w:r w:rsidR="00A8489A">
        <w:rPr>
          <w:rFonts w:eastAsia="Calibri" w:cs="Times New Roman"/>
          <w:szCs w:val="26"/>
        </w:rPr>
        <w:t>, and m</w:t>
      </w:r>
      <w:r w:rsidRPr="00DD3762">
        <w:rPr>
          <w:rFonts w:eastAsia="Calibri" w:cs="Times New Roman"/>
          <w:szCs w:val="26"/>
        </w:rPr>
        <w:t xml:space="preserve">ay prohibit modifications due to safety, structural, or land rights concerns. </w:t>
      </w:r>
      <w:r w:rsidR="00F17C44">
        <w:rPr>
          <w:rFonts w:eastAsia="Calibri" w:cs="Times New Roman"/>
          <w:szCs w:val="26"/>
        </w:rPr>
        <w:t>SDG&amp;E r</w:t>
      </w:r>
      <w:r w:rsidRPr="00DD3762">
        <w:rPr>
          <w:rFonts w:eastAsia="Calibri" w:cs="Times New Roman"/>
          <w:szCs w:val="26"/>
        </w:rPr>
        <w:t>ecommends that attachers cover the full costs if a compliant pole must be modified solely for a new or altered attachment.</w:t>
      </w:r>
      <w:r w:rsidRPr="00DD3762">
        <w:rPr>
          <w:rFonts w:eastAsia="Calibri" w:cs="Times New Roman"/>
          <w:szCs w:val="26"/>
          <w:vertAlign w:val="superscript"/>
        </w:rPr>
        <w:footnoteReference w:id="101"/>
      </w:r>
    </w:p>
    <w:p w:rsidRPr="00DD3762" w:rsidR="00F57838" w:rsidP="00ED36CC" w:rsidRDefault="00F57838" w14:paraId="59CE3559" w14:textId="228DD03E">
      <w:pPr>
        <w:pStyle w:val="Standard"/>
      </w:pPr>
      <w:r w:rsidRPr="00F17C44">
        <w:rPr>
          <w:rFonts w:eastAsia="Calibri" w:cs="Times New Roman"/>
          <w:szCs w:val="26"/>
        </w:rPr>
        <w:t>Sonic</w:t>
      </w:r>
      <w:r w:rsidR="00F17C44">
        <w:rPr>
          <w:rFonts w:eastAsia="Calibri" w:cs="Times New Roman"/>
          <w:szCs w:val="26"/>
        </w:rPr>
        <w:t xml:space="preserve"> c</w:t>
      </w:r>
      <w:r w:rsidRPr="00DD3762">
        <w:rPr>
          <w:rFonts w:eastAsia="Calibri" w:cs="Times New Roman"/>
          <w:szCs w:val="26"/>
        </w:rPr>
        <w:t xml:space="preserve">laims reinforcing/expanding pole capacity is in the public interest because it enables faster broadband deployment. </w:t>
      </w:r>
      <w:r w:rsidR="008C74C3">
        <w:rPr>
          <w:rFonts w:eastAsia="Calibri" w:cs="Times New Roman"/>
          <w:szCs w:val="26"/>
        </w:rPr>
        <w:t xml:space="preserve">Sonic </w:t>
      </w:r>
      <w:r w:rsidR="00A01078">
        <w:rPr>
          <w:rFonts w:eastAsia="Calibri" w:cs="Times New Roman"/>
          <w:szCs w:val="26"/>
        </w:rPr>
        <w:t>n</w:t>
      </w:r>
      <w:r w:rsidRPr="00DD3762">
        <w:rPr>
          <w:rFonts w:eastAsia="Calibri" w:cs="Times New Roman"/>
          <w:szCs w:val="26"/>
        </w:rPr>
        <w:t>otes that, per D.22</w:t>
      </w:r>
      <w:r w:rsidR="00E4753D">
        <w:rPr>
          <w:rFonts w:eastAsia="Calibri" w:cs="Times New Roman"/>
          <w:szCs w:val="26"/>
        </w:rPr>
        <w:noBreakHyphen/>
      </w:r>
      <w:r w:rsidRPr="00DD3762">
        <w:rPr>
          <w:rFonts w:eastAsia="Calibri" w:cs="Times New Roman"/>
          <w:szCs w:val="26"/>
        </w:rPr>
        <w:t>10</w:t>
      </w:r>
      <w:r w:rsidR="00E4753D">
        <w:rPr>
          <w:rFonts w:eastAsia="Calibri" w:cs="Times New Roman"/>
          <w:szCs w:val="26"/>
        </w:rPr>
        <w:noBreakHyphen/>
      </w:r>
      <w:r w:rsidRPr="00DD3762">
        <w:rPr>
          <w:rFonts w:eastAsia="Calibri" w:cs="Times New Roman"/>
          <w:szCs w:val="26"/>
        </w:rPr>
        <w:t>025, pole owners should pay if the pole fails loading calculations before any new attachment</w:t>
      </w:r>
      <w:r w:rsidR="00A01078">
        <w:rPr>
          <w:rFonts w:eastAsia="Calibri" w:cs="Times New Roman"/>
          <w:szCs w:val="26"/>
        </w:rPr>
        <w:t>. Alternatively,</w:t>
      </w:r>
      <w:r w:rsidRPr="00DD3762">
        <w:rPr>
          <w:rFonts w:eastAsia="Calibri" w:cs="Times New Roman"/>
          <w:szCs w:val="26"/>
        </w:rPr>
        <w:t xml:space="preserve"> </w:t>
      </w:r>
      <w:r w:rsidR="008C74C3">
        <w:rPr>
          <w:rFonts w:eastAsia="Calibri" w:cs="Times New Roman"/>
          <w:szCs w:val="26"/>
        </w:rPr>
        <w:t xml:space="preserve">Sonic recommends </w:t>
      </w:r>
      <w:r w:rsidRPr="00DD3762">
        <w:rPr>
          <w:rFonts w:eastAsia="Calibri" w:cs="Times New Roman"/>
          <w:szCs w:val="26"/>
        </w:rPr>
        <w:t>cost</w:t>
      </w:r>
      <w:r w:rsidR="00E4753D">
        <w:rPr>
          <w:rFonts w:eastAsia="Calibri" w:cs="Times New Roman"/>
          <w:szCs w:val="26"/>
        </w:rPr>
        <w:noBreakHyphen/>
      </w:r>
      <w:r w:rsidRPr="00DD3762">
        <w:rPr>
          <w:rFonts w:eastAsia="Calibri" w:cs="Times New Roman"/>
          <w:szCs w:val="26"/>
        </w:rPr>
        <w:t>sharing</w:t>
      </w:r>
      <w:r w:rsidR="00C057A2">
        <w:rPr>
          <w:rFonts w:eastAsia="Calibri" w:cs="Times New Roman"/>
          <w:szCs w:val="26"/>
        </w:rPr>
        <w:t xml:space="preserve"> proposals</w:t>
      </w:r>
      <w:r w:rsidRPr="00DD3762">
        <w:rPr>
          <w:rFonts w:eastAsia="Calibri" w:cs="Times New Roman"/>
          <w:szCs w:val="26"/>
        </w:rPr>
        <w:t xml:space="preserve"> be addressed in technical workshops.</w:t>
      </w:r>
      <w:r w:rsidRPr="00DD3762">
        <w:rPr>
          <w:rFonts w:eastAsia="Calibri" w:cs="Times New Roman"/>
          <w:szCs w:val="26"/>
          <w:vertAlign w:val="superscript"/>
        </w:rPr>
        <w:footnoteReference w:id="102"/>
      </w:r>
    </w:p>
    <w:p w:rsidRPr="00DD3762" w:rsidR="00F57838" w:rsidP="00ED36CC" w:rsidRDefault="00F57838" w14:paraId="56E1845A" w14:textId="3EFBCA3E">
      <w:pPr>
        <w:pStyle w:val="Standard"/>
      </w:pPr>
      <w:proofErr w:type="spellStart"/>
      <w:r w:rsidRPr="00C057A2">
        <w:rPr>
          <w:rFonts w:eastAsia="Calibri" w:cs="Times New Roman"/>
          <w:szCs w:val="26"/>
        </w:rPr>
        <w:t>Surfnet</w:t>
      </w:r>
      <w:proofErr w:type="spellEnd"/>
      <w:r w:rsidR="00C057A2">
        <w:rPr>
          <w:rFonts w:eastAsia="Calibri" w:cs="Times New Roman"/>
          <w:szCs w:val="26"/>
        </w:rPr>
        <w:t xml:space="preserve"> s</w:t>
      </w:r>
      <w:r w:rsidRPr="00DD3762">
        <w:rPr>
          <w:rFonts w:eastAsia="Calibri" w:cs="Times New Roman"/>
          <w:szCs w:val="26"/>
        </w:rPr>
        <w:t xml:space="preserve">upports allowing pole reinforcements and replacements. </w:t>
      </w:r>
      <w:r w:rsidR="00F6006B">
        <w:rPr>
          <w:rFonts w:eastAsia="Calibri" w:cs="Times New Roman"/>
          <w:szCs w:val="26"/>
        </w:rPr>
        <w:t>It r</w:t>
      </w:r>
      <w:r w:rsidRPr="00DD3762">
        <w:rPr>
          <w:rFonts w:eastAsia="Calibri" w:cs="Times New Roman"/>
          <w:szCs w:val="26"/>
        </w:rPr>
        <w:t xml:space="preserve">ecommends shortening the </w:t>
      </w:r>
      <w:r w:rsidR="00A929DC">
        <w:rPr>
          <w:rFonts w:eastAsia="Calibri" w:cs="Times New Roman"/>
          <w:szCs w:val="26"/>
        </w:rPr>
        <w:t>Rule</w:t>
      </w:r>
      <w:r w:rsidR="0051059D">
        <w:rPr>
          <w:rFonts w:eastAsia="Calibri" w:cs="Times New Roman"/>
          <w:szCs w:val="26"/>
        </w:rPr>
        <w:t> </w:t>
      </w:r>
      <w:r w:rsidRPr="00DD3762">
        <w:rPr>
          <w:rFonts w:eastAsia="Calibri" w:cs="Times New Roman"/>
          <w:szCs w:val="26"/>
        </w:rPr>
        <w:t>18</w:t>
      </w:r>
      <w:r w:rsidR="00E4753D">
        <w:rPr>
          <w:rFonts w:eastAsia="Calibri" w:cs="Times New Roman"/>
          <w:szCs w:val="26"/>
        </w:rPr>
        <w:noBreakHyphen/>
      </w:r>
      <w:r w:rsidRPr="00DD3762">
        <w:rPr>
          <w:rFonts w:eastAsia="Calibri" w:cs="Times New Roman"/>
          <w:szCs w:val="26"/>
        </w:rPr>
        <w:t>B timeline from 60 months to 12 months, or</w:t>
      </w:r>
      <w:r w:rsidR="004D7AB6">
        <w:rPr>
          <w:rFonts w:eastAsia="Calibri" w:cs="Times New Roman"/>
          <w:szCs w:val="26"/>
        </w:rPr>
        <w:t xml:space="preserve"> three </w:t>
      </w:r>
      <w:r w:rsidRPr="00DD3762">
        <w:rPr>
          <w:rFonts w:eastAsia="Calibri" w:cs="Times New Roman"/>
          <w:szCs w:val="26"/>
        </w:rPr>
        <w:t>months if access is requested by a communications provider.</w:t>
      </w:r>
      <w:r w:rsidRPr="00DD3762">
        <w:rPr>
          <w:rFonts w:eastAsia="Calibri" w:cs="Times New Roman"/>
          <w:szCs w:val="26"/>
          <w:vertAlign w:val="superscript"/>
        </w:rPr>
        <w:footnoteReference w:id="103"/>
      </w:r>
    </w:p>
    <w:p w:rsidR="00FD7378" w:rsidP="00ED4B15" w:rsidRDefault="009C3F2D" w14:paraId="506F0328" w14:textId="39D78F91">
      <w:pPr>
        <w:pStyle w:val="Heading4"/>
      </w:pPr>
      <w:r>
        <w:t>Is it reasonable to permit attachers to hire pole</w:t>
      </w:r>
      <w:r w:rsidR="00E4753D">
        <w:noBreakHyphen/>
      </w:r>
      <w:r>
        <w:t>owner</w:t>
      </w:r>
      <w:r w:rsidR="00E4753D">
        <w:noBreakHyphen/>
      </w:r>
      <w:r>
        <w:t>approved contractors to replace poles that do not require deenergization of electric facilities? Will this reduce the impact on pole owners? How should costs be shared</w:t>
      </w:r>
      <w:r w:rsidR="00620C29">
        <w:t>?</w:t>
      </w:r>
    </w:p>
    <w:p w:rsidRPr="00DD3762" w:rsidR="00DD5E24" w:rsidP="00ED36CC" w:rsidRDefault="00DD5E24" w14:paraId="136778AE" w14:textId="54E5ADE1">
      <w:pPr>
        <w:pStyle w:val="Standard"/>
      </w:pPr>
      <w:r w:rsidRPr="00F6006B">
        <w:rPr>
          <w:rFonts w:eastAsia="Calibri" w:cs="Times New Roman"/>
          <w:szCs w:val="26"/>
        </w:rPr>
        <w:t>AT&amp;T</w:t>
      </w:r>
      <w:r w:rsidR="00F6006B">
        <w:rPr>
          <w:rFonts w:eastAsia="Calibri" w:cs="Times New Roman"/>
          <w:szCs w:val="26"/>
        </w:rPr>
        <w:t xml:space="preserve"> e</w:t>
      </w:r>
      <w:r w:rsidRPr="00DD3762">
        <w:rPr>
          <w:rFonts w:eastAsia="Calibri" w:cs="Times New Roman"/>
          <w:szCs w:val="26"/>
        </w:rPr>
        <w:t>xplains it is sometimes reasonable to allow attachers to hire contractors to replace poles</w:t>
      </w:r>
      <w:r w:rsidR="009A399B">
        <w:rPr>
          <w:rFonts w:eastAsia="Calibri" w:cs="Times New Roman"/>
          <w:szCs w:val="26"/>
        </w:rPr>
        <w:t>,</w:t>
      </w:r>
      <w:r w:rsidRPr="00DD3762">
        <w:rPr>
          <w:rFonts w:eastAsia="Calibri" w:cs="Times New Roman"/>
          <w:szCs w:val="26"/>
        </w:rPr>
        <w:t xml:space="preserve"> but complexities</w:t>
      </w:r>
      <w:r w:rsidR="009A399B">
        <w:rPr>
          <w:rFonts w:eastAsia="Calibri" w:cs="Times New Roman"/>
          <w:szCs w:val="26"/>
        </w:rPr>
        <w:t xml:space="preserve"> can</w:t>
      </w:r>
      <w:r w:rsidRPr="00DD3762">
        <w:rPr>
          <w:rFonts w:eastAsia="Calibri" w:cs="Times New Roman"/>
          <w:szCs w:val="26"/>
        </w:rPr>
        <w:t xml:space="preserve"> exist </w:t>
      </w:r>
      <w:r w:rsidR="009A399B">
        <w:rPr>
          <w:rFonts w:eastAsia="Calibri" w:cs="Times New Roman"/>
          <w:szCs w:val="26"/>
        </w:rPr>
        <w:t>when addressing</w:t>
      </w:r>
      <w:r w:rsidRPr="00DD3762">
        <w:rPr>
          <w:rFonts w:eastAsia="Calibri" w:cs="Times New Roman"/>
          <w:szCs w:val="26"/>
        </w:rPr>
        <w:t xml:space="preserve"> risers, </w:t>
      </w:r>
      <w:r w:rsidRPr="00DD3762">
        <w:rPr>
          <w:rFonts w:eastAsia="Calibri" w:cs="Times New Roman"/>
          <w:szCs w:val="26"/>
        </w:rPr>
        <w:lastRenderedPageBreak/>
        <w:t xml:space="preserve">guys, anchors, or other equipment. </w:t>
      </w:r>
      <w:r w:rsidR="00884B2C">
        <w:rPr>
          <w:rFonts w:eastAsia="Calibri" w:cs="Times New Roman"/>
          <w:szCs w:val="26"/>
        </w:rPr>
        <w:t>It r</w:t>
      </w:r>
      <w:r w:rsidRPr="00DD3762">
        <w:rPr>
          <w:rFonts w:eastAsia="Calibri" w:cs="Times New Roman"/>
          <w:szCs w:val="26"/>
        </w:rPr>
        <w:t xml:space="preserve">ecommends </w:t>
      </w:r>
      <w:r w:rsidR="00884B2C">
        <w:rPr>
          <w:rFonts w:eastAsia="Calibri" w:cs="Times New Roman"/>
          <w:szCs w:val="26"/>
        </w:rPr>
        <w:t xml:space="preserve">the Commission hold </w:t>
      </w:r>
      <w:r w:rsidRPr="00DD3762">
        <w:rPr>
          <w:rFonts w:eastAsia="Calibri" w:cs="Times New Roman"/>
          <w:szCs w:val="26"/>
        </w:rPr>
        <w:t xml:space="preserve">technical workshops. </w:t>
      </w:r>
      <w:r w:rsidR="008870C7">
        <w:rPr>
          <w:rFonts w:eastAsia="Calibri" w:cs="Times New Roman"/>
          <w:szCs w:val="26"/>
        </w:rPr>
        <w:t>AT&amp;T s</w:t>
      </w:r>
      <w:r w:rsidRPr="00DD3762">
        <w:rPr>
          <w:rFonts w:eastAsia="Calibri" w:cs="Times New Roman"/>
          <w:szCs w:val="26"/>
        </w:rPr>
        <w:t>uggests the attacher should be the cost</w:t>
      </w:r>
      <w:r w:rsidR="00E4753D">
        <w:rPr>
          <w:rFonts w:eastAsia="Calibri" w:cs="Times New Roman"/>
          <w:szCs w:val="26"/>
        </w:rPr>
        <w:noBreakHyphen/>
      </w:r>
      <w:r w:rsidRPr="00DD3762">
        <w:rPr>
          <w:rFonts w:eastAsia="Calibri" w:cs="Times New Roman"/>
          <w:szCs w:val="26"/>
        </w:rPr>
        <w:t xml:space="preserve">causer if the attachment exhausts the safety factor of the pole, or the attacher needs to attach within a specific time frame requiring expedited replacement. </w:t>
      </w:r>
      <w:r w:rsidR="00837A44">
        <w:rPr>
          <w:rFonts w:eastAsia="Calibri" w:cs="Times New Roman"/>
          <w:szCs w:val="26"/>
        </w:rPr>
        <w:t>It r</w:t>
      </w:r>
      <w:r w:rsidRPr="00DD3762">
        <w:rPr>
          <w:rFonts w:eastAsia="Calibri" w:cs="Times New Roman"/>
          <w:szCs w:val="26"/>
        </w:rPr>
        <w:t xml:space="preserve">ecommends that remediation follows </w:t>
      </w:r>
      <w:r w:rsidR="005B40C8">
        <w:rPr>
          <w:rFonts w:eastAsia="Calibri" w:cs="Times New Roman"/>
          <w:szCs w:val="26"/>
        </w:rPr>
        <w:t>GO</w:t>
      </w:r>
      <w:r w:rsidR="0051059D">
        <w:rPr>
          <w:rFonts w:eastAsia="Calibri" w:cs="Times New Roman"/>
          <w:szCs w:val="26"/>
        </w:rPr>
        <w:t> </w:t>
      </w:r>
      <w:r w:rsidRPr="00DD3762">
        <w:rPr>
          <w:rFonts w:eastAsia="Calibri" w:cs="Times New Roman"/>
          <w:szCs w:val="26"/>
        </w:rPr>
        <w:t>95</w:t>
      </w:r>
      <w:r w:rsidR="00837A44">
        <w:rPr>
          <w:rFonts w:eastAsia="Calibri" w:cs="Times New Roman"/>
          <w:szCs w:val="26"/>
        </w:rPr>
        <w:t>,</w:t>
      </w:r>
      <w:r w:rsidRPr="00DD3762">
        <w:rPr>
          <w:rFonts w:eastAsia="Calibri" w:cs="Times New Roman"/>
          <w:szCs w:val="26"/>
        </w:rPr>
        <w:t xml:space="preserve"> </w:t>
      </w:r>
      <w:r w:rsidR="00A929DC">
        <w:rPr>
          <w:rFonts w:eastAsia="Calibri" w:cs="Times New Roman"/>
          <w:szCs w:val="26"/>
        </w:rPr>
        <w:t>Rule</w:t>
      </w:r>
      <w:r w:rsidR="0051059D">
        <w:rPr>
          <w:rFonts w:eastAsia="Calibri" w:cs="Times New Roman"/>
          <w:szCs w:val="26"/>
        </w:rPr>
        <w:t> </w:t>
      </w:r>
      <w:r w:rsidRPr="00DD3762">
        <w:rPr>
          <w:rFonts w:eastAsia="Calibri" w:cs="Times New Roman"/>
          <w:szCs w:val="26"/>
        </w:rPr>
        <w:t>18</w:t>
      </w:r>
      <w:r w:rsidR="00837A44">
        <w:rPr>
          <w:rFonts w:eastAsia="Calibri" w:cs="Times New Roman"/>
          <w:szCs w:val="26"/>
        </w:rPr>
        <w:t>,</w:t>
      </w:r>
      <w:r w:rsidRPr="00DD3762">
        <w:rPr>
          <w:rFonts w:eastAsia="Calibri" w:cs="Times New Roman"/>
          <w:szCs w:val="26"/>
        </w:rPr>
        <w:t xml:space="preserve"> and </w:t>
      </w:r>
      <w:r w:rsidR="00837A44">
        <w:rPr>
          <w:rFonts w:eastAsia="Calibri" w:cs="Times New Roman"/>
          <w:szCs w:val="26"/>
        </w:rPr>
        <w:t xml:space="preserve">that </w:t>
      </w:r>
      <w:r w:rsidRPr="00DD3762">
        <w:rPr>
          <w:rFonts w:eastAsia="Calibri" w:cs="Times New Roman"/>
          <w:szCs w:val="26"/>
        </w:rPr>
        <w:t>any expedited replacement costs should be borne by the attacher.</w:t>
      </w:r>
      <w:r w:rsidRPr="00DD3762">
        <w:rPr>
          <w:rFonts w:eastAsia="Calibri" w:cs="Times New Roman"/>
          <w:szCs w:val="26"/>
          <w:vertAlign w:val="superscript"/>
        </w:rPr>
        <w:footnoteReference w:id="104"/>
      </w:r>
    </w:p>
    <w:p w:rsidRPr="00DD3762" w:rsidR="00DD5E24" w:rsidP="00ED36CC" w:rsidRDefault="00DD5E24" w14:paraId="038D64D6" w14:textId="34F7FB0E">
      <w:pPr>
        <w:pStyle w:val="Standard"/>
      </w:pPr>
      <w:r w:rsidRPr="00A001F2">
        <w:rPr>
          <w:rFonts w:eastAsia="Calibri" w:cs="Times New Roman"/>
          <w:szCs w:val="26"/>
        </w:rPr>
        <w:t>California Broadband and Video Association</w:t>
      </w:r>
      <w:r w:rsidRPr="00DD3762">
        <w:rPr>
          <w:rFonts w:eastAsia="Calibri" w:cs="Times New Roman"/>
          <w:szCs w:val="26"/>
        </w:rPr>
        <w:t xml:space="preserve"> </w:t>
      </w:r>
      <w:r w:rsidR="00A001F2">
        <w:rPr>
          <w:rFonts w:eastAsia="Calibri" w:cs="Times New Roman"/>
          <w:szCs w:val="26"/>
        </w:rPr>
        <w:t>a</w:t>
      </w:r>
      <w:r w:rsidRPr="00DD3762">
        <w:rPr>
          <w:rFonts w:eastAsia="Calibri" w:cs="Times New Roman"/>
          <w:szCs w:val="26"/>
        </w:rPr>
        <w:t>grees that it is reasonable to permit attachers to utilize self</w:t>
      </w:r>
      <w:r w:rsidR="00E4753D">
        <w:rPr>
          <w:rFonts w:eastAsia="Calibri" w:cs="Times New Roman"/>
          <w:szCs w:val="26"/>
        </w:rPr>
        <w:noBreakHyphen/>
      </w:r>
      <w:r w:rsidRPr="00DD3762">
        <w:rPr>
          <w:rFonts w:eastAsia="Calibri" w:cs="Times New Roman"/>
          <w:szCs w:val="26"/>
        </w:rPr>
        <w:t>help with pole owner</w:t>
      </w:r>
      <w:r w:rsidR="00E4753D">
        <w:rPr>
          <w:rFonts w:eastAsia="Calibri" w:cs="Times New Roman"/>
          <w:szCs w:val="26"/>
        </w:rPr>
        <w:noBreakHyphen/>
      </w:r>
      <w:r w:rsidRPr="00DD3762">
        <w:rPr>
          <w:rFonts w:eastAsia="Calibri" w:cs="Times New Roman"/>
          <w:szCs w:val="26"/>
        </w:rPr>
        <w:t xml:space="preserve">approved contractors for reinforcement and simple replacements when the work does not involve deenergization and the utility cannot timely complete the request. </w:t>
      </w:r>
      <w:r w:rsidR="00DF38CA">
        <w:rPr>
          <w:rFonts w:eastAsia="Calibri" w:cs="Times New Roman"/>
          <w:szCs w:val="26"/>
        </w:rPr>
        <w:t>It c</w:t>
      </w:r>
      <w:r w:rsidRPr="00DD3762">
        <w:rPr>
          <w:rFonts w:eastAsia="Calibri" w:cs="Times New Roman"/>
          <w:szCs w:val="26"/>
        </w:rPr>
        <w:t>laims this will alleviate financial and logistical burdens on pole owners.</w:t>
      </w:r>
      <w:r w:rsidRPr="00DD3762">
        <w:rPr>
          <w:rFonts w:eastAsia="Calibri" w:cs="Times New Roman"/>
          <w:szCs w:val="26"/>
          <w:vertAlign w:val="superscript"/>
        </w:rPr>
        <w:footnoteReference w:id="105"/>
      </w:r>
    </w:p>
    <w:p w:rsidRPr="00DD3762" w:rsidR="00DD5E24" w:rsidP="00ED36CC" w:rsidRDefault="00DD5E24" w14:paraId="62620D01" w14:textId="154B8CC4">
      <w:pPr>
        <w:pStyle w:val="Standard"/>
      </w:pPr>
      <w:r w:rsidRPr="00DF38CA">
        <w:rPr>
          <w:rFonts w:eastAsia="Calibri" w:cs="Times New Roman"/>
          <w:szCs w:val="26"/>
        </w:rPr>
        <w:t>Coalition of California Utility Employees</w:t>
      </w:r>
      <w:r w:rsidRPr="00DD3762">
        <w:rPr>
          <w:rFonts w:eastAsia="Calibri" w:cs="Times New Roman"/>
          <w:szCs w:val="26"/>
        </w:rPr>
        <w:t xml:space="preserve"> </w:t>
      </w:r>
      <w:r w:rsidR="00DF38CA">
        <w:rPr>
          <w:rFonts w:eastAsia="Calibri" w:cs="Times New Roman"/>
          <w:szCs w:val="26"/>
        </w:rPr>
        <w:t>s</w:t>
      </w:r>
      <w:r w:rsidRPr="00DD3762">
        <w:rPr>
          <w:rFonts w:eastAsia="Calibri" w:cs="Times New Roman"/>
          <w:szCs w:val="26"/>
        </w:rPr>
        <w:t>upports staff</w:t>
      </w:r>
      <w:r w:rsidR="00410529">
        <w:rPr>
          <w:rFonts w:eastAsia="Calibri" w:cs="Times New Roman"/>
          <w:szCs w:val="26"/>
        </w:rPr>
        <w:t>’</w:t>
      </w:r>
      <w:r w:rsidRPr="00DD3762">
        <w:rPr>
          <w:rFonts w:eastAsia="Calibri" w:cs="Times New Roman"/>
          <w:szCs w:val="26"/>
        </w:rPr>
        <w:t>s proposed requirement for work above the communications space to be performed by a Qualified Electrical Worker</w:t>
      </w:r>
      <w:r w:rsidR="00215822">
        <w:rPr>
          <w:rFonts w:eastAsia="Calibri" w:cs="Times New Roman"/>
          <w:szCs w:val="26"/>
        </w:rPr>
        <w:t>. It believes that</w:t>
      </w:r>
      <w:r w:rsidRPr="00DD3762">
        <w:rPr>
          <w:rFonts w:eastAsia="Calibri" w:cs="Times New Roman"/>
          <w:szCs w:val="26"/>
        </w:rPr>
        <w:t xml:space="preserve"> this is critical to public and worker safety and necessary to meet OSHA regulations for specialized training. </w:t>
      </w:r>
      <w:r w:rsidR="00AF1CCE">
        <w:rPr>
          <w:rFonts w:eastAsia="Calibri" w:cs="Times New Roman"/>
          <w:szCs w:val="26"/>
        </w:rPr>
        <w:t>It r</w:t>
      </w:r>
      <w:r w:rsidRPr="00DD3762">
        <w:rPr>
          <w:rFonts w:eastAsia="Calibri" w:cs="Times New Roman"/>
          <w:szCs w:val="26"/>
        </w:rPr>
        <w:t xml:space="preserve">ecommends </w:t>
      </w:r>
      <w:r w:rsidR="00AF1CCE">
        <w:rPr>
          <w:rFonts w:eastAsia="Calibri" w:cs="Times New Roman"/>
          <w:szCs w:val="26"/>
        </w:rPr>
        <w:t xml:space="preserve">that the </w:t>
      </w:r>
      <w:r w:rsidRPr="00DD3762">
        <w:rPr>
          <w:rFonts w:eastAsia="Calibri" w:cs="Times New Roman"/>
          <w:szCs w:val="26"/>
        </w:rPr>
        <w:t>CPUC require contractors to certify their employees have an OSHA</w:t>
      </w:r>
      <w:r w:rsidR="00E4753D">
        <w:rPr>
          <w:rFonts w:eastAsia="Calibri" w:cs="Times New Roman"/>
          <w:szCs w:val="26"/>
        </w:rPr>
        <w:noBreakHyphen/>
      </w:r>
      <w:r w:rsidRPr="00DD3762">
        <w:rPr>
          <w:rFonts w:eastAsia="Calibri" w:cs="Times New Roman"/>
          <w:szCs w:val="26"/>
        </w:rPr>
        <w:t>10 card</w:t>
      </w:r>
      <w:r w:rsidR="00AF1CCE">
        <w:rPr>
          <w:rFonts w:eastAsia="Calibri" w:cs="Times New Roman"/>
          <w:szCs w:val="26"/>
        </w:rPr>
        <w:t>, and</w:t>
      </w:r>
      <w:r w:rsidRPr="00DD3762">
        <w:rPr>
          <w:rFonts w:eastAsia="Calibri" w:cs="Times New Roman"/>
          <w:szCs w:val="26"/>
        </w:rPr>
        <w:t xml:space="preserve"> </w:t>
      </w:r>
      <w:r w:rsidR="00354AE4">
        <w:rPr>
          <w:rFonts w:eastAsia="Calibri" w:cs="Times New Roman"/>
          <w:szCs w:val="26"/>
        </w:rPr>
        <w:t>o</w:t>
      </w:r>
      <w:r w:rsidRPr="00DD3762">
        <w:rPr>
          <w:rFonts w:eastAsia="Calibri" w:cs="Times New Roman"/>
          <w:szCs w:val="26"/>
        </w:rPr>
        <w:t>pposes all exemptions that could permit work to be performed by contractors that are not utility vetted/approved.</w:t>
      </w:r>
      <w:r w:rsidRPr="00DD3762">
        <w:rPr>
          <w:rFonts w:eastAsia="Calibri" w:cs="Times New Roman"/>
          <w:szCs w:val="26"/>
          <w:vertAlign w:val="superscript"/>
        </w:rPr>
        <w:footnoteReference w:id="106"/>
      </w:r>
    </w:p>
    <w:p w:rsidRPr="00DD3762" w:rsidR="00DD5E24" w:rsidP="00ED36CC" w:rsidRDefault="00DD5E24" w14:paraId="6699C018" w14:textId="2E1E1479">
      <w:pPr>
        <w:pStyle w:val="Standard"/>
      </w:pPr>
      <w:proofErr w:type="spellStart"/>
      <w:r w:rsidRPr="00354AE4">
        <w:rPr>
          <w:rFonts w:eastAsia="Calibri" w:cs="Times New Roman"/>
          <w:szCs w:val="26"/>
        </w:rPr>
        <w:t>Extenet</w:t>
      </w:r>
      <w:proofErr w:type="spellEnd"/>
      <w:r w:rsidRPr="00354AE4">
        <w:rPr>
          <w:rFonts w:eastAsia="Calibri" w:cs="Times New Roman"/>
          <w:szCs w:val="26"/>
        </w:rPr>
        <w:t xml:space="preserve"> Systems</w:t>
      </w:r>
      <w:r w:rsidRPr="00DD3762">
        <w:rPr>
          <w:rFonts w:eastAsia="Calibri" w:cs="Times New Roman"/>
          <w:szCs w:val="26"/>
        </w:rPr>
        <w:t xml:space="preserve"> </w:t>
      </w:r>
      <w:r w:rsidR="00354AE4">
        <w:rPr>
          <w:rFonts w:eastAsia="Calibri" w:cs="Times New Roman"/>
          <w:szCs w:val="26"/>
        </w:rPr>
        <w:t>s</w:t>
      </w:r>
      <w:r w:rsidRPr="00DD3762">
        <w:rPr>
          <w:rFonts w:eastAsia="Calibri" w:cs="Times New Roman"/>
          <w:szCs w:val="26"/>
        </w:rPr>
        <w:t xml:space="preserve">upports </w:t>
      </w:r>
      <w:r w:rsidR="00354AE4">
        <w:rPr>
          <w:rFonts w:eastAsia="Calibri" w:cs="Times New Roman"/>
          <w:szCs w:val="26"/>
        </w:rPr>
        <w:t xml:space="preserve">the </w:t>
      </w:r>
      <w:r w:rsidRPr="00DD3762">
        <w:rPr>
          <w:rFonts w:eastAsia="Calibri" w:cs="Times New Roman"/>
          <w:szCs w:val="26"/>
        </w:rPr>
        <w:t>attachers ability to use pole owner</w:t>
      </w:r>
      <w:r w:rsidR="00E4753D">
        <w:rPr>
          <w:rFonts w:eastAsia="Calibri" w:cs="Times New Roman"/>
          <w:szCs w:val="26"/>
        </w:rPr>
        <w:noBreakHyphen/>
      </w:r>
      <w:r w:rsidRPr="00DD3762">
        <w:rPr>
          <w:rFonts w:eastAsia="Calibri" w:cs="Times New Roman"/>
          <w:szCs w:val="26"/>
        </w:rPr>
        <w:t xml:space="preserve">approved contractors. </w:t>
      </w:r>
      <w:r w:rsidR="00354AE4">
        <w:rPr>
          <w:rFonts w:eastAsia="Calibri" w:cs="Times New Roman"/>
          <w:szCs w:val="26"/>
        </w:rPr>
        <w:t>It r</w:t>
      </w:r>
      <w:r w:rsidRPr="00DD3762">
        <w:rPr>
          <w:rFonts w:eastAsia="Calibri" w:cs="Times New Roman"/>
          <w:szCs w:val="26"/>
        </w:rPr>
        <w:t xml:space="preserve">ecommends that costs </w:t>
      </w:r>
      <w:r w:rsidR="004D2E51">
        <w:rPr>
          <w:rFonts w:eastAsia="Calibri" w:cs="Times New Roman"/>
          <w:szCs w:val="26"/>
        </w:rPr>
        <w:t>be</w:t>
      </w:r>
      <w:r w:rsidRPr="00DD3762">
        <w:rPr>
          <w:rFonts w:eastAsia="Calibri" w:cs="Times New Roman"/>
          <w:szCs w:val="26"/>
        </w:rPr>
        <w:t xml:space="preserve"> allocated in accordance with the FCC</w:t>
      </w:r>
      <w:r w:rsidR="00410529">
        <w:rPr>
          <w:rFonts w:eastAsia="Calibri" w:cs="Times New Roman"/>
          <w:szCs w:val="26"/>
        </w:rPr>
        <w:t>’</w:t>
      </w:r>
      <w:r w:rsidRPr="00DD3762">
        <w:rPr>
          <w:rFonts w:eastAsia="Calibri" w:cs="Times New Roman"/>
          <w:szCs w:val="26"/>
        </w:rPr>
        <w:t xml:space="preserve">s </w:t>
      </w:r>
      <w:r w:rsidRPr="00DD3762">
        <w:rPr>
          <w:rFonts w:eastAsia="Calibri" w:cs="Times New Roman"/>
          <w:szCs w:val="26"/>
        </w:rPr>
        <w:lastRenderedPageBreak/>
        <w:t>Pole Attachment Order</w:t>
      </w:r>
      <w:r w:rsidR="004D2E51">
        <w:rPr>
          <w:rFonts w:eastAsia="Calibri" w:cs="Times New Roman"/>
          <w:szCs w:val="26"/>
        </w:rPr>
        <w:t>,</w:t>
      </w:r>
      <w:r w:rsidRPr="00DD3762">
        <w:rPr>
          <w:rFonts w:eastAsia="Calibri" w:cs="Times New Roman"/>
          <w:szCs w:val="26"/>
          <w:vertAlign w:val="superscript"/>
        </w:rPr>
        <w:footnoteReference w:id="107"/>
      </w:r>
      <w:r w:rsidRPr="00DD3762">
        <w:rPr>
          <w:rFonts w:eastAsia="Calibri" w:cs="Times New Roman"/>
          <w:szCs w:val="26"/>
        </w:rPr>
        <w:t xml:space="preserve"> </w:t>
      </w:r>
      <w:r w:rsidR="004D2E51">
        <w:rPr>
          <w:rFonts w:eastAsia="Calibri" w:cs="Times New Roman"/>
          <w:szCs w:val="26"/>
        </w:rPr>
        <w:t xml:space="preserve">and that </w:t>
      </w:r>
      <w:r w:rsidRPr="00DD3762">
        <w:rPr>
          <w:rFonts w:eastAsia="Calibri" w:cs="Times New Roman"/>
          <w:szCs w:val="26"/>
        </w:rPr>
        <w:t>attachers should only pay for costs they directly caused.</w:t>
      </w:r>
      <w:r w:rsidRPr="00DD3762">
        <w:rPr>
          <w:rFonts w:eastAsia="Calibri" w:cs="Times New Roman"/>
          <w:szCs w:val="26"/>
          <w:vertAlign w:val="superscript"/>
        </w:rPr>
        <w:footnoteReference w:id="108"/>
      </w:r>
    </w:p>
    <w:p w:rsidRPr="00DD3762" w:rsidR="00DD5E24" w:rsidP="00ED36CC" w:rsidRDefault="00DD5E24" w14:paraId="336B45AA" w14:textId="1CBF80D6">
      <w:pPr>
        <w:pStyle w:val="Standard"/>
      </w:pPr>
      <w:r w:rsidRPr="00915817">
        <w:rPr>
          <w:rFonts w:eastAsia="Calibri" w:cs="Times New Roman"/>
          <w:szCs w:val="26"/>
        </w:rPr>
        <w:t>PG&amp;E</w:t>
      </w:r>
      <w:r w:rsidRPr="00DD3762">
        <w:rPr>
          <w:rFonts w:eastAsia="Calibri" w:cs="Times New Roman"/>
          <w:szCs w:val="26"/>
        </w:rPr>
        <w:t xml:space="preserve"> </w:t>
      </w:r>
      <w:r w:rsidR="00915817">
        <w:rPr>
          <w:rFonts w:eastAsia="Calibri" w:cs="Times New Roman"/>
          <w:szCs w:val="26"/>
        </w:rPr>
        <w:t>o</w:t>
      </w:r>
      <w:r w:rsidRPr="00DD3762">
        <w:rPr>
          <w:rFonts w:eastAsia="Calibri" w:cs="Times New Roman"/>
          <w:szCs w:val="26"/>
        </w:rPr>
        <w:t>pposes</w:t>
      </w:r>
      <w:r w:rsidR="00915817">
        <w:rPr>
          <w:rFonts w:eastAsia="Calibri" w:cs="Times New Roman"/>
          <w:szCs w:val="26"/>
        </w:rPr>
        <w:t xml:space="preserve"> </w:t>
      </w:r>
      <w:r w:rsidR="008C74C3">
        <w:rPr>
          <w:rFonts w:eastAsia="Calibri" w:cs="Times New Roman"/>
          <w:szCs w:val="26"/>
        </w:rPr>
        <w:t xml:space="preserve">the proposal to allow </w:t>
      </w:r>
      <w:r w:rsidRPr="00DD3762" w:rsidR="008C74C3">
        <w:rPr>
          <w:rFonts w:eastAsia="Calibri" w:cs="Times New Roman"/>
          <w:szCs w:val="26"/>
        </w:rPr>
        <w:t xml:space="preserve">attachers to hire contractors to replace poles </w:t>
      </w:r>
      <w:r w:rsidRPr="00DD3762">
        <w:rPr>
          <w:rFonts w:eastAsia="Calibri" w:cs="Times New Roman"/>
          <w:szCs w:val="26"/>
        </w:rPr>
        <w:t>due to</w:t>
      </w:r>
      <w:r w:rsidR="00915817">
        <w:rPr>
          <w:rFonts w:eastAsia="Calibri" w:cs="Times New Roman"/>
          <w:szCs w:val="26"/>
        </w:rPr>
        <w:t xml:space="preserve"> a</w:t>
      </w:r>
      <w:r w:rsidRPr="00DD3762">
        <w:rPr>
          <w:rFonts w:eastAsia="Calibri" w:cs="Times New Roman"/>
          <w:szCs w:val="26"/>
        </w:rPr>
        <w:t xml:space="preserve"> lack of clarity. </w:t>
      </w:r>
      <w:r w:rsidR="005F2A9B">
        <w:rPr>
          <w:rFonts w:eastAsia="Calibri" w:cs="Times New Roman"/>
          <w:szCs w:val="26"/>
        </w:rPr>
        <w:t>It r</w:t>
      </w:r>
      <w:r w:rsidRPr="00DD3762">
        <w:rPr>
          <w:rFonts w:eastAsia="Calibri" w:cs="Times New Roman"/>
          <w:szCs w:val="26"/>
        </w:rPr>
        <w:t xml:space="preserve">aises several concerns and recommends clarifications/revisions. </w:t>
      </w:r>
      <w:r w:rsidR="005F2A9B">
        <w:rPr>
          <w:rFonts w:eastAsia="Calibri" w:cs="Times New Roman"/>
          <w:szCs w:val="26"/>
        </w:rPr>
        <w:t>For example, PG&amp;E s</w:t>
      </w:r>
      <w:r w:rsidRPr="00DD3762">
        <w:rPr>
          <w:rFonts w:eastAsia="Calibri" w:cs="Times New Roman"/>
          <w:szCs w:val="26"/>
        </w:rPr>
        <w:t xml:space="preserve">eeks clarity on </w:t>
      </w:r>
      <w:r w:rsidR="005F2A9B">
        <w:rPr>
          <w:rFonts w:eastAsia="Calibri" w:cs="Times New Roman"/>
          <w:szCs w:val="26"/>
        </w:rPr>
        <w:t>the</w:t>
      </w:r>
      <w:r w:rsidR="003707C5">
        <w:rPr>
          <w:rFonts w:eastAsia="Calibri" w:cs="Times New Roman"/>
          <w:szCs w:val="26"/>
        </w:rPr>
        <w:t xml:space="preserve"> </w:t>
      </w:r>
      <w:r w:rsidRPr="00DD3762">
        <w:rPr>
          <w:rFonts w:eastAsia="Calibri" w:cs="Times New Roman"/>
          <w:szCs w:val="26"/>
        </w:rPr>
        <w:t>definition</w:t>
      </w:r>
      <w:r w:rsidR="003707C5">
        <w:rPr>
          <w:rFonts w:eastAsia="Calibri" w:cs="Times New Roman"/>
          <w:szCs w:val="26"/>
        </w:rPr>
        <w:t>s</w:t>
      </w:r>
      <w:r w:rsidRPr="00DD3762">
        <w:rPr>
          <w:rFonts w:eastAsia="Calibri" w:cs="Times New Roman"/>
          <w:szCs w:val="26"/>
        </w:rPr>
        <w:t xml:space="preserve"> of </w:t>
      </w:r>
      <w:r w:rsidR="00410529">
        <w:rPr>
          <w:rFonts w:eastAsia="Calibri" w:cs="Times New Roman"/>
          <w:szCs w:val="26"/>
        </w:rPr>
        <w:t>“</w:t>
      </w:r>
      <w:r w:rsidRPr="00DD3762">
        <w:rPr>
          <w:rFonts w:eastAsia="Calibri" w:cs="Times New Roman"/>
          <w:szCs w:val="26"/>
        </w:rPr>
        <w:t>simple pole replacements</w:t>
      </w:r>
      <w:r w:rsidR="00410529">
        <w:rPr>
          <w:rFonts w:eastAsia="Calibri" w:cs="Times New Roman"/>
          <w:szCs w:val="26"/>
        </w:rPr>
        <w:t>”</w:t>
      </w:r>
      <w:r w:rsidRPr="00DD3762">
        <w:rPr>
          <w:rFonts w:eastAsia="Calibri" w:cs="Times New Roman"/>
          <w:szCs w:val="26"/>
        </w:rPr>
        <w:t xml:space="preserve"> and </w:t>
      </w:r>
      <w:r w:rsidR="00410529">
        <w:rPr>
          <w:rFonts w:eastAsia="Calibri" w:cs="Times New Roman"/>
          <w:szCs w:val="26"/>
        </w:rPr>
        <w:t>“</w:t>
      </w:r>
      <w:r w:rsidRPr="00DD3762">
        <w:rPr>
          <w:rFonts w:eastAsia="Calibri" w:cs="Times New Roman"/>
          <w:szCs w:val="26"/>
        </w:rPr>
        <w:t>poles that do not require deenergization,</w:t>
      </w:r>
      <w:r w:rsidR="00410529">
        <w:rPr>
          <w:rFonts w:eastAsia="Calibri" w:cs="Times New Roman"/>
          <w:szCs w:val="26"/>
        </w:rPr>
        <w:t>”</w:t>
      </w:r>
      <w:r w:rsidRPr="00DD3762">
        <w:rPr>
          <w:rFonts w:eastAsia="Calibri" w:cs="Times New Roman"/>
          <w:szCs w:val="26"/>
        </w:rPr>
        <w:t xml:space="preserve"> noting that many poles can be replaced without deenergization but doing so may impose excessive costs. </w:t>
      </w:r>
      <w:r w:rsidR="003707C5">
        <w:rPr>
          <w:rFonts w:eastAsia="Calibri" w:cs="Times New Roman"/>
          <w:szCs w:val="26"/>
        </w:rPr>
        <w:t>It asserts that the</w:t>
      </w:r>
      <w:r w:rsidRPr="00DD3762">
        <w:rPr>
          <w:rFonts w:eastAsia="Calibri" w:cs="Times New Roman"/>
          <w:szCs w:val="26"/>
        </w:rPr>
        <w:t xml:space="preserve"> Staff Proposal lacks key terms and conditions, including for liability, indemnity, ownership, cost appointment, and design review. </w:t>
      </w:r>
      <w:r w:rsidR="00EC09DB">
        <w:rPr>
          <w:rFonts w:eastAsia="Calibri" w:cs="Times New Roman"/>
          <w:szCs w:val="26"/>
        </w:rPr>
        <w:t>PG&amp;E p</w:t>
      </w:r>
      <w:r w:rsidRPr="00DD3762">
        <w:rPr>
          <w:rFonts w:eastAsia="Calibri" w:cs="Times New Roman"/>
          <w:szCs w:val="26"/>
        </w:rPr>
        <w:t xml:space="preserve">roposes that if reinforcement is required solely due to a new attachment, the attacher should bear the full cost. </w:t>
      </w:r>
      <w:r w:rsidR="00FD7D15">
        <w:rPr>
          <w:rFonts w:eastAsia="Calibri" w:cs="Times New Roman"/>
          <w:szCs w:val="26"/>
        </w:rPr>
        <w:t>It p</w:t>
      </w:r>
      <w:r w:rsidRPr="00DD3762">
        <w:rPr>
          <w:rFonts w:eastAsia="Calibri" w:cs="Times New Roman"/>
          <w:szCs w:val="26"/>
        </w:rPr>
        <w:t>roposes that, for noncompliant poles, the pole owner should bear costs necessary to restore compliance, but not additional costs associated with new attachments.</w:t>
      </w:r>
      <w:r w:rsidRPr="00DD3762">
        <w:rPr>
          <w:rFonts w:eastAsia="Calibri" w:cs="Times New Roman"/>
          <w:szCs w:val="26"/>
          <w:vertAlign w:val="superscript"/>
        </w:rPr>
        <w:footnoteReference w:id="109"/>
      </w:r>
    </w:p>
    <w:p w:rsidRPr="00DD3762" w:rsidR="00DD5E24" w:rsidP="00ED36CC" w:rsidRDefault="00DD5E24" w14:paraId="355C68A5" w14:textId="42F28795">
      <w:pPr>
        <w:pStyle w:val="Standard"/>
      </w:pPr>
      <w:r w:rsidRPr="00FD7D15">
        <w:rPr>
          <w:rFonts w:eastAsia="Calibri" w:cs="Times New Roman"/>
          <w:szCs w:val="26"/>
        </w:rPr>
        <w:t>Race</w:t>
      </w:r>
      <w:r w:rsidR="00FD7D15">
        <w:rPr>
          <w:rFonts w:eastAsia="Calibri" w:cs="Times New Roman"/>
          <w:szCs w:val="26"/>
        </w:rPr>
        <w:t xml:space="preserve"> r</w:t>
      </w:r>
      <w:r w:rsidRPr="00DD3762">
        <w:rPr>
          <w:rFonts w:eastAsia="Calibri" w:cs="Times New Roman"/>
          <w:szCs w:val="26"/>
        </w:rPr>
        <w:t xml:space="preserve">ecommends pole owners and attachers </w:t>
      </w:r>
      <w:r w:rsidR="004C0913">
        <w:rPr>
          <w:rFonts w:eastAsia="Calibri" w:cs="Times New Roman"/>
          <w:szCs w:val="26"/>
        </w:rPr>
        <w:t xml:space="preserve">should </w:t>
      </w:r>
      <w:r w:rsidRPr="00DD3762">
        <w:rPr>
          <w:rFonts w:eastAsia="Calibri" w:cs="Times New Roman"/>
          <w:szCs w:val="26"/>
        </w:rPr>
        <w:t xml:space="preserve">share </w:t>
      </w:r>
      <w:r w:rsidR="004C0913">
        <w:rPr>
          <w:rFonts w:eastAsia="Calibri" w:cs="Times New Roman"/>
          <w:szCs w:val="26"/>
        </w:rPr>
        <w:t xml:space="preserve">the </w:t>
      </w:r>
      <w:r w:rsidRPr="00DD3762">
        <w:rPr>
          <w:rFonts w:eastAsia="Calibri" w:cs="Times New Roman"/>
          <w:szCs w:val="26"/>
        </w:rPr>
        <w:t xml:space="preserve">costs of a pole replacement. </w:t>
      </w:r>
      <w:r w:rsidR="004C0913">
        <w:rPr>
          <w:rFonts w:eastAsia="Calibri" w:cs="Times New Roman"/>
          <w:szCs w:val="26"/>
        </w:rPr>
        <w:t>It s</w:t>
      </w:r>
      <w:r w:rsidRPr="00DD3762">
        <w:rPr>
          <w:rFonts w:eastAsia="Calibri" w:cs="Times New Roman"/>
          <w:szCs w:val="26"/>
        </w:rPr>
        <w:t>uggests that an attacher should not have to hire pole owner approved contractors to replace a pole that does not require deenergization.</w:t>
      </w:r>
      <w:r w:rsidRPr="00DD3762">
        <w:rPr>
          <w:rFonts w:eastAsia="Calibri" w:cs="Times New Roman"/>
          <w:szCs w:val="26"/>
          <w:vertAlign w:val="superscript"/>
        </w:rPr>
        <w:footnoteReference w:id="110"/>
      </w:r>
    </w:p>
    <w:p w:rsidRPr="00DD3762" w:rsidR="00DD5E24" w:rsidP="00ED36CC" w:rsidRDefault="00DD5E24" w14:paraId="35274C45" w14:textId="46F2A09C">
      <w:pPr>
        <w:pStyle w:val="Standard"/>
      </w:pPr>
      <w:r w:rsidRPr="00CA5E08">
        <w:rPr>
          <w:rFonts w:eastAsia="Calibri" w:cs="Times New Roman"/>
          <w:szCs w:val="26"/>
        </w:rPr>
        <w:t>SCE</w:t>
      </w:r>
      <w:r w:rsidRPr="00DD3762">
        <w:rPr>
          <w:rFonts w:eastAsia="Calibri" w:cs="Times New Roman"/>
          <w:szCs w:val="26"/>
        </w:rPr>
        <w:t xml:space="preserve"> </w:t>
      </w:r>
      <w:r w:rsidR="00CA5E08">
        <w:rPr>
          <w:rFonts w:eastAsia="Calibri" w:cs="Times New Roman"/>
          <w:szCs w:val="26"/>
        </w:rPr>
        <w:t>r</w:t>
      </w:r>
      <w:r w:rsidRPr="00DD3762">
        <w:rPr>
          <w:rFonts w:eastAsia="Calibri" w:cs="Times New Roman"/>
          <w:szCs w:val="26"/>
        </w:rPr>
        <w:t xml:space="preserve">ecommends allowing only utilities to conduct pole replacements due to the complexity of the process. </w:t>
      </w:r>
      <w:r w:rsidR="00B047D1">
        <w:rPr>
          <w:rFonts w:eastAsia="Calibri" w:cs="Times New Roman"/>
          <w:szCs w:val="26"/>
        </w:rPr>
        <w:t>It o</w:t>
      </w:r>
      <w:r w:rsidRPr="00DD3762">
        <w:rPr>
          <w:rFonts w:eastAsia="Calibri" w:cs="Times New Roman"/>
          <w:szCs w:val="26"/>
        </w:rPr>
        <w:t>pposes</w:t>
      </w:r>
      <w:r w:rsidR="00B047D1">
        <w:rPr>
          <w:rFonts w:eastAsia="Calibri" w:cs="Times New Roman"/>
          <w:szCs w:val="26"/>
        </w:rPr>
        <w:t xml:space="preserve"> the</w:t>
      </w:r>
      <w:r w:rsidRPr="00DD3762">
        <w:rPr>
          <w:rFonts w:eastAsia="Calibri" w:cs="Times New Roman"/>
          <w:szCs w:val="26"/>
        </w:rPr>
        <w:t xml:space="preserve"> proposal to allow attachers to use utility approved contractors for </w:t>
      </w:r>
      <w:r w:rsidR="00410529">
        <w:rPr>
          <w:rFonts w:eastAsia="Calibri" w:cs="Times New Roman"/>
          <w:szCs w:val="26"/>
        </w:rPr>
        <w:t>“</w:t>
      </w:r>
      <w:r w:rsidRPr="00DD3762">
        <w:rPr>
          <w:rFonts w:eastAsia="Calibri" w:cs="Times New Roman"/>
          <w:szCs w:val="26"/>
        </w:rPr>
        <w:t>simple</w:t>
      </w:r>
      <w:r w:rsidR="00410529">
        <w:rPr>
          <w:rFonts w:eastAsia="Calibri" w:cs="Times New Roman"/>
          <w:szCs w:val="26"/>
        </w:rPr>
        <w:t>”</w:t>
      </w:r>
      <w:r w:rsidRPr="00DD3762">
        <w:rPr>
          <w:rFonts w:eastAsia="Calibri" w:cs="Times New Roman"/>
          <w:szCs w:val="26"/>
        </w:rPr>
        <w:t xml:space="preserve"> pole replacements. However, if adopted, SCE requests that such work be subject to </w:t>
      </w:r>
      <w:r w:rsidR="00CE5DB2">
        <w:rPr>
          <w:rFonts w:eastAsia="Calibri" w:cs="Times New Roman"/>
          <w:szCs w:val="26"/>
        </w:rPr>
        <w:t>Sections</w:t>
      </w:r>
      <w:r w:rsidR="0051059D">
        <w:rPr>
          <w:rFonts w:eastAsia="Calibri" w:cs="Times New Roman"/>
          <w:szCs w:val="26"/>
        </w:rPr>
        <w:t> </w:t>
      </w:r>
      <w:r w:rsidRPr="00DD3762">
        <w:rPr>
          <w:rFonts w:eastAsia="Calibri" w:cs="Times New Roman"/>
          <w:szCs w:val="26"/>
        </w:rPr>
        <w:t>IV.H.2 and IV.H.8 requiring utility discretion and use of Qualified Electric Workers. Under SCE</w:t>
      </w:r>
      <w:r w:rsidR="00410529">
        <w:rPr>
          <w:rFonts w:eastAsia="Calibri" w:cs="Times New Roman"/>
          <w:szCs w:val="26"/>
        </w:rPr>
        <w:t>’</w:t>
      </w:r>
      <w:r w:rsidRPr="00DD3762">
        <w:rPr>
          <w:rFonts w:eastAsia="Calibri" w:cs="Times New Roman"/>
          <w:szCs w:val="26"/>
        </w:rPr>
        <w:t xml:space="preserve">s </w:t>
      </w:r>
      <w:r w:rsidRPr="00DD3762">
        <w:rPr>
          <w:rFonts w:eastAsia="Calibri" w:cs="Times New Roman"/>
          <w:szCs w:val="26"/>
        </w:rPr>
        <w:lastRenderedPageBreak/>
        <w:t xml:space="preserve">standard Pole License Agreement, </w:t>
      </w:r>
      <w:r w:rsidR="007B1BBA">
        <w:rPr>
          <w:rFonts w:eastAsia="Calibri" w:cs="Times New Roman"/>
          <w:szCs w:val="26"/>
        </w:rPr>
        <w:t xml:space="preserve">SCE claims its </w:t>
      </w:r>
      <w:r w:rsidRPr="00DD3762">
        <w:rPr>
          <w:rFonts w:eastAsia="Calibri" w:cs="Times New Roman"/>
          <w:szCs w:val="26"/>
        </w:rPr>
        <w:t>licensees must pay pole replacement costs needed to accommodate their attachments.</w:t>
      </w:r>
      <w:r w:rsidRPr="00DD3762">
        <w:rPr>
          <w:rFonts w:eastAsia="Calibri" w:cs="Times New Roman"/>
          <w:szCs w:val="26"/>
          <w:vertAlign w:val="superscript"/>
        </w:rPr>
        <w:footnoteReference w:id="111"/>
      </w:r>
    </w:p>
    <w:p w:rsidRPr="00DD3762" w:rsidR="00DD5E24" w:rsidP="00ED36CC" w:rsidRDefault="00DD5E24" w14:paraId="3FA5D419" w14:textId="609F8289">
      <w:pPr>
        <w:pStyle w:val="Standard"/>
      </w:pPr>
      <w:r w:rsidRPr="007B1BBA">
        <w:rPr>
          <w:rFonts w:eastAsia="Calibri" w:cs="Times New Roman"/>
          <w:szCs w:val="26"/>
        </w:rPr>
        <w:t>SDG&amp;E</w:t>
      </w:r>
      <w:r w:rsidR="007B1BBA">
        <w:rPr>
          <w:rFonts w:eastAsia="Calibri" w:cs="Times New Roman"/>
          <w:szCs w:val="26"/>
        </w:rPr>
        <w:t xml:space="preserve"> a</w:t>
      </w:r>
      <w:r w:rsidRPr="00DD3762">
        <w:rPr>
          <w:rFonts w:eastAsia="Calibri" w:cs="Times New Roman"/>
          <w:szCs w:val="26"/>
        </w:rPr>
        <w:t xml:space="preserve">rgues it is unreasonable to allow attachers to hire contractors to replace poles under any conditions, citing safety and reliability risks, potential violations of </w:t>
      </w:r>
      <w:r w:rsidR="00FA0DE6">
        <w:rPr>
          <w:rFonts w:eastAsia="Calibri" w:cs="Times New Roman"/>
          <w:szCs w:val="26"/>
        </w:rPr>
        <w:t>National Fire Protection Association</w:t>
      </w:r>
      <w:r w:rsidRPr="00DD3762">
        <w:rPr>
          <w:rFonts w:eastAsia="Calibri" w:cs="Times New Roman"/>
          <w:szCs w:val="26"/>
        </w:rPr>
        <w:t xml:space="preserve"> 70E and OSHA regulations, and risks to utility infrastructure. </w:t>
      </w:r>
      <w:r w:rsidR="00ED73D0">
        <w:rPr>
          <w:rFonts w:eastAsia="Calibri" w:cs="Times New Roman"/>
          <w:szCs w:val="26"/>
        </w:rPr>
        <w:t xml:space="preserve">It asserts </w:t>
      </w:r>
      <w:r w:rsidRPr="00DD3762">
        <w:rPr>
          <w:rFonts w:eastAsia="Calibri" w:cs="Times New Roman"/>
          <w:szCs w:val="26"/>
        </w:rPr>
        <w:t>that pole replacements require engineering review, coordination with landowners, compliance with land rights and environmental permits, and SDG&amp;E oversight.</w:t>
      </w:r>
      <w:r w:rsidRPr="00DD3762">
        <w:rPr>
          <w:rFonts w:eastAsia="Calibri" w:cs="Times New Roman"/>
          <w:szCs w:val="26"/>
          <w:vertAlign w:val="superscript"/>
        </w:rPr>
        <w:footnoteReference w:id="112"/>
      </w:r>
    </w:p>
    <w:p w:rsidRPr="00DD3762" w:rsidR="00DD5E24" w:rsidP="00ED36CC" w:rsidRDefault="00DD5E24" w14:paraId="57C6A589" w14:textId="4018EA2E">
      <w:pPr>
        <w:pStyle w:val="Standard"/>
      </w:pPr>
      <w:r w:rsidRPr="007630AE">
        <w:rPr>
          <w:rFonts w:eastAsia="Calibri" w:cs="Times New Roman"/>
          <w:szCs w:val="26"/>
        </w:rPr>
        <w:t>Sonic</w:t>
      </w:r>
      <w:r w:rsidR="007630AE">
        <w:rPr>
          <w:rFonts w:eastAsia="Calibri" w:cs="Times New Roman"/>
          <w:szCs w:val="26"/>
        </w:rPr>
        <w:t xml:space="preserve"> s</w:t>
      </w:r>
      <w:r w:rsidRPr="00DD3762">
        <w:rPr>
          <w:rFonts w:eastAsia="Calibri" w:cs="Times New Roman"/>
          <w:szCs w:val="26"/>
        </w:rPr>
        <w:t xml:space="preserve">upports the proposal to allow attachers to hire approved contractors. </w:t>
      </w:r>
      <w:r w:rsidR="007630AE">
        <w:rPr>
          <w:rFonts w:eastAsia="Calibri" w:cs="Times New Roman"/>
          <w:szCs w:val="26"/>
        </w:rPr>
        <w:t>It s</w:t>
      </w:r>
      <w:r w:rsidRPr="00DD3762">
        <w:rPr>
          <w:rFonts w:eastAsia="Calibri" w:cs="Times New Roman"/>
          <w:szCs w:val="26"/>
        </w:rPr>
        <w:t>uggest</w:t>
      </w:r>
      <w:r w:rsidR="007630AE">
        <w:rPr>
          <w:rFonts w:eastAsia="Calibri" w:cs="Times New Roman"/>
          <w:szCs w:val="26"/>
        </w:rPr>
        <w:t>s</w:t>
      </w:r>
      <w:r w:rsidRPr="00DD3762">
        <w:rPr>
          <w:rFonts w:eastAsia="Calibri" w:cs="Times New Roman"/>
          <w:szCs w:val="26"/>
        </w:rPr>
        <w:t xml:space="preserve"> that pole owners inspect and accept new pole installations to alleviate attachers from liability. </w:t>
      </w:r>
      <w:r w:rsidR="00ED470A">
        <w:rPr>
          <w:rFonts w:eastAsia="Calibri" w:cs="Times New Roman"/>
          <w:szCs w:val="26"/>
        </w:rPr>
        <w:t>It r</w:t>
      </w:r>
      <w:r w:rsidRPr="00DD3762">
        <w:rPr>
          <w:rFonts w:eastAsia="Calibri" w:cs="Times New Roman"/>
          <w:szCs w:val="26"/>
        </w:rPr>
        <w:t xml:space="preserve">ecommends </w:t>
      </w:r>
      <w:r w:rsidR="00ED470A">
        <w:rPr>
          <w:rFonts w:eastAsia="Calibri" w:cs="Times New Roman"/>
          <w:szCs w:val="26"/>
        </w:rPr>
        <w:t xml:space="preserve">that </w:t>
      </w:r>
      <w:r w:rsidRPr="00DD3762">
        <w:rPr>
          <w:rFonts w:eastAsia="Calibri" w:cs="Times New Roman"/>
          <w:szCs w:val="26"/>
        </w:rPr>
        <w:t xml:space="preserve">attachers be allowed to bill back the full cost of pole replacements to the pole owner. </w:t>
      </w:r>
      <w:r w:rsidR="00ED470A">
        <w:rPr>
          <w:rFonts w:eastAsia="Calibri" w:cs="Times New Roman"/>
          <w:szCs w:val="26"/>
        </w:rPr>
        <w:t>It also r</w:t>
      </w:r>
      <w:r w:rsidRPr="00DD3762">
        <w:rPr>
          <w:rFonts w:eastAsia="Calibri" w:cs="Times New Roman"/>
          <w:szCs w:val="26"/>
        </w:rPr>
        <w:t xml:space="preserve">ecommends technical workshops to determine </w:t>
      </w:r>
      <w:r w:rsidR="003B18E2">
        <w:rPr>
          <w:rFonts w:eastAsia="Calibri" w:cs="Times New Roman"/>
          <w:szCs w:val="26"/>
        </w:rPr>
        <w:t xml:space="preserve">the </w:t>
      </w:r>
      <w:r w:rsidRPr="00DD3762">
        <w:rPr>
          <w:rFonts w:eastAsia="Calibri" w:cs="Times New Roman"/>
          <w:szCs w:val="26"/>
        </w:rPr>
        <w:t>cost allocation for poles that barely pass pole loading calculations but would not pass if another attachment is added.</w:t>
      </w:r>
      <w:r w:rsidRPr="00DD3762">
        <w:rPr>
          <w:rFonts w:eastAsia="Calibri" w:cs="Times New Roman"/>
          <w:szCs w:val="26"/>
          <w:vertAlign w:val="superscript"/>
        </w:rPr>
        <w:footnoteReference w:id="113"/>
      </w:r>
    </w:p>
    <w:p w:rsidRPr="00DD3762" w:rsidR="00DD5E24" w:rsidP="00ED36CC" w:rsidRDefault="00DD5E24" w14:paraId="7AC96C88" w14:textId="4F97C004">
      <w:pPr>
        <w:pStyle w:val="Standard"/>
      </w:pPr>
      <w:proofErr w:type="spellStart"/>
      <w:r w:rsidRPr="003B18E2">
        <w:rPr>
          <w:rFonts w:eastAsia="Calibri" w:cs="Times New Roman"/>
          <w:szCs w:val="26"/>
        </w:rPr>
        <w:t>Surfnet</w:t>
      </w:r>
      <w:proofErr w:type="spellEnd"/>
      <w:r w:rsidR="003B18E2">
        <w:rPr>
          <w:rFonts w:eastAsia="Calibri" w:cs="Times New Roman"/>
          <w:szCs w:val="26"/>
        </w:rPr>
        <w:t xml:space="preserve"> r</w:t>
      </w:r>
      <w:r w:rsidRPr="00DD3762">
        <w:rPr>
          <w:rFonts w:eastAsia="Calibri" w:cs="Times New Roman"/>
          <w:szCs w:val="26"/>
        </w:rPr>
        <w:t xml:space="preserve">ecommends pole owners (and not attachers) pay for replacements. </w:t>
      </w:r>
      <w:r w:rsidR="00696E19">
        <w:rPr>
          <w:rFonts w:eastAsia="Calibri" w:cs="Times New Roman"/>
          <w:szCs w:val="26"/>
        </w:rPr>
        <w:t>It s</w:t>
      </w:r>
      <w:r w:rsidRPr="00DD3762">
        <w:rPr>
          <w:rFonts w:eastAsia="Calibri" w:cs="Times New Roman"/>
          <w:szCs w:val="26"/>
        </w:rPr>
        <w:t xml:space="preserve">uggests requiring replacements within three months of a request. For complex replacements, if cost sharing must occur, </w:t>
      </w:r>
      <w:proofErr w:type="spellStart"/>
      <w:r w:rsidR="00FA0DE6">
        <w:rPr>
          <w:rFonts w:eastAsia="Calibri" w:cs="Times New Roman"/>
          <w:szCs w:val="26"/>
        </w:rPr>
        <w:t>Surfnet</w:t>
      </w:r>
      <w:proofErr w:type="spellEnd"/>
      <w:r w:rsidR="00FA0DE6">
        <w:rPr>
          <w:rFonts w:eastAsia="Calibri" w:cs="Times New Roman"/>
          <w:szCs w:val="26"/>
        </w:rPr>
        <w:t xml:space="preserve"> recommends </w:t>
      </w:r>
      <w:r w:rsidRPr="00DD3762">
        <w:rPr>
          <w:rFonts w:eastAsia="Calibri" w:cs="Times New Roman"/>
          <w:szCs w:val="26"/>
        </w:rPr>
        <w:t xml:space="preserve">the pole owner should pay at least half and any attachers split the rest pro rata. </w:t>
      </w:r>
      <w:r w:rsidR="00696E19">
        <w:rPr>
          <w:rFonts w:eastAsia="Calibri" w:cs="Times New Roman"/>
          <w:szCs w:val="26"/>
        </w:rPr>
        <w:t>It further r</w:t>
      </w:r>
      <w:r w:rsidRPr="00DD3762">
        <w:rPr>
          <w:rFonts w:eastAsia="Calibri" w:cs="Times New Roman"/>
          <w:szCs w:val="26"/>
        </w:rPr>
        <w:t xml:space="preserve">ecommends </w:t>
      </w:r>
      <w:r w:rsidR="00772E57">
        <w:rPr>
          <w:rFonts w:eastAsia="Calibri" w:cs="Times New Roman"/>
          <w:szCs w:val="26"/>
        </w:rPr>
        <w:t xml:space="preserve">that </w:t>
      </w:r>
      <w:r w:rsidRPr="00DD3762">
        <w:rPr>
          <w:rFonts w:eastAsia="Calibri" w:cs="Times New Roman"/>
          <w:szCs w:val="26"/>
        </w:rPr>
        <w:t>the CPUC monitor the length of time a temporary pole is in place to ensure replacement within three months to a year.</w:t>
      </w:r>
      <w:r w:rsidRPr="00DD3762">
        <w:rPr>
          <w:rFonts w:eastAsia="Calibri" w:cs="Times New Roman"/>
          <w:szCs w:val="26"/>
          <w:vertAlign w:val="superscript"/>
        </w:rPr>
        <w:footnoteReference w:id="114"/>
      </w:r>
    </w:p>
    <w:p w:rsidRPr="00620C29" w:rsidR="00620C29" w:rsidP="00ED4B15" w:rsidRDefault="003B3E45" w14:paraId="0BA5D184" w14:textId="658BE138">
      <w:pPr>
        <w:pStyle w:val="Heading4"/>
      </w:pPr>
      <w:r>
        <w:lastRenderedPageBreak/>
        <w:t>Is it reasonable to require pole owners to replace poles t</w:t>
      </w:r>
      <w:r w:rsidR="00F1372B">
        <w:t>h</w:t>
      </w:r>
      <w:r>
        <w:t>at require deenergization of electric facilities within one year? Does requiring replacement within one year</w:t>
      </w:r>
      <w:r w:rsidR="00ED4B15">
        <w:t xml:space="preserve"> — </w:t>
      </w:r>
      <w:r>
        <w:t>as opposed to the 30</w:t>
      </w:r>
      <w:r w:rsidR="00E4753D">
        <w:noBreakHyphen/>
      </w:r>
      <w:r>
        <w:t>days proposed by attachers</w:t>
      </w:r>
      <w:r w:rsidR="00ED4B15">
        <w:t xml:space="preserve"> — </w:t>
      </w:r>
      <w:r>
        <w:t>mitigate impact to pole owner maintenance schedul</w:t>
      </w:r>
      <w:r w:rsidR="00BC3A3A">
        <w:t xml:space="preserve">es? Does this proposed timeline strike an appropriate balance between expediency of replacement and potential costs to pole owners </w:t>
      </w:r>
      <w:r w:rsidR="00AC51F6">
        <w:t>and electrical ratepayers to expedite? Is it appropriate to limit the</w:t>
      </w:r>
      <w:r w:rsidR="00F1372B">
        <w:t>se complex pole replacements to pole owners? How should costs be shared?</w:t>
      </w:r>
    </w:p>
    <w:p w:rsidRPr="00DD3762" w:rsidR="000E5F47" w:rsidP="00ED36CC" w:rsidRDefault="000E5F47" w14:paraId="5F099E5B" w14:textId="32896D62">
      <w:pPr>
        <w:pStyle w:val="Standard"/>
      </w:pPr>
      <w:r w:rsidRPr="00772E57">
        <w:rPr>
          <w:rFonts w:eastAsia="Calibri" w:cs="Times New Roman"/>
          <w:szCs w:val="26"/>
        </w:rPr>
        <w:t>AT&amp;T</w:t>
      </w:r>
      <w:r w:rsidRPr="00DD3762">
        <w:rPr>
          <w:rFonts w:eastAsia="Calibri" w:cs="Times New Roman"/>
          <w:szCs w:val="26"/>
        </w:rPr>
        <w:t xml:space="preserve"> </w:t>
      </w:r>
      <w:r w:rsidR="00772E57">
        <w:rPr>
          <w:rFonts w:eastAsia="Calibri" w:cs="Times New Roman"/>
          <w:szCs w:val="26"/>
        </w:rPr>
        <w:t>a</w:t>
      </w:r>
      <w:r w:rsidRPr="00DD3762">
        <w:rPr>
          <w:rFonts w:eastAsia="Calibri" w:cs="Times New Roman"/>
          <w:szCs w:val="26"/>
        </w:rPr>
        <w:t xml:space="preserve">rgues that pole replacement/remediation should follow </w:t>
      </w:r>
      <w:r w:rsidR="005B40C8">
        <w:rPr>
          <w:rFonts w:eastAsia="Calibri" w:cs="Times New Roman"/>
          <w:szCs w:val="26"/>
        </w:rPr>
        <w:t>GO</w:t>
      </w:r>
      <w:r w:rsidR="0051059D">
        <w:rPr>
          <w:rFonts w:eastAsia="Calibri" w:cs="Times New Roman"/>
          <w:szCs w:val="26"/>
        </w:rPr>
        <w:t> </w:t>
      </w:r>
      <w:r w:rsidR="005B40C8">
        <w:rPr>
          <w:rFonts w:eastAsia="Calibri" w:cs="Times New Roman"/>
          <w:szCs w:val="26"/>
        </w:rPr>
        <w:t>95, Rule</w:t>
      </w:r>
      <w:r w:rsidR="0051059D">
        <w:rPr>
          <w:rFonts w:eastAsia="Calibri" w:cs="Times New Roman"/>
          <w:szCs w:val="26"/>
        </w:rPr>
        <w:t> </w:t>
      </w:r>
      <w:r w:rsidRPr="00DD3762">
        <w:rPr>
          <w:rFonts w:eastAsia="Calibri" w:cs="Times New Roman"/>
          <w:szCs w:val="26"/>
        </w:rPr>
        <w:t>18</w:t>
      </w:r>
      <w:r w:rsidR="001905AD">
        <w:rPr>
          <w:rFonts w:eastAsia="Calibri" w:cs="Times New Roman"/>
          <w:szCs w:val="26"/>
        </w:rPr>
        <w:t>, and that a</w:t>
      </w:r>
      <w:r w:rsidRPr="00DD3762">
        <w:rPr>
          <w:rFonts w:eastAsia="Calibri" w:cs="Times New Roman"/>
          <w:szCs w:val="26"/>
        </w:rPr>
        <w:t>ttacher</w:t>
      </w:r>
      <w:r w:rsidR="001905AD">
        <w:rPr>
          <w:rFonts w:eastAsia="Calibri" w:cs="Times New Roman"/>
          <w:szCs w:val="26"/>
        </w:rPr>
        <w:t>s</w:t>
      </w:r>
      <w:r w:rsidRPr="00DD3762">
        <w:rPr>
          <w:rFonts w:eastAsia="Calibri" w:cs="Times New Roman"/>
          <w:szCs w:val="26"/>
        </w:rPr>
        <w:t xml:space="preserve"> should bear the cost of expedited replacements.</w:t>
      </w:r>
      <w:r w:rsidRPr="00DD3762">
        <w:rPr>
          <w:rFonts w:eastAsia="Calibri" w:cs="Times New Roman"/>
          <w:szCs w:val="26"/>
          <w:vertAlign w:val="superscript"/>
        </w:rPr>
        <w:footnoteReference w:id="115"/>
      </w:r>
    </w:p>
    <w:p w:rsidRPr="00DD3762" w:rsidR="000E5F47" w:rsidP="00ED36CC" w:rsidRDefault="000E5F47" w14:paraId="0F0CF256" w14:textId="28FA11FE">
      <w:pPr>
        <w:pStyle w:val="Standard"/>
      </w:pPr>
      <w:r w:rsidRPr="001905AD">
        <w:rPr>
          <w:rFonts w:eastAsia="Calibri" w:cs="Times New Roman"/>
          <w:szCs w:val="26"/>
        </w:rPr>
        <w:t>California Broadband and Video Association</w:t>
      </w:r>
      <w:r w:rsidRPr="00DD3762">
        <w:rPr>
          <w:rFonts w:eastAsia="Calibri" w:cs="Times New Roman"/>
          <w:szCs w:val="26"/>
        </w:rPr>
        <w:t xml:space="preserve"> </w:t>
      </w:r>
      <w:r w:rsidR="001905AD">
        <w:rPr>
          <w:rFonts w:eastAsia="Calibri" w:cs="Times New Roman"/>
          <w:szCs w:val="26"/>
        </w:rPr>
        <w:t>o</w:t>
      </w:r>
      <w:r w:rsidRPr="00DD3762">
        <w:rPr>
          <w:rFonts w:eastAsia="Calibri" w:cs="Times New Roman"/>
          <w:szCs w:val="26"/>
        </w:rPr>
        <w:t>ppose</w:t>
      </w:r>
      <w:r w:rsidR="005A2A5A">
        <w:rPr>
          <w:rFonts w:eastAsia="Calibri" w:cs="Times New Roman"/>
          <w:szCs w:val="26"/>
        </w:rPr>
        <w:t>s</w:t>
      </w:r>
      <w:r w:rsidRPr="00DD3762">
        <w:rPr>
          <w:rFonts w:eastAsia="Calibri" w:cs="Times New Roman"/>
          <w:szCs w:val="26"/>
        </w:rPr>
        <w:t xml:space="preserve"> a one</w:t>
      </w:r>
      <w:r w:rsidR="00E4753D">
        <w:rPr>
          <w:rFonts w:eastAsia="Calibri" w:cs="Times New Roman"/>
          <w:szCs w:val="26"/>
        </w:rPr>
        <w:noBreakHyphen/>
      </w:r>
      <w:r w:rsidRPr="00DD3762">
        <w:rPr>
          <w:rFonts w:eastAsia="Calibri" w:cs="Times New Roman"/>
          <w:szCs w:val="26"/>
        </w:rPr>
        <w:t xml:space="preserve">year </w:t>
      </w:r>
      <w:r w:rsidR="00414D0D">
        <w:rPr>
          <w:rFonts w:eastAsia="Calibri" w:cs="Times New Roman"/>
          <w:szCs w:val="26"/>
        </w:rPr>
        <w:t xml:space="preserve">replacement </w:t>
      </w:r>
      <w:r w:rsidRPr="00DD3762">
        <w:rPr>
          <w:rFonts w:eastAsia="Calibri" w:cs="Times New Roman"/>
          <w:szCs w:val="26"/>
        </w:rPr>
        <w:t xml:space="preserve">timeframe </w:t>
      </w:r>
      <w:r w:rsidR="00FC4835">
        <w:rPr>
          <w:rFonts w:eastAsia="Calibri" w:cs="Times New Roman"/>
          <w:szCs w:val="26"/>
        </w:rPr>
        <w:t>as being un</w:t>
      </w:r>
      <w:r w:rsidRPr="00DD3762">
        <w:rPr>
          <w:rFonts w:eastAsia="Calibri" w:cs="Times New Roman"/>
          <w:szCs w:val="26"/>
        </w:rPr>
        <w:t xml:space="preserve">reasonable. </w:t>
      </w:r>
      <w:r w:rsidR="00414D0D">
        <w:rPr>
          <w:rFonts w:eastAsia="Calibri" w:cs="Times New Roman"/>
          <w:szCs w:val="26"/>
        </w:rPr>
        <w:t>It r</w:t>
      </w:r>
      <w:r w:rsidRPr="00DD3762">
        <w:rPr>
          <w:rFonts w:eastAsia="Calibri" w:cs="Times New Roman"/>
          <w:szCs w:val="26"/>
        </w:rPr>
        <w:t>ecommends using existing timeframes for make</w:t>
      </w:r>
      <w:r w:rsidR="00E4753D">
        <w:rPr>
          <w:rFonts w:eastAsia="Calibri" w:cs="Times New Roman"/>
          <w:szCs w:val="26"/>
        </w:rPr>
        <w:noBreakHyphen/>
      </w:r>
      <w:r w:rsidRPr="00DD3762">
        <w:rPr>
          <w:rFonts w:eastAsia="Calibri" w:cs="Times New Roman"/>
          <w:szCs w:val="26"/>
        </w:rPr>
        <w:t>ready work above communications space (90 to 135 days).</w:t>
      </w:r>
      <w:r w:rsidRPr="00DD3762">
        <w:rPr>
          <w:rFonts w:eastAsia="Calibri" w:cs="Times New Roman"/>
          <w:szCs w:val="26"/>
          <w:vertAlign w:val="superscript"/>
        </w:rPr>
        <w:footnoteReference w:id="116"/>
      </w:r>
    </w:p>
    <w:p w:rsidRPr="00DD3762" w:rsidR="000E5F47" w:rsidP="00ED36CC" w:rsidRDefault="000E5F47" w14:paraId="7EB98895" w14:textId="03283C9E">
      <w:pPr>
        <w:pStyle w:val="Standard"/>
      </w:pPr>
      <w:r w:rsidRPr="00414D0D">
        <w:rPr>
          <w:rFonts w:eastAsia="Calibri" w:cs="Times New Roman"/>
          <w:szCs w:val="26"/>
        </w:rPr>
        <w:t>Crown Castle</w:t>
      </w:r>
      <w:r w:rsidR="00414D0D">
        <w:rPr>
          <w:rFonts w:eastAsia="Calibri" w:cs="Times New Roman"/>
          <w:szCs w:val="26"/>
        </w:rPr>
        <w:t xml:space="preserve"> a</w:t>
      </w:r>
      <w:r w:rsidRPr="00DD3762">
        <w:rPr>
          <w:rFonts w:eastAsia="Calibri" w:cs="Times New Roman"/>
          <w:szCs w:val="26"/>
        </w:rPr>
        <w:t>rgues that a one</w:t>
      </w:r>
      <w:r w:rsidR="00E4753D">
        <w:rPr>
          <w:rFonts w:eastAsia="Calibri" w:cs="Times New Roman"/>
          <w:szCs w:val="26"/>
        </w:rPr>
        <w:noBreakHyphen/>
      </w:r>
      <w:r w:rsidRPr="00DD3762">
        <w:rPr>
          <w:rFonts w:eastAsia="Calibri" w:cs="Times New Roman"/>
          <w:szCs w:val="26"/>
        </w:rPr>
        <w:t>year replacement rule for poles requiring deenergization is good</w:t>
      </w:r>
      <w:r w:rsidR="005A2A5A">
        <w:rPr>
          <w:rFonts w:eastAsia="Calibri" w:cs="Times New Roman"/>
          <w:szCs w:val="26"/>
        </w:rPr>
        <w:t>,</w:t>
      </w:r>
      <w:r w:rsidRPr="00DD3762">
        <w:rPr>
          <w:rFonts w:eastAsia="Calibri" w:cs="Times New Roman"/>
          <w:szCs w:val="26"/>
        </w:rPr>
        <w:t xml:space="preserve"> but not enough. </w:t>
      </w:r>
      <w:r w:rsidR="005A5C19">
        <w:rPr>
          <w:rFonts w:eastAsia="Calibri" w:cs="Times New Roman"/>
          <w:szCs w:val="26"/>
        </w:rPr>
        <w:t>It r</w:t>
      </w:r>
      <w:r w:rsidRPr="00DD3762">
        <w:rPr>
          <w:rFonts w:eastAsia="Calibri" w:cs="Times New Roman"/>
          <w:szCs w:val="26"/>
        </w:rPr>
        <w:t>ecommends</w:t>
      </w:r>
      <w:r w:rsidR="005A5C19">
        <w:rPr>
          <w:rFonts w:eastAsia="Calibri" w:cs="Times New Roman"/>
          <w:szCs w:val="26"/>
        </w:rPr>
        <w:t xml:space="preserve"> the Commission adopt </w:t>
      </w:r>
      <w:r w:rsidRPr="00DD3762">
        <w:rPr>
          <w:rFonts w:eastAsia="Calibri" w:cs="Times New Roman"/>
          <w:szCs w:val="26"/>
        </w:rPr>
        <w:t>tiered timelines: (a</w:t>
      </w:r>
      <w:r w:rsidR="00491629">
        <w:rPr>
          <w:rFonts w:eastAsia="Calibri" w:cs="Times New Roman"/>
          <w:szCs w:val="26"/>
        </w:rPr>
        <w:t>)</w:t>
      </w:r>
      <w:r w:rsidR="0051059D">
        <w:rPr>
          <w:rFonts w:eastAsia="Calibri" w:cs="Times New Roman"/>
          <w:szCs w:val="26"/>
        </w:rPr>
        <w:t> </w:t>
      </w:r>
      <w:r w:rsidRPr="00DD3762">
        <w:rPr>
          <w:rFonts w:eastAsia="Calibri" w:cs="Times New Roman"/>
          <w:szCs w:val="26"/>
        </w:rPr>
        <w:t xml:space="preserve">poles that are already failing or have </w:t>
      </w:r>
      <w:r w:rsidR="005B40C8">
        <w:rPr>
          <w:rFonts w:eastAsia="Calibri" w:cs="Times New Roman"/>
          <w:szCs w:val="26"/>
        </w:rPr>
        <w:t>GO</w:t>
      </w:r>
      <w:r w:rsidR="0051059D">
        <w:rPr>
          <w:rFonts w:eastAsia="Calibri" w:cs="Times New Roman"/>
          <w:szCs w:val="26"/>
        </w:rPr>
        <w:t> </w:t>
      </w:r>
      <w:r w:rsidRPr="00DD3762">
        <w:rPr>
          <w:rFonts w:eastAsia="Calibri" w:cs="Times New Roman"/>
          <w:szCs w:val="26"/>
        </w:rPr>
        <w:t>95 violations should be replaced within three months of notice, and (b</w:t>
      </w:r>
      <w:r w:rsidR="00491629">
        <w:rPr>
          <w:rFonts w:eastAsia="Calibri" w:cs="Times New Roman"/>
          <w:szCs w:val="26"/>
        </w:rPr>
        <w:t>)</w:t>
      </w:r>
      <w:r w:rsidR="0051059D">
        <w:rPr>
          <w:rFonts w:eastAsia="Calibri" w:cs="Times New Roman"/>
          <w:szCs w:val="26"/>
        </w:rPr>
        <w:t> </w:t>
      </w:r>
      <w:r w:rsidRPr="00DD3762">
        <w:rPr>
          <w:rFonts w:eastAsia="Calibri" w:cs="Times New Roman"/>
          <w:szCs w:val="26"/>
        </w:rPr>
        <w:t>poles that would fail with a new attachment should be replaced within six months of a complete application.</w:t>
      </w:r>
      <w:r w:rsidRPr="00DD3762">
        <w:rPr>
          <w:rFonts w:eastAsia="Calibri" w:cs="Times New Roman"/>
          <w:szCs w:val="26"/>
          <w:vertAlign w:val="superscript"/>
        </w:rPr>
        <w:footnoteReference w:id="117"/>
      </w:r>
      <w:r w:rsidRPr="00DD3762">
        <w:rPr>
          <w:rFonts w:eastAsia="Calibri" w:cs="Times New Roman"/>
          <w:szCs w:val="26"/>
        </w:rPr>
        <w:t xml:space="preserve"> </w:t>
      </w:r>
      <w:r w:rsidR="005A2A5A">
        <w:rPr>
          <w:rFonts w:eastAsia="Calibri" w:cs="Times New Roman"/>
          <w:szCs w:val="26"/>
        </w:rPr>
        <w:t>Crown Castle</w:t>
      </w:r>
      <w:r w:rsidR="00327214">
        <w:rPr>
          <w:rFonts w:eastAsia="Calibri" w:cs="Times New Roman"/>
          <w:szCs w:val="26"/>
        </w:rPr>
        <w:t xml:space="preserve"> o</w:t>
      </w:r>
      <w:r w:rsidRPr="00DD3762">
        <w:rPr>
          <w:rFonts w:eastAsia="Calibri" w:cs="Times New Roman"/>
          <w:szCs w:val="26"/>
        </w:rPr>
        <w:t xml:space="preserve">pposes arguments from pole owners for ROW </w:t>
      </w:r>
      <w:r w:rsidRPr="00DD3762">
        <w:rPr>
          <w:rFonts w:eastAsia="Calibri" w:cs="Times New Roman"/>
          <w:szCs w:val="26"/>
        </w:rPr>
        <w:lastRenderedPageBreak/>
        <w:t xml:space="preserve">rules to align with </w:t>
      </w:r>
      <w:r w:rsidR="005B40C8">
        <w:rPr>
          <w:rFonts w:eastAsia="Calibri" w:cs="Times New Roman"/>
          <w:szCs w:val="26"/>
        </w:rPr>
        <w:t>GO</w:t>
      </w:r>
      <w:r w:rsidR="0051059D">
        <w:rPr>
          <w:rFonts w:eastAsia="Calibri" w:cs="Times New Roman"/>
          <w:szCs w:val="26"/>
        </w:rPr>
        <w:t> </w:t>
      </w:r>
      <w:r w:rsidRPr="00DD3762">
        <w:rPr>
          <w:rFonts w:eastAsia="Calibri" w:cs="Times New Roman"/>
          <w:szCs w:val="26"/>
        </w:rPr>
        <w:t>95</w:t>
      </w:r>
      <w:r w:rsidR="00523ED7">
        <w:rPr>
          <w:rFonts w:eastAsia="Calibri" w:cs="Times New Roman"/>
          <w:szCs w:val="26"/>
        </w:rPr>
        <w:t>,</w:t>
      </w:r>
      <w:r w:rsidRPr="00DD3762">
        <w:rPr>
          <w:rFonts w:eastAsia="Calibri" w:cs="Times New Roman"/>
          <w:szCs w:val="26"/>
        </w:rPr>
        <w:t xml:space="preserve"> </w:t>
      </w:r>
      <w:r w:rsidR="00A929DC">
        <w:rPr>
          <w:rFonts w:eastAsia="Calibri" w:cs="Times New Roman"/>
          <w:szCs w:val="26"/>
        </w:rPr>
        <w:t>Rule</w:t>
      </w:r>
      <w:r w:rsidR="0051059D">
        <w:rPr>
          <w:rFonts w:eastAsia="Calibri" w:cs="Times New Roman"/>
          <w:szCs w:val="26"/>
        </w:rPr>
        <w:t> </w:t>
      </w:r>
      <w:r w:rsidRPr="00DD3762">
        <w:rPr>
          <w:rFonts w:eastAsia="Calibri" w:cs="Times New Roman"/>
          <w:szCs w:val="26"/>
        </w:rPr>
        <w:t>18, which allows up to five years for a pole replacement.</w:t>
      </w:r>
      <w:r w:rsidRPr="00DD3762">
        <w:rPr>
          <w:rFonts w:eastAsia="Calibri" w:cs="Times New Roman"/>
          <w:szCs w:val="26"/>
          <w:vertAlign w:val="superscript"/>
        </w:rPr>
        <w:footnoteReference w:id="118"/>
      </w:r>
    </w:p>
    <w:p w:rsidRPr="00DD3762" w:rsidR="000E5F47" w:rsidP="00ED36CC" w:rsidRDefault="000E5F47" w14:paraId="2EB9B6F0" w14:textId="4282D115">
      <w:pPr>
        <w:pStyle w:val="Standard"/>
      </w:pPr>
      <w:proofErr w:type="spellStart"/>
      <w:r w:rsidRPr="00523ED7">
        <w:rPr>
          <w:rFonts w:eastAsia="Calibri" w:cs="Times New Roman"/>
          <w:szCs w:val="26"/>
        </w:rPr>
        <w:t>Extenet</w:t>
      </w:r>
      <w:proofErr w:type="spellEnd"/>
      <w:r w:rsidRPr="00523ED7">
        <w:rPr>
          <w:rFonts w:eastAsia="Calibri" w:cs="Times New Roman"/>
          <w:szCs w:val="26"/>
        </w:rPr>
        <w:t xml:space="preserve"> Systems</w:t>
      </w:r>
      <w:r w:rsidRPr="00DD3762">
        <w:rPr>
          <w:rFonts w:eastAsia="Calibri" w:cs="Times New Roman"/>
          <w:szCs w:val="26"/>
        </w:rPr>
        <w:t xml:space="preserve"> </w:t>
      </w:r>
      <w:r w:rsidR="001F310D">
        <w:rPr>
          <w:rFonts w:eastAsia="Calibri" w:cs="Times New Roman"/>
          <w:szCs w:val="26"/>
        </w:rPr>
        <w:t>a</w:t>
      </w:r>
      <w:r w:rsidRPr="00DD3762" w:rsidR="001F310D">
        <w:rPr>
          <w:rFonts w:eastAsia="Calibri" w:cs="Times New Roman"/>
          <w:szCs w:val="26"/>
        </w:rPr>
        <w:t>rgues</w:t>
      </w:r>
      <w:r w:rsidRPr="00DD3762">
        <w:rPr>
          <w:rFonts w:eastAsia="Calibri" w:cs="Times New Roman"/>
          <w:szCs w:val="26"/>
        </w:rPr>
        <w:t xml:space="preserve"> that one year is unreasonable. </w:t>
      </w:r>
      <w:r w:rsidR="00523ED7">
        <w:rPr>
          <w:rFonts w:eastAsia="Calibri" w:cs="Times New Roman"/>
          <w:szCs w:val="26"/>
        </w:rPr>
        <w:t>It r</w:t>
      </w:r>
      <w:r w:rsidRPr="00DD3762">
        <w:rPr>
          <w:rFonts w:eastAsia="Calibri" w:cs="Times New Roman"/>
          <w:szCs w:val="26"/>
        </w:rPr>
        <w:t xml:space="preserve">ecommends </w:t>
      </w:r>
      <w:r w:rsidR="00523ED7">
        <w:rPr>
          <w:rFonts w:eastAsia="Calibri" w:cs="Times New Roman"/>
          <w:szCs w:val="26"/>
        </w:rPr>
        <w:t xml:space="preserve">the Commission follow </w:t>
      </w:r>
      <w:r w:rsidRPr="00DD3762">
        <w:rPr>
          <w:rFonts w:eastAsia="Calibri" w:cs="Times New Roman"/>
          <w:szCs w:val="26"/>
        </w:rPr>
        <w:t>FCC guidelines</w:t>
      </w:r>
      <w:r w:rsidR="00673A43">
        <w:rPr>
          <w:rFonts w:eastAsia="Calibri" w:cs="Times New Roman"/>
          <w:szCs w:val="26"/>
        </w:rPr>
        <w:t>, claiming that</w:t>
      </w:r>
      <w:r w:rsidRPr="00DD3762">
        <w:rPr>
          <w:rFonts w:eastAsia="Calibri" w:cs="Times New Roman"/>
          <w:szCs w:val="26"/>
        </w:rPr>
        <w:t xml:space="preserve"> the FCC 2018 Order to Enhance OTMR</w:t>
      </w:r>
      <w:r w:rsidRPr="00DD3762">
        <w:rPr>
          <w:rFonts w:eastAsia="Calibri" w:cs="Times New Roman"/>
          <w:szCs w:val="26"/>
          <w:vertAlign w:val="superscript"/>
        </w:rPr>
        <w:footnoteReference w:id="119"/>
      </w:r>
      <w:r w:rsidRPr="00DD3762">
        <w:rPr>
          <w:rFonts w:eastAsia="Calibri" w:cs="Times New Roman"/>
          <w:szCs w:val="26"/>
        </w:rPr>
        <w:t xml:space="preserve"> requires pole owners to replace poles within approximately six months for complex make</w:t>
      </w:r>
      <w:r w:rsidR="00E4753D">
        <w:rPr>
          <w:rFonts w:eastAsia="Calibri" w:cs="Times New Roman"/>
          <w:szCs w:val="26"/>
        </w:rPr>
        <w:noBreakHyphen/>
      </w:r>
      <w:r w:rsidRPr="00DD3762">
        <w:rPr>
          <w:rFonts w:eastAsia="Calibri" w:cs="Times New Roman"/>
          <w:szCs w:val="26"/>
        </w:rPr>
        <w:t>ready and four months for simple make</w:t>
      </w:r>
      <w:r w:rsidR="00E4753D">
        <w:rPr>
          <w:rFonts w:eastAsia="Calibri" w:cs="Times New Roman"/>
          <w:szCs w:val="26"/>
        </w:rPr>
        <w:noBreakHyphen/>
      </w:r>
      <w:r w:rsidRPr="00DD3762">
        <w:rPr>
          <w:rFonts w:eastAsia="Calibri" w:cs="Times New Roman"/>
          <w:szCs w:val="26"/>
        </w:rPr>
        <w:t>ready.</w:t>
      </w:r>
      <w:r w:rsidRPr="00DD3762">
        <w:rPr>
          <w:rFonts w:eastAsia="Calibri" w:cs="Times New Roman"/>
          <w:szCs w:val="26"/>
          <w:vertAlign w:val="superscript"/>
        </w:rPr>
        <w:footnoteReference w:id="120"/>
      </w:r>
    </w:p>
    <w:p w:rsidRPr="00DD3762" w:rsidR="000E5F47" w:rsidP="00ED36CC" w:rsidRDefault="000E5F47" w14:paraId="25ABE3F0" w14:textId="07E98011">
      <w:pPr>
        <w:pStyle w:val="Standard"/>
      </w:pPr>
      <w:r w:rsidRPr="001F310D">
        <w:rPr>
          <w:rFonts w:eastAsia="Calibri" w:cs="Times New Roman"/>
          <w:szCs w:val="26"/>
        </w:rPr>
        <w:t>PG&amp;E</w:t>
      </w:r>
      <w:r w:rsidRPr="00DD3762">
        <w:rPr>
          <w:rFonts w:eastAsia="Calibri" w:cs="Times New Roman"/>
          <w:szCs w:val="26"/>
        </w:rPr>
        <w:t xml:space="preserve"> </w:t>
      </w:r>
      <w:r w:rsidR="001F310D">
        <w:rPr>
          <w:rFonts w:eastAsia="Calibri" w:cs="Times New Roman"/>
          <w:szCs w:val="26"/>
        </w:rPr>
        <w:t>o</w:t>
      </w:r>
      <w:r w:rsidRPr="00DD3762">
        <w:rPr>
          <w:rFonts w:eastAsia="Calibri" w:cs="Times New Roman"/>
          <w:szCs w:val="26"/>
        </w:rPr>
        <w:t xml:space="preserve">pposes </w:t>
      </w:r>
      <w:r w:rsidR="001F310D">
        <w:rPr>
          <w:rFonts w:eastAsia="Calibri" w:cs="Times New Roman"/>
          <w:szCs w:val="26"/>
        </w:rPr>
        <w:t xml:space="preserve">a </w:t>
      </w:r>
      <w:r w:rsidRPr="00DD3762">
        <w:rPr>
          <w:rFonts w:eastAsia="Calibri" w:cs="Times New Roman"/>
          <w:szCs w:val="26"/>
        </w:rPr>
        <w:t>one</w:t>
      </w:r>
      <w:r w:rsidR="00E4753D">
        <w:rPr>
          <w:rFonts w:eastAsia="Calibri" w:cs="Times New Roman"/>
          <w:szCs w:val="26"/>
        </w:rPr>
        <w:noBreakHyphen/>
      </w:r>
      <w:r w:rsidRPr="00DD3762">
        <w:rPr>
          <w:rFonts w:eastAsia="Calibri" w:cs="Times New Roman"/>
          <w:szCs w:val="26"/>
        </w:rPr>
        <w:t xml:space="preserve">year replacement requirement due to conflicts with existing rules. </w:t>
      </w:r>
      <w:r w:rsidR="001F310D">
        <w:rPr>
          <w:rFonts w:eastAsia="Calibri" w:cs="Times New Roman"/>
          <w:szCs w:val="26"/>
        </w:rPr>
        <w:t>It s</w:t>
      </w:r>
      <w:r w:rsidRPr="00DD3762">
        <w:rPr>
          <w:rFonts w:eastAsia="Calibri" w:cs="Times New Roman"/>
          <w:szCs w:val="26"/>
        </w:rPr>
        <w:t xml:space="preserve">upports cost assignment consistent with </w:t>
      </w:r>
      <w:r w:rsidR="00A929DC">
        <w:rPr>
          <w:rFonts w:eastAsia="Calibri" w:cs="Times New Roman"/>
          <w:szCs w:val="26"/>
        </w:rPr>
        <w:t>Rule</w:t>
      </w:r>
      <w:r w:rsidR="0051059D">
        <w:rPr>
          <w:rFonts w:eastAsia="Calibri" w:cs="Times New Roman"/>
          <w:szCs w:val="26"/>
        </w:rPr>
        <w:t> </w:t>
      </w:r>
      <w:r w:rsidRPr="00DD3762">
        <w:rPr>
          <w:rFonts w:eastAsia="Calibri" w:cs="Times New Roman"/>
          <w:szCs w:val="26"/>
        </w:rPr>
        <w:t xml:space="preserve">15 for replacements requested by attachers, but not specific timelines unless attachers pay </w:t>
      </w:r>
      <w:r w:rsidR="00986E02">
        <w:rPr>
          <w:rFonts w:eastAsia="Calibri" w:cs="Times New Roman"/>
          <w:szCs w:val="26"/>
        </w:rPr>
        <w:t xml:space="preserve">the </w:t>
      </w:r>
      <w:r w:rsidRPr="00DD3762">
        <w:rPr>
          <w:rFonts w:eastAsia="Calibri" w:cs="Times New Roman"/>
          <w:szCs w:val="26"/>
        </w:rPr>
        <w:t xml:space="preserve">additional fees. </w:t>
      </w:r>
      <w:r w:rsidR="005A2A5A">
        <w:rPr>
          <w:rFonts w:eastAsia="Calibri" w:cs="Times New Roman"/>
          <w:szCs w:val="26"/>
        </w:rPr>
        <w:t>PG&amp;E</w:t>
      </w:r>
      <w:r w:rsidR="00986E02">
        <w:rPr>
          <w:rFonts w:eastAsia="Calibri" w:cs="Times New Roman"/>
          <w:szCs w:val="26"/>
        </w:rPr>
        <w:t xml:space="preserve"> r</w:t>
      </w:r>
      <w:r w:rsidRPr="00DD3762">
        <w:rPr>
          <w:rFonts w:eastAsia="Calibri" w:cs="Times New Roman"/>
          <w:szCs w:val="26"/>
        </w:rPr>
        <w:t xml:space="preserve">ecommends </w:t>
      </w:r>
      <w:r w:rsidR="00A929DC">
        <w:rPr>
          <w:rFonts w:eastAsia="Calibri" w:cs="Times New Roman"/>
          <w:szCs w:val="26"/>
        </w:rPr>
        <w:t>Rule</w:t>
      </w:r>
      <w:r w:rsidR="0051059D">
        <w:rPr>
          <w:rFonts w:eastAsia="Calibri" w:cs="Times New Roman"/>
          <w:szCs w:val="26"/>
        </w:rPr>
        <w:t> </w:t>
      </w:r>
      <w:r w:rsidRPr="00DD3762">
        <w:rPr>
          <w:rFonts w:eastAsia="Calibri" w:cs="Times New Roman"/>
          <w:szCs w:val="26"/>
        </w:rPr>
        <w:t>18 timelines for poles with compliance issues</w:t>
      </w:r>
      <w:r w:rsidR="00021568">
        <w:rPr>
          <w:rFonts w:eastAsia="Calibri" w:cs="Times New Roman"/>
          <w:szCs w:val="26"/>
        </w:rPr>
        <w:t>, and that</w:t>
      </w:r>
      <w:r w:rsidRPr="00DD3762">
        <w:rPr>
          <w:rFonts w:eastAsia="Calibri" w:cs="Times New Roman"/>
          <w:szCs w:val="26"/>
        </w:rPr>
        <w:t xml:space="preserve"> attachers pay the cost for accelerating work. </w:t>
      </w:r>
      <w:r w:rsidR="00021568">
        <w:rPr>
          <w:rFonts w:eastAsia="Calibri" w:cs="Times New Roman"/>
          <w:szCs w:val="26"/>
        </w:rPr>
        <w:t>PG&amp;E claims there is a</w:t>
      </w:r>
      <w:r w:rsidRPr="00DD3762">
        <w:rPr>
          <w:rFonts w:eastAsia="Calibri" w:cs="Times New Roman"/>
          <w:szCs w:val="26"/>
        </w:rPr>
        <w:t xml:space="preserve"> backlog of maintenance schedules</w:t>
      </w:r>
      <w:r w:rsidR="00620872">
        <w:rPr>
          <w:rFonts w:eastAsia="Calibri" w:cs="Times New Roman"/>
          <w:szCs w:val="26"/>
        </w:rPr>
        <w:t>, and r</w:t>
      </w:r>
      <w:r w:rsidRPr="00DD3762">
        <w:rPr>
          <w:rFonts w:eastAsia="Calibri" w:cs="Times New Roman"/>
          <w:szCs w:val="26"/>
        </w:rPr>
        <w:t>ecommends exemptions to the one</w:t>
      </w:r>
      <w:r w:rsidR="00E4753D">
        <w:rPr>
          <w:rFonts w:eastAsia="Calibri" w:cs="Times New Roman"/>
          <w:szCs w:val="26"/>
        </w:rPr>
        <w:noBreakHyphen/>
      </w:r>
      <w:r w:rsidRPr="00DD3762">
        <w:rPr>
          <w:rFonts w:eastAsia="Calibri" w:cs="Times New Roman"/>
          <w:szCs w:val="26"/>
        </w:rPr>
        <w:t>year deadline for delays outside of pole owners</w:t>
      </w:r>
      <w:r w:rsidR="00410529">
        <w:rPr>
          <w:rFonts w:eastAsia="Calibri" w:cs="Times New Roman"/>
          <w:szCs w:val="26"/>
        </w:rPr>
        <w:t>’</w:t>
      </w:r>
      <w:r w:rsidRPr="00DD3762">
        <w:rPr>
          <w:rFonts w:eastAsia="Calibri" w:cs="Times New Roman"/>
          <w:szCs w:val="26"/>
        </w:rPr>
        <w:t xml:space="preserve"> control. </w:t>
      </w:r>
      <w:r w:rsidR="00620872">
        <w:rPr>
          <w:rFonts w:eastAsia="Calibri" w:cs="Times New Roman"/>
          <w:szCs w:val="26"/>
        </w:rPr>
        <w:t>It r</w:t>
      </w:r>
      <w:r w:rsidRPr="00DD3762">
        <w:rPr>
          <w:rFonts w:eastAsia="Calibri" w:cs="Times New Roman"/>
          <w:szCs w:val="26"/>
        </w:rPr>
        <w:t xml:space="preserve">equests clarification of </w:t>
      </w:r>
      <w:r w:rsidR="00410529">
        <w:rPr>
          <w:rFonts w:eastAsia="Calibri" w:cs="Times New Roman"/>
          <w:szCs w:val="26"/>
        </w:rPr>
        <w:t>“</w:t>
      </w:r>
      <w:r w:rsidRPr="00DD3762">
        <w:rPr>
          <w:rFonts w:eastAsia="Calibri" w:cs="Times New Roman"/>
          <w:szCs w:val="26"/>
        </w:rPr>
        <w:t>complex</w:t>
      </w:r>
      <w:r w:rsidR="00410529">
        <w:rPr>
          <w:rFonts w:eastAsia="Calibri" w:cs="Times New Roman"/>
          <w:szCs w:val="26"/>
        </w:rPr>
        <w:t>”</w:t>
      </w:r>
      <w:r w:rsidRPr="00DD3762">
        <w:rPr>
          <w:rFonts w:eastAsia="Calibri" w:cs="Times New Roman"/>
          <w:szCs w:val="26"/>
        </w:rPr>
        <w:t xml:space="preserve"> versus </w:t>
      </w:r>
      <w:r w:rsidR="00410529">
        <w:rPr>
          <w:rFonts w:eastAsia="Calibri" w:cs="Times New Roman"/>
          <w:szCs w:val="26"/>
        </w:rPr>
        <w:t>“</w:t>
      </w:r>
      <w:r w:rsidRPr="00DD3762">
        <w:rPr>
          <w:rFonts w:eastAsia="Calibri" w:cs="Times New Roman"/>
          <w:szCs w:val="26"/>
        </w:rPr>
        <w:t>simple</w:t>
      </w:r>
      <w:r w:rsidR="00410529">
        <w:rPr>
          <w:rFonts w:eastAsia="Calibri" w:cs="Times New Roman"/>
          <w:szCs w:val="26"/>
        </w:rPr>
        <w:t>”</w:t>
      </w:r>
      <w:r w:rsidRPr="00DD3762">
        <w:rPr>
          <w:rFonts w:eastAsia="Calibri" w:cs="Times New Roman"/>
          <w:szCs w:val="26"/>
        </w:rPr>
        <w:t xml:space="preserve"> pole replacements. </w:t>
      </w:r>
      <w:r w:rsidR="00620872">
        <w:rPr>
          <w:rFonts w:eastAsia="Calibri" w:cs="Times New Roman"/>
          <w:szCs w:val="26"/>
        </w:rPr>
        <w:t>PG&amp;E suggests</w:t>
      </w:r>
      <w:r w:rsidRPr="00DD3762">
        <w:rPr>
          <w:rFonts w:eastAsia="Calibri" w:cs="Times New Roman"/>
          <w:szCs w:val="26"/>
        </w:rPr>
        <w:t xml:space="preserve"> further safeguards including notification procedures, designing cost responsibility, supervision, labor availability, and how maintenance issues are evaluated.</w:t>
      </w:r>
      <w:r w:rsidRPr="00DD3762">
        <w:rPr>
          <w:rFonts w:eastAsia="Calibri" w:cs="Times New Roman"/>
          <w:szCs w:val="26"/>
          <w:vertAlign w:val="superscript"/>
        </w:rPr>
        <w:footnoteReference w:id="121"/>
      </w:r>
    </w:p>
    <w:p w:rsidRPr="00DD3762" w:rsidR="000E5F47" w:rsidP="00ED36CC" w:rsidRDefault="000E5F47" w14:paraId="4E54445B" w14:textId="733698CA">
      <w:pPr>
        <w:pStyle w:val="Standard"/>
      </w:pPr>
      <w:r w:rsidRPr="008B2678">
        <w:rPr>
          <w:rFonts w:eastAsia="Calibri" w:cs="Times New Roman"/>
          <w:szCs w:val="26"/>
        </w:rPr>
        <w:t>Race</w:t>
      </w:r>
      <w:r w:rsidR="008B2678">
        <w:rPr>
          <w:rFonts w:eastAsia="Calibri" w:cs="Times New Roman"/>
          <w:szCs w:val="26"/>
        </w:rPr>
        <w:t xml:space="preserve"> s</w:t>
      </w:r>
      <w:r w:rsidRPr="00DD3762">
        <w:rPr>
          <w:rFonts w:eastAsia="Calibri" w:cs="Times New Roman"/>
          <w:szCs w:val="26"/>
        </w:rPr>
        <w:t xml:space="preserve">upports a </w:t>
      </w:r>
      <w:r w:rsidR="0070090E">
        <w:rPr>
          <w:rFonts w:eastAsia="Calibri" w:cs="Times New Roman"/>
          <w:szCs w:val="26"/>
        </w:rPr>
        <w:t>six</w:t>
      </w:r>
      <w:r w:rsidR="00E4753D">
        <w:rPr>
          <w:rFonts w:eastAsia="Calibri" w:cs="Times New Roman"/>
          <w:szCs w:val="26"/>
        </w:rPr>
        <w:noBreakHyphen/>
      </w:r>
      <w:r w:rsidR="0070090E">
        <w:rPr>
          <w:rFonts w:eastAsia="Calibri" w:cs="Times New Roman"/>
          <w:szCs w:val="26"/>
        </w:rPr>
        <w:t xml:space="preserve"> </w:t>
      </w:r>
      <w:r w:rsidRPr="00DD3762" w:rsidR="0070090E">
        <w:rPr>
          <w:rFonts w:eastAsia="Calibri" w:cs="Times New Roman"/>
          <w:szCs w:val="26"/>
        </w:rPr>
        <w:t>to</w:t>
      </w:r>
      <w:r w:rsidR="0070090E">
        <w:rPr>
          <w:rFonts w:eastAsia="Calibri" w:cs="Times New Roman"/>
          <w:szCs w:val="26"/>
        </w:rPr>
        <w:t xml:space="preserve"> </w:t>
      </w:r>
      <w:r w:rsidRPr="00DD3762" w:rsidR="0070090E">
        <w:rPr>
          <w:rFonts w:eastAsia="Calibri" w:cs="Times New Roman"/>
          <w:szCs w:val="26"/>
        </w:rPr>
        <w:t>12</w:t>
      </w:r>
      <w:r w:rsidR="00E4753D">
        <w:rPr>
          <w:rFonts w:eastAsia="Calibri" w:cs="Times New Roman"/>
          <w:szCs w:val="26"/>
        </w:rPr>
        <w:noBreakHyphen/>
      </w:r>
      <w:r w:rsidRPr="00DD3762" w:rsidR="0070090E">
        <w:rPr>
          <w:rFonts w:eastAsia="Calibri" w:cs="Times New Roman"/>
          <w:szCs w:val="26"/>
        </w:rPr>
        <w:t xml:space="preserve">month </w:t>
      </w:r>
      <w:r w:rsidRPr="00DD3762">
        <w:rPr>
          <w:rFonts w:eastAsia="Calibri" w:cs="Times New Roman"/>
          <w:szCs w:val="26"/>
        </w:rPr>
        <w:t xml:space="preserve">time frame for pole replacements that require deenergization. </w:t>
      </w:r>
      <w:r w:rsidR="009E69E4">
        <w:rPr>
          <w:rFonts w:eastAsia="Calibri" w:cs="Times New Roman"/>
          <w:szCs w:val="26"/>
        </w:rPr>
        <w:t>It e</w:t>
      </w:r>
      <w:r w:rsidRPr="00DD3762">
        <w:rPr>
          <w:rFonts w:eastAsia="Calibri" w:cs="Times New Roman"/>
          <w:szCs w:val="26"/>
        </w:rPr>
        <w:t xml:space="preserve">xplains that complex pole replacements are generally </w:t>
      </w:r>
      <w:r w:rsidRPr="00DD3762">
        <w:rPr>
          <w:rFonts w:eastAsia="Calibri" w:cs="Times New Roman"/>
          <w:szCs w:val="26"/>
        </w:rPr>
        <w:lastRenderedPageBreak/>
        <w:t xml:space="preserve">handled by the pole owner with the attachers sharing the cost. </w:t>
      </w:r>
      <w:r w:rsidR="00F561D4">
        <w:rPr>
          <w:rFonts w:eastAsia="Calibri" w:cs="Times New Roman"/>
          <w:szCs w:val="26"/>
        </w:rPr>
        <w:t>It explains</w:t>
      </w:r>
      <w:r w:rsidRPr="00DD3762">
        <w:rPr>
          <w:rFonts w:eastAsia="Calibri" w:cs="Times New Roman"/>
          <w:szCs w:val="26"/>
        </w:rPr>
        <w:t xml:space="preserve"> that when attachers need to move their equipment it can disrupt service.</w:t>
      </w:r>
      <w:r w:rsidRPr="00DD3762">
        <w:rPr>
          <w:rFonts w:eastAsia="Calibri" w:cs="Times New Roman"/>
          <w:szCs w:val="26"/>
          <w:vertAlign w:val="superscript"/>
        </w:rPr>
        <w:footnoteReference w:id="122"/>
      </w:r>
    </w:p>
    <w:p w:rsidRPr="00147447" w:rsidR="000E5F47" w:rsidP="00ED36CC" w:rsidRDefault="000E5F47" w14:paraId="11CF2C8E" w14:textId="123A34BA">
      <w:pPr>
        <w:pStyle w:val="Standard"/>
      </w:pPr>
      <w:r w:rsidRPr="00147447">
        <w:rPr>
          <w:rFonts w:eastAsia="Calibri" w:cs="Times New Roman"/>
          <w:szCs w:val="26"/>
        </w:rPr>
        <w:t>SCE</w:t>
      </w:r>
      <w:r w:rsidRPr="00147447">
        <w:rPr>
          <w:rFonts w:eastAsia="Calibri" w:cs="Times New Roman"/>
          <w:color w:val="2F5496"/>
          <w:szCs w:val="26"/>
        </w:rPr>
        <w:t xml:space="preserve"> </w:t>
      </w:r>
      <w:r w:rsidRPr="00147447" w:rsidR="00156764">
        <w:rPr>
          <w:rFonts w:eastAsia="Calibri" w:cs="Times New Roman"/>
          <w:szCs w:val="26"/>
        </w:rPr>
        <w:t>o</w:t>
      </w:r>
      <w:r w:rsidRPr="00147447">
        <w:rPr>
          <w:rFonts w:eastAsia="Calibri" w:cs="Times New Roman"/>
          <w:szCs w:val="26"/>
        </w:rPr>
        <w:t xml:space="preserve">pposes </w:t>
      </w:r>
      <w:r w:rsidRPr="00147447" w:rsidR="00156764">
        <w:rPr>
          <w:rFonts w:eastAsia="Calibri" w:cs="Times New Roman"/>
          <w:szCs w:val="26"/>
        </w:rPr>
        <w:t>the Staff P</w:t>
      </w:r>
      <w:r w:rsidRPr="00147447">
        <w:rPr>
          <w:rFonts w:eastAsia="Calibri" w:cs="Times New Roman"/>
          <w:szCs w:val="26"/>
        </w:rPr>
        <w:t xml:space="preserve">roposal to require utilities to complete complex replacements within one year from request due to concerns regarding safety, contradictions with </w:t>
      </w:r>
      <w:r w:rsidR="005B40C8">
        <w:rPr>
          <w:rFonts w:eastAsia="Calibri" w:cs="Times New Roman"/>
          <w:szCs w:val="26"/>
        </w:rPr>
        <w:t>GO</w:t>
      </w:r>
      <w:r w:rsidR="0051059D">
        <w:rPr>
          <w:rFonts w:eastAsia="Calibri" w:cs="Times New Roman"/>
          <w:szCs w:val="26"/>
        </w:rPr>
        <w:t> </w:t>
      </w:r>
      <w:r w:rsidRPr="00147447">
        <w:rPr>
          <w:rFonts w:eastAsia="Calibri" w:cs="Times New Roman"/>
          <w:szCs w:val="26"/>
        </w:rPr>
        <w:t>95</w:t>
      </w:r>
      <w:r w:rsidRPr="00147447" w:rsidR="00156764">
        <w:rPr>
          <w:rFonts w:eastAsia="Calibri" w:cs="Times New Roman"/>
          <w:szCs w:val="26"/>
        </w:rPr>
        <w:t>,</w:t>
      </w:r>
      <w:r w:rsidRPr="00147447">
        <w:rPr>
          <w:rFonts w:eastAsia="Calibri" w:cs="Times New Roman"/>
          <w:szCs w:val="26"/>
        </w:rPr>
        <w:t xml:space="preserve"> </w:t>
      </w:r>
      <w:r w:rsidR="00A929DC">
        <w:rPr>
          <w:rFonts w:eastAsia="Calibri" w:cs="Times New Roman"/>
          <w:szCs w:val="26"/>
        </w:rPr>
        <w:t>Rule</w:t>
      </w:r>
      <w:r w:rsidR="0051059D">
        <w:rPr>
          <w:rFonts w:eastAsia="Calibri" w:cs="Times New Roman"/>
          <w:szCs w:val="26"/>
        </w:rPr>
        <w:t> </w:t>
      </w:r>
      <w:r w:rsidRPr="00147447">
        <w:rPr>
          <w:rFonts w:eastAsia="Calibri" w:cs="Times New Roman"/>
          <w:szCs w:val="26"/>
        </w:rPr>
        <w:t>18</w:t>
      </w:r>
      <w:r w:rsidR="00E4753D">
        <w:rPr>
          <w:rFonts w:eastAsia="Calibri" w:cs="Times New Roman"/>
          <w:szCs w:val="26"/>
        </w:rPr>
        <w:noBreakHyphen/>
      </w:r>
      <w:r w:rsidRPr="00147447">
        <w:rPr>
          <w:rFonts w:eastAsia="Calibri" w:cs="Times New Roman"/>
          <w:szCs w:val="26"/>
        </w:rPr>
        <w:t xml:space="preserve">B(1)(a) and internal processes, and disruption of replacement schedules based on safety prioritization. </w:t>
      </w:r>
      <w:r w:rsidRPr="00147447" w:rsidR="00DF5A14">
        <w:rPr>
          <w:rFonts w:eastAsia="Calibri" w:cs="Times New Roman"/>
          <w:szCs w:val="26"/>
        </w:rPr>
        <w:t>It e</w:t>
      </w:r>
      <w:r w:rsidRPr="00147447">
        <w:rPr>
          <w:rFonts w:eastAsia="Calibri" w:cs="Times New Roman"/>
          <w:szCs w:val="26"/>
        </w:rPr>
        <w:t>xplains that, under its Pole License Agreements, the attacher pays for replacement costs when the replacement is needed to accommodate a new or modified attachment.</w:t>
      </w:r>
      <w:r w:rsidRPr="00DD3762">
        <w:rPr>
          <w:vertAlign w:val="superscript"/>
        </w:rPr>
        <w:footnoteReference w:id="123"/>
      </w:r>
    </w:p>
    <w:p w:rsidRPr="00DD3762" w:rsidR="000E5F47" w:rsidP="00ED36CC" w:rsidRDefault="000E5F47" w14:paraId="53ED00BA" w14:textId="3E11C17B">
      <w:pPr>
        <w:pStyle w:val="Standard"/>
      </w:pPr>
      <w:r w:rsidRPr="00DF5A14">
        <w:rPr>
          <w:rFonts w:eastAsia="Calibri" w:cs="Times New Roman"/>
          <w:szCs w:val="26"/>
        </w:rPr>
        <w:t>SDG&amp;E</w:t>
      </w:r>
      <w:r w:rsidRPr="00DD3762">
        <w:rPr>
          <w:rFonts w:eastAsia="Calibri" w:cs="Times New Roman"/>
          <w:szCs w:val="26"/>
        </w:rPr>
        <w:t xml:space="preserve"> </w:t>
      </w:r>
      <w:r w:rsidR="00DF5A14">
        <w:rPr>
          <w:rFonts w:eastAsia="Calibri" w:cs="Times New Roman"/>
          <w:szCs w:val="26"/>
        </w:rPr>
        <w:t>s</w:t>
      </w:r>
      <w:r w:rsidRPr="00DD3762">
        <w:rPr>
          <w:rFonts w:eastAsia="Calibri" w:cs="Times New Roman"/>
          <w:szCs w:val="26"/>
        </w:rPr>
        <w:t xml:space="preserve">uggests </w:t>
      </w:r>
      <w:r w:rsidR="00A75C50">
        <w:rPr>
          <w:rFonts w:eastAsia="Calibri" w:cs="Times New Roman"/>
          <w:szCs w:val="26"/>
        </w:rPr>
        <w:t xml:space="preserve">it </w:t>
      </w:r>
      <w:r w:rsidRPr="00DD3762">
        <w:rPr>
          <w:rFonts w:eastAsia="Calibri" w:cs="Times New Roman"/>
          <w:szCs w:val="26"/>
        </w:rPr>
        <w:t>is reasonable to require pole owners to complete all necessary pole replacements, including those requiring deenergization, within one year of receiving a complete request, except where delays arise from factors beyond the utilities control, including permitting, land rights, or material procurement.</w:t>
      </w:r>
      <w:r w:rsidRPr="00DD3762">
        <w:rPr>
          <w:rFonts w:eastAsia="Calibri" w:cs="Times New Roman"/>
          <w:szCs w:val="26"/>
          <w:vertAlign w:val="superscript"/>
        </w:rPr>
        <w:footnoteReference w:id="124"/>
      </w:r>
      <w:r w:rsidRPr="00DD3762">
        <w:rPr>
          <w:rFonts w:eastAsia="Calibri" w:cs="Times New Roman"/>
          <w:szCs w:val="26"/>
        </w:rPr>
        <w:t xml:space="preserve"> </w:t>
      </w:r>
      <w:r w:rsidR="00A75C50">
        <w:rPr>
          <w:rFonts w:eastAsia="Calibri" w:cs="Times New Roman"/>
          <w:szCs w:val="26"/>
        </w:rPr>
        <w:t>SDG&amp;E o</w:t>
      </w:r>
      <w:r w:rsidRPr="00DD3762">
        <w:rPr>
          <w:rFonts w:eastAsia="Calibri" w:cs="Times New Roman"/>
          <w:szCs w:val="26"/>
        </w:rPr>
        <w:t xml:space="preserve">pposes </w:t>
      </w:r>
      <w:proofErr w:type="spellStart"/>
      <w:r w:rsidRPr="00DD3762">
        <w:rPr>
          <w:rFonts w:eastAsia="Calibri" w:cs="Times New Roman"/>
          <w:szCs w:val="26"/>
        </w:rPr>
        <w:t>Surfnet</w:t>
      </w:r>
      <w:r w:rsidR="00410529">
        <w:rPr>
          <w:rFonts w:eastAsia="Calibri" w:cs="Times New Roman"/>
          <w:szCs w:val="26"/>
        </w:rPr>
        <w:t>’</w:t>
      </w:r>
      <w:r w:rsidRPr="00DD3762">
        <w:rPr>
          <w:rFonts w:eastAsia="Calibri" w:cs="Times New Roman"/>
          <w:szCs w:val="26"/>
        </w:rPr>
        <w:t>s</w:t>
      </w:r>
      <w:proofErr w:type="spellEnd"/>
      <w:r w:rsidRPr="00DD3762">
        <w:rPr>
          <w:rFonts w:eastAsia="Calibri" w:cs="Times New Roman"/>
          <w:szCs w:val="26"/>
        </w:rPr>
        <w:t xml:space="preserve"> proposal to modify repair/replacement timelines via the </w:t>
      </w:r>
      <w:r w:rsidR="00835EAD">
        <w:rPr>
          <w:rFonts w:eastAsia="Calibri" w:cs="Times New Roman"/>
          <w:szCs w:val="26"/>
        </w:rPr>
        <w:t>ROW Rules</w:t>
      </w:r>
      <w:r w:rsidRPr="00DD3762">
        <w:rPr>
          <w:rFonts w:eastAsia="Calibri" w:cs="Times New Roman"/>
          <w:szCs w:val="26"/>
        </w:rPr>
        <w:t xml:space="preserve">, due to safety concerns and divergence from </w:t>
      </w:r>
      <w:r w:rsidR="005B40C8">
        <w:rPr>
          <w:rFonts w:eastAsia="Calibri" w:cs="Times New Roman"/>
          <w:szCs w:val="26"/>
        </w:rPr>
        <w:t>GO</w:t>
      </w:r>
      <w:r w:rsidR="0051059D">
        <w:rPr>
          <w:rFonts w:eastAsia="Calibri" w:cs="Times New Roman"/>
          <w:szCs w:val="26"/>
        </w:rPr>
        <w:t> </w:t>
      </w:r>
      <w:r w:rsidRPr="00DD3762">
        <w:rPr>
          <w:rFonts w:eastAsia="Calibri" w:cs="Times New Roman"/>
          <w:szCs w:val="26"/>
        </w:rPr>
        <w:t>95.</w:t>
      </w:r>
      <w:r w:rsidRPr="00DD3762">
        <w:rPr>
          <w:rFonts w:eastAsia="Calibri" w:cs="Times New Roman"/>
          <w:szCs w:val="26"/>
          <w:vertAlign w:val="superscript"/>
        </w:rPr>
        <w:footnoteReference w:id="125"/>
      </w:r>
    </w:p>
    <w:p w:rsidRPr="00DD3762" w:rsidR="000E5F47" w:rsidP="00ED36CC" w:rsidRDefault="000E5F47" w14:paraId="4641C1CD" w14:textId="6A28BA9D">
      <w:pPr>
        <w:pStyle w:val="Standard"/>
      </w:pPr>
      <w:r w:rsidRPr="00D02B9C">
        <w:rPr>
          <w:rFonts w:eastAsia="Calibri" w:cs="Times New Roman"/>
          <w:szCs w:val="26"/>
        </w:rPr>
        <w:t>Sonic</w:t>
      </w:r>
      <w:r w:rsidRPr="00DD3762">
        <w:rPr>
          <w:rFonts w:eastAsia="Calibri" w:cs="Times New Roman"/>
          <w:szCs w:val="26"/>
        </w:rPr>
        <w:t xml:space="preserve"> </w:t>
      </w:r>
      <w:r w:rsidR="00D02B9C">
        <w:rPr>
          <w:rFonts w:eastAsia="Calibri" w:cs="Times New Roman"/>
          <w:szCs w:val="26"/>
        </w:rPr>
        <w:t>o</w:t>
      </w:r>
      <w:r w:rsidRPr="00DD3762">
        <w:rPr>
          <w:rFonts w:eastAsia="Calibri" w:cs="Times New Roman"/>
          <w:szCs w:val="26"/>
        </w:rPr>
        <w:t xml:space="preserve">pposes </w:t>
      </w:r>
      <w:r w:rsidR="00D02B9C">
        <w:rPr>
          <w:rFonts w:eastAsia="Calibri" w:cs="Times New Roman"/>
          <w:szCs w:val="26"/>
        </w:rPr>
        <w:t>the Staff P</w:t>
      </w:r>
      <w:r w:rsidRPr="00DD3762">
        <w:rPr>
          <w:rFonts w:eastAsia="Calibri" w:cs="Times New Roman"/>
          <w:szCs w:val="26"/>
        </w:rPr>
        <w:t>roposal to allow pole owners up to a year to replace poles requiring deenergization</w:t>
      </w:r>
      <w:r w:rsidR="00102A33">
        <w:rPr>
          <w:rFonts w:eastAsia="Calibri" w:cs="Times New Roman"/>
          <w:szCs w:val="26"/>
        </w:rPr>
        <w:t>, reasoning that</w:t>
      </w:r>
      <w:r w:rsidRPr="00DD3762">
        <w:rPr>
          <w:rFonts w:eastAsia="Calibri" w:cs="Times New Roman"/>
          <w:szCs w:val="26"/>
        </w:rPr>
        <w:t xml:space="preserve"> this would permit ongoing GO</w:t>
      </w:r>
      <w:r w:rsidR="00E4753D">
        <w:rPr>
          <w:rFonts w:eastAsia="Calibri" w:cs="Times New Roman"/>
          <w:szCs w:val="26"/>
        </w:rPr>
        <w:noBreakHyphen/>
      </w:r>
      <w:r w:rsidRPr="00DD3762">
        <w:rPr>
          <w:rFonts w:eastAsia="Calibri" w:cs="Times New Roman"/>
          <w:szCs w:val="26"/>
        </w:rPr>
        <w:t>95 safety violations and unreasonably delay broadband deployment.</w:t>
      </w:r>
      <w:r w:rsidR="00102A33">
        <w:rPr>
          <w:rFonts w:eastAsia="Calibri" w:cs="Times New Roman"/>
          <w:szCs w:val="26"/>
        </w:rPr>
        <w:t xml:space="preserve"> It r</w:t>
      </w:r>
      <w:r w:rsidRPr="00DD3762">
        <w:rPr>
          <w:rFonts w:eastAsia="Calibri" w:cs="Times New Roman"/>
          <w:szCs w:val="26"/>
        </w:rPr>
        <w:t>ecommends requiring replacement within 45 days of complet</w:t>
      </w:r>
      <w:r w:rsidR="00520A61">
        <w:rPr>
          <w:rFonts w:eastAsia="Calibri" w:cs="Times New Roman"/>
          <w:szCs w:val="26"/>
        </w:rPr>
        <w:t>ing</w:t>
      </w:r>
      <w:r w:rsidRPr="00DD3762">
        <w:rPr>
          <w:rFonts w:eastAsia="Calibri" w:cs="Times New Roman"/>
          <w:szCs w:val="26"/>
        </w:rPr>
        <w:t xml:space="preserve"> </w:t>
      </w:r>
      <w:r w:rsidR="00B91892">
        <w:rPr>
          <w:rFonts w:eastAsia="Calibri" w:cs="Times New Roman"/>
          <w:szCs w:val="26"/>
        </w:rPr>
        <w:t>a</w:t>
      </w:r>
      <w:r w:rsidR="005958D8">
        <w:rPr>
          <w:rFonts w:eastAsia="Calibri" w:cs="Times New Roman"/>
          <w:szCs w:val="26"/>
        </w:rPr>
        <w:t>n</w:t>
      </w:r>
      <w:r w:rsidR="00B91892">
        <w:rPr>
          <w:rFonts w:eastAsia="Calibri" w:cs="Times New Roman"/>
          <w:szCs w:val="26"/>
        </w:rPr>
        <w:t xml:space="preserve"> </w:t>
      </w:r>
      <w:r w:rsidRPr="00DD3762">
        <w:rPr>
          <w:rFonts w:eastAsia="Calibri" w:cs="Times New Roman"/>
          <w:szCs w:val="26"/>
        </w:rPr>
        <w:t>application, citing D.22</w:t>
      </w:r>
      <w:r w:rsidR="00E4753D">
        <w:rPr>
          <w:rFonts w:eastAsia="Calibri" w:cs="Times New Roman"/>
          <w:szCs w:val="26"/>
        </w:rPr>
        <w:noBreakHyphen/>
      </w:r>
      <w:r w:rsidRPr="00DD3762">
        <w:rPr>
          <w:rFonts w:eastAsia="Calibri" w:cs="Times New Roman"/>
          <w:szCs w:val="26"/>
        </w:rPr>
        <w:t>10</w:t>
      </w:r>
      <w:r w:rsidR="00E4753D">
        <w:rPr>
          <w:rFonts w:eastAsia="Calibri" w:cs="Times New Roman"/>
          <w:szCs w:val="26"/>
        </w:rPr>
        <w:noBreakHyphen/>
      </w:r>
      <w:r w:rsidRPr="00DD3762">
        <w:rPr>
          <w:rFonts w:eastAsia="Calibri" w:cs="Times New Roman"/>
          <w:szCs w:val="26"/>
        </w:rPr>
        <w:t>025.</w:t>
      </w:r>
      <w:r w:rsidRPr="00DD3762">
        <w:rPr>
          <w:rFonts w:eastAsia="Calibri" w:cs="Times New Roman"/>
          <w:szCs w:val="26"/>
          <w:vertAlign w:val="superscript"/>
        </w:rPr>
        <w:footnoteReference w:id="126"/>
      </w:r>
    </w:p>
    <w:p w:rsidRPr="00DD3762" w:rsidR="000E5F47" w:rsidP="00ED36CC" w:rsidRDefault="000E5F47" w14:paraId="63B4B454" w14:textId="4C19AF5F">
      <w:pPr>
        <w:pStyle w:val="Standard"/>
      </w:pPr>
      <w:proofErr w:type="spellStart"/>
      <w:r w:rsidRPr="00B91892">
        <w:rPr>
          <w:rFonts w:eastAsia="Calibri" w:cs="Times New Roman"/>
          <w:szCs w:val="26"/>
        </w:rPr>
        <w:lastRenderedPageBreak/>
        <w:t>Surfnet</w:t>
      </w:r>
      <w:proofErr w:type="spellEnd"/>
      <w:r w:rsidRPr="00DD3762">
        <w:rPr>
          <w:rFonts w:eastAsia="Calibri" w:cs="Times New Roman"/>
          <w:szCs w:val="26"/>
        </w:rPr>
        <w:t xml:space="preserve"> </w:t>
      </w:r>
      <w:r w:rsidR="00B91892">
        <w:rPr>
          <w:rFonts w:eastAsia="Calibri" w:cs="Times New Roman"/>
          <w:szCs w:val="26"/>
        </w:rPr>
        <w:t>r</w:t>
      </w:r>
      <w:r w:rsidRPr="00DD3762">
        <w:rPr>
          <w:rFonts w:eastAsia="Calibri" w:cs="Times New Roman"/>
          <w:szCs w:val="26"/>
        </w:rPr>
        <w:t>ecommends requiring replacement within 30 days</w:t>
      </w:r>
      <w:r w:rsidR="00B91892">
        <w:rPr>
          <w:rFonts w:eastAsia="Calibri" w:cs="Times New Roman"/>
          <w:szCs w:val="26"/>
        </w:rPr>
        <w:t>,</w:t>
      </w:r>
      <w:r w:rsidRPr="00DD3762">
        <w:rPr>
          <w:rFonts w:eastAsia="Calibri" w:cs="Times New Roman"/>
          <w:szCs w:val="26"/>
        </w:rPr>
        <w:t xml:space="preserve"> citing benefits of broadband. </w:t>
      </w:r>
      <w:r w:rsidR="00B91892">
        <w:rPr>
          <w:rFonts w:eastAsia="Calibri" w:cs="Times New Roman"/>
          <w:szCs w:val="26"/>
        </w:rPr>
        <w:t xml:space="preserve">It </w:t>
      </w:r>
      <w:r w:rsidR="00F120FB">
        <w:rPr>
          <w:rFonts w:eastAsia="Calibri" w:cs="Times New Roman"/>
          <w:szCs w:val="26"/>
        </w:rPr>
        <w:t>n</w:t>
      </w:r>
      <w:r w:rsidRPr="00DD3762">
        <w:rPr>
          <w:rFonts w:eastAsia="Calibri" w:cs="Times New Roman"/>
          <w:szCs w:val="26"/>
        </w:rPr>
        <w:t>otes that its projects rarely require deenergization replacements.</w:t>
      </w:r>
      <w:r w:rsidRPr="00DD3762">
        <w:rPr>
          <w:rFonts w:eastAsia="Calibri" w:cs="Times New Roman"/>
          <w:szCs w:val="26"/>
          <w:vertAlign w:val="superscript"/>
        </w:rPr>
        <w:footnoteReference w:id="127"/>
      </w:r>
    </w:p>
    <w:p w:rsidR="00F1372B" w:rsidP="006B65B5" w:rsidRDefault="00B206AA" w14:paraId="064FA5DF" w14:textId="43D717F0">
      <w:pPr>
        <w:pStyle w:val="Heading4"/>
      </w:pPr>
      <w:r>
        <w:t>Is it reasonable to have attachers take on additional costs wh</w:t>
      </w:r>
      <w:r w:rsidR="00801F3E">
        <w:t>e</w:t>
      </w:r>
      <w:r>
        <w:t>n requesting a pole reinforcement or replacement? What are these costs? How should these costs be shared? Should these costs cover the entire pole replacement, an attacher</w:t>
      </w:r>
      <w:r w:rsidR="00410529">
        <w:t>’</w:t>
      </w:r>
      <w:r>
        <w:t>s proportionate share of the pole replacement, or a subset of these costs (</w:t>
      </w:r>
      <w:r w:rsidRPr="004840C8" w:rsidR="004840C8">
        <w:rPr>
          <w:i/>
        </w:rPr>
        <w:t>e.g</w:t>
      </w:r>
      <w:r>
        <w:t>.</w:t>
      </w:r>
      <w:r w:rsidR="004840C8">
        <w:t xml:space="preserve">, </w:t>
      </w:r>
      <w:r>
        <w:t xml:space="preserve">the administrative, material, labor, </w:t>
      </w:r>
      <w:r w:rsidRPr="0046210A" w:rsidR="0046210A">
        <w:rPr>
          <w:i/>
        </w:rPr>
        <w:t>etc.</w:t>
      </w:r>
      <w:r>
        <w:t>, costs incurred by pole owners)?</w:t>
      </w:r>
    </w:p>
    <w:p w:rsidRPr="00DD3762" w:rsidR="000E19B4" w:rsidP="00ED36CC" w:rsidRDefault="000E19B4" w14:paraId="386BECA8" w14:textId="646000D9">
      <w:pPr>
        <w:pStyle w:val="Standard"/>
      </w:pPr>
      <w:r w:rsidRPr="00F120FB">
        <w:rPr>
          <w:rFonts w:eastAsia="Calibri" w:cs="Times New Roman"/>
          <w:szCs w:val="26"/>
        </w:rPr>
        <w:t>AT&amp;T</w:t>
      </w:r>
      <w:r w:rsidR="00F120FB">
        <w:rPr>
          <w:rFonts w:eastAsia="Calibri" w:cs="Times New Roman"/>
          <w:szCs w:val="26"/>
        </w:rPr>
        <w:t xml:space="preserve"> s</w:t>
      </w:r>
      <w:r w:rsidRPr="00DD3762">
        <w:rPr>
          <w:rFonts w:eastAsia="Calibri" w:cs="Times New Roman"/>
          <w:szCs w:val="26"/>
        </w:rPr>
        <w:t xml:space="preserve">uggests the attacher </w:t>
      </w:r>
      <w:r w:rsidR="0069339D">
        <w:rPr>
          <w:rFonts w:eastAsia="Calibri" w:cs="Times New Roman"/>
          <w:szCs w:val="26"/>
        </w:rPr>
        <w:t xml:space="preserve">should </w:t>
      </w:r>
      <w:r w:rsidRPr="00DD3762">
        <w:rPr>
          <w:rFonts w:eastAsia="Calibri" w:cs="Times New Roman"/>
          <w:szCs w:val="26"/>
        </w:rPr>
        <w:t xml:space="preserve">bear the cost of a pole replacement or reinforcement if caused by their attachment. </w:t>
      </w:r>
      <w:r w:rsidR="008A0D06">
        <w:rPr>
          <w:rFonts w:eastAsia="Calibri" w:cs="Times New Roman"/>
          <w:szCs w:val="26"/>
        </w:rPr>
        <w:t>It c</w:t>
      </w:r>
      <w:r w:rsidRPr="00DD3762">
        <w:rPr>
          <w:rFonts w:eastAsia="Calibri" w:cs="Times New Roman"/>
          <w:szCs w:val="26"/>
        </w:rPr>
        <w:t>laims there is no basis for dividing up costs by cost category</w:t>
      </w:r>
      <w:r w:rsidR="008A0D06">
        <w:rPr>
          <w:rFonts w:eastAsia="Calibri" w:cs="Times New Roman"/>
          <w:szCs w:val="26"/>
        </w:rPr>
        <w:t>, and s</w:t>
      </w:r>
      <w:r w:rsidRPr="00DD3762">
        <w:rPr>
          <w:rFonts w:eastAsia="Calibri" w:cs="Times New Roman"/>
          <w:szCs w:val="26"/>
        </w:rPr>
        <w:t xml:space="preserve">uggests that cost causation should be basis for cost assignment. </w:t>
      </w:r>
      <w:r w:rsidR="008A0D06">
        <w:rPr>
          <w:rFonts w:eastAsia="Calibri" w:cs="Times New Roman"/>
          <w:szCs w:val="26"/>
        </w:rPr>
        <w:t>AT&amp;T r</w:t>
      </w:r>
      <w:r w:rsidRPr="00DD3762">
        <w:rPr>
          <w:rFonts w:eastAsia="Calibri" w:cs="Times New Roman"/>
          <w:szCs w:val="26"/>
        </w:rPr>
        <w:t>ecommends for expedited replacements that it may be reasonable to offset the attacher</w:t>
      </w:r>
      <w:r w:rsidR="00410529">
        <w:rPr>
          <w:rFonts w:eastAsia="Calibri" w:cs="Times New Roman"/>
          <w:szCs w:val="26"/>
        </w:rPr>
        <w:t>’</w:t>
      </w:r>
      <w:r w:rsidRPr="00DD3762">
        <w:rPr>
          <w:rFonts w:eastAsia="Calibri" w:cs="Times New Roman"/>
          <w:szCs w:val="26"/>
        </w:rPr>
        <w:t xml:space="preserve">s costs with any proportional benefit to the pole owner or other attachers. </w:t>
      </w:r>
      <w:r w:rsidR="00884E75">
        <w:rPr>
          <w:rFonts w:eastAsia="Calibri" w:cs="Times New Roman"/>
          <w:szCs w:val="26"/>
        </w:rPr>
        <w:t>It s</w:t>
      </w:r>
      <w:r w:rsidRPr="00DD3762">
        <w:rPr>
          <w:rFonts w:eastAsia="Calibri" w:cs="Times New Roman"/>
          <w:szCs w:val="26"/>
        </w:rPr>
        <w:t>uggests this issue would benefit from a technical workshop.</w:t>
      </w:r>
      <w:r w:rsidRPr="00DD3762">
        <w:rPr>
          <w:rFonts w:eastAsia="Calibri" w:cs="Times New Roman"/>
          <w:szCs w:val="26"/>
          <w:vertAlign w:val="superscript"/>
        </w:rPr>
        <w:footnoteReference w:id="128"/>
      </w:r>
    </w:p>
    <w:p w:rsidRPr="00DD3762" w:rsidR="000E19B4" w:rsidP="00ED36CC" w:rsidRDefault="000E19B4" w14:paraId="1F62AB0C" w14:textId="36471ED2">
      <w:pPr>
        <w:pStyle w:val="Standard"/>
      </w:pPr>
      <w:r w:rsidRPr="00884E75">
        <w:rPr>
          <w:rFonts w:eastAsia="Calibri" w:cs="Times New Roman"/>
          <w:szCs w:val="26"/>
        </w:rPr>
        <w:t>California Broadband and Video Association</w:t>
      </w:r>
      <w:r w:rsidR="00884E75">
        <w:rPr>
          <w:rFonts w:eastAsia="Calibri" w:cs="Times New Roman"/>
          <w:szCs w:val="26"/>
        </w:rPr>
        <w:t xml:space="preserve"> r</w:t>
      </w:r>
      <w:r w:rsidRPr="00DD3762">
        <w:rPr>
          <w:rFonts w:eastAsia="Calibri" w:cs="Times New Roman"/>
          <w:szCs w:val="26"/>
        </w:rPr>
        <w:t xml:space="preserve">ecommends new attachers pay for the pole replacement only when their attachment is the sole cause. </w:t>
      </w:r>
      <w:r w:rsidR="0075122A">
        <w:rPr>
          <w:rFonts w:eastAsia="Calibri" w:cs="Times New Roman"/>
          <w:szCs w:val="26"/>
        </w:rPr>
        <w:t>It s</w:t>
      </w:r>
      <w:r w:rsidRPr="00DD3762">
        <w:rPr>
          <w:rFonts w:eastAsia="Calibri" w:cs="Times New Roman"/>
          <w:szCs w:val="26"/>
        </w:rPr>
        <w:t>uggests that pole owners bear</w:t>
      </w:r>
      <w:r w:rsidR="0075122A">
        <w:rPr>
          <w:rFonts w:eastAsia="Calibri" w:cs="Times New Roman"/>
          <w:szCs w:val="26"/>
        </w:rPr>
        <w:t xml:space="preserve"> the </w:t>
      </w:r>
      <w:r w:rsidRPr="00DD3762">
        <w:rPr>
          <w:rFonts w:eastAsia="Calibri" w:cs="Times New Roman"/>
          <w:szCs w:val="26"/>
        </w:rPr>
        <w:t>costs of replacing poles already in need of replacement, because they are the cost</w:t>
      </w:r>
      <w:r w:rsidR="00E4753D">
        <w:rPr>
          <w:rFonts w:eastAsia="Calibri" w:cs="Times New Roman"/>
          <w:szCs w:val="26"/>
        </w:rPr>
        <w:noBreakHyphen/>
      </w:r>
      <w:r w:rsidRPr="00DD3762">
        <w:rPr>
          <w:rFonts w:eastAsia="Calibri" w:cs="Times New Roman"/>
          <w:szCs w:val="26"/>
        </w:rPr>
        <w:t xml:space="preserve">causers for noncompliance with </w:t>
      </w:r>
      <w:r w:rsidR="005B40C8">
        <w:rPr>
          <w:rFonts w:eastAsia="Calibri" w:cs="Times New Roman"/>
          <w:szCs w:val="26"/>
        </w:rPr>
        <w:t>GO</w:t>
      </w:r>
      <w:r w:rsidR="0051059D">
        <w:rPr>
          <w:rFonts w:eastAsia="Calibri" w:cs="Times New Roman"/>
          <w:szCs w:val="26"/>
        </w:rPr>
        <w:t> </w:t>
      </w:r>
      <w:r w:rsidRPr="00DD3762">
        <w:rPr>
          <w:rFonts w:eastAsia="Calibri" w:cs="Times New Roman"/>
          <w:szCs w:val="26"/>
        </w:rPr>
        <w:t>95, and allocating costs to attachers raises broadband deployment costs, undermines universal access goals, and creates safety risks.</w:t>
      </w:r>
      <w:r w:rsidRPr="00DD3762">
        <w:rPr>
          <w:rFonts w:eastAsia="Calibri" w:cs="Times New Roman"/>
          <w:szCs w:val="26"/>
          <w:vertAlign w:val="superscript"/>
        </w:rPr>
        <w:footnoteReference w:id="129"/>
      </w:r>
    </w:p>
    <w:p w:rsidRPr="00DD3762" w:rsidR="000E19B4" w:rsidP="00ED36CC" w:rsidRDefault="000E19B4" w14:paraId="27489FD0" w14:textId="31784990">
      <w:pPr>
        <w:pStyle w:val="Standard"/>
      </w:pPr>
      <w:r w:rsidRPr="00AD18CD">
        <w:rPr>
          <w:rFonts w:eastAsia="Calibri" w:cs="Times New Roman"/>
          <w:szCs w:val="26"/>
        </w:rPr>
        <w:lastRenderedPageBreak/>
        <w:t>Crown Castle</w:t>
      </w:r>
      <w:r w:rsidR="00AD18CD">
        <w:rPr>
          <w:rFonts w:eastAsia="Calibri" w:cs="Times New Roman"/>
          <w:szCs w:val="26"/>
        </w:rPr>
        <w:t xml:space="preserve"> s</w:t>
      </w:r>
      <w:r w:rsidRPr="00DD3762">
        <w:rPr>
          <w:rFonts w:eastAsia="Calibri" w:cs="Times New Roman"/>
          <w:szCs w:val="26"/>
        </w:rPr>
        <w:t xml:space="preserve">upports clearer and more equitable cost sharing between pole owners and attachers. </w:t>
      </w:r>
      <w:r w:rsidR="00850C46">
        <w:rPr>
          <w:rFonts w:eastAsia="Calibri" w:cs="Times New Roman"/>
          <w:szCs w:val="26"/>
        </w:rPr>
        <w:t>It c</w:t>
      </w:r>
      <w:r w:rsidRPr="00DD3762">
        <w:rPr>
          <w:rFonts w:eastAsia="Calibri" w:cs="Times New Roman"/>
          <w:szCs w:val="26"/>
        </w:rPr>
        <w:t xml:space="preserve">laims </w:t>
      </w:r>
      <w:r w:rsidR="00850C46">
        <w:rPr>
          <w:rFonts w:eastAsia="Calibri" w:cs="Times New Roman"/>
          <w:szCs w:val="26"/>
        </w:rPr>
        <w:t>that</w:t>
      </w:r>
      <w:r w:rsidR="00A94EFD">
        <w:rPr>
          <w:rFonts w:eastAsia="Calibri" w:cs="Times New Roman"/>
          <w:szCs w:val="26"/>
        </w:rPr>
        <w:t xml:space="preserve"> </w:t>
      </w:r>
      <w:r w:rsidRPr="00DD3762">
        <w:rPr>
          <w:rFonts w:eastAsia="Calibri" w:cs="Times New Roman"/>
          <w:szCs w:val="26"/>
        </w:rPr>
        <w:t xml:space="preserve">attachers too often bear the full cost of pole replacements despite pole owners benefiting from newer poles. </w:t>
      </w:r>
      <w:r w:rsidR="00850C46">
        <w:rPr>
          <w:rFonts w:eastAsia="Calibri" w:cs="Times New Roman"/>
          <w:szCs w:val="26"/>
        </w:rPr>
        <w:t>It u</w:t>
      </w:r>
      <w:r w:rsidRPr="00DD3762">
        <w:rPr>
          <w:rFonts w:eastAsia="Calibri" w:cs="Times New Roman"/>
          <w:szCs w:val="26"/>
        </w:rPr>
        <w:t xml:space="preserve">rges the CPUC to align its cost sharing rules with FCC 2023 Order. </w:t>
      </w:r>
      <w:r w:rsidR="00A94EFD">
        <w:rPr>
          <w:rFonts w:eastAsia="Calibri" w:cs="Times New Roman"/>
          <w:szCs w:val="26"/>
        </w:rPr>
        <w:t>Crown Castle a</w:t>
      </w:r>
      <w:r w:rsidRPr="00DD3762">
        <w:rPr>
          <w:rFonts w:eastAsia="Calibri" w:cs="Times New Roman"/>
          <w:szCs w:val="26"/>
        </w:rPr>
        <w:t>rgues that when a pole replacement is not solely caused by a new attachment, the attacher should not be required to pay the full cost.</w:t>
      </w:r>
      <w:r w:rsidRPr="00DD3762">
        <w:rPr>
          <w:rFonts w:eastAsia="Calibri" w:cs="Times New Roman"/>
          <w:szCs w:val="26"/>
          <w:vertAlign w:val="superscript"/>
        </w:rPr>
        <w:footnoteReference w:id="130"/>
      </w:r>
    </w:p>
    <w:p w:rsidRPr="00DD3762" w:rsidR="000E19B4" w:rsidP="00ED36CC" w:rsidRDefault="000E19B4" w14:paraId="2827A7BC" w14:textId="36932DE9">
      <w:pPr>
        <w:pStyle w:val="Standard"/>
      </w:pPr>
      <w:proofErr w:type="spellStart"/>
      <w:r w:rsidRPr="00A94EFD">
        <w:rPr>
          <w:rFonts w:eastAsia="Calibri" w:cs="Times New Roman"/>
          <w:szCs w:val="26"/>
        </w:rPr>
        <w:t>Extenet</w:t>
      </w:r>
      <w:proofErr w:type="spellEnd"/>
      <w:r w:rsidRPr="00A94EFD">
        <w:rPr>
          <w:rFonts w:eastAsia="Calibri" w:cs="Times New Roman"/>
          <w:szCs w:val="26"/>
        </w:rPr>
        <w:t xml:space="preserve"> Systems</w:t>
      </w:r>
      <w:r w:rsidRPr="00DD3762">
        <w:rPr>
          <w:rFonts w:eastAsia="Calibri" w:cs="Times New Roman"/>
          <w:szCs w:val="26"/>
        </w:rPr>
        <w:t xml:space="preserve"> </w:t>
      </w:r>
      <w:r w:rsidR="00A94EFD">
        <w:rPr>
          <w:rFonts w:eastAsia="Calibri" w:cs="Times New Roman"/>
          <w:szCs w:val="26"/>
        </w:rPr>
        <w:t>a</w:t>
      </w:r>
      <w:r w:rsidRPr="00DD3762">
        <w:rPr>
          <w:rFonts w:eastAsia="Calibri" w:cs="Times New Roman"/>
          <w:szCs w:val="26"/>
        </w:rPr>
        <w:t xml:space="preserve">grees it is reasonable so long as the costs are allocated proportionately to the pole owner and attacher. </w:t>
      </w:r>
      <w:r w:rsidR="00646760">
        <w:rPr>
          <w:rFonts w:eastAsia="Calibri" w:cs="Times New Roman"/>
          <w:szCs w:val="26"/>
        </w:rPr>
        <w:t>It a</w:t>
      </w:r>
      <w:r w:rsidRPr="00DD3762">
        <w:rPr>
          <w:rFonts w:eastAsia="Calibri" w:cs="Times New Roman"/>
          <w:szCs w:val="26"/>
        </w:rPr>
        <w:t>rgues</w:t>
      </w:r>
      <w:r w:rsidR="00646760">
        <w:rPr>
          <w:rFonts w:eastAsia="Calibri" w:cs="Times New Roman"/>
          <w:szCs w:val="26"/>
        </w:rPr>
        <w:t xml:space="preserve"> </w:t>
      </w:r>
      <w:r w:rsidRPr="00DD3762">
        <w:rPr>
          <w:rFonts w:eastAsia="Calibri" w:cs="Times New Roman"/>
          <w:szCs w:val="26"/>
        </w:rPr>
        <w:t>the attacher should not pay for any portion of the cost that is not solely necessitated by the proposed attachment.</w:t>
      </w:r>
      <w:r w:rsidRPr="00DD3762">
        <w:rPr>
          <w:rFonts w:eastAsia="Calibri" w:cs="Times New Roman"/>
          <w:szCs w:val="26"/>
          <w:vertAlign w:val="superscript"/>
        </w:rPr>
        <w:footnoteReference w:id="131"/>
      </w:r>
    </w:p>
    <w:p w:rsidRPr="00DD3762" w:rsidR="000E19B4" w:rsidP="00ED36CC" w:rsidRDefault="000E19B4" w14:paraId="145AA17B" w14:textId="74EA35CC">
      <w:pPr>
        <w:pStyle w:val="Standard"/>
      </w:pPr>
      <w:r w:rsidRPr="002D7EC0">
        <w:rPr>
          <w:rFonts w:eastAsia="Calibri" w:cs="Times New Roman"/>
          <w:szCs w:val="26"/>
        </w:rPr>
        <w:t>PG&amp;E</w:t>
      </w:r>
      <w:r w:rsidRPr="00DD3762">
        <w:rPr>
          <w:rFonts w:eastAsia="Calibri" w:cs="Times New Roman"/>
          <w:szCs w:val="26"/>
        </w:rPr>
        <w:t xml:space="preserve"> </w:t>
      </w:r>
      <w:r w:rsidR="002D7EC0">
        <w:rPr>
          <w:rFonts w:eastAsia="Calibri" w:cs="Times New Roman"/>
          <w:szCs w:val="26"/>
        </w:rPr>
        <w:t>a</w:t>
      </w:r>
      <w:r w:rsidRPr="00DD3762">
        <w:rPr>
          <w:rFonts w:eastAsia="Calibri" w:cs="Times New Roman"/>
          <w:szCs w:val="26"/>
        </w:rPr>
        <w:t xml:space="preserve">grees that attachers should take on additional costs. </w:t>
      </w:r>
      <w:r w:rsidR="002D7EC0">
        <w:rPr>
          <w:rFonts w:eastAsia="Calibri" w:cs="Times New Roman"/>
          <w:szCs w:val="26"/>
        </w:rPr>
        <w:t>It r</w:t>
      </w:r>
      <w:r w:rsidRPr="00DD3762">
        <w:rPr>
          <w:rFonts w:eastAsia="Calibri" w:cs="Times New Roman"/>
          <w:szCs w:val="26"/>
        </w:rPr>
        <w:t xml:space="preserve">ecommends attachers pay costs for pole replacements done before </w:t>
      </w:r>
      <w:r w:rsidR="00A929DC">
        <w:rPr>
          <w:rFonts w:eastAsia="Calibri" w:cs="Times New Roman"/>
          <w:szCs w:val="26"/>
        </w:rPr>
        <w:t>Rule</w:t>
      </w:r>
      <w:r w:rsidR="0051059D">
        <w:rPr>
          <w:rFonts w:eastAsia="Calibri" w:cs="Times New Roman"/>
          <w:szCs w:val="26"/>
        </w:rPr>
        <w:t> </w:t>
      </w:r>
      <w:r w:rsidRPr="00DD3762">
        <w:rPr>
          <w:rFonts w:eastAsia="Calibri" w:cs="Times New Roman"/>
          <w:szCs w:val="26"/>
        </w:rPr>
        <w:t xml:space="preserve">18 deadlines or when no compliance issue exists. </w:t>
      </w:r>
      <w:r w:rsidR="00735ED0">
        <w:rPr>
          <w:rFonts w:eastAsia="Calibri" w:cs="Times New Roman"/>
          <w:szCs w:val="26"/>
        </w:rPr>
        <w:t>It a</w:t>
      </w:r>
      <w:r w:rsidRPr="00DD3762">
        <w:rPr>
          <w:rFonts w:eastAsia="Calibri" w:cs="Times New Roman"/>
          <w:szCs w:val="26"/>
        </w:rPr>
        <w:t xml:space="preserve">rgues that pole owners should only pay to correct existing compliance issues, while attachers </w:t>
      </w:r>
      <w:r w:rsidR="00735ED0">
        <w:rPr>
          <w:rFonts w:eastAsia="Calibri" w:cs="Times New Roman"/>
          <w:szCs w:val="26"/>
        </w:rPr>
        <w:t xml:space="preserve">should </w:t>
      </w:r>
      <w:r w:rsidRPr="00DD3762">
        <w:rPr>
          <w:rFonts w:eastAsia="Calibri" w:cs="Times New Roman"/>
          <w:szCs w:val="26"/>
        </w:rPr>
        <w:t>cover added cost for expedited work, inaccurate notifications, or enhanced mitigations.</w:t>
      </w:r>
      <w:r w:rsidRPr="00DD3762">
        <w:rPr>
          <w:rFonts w:eastAsia="Calibri" w:cs="Times New Roman"/>
          <w:szCs w:val="26"/>
          <w:vertAlign w:val="superscript"/>
        </w:rPr>
        <w:footnoteReference w:id="132"/>
      </w:r>
    </w:p>
    <w:p w:rsidRPr="00DD3762" w:rsidR="000E19B4" w:rsidP="00ED36CC" w:rsidRDefault="000E19B4" w14:paraId="73F1986A" w14:textId="78C42D11">
      <w:pPr>
        <w:pStyle w:val="Standard"/>
      </w:pPr>
      <w:r w:rsidRPr="0094616B">
        <w:rPr>
          <w:rFonts w:eastAsia="Calibri" w:cs="Times New Roman"/>
          <w:szCs w:val="26"/>
        </w:rPr>
        <w:t>Race</w:t>
      </w:r>
      <w:r w:rsidR="0094616B">
        <w:rPr>
          <w:rFonts w:eastAsia="Calibri" w:cs="Times New Roman"/>
          <w:szCs w:val="26"/>
        </w:rPr>
        <w:t xml:space="preserve"> s</w:t>
      </w:r>
      <w:r w:rsidRPr="00DD3762">
        <w:rPr>
          <w:rFonts w:eastAsia="Calibri" w:cs="Times New Roman"/>
          <w:szCs w:val="26"/>
        </w:rPr>
        <w:t xml:space="preserve">upports attachers paying the cost for a pole replacement/reinforcement to accommodate new pole attachments, so long as the costs are shared on a </w:t>
      </w:r>
      <w:r w:rsidRPr="0094616B">
        <w:rPr>
          <w:rFonts w:eastAsia="Calibri" w:cs="Times New Roman"/>
          <w:i/>
          <w:iCs/>
          <w:szCs w:val="26"/>
        </w:rPr>
        <w:t>pro rata</w:t>
      </w:r>
      <w:r w:rsidRPr="00DD3762">
        <w:rPr>
          <w:rFonts w:eastAsia="Calibri" w:cs="Times New Roman"/>
          <w:szCs w:val="26"/>
        </w:rPr>
        <w:t xml:space="preserve"> basis by all attachers on the pole. </w:t>
      </w:r>
      <w:r w:rsidR="006D2E07">
        <w:rPr>
          <w:rFonts w:eastAsia="Calibri" w:cs="Times New Roman"/>
          <w:szCs w:val="26"/>
        </w:rPr>
        <w:t>It s</w:t>
      </w:r>
      <w:r w:rsidRPr="00DD3762">
        <w:rPr>
          <w:rFonts w:eastAsia="Calibri" w:cs="Times New Roman"/>
          <w:szCs w:val="26"/>
        </w:rPr>
        <w:t xml:space="preserve">upports the cost </w:t>
      </w:r>
      <w:r w:rsidR="006D2E07">
        <w:rPr>
          <w:rFonts w:eastAsia="Calibri" w:cs="Times New Roman"/>
          <w:szCs w:val="26"/>
        </w:rPr>
        <w:t>allocation for</w:t>
      </w:r>
      <w:r w:rsidRPr="00DD3762">
        <w:rPr>
          <w:rFonts w:eastAsia="Calibri" w:cs="Times New Roman"/>
          <w:szCs w:val="26"/>
        </w:rPr>
        <w:t xml:space="preserve"> documented administrative, material, and labor costs of the pole owner.</w:t>
      </w:r>
      <w:r w:rsidRPr="00DD3762">
        <w:rPr>
          <w:rFonts w:eastAsia="Calibri" w:cs="Times New Roman"/>
          <w:szCs w:val="26"/>
          <w:vertAlign w:val="superscript"/>
        </w:rPr>
        <w:footnoteReference w:id="133"/>
      </w:r>
    </w:p>
    <w:p w:rsidRPr="00DD3762" w:rsidR="000E19B4" w:rsidP="00ED36CC" w:rsidRDefault="000E19B4" w14:paraId="16710535" w14:textId="7700F951">
      <w:pPr>
        <w:pStyle w:val="Standard"/>
      </w:pPr>
      <w:r w:rsidRPr="00412648">
        <w:rPr>
          <w:rFonts w:eastAsia="Calibri" w:cs="Times New Roman"/>
          <w:szCs w:val="26"/>
        </w:rPr>
        <w:lastRenderedPageBreak/>
        <w:t>SCE</w:t>
      </w:r>
      <w:r w:rsidRPr="00DD3762">
        <w:rPr>
          <w:rFonts w:eastAsia="Calibri" w:cs="Times New Roman"/>
          <w:color w:val="2F5496"/>
          <w:szCs w:val="26"/>
        </w:rPr>
        <w:t xml:space="preserve"> </w:t>
      </w:r>
      <w:r w:rsidR="00412648">
        <w:rPr>
          <w:rFonts w:eastAsia="Calibri" w:cs="Times New Roman"/>
          <w:color w:val="2F5496"/>
          <w:szCs w:val="26"/>
        </w:rPr>
        <w:t>s</w:t>
      </w:r>
      <w:r w:rsidRPr="00DD3762">
        <w:rPr>
          <w:rFonts w:eastAsia="Calibri" w:cs="Times New Roman"/>
          <w:szCs w:val="26"/>
        </w:rPr>
        <w:t xml:space="preserve">uggests that if a pole must be replaced to accommodate a new or modified attachment, the attacher must pay the full replacement cost as required by </w:t>
      </w:r>
      <w:r w:rsidR="00811A38">
        <w:rPr>
          <w:rFonts w:eastAsia="Calibri" w:cs="Times New Roman"/>
          <w:szCs w:val="26"/>
        </w:rPr>
        <w:t xml:space="preserve">its </w:t>
      </w:r>
      <w:r w:rsidRPr="00DD3762">
        <w:rPr>
          <w:rFonts w:eastAsia="Calibri" w:cs="Times New Roman"/>
          <w:szCs w:val="26"/>
        </w:rPr>
        <w:t xml:space="preserve">Pole License Agreements, with no cost sharing by electric ratepayers. </w:t>
      </w:r>
      <w:r w:rsidR="00C81442">
        <w:rPr>
          <w:rFonts w:eastAsia="Calibri" w:cs="Times New Roman"/>
          <w:szCs w:val="26"/>
        </w:rPr>
        <w:t>SCE a</w:t>
      </w:r>
      <w:r w:rsidRPr="00DD3762">
        <w:rPr>
          <w:rFonts w:eastAsia="Calibri" w:cs="Times New Roman"/>
          <w:szCs w:val="26"/>
        </w:rPr>
        <w:t>lso notes that attachers have alternatives to pole replacements, including buddy poles, undergrounding, or removing unused equipment.</w:t>
      </w:r>
      <w:r w:rsidRPr="00DD3762">
        <w:rPr>
          <w:rFonts w:eastAsia="Calibri" w:cs="Times New Roman"/>
          <w:szCs w:val="26"/>
          <w:vertAlign w:val="superscript"/>
        </w:rPr>
        <w:footnoteReference w:id="134"/>
      </w:r>
    </w:p>
    <w:p w:rsidRPr="00DD3762" w:rsidR="000E19B4" w:rsidP="00ED36CC" w:rsidRDefault="000E19B4" w14:paraId="08E18EE9" w14:textId="0F319D37">
      <w:pPr>
        <w:pStyle w:val="Standard"/>
      </w:pPr>
      <w:r w:rsidRPr="002940EE">
        <w:rPr>
          <w:rFonts w:eastAsia="Calibri" w:cs="Times New Roman"/>
          <w:szCs w:val="26"/>
        </w:rPr>
        <w:t>SDG&amp;E</w:t>
      </w:r>
      <w:r w:rsidRPr="00DD3762">
        <w:rPr>
          <w:rFonts w:eastAsia="Calibri" w:cs="Times New Roman"/>
          <w:szCs w:val="26"/>
        </w:rPr>
        <w:t xml:space="preserve"> </w:t>
      </w:r>
      <w:r w:rsidR="002940EE">
        <w:rPr>
          <w:rFonts w:eastAsia="Calibri" w:cs="Times New Roman"/>
          <w:szCs w:val="26"/>
        </w:rPr>
        <w:t>r</w:t>
      </w:r>
      <w:r w:rsidRPr="00DD3762">
        <w:rPr>
          <w:rFonts w:eastAsia="Calibri" w:cs="Times New Roman"/>
          <w:szCs w:val="26"/>
        </w:rPr>
        <w:t>ecommends</w:t>
      </w:r>
      <w:r w:rsidR="00391D2E">
        <w:rPr>
          <w:rFonts w:eastAsia="Calibri" w:cs="Times New Roman"/>
          <w:szCs w:val="26"/>
        </w:rPr>
        <w:t xml:space="preserve"> </w:t>
      </w:r>
      <w:r w:rsidRPr="00DD3762">
        <w:rPr>
          <w:rFonts w:eastAsia="Calibri" w:cs="Times New Roman"/>
          <w:szCs w:val="26"/>
        </w:rPr>
        <w:t xml:space="preserve">attachers bear all costs for pole replacement or reinforcement when done solely to accommodate a new or modified attachment on a pole that is otherwise compliant. </w:t>
      </w:r>
      <w:r w:rsidR="00391D2E">
        <w:rPr>
          <w:rFonts w:eastAsia="Calibri" w:cs="Times New Roman"/>
          <w:szCs w:val="26"/>
        </w:rPr>
        <w:t xml:space="preserve">SDG&amp;E believes </w:t>
      </w:r>
      <w:r w:rsidRPr="00DD3762">
        <w:rPr>
          <w:rFonts w:eastAsia="Calibri" w:cs="Times New Roman"/>
          <w:szCs w:val="26"/>
        </w:rPr>
        <w:t>it is unfair for electric customers to bear these costs</w:t>
      </w:r>
      <w:r w:rsidR="004F05D7">
        <w:rPr>
          <w:rFonts w:eastAsia="Calibri" w:cs="Times New Roman"/>
          <w:szCs w:val="26"/>
        </w:rPr>
        <w:t>,</w:t>
      </w:r>
      <w:r w:rsidRPr="00DD3762">
        <w:rPr>
          <w:rFonts w:eastAsia="Calibri" w:cs="Times New Roman"/>
          <w:szCs w:val="26"/>
        </w:rPr>
        <w:t xml:space="preserve"> and doing so would conflict with affordability objectives and could delay higher</w:t>
      </w:r>
      <w:r w:rsidR="00E4753D">
        <w:rPr>
          <w:rFonts w:eastAsia="Calibri" w:cs="Times New Roman"/>
          <w:szCs w:val="26"/>
        </w:rPr>
        <w:noBreakHyphen/>
      </w:r>
      <w:r w:rsidRPr="00DD3762">
        <w:rPr>
          <w:rFonts w:eastAsia="Calibri" w:cs="Times New Roman"/>
          <w:szCs w:val="26"/>
        </w:rPr>
        <w:t>risk work.</w:t>
      </w:r>
      <w:r w:rsidRPr="00DD3762">
        <w:rPr>
          <w:rFonts w:eastAsia="Calibri" w:cs="Times New Roman"/>
          <w:szCs w:val="26"/>
          <w:vertAlign w:val="superscript"/>
        </w:rPr>
        <w:footnoteReference w:id="135"/>
      </w:r>
    </w:p>
    <w:p w:rsidRPr="00DD3762" w:rsidR="000E19B4" w:rsidP="00ED36CC" w:rsidRDefault="000E19B4" w14:paraId="50342D27" w14:textId="740E5AB4">
      <w:pPr>
        <w:pStyle w:val="Standard"/>
      </w:pPr>
      <w:r w:rsidRPr="004F05D7">
        <w:rPr>
          <w:rFonts w:eastAsia="Calibri" w:cs="Times New Roman"/>
          <w:szCs w:val="26"/>
        </w:rPr>
        <w:t>Sonic</w:t>
      </w:r>
      <w:r w:rsidRPr="00DD3762">
        <w:rPr>
          <w:rFonts w:eastAsia="Calibri" w:cs="Times New Roman"/>
          <w:szCs w:val="26"/>
        </w:rPr>
        <w:t xml:space="preserve"> </w:t>
      </w:r>
      <w:r w:rsidR="004F05D7">
        <w:rPr>
          <w:rFonts w:eastAsia="Calibri" w:cs="Times New Roman"/>
          <w:szCs w:val="26"/>
        </w:rPr>
        <w:t>o</w:t>
      </w:r>
      <w:r w:rsidRPr="00DD3762">
        <w:rPr>
          <w:rFonts w:eastAsia="Calibri" w:cs="Times New Roman"/>
          <w:szCs w:val="26"/>
        </w:rPr>
        <w:t xml:space="preserve">pposes </w:t>
      </w:r>
      <w:r w:rsidR="0058427A">
        <w:rPr>
          <w:rFonts w:eastAsia="Calibri" w:cs="Times New Roman"/>
          <w:szCs w:val="26"/>
        </w:rPr>
        <w:t>the Staff P</w:t>
      </w:r>
      <w:r w:rsidRPr="00DD3762">
        <w:rPr>
          <w:rFonts w:eastAsia="Calibri" w:cs="Times New Roman"/>
          <w:szCs w:val="26"/>
        </w:rPr>
        <w:t>roposal to have attachers bear additional costs</w:t>
      </w:r>
      <w:r w:rsidR="0058427A">
        <w:rPr>
          <w:rFonts w:eastAsia="Calibri" w:cs="Times New Roman"/>
          <w:szCs w:val="26"/>
        </w:rPr>
        <w:t>, claiming that</w:t>
      </w:r>
      <w:r w:rsidRPr="00DD3762">
        <w:rPr>
          <w:rFonts w:eastAsia="Calibri" w:cs="Times New Roman"/>
          <w:szCs w:val="26"/>
        </w:rPr>
        <w:t xml:space="preserve"> the responsibility, including costs, rests with the pole owner. </w:t>
      </w:r>
      <w:r w:rsidR="004C376F">
        <w:rPr>
          <w:rFonts w:eastAsia="Calibri" w:cs="Times New Roman"/>
          <w:szCs w:val="26"/>
        </w:rPr>
        <w:t>It r</w:t>
      </w:r>
      <w:r w:rsidRPr="00DD3762">
        <w:rPr>
          <w:rFonts w:eastAsia="Calibri" w:cs="Times New Roman"/>
          <w:szCs w:val="26"/>
        </w:rPr>
        <w:t xml:space="preserve">ecommends pole owners reimburse attachers that pay for a replacement, if the replacement was necessary due to the pole owners failure to comply with </w:t>
      </w:r>
      <w:r w:rsidR="005B40C8">
        <w:rPr>
          <w:rFonts w:eastAsia="Calibri" w:cs="Times New Roman"/>
          <w:szCs w:val="26"/>
        </w:rPr>
        <w:t>GO</w:t>
      </w:r>
      <w:r w:rsidR="0051059D">
        <w:rPr>
          <w:rFonts w:eastAsia="Calibri" w:cs="Times New Roman"/>
          <w:szCs w:val="26"/>
        </w:rPr>
        <w:t> </w:t>
      </w:r>
      <w:r w:rsidRPr="00DD3762">
        <w:rPr>
          <w:rFonts w:eastAsia="Calibri" w:cs="Times New Roman"/>
          <w:szCs w:val="26"/>
        </w:rPr>
        <w:t>95.</w:t>
      </w:r>
      <w:r w:rsidRPr="00DD3762">
        <w:rPr>
          <w:rFonts w:eastAsia="Calibri" w:cs="Times New Roman"/>
          <w:szCs w:val="26"/>
          <w:vertAlign w:val="superscript"/>
        </w:rPr>
        <w:footnoteReference w:id="136"/>
      </w:r>
    </w:p>
    <w:p w:rsidRPr="00DD3762" w:rsidR="000E19B4" w:rsidP="00ED36CC" w:rsidRDefault="000E19B4" w14:paraId="7CB506F5" w14:textId="25575C35">
      <w:pPr>
        <w:pStyle w:val="Standard"/>
      </w:pPr>
      <w:proofErr w:type="spellStart"/>
      <w:r w:rsidRPr="004C376F">
        <w:rPr>
          <w:rFonts w:eastAsia="Calibri" w:cs="Times New Roman"/>
          <w:szCs w:val="26"/>
        </w:rPr>
        <w:t>Surfnet</w:t>
      </w:r>
      <w:proofErr w:type="spellEnd"/>
      <w:r w:rsidRPr="00DD3762">
        <w:rPr>
          <w:rFonts w:eastAsia="Calibri" w:cs="Times New Roman"/>
          <w:szCs w:val="26"/>
        </w:rPr>
        <w:t xml:space="preserve"> </w:t>
      </w:r>
      <w:r w:rsidR="004C376F">
        <w:rPr>
          <w:rFonts w:eastAsia="Calibri" w:cs="Times New Roman"/>
          <w:szCs w:val="26"/>
        </w:rPr>
        <w:t>r</w:t>
      </w:r>
      <w:r w:rsidRPr="00DD3762">
        <w:rPr>
          <w:rFonts w:eastAsia="Calibri" w:cs="Times New Roman"/>
          <w:szCs w:val="26"/>
        </w:rPr>
        <w:t xml:space="preserve">ecommends </w:t>
      </w:r>
      <w:proofErr w:type="spellStart"/>
      <w:r w:rsidRPr="00DD3762">
        <w:rPr>
          <w:rFonts w:eastAsia="Calibri" w:cs="Times New Roman"/>
          <w:szCs w:val="26"/>
        </w:rPr>
        <w:t>attachers</w:t>
      </w:r>
      <w:proofErr w:type="spellEnd"/>
      <w:r w:rsidRPr="00DD3762">
        <w:rPr>
          <w:rFonts w:eastAsia="Calibri" w:cs="Times New Roman"/>
          <w:szCs w:val="26"/>
        </w:rPr>
        <w:t xml:space="preserve"> pay for reinforcements when directly related to their attachment</w:t>
      </w:r>
      <w:r w:rsidR="00A47B51">
        <w:rPr>
          <w:rFonts w:eastAsia="Calibri" w:cs="Times New Roman"/>
          <w:szCs w:val="26"/>
        </w:rPr>
        <w:t>,</w:t>
      </w:r>
      <w:r w:rsidRPr="00DD3762">
        <w:rPr>
          <w:rFonts w:eastAsia="Calibri" w:cs="Times New Roman"/>
          <w:szCs w:val="26"/>
        </w:rPr>
        <w:t xml:space="preserve"> and that pole owners pay for pole replacements. </w:t>
      </w:r>
      <w:r w:rsidR="009158AB">
        <w:rPr>
          <w:rFonts w:eastAsia="Calibri" w:cs="Times New Roman"/>
          <w:szCs w:val="26"/>
        </w:rPr>
        <w:t>It c</w:t>
      </w:r>
      <w:r w:rsidRPr="00DD3762">
        <w:rPr>
          <w:rFonts w:eastAsia="Calibri" w:cs="Times New Roman"/>
          <w:szCs w:val="26"/>
        </w:rPr>
        <w:t>laims that pole age and condition, not attachments, usually necessitate a replacement.</w:t>
      </w:r>
      <w:r w:rsidRPr="00DD3762">
        <w:rPr>
          <w:rFonts w:eastAsia="Calibri" w:cs="Times New Roman"/>
          <w:szCs w:val="26"/>
          <w:vertAlign w:val="superscript"/>
        </w:rPr>
        <w:footnoteReference w:id="137"/>
      </w:r>
    </w:p>
    <w:p w:rsidR="0016455A" w:rsidP="006B65B5" w:rsidRDefault="00273F08" w14:paraId="5151079B" w14:textId="00B56730">
      <w:pPr>
        <w:pStyle w:val="Heading4"/>
      </w:pPr>
      <w:r>
        <w:lastRenderedPageBreak/>
        <w:t>For electric utilities, where does the revenue from renting space on utility pole</w:t>
      </w:r>
      <w:r w:rsidR="007244D8">
        <w:t>s to attachers go? How are these costs divided between ratepayers and shareholder division</w:t>
      </w:r>
      <w:r w:rsidR="00377248">
        <w:t>?</w:t>
      </w:r>
    </w:p>
    <w:p w:rsidRPr="00DD3762" w:rsidR="005F56E2" w:rsidP="00ED36CC" w:rsidRDefault="005F56E2" w14:paraId="106DCF4A" w14:textId="7F24A7E2">
      <w:pPr>
        <w:pStyle w:val="Standard"/>
      </w:pPr>
      <w:proofErr w:type="spellStart"/>
      <w:r w:rsidRPr="009158AB">
        <w:rPr>
          <w:rFonts w:eastAsia="Calibri" w:cs="Times New Roman"/>
          <w:szCs w:val="26"/>
        </w:rPr>
        <w:t>Extenet</w:t>
      </w:r>
      <w:proofErr w:type="spellEnd"/>
      <w:r w:rsidRPr="009158AB">
        <w:rPr>
          <w:rFonts w:eastAsia="Calibri" w:cs="Times New Roman"/>
          <w:szCs w:val="26"/>
        </w:rPr>
        <w:t xml:space="preserve"> Systems</w:t>
      </w:r>
      <w:r w:rsidRPr="00DD3762">
        <w:rPr>
          <w:rFonts w:eastAsia="Calibri" w:cs="Times New Roman"/>
          <w:szCs w:val="26"/>
        </w:rPr>
        <w:t xml:space="preserve"> </w:t>
      </w:r>
      <w:r w:rsidR="009158AB">
        <w:rPr>
          <w:rFonts w:eastAsia="Calibri" w:cs="Times New Roman"/>
          <w:szCs w:val="26"/>
        </w:rPr>
        <w:t>r</w:t>
      </w:r>
      <w:r w:rsidRPr="00DD3762">
        <w:rPr>
          <w:rFonts w:eastAsia="Calibri" w:cs="Times New Roman"/>
          <w:szCs w:val="26"/>
        </w:rPr>
        <w:t xml:space="preserve">ecommends the funds be kept in a specific account earmarked for pole maintenance. </w:t>
      </w:r>
      <w:r w:rsidR="008C2387">
        <w:rPr>
          <w:rFonts w:eastAsia="Calibri" w:cs="Times New Roman"/>
          <w:szCs w:val="26"/>
        </w:rPr>
        <w:t>It asserts that p</w:t>
      </w:r>
      <w:r w:rsidRPr="00DD3762">
        <w:rPr>
          <w:rFonts w:eastAsia="Calibri" w:cs="Times New Roman"/>
          <w:szCs w:val="26"/>
        </w:rPr>
        <w:t>enalties are not revenue and should not go to shareholders.</w:t>
      </w:r>
      <w:r w:rsidRPr="00DD3762">
        <w:rPr>
          <w:rFonts w:eastAsia="Calibri" w:cs="Times New Roman"/>
          <w:szCs w:val="26"/>
          <w:vertAlign w:val="superscript"/>
        </w:rPr>
        <w:footnoteReference w:id="138"/>
      </w:r>
    </w:p>
    <w:p w:rsidRPr="00DD3762" w:rsidR="005F56E2" w:rsidP="00ED36CC" w:rsidRDefault="005F56E2" w14:paraId="5FB5F6C3" w14:textId="123B7266">
      <w:pPr>
        <w:pStyle w:val="Standard"/>
      </w:pPr>
      <w:r w:rsidRPr="008C2387">
        <w:rPr>
          <w:rFonts w:eastAsia="Calibri" w:cs="Times New Roman"/>
          <w:szCs w:val="26"/>
        </w:rPr>
        <w:t>PG&amp;E</w:t>
      </w:r>
      <w:r w:rsidRPr="00DD3762">
        <w:rPr>
          <w:rFonts w:eastAsia="Calibri" w:cs="Times New Roman"/>
          <w:szCs w:val="26"/>
        </w:rPr>
        <w:t xml:space="preserve"> </w:t>
      </w:r>
      <w:r w:rsidR="008C2387">
        <w:rPr>
          <w:rFonts w:eastAsia="Calibri" w:cs="Times New Roman"/>
          <w:szCs w:val="26"/>
        </w:rPr>
        <w:t>e</w:t>
      </w:r>
      <w:r w:rsidRPr="00DD3762">
        <w:rPr>
          <w:rFonts w:eastAsia="Calibri" w:cs="Times New Roman"/>
          <w:szCs w:val="26"/>
        </w:rPr>
        <w:t>xplains that the revenue is included within Other Operating Revenues area for PG&amp;E</w:t>
      </w:r>
      <w:r w:rsidR="00410529">
        <w:rPr>
          <w:rFonts w:eastAsia="Calibri" w:cs="Times New Roman"/>
          <w:szCs w:val="26"/>
        </w:rPr>
        <w:t>’</w:t>
      </w:r>
      <w:r w:rsidRPr="00DD3762">
        <w:rPr>
          <w:rFonts w:eastAsia="Calibri" w:cs="Times New Roman"/>
          <w:szCs w:val="26"/>
        </w:rPr>
        <w:t xml:space="preserve">s </w:t>
      </w:r>
      <w:r w:rsidR="003F77D0">
        <w:t xml:space="preserve">General Rate Case (GRC) </w:t>
      </w:r>
      <w:r w:rsidRPr="00DD3762">
        <w:rPr>
          <w:rFonts w:eastAsia="Calibri" w:cs="Times New Roman"/>
          <w:szCs w:val="26"/>
        </w:rPr>
        <w:t>and reduces the rates charged to customers.</w:t>
      </w:r>
      <w:r w:rsidRPr="00DD3762">
        <w:rPr>
          <w:rFonts w:eastAsia="Calibri" w:cs="Times New Roman"/>
          <w:szCs w:val="26"/>
          <w:vertAlign w:val="superscript"/>
        </w:rPr>
        <w:footnoteReference w:id="139"/>
      </w:r>
    </w:p>
    <w:p w:rsidRPr="00DD3762" w:rsidR="005F56E2" w:rsidP="00ED36CC" w:rsidRDefault="005F56E2" w14:paraId="62C88F79" w14:textId="4397AADE">
      <w:pPr>
        <w:pStyle w:val="Standard"/>
      </w:pPr>
      <w:r w:rsidRPr="0076439F">
        <w:rPr>
          <w:rFonts w:eastAsia="Calibri" w:cs="Times New Roman"/>
          <w:szCs w:val="26"/>
        </w:rPr>
        <w:t>SCE</w:t>
      </w:r>
      <w:r w:rsidRPr="00DD3762">
        <w:rPr>
          <w:rFonts w:eastAsia="Calibri" w:cs="Times New Roman"/>
          <w:szCs w:val="26"/>
        </w:rPr>
        <w:t xml:space="preserve"> </w:t>
      </w:r>
      <w:r w:rsidR="0076439F">
        <w:rPr>
          <w:rFonts w:eastAsia="Calibri" w:cs="Times New Roman"/>
          <w:szCs w:val="26"/>
        </w:rPr>
        <w:t>e</w:t>
      </w:r>
      <w:r w:rsidRPr="00DD3762">
        <w:rPr>
          <w:rFonts w:eastAsia="Calibri" w:cs="Times New Roman"/>
          <w:szCs w:val="26"/>
        </w:rPr>
        <w:t>xplains that the fees are forecasted in a GRC and classified as Other Operating Revenue, which flow to rate payers.</w:t>
      </w:r>
      <w:r w:rsidRPr="00DD3762">
        <w:rPr>
          <w:rFonts w:eastAsia="Calibri" w:cs="Times New Roman"/>
          <w:szCs w:val="26"/>
          <w:vertAlign w:val="superscript"/>
        </w:rPr>
        <w:footnoteReference w:id="140"/>
      </w:r>
    </w:p>
    <w:p w:rsidRPr="00DD3762" w:rsidR="005F56E2" w:rsidP="00ED36CC" w:rsidRDefault="005F56E2" w14:paraId="4334FFBB" w14:textId="22616D0A">
      <w:pPr>
        <w:pStyle w:val="Standard"/>
      </w:pPr>
      <w:r w:rsidRPr="00773E3F">
        <w:rPr>
          <w:rFonts w:eastAsia="Calibri" w:cs="Times New Roman"/>
          <w:szCs w:val="26"/>
        </w:rPr>
        <w:t>SDG&amp;E</w:t>
      </w:r>
      <w:r w:rsidR="00773E3F">
        <w:rPr>
          <w:rFonts w:eastAsia="Calibri" w:cs="Times New Roman"/>
          <w:szCs w:val="26"/>
        </w:rPr>
        <w:t xml:space="preserve"> e</w:t>
      </w:r>
      <w:r w:rsidRPr="00DD3762">
        <w:rPr>
          <w:rFonts w:eastAsia="Calibri" w:cs="Times New Roman"/>
          <w:szCs w:val="26"/>
        </w:rPr>
        <w:t xml:space="preserve">xplains that the revenues are recorded in </w:t>
      </w:r>
      <w:r w:rsidR="00410529">
        <w:rPr>
          <w:rFonts w:eastAsia="Calibri" w:cs="Times New Roman"/>
          <w:szCs w:val="26"/>
        </w:rPr>
        <w:t>“</w:t>
      </w:r>
      <w:r w:rsidRPr="00DD3762">
        <w:rPr>
          <w:rFonts w:eastAsia="Calibri" w:cs="Times New Roman"/>
          <w:szCs w:val="26"/>
        </w:rPr>
        <w:t>Miscellaneous Revenues</w:t>
      </w:r>
      <w:r w:rsidR="00410529">
        <w:rPr>
          <w:rFonts w:eastAsia="Calibri" w:cs="Times New Roman"/>
          <w:szCs w:val="26"/>
        </w:rPr>
        <w:t>”</w:t>
      </w:r>
      <w:r w:rsidRPr="00DD3762">
        <w:rPr>
          <w:rFonts w:eastAsia="Calibri" w:cs="Times New Roman"/>
          <w:szCs w:val="26"/>
        </w:rPr>
        <w:t xml:space="preserve"> which are forecasted in a GRC and reduces the revenue requirement needed from ratepayers.</w:t>
      </w:r>
      <w:r w:rsidRPr="00DD3762">
        <w:rPr>
          <w:rFonts w:eastAsia="Calibri" w:cs="Times New Roman"/>
          <w:szCs w:val="26"/>
          <w:vertAlign w:val="superscript"/>
        </w:rPr>
        <w:footnoteReference w:id="141"/>
      </w:r>
    </w:p>
    <w:p w:rsidR="00377248" w:rsidP="006B65B5" w:rsidRDefault="00604AB9" w14:paraId="3B5E42CD" w14:textId="77D0DA3D">
      <w:pPr>
        <w:pStyle w:val="Heading4"/>
      </w:pPr>
      <w:r>
        <w:t>How should plans for pole replacements</w:t>
      </w:r>
      <w:r w:rsidR="0002670E">
        <w:t xml:space="preserve"> be communicated to potentially affected customers? Is there an existing standard for communication</w:t>
      </w:r>
      <w:r w:rsidR="00741424">
        <w:t xml:space="preserve"> of this work to affected customers and do those standards need to be updated to include this use case? Should this be required even if there is no disruption to telecommunications or electric service?</w:t>
      </w:r>
    </w:p>
    <w:p w:rsidRPr="00DD3762" w:rsidR="006D3EB3" w:rsidP="00ED36CC" w:rsidRDefault="006D3EB3" w14:paraId="26A91CF5" w14:textId="5AA72F26">
      <w:pPr>
        <w:pStyle w:val="Standard"/>
      </w:pPr>
      <w:r w:rsidRPr="00773E3F">
        <w:rPr>
          <w:rFonts w:eastAsia="Calibri" w:cs="Times New Roman"/>
          <w:szCs w:val="26"/>
        </w:rPr>
        <w:t>AT&amp;T</w:t>
      </w:r>
      <w:r w:rsidRPr="00DD3762">
        <w:rPr>
          <w:rFonts w:eastAsia="Calibri" w:cs="Times New Roman"/>
          <w:szCs w:val="26"/>
        </w:rPr>
        <w:t xml:space="preserve"> </w:t>
      </w:r>
      <w:r w:rsidR="00773E3F">
        <w:rPr>
          <w:rFonts w:eastAsia="Calibri" w:cs="Times New Roman"/>
          <w:szCs w:val="26"/>
        </w:rPr>
        <w:t>e</w:t>
      </w:r>
      <w:r w:rsidRPr="00DD3762">
        <w:rPr>
          <w:rFonts w:eastAsia="Calibri" w:cs="Times New Roman"/>
          <w:szCs w:val="26"/>
        </w:rPr>
        <w:t xml:space="preserve">xplains that companies have existing processes to notify customers of planned outages, even </w:t>
      </w:r>
      <w:r w:rsidR="00D037A7">
        <w:rPr>
          <w:rFonts w:eastAsia="Calibri" w:cs="Times New Roman"/>
          <w:szCs w:val="26"/>
        </w:rPr>
        <w:t xml:space="preserve">when the outages are for issues </w:t>
      </w:r>
      <w:r w:rsidRPr="00DD3762">
        <w:rPr>
          <w:rFonts w:eastAsia="Calibri" w:cs="Times New Roman"/>
          <w:szCs w:val="26"/>
        </w:rPr>
        <w:t xml:space="preserve">beyond the scope of </w:t>
      </w:r>
      <w:r w:rsidR="004D1442">
        <w:rPr>
          <w:rFonts w:eastAsia="Calibri" w:cs="Times New Roman"/>
          <w:szCs w:val="26"/>
        </w:rPr>
        <w:t xml:space="preserve">the </w:t>
      </w:r>
      <w:r w:rsidR="00835EAD">
        <w:rPr>
          <w:rFonts w:eastAsia="Calibri" w:cs="Times New Roman"/>
          <w:szCs w:val="26"/>
        </w:rPr>
        <w:lastRenderedPageBreak/>
        <w:t>ROW Rules</w:t>
      </w:r>
      <w:r w:rsidRPr="00DD3762">
        <w:rPr>
          <w:rFonts w:eastAsia="Calibri" w:cs="Times New Roman"/>
          <w:szCs w:val="26"/>
        </w:rPr>
        <w:t xml:space="preserve">. </w:t>
      </w:r>
      <w:r w:rsidR="00990FF9">
        <w:rPr>
          <w:rFonts w:eastAsia="Calibri" w:cs="Times New Roman"/>
          <w:szCs w:val="26"/>
        </w:rPr>
        <w:t>AT&amp;T is c</w:t>
      </w:r>
      <w:r w:rsidRPr="00DD3762">
        <w:rPr>
          <w:rFonts w:eastAsia="Calibri" w:cs="Times New Roman"/>
          <w:szCs w:val="26"/>
        </w:rPr>
        <w:t>oncerned that new rules may conflict with existing tariff provisions or CPUC Decisions.</w:t>
      </w:r>
      <w:r w:rsidRPr="00DD3762">
        <w:rPr>
          <w:rFonts w:eastAsia="Calibri" w:cs="Times New Roman"/>
          <w:szCs w:val="26"/>
          <w:vertAlign w:val="superscript"/>
        </w:rPr>
        <w:footnoteReference w:id="142"/>
      </w:r>
    </w:p>
    <w:p w:rsidRPr="00DD3762" w:rsidR="006D3EB3" w:rsidP="00ED36CC" w:rsidRDefault="006D3EB3" w14:paraId="40C8B1D4" w14:textId="4C8F3ABF">
      <w:pPr>
        <w:pStyle w:val="Standard"/>
      </w:pPr>
      <w:r w:rsidRPr="00A13871">
        <w:rPr>
          <w:rFonts w:eastAsia="Calibri" w:cs="Times New Roman"/>
          <w:szCs w:val="26"/>
        </w:rPr>
        <w:t>California Broadband and Video Association</w:t>
      </w:r>
      <w:r w:rsidRPr="00DD3762">
        <w:rPr>
          <w:rFonts w:eastAsia="Calibri" w:cs="Times New Roman"/>
          <w:szCs w:val="26"/>
        </w:rPr>
        <w:t xml:space="preserve"> </w:t>
      </w:r>
      <w:r w:rsidR="003234AA">
        <w:rPr>
          <w:rFonts w:eastAsia="Calibri" w:cs="Times New Roman"/>
          <w:szCs w:val="26"/>
        </w:rPr>
        <w:t>c</w:t>
      </w:r>
      <w:r w:rsidRPr="00DD3762">
        <w:rPr>
          <w:rFonts w:eastAsia="Calibri" w:cs="Times New Roman"/>
          <w:szCs w:val="26"/>
        </w:rPr>
        <w:t>laims that this rule should apply only to electric customers because communications providers typically do not have a service disruption. For complex pole replacement, utilities already have a process to notify customers.</w:t>
      </w:r>
      <w:r w:rsidRPr="00DD3762">
        <w:rPr>
          <w:rFonts w:eastAsia="Calibri" w:cs="Times New Roman"/>
          <w:szCs w:val="26"/>
          <w:vertAlign w:val="superscript"/>
        </w:rPr>
        <w:footnoteReference w:id="143"/>
      </w:r>
    </w:p>
    <w:p w:rsidRPr="00DD3762" w:rsidR="006D3EB3" w:rsidP="00ED36CC" w:rsidRDefault="006D3EB3" w14:paraId="6E5AFAA7" w14:textId="4F16F2B2">
      <w:pPr>
        <w:pStyle w:val="Standard"/>
      </w:pPr>
      <w:proofErr w:type="spellStart"/>
      <w:r w:rsidRPr="003234AA">
        <w:rPr>
          <w:rFonts w:eastAsia="Calibri" w:cs="Times New Roman"/>
          <w:szCs w:val="26"/>
        </w:rPr>
        <w:t>Extenet</w:t>
      </w:r>
      <w:proofErr w:type="spellEnd"/>
      <w:r w:rsidRPr="003234AA">
        <w:rPr>
          <w:rFonts w:eastAsia="Calibri" w:cs="Times New Roman"/>
          <w:szCs w:val="26"/>
        </w:rPr>
        <w:t xml:space="preserve"> Systems</w:t>
      </w:r>
      <w:r w:rsidR="003234AA">
        <w:rPr>
          <w:rFonts w:eastAsia="Calibri" w:cs="Times New Roman"/>
          <w:szCs w:val="26"/>
        </w:rPr>
        <w:t xml:space="preserve"> </w:t>
      </w:r>
      <w:r w:rsidR="000050BD">
        <w:rPr>
          <w:rFonts w:eastAsia="Calibri" w:cs="Times New Roman"/>
          <w:szCs w:val="26"/>
        </w:rPr>
        <w:t>r</w:t>
      </w:r>
      <w:r w:rsidRPr="00DD3762">
        <w:rPr>
          <w:rFonts w:eastAsia="Calibri" w:cs="Times New Roman"/>
          <w:szCs w:val="26"/>
        </w:rPr>
        <w:t xml:space="preserve">ecommends requiring the pole owner to notify all licensees about upcoming pole replacements. For jointly owned pole, </w:t>
      </w:r>
      <w:r w:rsidR="0068075E">
        <w:rPr>
          <w:rFonts w:eastAsia="Calibri" w:cs="Times New Roman"/>
          <w:szCs w:val="26"/>
        </w:rPr>
        <w:t xml:space="preserve">it </w:t>
      </w:r>
      <w:r w:rsidRPr="00DD3762">
        <w:rPr>
          <w:rFonts w:eastAsia="Calibri" w:cs="Times New Roman"/>
          <w:szCs w:val="26"/>
        </w:rPr>
        <w:t xml:space="preserve">recommends the joint pole associations notify only the pole owners, not the licensees. Currently, </w:t>
      </w:r>
      <w:proofErr w:type="spellStart"/>
      <w:r w:rsidR="000050BD">
        <w:rPr>
          <w:rFonts w:eastAsia="Calibri" w:cs="Times New Roman"/>
          <w:szCs w:val="26"/>
        </w:rPr>
        <w:t>Extenet</w:t>
      </w:r>
      <w:proofErr w:type="spellEnd"/>
      <w:r w:rsidR="000050BD">
        <w:rPr>
          <w:rFonts w:eastAsia="Calibri" w:cs="Times New Roman"/>
          <w:szCs w:val="26"/>
        </w:rPr>
        <w:t xml:space="preserve"> Systems states that </w:t>
      </w:r>
      <w:r w:rsidRPr="00DD3762">
        <w:rPr>
          <w:rFonts w:eastAsia="Calibri" w:cs="Times New Roman"/>
          <w:szCs w:val="26"/>
        </w:rPr>
        <w:t xml:space="preserve">pole owners provide a </w:t>
      </w:r>
      <w:r w:rsidRPr="00DD3762" w:rsidR="00F309FC">
        <w:rPr>
          <w:rFonts w:eastAsia="Calibri" w:cs="Times New Roman"/>
          <w:szCs w:val="26"/>
        </w:rPr>
        <w:t>45</w:t>
      </w:r>
      <w:r w:rsidR="00E4753D">
        <w:rPr>
          <w:rFonts w:eastAsia="Calibri" w:cs="Times New Roman"/>
          <w:szCs w:val="26"/>
        </w:rPr>
        <w:noBreakHyphen/>
      </w:r>
      <w:r w:rsidRPr="00DD3762" w:rsidR="00F309FC">
        <w:rPr>
          <w:rFonts w:eastAsia="Calibri" w:cs="Times New Roman"/>
          <w:szCs w:val="26"/>
        </w:rPr>
        <w:t>day</w:t>
      </w:r>
      <w:r w:rsidRPr="00DD3762">
        <w:rPr>
          <w:rFonts w:eastAsia="Calibri" w:cs="Times New Roman"/>
          <w:szCs w:val="26"/>
        </w:rPr>
        <w:t xml:space="preserve"> notice for planned replacements, but often no notice for emergency replacements. </w:t>
      </w:r>
      <w:r w:rsidR="002632A6">
        <w:rPr>
          <w:rFonts w:eastAsia="Calibri" w:cs="Times New Roman"/>
          <w:szCs w:val="26"/>
        </w:rPr>
        <w:t>It r</w:t>
      </w:r>
      <w:r w:rsidRPr="00DD3762">
        <w:rPr>
          <w:rFonts w:eastAsia="Calibri" w:cs="Times New Roman"/>
          <w:szCs w:val="26"/>
        </w:rPr>
        <w:t xml:space="preserve">equests a minimum notice of 60 days for planned replacements, and seven days for emergency replacements, if possible, </w:t>
      </w:r>
      <w:r w:rsidR="002632A6">
        <w:rPr>
          <w:rFonts w:eastAsia="Calibri" w:cs="Times New Roman"/>
          <w:szCs w:val="26"/>
        </w:rPr>
        <w:t>or as soon as possible</w:t>
      </w:r>
      <w:r w:rsidRPr="00DD3762">
        <w:rPr>
          <w:rFonts w:eastAsia="Calibri" w:cs="Times New Roman"/>
          <w:szCs w:val="26"/>
        </w:rPr>
        <w:t xml:space="preserve">. </w:t>
      </w:r>
      <w:r w:rsidR="002632A6">
        <w:rPr>
          <w:rFonts w:eastAsia="Calibri" w:cs="Times New Roman"/>
          <w:szCs w:val="26"/>
        </w:rPr>
        <w:t>It r</w:t>
      </w:r>
      <w:r w:rsidRPr="00DD3762">
        <w:rPr>
          <w:rFonts w:eastAsia="Calibri" w:cs="Times New Roman"/>
          <w:szCs w:val="26"/>
        </w:rPr>
        <w:t>ecommends notices even if there is no anticipated service disruption.</w:t>
      </w:r>
      <w:r w:rsidRPr="00DD3762">
        <w:rPr>
          <w:rFonts w:eastAsia="Calibri" w:cs="Times New Roman"/>
          <w:szCs w:val="26"/>
          <w:vertAlign w:val="superscript"/>
        </w:rPr>
        <w:footnoteReference w:id="144"/>
      </w:r>
    </w:p>
    <w:p w:rsidRPr="00DD3762" w:rsidR="006D3EB3" w:rsidP="00ED36CC" w:rsidRDefault="006D3EB3" w14:paraId="334EB8BA" w14:textId="0BA904AF">
      <w:pPr>
        <w:pStyle w:val="Standard"/>
      </w:pPr>
      <w:r w:rsidRPr="00A732A1">
        <w:rPr>
          <w:rFonts w:eastAsia="Calibri" w:cs="Times New Roman"/>
          <w:szCs w:val="26"/>
        </w:rPr>
        <w:t>PG&amp;E</w:t>
      </w:r>
      <w:r w:rsidRPr="00DD3762">
        <w:rPr>
          <w:rFonts w:eastAsia="Calibri" w:cs="Times New Roman"/>
          <w:szCs w:val="26"/>
        </w:rPr>
        <w:t xml:space="preserve"> </w:t>
      </w:r>
      <w:r w:rsidR="00A732A1">
        <w:rPr>
          <w:rFonts w:eastAsia="Calibri" w:cs="Times New Roman"/>
          <w:szCs w:val="26"/>
        </w:rPr>
        <w:t>r</w:t>
      </w:r>
      <w:r w:rsidRPr="00DD3762">
        <w:rPr>
          <w:rFonts w:eastAsia="Calibri" w:cs="Times New Roman"/>
          <w:szCs w:val="26"/>
        </w:rPr>
        <w:t xml:space="preserve">eferences existing processes to inform customers of work. </w:t>
      </w:r>
      <w:r w:rsidR="00A732A1">
        <w:rPr>
          <w:rFonts w:eastAsia="Calibri" w:cs="Times New Roman"/>
          <w:szCs w:val="26"/>
        </w:rPr>
        <w:t>It c</w:t>
      </w:r>
      <w:r w:rsidRPr="00DD3762">
        <w:rPr>
          <w:rFonts w:eastAsia="Calibri" w:cs="Times New Roman"/>
          <w:szCs w:val="26"/>
        </w:rPr>
        <w:t>ites the need for a notification framework for replacements that are being performed under self</w:t>
      </w:r>
      <w:r w:rsidR="00E4753D">
        <w:rPr>
          <w:rFonts w:eastAsia="Calibri" w:cs="Times New Roman"/>
          <w:szCs w:val="26"/>
        </w:rPr>
        <w:noBreakHyphen/>
      </w:r>
      <w:r w:rsidRPr="00DD3762">
        <w:rPr>
          <w:rFonts w:eastAsia="Calibri" w:cs="Times New Roman"/>
          <w:szCs w:val="26"/>
        </w:rPr>
        <w:t>help provisions.</w:t>
      </w:r>
      <w:r w:rsidRPr="00DD3762">
        <w:rPr>
          <w:rFonts w:eastAsia="Calibri" w:cs="Times New Roman"/>
          <w:szCs w:val="26"/>
          <w:vertAlign w:val="superscript"/>
        </w:rPr>
        <w:footnoteReference w:id="145"/>
      </w:r>
    </w:p>
    <w:p w:rsidRPr="00DD3762" w:rsidR="006D3EB3" w:rsidP="00ED36CC" w:rsidRDefault="006D3EB3" w14:paraId="6E118C50" w14:textId="28B8DC0A">
      <w:pPr>
        <w:pStyle w:val="Standard"/>
      </w:pPr>
      <w:r w:rsidRPr="00A732A1">
        <w:rPr>
          <w:rFonts w:eastAsia="Calibri" w:cs="Times New Roman"/>
          <w:szCs w:val="26"/>
        </w:rPr>
        <w:t>Race</w:t>
      </w:r>
      <w:r w:rsidRPr="00DD3762">
        <w:rPr>
          <w:rFonts w:eastAsia="Calibri" w:cs="Times New Roman"/>
          <w:szCs w:val="26"/>
        </w:rPr>
        <w:t xml:space="preserve"> </w:t>
      </w:r>
      <w:r w:rsidR="006A279A">
        <w:rPr>
          <w:rFonts w:eastAsia="Calibri" w:cs="Times New Roman"/>
          <w:szCs w:val="26"/>
        </w:rPr>
        <w:t xml:space="preserve">says it </w:t>
      </w:r>
      <w:r w:rsidR="00A732A1">
        <w:rPr>
          <w:rFonts w:eastAsia="Calibri" w:cs="Times New Roman"/>
          <w:szCs w:val="26"/>
        </w:rPr>
        <w:t>t</w:t>
      </w:r>
      <w:r w:rsidRPr="00DD3762">
        <w:rPr>
          <w:rFonts w:eastAsia="Calibri" w:cs="Times New Roman"/>
          <w:szCs w:val="26"/>
        </w:rPr>
        <w:t>ypically provides one</w:t>
      </w:r>
      <w:r w:rsidR="00E4753D">
        <w:rPr>
          <w:rFonts w:eastAsia="Calibri" w:cs="Times New Roman"/>
          <w:szCs w:val="26"/>
        </w:rPr>
        <w:noBreakHyphen/>
      </w:r>
      <w:r w:rsidRPr="00DD3762">
        <w:rPr>
          <w:rFonts w:eastAsia="Calibri" w:cs="Times New Roman"/>
          <w:szCs w:val="26"/>
        </w:rPr>
        <w:t xml:space="preserve">week advance notice of maintenance work to impacted customers. </w:t>
      </w:r>
      <w:r w:rsidR="00D060EC">
        <w:rPr>
          <w:rFonts w:eastAsia="Calibri" w:cs="Times New Roman"/>
          <w:szCs w:val="26"/>
        </w:rPr>
        <w:t>It r</w:t>
      </w:r>
      <w:r w:rsidRPr="00DD3762">
        <w:rPr>
          <w:rFonts w:eastAsia="Calibri" w:cs="Times New Roman"/>
          <w:szCs w:val="26"/>
        </w:rPr>
        <w:t>ecommends that any disruption in service requires at least a week</w:t>
      </w:r>
      <w:r w:rsidR="00E1531D">
        <w:rPr>
          <w:rFonts w:eastAsia="Calibri" w:cs="Times New Roman"/>
          <w:szCs w:val="26"/>
        </w:rPr>
        <w:t>’</w:t>
      </w:r>
      <w:r w:rsidRPr="00DD3762">
        <w:rPr>
          <w:rFonts w:eastAsia="Calibri" w:cs="Times New Roman"/>
          <w:szCs w:val="26"/>
        </w:rPr>
        <w:t>s notice</w:t>
      </w:r>
      <w:r w:rsidR="00D060EC">
        <w:rPr>
          <w:rFonts w:eastAsia="Calibri" w:cs="Times New Roman"/>
          <w:szCs w:val="26"/>
        </w:rPr>
        <w:t>, and s</w:t>
      </w:r>
      <w:r w:rsidRPr="00DD3762">
        <w:rPr>
          <w:rFonts w:eastAsia="Calibri" w:cs="Times New Roman"/>
          <w:szCs w:val="26"/>
        </w:rPr>
        <w:t>uggests notices are unnecessary if services are not interrupted.</w:t>
      </w:r>
      <w:r w:rsidRPr="00DD3762">
        <w:rPr>
          <w:rFonts w:eastAsia="Calibri" w:cs="Times New Roman"/>
          <w:szCs w:val="26"/>
          <w:vertAlign w:val="superscript"/>
        </w:rPr>
        <w:footnoteReference w:id="146"/>
      </w:r>
    </w:p>
    <w:p w:rsidRPr="00DD3762" w:rsidR="006D3EB3" w:rsidP="00ED36CC" w:rsidRDefault="006D3EB3" w14:paraId="3240C39D" w14:textId="089FD253">
      <w:pPr>
        <w:pStyle w:val="Standard"/>
      </w:pPr>
      <w:r w:rsidRPr="00A732A1">
        <w:rPr>
          <w:rFonts w:eastAsia="Calibri" w:cs="Times New Roman"/>
          <w:szCs w:val="26"/>
        </w:rPr>
        <w:lastRenderedPageBreak/>
        <w:t>SCE</w:t>
      </w:r>
      <w:r w:rsidR="00A732A1">
        <w:rPr>
          <w:rFonts w:eastAsia="Calibri" w:cs="Times New Roman"/>
          <w:szCs w:val="26"/>
        </w:rPr>
        <w:t xml:space="preserve"> e</w:t>
      </w:r>
      <w:r w:rsidRPr="00DD3762">
        <w:rPr>
          <w:rFonts w:eastAsia="Calibri" w:cs="Times New Roman"/>
          <w:szCs w:val="26"/>
        </w:rPr>
        <w:t xml:space="preserve">xplains that pole replacements are communicated to customers via the </w:t>
      </w:r>
      <w:r w:rsidR="00835EAD">
        <w:rPr>
          <w:rFonts w:eastAsia="Calibri" w:cs="Times New Roman"/>
          <w:szCs w:val="26"/>
        </w:rPr>
        <w:t>Southern California</w:t>
      </w:r>
      <w:r w:rsidRPr="00DD3762">
        <w:rPr>
          <w:rFonts w:eastAsia="Calibri" w:cs="Times New Roman"/>
          <w:szCs w:val="26"/>
        </w:rPr>
        <w:t xml:space="preserve"> Joint Pole Committee process involving the Joint Pole Authorization Form for joint owners</w:t>
      </w:r>
      <w:r w:rsidR="00A47B51">
        <w:rPr>
          <w:rFonts w:eastAsia="Calibri" w:cs="Times New Roman"/>
          <w:szCs w:val="26"/>
        </w:rPr>
        <w:t>,</w:t>
      </w:r>
      <w:r w:rsidRPr="00DD3762">
        <w:rPr>
          <w:rFonts w:eastAsia="Calibri" w:cs="Times New Roman"/>
          <w:szCs w:val="26"/>
        </w:rPr>
        <w:t xml:space="preserve"> and via the Tenant Notification Process for licensees. </w:t>
      </w:r>
      <w:r w:rsidR="00A47B51">
        <w:rPr>
          <w:rFonts w:eastAsia="Calibri" w:cs="Times New Roman"/>
          <w:szCs w:val="26"/>
        </w:rPr>
        <w:t>SCE</w:t>
      </w:r>
      <w:r w:rsidR="00E90737">
        <w:rPr>
          <w:rFonts w:eastAsia="Calibri" w:cs="Times New Roman"/>
          <w:szCs w:val="26"/>
        </w:rPr>
        <w:t xml:space="preserve"> n</w:t>
      </w:r>
      <w:r w:rsidRPr="00DD3762">
        <w:rPr>
          <w:rFonts w:eastAsia="Calibri" w:cs="Times New Roman"/>
          <w:szCs w:val="26"/>
        </w:rPr>
        <w:t xml:space="preserve">otes the presence of existing standards and claims there is no need for any updates. </w:t>
      </w:r>
      <w:r w:rsidR="00E90737">
        <w:rPr>
          <w:rFonts w:eastAsia="Calibri" w:cs="Times New Roman"/>
          <w:szCs w:val="26"/>
        </w:rPr>
        <w:t>It b</w:t>
      </w:r>
      <w:r w:rsidRPr="00DD3762">
        <w:rPr>
          <w:rFonts w:eastAsia="Calibri" w:cs="Times New Roman"/>
          <w:szCs w:val="26"/>
        </w:rPr>
        <w:t>elieves that notices are required regardless of whether there is a disruption to telecommunication or electric services.</w:t>
      </w:r>
      <w:r w:rsidRPr="00DD3762">
        <w:rPr>
          <w:rFonts w:eastAsia="Calibri" w:cs="Times New Roman"/>
          <w:szCs w:val="26"/>
          <w:vertAlign w:val="superscript"/>
        </w:rPr>
        <w:footnoteReference w:id="147"/>
      </w:r>
    </w:p>
    <w:p w:rsidRPr="00DD3762" w:rsidR="006D3EB3" w:rsidP="00ED36CC" w:rsidRDefault="006D3EB3" w14:paraId="799D1CE6" w14:textId="2308BF16">
      <w:pPr>
        <w:pStyle w:val="Standard"/>
      </w:pPr>
      <w:r w:rsidRPr="001C3EB4">
        <w:rPr>
          <w:rFonts w:eastAsia="Calibri" w:cs="Times New Roman"/>
          <w:szCs w:val="26"/>
        </w:rPr>
        <w:t>SDG&amp;E</w:t>
      </w:r>
      <w:r w:rsidRPr="00DD3762">
        <w:rPr>
          <w:rFonts w:eastAsia="Calibri" w:cs="Times New Roman"/>
          <w:szCs w:val="26"/>
        </w:rPr>
        <w:t xml:space="preserve"> </w:t>
      </w:r>
      <w:r w:rsidR="001C3EB4">
        <w:rPr>
          <w:rFonts w:eastAsia="Calibri" w:cs="Times New Roman"/>
          <w:szCs w:val="26"/>
        </w:rPr>
        <w:t>e</w:t>
      </w:r>
      <w:r w:rsidRPr="00DD3762">
        <w:rPr>
          <w:rFonts w:eastAsia="Calibri" w:cs="Times New Roman"/>
          <w:szCs w:val="26"/>
        </w:rPr>
        <w:t xml:space="preserve">xplains that its internal process for communicating </w:t>
      </w:r>
      <w:r w:rsidRPr="00DD3762" w:rsidR="00A47B51">
        <w:rPr>
          <w:rFonts w:eastAsia="Calibri" w:cs="Times New Roman"/>
          <w:szCs w:val="26"/>
        </w:rPr>
        <w:t>construction</w:t>
      </w:r>
      <w:r w:rsidR="00E4753D">
        <w:rPr>
          <w:rFonts w:eastAsia="Calibri" w:cs="Times New Roman"/>
          <w:szCs w:val="26"/>
        </w:rPr>
        <w:noBreakHyphen/>
      </w:r>
      <w:r w:rsidRPr="00DD3762" w:rsidR="00A47B51">
        <w:rPr>
          <w:rFonts w:eastAsia="Calibri" w:cs="Times New Roman"/>
          <w:szCs w:val="26"/>
        </w:rPr>
        <w:t>related</w:t>
      </w:r>
      <w:r w:rsidRPr="00DD3762">
        <w:rPr>
          <w:rFonts w:eastAsia="Calibri" w:cs="Times New Roman"/>
          <w:szCs w:val="26"/>
        </w:rPr>
        <w:t xml:space="preserve"> manners to affected customers relies on confidential information that is not accessible to attachers or their contractors. </w:t>
      </w:r>
      <w:r w:rsidR="00FF521F">
        <w:rPr>
          <w:rFonts w:eastAsia="Calibri" w:cs="Times New Roman"/>
          <w:szCs w:val="26"/>
        </w:rPr>
        <w:t>It c</w:t>
      </w:r>
      <w:r w:rsidRPr="00DD3762">
        <w:rPr>
          <w:rFonts w:eastAsia="Calibri" w:cs="Times New Roman"/>
          <w:szCs w:val="26"/>
        </w:rPr>
        <w:t>laims that it is unreasonable to expect attachers to handle communications due to potential communication gaps, mishandling of customer information, and accountability issues.</w:t>
      </w:r>
      <w:r w:rsidRPr="00DD3762">
        <w:rPr>
          <w:rFonts w:eastAsia="Calibri" w:cs="Times New Roman"/>
          <w:szCs w:val="26"/>
          <w:vertAlign w:val="superscript"/>
        </w:rPr>
        <w:footnoteReference w:id="148"/>
      </w:r>
    </w:p>
    <w:p w:rsidR="00741424" w:rsidP="006B65B5" w:rsidRDefault="00EE0C4D" w14:paraId="2251A33A" w14:textId="4AC88350">
      <w:pPr>
        <w:pStyle w:val="Heading4"/>
      </w:pPr>
      <w:r>
        <w:t xml:space="preserve">Should proposed additions to the </w:t>
      </w:r>
      <w:r w:rsidR="001F0F9A">
        <w:t xml:space="preserve">ROW </w:t>
      </w:r>
      <w:r>
        <w:t>Rules (for pole replacement prioritization and self</w:t>
      </w:r>
      <w:r w:rsidR="00E4753D">
        <w:noBreakHyphen/>
      </w:r>
      <w:r>
        <w:t>help for attachers) be adopted/ Should any additional modifications be considered?</w:t>
      </w:r>
    </w:p>
    <w:p w:rsidR="00410529" w:rsidP="00ED36CC" w:rsidRDefault="00584FC7" w14:paraId="0539E674" w14:textId="20D70051">
      <w:pPr>
        <w:pStyle w:val="Standard"/>
        <w:rPr>
          <w:rFonts w:eastAsia="Calibri" w:cs="Times New Roman"/>
          <w:szCs w:val="26"/>
        </w:rPr>
      </w:pPr>
      <w:r w:rsidRPr="00FC5A7D">
        <w:rPr>
          <w:rFonts w:eastAsia="Calibri" w:cs="Times New Roman"/>
          <w:szCs w:val="26"/>
        </w:rPr>
        <w:t>California Broadband and Video Association</w:t>
      </w:r>
      <w:r w:rsidRPr="00DD3762">
        <w:rPr>
          <w:rFonts w:eastAsia="Calibri" w:cs="Times New Roman"/>
          <w:szCs w:val="26"/>
        </w:rPr>
        <w:t xml:space="preserve"> </w:t>
      </w:r>
      <w:r w:rsidR="00FC5A7D">
        <w:rPr>
          <w:rFonts w:eastAsia="Calibri" w:cs="Times New Roman"/>
          <w:szCs w:val="26"/>
        </w:rPr>
        <w:t>s</w:t>
      </w:r>
      <w:r w:rsidRPr="00DD3762">
        <w:rPr>
          <w:rFonts w:eastAsia="Calibri" w:cs="Times New Roman"/>
          <w:szCs w:val="26"/>
        </w:rPr>
        <w:t>upports</w:t>
      </w:r>
      <w:r w:rsidR="00FC5A7D">
        <w:rPr>
          <w:rFonts w:eastAsia="Calibri" w:cs="Times New Roman"/>
          <w:szCs w:val="26"/>
        </w:rPr>
        <w:t xml:space="preserve"> the Staff P</w:t>
      </w:r>
      <w:r w:rsidRPr="00DD3762">
        <w:rPr>
          <w:rFonts w:eastAsia="Calibri" w:cs="Times New Roman"/>
          <w:szCs w:val="26"/>
        </w:rPr>
        <w:t xml:space="preserve">roposal for simple pole replacements. </w:t>
      </w:r>
      <w:r w:rsidR="00AD02E0">
        <w:rPr>
          <w:rFonts w:eastAsia="Calibri" w:cs="Times New Roman"/>
          <w:szCs w:val="26"/>
        </w:rPr>
        <w:t>It g</w:t>
      </w:r>
      <w:r w:rsidRPr="00DD3762">
        <w:rPr>
          <w:rFonts w:eastAsia="Calibri" w:cs="Times New Roman"/>
          <w:szCs w:val="26"/>
        </w:rPr>
        <w:t>enerally supports proposed measures for complex pole replacement</w:t>
      </w:r>
      <w:r w:rsidR="00A47B51">
        <w:rPr>
          <w:rFonts w:eastAsia="Calibri" w:cs="Times New Roman"/>
          <w:szCs w:val="26"/>
        </w:rPr>
        <w:t>s</w:t>
      </w:r>
      <w:r w:rsidRPr="00DD3762">
        <w:rPr>
          <w:rFonts w:eastAsia="Calibri" w:cs="Times New Roman"/>
          <w:szCs w:val="26"/>
        </w:rPr>
        <w:t xml:space="preserve">, but claims </w:t>
      </w:r>
      <w:r w:rsidR="00A47B51">
        <w:rPr>
          <w:rFonts w:eastAsia="Calibri" w:cs="Times New Roman"/>
          <w:szCs w:val="26"/>
        </w:rPr>
        <w:t xml:space="preserve">the proposed </w:t>
      </w:r>
      <w:r w:rsidRPr="00DD3762">
        <w:rPr>
          <w:rFonts w:eastAsia="Calibri" w:cs="Times New Roman"/>
          <w:szCs w:val="26"/>
        </w:rPr>
        <w:t xml:space="preserve">timing (one year) is excessive. </w:t>
      </w:r>
      <w:r w:rsidR="00AD02E0">
        <w:rPr>
          <w:rFonts w:eastAsia="Calibri" w:cs="Times New Roman"/>
          <w:szCs w:val="26"/>
        </w:rPr>
        <w:t>It r</w:t>
      </w:r>
      <w:r w:rsidRPr="00DD3762">
        <w:rPr>
          <w:rFonts w:eastAsia="Calibri" w:cs="Times New Roman"/>
          <w:szCs w:val="26"/>
        </w:rPr>
        <w:t xml:space="preserve">ecommends adding </w:t>
      </w:r>
      <w:r w:rsidR="00AD02E0">
        <w:rPr>
          <w:rFonts w:eastAsia="Calibri" w:cs="Times New Roman"/>
          <w:szCs w:val="26"/>
        </w:rPr>
        <w:t xml:space="preserve">a </w:t>
      </w:r>
      <w:r w:rsidRPr="00DD3762">
        <w:rPr>
          <w:rFonts w:eastAsia="Calibri" w:cs="Times New Roman"/>
          <w:szCs w:val="26"/>
        </w:rPr>
        <w:t>requirement for completing complex pole replacement within existing timeframes for make</w:t>
      </w:r>
      <w:r w:rsidR="00E4753D">
        <w:rPr>
          <w:rFonts w:eastAsia="Calibri" w:cs="Times New Roman"/>
          <w:szCs w:val="26"/>
        </w:rPr>
        <w:noBreakHyphen/>
      </w:r>
      <w:r w:rsidRPr="00DD3762">
        <w:rPr>
          <w:rFonts w:eastAsia="Calibri" w:cs="Times New Roman"/>
          <w:szCs w:val="26"/>
        </w:rPr>
        <w:t xml:space="preserve">ready work above the communications space. </w:t>
      </w:r>
      <w:r w:rsidR="007F2AE8">
        <w:rPr>
          <w:rFonts w:eastAsia="Calibri" w:cs="Times New Roman"/>
          <w:szCs w:val="26"/>
        </w:rPr>
        <w:t>It s</w:t>
      </w:r>
      <w:r w:rsidRPr="00DD3762">
        <w:rPr>
          <w:rFonts w:eastAsia="Calibri" w:cs="Times New Roman"/>
          <w:szCs w:val="26"/>
        </w:rPr>
        <w:t xml:space="preserve">uggests pole owners bear the costs of pole replacement if the pole was already out of compliance with </w:t>
      </w:r>
      <w:r w:rsidR="005B40C8">
        <w:rPr>
          <w:rFonts w:eastAsia="Calibri" w:cs="Times New Roman"/>
          <w:szCs w:val="26"/>
        </w:rPr>
        <w:t>GO</w:t>
      </w:r>
      <w:r w:rsidR="0051059D">
        <w:rPr>
          <w:rFonts w:eastAsia="Calibri" w:cs="Times New Roman"/>
          <w:szCs w:val="26"/>
        </w:rPr>
        <w:t> </w:t>
      </w:r>
      <w:r w:rsidRPr="00DD3762">
        <w:rPr>
          <w:rFonts w:eastAsia="Calibri" w:cs="Times New Roman"/>
          <w:szCs w:val="26"/>
        </w:rPr>
        <w:t>95.</w:t>
      </w:r>
      <w:r w:rsidRPr="00DD3762">
        <w:rPr>
          <w:rFonts w:eastAsia="Calibri" w:cs="Times New Roman"/>
          <w:szCs w:val="26"/>
          <w:vertAlign w:val="superscript"/>
        </w:rPr>
        <w:footnoteReference w:id="149"/>
      </w:r>
    </w:p>
    <w:p w:rsidRPr="00DD3762" w:rsidR="00584FC7" w:rsidP="00ED36CC" w:rsidRDefault="00584FC7" w14:paraId="1284951F" w14:textId="49C411DF">
      <w:pPr>
        <w:pStyle w:val="Standard"/>
      </w:pPr>
      <w:r w:rsidRPr="007F2AE8">
        <w:rPr>
          <w:rFonts w:eastAsia="Calibri" w:cs="Times New Roman"/>
          <w:szCs w:val="26"/>
        </w:rPr>
        <w:lastRenderedPageBreak/>
        <w:t>Crown Castle</w:t>
      </w:r>
      <w:r w:rsidRPr="00DD3762">
        <w:rPr>
          <w:rFonts w:eastAsia="Calibri" w:cs="Times New Roman"/>
          <w:szCs w:val="26"/>
        </w:rPr>
        <w:t xml:space="preserve"> </w:t>
      </w:r>
      <w:r w:rsidR="007F2AE8">
        <w:rPr>
          <w:rFonts w:eastAsia="Calibri" w:cs="Times New Roman"/>
          <w:szCs w:val="26"/>
        </w:rPr>
        <w:t>s</w:t>
      </w:r>
      <w:r w:rsidRPr="00DD3762">
        <w:rPr>
          <w:rFonts w:eastAsia="Calibri" w:cs="Times New Roman"/>
          <w:szCs w:val="26"/>
        </w:rPr>
        <w:t xml:space="preserve">upports </w:t>
      </w:r>
      <w:r w:rsidR="00A47B51">
        <w:rPr>
          <w:rFonts w:eastAsia="Calibri" w:cs="Times New Roman"/>
          <w:szCs w:val="26"/>
        </w:rPr>
        <w:t xml:space="preserve">the </w:t>
      </w:r>
      <w:r w:rsidRPr="00DD3762">
        <w:rPr>
          <w:rFonts w:eastAsia="Calibri" w:cs="Times New Roman"/>
          <w:szCs w:val="26"/>
        </w:rPr>
        <w:t>proposed rules on pole replacement prioritization and self</w:t>
      </w:r>
      <w:r w:rsidR="00E4753D">
        <w:rPr>
          <w:rFonts w:eastAsia="Calibri" w:cs="Times New Roman"/>
          <w:szCs w:val="26"/>
        </w:rPr>
        <w:noBreakHyphen/>
      </w:r>
      <w:r w:rsidRPr="00DD3762">
        <w:rPr>
          <w:rFonts w:eastAsia="Calibri" w:cs="Times New Roman"/>
          <w:szCs w:val="26"/>
        </w:rPr>
        <w:t xml:space="preserve">help for attachers. </w:t>
      </w:r>
      <w:r w:rsidR="004C0656">
        <w:rPr>
          <w:rFonts w:eastAsia="Calibri" w:cs="Times New Roman"/>
          <w:szCs w:val="26"/>
        </w:rPr>
        <w:t>It r</w:t>
      </w:r>
      <w:r w:rsidRPr="00DD3762">
        <w:rPr>
          <w:rFonts w:eastAsia="Calibri" w:cs="Times New Roman"/>
          <w:szCs w:val="26"/>
        </w:rPr>
        <w:t xml:space="preserve">ecommends revisions to the definitions of </w:t>
      </w:r>
      <w:r w:rsidR="00410529">
        <w:rPr>
          <w:rFonts w:eastAsia="Calibri" w:cs="Times New Roman"/>
          <w:szCs w:val="26"/>
        </w:rPr>
        <w:t>“</w:t>
      </w:r>
      <w:r w:rsidRPr="00DD3762">
        <w:rPr>
          <w:rFonts w:eastAsia="Calibri" w:cs="Times New Roman"/>
          <w:szCs w:val="26"/>
        </w:rPr>
        <w:t>simple</w:t>
      </w:r>
      <w:r w:rsidR="00410529">
        <w:rPr>
          <w:rFonts w:eastAsia="Calibri" w:cs="Times New Roman"/>
          <w:szCs w:val="26"/>
        </w:rPr>
        <w:t>”</w:t>
      </w:r>
      <w:r w:rsidRPr="00DD3762">
        <w:rPr>
          <w:rFonts w:eastAsia="Calibri" w:cs="Times New Roman"/>
          <w:szCs w:val="26"/>
        </w:rPr>
        <w:t xml:space="preserve"> and </w:t>
      </w:r>
      <w:r w:rsidR="00410529">
        <w:rPr>
          <w:rFonts w:eastAsia="Calibri" w:cs="Times New Roman"/>
          <w:szCs w:val="26"/>
        </w:rPr>
        <w:t>“</w:t>
      </w:r>
      <w:r w:rsidRPr="00DD3762">
        <w:rPr>
          <w:rFonts w:eastAsia="Calibri" w:cs="Times New Roman"/>
          <w:szCs w:val="26"/>
        </w:rPr>
        <w:t>complex</w:t>
      </w:r>
      <w:r w:rsidR="00410529">
        <w:rPr>
          <w:rFonts w:eastAsia="Calibri" w:cs="Times New Roman"/>
          <w:szCs w:val="26"/>
        </w:rPr>
        <w:t>”</w:t>
      </w:r>
      <w:r w:rsidRPr="00DD3762">
        <w:rPr>
          <w:rFonts w:eastAsia="Calibri" w:cs="Times New Roman"/>
          <w:szCs w:val="26"/>
        </w:rPr>
        <w:t xml:space="preserve"> to clarify when the self</w:t>
      </w:r>
      <w:r w:rsidR="00E4753D">
        <w:rPr>
          <w:rFonts w:eastAsia="Calibri" w:cs="Times New Roman"/>
          <w:szCs w:val="26"/>
        </w:rPr>
        <w:noBreakHyphen/>
      </w:r>
      <w:r w:rsidRPr="00DD3762">
        <w:rPr>
          <w:rFonts w:eastAsia="Calibri" w:cs="Times New Roman"/>
          <w:szCs w:val="26"/>
        </w:rPr>
        <w:t xml:space="preserve">help remedy is available. </w:t>
      </w:r>
      <w:r w:rsidR="00A47B51">
        <w:rPr>
          <w:rFonts w:eastAsia="Calibri" w:cs="Times New Roman"/>
          <w:szCs w:val="26"/>
        </w:rPr>
        <w:t xml:space="preserve">Crown Castle </w:t>
      </w:r>
      <w:r w:rsidR="004C0656">
        <w:rPr>
          <w:rFonts w:eastAsia="Calibri" w:cs="Times New Roman"/>
          <w:szCs w:val="26"/>
        </w:rPr>
        <w:t>r</w:t>
      </w:r>
      <w:r w:rsidRPr="00DD3762">
        <w:rPr>
          <w:rFonts w:eastAsia="Calibri" w:cs="Times New Roman"/>
          <w:szCs w:val="26"/>
        </w:rPr>
        <w:t>ecommends using the type of attached electric lines to distinguish between simple vs complex; and proposes that poles with only secondary lines or service drops be considered simple, while those with primary electric lines be deemed complex.</w:t>
      </w:r>
      <w:r w:rsidRPr="00DD3762">
        <w:rPr>
          <w:rFonts w:eastAsia="Calibri" w:cs="Times New Roman"/>
          <w:szCs w:val="26"/>
          <w:vertAlign w:val="superscript"/>
        </w:rPr>
        <w:footnoteReference w:id="150"/>
      </w:r>
    </w:p>
    <w:p w:rsidRPr="00DD3762" w:rsidR="00584FC7" w:rsidP="00ED36CC" w:rsidRDefault="00584FC7" w14:paraId="035988BA" w14:textId="3558B56F">
      <w:pPr>
        <w:pStyle w:val="Standard"/>
      </w:pPr>
      <w:proofErr w:type="spellStart"/>
      <w:r w:rsidRPr="004C0656">
        <w:rPr>
          <w:rFonts w:eastAsia="Calibri" w:cs="Times New Roman"/>
          <w:szCs w:val="26"/>
        </w:rPr>
        <w:t>Extenet</w:t>
      </w:r>
      <w:proofErr w:type="spellEnd"/>
      <w:r w:rsidRPr="004C0656">
        <w:rPr>
          <w:rFonts w:eastAsia="Calibri" w:cs="Times New Roman"/>
          <w:szCs w:val="26"/>
        </w:rPr>
        <w:t xml:space="preserve"> Systems</w:t>
      </w:r>
      <w:r w:rsidRPr="00DD3762">
        <w:rPr>
          <w:rFonts w:eastAsia="Calibri" w:cs="Times New Roman"/>
          <w:szCs w:val="26"/>
        </w:rPr>
        <w:t xml:space="preserve"> </w:t>
      </w:r>
      <w:r w:rsidR="004C0656">
        <w:rPr>
          <w:rFonts w:eastAsia="Calibri" w:cs="Times New Roman"/>
          <w:szCs w:val="26"/>
        </w:rPr>
        <w:t>s</w:t>
      </w:r>
      <w:r w:rsidRPr="00DD3762">
        <w:rPr>
          <w:rFonts w:eastAsia="Calibri" w:cs="Times New Roman"/>
          <w:szCs w:val="26"/>
        </w:rPr>
        <w:t>upports proposed rules on pole replacement prioritization and self</w:t>
      </w:r>
      <w:r w:rsidR="00E4753D">
        <w:rPr>
          <w:rFonts w:eastAsia="Calibri" w:cs="Times New Roman"/>
          <w:szCs w:val="26"/>
        </w:rPr>
        <w:noBreakHyphen/>
      </w:r>
      <w:r w:rsidRPr="00DD3762">
        <w:rPr>
          <w:rFonts w:eastAsia="Calibri" w:cs="Times New Roman"/>
          <w:szCs w:val="26"/>
        </w:rPr>
        <w:t xml:space="preserve">help for attachers. </w:t>
      </w:r>
      <w:r w:rsidR="00D06516">
        <w:rPr>
          <w:rFonts w:eastAsia="Calibri" w:cs="Times New Roman"/>
          <w:szCs w:val="26"/>
        </w:rPr>
        <w:t>It a</w:t>
      </w:r>
      <w:r w:rsidRPr="00DD3762">
        <w:rPr>
          <w:rFonts w:eastAsia="Calibri" w:cs="Times New Roman"/>
          <w:szCs w:val="26"/>
        </w:rPr>
        <w:t>rgues for use of reinforcement techniques, including trussing, to extend the life of a pole and avoid the expense and delay of pole replacements.</w:t>
      </w:r>
      <w:r w:rsidRPr="00DD3762">
        <w:rPr>
          <w:rFonts w:eastAsia="Calibri" w:cs="Times New Roman"/>
          <w:szCs w:val="26"/>
          <w:vertAlign w:val="superscript"/>
        </w:rPr>
        <w:footnoteReference w:id="151"/>
      </w:r>
    </w:p>
    <w:p w:rsidRPr="00DD3762" w:rsidR="00584FC7" w:rsidP="00ED36CC" w:rsidRDefault="00584FC7" w14:paraId="1CDEFF78" w14:textId="461C88D7">
      <w:pPr>
        <w:pStyle w:val="Standard"/>
      </w:pPr>
      <w:r w:rsidRPr="0074176D">
        <w:rPr>
          <w:rFonts w:eastAsia="Calibri" w:cs="Times New Roman"/>
          <w:szCs w:val="26"/>
        </w:rPr>
        <w:t>PG&amp;E</w:t>
      </w:r>
      <w:r w:rsidRPr="00DD3762">
        <w:rPr>
          <w:rFonts w:eastAsia="Calibri" w:cs="Times New Roman"/>
          <w:szCs w:val="26"/>
        </w:rPr>
        <w:t xml:space="preserve"> </w:t>
      </w:r>
      <w:r w:rsidR="0074176D">
        <w:rPr>
          <w:rFonts w:eastAsia="Calibri" w:cs="Times New Roman"/>
          <w:szCs w:val="26"/>
        </w:rPr>
        <w:t>o</w:t>
      </w:r>
      <w:r w:rsidRPr="00DD3762">
        <w:rPr>
          <w:rFonts w:eastAsia="Calibri" w:cs="Times New Roman"/>
          <w:szCs w:val="26"/>
        </w:rPr>
        <w:t xml:space="preserve">pposes adoption of </w:t>
      </w:r>
      <w:r w:rsidR="0074176D">
        <w:rPr>
          <w:rFonts w:eastAsia="Calibri" w:cs="Times New Roman"/>
          <w:szCs w:val="26"/>
        </w:rPr>
        <w:t xml:space="preserve">the </w:t>
      </w:r>
      <w:r w:rsidRPr="00DD3762">
        <w:rPr>
          <w:rFonts w:eastAsia="Calibri" w:cs="Times New Roman"/>
          <w:szCs w:val="26"/>
        </w:rPr>
        <w:t>Staff Proposal and recommends specific revisions.</w:t>
      </w:r>
      <w:r w:rsidRPr="00DD3762">
        <w:rPr>
          <w:rFonts w:eastAsia="Calibri" w:cs="Times New Roman"/>
          <w:szCs w:val="26"/>
          <w:vertAlign w:val="superscript"/>
        </w:rPr>
        <w:footnoteReference w:id="152"/>
      </w:r>
    </w:p>
    <w:p w:rsidRPr="00DD3762" w:rsidR="00584FC7" w:rsidP="00ED36CC" w:rsidRDefault="00584FC7" w14:paraId="31FB6567" w14:textId="0AC7E876">
      <w:pPr>
        <w:pStyle w:val="Standard"/>
      </w:pPr>
      <w:r w:rsidRPr="0074176D">
        <w:rPr>
          <w:rFonts w:eastAsia="Calibri" w:cs="Times New Roman"/>
          <w:szCs w:val="26"/>
        </w:rPr>
        <w:t>Race</w:t>
      </w:r>
      <w:r w:rsidRPr="00DD3762">
        <w:rPr>
          <w:rFonts w:eastAsia="Calibri" w:cs="Times New Roman"/>
          <w:szCs w:val="26"/>
        </w:rPr>
        <w:t xml:space="preserve"> </w:t>
      </w:r>
      <w:r w:rsidR="0074176D">
        <w:rPr>
          <w:rFonts w:eastAsia="Calibri" w:cs="Times New Roman"/>
          <w:szCs w:val="26"/>
        </w:rPr>
        <w:t>s</w:t>
      </w:r>
      <w:r w:rsidRPr="00DD3762">
        <w:rPr>
          <w:rFonts w:eastAsia="Calibri" w:cs="Times New Roman"/>
          <w:szCs w:val="26"/>
        </w:rPr>
        <w:t>upports</w:t>
      </w:r>
      <w:r w:rsidR="0074176D">
        <w:rPr>
          <w:rFonts w:eastAsia="Calibri" w:cs="Times New Roman"/>
          <w:szCs w:val="26"/>
        </w:rPr>
        <w:t xml:space="preserve"> the Staff Proposal</w:t>
      </w:r>
      <w:r w:rsidRPr="00DD3762">
        <w:rPr>
          <w:rFonts w:eastAsia="Calibri" w:cs="Times New Roman"/>
          <w:szCs w:val="26"/>
        </w:rPr>
        <w:t>, but only if costs are shared in a fair manner.</w:t>
      </w:r>
      <w:r w:rsidRPr="00DD3762">
        <w:rPr>
          <w:rFonts w:eastAsia="Calibri" w:cs="Times New Roman"/>
          <w:szCs w:val="26"/>
          <w:vertAlign w:val="superscript"/>
        </w:rPr>
        <w:footnoteReference w:id="153"/>
      </w:r>
    </w:p>
    <w:p w:rsidRPr="00DD3762" w:rsidR="00584FC7" w:rsidP="00ED36CC" w:rsidRDefault="00584FC7" w14:paraId="146DECD9" w14:textId="447848AB">
      <w:pPr>
        <w:pStyle w:val="Standard"/>
      </w:pPr>
      <w:r w:rsidRPr="00C115A5">
        <w:rPr>
          <w:rFonts w:eastAsia="Calibri" w:cs="Times New Roman"/>
          <w:szCs w:val="26"/>
        </w:rPr>
        <w:t>SCE</w:t>
      </w:r>
      <w:r w:rsidRPr="00DD3762">
        <w:rPr>
          <w:rFonts w:eastAsia="Calibri" w:cs="Times New Roman"/>
          <w:szCs w:val="26"/>
        </w:rPr>
        <w:t xml:space="preserve"> </w:t>
      </w:r>
      <w:r w:rsidR="00D908F9">
        <w:rPr>
          <w:rFonts w:eastAsia="Calibri" w:cs="Times New Roman"/>
          <w:szCs w:val="26"/>
        </w:rPr>
        <w:t>o</w:t>
      </w:r>
      <w:r w:rsidRPr="00DD3762">
        <w:rPr>
          <w:rFonts w:eastAsia="Calibri" w:cs="Times New Roman"/>
          <w:szCs w:val="26"/>
        </w:rPr>
        <w:t xml:space="preserve">pposes the proposed </w:t>
      </w:r>
      <w:r w:rsidR="00CE5DB2">
        <w:rPr>
          <w:rFonts w:eastAsia="Calibri" w:cs="Times New Roman"/>
          <w:szCs w:val="26"/>
        </w:rPr>
        <w:t>Sections</w:t>
      </w:r>
      <w:r w:rsidR="0051059D">
        <w:rPr>
          <w:rFonts w:eastAsia="Calibri" w:cs="Times New Roman"/>
          <w:szCs w:val="26"/>
        </w:rPr>
        <w:t> </w:t>
      </w:r>
      <w:r w:rsidRPr="00DD3762">
        <w:rPr>
          <w:rFonts w:eastAsia="Calibri" w:cs="Times New Roman"/>
          <w:szCs w:val="26"/>
        </w:rPr>
        <w:t xml:space="preserve">IV.E.3.b and IV.E.3.c. If attachers are allowed to use contractors for </w:t>
      </w:r>
      <w:r w:rsidR="00410529">
        <w:rPr>
          <w:rFonts w:eastAsia="Calibri" w:cs="Times New Roman"/>
          <w:szCs w:val="26"/>
        </w:rPr>
        <w:t>“</w:t>
      </w:r>
      <w:r w:rsidRPr="00DD3762">
        <w:rPr>
          <w:rFonts w:eastAsia="Calibri" w:cs="Times New Roman"/>
          <w:szCs w:val="26"/>
        </w:rPr>
        <w:t>simple</w:t>
      </w:r>
      <w:r w:rsidR="00410529">
        <w:rPr>
          <w:rFonts w:eastAsia="Calibri" w:cs="Times New Roman"/>
          <w:szCs w:val="26"/>
        </w:rPr>
        <w:t>”</w:t>
      </w:r>
      <w:r w:rsidRPr="00DD3762">
        <w:rPr>
          <w:rFonts w:eastAsia="Calibri" w:cs="Times New Roman"/>
          <w:szCs w:val="26"/>
        </w:rPr>
        <w:t xml:space="preserve"> replacements, SCE requests that such work be subject to </w:t>
      </w:r>
      <w:r w:rsidR="00CE5DB2">
        <w:rPr>
          <w:rFonts w:eastAsia="Calibri" w:cs="Times New Roman"/>
          <w:szCs w:val="26"/>
        </w:rPr>
        <w:t>Sections</w:t>
      </w:r>
      <w:r w:rsidR="0051059D">
        <w:rPr>
          <w:rFonts w:eastAsia="Calibri" w:cs="Times New Roman"/>
          <w:szCs w:val="26"/>
        </w:rPr>
        <w:t> </w:t>
      </w:r>
      <w:r w:rsidRPr="00DD3762">
        <w:rPr>
          <w:rFonts w:eastAsia="Calibri" w:cs="Times New Roman"/>
          <w:szCs w:val="26"/>
        </w:rPr>
        <w:t xml:space="preserve">IV.H.2 and IV.H.8 requiring utility discretion and use of Qualified Electric Workers. </w:t>
      </w:r>
      <w:r w:rsidR="006D2B27">
        <w:rPr>
          <w:rFonts w:eastAsia="Calibri" w:cs="Times New Roman"/>
          <w:szCs w:val="26"/>
        </w:rPr>
        <w:t>It d</w:t>
      </w:r>
      <w:r w:rsidRPr="00DD3762">
        <w:rPr>
          <w:rFonts w:eastAsia="Calibri" w:cs="Times New Roman"/>
          <w:szCs w:val="26"/>
        </w:rPr>
        <w:t xml:space="preserve">oes not oppose adopting </w:t>
      </w:r>
      <w:r w:rsidR="00B64DFB">
        <w:rPr>
          <w:rFonts w:eastAsia="Calibri" w:cs="Times New Roman"/>
          <w:szCs w:val="26"/>
        </w:rPr>
        <w:t>Section</w:t>
      </w:r>
      <w:r w:rsidR="0051059D">
        <w:rPr>
          <w:rFonts w:eastAsia="Calibri" w:cs="Times New Roman"/>
          <w:szCs w:val="26"/>
        </w:rPr>
        <w:t> </w:t>
      </w:r>
      <w:r w:rsidRPr="00DD3762">
        <w:rPr>
          <w:rFonts w:eastAsia="Calibri" w:cs="Times New Roman"/>
          <w:szCs w:val="26"/>
        </w:rPr>
        <w:t>IV.E.3.a regarding enforcement but proposes several modifications.</w:t>
      </w:r>
      <w:r w:rsidRPr="00DD3762">
        <w:rPr>
          <w:rFonts w:eastAsia="Calibri" w:cs="Times New Roman"/>
          <w:szCs w:val="26"/>
          <w:vertAlign w:val="superscript"/>
        </w:rPr>
        <w:footnoteReference w:id="154"/>
      </w:r>
    </w:p>
    <w:p w:rsidRPr="00DD3762" w:rsidR="00584FC7" w:rsidP="00ED36CC" w:rsidRDefault="00584FC7" w14:paraId="5823FECC" w14:textId="34C8C579">
      <w:pPr>
        <w:pStyle w:val="Standard"/>
      </w:pPr>
      <w:r w:rsidRPr="006D2B27">
        <w:rPr>
          <w:rFonts w:eastAsia="Calibri" w:cs="Times New Roman"/>
          <w:szCs w:val="26"/>
        </w:rPr>
        <w:lastRenderedPageBreak/>
        <w:t>SDG&amp;E</w:t>
      </w:r>
      <w:r w:rsidR="006D2B27">
        <w:rPr>
          <w:rFonts w:eastAsia="Calibri" w:cs="Times New Roman"/>
          <w:szCs w:val="26"/>
        </w:rPr>
        <w:t xml:space="preserve"> r</w:t>
      </w:r>
      <w:r w:rsidRPr="00DD3762">
        <w:rPr>
          <w:rFonts w:eastAsia="Calibri" w:cs="Times New Roman"/>
          <w:szCs w:val="26"/>
        </w:rPr>
        <w:t xml:space="preserve">ecommends striking </w:t>
      </w:r>
      <w:r w:rsidR="00B64DFB">
        <w:rPr>
          <w:rFonts w:eastAsia="Calibri" w:cs="Times New Roman"/>
          <w:szCs w:val="26"/>
        </w:rPr>
        <w:t>Section</w:t>
      </w:r>
      <w:r w:rsidR="0051059D">
        <w:rPr>
          <w:rFonts w:eastAsia="Calibri" w:cs="Times New Roman"/>
          <w:szCs w:val="26"/>
        </w:rPr>
        <w:t> </w:t>
      </w:r>
      <w:r w:rsidRPr="00DD3762">
        <w:rPr>
          <w:rFonts w:eastAsia="Calibri" w:cs="Times New Roman"/>
          <w:szCs w:val="26"/>
        </w:rPr>
        <w:t>E</w:t>
      </w:r>
      <w:r w:rsidR="00ED4B15">
        <w:rPr>
          <w:rFonts w:eastAsia="Calibri" w:cs="Times New Roman"/>
          <w:szCs w:val="26"/>
        </w:rPr>
        <w:t xml:space="preserve"> — </w:t>
      </w:r>
      <w:r w:rsidRPr="00DD3762">
        <w:rPr>
          <w:rFonts w:eastAsia="Calibri" w:cs="Times New Roman"/>
          <w:szCs w:val="26"/>
        </w:rPr>
        <w:t xml:space="preserve">Self Help, </w:t>
      </w:r>
      <w:r w:rsidR="004D7AB6">
        <w:rPr>
          <w:rFonts w:eastAsia="Calibri" w:cs="Times New Roman"/>
          <w:szCs w:val="26"/>
        </w:rPr>
        <w:t>Subsection</w:t>
      </w:r>
      <w:r w:rsidR="0051059D">
        <w:rPr>
          <w:rFonts w:eastAsia="Calibri" w:cs="Times New Roman"/>
          <w:szCs w:val="26"/>
        </w:rPr>
        <w:t> </w:t>
      </w:r>
      <w:r w:rsidRPr="00DD3762">
        <w:rPr>
          <w:rFonts w:eastAsia="Calibri" w:cs="Times New Roman"/>
          <w:szCs w:val="26"/>
        </w:rPr>
        <w:t>3</w:t>
      </w:r>
      <w:r w:rsidR="00ED4B15">
        <w:rPr>
          <w:rFonts w:eastAsia="Calibri" w:cs="Times New Roman"/>
          <w:szCs w:val="26"/>
        </w:rPr>
        <w:t xml:space="preserve"> — </w:t>
      </w:r>
      <w:r w:rsidRPr="00DD3762">
        <w:rPr>
          <w:rFonts w:eastAsia="Calibri" w:cs="Times New Roman"/>
          <w:szCs w:val="26"/>
        </w:rPr>
        <w:t xml:space="preserve">Pole Replacement and Reinforcements from the proposed </w:t>
      </w:r>
      <w:r w:rsidR="00835EAD">
        <w:rPr>
          <w:rFonts w:eastAsia="Calibri" w:cs="Times New Roman"/>
          <w:szCs w:val="26"/>
        </w:rPr>
        <w:t>ROW Rules</w:t>
      </w:r>
      <w:r w:rsidRPr="00DD3762">
        <w:rPr>
          <w:rFonts w:eastAsia="Calibri" w:cs="Times New Roman"/>
          <w:szCs w:val="26"/>
        </w:rPr>
        <w:t xml:space="preserve">. </w:t>
      </w:r>
      <w:r w:rsidR="003E3BD4">
        <w:rPr>
          <w:rFonts w:eastAsia="Calibri" w:cs="Times New Roman"/>
          <w:szCs w:val="26"/>
        </w:rPr>
        <w:t>SDG&amp;E c</w:t>
      </w:r>
      <w:r w:rsidRPr="00DD3762">
        <w:rPr>
          <w:rFonts w:eastAsia="Calibri" w:cs="Times New Roman"/>
          <w:szCs w:val="26"/>
        </w:rPr>
        <w:t xml:space="preserve">laims it is unreasonable to allow attachers to perform pole replacements or reinforcements under any circumstance due to risks to infrastructure, public safety, and customer relations. </w:t>
      </w:r>
      <w:r w:rsidR="003E3BD4">
        <w:rPr>
          <w:rFonts w:eastAsia="Calibri" w:cs="Times New Roman"/>
          <w:szCs w:val="26"/>
        </w:rPr>
        <w:t>It s</w:t>
      </w:r>
      <w:r w:rsidRPr="00DD3762">
        <w:rPr>
          <w:rFonts w:eastAsia="Calibri" w:cs="Times New Roman"/>
          <w:szCs w:val="26"/>
        </w:rPr>
        <w:t>upports pole owners completing the work within one year of a complete attacher request or providing a reasonable explanation for any delay beyond their control.</w:t>
      </w:r>
      <w:r w:rsidRPr="00DD3762">
        <w:rPr>
          <w:rFonts w:eastAsia="Calibri" w:cs="Times New Roman"/>
          <w:szCs w:val="26"/>
          <w:vertAlign w:val="superscript"/>
        </w:rPr>
        <w:footnoteReference w:id="155"/>
      </w:r>
    </w:p>
    <w:p w:rsidRPr="00DD3762" w:rsidR="00584FC7" w:rsidP="00ED36CC" w:rsidRDefault="00584FC7" w14:paraId="77F2BA43" w14:textId="6C71BB79">
      <w:pPr>
        <w:pStyle w:val="Standard"/>
      </w:pPr>
      <w:r w:rsidRPr="00222EF2">
        <w:rPr>
          <w:rFonts w:eastAsia="Calibri" w:cs="Times New Roman"/>
          <w:szCs w:val="26"/>
        </w:rPr>
        <w:t>Sonic</w:t>
      </w:r>
      <w:r w:rsidR="00222EF2">
        <w:rPr>
          <w:rFonts w:eastAsia="Calibri" w:cs="Times New Roman"/>
          <w:szCs w:val="26"/>
        </w:rPr>
        <w:t xml:space="preserve"> g</w:t>
      </w:r>
      <w:r w:rsidRPr="00DD3762">
        <w:rPr>
          <w:rFonts w:eastAsia="Calibri" w:cs="Times New Roman"/>
          <w:szCs w:val="26"/>
        </w:rPr>
        <w:t xml:space="preserve">enerally agrees with the </w:t>
      </w:r>
      <w:r w:rsidR="00222EF2">
        <w:rPr>
          <w:rFonts w:eastAsia="Calibri" w:cs="Times New Roman"/>
          <w:szCs w:val="26"/>
        </w:rPr>
        <w:t>Staff P</w:t>
      </w:r>
      <w:r w:rsidRPr="00DD3762">
        <w:rPr>
          <w:rFonts w:eastAsia="Calibri" w:cs="Times New Roman"/>
          <w:szCs w:val="26"/>
        </w:rPr>
        <w:t>roposal regarding pole replacements and self</w:t>
      </w:r>
      <w:r w:rsidR="00E4753D">
        <w:rPr>
          <w:rFonts w:eastAsia="Calibri" w:cs="Times New Roman"/>
          <w:szCs w:val="26"/>
        </w:rPr>
        <w:noBreakHyphen/>
      </w:r>
      <w:r w:rsidRPr="00DD3762">
        <w:rPr>
          <w:rFonts w:eastAsia="Calibri" w:cs="Times New Roman"/>
          <w:szCs w:val="26"/>
        </w:rPr>
        <w:t>help, but suggest</w:t>
      </w:r>
      <w:r w:rsidR="00222EF2">
        <w:rPr>
          <w:rFonts w:eastAsia="Calibri" w:cs="Times New Roman"/>
          <w:szCs w:val="26"/>
        </w:rPr>
        <w:t>s</w:t>
      </w:r>
      <w:r w:rsidRPr="00DD3762">
        <w:rPr>
          <w:rFonts w:eastAsia="Calibri" w:cs="Times New Roman"/>
          <w:szCs w:val="26"/>
        </w:rPr>
        <w:t xml:space="preserve"> modifications regarding reimbursement of costs and shortening of the proposed one</w:t>
      </w:r>
      <w:r w:rsidR="00E4753D">
        <w:rPr>
          <w:rFonts w:eastAsia="Calibri" w:cs="Times New Roman"/>
          <w:szCs w:val="26"/>
        </w:rPr>
        <w:noBreakHyphen/>
      </w:r>
      <w:r w:rsidRPr="00DD3762">
        <w:rPr>
          <w:rFonts w:eastAsia="Calibri" w:cs="Times New Roman"/>
          <w:szCs w:val="26"/>
        </w:rPr>
        <w:t>year timeframe.</w:t>
      </w:r>
      <w:r w:rsidRPr="00DD3762">
        <w:rPr>
          <w:rFonts w:eastAsia="Calibri" w:cs="Times New Roman"/>
          <w:szCs w:val="26"/>
          <w:vertAlign w:val="superscript"/>
        </w:rPr>
        <w:footnoteReference w:id="156"/>
      </w:r>
    </w:p>
    <w:p w:rsidRPr="00DD3762" w:rsidR="00584FC7" w:rsidP="00ED36CC" w:rsidRDefault="00584FC7" w14:paraId="35E09A98" w14:textId="49CB305C">
      <w:pPr>
        <w:pStyle w:val="Standard"/>
      </w:pPr>
      <w:proofErr w:type="spellStart"/>
      <w:r w:rsidRPr="00222EF2">
        <w:rPr>
          <w:rFonts w:eastAsia="Calibri" w:cs="Times New Roman"/>
          <w:szCs w:val="26"/>
        </w:rPr>
        <w:t>Surfnet</w:t>
      </w:r>
      <w:proofErr w:type="spellEnd"/>
      <w:r w:rsidR="00AD2ECF">
        <w:rPr>
          <w:rFonts w:eastAsia="Calibri" w:cs="Times New Roman"/>
          <w:szCs w:val="26"/>
        </w:rPr>
        <w:t xml:space="preserve"> </w:t>
      </w:r>
      <w:r w:rsidR="007C4382">
        <w:rPr>
          <w:rFonts w:eastAsia="Calibri" w:cs="Times New Roman"/>
          <w:szCs w:val="26"/>
        </w:rPr>
        <w:t>g</w:t>
      </w:r>
      <w:r w:rsidRPr="00DD3762">
        <w:rPr>
          <w:rFonts w:eastAsia="Calibri" w:cs="Times New Roman"/>
          <w:szCs w:val="26"/>
        </w:rPr>
        <w:t xml:space="preserve">enerally supports the </w:t>
      </w:r>
      <w:r w:rsidR="007C4382">
        <w:rPr>
          <w:rFonts w:eastAsia="Calibri" w:cs="Times New Roman"/>
          <w:szCs w:val="26"/>
        </w:rPr>
        <w:t>Staff P</w:t>
      </w:r>
      <w:r w:rsidRPr="00DD3762">
        <w:rPr>
          <w:rFonts w:eastAsia="Calibri" w:cs="Times New Roman"/>
          <w:szCs w:val="26"/>
        </w:rPr>
        <w:t>roposal with modifications to timelines and cost sharing.</w:t>
      </w:r>
      <w:r w:rsidRPr="00DD3762">
        <w:rPr>
          <w:rFonts w:eastAsia="Calibri" w:cs="Times New Roman"/>
          <w:szCs w:val="26"/>
          <w:vertAlign w:val="superscript"/>
        </w:rPr>
        <w:footnoteReference w:id="157"/>
      </w:r>
    </w:p>
    <w:p w:rsidR="00584FC7" w:rsidP="00ED36CC" w:rsidRDefault="00B01466" w14:paraId="0497959C" w14:textId="62EF6C24">
      <w:pPr>
        <w:pStyle w:val="Heading3"/>
        <w:keepLines w:val="0"/>
      </w:pPr>
      <w:bookmarkStart w:name="_Toc229726761" w:id="45"/>
      <w:r>
        <w:t>Discussion and Findings</w:t>
      </w:r>
      <w:bookmarkEnd w:id="45"/>
    </w:p>
    <w:p w:rsidR="00491FFF" w:rsidP="00ED36CC" w:rsidRDefault="003D0C81" w14:paraId="141C3AE1" w14:textId="5ADF5219">
      <w:pPr>
        <w:pStyle w:val="Standard"/>
      </w:pPr>
      <w:r>
        <w:t xml:space="preserve">Based on the party comments and staff recommendations, we make </w:t>
      </w:r>
      <w:r w:rsidR="00EE12CB">
        <w:t>amendments</w:t>
      </w:r>
      <w:r>
        <w:t xml:space="preserve"> to </w:t>
      </w:r>
      <w:r w:rsidR="00EE12CB">
        <w:t>Section</w:t>
      </w:r>
      <w:r w:rsidR="00206056">
        <w:t> </w:t>
      </w:r>
      <w:r>
        <w:t>IV</w:t>
      </w:r>
      <w:r w:rsidR="00777233">
        <w:t>.E</w:t>
      </w:r>
      <w:r w:rsidR="00EE12CB">
        <w:t>.3</w:t>
      </w:r>
      <w:r w:rsidR="00777233">
        <w:t xml:space="preserve"> (SELF HELP REMEDY) </w:t>
      </w:r>
      <w:r w:rsidR="00EE12CB">
        <w:t>of Proposed GO</w:t>
      </w:r>
      <w:r w:rsidR="005C34CD">
        <w:t> </w:t>
      </w:r>
      <w:r w:rsidR="00EE12CB">
        <w:t>178 as follows, and as depicted in Attachment</w:t>
      </w:r>
      <w:r w:rsidR="005C34CD">
        <w:t> </w:t>
      </w:r>
      <w:r w:rsidR="00EE12CB">
        <w:t>A to this decision</w:t>
      </w:r>
      <w:r w:rsidR="00777233">
        <w:t>:</w:t>
      </w:r>
    </w:p>
    <w:p w:rsidRPr="00E83798" w:rsidR="00607062" w:rsidP="00607062" w:rsidRDefault="00607062" w14:paraId="4ADF0005" w14:textId="3530CA92">
      <w:pPr>
        <w:tabs>
          <w:tab w:val="left" w:pos="1080"/>
        </w:tabs>
        <w:spacing w:after="120" w:line="240" w:lineRule="auto"/>
        <w:ind w:left="1080" w:hanging="360"/>
        <w:rPr>
          <w:rFonts w:ascii="Palatino" w:hAnsi="Palatino" w:eastAsia="Times New Roman" w:cs="Times New Roman"/>
          <w:color w:val="0000FF"/>
          <w:szCs w:val="26"/>
        </w:rPr>
      </w:pPr>
      <w:r w:rsidRPr="00E83798">
        <w:rPr>
          <w:rFonts w:ascii="Palatino" w:hAnsi="Palatino" w:eastAsia="Times New Roman" w:cs="Times New Roman"/>
          <w:szCs w:val="20"/>
        </w:rPr>
        <w:t>3. </w:t>
      </w:r>
      <w:r w:rsidRPr="00E83798">
        <w:rPr>
          <w:rFonts w:ascii="Palatino" w:hAnsi="Palatino" w:eastAsia="Times New Roman" w:cs="Times New Roman"/>
          <w:b/>
          <w:bCs/>
          <w:szCs w:val="26"/>
        </w:rPr>
        <w:t xml:space="preserve">Pole </w:t>
      </w:r>
      <w:r w:rsidRPr="00A16838">
        <w:rPr>
          <w:rFonts w:ascii="Palatino" w:hAnsi="Palatino" w:eastAsia="Times New Roman" w:cs="Times New Roman"/>
          <w:b/>
          <w:bCs/>
          <w:i/>
          <w:iCs/>
          <w:color w:val="0000FF"/>
          <w:szCs w:val="26"/>
          <w:highlight w:val="yellow"/>
        </w:rPr>
        <w:t>Replacements and Reinforcements</w:t>
      </w:r>
      <w:r>
        <w:rPr>
          <w:rFonts w:ascii="Palatino" w:hAnsi="Palatino" w:eastAsia="Times New Roman" w:cs="Times New Roman"/>
          <w:b/>
          <w:bCs/>
          <w:szCs w:val="26"/>
        </w:rPr>
        <w:t xml:space="preserve"> </w:t>
      </w:r>
      <w:r w:rsidRPr="00A16838">
        <w:rPr>
          <w:rFonts w:ascii="Palatino" w:hAnsi="Palatino" w:eastAsia="Times New Roman" w:cs="Times New Roman"/>
          <w:b/>
          <w:bCs/>
          <w:strike/>
          <w:color w:val="EE0000"/>
          <w:szCs w:val="26"/>
          <w:highlight w:val="yellow"/>
        </w:rPr>
        <w:t xml:space="preserve">replacements </w:t>
      </w:r>
      <w:r w:rsidRPr="00A16838">
        <w:rPr>
          <w:rFonts w:ascii="Palatino" w:hAnsi="Palatino" w:eastAsia="Times New Roman" w:cs="Times New Roman"/>
          <w:b/>
          <w:bCs/>
          <w:i/>
          <w:iCs/>
          <w:strike/>
          <w:color w:val="EE0000"/>
          <w:szCs w:val="26"/>
          <w:highlight w:val="yellow"/>
        </w:rPr>
        <w:t>and reinforcements</w:t>
      </w:r>
      <w:r w:rsidRPr="00E83798">
        <w:rPr>
          <w:rFonts w:ascii="Palatino" w:hAnsi="Palatino" w:eastAsia="Times New Roman" w:cs="Times New Roman"/>
          <w:b/>
          <w:bCs/>
          <w:szCs w:val="26"/>
        </w:rPr>
        <w:t>.</w:t>
      </w:r>
      <w:r w:rsidRPr="00E83798">
        <w:rPr>
          <w:rFonts w:ascii="Palatino" w:hAnsi="Palatino" w:eastAsia="Times New Roman" w:cs="Times New Roman"/>
          <w:szCs w:val="26"/>
        </w:rPr>
        <w:t> Self</w:t>
      </w:r>
      <w:r w:rsidR="00E4753D">
        <w:rPr>
          <w:rFonts w:ascii="Palatino" w:hAnsi="Palatino" w:eastAsia="Times New Roman" w:cs="Times New Roman"/>
          <w:szCs w:val="26"/>
        </w:rPr>
        <w:noBreakHyphen/>
      </w:r>
      <w:r w:rsidRPr="00E83798">
        <w:rPr>
          <w:rFonts w:ascii="Palatino" w:hAnsi="Palatino" w:eastAsia="Times New Roman" w:cs="Times New Roman"/>
          <w:szCs w:val="26"/>
        </w:rPr>
        <w:t xml:space="preserve">help shall </w:t>
      </w:r>
      <w:r w:rsidRPr="00E83798">
        <w:rPr>
          <w:rFonts w:ascii="Palatino" w:hAnsi="Palatino" w:eastAsia="Times New Roman" w:cs="Times New Roman"/>
          <w:strike/>
          <w:color w:val="FF0000"/>
          <w:szCs w:val="26"/>
        </w:rPr>
        <w:t>not</w:t>
      </w:r>
      <w:r w:rsidRPr="00E83798">
        <w:rPr>
          <w:rFonts w:ascii="Palatino" w:hAnsi="Palatino" w:eastAsia="Times New Roman" w:cs="Times New Roman"/>
          <w:szCs w:val="26"/>
        </w:rPr>
        <w:t xml:space="preserve"> be available for pole </w:t>
      </w:r>
      <w:r w:rsidRPr="00E83798">
        <w:rPr>
          <w:rFonts w:ascii="Palatino" w:hAnsi="Palatino" w:eastAsia="Times New Roman" w:cs="Times New Roman"/>
          <w:i/>
          <w:iCs/>
          <w:color w:val="0000FF"/>
          <w:szCs w:val="26"/>
        </w:rPr>
        <w:t>replacements</w:t>
      </w:r>
      <w:r w:rsidRPr="00E83798">
        <w:rPr>
          <w:rFonts w:ascii="Palatino" w:hAnsi="Palatino" w:eastAsia="Times New Roman" w:cs="Times New Roman"/>
          <w:color w:val="0000FF"/>
          <w:szCs w:val="26"/>
        </w:rPr>
        <w:t xml:space="preserve"> </w:t>
      </w:r>
      <w:r w:rsidRPr="00E83798">
        <w:rPr>
          <w:rFonts w:ascii="Palatino" w:hAnsi="Palatino" w:eastAsia="Times New Roman" w:cs="Times New Roman"/>
          <w:i/>
          <w:iCs/>
          <w:color w:val="0000FF"/>
          <w:szCs w:val="26"/>
        </w:rPr>
        <w:t>under the following circumstances:</w:t>
      </w:r>
    </w:p>
    <w:p w:rsidRPr="00E83798" w:rsidR="00607062" w:rsidP="00607062" w:rsidRDefault="00607062" w14:paraId="68109F59" w14:textId="77777777">
      <w:pPr>
        <w:tabs>
          <w:tab w:val="left" w:pos="1080"/>
        </w:tabs>
        <w:spacing w:line="240" w:lineRule="auto"/>
        <w:rPr>
          <w:rFonts w:ascii="Palatino" w:hAnsi="Palatino" w:eastAsia="Times New Roman" w:cs="Times New Roman"/>
          <w:i/>
          <w:iCs/>
          <w:color w:val="0000FF"/>
          <w:szCs w:val="26"/>
        </w:rPr>
      </w:pPr>
      <w:r w:rsidRPr="00E83798">
        <w:rPr>
          <w:rFonts w:ascii="Palatino" w:hAnsi="Palatino" w:eastAsia="Times New Roman" w:cs="Times New Roman"/>
          <w:i/>
          <w:iCs/>
          <w:color w:val="0000FF"/>
          <w:szCs w:val="26"/>
        </w:rPr>
        <w:tab/>
        <w:t>a.</w:t>
      </w:r>
      <w:r w:rsidRPr="00E83798">
        <w:rPr>
          <w:rFonts w:ascii="Palatino" w:hAnsi="Palatino" w:eastAsia="Times New Roman" w:cs="Times New Roman"/>
          <w:i/>
          <w:iCs/>
          <w:color w:val="0000FF"/>
          <w:szCs w:val="26"/>
        </w:rPr>
        <w:tab/>
      </w:r>
      <w:r w:rsidRPr="00E83798">
        <w:rPr>
          <w:rFonts w:ascii="Palatino" w:hAnsi="Palatino" w:eastAsia="Times New Roman" w:cs="Times New Roman"/>
          <w:b/>
          <w:bCs/>
          <w:i/>
          <w:iCs/>
          <w:color w:val="0000FF"/>
          <w:szCs w:val="26"/>
        </w:rPr>
        <w:t>Reinforcement</w:t>
      </w:r>
      <w:r w:rsidRPr="00E83798">
        <w:rPr>
          <w:rFonts w:ascii="Palatino" w:hAnsi="Palatino" w:eastAsia="Times New Roman" w:cs="Times New Roman"/>
          <w:i/>
          <w:iCs/>
          <w:color w:val="0000FF"/>
          <w:szCs w:val="26"/>
        </w:rPr>
        <w:t xml:space="preserve">. </w:t>
      </w:r>
    </w:p>
    <w:p w:rsidRPr="00E83798" w:rsidR="00607062" w:rsidRDefault="00607062" w14:paraId="60BE09DF" w14:textId="1D1AD270">
      <w:pPr>
        <w:pStyle w:val="ListParagraph"/>
        <w:numPr>
          <w:ilvl w:val="1"/>
          <w:numId w:val="12"/>
        </w:numPr>
        <w:tabs>
          <w:tab w:val="left" w:pos="1080"/>
        </w:tabs>
        <w:spacing w:line="240" w:lineRule="auto"/>
        <w:rPr>
          <w:rFonts w:ascii="Palatino" w:hAnsi="Palatino" w:eastAsia="Times New Roman" w:cs="Times New Roman"/>
          <w:i/>
          <w:iCs/>
          <w:color w:val="0000FF"/>
          <w:szCs w:val="26"/>
        </w:rPr>
      </w:pPr>
      <w:r w:rsidRPr="0046799D">
        <w:rPr>
          <w:rFonts w:ascii="Palatino" w:hAnsi="Palatino" w:eastAsia="Times New Roman" w:cs="Times New Roman"/>
          <w:i/>
          <w:iCs/>
          <w:strike/>
          <w:color w:val="EE0000"/>
          <w:szCs w:val="26"/>
          <w:highlight w:val="yellow"/>
        </w:rPr>
        <w:t xml:space="preserve">In instances wherein reinforcement will </w:t>
      </w:r>
      <w:r w:rsidRPr="006F6FEA">
        <w:rPr>
          <w:rFonts w:ascii="Palatino" w:hAnsi="Palatino" w:eastAsia="Times New Roman" w:cs="Times New Roman"/>
          <w:i/>
          <w:iCs/>
          <w:strike/>
          <w:color w:val="EE0000"/>
          <w:szCs w:val="26"/>
          <w:highlight w:val="yellow"/>
        </w:rPr>
        <w:t>bring</w:t>
      </w:r>
      <w:r w:rsidRPr="006F6FEA">
        <w:rPr>
          <w:rFonts w:ascii="Palatino" w:hAnsi="Palatino" w:eastAsia="Times New Roman" w:cs="Times New Roman"/>
          <w:i/>
          <w:iCs/>
          <w:color w:val="EE0000"/>
          <w:szCs w:val="26"/>
          <w:highlight w:val="yellow"/>
        </w:rPr>
        <w:t xml:space="preserve"> </w:t>
      </w:r>
      <w:r w:rsidRPr="006F6FEA">
        <w:rPr>
          <w:rFonts w:ascii="Palatino" w:hAnsi="Palatino" w:eastAsia="Times New Roman" w:cs="Times New Roman"/>
          <w:i/>
          <w:iCs/>
          <w:color w:val="0000FF"/>
          <w:szCs w:val="26"/>
          <w:highlight w:val="yellow"/>
        </w:rPr>
        <w:t>I</w:t>
      </w:r>
      <w:r w:rsidRPr="0046799D">
        <w:rPr>
          <w:rFonts w:ascii="Palatino" w:hAnsi="Palatino" w:eastAsia="Times New Roman" w:cs="Times New Roman"/>
          <w:i/>
          <w:iCs/>
          <w:color w:val="0000FF"/>
          <w:szCs w:val="26"/>
          <w:highlight w:val="yellow"/>
        </w:rPr>
        <w:t>n instances where the incumbent utility approves a reinforcement and determines that the reinforcement will bring</w:t>
      </w:r>
      <w:r w:rsidRPr="0046799D">
        <w:rPr>
          <w:rFonts w:ascii="Palatino" w:hAnsi="Palatino" w:eastAsia="Times New Roman" w:cs="Times New Roman"/>
          <w:i/>
          <w:iCs/>
          <w:color w:val="0000FF"/>
          <w:szCs w:val="26"/>
        </w:rPr>
        <w:t xml:space="preserve"> </w:t>
      </w:r>
      <w:r w:rsidRPr="00E83798">
        <w:rPr>
          <w:rFonts w:ascii="Palatino" w:hAnsi="Palatino" w:eastAsia="Times New Roman" w:cs="Times New Roman"/>
          <w:i/>
          <w:iCs/>
          <w:color w:val="0000FF"/>
          <w:szCs w:val="26"/>
        </w:rPr>
        <w:t>a proposed attachment into compliance, an attacher may utilize the Self</w:t>
      </w:r>
      <w:r w:rsidR="00E4753D">
        <w:rPr>
          <w:rFonts w:ascii="Palatino" w:hAnsi="Palatino" w:eastAsia="Times New Roman" w:cs="Times New Roman"/>
          <w:i/>
          <w:iCs/>
          <w:color w:val="0000FF"/>
          <w:szCs w:val="26"/>
        </w:rPr>
        <w:noBreakHyphen/>
      </w:r>
      <w:r w:rsidRPr="00E83798">
        <w:rPr>
          <w:rFonts w:ascii="Palatino" w:hAnsi="Palatino" w:eastAsia="Times New Roman" w:cs="Times New Roman"/>
          <w:i/>
          <w:iCs/>
          <w:color w:val="0000FF"/>
          <w:szCs w:val="26"/>
        </w:rPr>
        <w:t>Help Remedy procedures outlined herein. However, the attacher must:</w:t>
      </w:r>
    </w:p>
    <w:p w:rsidRPr="00E83798" w:rsidR="00607062" w:rsidRDefault="00607062" w14:paraId="758DA978" w14:textId="2D43C8A9">
      <w:pPr>
        <w:pStyle w:val="ListParagraph"/>
        <w:numPr>
          <w:ilvl w:val="2"/>
          <w:numId w:val="12"/>
        </w:numPr>
        <w:tabs>
          <w:tab w:val="left" w:pos="1080"/>
        </w:tabs>
        <w:spacing w:line="240" w:lineRule="auto"/>
        <w:rPr>
          <w:rFonts w:ascii="Palatino" w:hAnsi="Palatino" w:eastAsia="Times New Roman" w:cs="Times New Roman"/>
          <w:i/>
          <w:iCs/>
          <w:color w:val="0000FF"/>
          <w:szCs w:val="26"/>
        </w:rPr>
      </w:pPr>
      <w:r w:rsidRPr="00E83798">
        <w:rPr>
          <w:rFonts w:ascii="Palatino" w:hAnsi="Palatino" w:eastAsia="Times New Roman" w:cs="Times New Roman"/>
          <w:i/>
          <w:iCs/>
          <w:color w:val="0000FF"/>
          <w:szCs w:val="26"/>
        </w:rPr>
        <w:lastRenderedPageBreak/>
        <w:t>Utilize the incumbent utility’s approved contractors</w:t>
      </w:r>
      <w:r w:rsidRPr="00660D21">
        <w:rPr>
          <w:rFonts w:ascii="Palatino" w:hAnsi="Palatino" w:eastAsia="Times New Roman" w:cs="Times New Roman"/>
          <w:i/>
          <w:iCs/>
          <w:color w:val="0000FF"/>
          <w:szCs w:val="26"/>
          <w:highlight w:val="yellow"/>
        </w:rPr>
        <w:t>, subject to Section IV.H.2 and Section IV.H.8 regarding the use of third</w:t>
      </w:r>
      <w:r w:rsidR="00E4753D">
        <w:rPr>
          <w:rFonts w:ascii="Palatino" w:hAnsi="Palatino" w:eastAsia="Times New Roman" w:cs="Times New Roman"/>
          <w:i/>
          <w:iCs/>
          <w:color w:val="0000FF"/>
          <w:szCs w:val="26"/>
          <w:highlight w:val="yellow"/>
        </w:rPr>
        <w:noBreakHyphen/>
      </w:r>
      <w:r w:rsidRPr="00660D21">
        <w:rPr>
          <w:rFonts w:ascii="Palatino" w:hAnsi="Palatino" w:eastAsia="Times New Roman" w:cs="Times New Roman"/>
          <w:i/>
          <w:iCs/>
          <w:color w:val="0000FF"/>
          <w:szCs w:val="26"/>
          <w:highlight w:val="yellow"/>
        </w:rPr>
        <w:t>party contractors</w:t>
      </w:r>
      <w:r w:rsidRPr="00E83798">
        <w:rPr>
          <w:rFonts w:ascii="Palatino" w:hAnsi="Palatino" w:eastAsia="Times New Roman" w:cs="Times New Roman"/>
          <w:i/>
          <w:iCs/>
          <w:color w:val="0000FF"/>
          <w:szCs w:val="26"/>
        </w:rPr>
        <w:t>.</w:t>
      </w:r>
    </w:p>
    <w:p w:rsidRPr="00E83798" w:rsidR="00607062" w:rsidRDefault="00607062" w14:paraId="56AB4B4A" w14:textId="77777777">
      <w:pPr>
        <w:pStyle w:val="ListParagraph"/>
        <w:numPr>
          <w:ilvl w:val="2"/>
          <w:numId w:val="12"/>
        </w:numPr>
        <w:tabs>
          <w:tab w:val="left" w:pos="1080"/>
        </w:tabs>
        <w:spacing w:line="240" w:lineRule="auto"/>
        <w:rPr>
          <w:rFonts w:ascii="Palatino" w:hAnsi="Palatino" w:eastAsia="Times New Roman" w:cs="Times New Roman"/>
          <w:i/>
          <w:iCs/>
          <w:color w:val="0000FF"/>
          <w:szCs w:val="26"/>
        </w:rPr>
      </w:pPr>
      <w:r w:rsidRPr="00E83798">
        <w:rPr>
          <w:rFonts w:ascii="Palatino" w:hAnsi="Palatino" w:eastAsia="Times New Roman" w:cs="Times New Roman"/>
          <w:i/>
          <w:iCs/>
          <w:color w:val="0000FF"/>
          <w:szCs w:val="26"/>
        </w:rPr>
        <w:t xml:space="preserve">Comply with relevant </w:t>
      </w:r>
      <w:r w:rsidRPr="00A95B3F">
        <w:rPr>
          <w:rFonts w:ascii="Palatino" w:hAnsi="Palatino" w:eastAsia="Times New Roman" w:cs="Times New Roman"/>
          <w:i/>
          <w:iCs/>
          <w:color w:val="0000FF"/>
          <w:szCs w:val="26"/>
          <w:highlight w:val="yellow"/>
        </w:rPr>
        <w:t>standards,</w:t>
      </w:r>
      <w:r>
        <w:rPr>
          <w:rFonts w:ascii="Palatino" w:hAnsi="Palatino" w:eastAsia="Times New Roman" w:cs="Times New Roman"/>
          <w:i/>
          <w:iCs/>
          <w:color w:val="0000FF"/>
          <w:szCs w:val="26"/>
        </w:rPr>
        <w:t xml:space="preserve"> </w:t>
      </w:r>
      <w:r w:rsidRPr="00E83798">
        <w:rPr>
          <w:rFonts w:ascii="Palatino" w:hAnsi="Palatino" w:eastAsia="Times New Roman" w:cs="Times New Roman"/>
          <w:i/>
          <w:iCs/>
          <w:color w:val="0000FF"/>
          <w:szCs w:val="26"/>
        </w:rPr>
        <w:t>processes</w:t>
      </w:r>
      <w:r w:rsidRPr="00A95B3F">
        <w:rPr>
          <w:rFonts w:ascii="Palatino" w:hAnsi="Palatino" w:eastAsia="Times New Roman" w:cs="Times New Roman"/>
          <w:i/>
          <w:iCs/>
          <w:color w:val="0000FF"/>
          <w:szCs w:val="26"/>
          <w:highlight w:val="yellow"/>
        </w:rPr>
        <w:t>,</w:t>
      </w:r>
      <w:r w:rsidRPr="00E83798">
        <w:rPr>
          <w:rFonts w:ascii="Palatino" w:hAnsi="Palatino" w:eastAsia="Times New Roman" w:cs="Times New Roman"/>
          <w:i/>
          <w:iCs/>
          <w:color w:val="0000FF"/>
          <w:szCs w:val="26"/>
        </w:rPr>
        <w:t xml:space="preserve"> and procedures of the incumbent utility.</w:t>
      </w:r>
    </w:p>
    <w:p w:rsidRPr="00E83798" w:rsidR="00607062" w:rsidRDefault="00607062" w14:paraId="047448E7" w14:textId="77777777">
      <w:pPr>
        <w:pStyle w:val="ListParagraph"/>
        <w:numPr>
          <w:ilvl w:val="2"/>
          <w:numId w:val="12"/>
        </w:numPr>
        <w:tabs>
          <w:tab w:val="left" w:pos="1080"/>
        </w:tabs>
        <w:spacing w:line="240" w:lineRule="auto"/>
        <w:rPr>
          <w:rFonts w:ascii="Palatino" w:hAnsi="Palatino" w:eastAsia="Times New Roman" w:cs="Times New Roman"/>
          <w:i/>
          <w:iCs/>
          <w:color w:val="0000FF"/>
          <w:szCs w:val="26"/>
        </w:rPr>
      </w:pPr>
      <w:r w:rsidRPr="00E83798">
        <w:rPr>
          <w:rFonts w:ascii="Palatino" w:hAnsi="Palatino" w:eastAsia="Times New Roman" w:cs="Times New Roman"/>
          <w:i/>
          <w:iCs/>
          <w:color w:val="0000FF"/>
          <w:szCs w:val="26"/>
        </w:rPr>
        <w:t>Coordinate with the incumbent utility to notify and inform affected customers of the work being performed.</w:t>
      </w:r>
    </w:p>
    <w:p w:rsidRPr="00E83798" w:rsidR="00607062" w:rsidP="00607062" w:rsidRDefault="00607062" w14:paraId="7C1D726C" w14:textId="77777777">
      <w:pPr>
        <w:tabs>
          <w:tab w:val="left" w:pos="1080"/>
        </w:tabs>
        <w:spacing w:line="240" w:lineRule="auto"/>
        <w:ind w:left="1080" w:firstLine="0"/>
        <w:rPr>
          <w:rFonts w:ascii="Palatino" w:hAnsi="Palatino" w:eastAsia="Times New Roman" w:cs="Times New Roman"/>
          <w:i/>
          <w:iCs/>
          <w:color w:val="0000FF"/>
          <w:szCs w:val="26"/>
        </w:rPr>
      </w:pPr>
      <w:r w:rsidRPr="00E83798">
        <w:rPr>
          <w:rFonts w:ascii="Palatino" w:hAnsi="Palatino" w:eastAsia="Times New Roman" w:cs="Times New Roman"/>
          <w:b/>
          <w:bCs/>
          <w:i/>
          <w:iCs/>
          <w:color w:val="0000FF"/>
          <w:szCs w:val="26"/>
        </w:rPr>
        <w:t>b.</w:t>
      </w:r>
      <w:r w:rsidRPr="00E83798">
        <w:rPr>
          <w:rFonts w:ascii="Palatino" w:hAnsi="Palatino" w:eastAsia="Times New Roman" w:cs="Times New Roman"/>
          <w:b/>
          <w:bCs/>
          <w:i/>
          <w:iCs/>
          <w:color w:val="0000FF"/>
          <w:szCs w:val="26"/>
        </w:rPr>
        <w:tab/>
        <w:t>Simple Pole Replacements</w:t>
      </w:r>
      <w:r w:rsidRPr="00E83798">
        <w:rPr>
          <w:rFonts w:ascii="Palatino" w:hAnsi="Palatino" w:eastAsia="Times New Roman" w:cs="Times New Roman"/>
          <w:i/>
          <w:iCs/>
          <w:color w:val="0000FF"/>
          <w:szCs w:val="26"/>
        </w:rPr>
        <w:t>.</w:t>
      </w:r>
    </w:p>
    <w:p w:rsidRPr="00E83798" w:rsidR="00607062" w:rsidRDefault="00607062" w14:paraId="10BB9565" w14:textId="378C180A">
      <w:pPr>
        <w:pStyle w:val="ListParagraph"/>
        <w:numPr>
          <w:ilvl w:val="0"/>
          <w:numId w:val="13"/>
        </w:numPr>
        <w:tabs>
          <w:tab w:val="left" w:pos="1080"/>
        </w:tabs>
        <w:spacing w:line="240" w:lineRule="auto"/>
        <w:rPr>
          <w:rFonts w:ascii="Palatino" w:hAnsi="Palatino" w:eastAsia="Times New Roman" w:cs="Times New Roman"/>
          <w:i/>
          <w:iCs/>
          <w:color w:val="0000FF"/>
          <w:szCs w:val="26"/>
        </w:rPr>
      </w:pPr>
      <w:r w:rsidRPr="00E83798">
        <w:rPr>
          <w:rFonts w:ascii="Palatino" w:hAnsi="Palatino" w:eastAsia="Times New Roman" w:cs="Times New Roman"/>
          <w:i/>
          <w:iCs/>
          <w:color w:val="0000FF"/>
          <w:szCs w:val="26"/>
        </w:rPr>
        <w:t xml:space="preserve">In instances wherein a pole can be replaced with minimal disruption </w:t>
      </w:r>
      <w:r w:rsidRPr="000056D4" w:rsidR="008725EC">
        <w:rPr>
          <w:rFonts w:ascii="Palatino" w:hAnsi="Palatino" w:eastAsia="Times New Roman" w:cs="Times New Roman"/>
          <w:i/>
          <w:iCs/>
          <w:color w:val="0000FF"/>
          <w:szCs w:val="26"/>
          <w:highlight w:val="green"/>
        </w:rPr>
        <w:t>and without necessitating deenergization</w:t>
      </w:r>
      <w:r w:rsidRPr="00DC7EAB" w:rsidR="008725EC">
        <w:rPr>
          <w:rFonts w:ascii="Palatino" w:hAnsi="Palatino" w:eastAsia="Times New Roman" w:cs="Times New Roman"/>
          <w:i/>
          <w:iCs/>
          <w:strike/>
          <w:color w:val="EE0000"/>
          <w:szCs w:val="26"/>
          <w:highlight w:val="green"/>
        </w:rPr>
        <w:t>(e.g., does not have electric facilities or does not require deenergization)</w:t>
      </w:r>
      <w:r w:rsidRPr="00E83798">
        <w:rPr>
          <w:rFonts w:ascii="Palatino" w:hAnsi="Palatino" w:eastAsia="Times New Roman" w:cs="Times New Roman"/>
          <w:i/>
          <w:iCs/>
          <w:color w:val="0000FF"/>
          <w:szCs w:val="26"/>
        </w:rPr>
        <w:t>, an attacher may utilize the Self</w:t>
      </w:r>
      <w:r w:rsidR="00E4753D">
        <w:rPr>
          <w:rFonts w:ascii="Palatino" w:hAnsi="Palatino" w:eastAsia="Times New Roman" w:cs="Times New Roman"/>
          <w:i/>
          <w:iCs/>
          <w:color w:val="0000FF"/>
          <w:szCs w:val="26"/>
        </w:rPr>
        <w:noBreakHyphen/>
      </w:r>
      <w:r w:rsidRPr="00E83798">
        <w:rPr>
          <w:rFonts w:ascii="Palatino" w:hAnsi="Palatino" w:eastAsia="Times New Roman" w:cs="Times New Roman"/>
          <w:i/>
          <w:iCs/>
          <w:color w:val="0000FF"/>
          <w:szCs w:val="26"/>
        </w:rPr>
        <w:t>Help Remedy procedures outlined herein. However, the attacher must:</w:t>
      </w:r>
    </w:p>
    <w:p w:rsidRPr="00E83798" w:rsidR="00607062" w:rsidRDefault="00607062" w14:paraId="075EF66C" w14:textId="5B7C8418">
      <w:pPr>
        <w:pStyle w:val="ListParagraph"/>
        <w:numPr>
          <w:ilvl w:val="2"/>
          <w:numId w:val="12"/>
        </w:numPr>
        <w:tabs>
          <w:tab w:val="left" w:pos="1080"/>
        </w:tabs>
        <w:spacing w:line="240" w:lineRule="auto"/>
        <w:rPr>
          <w:rFonts w:ascii="Palatino" w:hAnsi="Palatino" w:eastAsia="Times New Roman" w:cs="Times New Roman"/>
          <w:i/>
          <w:iCs/>
          <w:color w:val="0000FF"/>
          <w:szCs w:val="26"/>
        </w:rPr>
      </w:pPr>
      <w:r w:rsidRPr="00E83798">
        <w:rPr>
          <w:rFonts w:ascii="Palatino" w:hAnsi="Palatino" w:eastAsia="Times New Roman" w:cs="Times New Roman"/>
          <w:i/>
          <w:iCs/>
          <w:color w:val="0000FF"/>
          <w:szCs w:val="26"/>
        </w:rPr>
        <w:t>Utilize the incumbent utility’s approved contractors</w:t>
      </w:r>
      <w:r w:rsidRPr="00A108D4">
        <w:rPr>
          <w:rFonts w:ascii="Palatino" w:hAnsi="Palatino" w:eastAsia="Times New Roman" w:cs="Times New Roman"/>
          <w:i/>
          <w:iCs/>
          <w:color w:val="0000FF"/>
          <w:szCs w:val="26"/>
          <w:highlight w:val="yellow"/>
        </w:rPr>
        <w:t>, subject to Section IV.H.2 and Section IV.H.8 regarding the use of third</w:t>
      </w:r>
      <w:r w:rsidR="00E4753D">
        <w:rPr>
          <w:rFonts w:ascii="Palatino" w:hAnsi="Palatino" w:eastAsia="Times New Roman" w:cs="Times New Roman"/>
          <w:i/>
          <w:iCs/>
          <w:color w:val="0000FF"/>
          <w:szCs w:val="26"/>
          <w:highlight w:val="yellow"/>
        </w:rPr>
        <w:noBreakHyphen/>
      </w:r>
      <w:r w:rsidRPr="00A108D4">
        <w:rPr>
          <w:rFonts w:ascii="Palatino" w:hAnsi="Palatino" w:eastAsia="Times New Roman" w:cs="Times New Roman"/>
          <w:i/>
          <w:iCs/>
          <w:color w:val="0000FF"/>
          <w:szCs w:val="26"/>
          <w:highlight w:val="yellow"/>
        </w:rPr>
        <w:t>party contractors</w:t>
      </w:r>
      <w:r w:rsidRPr="00E83798">
        <w:rPr>
          <w:rFonts w:ascii="Palatino" w:hAnsi="Palatino" w:eastAsia="Times New Roman" w:cs="Times New Roman"/>
          <w:i/>
          <w:iCs/>
          <w:color w:val="0000FF"/>
          <w:szCs w:val="26"/>
        </w:rPr>
        <w:t>.</w:t>
      </w:r>
      <w:r>
        <w:rPr>
          <w:rFonts w:ascii="Palatino" w:hAnsi="Palatino" w:eastAsia="Times New Roman" w:cs="Times New Roman"/>
          <w:i/>
          <w:iCs/>
          <w:color w:val="0000FF"/>
          <w:szCs w:val="26"/>
        </w:rPr>
        <w:t xml:space="preserve"> </w:t>
      </w:r>
    </w:p>
    <w:p w:rsidRPr="00E83798" w:rsidR="00607062" w:rsidRDefault="00607062" w14:paraId="61203F96" w14:textId="77777777">
      <w:pPr>
        <w:pStyle w:val="ListParagraph"/>
        <w:numPr>
          <w:ilvl w:val="2"/>
          <w:numId w:val="12"/>
        </w:numPr>
        <w:tabs>
          <w:tab w:val="left" w:pos="1080"/>
        </w:tabs>
        <w:spacing w:line="240" w:lineRule="auto"/>
        <w:rPr>
          <w:rFonts w:ascii="Palatino" w:hAnsi="Palatino" w:eastAsia="Times New Roman" w:cs="Times New Roman"/>
          <w:i/>
          <w:iCs/>
          <w:color w:val="0000FF"/>
          <w:szCs w:val="26"/>
        </w:rPr>
      </w:pPr>
      <w:r w:rsidRPr="00E83798">
        <w:rPr>
          <w:rFonts w:ascii="Palatino" w:hAnsi="Palatino" w:eastAsia="Times New Roman" w:cs="Times New Roman"/>
          <w:i/>
          <w:iCs/>
          <w:color w:val="0000FF"/>
          <w:szCs w:val="26"/>
        </w:rPr>
        <w:t xml:space="preserve">Comply with relevant </w:t>
      </w:r>
      <w:r w:rsidRPr="0008737A">
        <w:rPr>
          <w:rFonts w:ascii="Palatino" w:hAnsi="Palatino" w:eastAsia="Times New Roman" w:cs="Times New Roman"/>
          <w:i/>
          <w:iCs/>
          <w:color w:val="0000FF"/>
          <w:szCs w:val="26"/>
          <w:highlight w:val="yellow"/>
        </w:rPr>
        <w:t>standards,</w:t>
      </w:r>
      <w:r>
        <w:rPr>
          <w:rFonts w:ascii="Palatino" w:hAnsi="Palatino" w:eastAsia="Times New Roman" w:cs="Times New Roman"/>
          <w:i/>
          <w:iCs/>
          <w:color w:val="0000FF"/>
          <w:szCs w:val="26"/>
        </w:rPr>
        <w:t xml:space="preserve"> </w:t>
      </w:r>
      <w:r w:rsidRPr="00E83798">
        <w:rPr>
          <w:rFonts w:ascii="Palatino" w:hAnsi="Palatino" w:eastAsia="Times New Roman" w:cs="Times New Roman"/>
          <w:i/>
          <w:iCs/>
          <w:color w:val="0000FF"/>
          <w:szCs w:val="26"/>
        </w:rPr>
        <w:t>processes</w:t>
      </w:r>
      <w:r w:rsidRPr="0008737A">
        <w:rPr>
          <w:rFonts w:ascii="Palatino" w:hAnsi="Palatino" w:eastAsia="Times New Roman" w:cs="Times New Roman"/>
          <w:i/>
          <w:iCs/>
          <w:color w:val="0000FF"/>
          <w:szCs w:val="26"/>
          <w:highlight w:val="yellow"/>
        </w:rPr>
        <w:t>,</w:t>
      </w:r>
      <w:r w:rsidRPr="00E83798">
        <w:rPr>
          <w:rFonts w:ascii="Palatino" w:hAnsi="Palatino" w:eastAsia="Times New Roman" w:cs="Times New Roman"/>
          <w:i/>
          <w:iCs/>
          <w:color w:val="0000FF"/>
          <w:szCs w:val="26"/>
        </w:rPr>
        <w:t xml:space="preserve"> and procedures of the incumbent utility.</w:t>
      </w:r>
    </w:p>
    <w:p w:rsidR="00607062" w:rsidRDefault="00607062" w14:paraId="2D3439BB" w14:textId="77777777">
      <w:pPr>
        <w:pStyle w:val="ListParagraph"/>
        <w:numPr>
          <w:ilvl w:val="2"/>
          <w:numId w:val="12"/>
        </w:numPr>
        <w:tabs>
          <w:tab w:val="left" w:pos="1080"/>
        </w:tabs>
        <w:spacing w:line="240" w:lineRule="auto"/>
        <w:rPr>
          <w:rFonts w:ascii="Palatino" w:hAnsi="Palatino" w:eastAsia="Times New Roman" w:cs="Times New Roman"/>
          <w:i/>
          <w:iCs/>
          <w:color w:val="0000FF"/>
          <w:szCs w:val="26"/>
        </w:rPr>
      </w:pPr>
      <w:r w:rsidRPr="00E83798">
        <w:rPr>
          <w:rFonts w:ascii="Palatino" w:hAnsi="Palatino" w:eastAsia="Times New Roman" w:cs="Times New Roman"/>
          <w:i/>
          <w:iCs/>
          <w:color w:val="0000FF"/>
          <w:szCs w:val="26"/>
        </w:rPr>
        <w:t>Coordinate with the incumbent utility to notify and inform affected customers of the work being performed.</w:t>
      </w:r>
    </w:p>
    <w:p w:rsidRPr="00F11A5A" w:rsidR="00607062" w:rsidRDefault="00607062" w14:paraId="4797856A" w14:textId="14830CE7">
      <w:pPr>
        <w:pStyle w:val="ListParagraph"/>
        <w:numPr>
          <w:ilvl w:val="1"/>
          <w:numId w:val="12"/>
        </w:numPr>
        <w:spacing w:line="240" w:lineRule="auto"/>
        <w:rPr>
          <w:rFonts w:ascii="Palatino" w:hAnsi="Palatino" w:eastAsia="Times New Roman" w:cs="Times New Roman"/>
          <w:i/>
          <w:iCs/>
          <w:color w:val="0000FF"/>
          <w:szCs w:val="26"/>
          <w:highlight w:val="yellow"/>
        </w:rPr>
      </w:pPr>
      <w:r w:rsidRPr="00F11A5A">
        <w:rPr>
          <w:rFonts w:ascii="Palatino" w:hAnsi="Palatino" w:eastAsia="Times New Roman" w:cs="Times New Roman"/>
          <w:i/>
          <w:iCs/>
          <w:color w:val="0000FF"/>
          <w:szCs w:val="26"/>
          <w:highlight w:val="yellow"/>
        </w:rPr>
        <w:t>An attacher utilizing the Self</w:t>
      </w:r>
      <w:r w:rsidR="00E4753D">
        <w:rPr>
          <w:rFonts w:ascii="Palatino" w:hAnsi="Palatino" w:eastAsia="Times New Roman" w:cs="Times New Roman"/>
          <w:i/>
          <w:iCs/>
          <w:color w:val="0000FF"/>
          <w:szCs w:val="26"/>
          <w:highlight w:val="yellow"/>
        </w:rPr>
        <w:noBreakHyphen/>
      </w:r>
      <w:r w:rsidRPr="00F11A5A">
        <w:rPr>
          <w:rFonts w:ascii="Palatino" w:hAnsi="Palatino" w:eastAsia="Times New Roman" w:cs="Times New Roman"/>
          <w:i/>
          <w:iCs/>
          <w:color w:val="0000FF"/>
          <w:szCs w:val="26"/>
          <w:highlight w:val="yellow"/>
        </w:rPr>
        <w:t xml:space="preserve">Help Remedy for a simple pole replacement shall notify the pole owner when work is completed and the replacement pole is ready for inspection. The pole owner shall perform a final inspection of the installed new pole and identify any problems requiring remediation. </w:t>
      </w:r>
      <w:r w:rsidRPr="00DC7EAB" w:rsidR="00EF6BB9">
        <w:rPr>
          <w:rFonts w:ascii="Palatino" w:hAnsi="Palatino" w:eastAsia="Times New Roman" w:cs="Times New Roman"/>
          <w:i/>
          <w:iCs/>
          <w:strike/>
          <w:color w:val="EE0000"/>
          <w:szCs w:val="26"/>
          <w:highlight w:val="green"/>
        </w:rPr>
        <w:t>If no problems are identified, the pole owner shall formally accept the installation and relieve the attacher of liability for the installation.</w:t>
      </w:r>
      <w:r w:rsidRPr="00F11A5A">
        <w:rPr>
          <w:rFonts w:ascii="Palatino" w:hAnsi="Palatino" w:eastAsia="Times New Roman" w:cs="Times New Roman"/>
          <w:i/>
          <w:iCs/>
          <w:color w:val="0000FF"/>
          <w:szCs w:val="26"/>
          <w:highlight w:val="yellow"/>
        </w:rPr>
        <w:t xml:space="preserve"> </w:t>
      </w:r>
    </w:p>
    <w:p w:rsidRPr="00E83798" w:rsidR="00607062" w:rsidRDefault="00607062" w14:paraId="1AE5FC1E" w14:textId="77777777">
      <w:pPr>
        <w:pStyle w:val="ListParagraph"/>
        <w:numPr>
          <w:ilvl w:val="0"/>
          <w:numId w:val="12"/>
        </w:numPr>
        <w:tabs>
          <w:tab w:val="left" w:pos="1080"/>
        </w:tabs>
        <w:spacing w:line="240" w:lineRule="auto"/>
        <w:rPr>
          <w:rFonts w:ascii="Palatino" w:hAnsi="Palatino" w:eastAsia="Times New Roman" w:cs="Times New Roman"/>
          <w:i/>
          <w:iCs/>
          <w:color w:val="0000FF"/>
          <w:szCs w:val="26"/>
        </w:rPr>
      </w:pPr>
      <w:r w:rsidRPr="00E83798">
        <w:rPr>
          <w:rFonts w:ascii="Palatino" w:hAnsi="Palatino" w:eastAsia="Times New Roman" w:cs="Times New Roman"/>
          <w:b/>
          <w:bCs/>
          <w:i/>
          <w:iCs/>
          <w:color w:val="0000FF"/>
          <w:szCs w:val="26"/>
        </w:rPr>
        <w:t>Complex Pole Replacements</w:t>
      </w:r>
      <w:r w:rsidRPr="00E83798">
        <w:rPr>
          <w:rFonts w:ascii="Palatino" w:hAnsi="Palatino" w:eastAsia="Times New Roman" w:cs="Times New Roman"/>
          <w:i/>
          <w:iCs/>
          <w:color w:val="0000FF"/>
          <w:szCs w:val="26"/>
        </w:rPr>
        <w:t>.</w:t>
      </w:r>
    </w:p>
    <w:p w:rsidRPr="00E83798" w:rsidR="00607062" w:rsidRDefault="00607062" w14:paraId="0405BEC1" w14:textId="7067B12A">
      <w:pPr>
        <w:pStyle w:val="ListParagraph"/>
        <w:numPr>
          <w:ilvl w:val="1"/>
          <w:numId w:val="12"/>
        </w:numPr>
        <w:tabs>
          <w:tab w:val="left" w:pos="1080"/>
        </w:tabs>
        <w:spacing w:line="240" w:lineRule="auto"/>
        <w:rPr>
          <w:rFonts w:ascii="Palatino" w:hAnsi="Palatino" w:eastAsia="Times New Roman" w:cs="Times New Roman"/>
          <w:i/>
          <w:iCs/>
          <w:color w:val="0000FF"/>
          <w:szCs w:val="26"/>
        </w:rPr>
      </w:pPr>
      <w:r w:rsidRPr="00E83798">
        <w:rPr>
          <w:rFonts w:ascii="Palatino" w:hAnsi="Palatino" w:eastAsia="Times New Roman" w:cs="Times New Roman"/>
          <w:i/>
          <w:iCs/>
          <w:color w:val="0000FF"/>
          <w:szCs w:val="26"/>
        </w:rPr>
        <w:t>Self</w:t>
      </w:r>
      <w:r w:rsidR="00E4753D">
        <w:rPr>
          <w:rFonts w:ascii="Palatino" w:hAnsi="Palatino" w:eastAsia="Times New Roman" w:cs="Times New Roman"/>
          <w:i/>
          <w:iCs/>
          <w:color w:val="0000FF"/>
          <w:szCs w:val="26"/>
        </w:rPr>
        <w:noBreakHyphen/>
      </w:r>
      <w:r w:rsidRPr="00E83798">
        <w:rPr>
          <w:rFonts w:ascii="Palatino" w:hAnsi="Palatino" w:eastAsia="Times New Roman" w:cs="Times New Roman"/>
          <w:i/>
          <w:iCs/>
          <w:color w:val="0000FF"/>
          <w:szCs w:val="26"/>
        </w:rPr>
        <w:t>help shall not be available for pole replacements that require a disruption of utility service.</w:t>
      </w:r>
    </w:p>
    <w:p w:rsidRPr="00E83798" w:rsidR="00607062" w:rsidRDefault="00607062" w14:paraId="6B7399E6" w14:textId="77777777">
      <w:pPr>
        <w:pStyle w:val="ListParagraph"/>
        <w:numPr>
          <w:ilvl w:val="1"/>
          <w:numId w:val="12"/>
        </w:numPr>
        <w:tabs>
          <w:tab w:val="left" w:pos="1080"/>
        </w:tabs>
        <w:spacing w:line="240" w:lineRule="auto"/>
        <w:rPr>
          <w:rFonts w:ascii="Palatino" w:hAnsi="Palatino" w:eastAsia="Times New Roman" w:cs="Times New Roman"/>
          <w:i/>
          <w:iCs/>
          <w:color w:val="0000FF"/>
          <w:szCs w:val="26"/>
        </w:rPr>
      </w:pPr>
      <w:r w:rsidRPr="00E83798">
        <w:rPr>
          <w:rFonts w:ascii="Palatino" w:hAnsi="Palatino" w:eastAsia="Times New Roman" w:cs="Times New Roman"/>
          <w:i/>
          <w:iCs/>
          <w:color w:val="0000FF"/>
          <w:szCs w:val="26"/>
        </w:rPr>
        <w:t>Pole owners are</w:t>
      </w:r>
      <w:r>
        <w:rPr>
          <w:rFonts w:ascii="Palatino" w:hAnsi="Palatino" w:eastAsia="Times New Roman" w:cs="Times New Roman"/>
          <w:i/>
          <w:iCs/>
          <w:color w:val="0000FF"/>
          <w:szCs w:val="26"/>
        </w:rPr>
        <w:t xml:space="preserve"> </w:t>
      </w:r>
      <w:r w:rsidRPr="0004146F">
        <w:rPr>
          <w:rFonts w:ascii="Palatino" w:hAnsi="Palatino" w:eastAsia="Times New Roman" w:cs="Times New Roman"/>
          <w:i/>
          <w:iCs/>
          <w:color w:val="0000FF"/>
          <w:szCs w:val="26"/>
          <w:highlight w:val="yellow"/>
        </w:rPr>
        <w:t>encouraged but not</w:t>
      </w:r>
      <w:r w:rsidRPr="00E83798">
        <w:rPr>
          <w:rFonts w:ascii="Palatino" w:hAnsi="Palatino" w:eastAsia="Times New Roman" w:cs="Times New Roman"/>
          <w:i/>
          <w:iCs/>
          <w:color w:val="0000FF"/>
          <w:szCs w:val="26"/>
        </w:rPr>
        <w:t xml:space="preserve"> required to perform complex pole replacements within</w:t>
      </w:r>
      <w:r>
        <w:rPr>
          <w:rFonts w:ascii="Palatino" w:hAnsi="Palatino" w:eastAsia="Times New Roman" w:cs="Times New Roman"/>
          <w:i/>
          <w:iCs/>
          <w:color w:val="0000FF"/>
          <w:szCs w:val="26"/>
        </w:rPr>
        <w:t xml:space="preserve"> </w:t>
      </w:r>
      <w:r w:rsidRPr="00DD3CF3">
        <w:rPr>
          <w:rFonts w:ascii="Palatino" w:hAnsi="Palatino" w:eastAsia="Times New Roman" w:cs="Times New Roman"/>
          <w:i/>
          <w:iCs/>
          <w:color w:val="0000FF"/>
          <w:szCs w:val="26"/>
          <w:highlight w:val="yellow"/>
        </w:rPr>
        <w:t>the time period requested by an attache</w:t>
      </w:r>
      <w:r>
        <w:rPr>
          <w:rFonts w:ascii="Palatino" w:hAnsi="Palatino" w:eastAsia="Times New Roman" w:cs="Times New Roman"/>
          <w:i/>
          <w:iCs/>
          <w:color w:val="0000FF"/>
          <w:szCs w:val="26"/>
          <w:highlight w:val="yellow"/>
        </w:rPr>
        <w:t>r</w:t>
      </w:r>
      <w:r w:rsidRPr="00E83798">
        <w:rPr>
          <w:rFonts w:ascii="Palatino" w:hAnsi="Palatino" w:eastAsia="Times New Roman" w:cs="Times New Roman"/>
          <w:i/>
          <w:iCs/>
          <w:color w:val="0000FF"/>
          <w:szCs w:val="26"/>
        </w:rPr>
        <w:t xml:space="preserve"> </w:t>
      </w:r>
      <w:r w:rsidRPr="00EB4FD8">
        <w:rPr>
          <w:rFonts w:ascii="Palatino" w:hAnsi="Palatino" w:eastAsia="Times New Roman" w:cs="Times New Roman"/>
          <w:i/>
          <w:iCs/>
          <w:strike/>
          <w:color w:val="EE0000"/>
          <w:kern w:val="2"/>
          <w:szCs w:val="26"/>
          <w:highlight w:val="yellow"/>
          <w14:ligatures w14:val="standardContextual"/>
        </w:rPr>
        <w:t>1 year</w:t>
      </w:r>
      <w:r w:rsidRPr="00E83798">
        <w:rPr>
          <w:rFonts w:ascii="Palatino" w:hAnsi="Palatino" w:eastAsia="Times New Roman" w:cs="Times New Roman"/>
          <w:i/>
          <w:iCs/>
          <w:color w:val="0000FF"/>
          <w:szCs w:val="26"/>
        </w:rPr>
        <w:t xml:space="preserve"> upon receipt of a complete request from an attacher.  </w:t>
      </w:r>
    </w:p>
    <w:p w:rsidRPr="00C02F12" w:rsidR="00607062" w:rsidRDefault="00607062" w14:paraId="4CE3F7B4" w14:textId="77777777">
      <w:pPr>
        <w:pStyle w:val="ListParagraph"/>
        <w:numPr>
          <w:ilvl w:val="2"/>
          <w:numId w:val="12"/>
        </w:numPr>
        <w:tabs>
          <w:tab w:val="left" w:pos="1080"/>
        </w:tabs>
        <w:spacing w:line="240" w:lineRule="auto"/>
        <w:rPr>
          <w:rFonts w:ascii="Palatino" w:hAnsi="Palatino" w:eastAsia="Times New Roman" w:cs="Times New Roman"/>
          <w:i/>
          <w:iCs/>
          <w:strike/>
          <w:color w:val="EE0000"/>
          <w:szCs w:val="26"/>
          <w:highlight w:val="yellow"/>
        </w:rPr>
      </w:pPr>
      <w:r w:rsidRPr="00C02F12">
        <w:rPr>
          <w:rFonts w:ascii="Palatino" w:hAnsi="Palatino" w:eastAsia="Times New Roman" w:cs="Times New Roman"/>
          <w:i/>
          <w:iCs/>
          <w:strike/>
          <w:color w:val="EE0000"/>
          <w:szCs w:val="26"/>
          <w:highlight w:val="yellow"/>
        </w:rPr>
        <w:t xml:space="preserve">incumbent </w:t>
      </w:r>
      <w:r w:rsidRPr="0039769E">
        <w:rPr>
          <w:rFonts w:ascii="Palatino" w:hAnsi="Palatino" w:eastAsia="Times New Roman" w:cs="Times New Roman"/>
          <w:i/>
          <w:iCs/>
          <w:strike/>
          <w:color w:val="EE0000"/>
          <w:szCs w:val="26"/>
          <w:highlight w:val="yellow"/>
        </w:rPr>
        <w:t>utility may require the attacher to pay for administrative costs related to expediting the replacement of the pole</w:t>
      </w:r>
      <w:r w:rsidRPr="00C02F12">
        <w:rPr>
          <w:rFonts w:ascii="Palatino" w:hAnsi="Palatino" w:eastAsia="Times New Roman" w:cs="Times New Roman"/>
          <w:i/>
          <w:iCs/>
          <w:strike/>
          <w:color w:val="EE0000"/>
          <w:szCs w:val="26"/>
          <w:highlight w:val="yellow"/>
        </w:rPr>
        <w:t>.</w:t>
      </w:r>
    </w:p>
    <w:p w:rsidRPr="00E83798" w:rsidR="00607062" w:rsidRDefault="00607062" w14:paraId="60A284A3" w14:textId="77777777">
      <w:pPr>
        <w:pStyle w:val="ListParagraph"/>
        <w:numPr>
          <w:ilvl w:val="1"/>
          <w:numId w:val="12"/>
        </w:numPr>
        <w:tabs>
          <w:tab w:val="left" w:pos="1080"/>
        </w:tabs>
        <w:spacing w:line="240" w:lineRule="auto"/>
        <w:rPr>
          <w:rFonts w:ascii="Palatino" w:hAnsi="Palatino" w:eastAsia="Times New Roman" w:cs="Times New Roman"/>
          <w:i/>
          <w:iCs/>
          <w:color w:val="0000FF"/>
          <w:szCs w:val="26"/>
        </w:rPr>
      </w:pPr>
      <w:r w:rsidRPr="00E83798">
        <w:rPr>
          <w:rFonts w:ascii="Palatino" w:hAnsi="Palatino" w:eastAsia="Times New Roman" w:cs="Times New Roman"/>
          <w:i/>
          <w:iCs/>
          <w:color w:val="0000FF"/>
          <w:szCs w:val="26"/>
        </w:rPr>
        <w:lastRenderedPageBreak/>
        <w:t xml:space="preserve">Poles that only require replacement for the addition of new communications facilities (i.e., poles that are in compliance with safety requirements). </w:t>
      </w:r>
    </w:p>
    <w:p w:rsidRPr="00E83798" w:rsidR="00607062" w:rsidRDefault="00607062" w14:paraId="55C74FA8" w14:textId="77777777">
      <w:pPr>
        <w:pStyle w:val="ListParagraph"/>
        <w:numPr>
          <w:ilvl w:val="2"/>
          <w:numId w:val="12"/>
        </w:numPr>
        <w:tabs>
          <w:tab w:val="left" w:pos="1080"/>
        </w:tabs>
        <w:spacing w:line="240" w:lineRule="auto"/>
        <w:rPr>
          <w:rFonts w:ascii="Palatino" w:hAnsi="Palatino" w:eastAsia="Times New Roman" w:cs="Times New Roman"/>
          <w:i/>
          <w:iCs/>
          <w:color w:val="0000FF"/>
          <w:szCs w:val="26"/>
        </w:rPr>
      </w:pPr>
      <w:r w:rsidRPr="00E83798">
        <w:rPr>
          <w:rFonts w:ascii="Palatino" w:hAnsi="Palatino" w:eastAsia="Times New Roman" w:cs="Times New Roman"/>
          <w:i/>
          <w:iCs/>
          <w:color w:val="0000FF"/>
          <w:szCs w:val="26"/>
        </w:rPr>
        <w:t>The attacher must pay for the costs of replacement.</w:t>
      </w:r>
    </w:p>
    <w:p w:rsidR="00607062" w:rsidP="00E61763" w:rsidRDefault="00607062" w14:paraId="5A47D631" w14:textId="77777777">
      <w:pPr>
        <w:pStyle w:val="ListParagraph"/>
        <w:tabs>
          <w:tab w:val="left" w:pos="1080"/>
        </w:tabs>
        <w:spacing w:line="240" w:lineRule="auto"/>
        <w:ind w:left="2160" w:hanging="270"/>
        <w:rPr>
          <w:rFonts w:ascii="Palatino" w:hAnsi="Palatino" w:eastAsia="Times New Roman" w:cs="Times New Roman"/>
          <w:i/>
          <w:iCs/>
          <w:color w:val="0000FF"/>
          <w:szCs w:val="26"/>
        </w:rPr>
      </w:pPr>
      <w:r w:rsidRPr="00041B87">
        <w:rPr>
          <w:rFonts w:ascii="Palatino" w:hAnsi="Palatino" w:eastAsia="Times New Roman" w:cs="Times New Roman"/>
          <w:i/>
          <w:iCs/>
          <w:color w:val="0000FF"/>
          <w:szCs w:val="26"/>
          <w:highlight w:val="yellow"/>
        </w:rPr>
        <w:t>4.</w:t>
      </w:r>
      <w:r w:rsidRPr="00041B87">
        <w:rPr>
          <w:rFonts w:ascii="Palatino" w:hAnsi="Palatino" w:eastAsia="Times New Roman" w:cs="Times New Roman"/>
          <w:i/>
          <w:iCs/>
          <w:strike/>
          <w:color w:val="EE0000"/>
          <w:szCs w:val="26"/>
          <w:highlight w:val="yellow"/>
        </w:rPr>
        <w:t>ii.</w:t>
      </w:r>
      <w:r w:rsidRPr="00041B87">
        <w:rPr>
          <w:rFonts w:ascii="Palatino" w:hAnsi="Palatino" w:eastAsia="Times New Roman" w:cs="Times New Roman"/>
          <w:i/>
          <w:iCs/>
          <w:color w:val="EE0000"/>
          <w:szCs w:val="26"/>
        </w:rPr>
        <w:t xml:space="preserve"> </w:t>
      </w:r>
      <w:r w:rsidRPr="00E83798">
        <w:rPr>
          <w:rFonts w:ascii="Palatino" w:hAnsi="Palatino" w:eastAsia="Times New Roman" w:cs="Times New Roman"/>
          <w:i/>
          <w:iCs/>
          <w:color w:val="0000FF"/>
          <w:szCs w:val="26"/>
        </w:rPr>
        <w:t>The attacher may request</w:t>
      </w:r>
      <w:r>
        <w:rPr>
          <w:rFonts w:ascii="Palatino" w:hAnsi="Palatino" w:eastAsia="Times New Roman" w:cs="Times New Roman"/>
          <w:i/>
          <w:iCs/>
          <w:color w:val="0000FF"/>
          <w:szCs w:val="26"/>
        </w:rPr>
        <w:t xml:space="preserve"> </w:t>
      </w:r>
      <w:r w:rsidRPr="002D39C2">
        <w:rPr>
          <w:rFonts w:ascii="Palatino" w:hAnsi="Palatino" w:eastAsia="Times New Roman" w:cs="Times New Roman"/>
          <w:i/>
          <w:iCs/>
          <w:color w:val="0000FF"/>
          <w:szCs w:val="26"/>
          <w:highlight w:val="yellow"/>
        </w:rPr>
        <w:t>to negotiate</w:t>
      </w:r>
      <w:r w:rsidRPr="00E83798">
        <w:rPr>
          <w:rFonts w:ascii="Palatino" w:hAnsi="Palatino" w:eastAsia="Times New Roman" w:cs="Times New Roman"/>
          <w:i/>
          <w:iCs/>
          <w:color w:val="0000FF"/>
          <w:szCs w:val="26"/>
        </w:rPr>
        <w:t xml:space="preserve"> these costs be offset in instances wherein the existing pole or support structure has limited useful life</w:t>
      </w:r>
      <w:r w:rsidRPr="00AE4CBE">
        <w:rPr>
          <w:rFonts w:ascii="Palatino" w:hAnsi="Palatino" w:eastAsia="Times New Roman" w:cs="Times New Roman"/>
          <w:i/>
          <w:iCs/>
          <w:color w:val="0000FF"/>
          <w:szCs w:val="26"/>
          <w:highlight w:val="yellow"/>
        </w:rPr>
        <w:t>,</w:t>
      </w:r>
      <w:r w:rsidRPr="00AE4CBE">
        <w:rPr>
          <w:highlight w:val="yellow"/>
        </w:rPr>
        <w:t xml:space="preserve"> </w:t>
      </w:r>
      <w:r w:rsidRPr="00AE4CBE">
        <w:rPr>
          <w:rFonts w:ascii="Palatino" w:hAnsi="Palatino" w:eastAsia="Times New Roman" w:cs="Times New Roman"/>
          <w:i/>
          <w:iCs/>
          <w:color w:val="0000FF"/>
          <w:szCs w:val="26"/>
          <w:highlight w:val="yellow"/>
        </w:rPr>
        <w:t>re</w:t>
      </w:r>
      <w:r>
        <w:rPr>
          <w:rFonts w:ascii="Palatino" w:hAnsi="Palatino" w:eastAsia="Times New Roman" w:cs="Times New Roman"/>
          <w:i/>
          <w:iCs/>
          <w:color w:val="0000FF"/>
          <w:szCs w:val="26"/>
          <w:highlight w:val="yellow"/>
        </w:rPr>
        <w:t xml:space="preserve">cognizing there is a </w:t>
      </w:r>
      <w:r w:rsidRPr="00AE4CBE">
        <w:rPr>
          <w:rFonts w:ascii="Palatino" w:hAnsi="Palatino" w:eastAsia="Times New Roman" w:cs="Times New Roman"/>
          <w:i/>
          <w:iCs/>
          <w:color w:val="0000FF"/>
          <w:szCs w:val="26"/>
          <w:highlight w:val="yellow"/>
        </w:rPr>
        <w:t xml:space="preserve">benefit to the pole owners </w:t>
      </w:r>
      <w:r>
        <w:rPr>
          <w:rFonts w:ascii="Palatino" w:hAnsi="Palatino" w:eastAsia="Times New Roman" w:cs="Times New Roman"/>
          <w:i/>
          <w:iCs/>
          <w:color w:val="0000FF"/>
          <w:szCs w:val="26"/>
          <w:highlight w:val="yellow"/>
        </w:rPr>
        <w:t>for both the cost share and the expedited replacement of facilities that are already due replacement</w:t>
      </w:r>
      <w:r w:rsidRPr="00E83798">
        <w:rPr>
          <w:rFonts w:ascii="Palatino" w:hAnsi="Palatino" w:eastAsia="Times New Roman" w:cs="Times New Roman"/>
          <w:i/>
          <w:iCs/>
          <w:color w:val="0000FF"/>
          <w:szCs w:val="26"/>
        </w:rPr>
        <w:t>.</w:t>
      </w:r>
    </w:p>
    <w:p w:rsidRPr="00491FFF" w:rsidR="00777233" w:rsidP="00ED36CC" w:rsidRDefault="00FC2464" w14:paraId="21D51C6B" w14:textId="714BC30B">
      <w:pPr>
        <w:pStyle w:val="Standard"/>
      </w:pPr>
      <w:r>
        <w:t>Because of the modifications that we have adopted, we will add the following Ordering Paragraphs to this decision:</w:t>
      </w:r>
    </w:p>
    <w:p w:rsidR="005C1C13" w:rsidRDefault="005C1C13" w14:paraId="2DD9099E" w14:textId="5B02C7A1">
      <w:pPr>
        <w:pStyle w:val="BlockQuoteBullet1"/>
        <w:numPr>
          <w:ilvl w:val="1"/>
          <w:numId w:val="18"/>
        </w:numPr>
        <w:ind w:left="1080"/>
        <w:rPr>
          <w:szCs w:val="26"/>
        </w:rPr>
      </w:pPr>
      <w:r w:rsidRPr="000023F9">
        <w:rPr>
          <w:szCs w:val="26"/>
        </w:rPr>
        <w:t>The</w:t>
      </w:r>
      <w:r>
        <w:rPr>
          <w:szCs w:val="26"/>
        </w:rPr>
        <w:t xml:space="preserve"> </w:t>
      </w:r>
      <w:r w:rsidR="00D307B3">
        <w:rPr>
          <w:szCs w:val="26"/>
        </w:rPr>
        <w:t>M</w:t>
      </w:r>
      <w:r>
        <w:rPr>
          <w:szCs w:val="26"/>
        </w:rPr>
        <w:t>ajor</w:t>
      </w:r>
      <w:r w:rsidRPr="000023F9">
        <w:rPr>
          <w:szCs w:val="26"/>
        </w:rPr>
        <w:t xml:space="preserve"> </w:t>
      </w:r>
      <w:r w:rsidR="00D307B3">
        <w:rPr>
          <w:szCs w:val="26"/>
        </w:rPr>
        <w:t>P</w:t>
      </w:r>
      <w:r w:rsidRPr="000023F9">
        <w:rPr>
          <w:szCs w:val="26"/>
        </w:rPr>
        <w:t xml:space="preserve">ole </w:t>
      </w:r>
      <w:r w:rsidR="002E0949">
        <w:rPr>
          <w:szCs w:val="26"/>
        </w:rPr>
        <w:t>O</w:t>
      </w:r>
      <w:r w:rsidRPr="000023F9">
        <w:rPr>
          <w:szCs w:val="26"/>
        </w:rPr>
        <w:t>wner</w:t>
      </w:r>
      <w:r>
        <w:rPr>
          <w:szCs w:val="26"/>
        </w:rPr>
        <w:t>s</w:t>
      </w:r>
      <w:r w:rsidRPr="000023F9">
        <w:rPr>
          <w:szCs w:val="26"/>
        </w:rPr>
        <w:t xml:space="preserve"> shall record and report</w:t>
      </w:r>
      <w:r>
        <w:rPr>
          <w:szCs w:val="26"/>
        </w:rPr>
        <w:t xml:space="preserve"> </w:t>
      </w:r>
      <w:r w:rsidRPr="000023F9">
        <w:rPr>
          <w:szCs w:val="26"/>
        </w:rPr>
        <w:t xml:space="preserve">the number of </w:t>
      </w:r>
      <w:r>
        <w:rPr>
          <w:szCs w:val="26"/>
        </w:rPr>
        <w:t xml:space="preserve">attachment </w:t>
      </w:r>
      <w:r w:rsidRPr="00903C18">
        <w:t>requests</w:t>
      </w:r>
      <w:r w:rsidRPr="000023F9">
        <w:rPr>
          <w:szCs w:val="26"/>
        </w:rPr>
        <w:t xml:space="preserve"> that are not accommodated due to </w:t>
      </w:r>
      <w:r w:rsidR="002E0949">
        <w:rPr>
          <w:szCs w:val="26"/>
        </w:rPr>
        <w:t xml:space="preserve">the </w:t>
      </w:r>
      <w:r w:rsidRPr="000023F9">
        <w:rPr>
          <w:szCs w:val="26"/>
        </w:rPr>
        <w:t>need for pole replacement</w:t>
      </w:r>
      <w:r>
        <w:rPr>
          <w:szCs w:val="26"/>
        </w:rPr>
        <w:t xml:space="preserve">. Reports shall be submitted to </w:t>
      </w:r>
      <w:hyperlink w:history="1" r:id="rId19">
        <w:r w:rsidRPr="00EE103D">
          <w:rPr>
            <w:rStyle w:val="Hyperlink"/>
            <w:szCs w:val="26"/>
          </w:rPr>
          <w:t>CDcompliance@cpuc.ca.gov</w:t>
        </w:r>
      </w:hyperlink>
      <w:r>
        <w:rPr>
          <w:szCs w:val="26"/>
        </w:rPr>
        <w:t xml:space="preserve"> annually for the next </w:t>
      </w:r>
      <w:r w:rsidR="00AC45CE">
        <w:rPr>
          <w:szCs w:val="26"/>
        </w:rPr>
        <w:t>three</w:t>
      </w:r>
      <w:r>
        <w:rPr>
          <w:szCs w:val="26"/>
        </w:rPr>
        <w:t xml:space="preserve"> years, with the first report submitted one year from the effective date of this decision</w:t>
      </w:r>
      <w:r w:rsidRPr="000023F9">
        <w:rPr>
          <w:szCs w:val="26"/>
        </w:rPr>
        <w:t>.</w:t>
      </w:r>
    </w:p>
    <w:p w:rsidRPr="00084737" w:rsidR="005C1C13" w:rsidRDefault="005C1C13" w14:paraId="56102AB8" w14:textId="0292C886">
      <w:pPr>
        <w:pStyle w:val="BlockQuoteBullet1"/>
        <w:numPr>
          <w:ilvl w:val="1"/>
          <w:numId w:val="18"/>
        </w:numPr>
        <w:ind w:left="1080"/>
        <w:rPr>
          <w:szCs w:val="26"/>
        </w:rPr>
      </w:pPr>
      <w:r w:rsidRPr="000023F9">
        <w:rPr>
          <w:szCs w:val="26"/>
        </w:rPr>
        <w:t>The</w:t>
      </w:r>
      <w:r>
        <w:rPr>
          <w:szCs w:val="26"/>
        </w:rPr>
        <w:t xml:space="preserve"> </w:t>
      </w:r>
      <w:r w:rsidR="00AC45CE">
        <w:rPr>
          <w:szCs w:val="26"/>
        </w:rPr>
        <w:t>M</w:t>
      </w:r>
      <w:r>
        <w:rPr>
          <w:szCs w:val="26"/>
        </w:rPr>
        <w:t>ajor</w:t>
      </w:r>
      <w:r w:rsidRPr="000023F9">
        <w:rPr>
          <w:szCs w:val="26"/>
        </w:rPr>
        <w:t xml:space="preserve"> </w:t>
      </w:r>
      <w:r w:rsidR="00AC45CE">
        <w:rPr>
          <w:szCs w:val="26"/>
        </w:rPr>
        <w:t>P</w:t>
      </w:r>
      <w:r w:rsidRPr="000023F9">
        <w:rPr>
          <w:szCs w:val="26"/>
        </w:rPr>
        <w:t xml:space="preserve">ole </w:t>
      </w:r>
      <w:r w:rsidR="00AC45CE">
        <w:rPr>
          <w:szCs w:val="26"/>
        </w:rPr>
        <w:t>O</w:t>
      </w:r>
      <w:r w:rsidRPr="000023F9">
        <w:rPr>
          <w:szCs w:val="26"/>
        </w:rPr>
        <w:t>wner</w:t>
      </w:r>
      <w:r>
        <w:rPr>
          <w:szCs w:val="26"/>
        </w:rPr>
        <w:t>s</w:t>
      </w:r>
      <w:r w:rsidRPr="000023F9">
        <w:rPr>
          <w:szCs w:val="26"/>
        </w:rPr>
        <w:t xml:space="preserve"> shall </w:t>
      </w:r>
      <w:r>
        <w:rPr>
          <w:szCs w:val="26"/>
        </w:rPr>
        <w:t xml:space="preserve">hold a workshop with all interested parties </w:t>
      </w:r>
      <w:r w:rsidR="00A66464">
        <w:rPr>
          <w:szCs w:val="26"/>
        </w:rPr>
        <w:t xml:space="preserve">no later than 120 </w:t>
      </w:r>
      <w:r>
        <w:rPr>
          <w:szCs w:val="26"/>
        </w:rPr>
        <w:t xml:space="preserve">days from </w:t>
      </w:r>
      <w:r w:rsidR="0013459D">
        <w:rPr>
          <w:szCs w:val="26"/>
        </w:rPr>
        <w:t xml:space="preserve">the </w:t>
      </w:r>
      <w:r w:rsidR="006F52A2">
        <w:rPr>
          <w:szCs w:val="26"/>
        </w:rPr>
        <w:t>issuance date</w:t>
      </w:r>
      <w:r w:rsidR="00B54CAB">
        <w:rPr>
          <w:szCs w:val="26"/>
        </w:rPr>
        <w:t xml:space="preserve"> </w:t>
      </w:r>
      <w:r>
        <w:rPr>
          <w:szCs w:val="26"/>
        </w:rPr>
        <w:t>of th</w:t>
      </w:r>
      <w:r w:rsidR="0013459D">
        <w:rPr>
          <w:szCs w:val="26"/>
        </w:rPr>
        <w:t>is</w:t>
      </w:r>
      <w:r>
        <w:rPr>
          <w:szCs w:val="26"/>
        </w:rPr>
        <w:t xml:space="preserve"> decision. The </w:t>
      </w:r>
      <w:r w:rsidR="0013459D">
        <w:rPr>
          <w:szCs w:val="26"/>
        </w:rPr>
        <w:t>M</w:t>
      </w:r>
      <w:r>
        <w:rPr>
          <w:szCs w:val="26"/>
        </w:rPr>
        <w:t xml:space="preserve">ajor </w:t>
      </w:r>
      <w:r w:rsidR="0013459D">
        <w:rPr>
          <w:szCs w:val="26"/>
        </w:rPr>
        <w:t>P</w:t>
      </w:r>
      <w:r>
        <w:rPr>
          <w:szCs w:val="26"/>
        </w:rPr>
        <w:t xml:space="preserve">ole </w:t>
      </w:r>
      <w:r w:rsidR="0013459D">
        <w:rPr>
          <w:szCs w:val="26"/>
        </w:rPr>
        <w:t>O</w:t>
      </w:r>
      <w:r>
        <w:rPr>
          <w:szCs w:val="26"/>
        </w:rPr>
        <w:t xml:space="preserve">wners shall have 60 days from the date of the workshop to submit </w:t>
      </w:r>
      <w:r w:rsidR="004D7AB6">
        <w:rPr>
          <w:szCs w:val="26"/>
        </w:rPr>
        <w:t>Tier</w:t>
      </w:r>
      <w:r w:rsidR="0051059D">
        <w:rPr>
          <w:szCs w:val="26"/>
        </w:rPr>
        <w:t> </w:t>
      </w:r>
      <w:r>
        <w:rPr>
          <w:szCs w:val="26"/>
        </w:rPr>
        <w:t>3 Advice Letters</w:t>
      </w:r>
      <w:r w:rsidR="004D7AB6">
        <w:rPr>
          <w:szCs w:val="26"/>
        </w:rPr>
        <w:t xml:space="preserve"> </w:t>
      </w:r>
      <w:r>
        <w:rPr>
          <w:szCs w:val="26"/>
        </w:rPr>
        <w:t>setting forth the Standardized Self</w:t>
      </w:r>
      <w:r w:rsidR="00E4753D">
        <w:rPr>
          <w:szCs w:val="26"/>
        </w:rPr>
        <w:noBreakHyphen/>
      </w:r>
      <w:r>
        <w:rPr>
          <w:szCs w:val="26"/>
        </w:rPr>
        <w:t>Help Agreement requirement created in IV.E.4.</w:t>
      </w:r>
    </w:p>
    <w:p w:rsidR="00410529" w:rsidP="00156477" w:rsidRDefault="003F5944" w14:paraId="37C47049" w14:textId="3B410063">
      <w:pPr>
        <w:pStyle w:val="Standard"/>
        <w:rPr>
          <w:szCs w:val="26"/>
        </w:rPr>
      </w:pPr>
      <w:r w:rsidRPr="00532D1D">
        <w:rPr>
          <w:szCs w:val="26"/>
        </w:rPr>
        <w:t xml:space="preserve">As for the </w:t>
      </w:r>
      <w:r w:rsidRPr="00532D1D" w:rsidR="005C1C13">
        <w:rPr>
          <w:szCs w:val="26"/>
        </w:rPr>
        <w:t xml:space="preserve">ROW Rule Revision to </w:t>
      </w:r>
      <w:r w:rsidR="00B64DFB">
        <w:rPr>
          <w:szCs w:val="26"/>
        </w:rPr>
        <w:t>Section</w:t>
      </w:r>
      <w:r w:rsidR="0051059D">
        <w:rPr>
          <w:szCs w:val="26"/>
        </w:rPr>
        <w:t> </w:t>
      </w:r>
      <w:r w:rsidRPr="00532D1D" w:rsidR="005C1C13">
        <w:rPr>
          <w:szCs w:val="26"/>
        </w:rPr>
        <w:t>IV.E.3. Pole Replacements</w:t>
      </w:r>
      <w:r w:rsidRPr="00532D1D">
        <w:rPr>
          <w:szCs w:val="26"/>
        </w:rPr>
        <w:t>,</w:t>
      </w:r>
      <w:r w:rsidRPr="00532D1D" w:rsidR="00532D1D">
        <w:rPr>
          <w:szCs w:val="26"/>
        </w:rPr>
        <w:t xml:space="preserve"> we have clarified</w:t>
      </w:r>
      <w:r w:rsidRPr="0096594B" w:rsidR="005C1C13">
        <w:rPr>
          <w:szCs w:val="26"/>
        </w:rPr>
        <w:t xml:space="preserve"> that reinforcements must comply with </w:t>
      </w:r>
      <w:r w:rsidR="005B40C8">
        <w:rPr>
          <w:szCs w:val="26"/>
        </w:rPr>
        <w:t>GO</w:t>
      </w:r>
      <w:r w:rsidR="0051059D">
        <w:rPr>
          <w:szCs w:val="26"/>
        </w:rPr>
        <w:t> </w:t>
      </w:r>
      <w:r w:rsidRPr="0096594B" w:rsidR="005C1C13">
        <w:rPr>
          <w:szCs w:val="26"/>
        </w:rPr>
        <w:t>95 b</w:t>
      </w:r>
      <w:r w:rsidRPr="00484587" w:rsidR="005C1C13">
        <w:rPr>
          <w:szCs w:val="26"/>
        </w:rPr>
        <w:t xml:space="preserve">y adding </w:t>
      </w:r>
      <w:r w:rsidR="00410529">
        <w:rPr>
          <w:szCs w:val="26"/>
        </w:rPr>
        <w:t>“</w:t>
      </w:r>
      <w:r w:rsidRPr="00484587" w:rsidR="005C1C13">
        <w:rPr>
          <w:szCs w:val="26"/>
        </w:rPr>
        <w:t>[utility] standards</w:t>
      </w:r>
      <w:r w:rsidR="00410529">
        <w:rPr>
          <w:szCs w:val="26"/>
        </w:rPr>
        <w:t>”</w:t>
      </w:r>
      <w:r w:rsidRPr="00484587" w:rsidR="005C1C13">
        <w:rPr>
          <w:szCs w:val="26"/>
        </w:rPr>
        <w:t xml:space="preserve"> to </w:t>
      </w:r>
      <w:r w:rsidR="00474162">
        <w:rPr>
          <w:szCs w:val="26"/>
        </w:rPr>
        <w:t>Sections </w:t>
      </w:r>
      <w:r w:rsidRPr="00484587" w:rsidR="005C1C13">
        <w:rPr>
          <w:szCs w:val="26"/>
        </w:rPr>
        <w:t xml:space="preserve">IV.E.3.a.ii and IV.E.3.b.v., within the list of required compliance for </w:t>
      </w:r>
      <w:r w:rsidR="00EE12CB">
        <w:rPr>
          <w:szCs w:val="26"/>
        </w:rPr>
        <w:t>s</w:t>
      </w:r>
      <w:r w:rsidRPr="00484587" w:rsidR="005C1C13">
        <w:rPr>
          <w:szCs w:val="26"/>
        </w:rPr>
        <w:t>elf</w:t>
      </w:r>
      <w:r w:rsidR="00E4753D">
        <w:rPr>
          <w:szCs w:val="26"/>
        </w:rPr>
        <w:noBreakHyphen/>
      </w:r>
      <w:r w:rsidR="00EE12CB">
        <w:rPr>
          <w:szCs w:val="26"/>
        </w:rPr>
        <w:t>h</w:t>
      </w:r>
      <w:r w:rsidRPr="00484587" w:rsidR="005C1C13">
        <w:rPr>
          <w:szCs w:val="26"/>
        </w:rPr>
        <w:t>elp.</w:t>
      </w:r>
    </w:p>
    <w:p w:rsidR="00410529" w:rsidP="00156477" w:rsidRDefault="00532D1D" w14:paraId="57B2FA92" w14:textId="409DAFBB">
      <w:pPr>
        <w:pStyle w:val="Standard"/>
        <w:rPr>
          <w:szCs w:val="26"/>
        </w:rPr>
      </w:pPr>
      <w:r>
        <w:rPr>
          <w:szCs w:val="26"/>
        </w:rPr>
        <w:t xml:space="preserve">We have </w:t>
      </w:r>
      <w:r w:rsidR="00C55159">
        <w:rPr>
          <w:szCs w:val="26"/>
        </w:rPr>
        <w:t>also</w:t>
      </w:r>
      <w:r>
        <w:rPr>
          <w:szCs w:val="26"/>
        </w:rPr>
        <w:t xml:space="preserve"> added a p</w:t>
      </w:r>
      <w:r w:rsidRPr="007D08A2" w:rsidR="005C1C13">
        <w:rPr>
          <w:szCs w:val="26"/>
        </w:rPr>
        <w:t xml:space="preserve">rovision requiring that pole replacements performed by approved contractors be subject to </w:t>
      </w:r>
      <w:r w:rsidR="00CE5DB2">
        <w:rPr>
          <w:szCs w:val="26"/>
        </w:rPr>
        <w:t>Sections</w:t>
      </w:r>
      <w:r w:rsidR="0051059D">
        <w:rPr>
          <w:szCs w:val="26"/>
        </w:rPr>
        <w:t> </w:t>
      </w:r>
      <w:r w:rsidRPr="007D08A2" w:rsidR="005C1C13">
        <w:rPr>
          <w:szCs w:val="26"/>
        </w:rPr>
        <w:t>IV.H.2 and IV.H.8</w:t>
      </w:r>
      <w:r w:rsidR="007458AD">
        <w:rPr>
          <w:szCs w:val="26"/>
        </w:rPr>
        <w:t>,</w:t>
      </w:r>
      <w:r w:rsidRPr="007D08A2" w:rsidR="005C1C13">
        <w:rPr>
          <w:szCs w:val="26"/>
        </w:rPr>
        <w:t xml:space="preserve"> requiring utility discretion and use of Qualified Electric Workers consistent with </w:t>
      </w:r>
      <w:proofErr w:type="spellStart"/>
      <w:r w:rsidRPr="007D08A2" w:rsidR="005C1C13">
        <w:rPr>
          <w:szCs w:val="26"/>
        </w:rPr>
        <w:t>CalOSHA</w:t>
      </w:r>
      <w:proofErr w:type="spellEnd"/>
      <w:r w:rsidRPr="007D08A2" w:rsidR="005C1C13">
        <w:rPr>
          <w:szCs w:val="26"/>
        </w:rPr>
        <w:t xml:space="preserve"> </w:t>
      </w:r>
      <w:r w:rsidR="00997A41">
        <w:rPr>
          <w:szCs w:val="26"/>
        </w:rPr>
        <w:t>Title</w:t>
      </w:r>
      <w:r w:rsidR="0051059D">
        <w:rPr>
          <w:szCs w:val="26"/>
        </w:rPr>
        <w:t> </w:t>
      </w:r>
      <w:r w:rsidRPr="007D08A2" w:rsidR="005C1C13">
        <w:rPr>
          <w:szCs w:val="26"/>
        </w:rPr>
        <w:t>8, Sub</w:t>
      </w:r>
      <w:r w:rsidR="0077222F">
        <w:rPr>
          <w:szCs w:val="26"/>
        </w:rPr>
        <w:t>chapter</w:t>
      </w:r>
      <w:r w:rsidR="0051059D">
        <w:rPr>
          <w:szCs w:val="26"/>
        </w:rPr>
        <w:t> </w:t>
      </w:r>
      <w:r w:rsidRPr="007D08A2" w:rsidR="005C1C13">
        <w:rPr>
          <w:szCs w:val="26"/>
        </w:rPr>
        <w:t xml:space="preserve">5, </w:t>
      </w:r>
      <w:r w:rsidR="00B00D9A">
        <w:rPr>
          <w:szCs w:val="26"/>
        </w:rPr>
        <w:t>S</w:t>
      </w:r>
      <w:r w:rsidRPr="007D08A2" w:rsidR="005C1C13">
        <w:rPr>
          <w:szCs w:val="26"/>
        </w:rPr>
        <w:t>ection</w:t>
      </w:r>
      <w:r w:rsidR="001452DA">
        <w:rPr>
          <w:szCs w:val="26"/>
        </w:rPr>
        <w:t> </w:t>
      </w:r>
      <w:r w:rsidRPr="007D08A2" w:rsidR="005C1C13">
        <w:rPr>
          <w:szCs w:val="26"/>
        </w:rPr>
        <w:t>2700.</w:t>
      </w:r>
    </w:p>
    <w:p w:rsidRPr="001B14BA" w:rsidR="005C1C13" w:rsidP="00ED36CC" w:rsidRDefault="00EE12CB" w14:paraId="53AFCDD2" w14:textId="110CBCBB">
      <w:pPr>
        <w:pStyle w:val="Standard"/>
      </w:pPr>
      <w:r>
        <w:rPr>
          <w:szCs w:val="26"/>
        </w:rPr>
        <w:lastRenderedPageBreak/>
        <w:t xml:space="preserve">However, </w:t>
      </w:r>
      <w:r w:rsidR="006231F7">
        <w:rPr>
          <w:szCs w:val="26"/>
        </w:rPr>
        <w:t>we have r</w:t>
      </w:r>
      <w:r w:rsidRPr="001B14BA" w:rsidR="005C1C13">
        <w:rPr>
          <w:szCs w:val="26"/>
        </w:rPr>
        <w:t>emove</w:t>
      </w:r>
      <w:r w:rsidR="006231F7">
        <w:rPr>
          <w:szCs w:val="26"/>
        </w:rPr>
        <w:t>d the</w:t>
      </w:r>
      <w:r w:rsidRPr="001B14BA" w:rsidR="005C1C13">
        <w:rPr>
          <w:szCs w:val="26"/>
        </w:rPr>
        <w:t xml:space="preserve"> requirement to have pole owners replace overloaded poles within one year. </w:t>
      </w:r>
      <w:r w:rsidR="000971FE">
        <w:rPr>
          <w:szCs w:val="26"/>
        </w:rPr>
        <w:t xml:space="preserve">We agree with the Major </w:t>
      </w:r>
      <w:r w:rsidRPr="001B14BA" w:rsidR="005C1C13">
        <w:rPr>
          <w:szCs w:val="26"/>
        </w:rPr>
        <w:t xml:space="preserve">Pole </w:t>
      </w:r>
      <w:r w:rsidR="000971FE">
        <w:rPr>
          <w:szCs w:val="26"/>
        </w:rPr>
        <w:t>O</w:t>
      </w:r>
      <w:r w:rsidRPr="001B14BA" w:rsidR="005C1C13">
        <w:rPr>
          <w:szCs w:val="26"/>
        </w:rPr>
        <w:t xml:space="preserve">wners that this </w:t>
      </w:r>
      <w:r w:rsidR="00BF3773">
        <w:rPr>
          <w:szCs w:val="26"/>
        </w:rPr>
        <w:t>requirement</w:t>
      </w:r>
      <w:r w:rsidRPr="001B14BA" w:rsidR="005C1C13">
        <w:rPr>
          <w:szCs w:val="26"/>
        </w:rPr>
        <w:t xml:space="preserve"> does not consider the impacts to </w:t>
      </w:r>
      <w:r w:rsidR="005B40C8">
        <w:rPr>
          <w:szCs w:val="26"/>
        </w:rPr>
        <w:t>GO</w:t>
      </w:r>
      <w:r w:rsidR="0051059D">
        <w:rPr>
          <w:szCs w:val="26"/>
        </w:rPr>
        <w:t> </w:t>
      </w:r>
      <w:r w:rsidRPr="001B14BA" w:rsidR="005C1C13">
        <w:rPr>
          <w:szCs w:val="26"/>
        </w:rPr>
        <w:t xml:space="preserve">95 as well as the electric </w:t>
      </w:r>
      <w:r w:rsidR="00651BFB">
        <w:rPr>
          <w:szCs w:val="26"/>
        </w:rPr>
        <w:t>investor</w:t>
      </w:r>
      <w:r w:rsidR="00E4753D">
        <w:rPr>
          <w:szCs w:val="26"/>
        </w:rPr>
        <w:noBreakHyphen/>
      </w:r>
      <w:r w:rsidR="00651BFB">
        <w:rPr>
          <w:szCs w:val="26"/>
        </w:rPr>
        <w:t>owned utility (</w:t>
      </w:r>
      <w:r w:rsidRPr="001B14BA" w:rsidR="00651BFB">
        <w:rPr>
          <w:szCs w:val="26"/>
        </w:rPr>
        <w:t>IOU</w:t>
      </w:r>
      <w:r w:rsidR="00651BFB">
        <w:rPr>
          <w:szCs w:val="26"/>
        </w:rPr>
        <w:t>)</w:t>
      </w:r>
      <w:r w:rsidRPr="001B14BA" w:rsidR="00651BFB">
        <w:rPr>
          <w:szCs w:val="26"/>
        </w:rPr>
        <w:t xml:space="preserve"> </w:t>
      </w:r>
      <w:r w:rsidRPr="001B14BA" w:rsidR="005C1C13">
        <w:rPr>
          <w:szCs w:val="26"/>
        </w:rPr>
        <w:t xml:space="preserve">GRCs. </w:t>
      </w:r>
      <w:r w:rsidR="00AF0307">
        <w:rPr>
          <w:szCs w:val="26"/>
        </w:rPr>
        <w:t>As such, we have replaced the</w:t>
      </w:r>
      <w:r w:rsidRPr="001B14BA" w:rsidR="005C1C13">
        <w:rPr>
          <w:szCs w:val="26"/>
        </w:rPr>
        <w:t xml:space="preserve"> requirement with language to encourage but not require pole owners to replace overloaded poles within the timeframe requested by attachers.</w:t>
      </w:r>
      <w:r w:rsidRPr="00BF540F" w:rsidR="00BF540F">
        <w:t xml:space="preserve"> </w:t>
      </w:r>
      <w:r w:rsidR="000B13F3">
        <w:t>While GO</w:t>
      </w:r>
      <w:r w:rsidR="00C3600E">
        <w:t> </w:t>
      </w:r>
      <w:r w:rsidR="000B13F3">
        <w:t>95 may allow deferred maintenance</w:t>
      </w:r>
      <w:r w:rsidR="00497BE9">
        <w:t>,</w:t>
      </w:r>
      <w:r w:rsidR="000B13F3">
        <w:t xml:space="preserve"> within reasonable constraints, there </w:t>
      </w:r>
      <w:r w:rsidRPr="00BF540F" w:rsidR="00BF540F">
        <w:rPr>
          <w:szCs w:val="26"/>
        </w:rPr>
        <w:t xml:space="preserve">is </w:t>
      </w:r>
      <w:r w:rsidR="000B13F3">
        <w:rPr>
          <w:szCs w:val="26"/>
        </w:rPr>
        <w:t xml:space="preserve">still </w:t>
      </w:r>
      <w:r w:rsidRPr="00BF540F" w:rsidR="00BF540F">
        <w:rPr>
          <w:szCs w:val="26"/>
        </w:rPr>
        <w:t xml:space="preserve">a benefit </w:t>
      </w:r>
      <w:r w:rsidR="00CD3A6A">
        <w:rPr>
          <w:szCs w:val="26"/>
        </w:rPr>
        <w:t xml:space="preserve">to </w:t>
      </w:r>
      <w:r w:rsidRPr="00BF540F" w:rsidR="00BF540F">
        <w:rPr>
          <w:szCs w:val="26"/>
        </w:rPr>
        <w:t>expedite</w:t>
      </w:r>
      <w:r w:rsidR="00497BE9">
        <w:rPr>
          <w:szCs w:val="26"/>
        </w:rPr>
        <w:t>d</w:t>
      </w:r>
      <w:r w:rsidR="000B13F3">
        <w:rPr>
          <w:szCs w:val="26"/>
        </w:rPr>
        <w:t xml:space="preserve"> </w:t>
      </w:r>
      <w:r w:rsidRPr="00BF540F" w:rsidR="00BF540F">
        <w:rPr>
          <w:szCs w:val="26"/>
        </w:rPr>
        <w:t>replacement of facilities that are due</w:t>
      </w:r>
      <w:r w:rsidR="00497BE9">
        <w:rPr>
          <w:szCs w:val="26"/>
        </w:rPr>
        <w:t xml:space="preserve"> for</w:t>
      </w:r>
      <w:r w:rsidRPr="00BF540F" w:rsidR="00BF540F">
        <w:rPr>
          <w:szCs w:val="26"/>
        </w:rPr>
        <w:t xml:space="preserve"> replacement</w:t>
      </w:r>
      <w:r w:rsidR="000B13F3">
        <w:rPr>
          <w:szCs w:val="26"/>
        </w:rPr>
        <w:t>,</w:t>
      </w:r>
      <w:r w:rsidR="005934B0">
        <w:rPr>
          <w:szCs w:val="26"/>
        </w:rPr>
        <w:t xml:space="preserve"> especially if attachers offset the costs of these replacements</w:t>
      </w:r>
      <w:r w:rsidRPr="00BF540F" w:rsidR="00BF540F">
        <w:rPr>
          <w:szCs w:val="26"/>
        </w:rPr>
        <w:t>.</w:t>
      </w:r>
      <w:r w:rsidR="00A67FB5">
        <w:rPr>
          <w:szCs w:val="26"/>
        </w:rPr>
        <w:t xml:space="preserve"> We encourage attachers and pole owners to negotiate the costs and terms that would make </w:t>
      </w:r>
      <w:r w:rsidR="00391B29">
        <w:rPr>
          <w:szCs w:val="26"/>
        </w:rPr>
        <w:t>pole replacements occur on a mutually beneficial timeline.</w:t>
      </w:r>
      <w:r w:rsidR="00A67FB5">
        <w:rPr>
          <w:szCs w:val="26"/>
        </w:rPr>
        <w:t xml:space="preserve"> </w:t>
      </w:r>
    </w:p>
    <w:p w:rsidRPr="00A7368F" w:rsidR="005C1C13" w:rsidP="00ED36CC" w:rsidRDefault="00A7368F" w14:paraId="0413FBFF" w14:textId="0A9107F7">
      <w:pPr>
        <w:pStyle w:val="Standard"/>
      </w:pPr>
      <w:r>
        <w:rPr>
          <w:szCs w:val="26"/>
        </w:rPr>
        <w:t>Finally, f</w:t>
      </w:r>
      <w:r w:rsidRPr="00A7368F" w:rsidR="005C1C13">
        <w:rPr>
          <w:szCs w:val="26"/>
        </w:rPr>
        <w:t>or</w:t>
      </w:r>
      <w:r>
        <w:rPr>
          <w:szCs w:val="26"/>
        </w:rPr>
        <w:t xml:space="preserve"> the</w:t>
      </w:r>
      <w:r w:rsidRPr="00A7368F" w:rsidR="005C1C13">
        <w:rPr>
          <w:szCs w:val="26"/>
        </w:rPr>
        <w:t xml:space="preserve"> self</w:t>
      </w:r>
      <w:r w:rsidR="00E4753D">
        <w:rPr>
          <w:szCs w:val="26"/>
        </w:rPr>
        <w:noBreakHyphen/>
      </w:r>
      <w:r w:rsidRPr="00A7368F" w:rsidR="005C1C13">
        <w:rPr>
          <w:szCs w:val="26"/>
        </w:rPr>
        <w:t>help pole replacement process,</w:t>
      </w:r>
      <w:r>
        <w:rPr>
          <w:szCs w:val="26"/>
        </w:rPr>
        <w:t xml:space="preserve"> we will</w:t>
      </w:r>
      <w:r w:rsidRPr="00A7368F" w:rsidR="005C1C13">
        <w:rPr>
          <w:szCs w:val="26"/>
        </w:rPr>
        <w:t xml:space="preserve"> require</w:t>
      </w:r>
      <w:r w:rsidR="00BB4754">
        <w:rPr>
          <w:szCs w:val="26"/>
        </w:rPr>
        <w:t xml:space="preserve"> the</w:t>
      </w:r>
      <w:r w:rsidRPr="00A7368F" w:rsidR="005C1C13">
        <w:rPr>
          <w:szCs w:val="26"/>
        </w:rPr>
        <w:t xml:space="preserve"> </w:t>
      </w:r>
      <w:r w:rsidR="00BB4754">
        <w:rPr>
          <w:szCs w:val="26"/>
        </w:rPr>
        <w:t>M</w:t>
      </w:r>
      <w:r w:rsidRPr="00A7368F" w:rsidR="005C1C13">
        <w:rPr>
          <w:szCs w:val="26"/>
        </w:rPr>
        <w:t xml:space="preserve">ajor </w:t>
      </w:r>
      <w:r w:rsidR="00BB4754">
        <w:rPr>
          <w:szCs w:val="26"/>
        </w:rPr>
        <w:t>P</w:t>
      </w:r>
      <w:r w:rsidRPr="00A7368F" w:rsidR="005C1C13">
        <w:rPr>
          <w:szCs w:val="26"/>
        </w:rPr>
        <w:t xml:space="preserve">ole </w:t>
      </w:r>
      <w:r w:rsidR="00BB4754">
        <w:rPr>
          <w:szCs w:val="26"/>
        </w:rPr>
        <w:t>O</w:t>
      </w:r>
      <w:r w:rsidRPr="00A7368F" w:rsidR="005C1C13">
        <w:rPr>
          <w:szCs w:val="26"/>
        </w:rPr>
        <w:t xml:space="preserve">wners to propose a master agreement/contract (and file as </w:t>
      </w:r>
      <w:r w:rsidR="004D7AB6">
        <w:rPr>
          <w:szCs w:val="26"/>
        </w:rPr>
        <w:t>Tier</w:t>
      </w:r>
      <w:r w:rsidR="0051059D">
        <w:rPr>
          <w:szCs w:val="26"/>
        </w:rPr>
        <w:t> </w:t>
      </w:r>
      <w:r w:rsidRPr="00A7368F" w:rsidR="005C1C13">
        <w:rPr>
          <w:szCs w:val="26"/>
        </w:rPr>
        <w:t xml:space="preserve">3 Advice Letter) that attachers and approved contractors must adhere to prior to pole replacements. </w:t>
      </w:r>
      <w:r w:rsidR="000C45BF">
        <w:rPr>
          <w:szCs w:val="26"/>
        </w:rPr>
        <w:t>By including this requirement, the Commission</w:t>
      </w:r>
      <w:r w:rsidR="00A9242A">
        <w:rPr>
          <w:szCs w:val="26"/>
        </w:rPr>
        <w:t xml:space="preserve"> has addressed the</w:t>
      </w:r>
      <w:r w:rsidRPr="00A7368F" w:rsidR="005C1C13">
        <w:rPr>
          <w:szCs w:val="26"/>
        </w:rPr>
        <w:t xml:space="preserve"> specific concerns from </w:t>
      </w:r>
      <w:r w:rsidR="00EE12CB">
        <w:rPr>
          <w:szCs w:val="26"/>
        </w:rPr>
        <w:t>the Major P</w:t>
      </w:r>
      <w:r w:rsidRPr="00A7368F" w:rsidR="005C1C13">
        <w:rPr>
          <w:szCs w:val="26"/>
        </w:rPr>
        <w:t xml:space="preserve">ole </w:t>
      </w:r>
      <w:r w:rsidR="00EE12CB">
        <w:rPr>
          <w:szCs w:val="26"/>
        </w:rPr>
        <w:t>O</w:t>
      </w:r>
      <w:r w:rsidRPr="00A7368F" w:rsidR="005C1C13">
        <w:rPr>
          <w:szCs w:val="26"/>
        </w:rPr>
        <w:t xml:space="preserve">wners that </w:t>
      </w:r>
      <w:r w:rsidR="00EE12CB">
        <w:rPr>
          <w:szCs w:val="26"/>
        </w:rPr>
        <w:t xml:space="preserve">the </w:t>
      </w:r>
      <w:r w:rsidRPr="00A7368F" w:rsidR="005C1C13">
        <w:rPr>
          <w:szCs w:val="26"/>
        </w:rPr>
        <w:t>terms and conditions for self</w:t>
      </w:r>
      <w:r w:rsidR="00E4753D">
        <w:rPr>
          <w:szCs w:val="26"/>
        </w:rPr>
        <w:noBreakHyphen/>
      </w:r>
      <w:r w:rsidRPr="00A7368F" w:rsidR="005C1C13">
        <w:rPr>
          <w:szCs w:val="26"/>
        </w:rPr>
        <w:t>help require further detail.</w:t>
      </w:r>
    </w:p>
    <w:p w:rsidR="00B01466" w:rsidP="00ED36CC" w:rsidRDefault="007315C3" w14:paraId="301A5D3A" w14:textId="72E45635">
      <w:pPr>
        <w:pStyle w:val="Heading2"/>
        <w:keepLines w:val="0"/>
      </w:pPr>
      <w:bookmarkStart w:name="_Toc229726762" w:id="46"/>
      <w:r>
        <w:t>Conduit Data Reporting</w:t>
      </w:r>
      <w:bookmarkEnd w:id="46"/>
    </w:p>
    <w:p w:rsidR="007315C3" w:rsidP="00ED36CC" w:rsidRDefault="001F0F9A" w14:paraId="7DA7AB75" w14:textId="510AECBB">
      <w:pPr>
        <w:pStyle w:val="Heading3"/>
        <w:keepLines w:val="0"/>
      </w:pPr>
      <w:bookmarkStart w:name="_Toc229726763" w:id="47"/>
      <w:r>
        <w:t xml:space="preserve">ROW </w:t>
      </w:r>
      <w:r w:rsidR="007315C3">
        <w:t>Ruling Background</w:t>
      </w:r>
      <w:r w:rsidR="00FD6D71">
        <w:br/>
      </w:r>
      <w:r w:rsidR="007315C3">
        <w:t>and Staff Proposal</w:t>
      </w:r>
      <w:bookmarkEnd w:id="47"/>
    </w:p>
    <w:p w:rsidR="00410529" w:rsidP="00ED36CC" w:rsidRDefault="00025F53" w14:paraId="22AE6358" w14:textId="5917A930">
      <w:pPr>
        <w:pStyle w:val="Standard"/>
        <w:rPr>
          <w:szCs w:val="26"/>
        </w:rPr>
      </w:pPr>
      <w:r w:rsidRPr="007D08A2">
        <w:rPr>
          <w:szCs w:val="26"/>
        </w:rPr>
        <w:t>This proceeding was opened to investigate the feasibility of database requirements to enable the sharing of key pole attachment and conduit information. The Commission has adopted database requirements for poles and pole attachments for the state</w:t>
      </w:r>
      <w:r w:rsidR="00410529">
        <w:rPr>
          <w:szCs w:val="26"/>
        </w:rPr>
        <w:t>’</w:t>
      </w:r>
      <w:r w:rsidRPr="007D08A2">
        <w:rPr>
          <w:szCs w:val="26"/>
        </w:rPr>
        <w:t xml:space="preserve">s </w:t>
      </w:r>
      <w:r w:rsidR="00A36F41">
        <w:rPr>
          <w:szCs w:val="26"/>
        </w:rPr>
        <w:t>M</w:t>
      </w:r>
      <w:r w:rsidRPr="007D08A2">
        <w:rPr>
          <w:szCs w:val="26"/>
        </w:rPr>
        <w:t xml:space="preserve">ajor </w:t>
      </w:r>
      <w:r w:rsidR="00A36F41">
        <w:rPr>
          <w:szCs w:val="26"/>
        </w:rPr>
        <w:t>P</w:t>
      </w:r>
      <w:r w:rsidRPr="007D08A2">
        <w:rPr>
          <w:szCs w:val="26"/>
        </w:rPr>
        <w:t xml:space="preserve">ole </w:t>
      </w:r>
      <w:r w:rsidR="00A36F41">
        <w:rPr>
          <w:szCs w:val="26"/>
        </w:rPr>
        <w:t>O</w:t>
      </w:r>
      <w:r w:rsidRPr="007D08A2">
        <w:rPr>
          <w:szCs w:val="26"/>
        </w:rPr>
        <w:t>wners.</w:t>
      </w:r>
    </w:p>
    <w:p w:rsidRPr="007D08A2" w:rsidR="00025F53" w:rsidP="00ED36CC" w:rsidRDefault="00025F53" w14:paraId="390E80A0" w14:textId="08438E15">
      <w:pPr>
        <w:pStyle w:val="Standard"/>
        <w:rPr>
          <w:szCs w:val="26"/>
        </w:rPr>
      </w:pPr>
      <w:r w:rsidRPr="007D08A2">
        <w:rPr>
          <w:szCs w:val="26"/>
        </w:rPr>
        <w:t xml:space="preserve">The Commission previously issued a ruling that requested utilities that own and operate utility infrastructure to provide an overview of how they maintain information on their conduit infrastructure, the format in which this </w:t>
      </w:r>
      <w:r w:rsidRPr="007D08A2">
        <w:rPr>
          <w:szCs w:val="26"/>
        </w:rPr>
        <w:lastRenderedPageBreak/>
        <w:t>information is stored (including database type and data fields), and how they make this information available to other utilities upon request.</w:t>
      </w:r>
    </w:p>
    <w:p w:rsidRPr="007D08A2" w:rsidR="00025F53" w:rsidP="00ED36CC" w:rsidRDefault="00025F53" w14:paraId="7C695CA7" w14:textId="7CDF9D98">
      <w:pPr>
        <w:pStyle w:val="Standard"/>
        <w:rPr>
          <w:szCs w:val="26"/>
        </w:rPr>
      </w:pPr>
      <w:r w:rsidRPr="007D08A2">
        <w:rPr>
          <w:szCs w:val="26"/>
        </w:rPr>
        <w:t xml:space="preserve">Since this proceeding was opened in 2017, new statutory requirements were enacted to require documentation of all subsurface installations. These regulations are overseen by the California Underground Facilities Safe Excavation Board, also known as the </w:t>
      </w:r>
      <w:r w:rsidR="00410529">
        <w:rPr>
          <w:szCs w:val="26"/>
        </w:rPr>
        <w:t>“</w:t>
      </w:r>
      <w:r w:rsidRPr="007D08A2">
        <w:rPr>
          <w:szCs w:val="26"/>
        </w:rPr>
        <w:t>Dig Safe Board.</w:t>
      </w:r>
      <w:r w:rsidR="00410529">
        <w:rPr>
          <w:szCs w:val="26"/>
        </w:rPr>
        <w:t>”</w:t>
      </w:r>
      <w:r w:rsidRPr="007D08A2">
        <w:rPr>
          <w:szCs w:val="26"/>
        </w:rPr>
        <w:t xml:space="preserve"> Of interest to this proceeding, are the provisions of </w:t>
      </w:r>
      <w:r w:rsidR="003D2079">
        <w:rPr>
          <w:szCs w:val="26"/>
        </w:rPr>
        <w:t xml:space="preserve">California </w:t>
      </w:r>
      <w:r w:rsidRPr="007D08A2">
        <w:rPr>
          <w:szCs w:val="26"/>
        </w:rPr>
        <w:t xml:space="preserve">Government Code </w:t>
      </w:r>
      <w:r w:rsidR="00B64DFB">
        <w:rPr>
          <w:szCs w:val="26"/>
        </w:rPr>
        <w:t>Section</w:t>
      </w:r>
      <w:r w:rsidR="00EB4848">
        <w:rPr>
          <w:szCs w:val="26"/>
        </w:rPr>
        <w:t>s</w:t>
      </w:r>
      <w:r w:rsidR="00B64DFB">
        <w:rPr>
          <w:szCs w:val="26"/>
        </w:rPr>
        <w:t> </w:t>
      </w:r>
      <w:r w:rsidRPr="007D08A2">
        <w:rPr>
          <w:szCs w:val="26"/>
        </w:rPr>
        <w:t>4216.3(a)(4) and (5) which require the following:</w:t>
      </w:r>
    </w:p>
    <w:p w:rsidRPr="00BD0D27" w:rsidR="00BD0D27" w:rsidP="00AF4E3E" w:rsidRDefault="00BD0D27" w14:paraId="00637B82" w14:textId="7BC28B2C">
      <w:pPr>
        <w:pStyle w:val="BlockQuoteH033"/>
        <w:rPr>
          <w:szCs w:val="26"/>
        </w:rPr>
      </w:pPr>
      <w:r w:rsidRPr="00BD0D27">
        <w:rPr>
          <w:szCs w:val="26"/>
        </w:rPr>
        <w:t>(4)</w:t>
      </w:r>
      <w:r w:rsidR="00AF4E3E">
        <w:rPr>
          <w:szCs w:val="26"/>
        </w:rPr>
        <w:tab/>
      </w:r>
      <w:r w:rsidRPr="00BD0D27">
        <w:rPr>
          <w:szCs w:val="26"/>
        </w:rPr>
        <w:t xml:space="preserve">An operator shall </w:t>
      </w:r>
      <w:r w:rsidRPr="00AF4E3E">
        <w:t>amend</w:t>
      </w:r>
      <w:r w:rsidRPr="00BD0D27">
        <w:rPr>
          <w:szCs w:val="26"/>
        </w:rPr>
        <w:t xml:space="preserve">, update, maintain, and preserve all plans and records for its subsurface installations as that information becomes known. If there is a change in ownership of a subsurface installation, the records shall be turned over to the new operator. Commencing </w:t>
      </w:r>
      <w:r w:rsidR="00410529">
        <w:rPr>
          <w:szCs w:val="26"/>
        </w:rPr>
        <w:t>January</w:t>
      </w:r>
      <w:r w:rsidR="0051059D">
        <w:rPr>
          <w:szCs w:val="26"/>
        </w:rPr>
        <w:t> </w:t>
      </w:r>
      <w:r w:rsidRPr="00BD0D27">
        <w:rPr>
          <w:szCs w:val="26"/>
        </w:rPr>
        <w:t>1, 2017, records on abandoned subsurface installations, to the extent that those records exist, shall be retained.</w:t>
      </w:r>
    </w:p>
    <w:p w:rsidR="00410529" w:rsidP="00AF4E3E" w:rsidRDefault="00BD0D27" w14:paraId="23C6C73E" w14:textId="32B54B04">
      <w:pPr>
        <w:pStyle w:val="BlockQuoteH033"/>
        <w:rPr>
          <w:szCs w:val="26"/>
        </w:rPr>
      </w:pPr>
      <w:r w:rsidRPr="00BD0D27">
        <w:rPr>
          <w:szCs w:val="26"/>
        </w:rPr>
        <w:t>(5)</w:t>
      </w:r>
      <w:r w:rsidR="00AF4E3E">
        <w:rPr>
          <w:szCs w:val="26"/>
        </w:rPr>
        <w:tab/>
      </w:r>
      <w:r w:rsidRPr="00BD0D27">
        <w:rPr>
          <w:szCs w:val="26"/>
        </w:rPr>
        <w:t xml:space="preserve">Commencing </w:t>
      </w:r>
      <w:r w:rsidR="00410529">
        <w:rPr>
          <w:szCs w:val="26"/>
        </w:rPr>
        <w:t>January</w:t>
      </w:r>
      <w:r w:rsidR="0051059D">
        <w:rPr>
          <w:szCs w:val="26"/>
        </w:rPr>
        <w:t> </w:t>
      </w:r>
      <w:r w:rsidRPr="00BD0D27">
        <w:rPr>
          <w:szCs w:val="26"/>
        </w:rPr>
        <w:t xml:space="preserve">1, 2023, all new subsurface </w:t>
      </w:r>
      <w:r w:rsidRPr="00AF4E3E">
        <w:t>installations</w:t>
      </w:r>
      <w:r w:rsidRPr="00BD0D27">
        <w:rPr>
          <w:szCs w:val="26"/>
        </w:rPr>
        <w:t xml:space="preserve"> shall be mapped using a geographic information system and maintained as permanent records of the operator.</w:t>
      </w:r>
    </w:p>
    <w:p w:rsidRPr="007D08A2" w:rsidR="003C1185" w:rsidP="00ED36CC" w:rsidRDefault="00002924" w14:paraId="3E379441" w14:textId="6BEEFE98">
      <w:pPr>
        <w:pStyle w:val="Standard"/>
        <w:rPr>
          <w:szCs w:val="26"/>
        </w:rPr>
      </w:pPr>
      <w:r>
        <w:t xml:space="preserve">Per the Staff Proposal, </w:t>
      </w:r>
      <w:r w:rsidR="003C1185">
        <w:t>p</w:t>
      </w:r>
      <w:r w:rsidRPr="007D08A2" w:rsidR="003C1185">
        <w:rPr>
          <w:szCs w:val="26"/>
        </w:rPr>
        <w:t xml:space="preserve">arty comments indicate that underground infrastructure is not shared to the extent that utility poles are shared. Additionally, parties assert there are existing statutory requirements for utilities to maintain records on past and present underground utility infrastructure. As such, </w:t>
      </w:r>
      <w:r w:rsidR="008609AB">
        <w:rPr>
          <w:szCs w:val="26"/>
        </w:rPr>
        <w:t>s</w:t>
      </w:r>
      <w:r w:rsidRPr="007D08A2" w:rsidR="003C1185">
        <w:rPr>
          <w:szCs w:val="26"/>
        </w:rPr>
        <w:t xml:space="preserve">taff believes it </w:t>
      </w:r>
      <w:r w:rsidR="008609AB">
        <w:rPr>
          <w:szCs w:val="26"/>
        </w:rPr>
        <w:t>is</w:t>
      </w:r>
      <w:r w:rsidRPr="007D08A2" w:rsidR="008609AB">
        <w:rPr>
          <w:szCs w:val="26"/>
        </w:rPr>
        <w:t xml:space="preserve"> </w:t>
      </w:r>
      <w:r w:rsidRPr="007D08A2" w:rsidR="003C1185">
        <w:rPr>
          <w:szCs w:val="26"/>
        </w:rPr>
        <w:t xml:space="preserve">reasonable to refrain from taking any action on this issue, given </w:t>
      </w:r>
      <w:r w:rsidR="00840411">
        <w:rPr>
          <w:szCs w:val="26"/>
        </w:rPr>
        <w:t>that the Dig Safe Board oversees subsurface installations</w:t>
      </w:r>
      <w:r w:rsidRPr="007D08A2" w:rsidR="003C1185">
        <w:rPr>
          <w:szCs w:val="26"/>
        </w:rPr>
        <w:t>.</w:t>
      </w:r>
      <w:r w:rsidR="008609AB">
        <w:rPr>
          <w:szCs w:val="26"/>
        </w:rPr>
        <w:t xml:space="preserve"> Party comments on this issue are discussed below.</w:t>
      </w:r>
    </w:p>
    <w:p w:rsidR="009130E3" w:rsidP="00ED36CC" w:rsidRDefault="001F0F9A" w14:paraId="375F35E0" w14:textId="4015C614">
      <w:pPr>
        <w:pStyle w:val="Heading3"/>
        <w:keepLines w:val="0"/>
      </w:pPr>
      <w:bookmarkStart w:name="_Toc229726764" w:id="48"/>
      <w:r>
        <w:lastRenderedPageBreak/>
        <w:t xml:space="preserve">ROW </w:t>
      </w:r>
      <w:r w:rsidR="005B3031">
        <w:t>Ruling Questions</w:t>
      </w:r>
      <w:r w:rsidR="000F6331">
        <w:br/>
      </w:r>
      <w:r w:rsidR="005B3031">
        <w:t>and Party Comments</w:t>
      </w:r>
      <w:bookmarkEnd w:id="48"/>
    </w:p>
    <w:p w:rsidR="005B3031" w:rsidP="006B65B5" w:rsidRDefault="00B877E2" w14:paraId="544A294A" w14:textId="085B5244">
      <w:pPr>
        <w:pStyle w:val="Heading4"/>
      </w:pPr>
      <w:r>
        <w:t>Is it reasonable</w:t>
      </w:r>
      <w:r w:rsidR="00FC7523">
        <w:t xml:space="preserve"> </w:t>
      </w:r>
      <w:r w:rsidR="00157D28">
        <w:t>to refrain from taking any action</w:t>
      </w:r>
      <w:r w:rsidR="00FC7523">
        <w:t xml:space="preserve"> </w:t>
      </w:r>
      <w:r w:rsidR="00157D28">
        <w:t>on requiring</w:t>
      </w:r>
      <w:r w:rsidR="00FC7523">
        <w:t xml:space="preserve"> </w:t>
      </w:r>
      <w:r w:rsidR="00157D28">
        <w:t>Commission jurisdictional utilities</w:t>
      </w:r>
      <w:r w:rsidR="00FC7523">
        <w:t xml:space="preserve"> </w:t>
      </w:r>
      <w:r w:rsidR="00157D28">
        <w:t>to maintain databases of their subsurface installations, given that subsurface installations are overseen</w:t>
      </w:r>
      <w:r w:rsidR="00FC7523">
        <w:t xml:space="preserve"> </w:t>
      </w:r>
      <w:r w:rsidR="00157D28">
        <w:t>by the Dig Safe Board?</w:t>
      </w:r>
    </w:p>
    <w:p w:rsidRPr="004855BF" w:rsidR="0092433B" w:rsidP="00ED36CC" w:rsidRDefault="0092433B" w14:paraId="6A4EE18F" w14:textId="0604287F">
      <w:pPr>
        <w:pStyle w:val="Standard"/>
      </w:pPr>
      <w:r w:rsidRPr="009051C3">
        <w:rPr>
          <w:rFonts w:eastAsia="Calibri" w:cs="Times New Roman"/>
          <w:szCs w:val="26"/>
        </w:rPr>
        <w:t>AT&amp;T,</w:t>
      </w:r>
      <w:r w:rsidRPr="004855BF">
        <w:rPr>
          <w:rFonts w:eastAsia="Calibri" w:cs="Times New Roman"/>
          <w:szCs w:val="26"/>
          <w:vertAlign w:val="superscript"/>
        </w:rPr>
        <w:footnoteReference w:id="158"/>
      </w:r>
      <w:r w:rsidRPr="004855BF">
        <w:rPr>
          <w:rFonts w:eastAsia="Calibri" w:cs="Times New Roman"/>
          <w:color w:val="2F5496"/>
          <w:szCs w:val="26"/>
        </w:rPr>
        <w:t xml:space="preserve"> </w:t>
      </w:r>
      <w:r w:rsidRPr="009051C3">
        <w:rPr>
          <w:rFonts w:eastAsia="Calibri" w:cs="Times New Roman"/>
          <w:szCs w:val="26"/>
        </w:rPr>
        <w:t>Race,</w:t>
      </w:r>
      <w:r w:rsidRPr="004855BF">
        <w:rPr>
          <w:rFonts w:eastAsia="Calibri" w:cs="Times New Roman"/>
          <w:szCs w:val="26"/>
          <w:vertAlign w:val="superscript"/>
        </w:rPr>
        <w:footnoteReference w:id="159"/>
      </w:r>
      <w:r w:rsidRPr="004855BF">
        <w:rPr>
          <w:rFonts w:eastAsia="Calibri" w:cs="Times New Roman"/>
          <w:szCs w:val="26"/>
        </w:rPr>
        <w:t xml:space="preserve"> </w:t>
      </w:r>
      <w:r w:rsidRPr="009051C3">
        <w:rPr>
          <w:rFonts w:eastAsia="Calibri" w:cs="Times New Roman"/>
          <w:szCs w:val="26"/>
        </w:rPr>
        <w:t>SCE</w:t>
      </w:r>
      <w:r w:rsidRPr="004855BF">
        <w:rPr>
          <w:rFonts w:eastAsia="Calibri" w:cs="Times New Roman"/>
          <w:szCs w:val="26"/>
        </w:rPr>
        <w:t>,</w:t>
      </w:r>
      <w:r w:rsidRPr="004855BF">
        <w:rPr>
          <w:rFonts w:eastAsia="Calibri" w:cs="Times New Roman"/>
          <w:szCs w:val="26"/>
          <w:vertAlign w:val="superscript"/>
        </w:rPr>
        <w:footnoteReference w:id="160"/>
      </w:r>
      <w:r w:rsidRPr="004855BF">
        <w:rPr>
          <w:rFonts w:eastAsia="Calibri" w:cs="Times New Roman"/>
          <w:szCs w:val="26"/>
        </w:rPr>
        <w:t xml:space="preserve"> and</w:t>
      </w:r>
      <w:r w:rsidRPr="004855BF">
        <w:rPr>
          <w:rFonts w:eastAsia="Calibri" w:cs="Times New Roman"/>
          <w:color w:val="2F5496"/>
          <w:szCs w:val="26"/>
        </w:rPr>
        <w:t xml:space="preserve"> </w:t>
      </w:r>
      <w:r w:rsidRPr="009051C3">
        <w:rPr>
          <w:rFonts w:eastAsia="Calibri" w:cs="Times New Roman"/>
          <w:szCs w:val="26"/>
        </w:rPr>
        <w:t>SDG&amp;E</w:t>
      </w:r>
      <w:r w:rsidRPr="004855BF">
        <w:rPr>
          <w:rFonts w:eastAsia="Calibri" w:cs="Times New Roman"/>
          <w:szCs w:val="26"/>
          <w:vertAlign w:val="superscript"/>
        </w:rPr>
        <w:footnoteReference w:id="161"/>
      </w:r>
      <w:r w:rsidRPr="004855BF">
        <w:rPr>
          <w:rFonts w:eastAsia="Calibri" w:cs="Times New Roman"/>
          <w:szCs w:val="26"/>
        </w:rPr>
        <w:t xml:space="preserve"> </w:t>
      </w:r>
      <w:r w:rsidR="00240E9D">
        <w:rPr>
          <w:rFonts w:eastAsia="Calibri" w:cs="Times New Roman"/>
          <w:szCs w:val="26"/>
        </w:rPr>
        <w:t>a</w:t>
      </w:r>
      <w:r w:rsidRPr="004855BF">
        <w:rPr>
          <w:rFonts w:eastAsia="Calibri" w:cs="Times New Roman"/>
          <w:szCs w:val="26"/>
        </w:rPr>
        <w:t>gree that it is reasonable to refrain from requiring any conduit database.</w:t>
      </w:r>
    </w:p>
    <w:p w:rsidR="00410529" w:rsidP="00ED36CC" w:rsidRDefault="0092433B" w14:paraId="07ACCBD0" w14:textId="4D7EE6F5">
      <w:pPr>
        <w:pStyle w:val="Standard"/>
        <w:rPr>
          <w:rFonts w:eastAsia="Calibri" w:cs="Times New Roman"/>
          <w:szCs w:val="26"/>
        </w:rPr>
      </w:pPr>
      <w:r w:rsidRPr="00240E9D">
        <w:rPr>
          <w:rFonts w:eastAsia="Calibri" w:cs="Times New Roman"/>
          <w:szCs w:val="26"/>
        </w:rPr>
        <w:t>California Broadband and Video Association</w:t>
      </w:r>
      <w:r w:rsidRPr="004855BF">
        <w:rPr>
          <w:rFonts w:eastAsia="Calibri" w:cs="Times New Roman"/>
          <w:szCs w:val="26"/>
        </w:rPr>
        <w:t xml:space="preserve"> </w:t>
      </w:r>
      <w:r w:rsidR="00240E9D">
        <w:rPr>
          <w:rFonts w:eastAsia="Calibri" w:cs="Times New Roman"/>
          <w:szCs w:val="26"/>
        </w:rPr>
        <w:t>c</w:t>
      </w:r>
      <w:r w:rsidRPr="004855BF">
        <w:rPr>
          <w:rFonts w:eastAsia="Calibri" w:cs="Times New Roman"/>
          <w:szCs w:val="26"/>
        </w:rPr>
        <w:t>laims there is no need/benefit for a conduit database</w:t>
      </w:r>
      <w:r w:rsidR="000829C0">
        <w:rPr>
          <w:rFonts w:eastAsia="Calibri" w:cs="Times New Roman"/>
          <w:szCs w:val="26"/>
        </w:rPr>
        <w:t>, pointing out that</w:t>
      </w:r>
      <w:r w:rsidRPr="004855BF">
        <w:rPr>
          <w:rFonts w:eastAsia="Calibri" w:cs="Times New Roman"/>
          <w:szCs w:val="26"/>
        </w:rPr>
        <w:t xml:space="preserve"> Cal</w:t>
      </w:r>
      <w:r w:rsidR="00DE0244">
        <w:rPr>
          <w:rFonts w:eastAsia="Calibri" w:cs="Times New Roman"/>
          <w:szCs w:val="26"/>
        </w:rPr>
        <w:t xml:space="preserve">ifornia </w:t>
      </w:r>
      <w:r w:rsidRPr="004855BF">
        <w:rPr>
          <w:rFonts w:eastAsia="Calibri" w:cs="Times New Roman"/>
          <w:szCs w:val="26"/>
        </w:rPr>
        <w:t>Broadband members have not encountered delays in accessing conduit.</w:t>
      </w:r>
      <w:r w:rsidRPr="004855BF">
        <w:rPr>
          <w:rFonts w:eastAsia="Calibri" w:cs="Times New Roman"/>
          <w:szCs w:val="26"/>
          <w:vertAlign w:val="superscript"/>
        </w:rPr>
        <w:footnoteReference w:id="162"/>
      </w:r>
    </w:p>
    <w:p w:rsidRPr="004855BF" w:rsidR="0092433B" w:rsidP="00ED36CC" w:rsidRDefault="0092433B" w14:paraId="216DDCF6" w14:textId="3AC04459">
      <w:pPr>
        <w:pStyle w:val="Standard"/>
      </w:pPr>
      <w:proofErr w:type="spellStart"/>
      <w:r w:rsidRPr="00240E9D">
        <w:rPr>
          <w:rFonts w:eastAsia="Calibri" w:cs="Times New Roman"/>
          <w:szCs w:val="26"/>
        </w:rPr>
        <w:t>Extenet</w:t>
      </w:r>
      <w:proofErr w:type="spellEnd"/>
      <w:r w:rsidRPr="00240E9D">
        <w:rPr>
          <w:rFonts w:eastAsia="Calibri" w:cs="Times New Roman"/>
          <w:szCs w:val="26"/>
        </w:rPr>
        <w:t xml:space="preserve"> Systems</w:t>
      </w:r>
      <w:r w:rsidRPr="004855BF">
        <w:rPr>
          <w:rFonts w:eastAsia="Calibri" w:cs="Times New Roman"/>
          <w:szCs w:val="26"/>
        </w:rPr>
        <w:t xml:space="preserve"> </w:t>
      </w:r>
      <w:r w:rsidR="00240E9D">
        <w:rPr>
          <w:rFonts w:eastAsia="Calibri" w:cs="Times New Roman"/>
          <w:szCs w:val="26"/>
        </w:rPr>
        <w:t>r</w:t>
      </w:r>
      <w:r w:rsidRPr="004855BF">
        <w:rPr>
          <w:rFonts w:eastAsia="Calibri" w:cs="Times New Roman"/>
          <w:szCs w:val="26"/>
        </w:rPr>
        <w:t xml:space="preserve">ecommends the CPUC proceed with </w:t>
      </w:r>
      <w:r w:rsidR="001120E8">
        <w:rPr>
          <w:rFonts w:eastAsia="Calibri" w:cs="Times New Roman"/>
          <w:szCs w:val="26"/>
        </w:rPr>
        <w:t>Phase</w:t>
      </w:r>
      <w:r w:rsidR="0051059D">
        <w:rPr>
          <w:rFonts w:eastAsia="Calibri" w:cs="Times New Roman"/>
          <w:szCs w:val="26"/>
        </w:rPr>
        <w:t> </w:t>
      </w:r>
      <w:r w:rsidRPr="004855BF">
        <w:rPr>
          <w:rFonts w:eastAsia="Calibri" w:cs="Times New Roman"/>
          <w:szCs w:val="26"/>
        </w:rPr>
        <w:t>3 of this proceeding to develop an inventory of conduits.</w:t>
      </w:r>
      <w:r w:rsidRPr="004855BF">
        <w:rPr>
          <w:rFonts w:eastAsia="Calibri" w:cs="Times New Roman"/>
          <w:szCs w:val="26"/>
          <w:vertAlign w:val="superscript"/>
        </w:rPr>
        <w:footnoteReference w:id="163"/>
      </w:r>
    </w:p>
    <w:p w:rsidRPr="004855BF" w:rsidR="0092433B" w:rsidP="00ED36CC" w:rsidRDefault="0092433B" w14:paraId="0EC287A3" w14:textId="681AD13E">
      <w:pPr>
        <w:pStyle w:val="Standard"/>
      </w:pPr>
      <w:r w:rsidRPr="0012584E">
        <w:rPr>
          <w:rFonts w:eastAsia="Calibri" w:cs="Times New Roman"/>
          <w:szCs w:val="26"/>
        </w:rPr>
        <w:t>PG&amp;E</w:t>
      </w:r>
      <w:r w:rsidRPr="004855BF">
        <w:rPr>
          <w:rFonts w:eastAsia="Calibri" w:cs="Times New Roman"/>
          <w:szCs w:val="26"/>
        </w:rPr>
        <w:t xml:space="preserve"> </w:t>
      </w:r>
      <w:r w:rsidR="0012584E">
        <w:rPr>
          <w:rFonts w:eastAsia="Calibri" w:cs="Times New Roman"/>
          <w:szCs w:val="26"/>
        </w:rPr>
        <w:t>a</w:t>
      </w:r>
      <w:r w:rsidRPr="004855BF">
        <w:rPr>
          <w:rFonts w:eastAsia="Calibri" w:cs="Times New Roman"/>
          <w:szCs w:val="26"/>
        </w:rPr>
        <w:t xml:space="preserve">grees that it is reasonable to refrain from taking action on </w:t>
      </w:r>
      <w:r w:rsidR="008609AB">
        <w:rPr>
          <w:rFonts w:eastAsia="Calibri" w:cs="Times New Roman"/>
          <w:szCs w:val="26"/>
        </w:rPr>
        <w:t xml:space="preserve">the </w:t>
      </w:r>
      <w:r w:rsidRPr="004855BF">
        <w:rPr>
          <w:rFonts w:eastAsia="Calibri" w:cs="Times New Roman"/>
          <w:szCs w:val="26"/>
        </w:rPr>
        <w:t xml:space="preserve">subsurface database. </w:t>
      </w:r>
      <w:r w:rsidR="0012584E">
        <w:rPr>
          <w:rFonts w:eastAsia="Calibri" w:cs="Times New Roman"/>
          <w:szCs w:val="26"/>
        </w:rPr>
        <w:t>It n</w:t>
      </w:r>
      <w:r w:rsidRPr="004855BF">
        <w:rPr>
          <w:rFonts w:eastAsia="Calibri" w:cs="Times New Roman"/>
          <w:szCs w:val="26"/>
        </w:rPr>
        <w:t>otes that underground infrastructure is not shared to the extent of utility poles</w:t>
      </w:r>
      <w:r w:rsidR="0012584E">
        <w:rPr>
          <w:rFonts w:eastAsia="Calibri" w:cs="Times New Roman"/>
          <w:szCs w:val="26"/>
        </w:rPr>
        <w:t>, and that the creation of</w:t>
      </w:r>
      <w:r w:rsidRPr="004855BF">
        <w:rPr>
          <w:rFonts w:eastAsia="Calibri" w:cs="Times New Roman"/>
          <w:szCs w:val="26"/>
        </w:rPr>
        <w:t xml:space="preserve"> a subsurface database will require parties to incur additional costs.</w:t>
      </w:r>
      <w:r w:rsidRPr="004855BF">
        <w:rPr>
          <w:rFonts w:eastAsia="Calibri" w:cs="Times New Roman"/>
          <w:szCs w:val="26"/>
          <w:vertAlign w:val="superscript"/>
        </w:rPr>
        <w:footnoteReference w:id="164"/>
      </w:r>
    </w:p>
    <w:p w:rsidRPr="004855BF" w:rsidR="0092433B" w:rsidP="00ED36CC" w:rsidRDefault="0092433B" w14:paraId="57DA2984" w14:textId="1191E32D">
      <w:pPr>
        <w:pStyle w:val="Standard"/>
      </w:pPr>
      <w:r w:rsidRPr="007F4DAE">
        <w:rPr>
          <w:rFonts w:eastAsia="Calibri" w:cs="Times New Roman"/>
          <w:szCs w:val="26"/>
        </w:rPr>
        <w:t>Sonic</w:t>
      </w:r>
      <w:r w:rsidRPr="004855BF">
        <w:rPr>
          <w:rFonts w:eastAsia="Calibri" w:cs="Times New Roman"/>
          <w:szCs w:val="26"/>
        </w:rPr>
        <w:t xml:space="preserve"> </w:t>
      </w:r>
      <w:r w:rsidR="007F4DAE">
        <w:rPr>
          <w:rFonts w:eastAsia="Calibri" w:cs="Times New Roman"/>
          <w:szCs w:val="26"/>
        </w:rPr>
        <w:t>r</w:t>
      </w:r>
      <w:r w:rsidRPr="004855BF">
        <w:rPr>
          <w:rFonts w:eastAsia="Calibri" w:cs="Times New Roman"/>
          <w:szCs w:val="26"/>
        </w:rPr>
        <w:t>ecommends the CPUC act on the issue of conduit access within this proceeding</w:t>
      </w:r>
      <w:r w:rsidR="0000066A">
        <w:rPr>
          <w:rFonts w:eastAsia="Calibri" w:cs="Times New Roman"/>
          <w:szCs w:val="26"/>
        </w:rPr>
        <w:t>, reasoning that</w:t>
      </w:r>
      <w:r w:rsidRPr="004855BF">
        <w:rPr>
          <w:rFonts w:eastAsia="Calibri" w:cs="Times New Roman"/>
          <w:szCs w:val="26"/>
        </w:rPr>
        <w:t xml:space="preserve"> that service providers need efficient access to the </w:t>
      </w:r>
      <w:r w:rsidRPr="004855BF">
        <w:rPr>
          <w:rFonts w:eastAsia="Calibri" w:cs="Times New Roman"/>
          <w:szCs w:val="26"/>
        </w:rPr>
        <w:lastRenderedPageBreak/>
        <w:t>same conduit information that utilities have (regardless of format) so attachers can determine available space and deploy fiber networks effectively.</w:t>
      </w:r>
      <w:r w:rsidRPr="004855BF">
        <w:rPr>
          <w:rFonts w:eastAsia="Calibri" w:cs="Times New Roman"/>
          <w:szCs w:val="26"/>
          <w:vertAlign w:val="superscript"/>
        </w:rPr>
        <w:footnoteReference w:id="165"/>
      </w:r>
    </w:p>
    <w:p w:rsidRPr="004855BF" w:rsidR="0092433B" w:rsidP="00ED36CC" w:rsidRDefault="0092433B" w14:paraId="67779AB9" w14:textId="4B4D7D59">
      <w:pPr>
        <w:pStyle w:val="Standard"/>
      </w:pPr>
      <w:proofErr w:type="spellStart"/>
      <w:r w:rsidRPr="007F4DAE">
        <w:rPr>
          <w:rFonts w:eastAsia="Calibri" w:cs="Times New Roman"/>
          <w:szCs w:val="26"/>
        </w:rPr>
        <w:t>Surfnet</w:t>
      </w:r>
      <w:proofErr w:type="spellEnd"/>
      <w:r w:rsidR="00214642">
        <w:rPr>
          <w:rFonts w:eastAsia="Calibri" w:cs="Times New Roman"/>
          <w:szCs w:val="26"/>
        </w:rPr>
        <w:t xml:space="preserve"> a</w:t>
      </w:r>
      <w:r w:rsidRPr="004855BF">
        <w:rPr>
          <w:rFonts w:eastAsia="Calibri" w:cs="Times New Roman"/>
          <w:szCs w:val="26"/>
        </w:rPr>
        <w:t>grees it is reasonable to refrain from taking action</w:t>
      </w:r>
      <w:r w:rsidR="008609AB">
        <w:rPr>
          <w:rFonts w:eastAsia="Calibri" w:cs="Times New Roman"/>
          <w:szCs w:val="26"/>
        </w:rPr>
        <w:t xml:space="preserve"> on the subsurface database</w:t>
      </w:r>
      <w:r w:rsidRPr="004855BF">
        <w:rPr>
          <w:rFonts w:eastAsia="Calibri" w:cs="Times New Roman"/>
          <w:szCs w:val="26"/>
        </w:rPr>
        <w:t>.</w:t>
      </w:r>
      <w:r w:rsidRPr="004855BF">
        <w:rPr>
          <w:rFonts w:eastAsia="Calibri" w:cs="Times New Roman"/>
          <w:szCs w:val="26"/>
          <w:vertAlign w:val="superscript"/>
        </w:rPr>
        <w:footnoteReference w:id="166"/>
      </w:r>
    </w:p>
    <w:p w:rsidR="00157D28" w:rsidP="006B65B5" w:rsidRDefault="00307431" w14:paraId="4E4DC84C" w14:textId="4C6984CF">
      <w:pPr>
        <w:pStyle w:val="Heading4"/>
      </w:pPr>
      <w:r>
        <w:t>Alternatively, should conduit data reporting requirements be adopted? Should any additional modifications be considered?</w:t>
      </w:r>
    </w:p>
    <w:p w:rsidRPr="004855BF" w:rsidR="006B798A" w:rsidP="00ED36CC" w:rsidRDefault="006B798A" w14:paraId="0B35E3B4" w14:textId="4DF7EE7F">
      <w:pPr>
        <w:pStyle w:val="Standard"/>
      </w:pPr>
      <w:r w:rsidRPr="00214642">
        <w:rPr>
          <w:rFonts w:eastAsia="Calibri" w:cs="Times New Roman"/>
          <w:szCs w:val="26"/>
        </w:rPr>
        <w:t>AT&amp;T</w:t>
      </w:r>
      <w:r w:rsidRPr="004855BF">
        <w:rPr>
          <w:rFonts w:eastAsia="Calibri" w:cs="Times New Roman"/>
          <w:szCs w:val="26"/>
        </w:rPr>
        <w:t xml:space="preserve"> </w:t>
      </w:r>
      <w:r w:rsidR="00214642">
        <w:rPr>
          <w:rFonts w:eastAsia="Calibri" w:cs="Times New Roman"/>
          <w:szCs w:val="26"/>
        </w:rPr>
        <w:t>a</w:t>
      </w:r>
      <w:r w:rsidRPr="004855BF">
        <w:rPr>
          <w:rFonts w:eastAsia="Calibri" w:cs="Times New Roman"/>
          <w:szCs w:val="26"/>
        </w:rPr>
        <w:t xml:space="preserve">rgues a conduit database would have little benefit and be costly and time consuming. </w:t>
      </w:r>
      <w:r w:rsidR="008609AB">
        <w:rPr>
          <w:rFonts w:eastAsia="Calibri" w:cs="Times New Roman"/>
          <w:szCs w:val="26"/>
        </w:rPr>
        <w:t>AT&amp;T points out that, i</w:t>
      </w:r>
      <w:r w:rsidRPr="004855BF">
        <w:rPr>
          <w:rFonts w:eastAsia="Calibri" w:cs="Times New Roman"/>
          <w:szCs w:val="26"/>
        </w:rPr>
        <w:t>n practice</w:t>
      </w:r>
      <w:r w:rsidR="008609AB">
        <w:rPr>
          <w:rFonts w:eastAsia="Calibri" w:cs="Times New Roman"/>
          <w:szCs w:val="26"/>
        </w:rPr>
        <w:t>,</w:t>
      </w:r>
      <w:r w:rsidRPr="004855BF">
        <w:rPr>
          <w:rFonts w:eastAsia="Calibri" w:cs="Times New Roman"/>
          <w:szCs w:val="26"/>
        </w:rPr>
        <w:t xml:space="preserve"> conduit availability would still have to be confirmed prior to installation through a manhole visit.</w:t>
      </w:r>
      <w:r w:rsidRPr="004855BF">
        <w:rPr>
          <w:rFonts w:eastAsia="Calibri" w:cs="Times New Roman"/>
          <w:szCs w:val="26"/>
          <w:vertAlign w:val="superscript"/>
        </w:rPr>
        <w:footnoteReference w:id="167"/>
      </w:r>
    </w:p>
    <w:p w:rsidRPr="004855BF" w:rsidR="006B798A" w:rsidP="00ED36CC" w:rsidRDefault="006B798A" w14:paraId="2D6D1DB9" w14:textId="20E83C38">
      <w:pPr>
        <w:pStyle w:val="Standard"/>
      </w:pPr>
      <w:r w:rsidRPr="00214642">
        <w:rPr>
          <w:rFonts w:eastAsia="Calibri" w:cs="Times New Roman"/>
          <w:szCs w:val="26"/>
        </w:rPr>
        <w:t>CTIA</w:t>
      </w:r>
      <w:r w:rsidRPr="004855BF">
        <w:rPr>
          <w:rFonts w:eastAsia="Calibri" w:cs="Times New Roman"/>
          <w:szCs w:val="26"/>
        </w:rPr>
        <w:t xml:space="preserve"> </w:t>
      </w:r>
      <w:r w:rsidR="00214642">
        <w:rPr>
          <w:rFonts w:eastAsia="Calibri" w:cs="Times New Roman"/>
          <w:szCs w:val="26"/>
        </w:rPr>
        <w:t>o</w:t>
      </w:r>
      <w:r w:rsidRPr="004855BF">
        <w:rPr>
          <w:rFonts w:eastAsia="Calibri" w:cs="Times New Roman"/>
          <w:szCs w:val="26"/>
        </w:rPr>
        <w:t>pposes conduit data reporting requirements, citing oversight by the Dig Safe Board, lack of basis/need, security risks, and adequacy of existing regulatory framework.</w:t>
      </w:r>
      <w:r w:rsidRPr="004855BF">
        <w:rPr>
          <w:rFonts w:eastAsia="Calibri" w:cs="Times New Roman"/>
          <w:szCs w:val="26"/>
          <w:vertAlign w:val="superscript"/>
        </w:rPr>
        <w:footnoteReference w:id="168"/>
      </w:r>
    </w:p>
    <w:p w:rsidRPr="004855BF" w:rsidR="006B798A" w:rsidP="00ED36CC" w:rsidRDefault="006B798A" w14:paraId="4E1A17ED" w14:textId="2A417ED8">
      <w:pPr>
        <w:pStyle w:val="Standard"/>
      </w:pPr>
      <w:r w:rsidRPr="00214642">
        <w:rPr>
          <w:rFonts w:eastAsia="Calibri" w:cs="Times New Roman"/>
          <w:szCs w:val="26"/>
        </w:rPr>
        <w:t>PG&amp;E</w:t>
      </w:r>
      <w:r w:rsidRPr="004855BF">
        <w:rPr>
          <w:rFonts w:eastAsia="Calibri" w:cs="Times New Roman"/>
          <w:szCs w:val="26"/>
        </w:rPr>
        <w:t xml:space="preserve"> </w:t>
      </w:r>
      <w:r w:rsidR="00214642">
        <w:rPr>
          <w:rFonts w:eastAsia="Calibri" w:cs="Times New Roman"/>
          <w:szCs w:val="26"/>
        </w:rPr>
        <w:t>o</w:t>
      </w:r>
      <w:r w:rsidRPr="004855BF">
        <w:rPr>
          <w:rFonts w:eastAsia="Calibri" w:cs="Times New Roman"/>
          <w:szCs w:val="26"/>
        </w:rPr>
        <w:t>pposes reporting requirements for conduit data.</w:t>
      </w:r>
      <w:r w:rsidRPr="004855BF">
        <w:rPr>
          <w:rFonts w:eastAsia="Calibri" w:cs="Times New Roman"/>
          <w:szCs w:val="26"/>
          <w:vertAlign w:val="superscript"/>
        </w:rPr>
        <w:footnoteReference w:id="169"/>
      </w:r>
    </w:p>
    <w:p w:rsidRPr="004855BF" w:rsidR="006B798A" w:rsidP="00ED36CC" w:rsidRDefault="006B798A" w14:paraId="5A14B125" w14:textId="0A370740">
      <w:pPr>
        <w:pStyle w:val="Standard"/>
      </w:pPr>
      <w:r w:rsidRPr="00214642">
        <w:rPr>
          <w:rFonts w:eastAsia="Calibri" w:cs="Times New Roman"/>
          <w:szCs w:val="26"/>
        </w:rPr>
        <w:t>SCE</w:t>
      </w:r>
      <w:r w:rsidRPr="004855BF">
        <w:rPr>
          <w:rFonts w:eastAsia="Calibri" w:cs="Times New Roman"/>
          <w:szCs w:val="26"/>
        </w:rPr>
        <w:t xml:space="preserve"> </w:t>
      </w:r>
      <w:r w:rsidR="00214642">
        <w:rPr>
          <w:rFonts w:eastAsia="Calibri" w:cs="Times New Roman"/>
          <w:szCs w:val="26"/>
        </w:rPr>
        <w:t>s</w:t>
      </w:r>
      <w:r w:rsidRPr="004855BF">
        <w:rPr>
          <w:rFonts w:eastAsia="Calibri" w:cs="Times New Roman"/>
          <w:szCs w:val="26"/>
        </w:rPr>
        <w:t>uggests that the CPUC does not need to pursue conduit data reporting requirements.</w:t>
      </w:r>
      <w:r w:rsidRPr="004855BF">
        <w:rPr>
          <w:rFonts w:eastAsia="Calibri" w:cs="Times New Roman"/>
          <w:szCs w:val="26"/>
          <w:vertAlign w:val="superscript"/>
        </w:rPr>
        <w:footnoteReference w:id="170"/>
      </w:r>
    </w:p>
    <w:p w:rsidRPr="004855BF" w:rsidR="006B798A" w:rsidP="00ED36CC" w:rsidRDefault="006B798A" w14:paraId="66DCAE4F" w14:textId="0615EF30">
      <w:pPr>
        <w:pStyle w:val="Standard"/>
      </w:pPr>
      <w:r w:rsidRPr="00214642">
        <w:rPr>
          <w:rFonts w:eastAsia="Calibri" w:cs="Times New Roman"/>
          <w:szCs w:val="26"/>
        </w:rPr>
        <w:t>Sonic</w:t>
      </w:r>
      <w:r w:rsidRPr="004855BF">
        <w:rPr>
          <w:rFonts w:eastAsia="Calibri" w:cs="Times New Roman"/>
          <w:szCs w:val="26"/>
        </w:rPr>
        <w:t xml:space="preserve"> </w:t>
      </w:r>
      <w:r w:rsidR="00214642">
        <w:rPr>
          <w:rFonts w:eastAsia="Calibri" w:cs="Times New Roman"/>
          <w:szCs w:val="26"/>
        </w:rPr>
        <w:t>o</w:t>
      </w:r>
      <w:r w:rsidRPr="004855BF">
        <w:rPr>
          <w:rFonts w:eastAsia="Calibri" w:cs="Times New Roman"/>
          <w:szCs w:val="26"/>
        </w:rPr>
        <w:t xml:space="preserve">pposes reporting requirements for conduit data. </w:t>
      </w:r>
      <w:r w:rsidR="00214642">
        <w:rPr>
          <w:rFonts w:eastAsia="Calibri" w:cs="Times New Roman"/>
          <w:szCs w:val="26"/>
        </w:rPr>
        <w:t>It r</w:t>
      </w:r>
      <w:r w:rsidRPr="004855BF">
        <w:rPr>
          <w:rFonts w:eastAsia="Calibri" w:cs="Times New Roman"/>
          <w:szCs w:val="26"/>
        </w:rPr>
        <w:t>ecommends adding access requirements for conduit to the ROW rules.</w:t>
      </w:r>
      <w:r w:rsidRPr="004855BF">
        <w:rPr>
          <w:rFonts w:eastAsia="Calibri" w:cs="Times New Roman"/>
          <w:szCs w:val="26"/>
          <w:vertAlign w:val="superscript"/>
        </w:rPr>
        <w:footnoteReference w:id="171"/>
      </w:r>
    </w:p>
    <w:p w:rsidRPr="00053F49" w:rsidR="006B798A" w:rsidP="00ED36CC" w:rsidRDefault="006B798A" w14:paraId="3B17ECAF" w14:textId="737CC46A">
      <w:pPr>
        <w:pStyle w:val="Standard"/>
      </w:pPr>
      <w:proofErr w:type="spellStart"/>
      <w:r w:rsidRPr="00053F49">
        <w:rPr>
          <w:rFonts w:eastAsia="Calibri" w:cs="Times New Roman"/>
          <w:szCs w:val="26"/>
        </w:rPr>
        <w:t>Surfnet</w:t>
      </w:r>
      <w:proofErr w:type="spellEnd"/>
      <w:r w:rsidRPr="00053F49">
        <w:rPr>
          <w:rFonts w:eastAsia="Calibri" w:cs="Times New Roman"/>
          <w:szCs w:val="26"/>
        </w:rPr>
        <w:t xml:space="preserve"> </w:t>
      </w:r>
      <w:r w:rsidRPr="00053F49" w:rsidR="002F06E6">
        <w:rPr>
          <w:rFonts w:eastAsia="Calibri" w:cs="Times New Roman"/>
          <w:szCs w:val="26"/>
        </w:rPr>
        <w:t>o</w:t>
      </w:r>
      <w:r w:rsidRPr="00053F49">
        <w:rPr>
          <w:rFonts w:eastAsia="Calibri" w:cs="Times New Roman"/>
          <w:szCs w:val="26"/>
        </w:rPr>
        <w:t>pposes reporting requirements for conduit data.</w:t>
      </w:r>
      <w:r w:rsidRPr="004855BF">
        <w:rPr>
          <w:vertAlign w:val="superscript"/>
        </w:rPr>
        <w:footnoteReference w:id="172"/>
      </w:r>
    </w:p>
    <w:p w:rsidR="00307431" w:rsidP="00ED36CC" w:rsidRDefault="00375EB0" w14:paraId="6019E4A5" w14:textId="7FF69C54">
      <w:pPr>
        <w:pStyle w:val="Heading3"/>
        <w:keepLines w:val="0"/>
      </w:pPr>
      <w:bookmarkStart w:name="_Toc229726765" w:id="49"/>
      <w:r>
        <w:lastRenderedPageBreak/>
        <w:t>Discussion and Findings</w:t>
      </w:r>
      <w:bookmarkEnd w:id="49"/>
    </w:p>
    <w:p w:rsidR="003F0C50" w:rsidP="00ED36CC" w:rsidRDefault="005C6C47" w14:paraId="0EC4D477" w14:textId="0FB29880">
      <w:pPr>
        <w:pStyle w:val="Standard"/>
        <w:ind w:left="360" w:firstLine="360"/>
        <w:rPr>
          <w:szCs w:val="26"/>
        </w:rPr>
      </w:pPr>
      <w:r>
        <w:rPr>
          <w:szCs w:val="26"/>
        </w:rPr>
        <w:t xml:space="preserve">In light of the current </w:t>
      </w:r>
      <w:r w:rsidR="00C04E81">
        <w:rPr>
          <w:szCs w:val="26"/>
        </w:rPr>
        <w:t>oversight</w:t>
      </w:r>
      <w:r>
        <w:rPr>
          <w:szCs w:val="26"/>
        </w:rPr>
        <w:t xml:space="preserve"> by the </w:t>
      </w:r>
      <w:r w:rsidR="00C04E81">
        <w:rPr>
          <w:szCs w:val="26"/>
        </w:rPr>
        <w:t xml:space="preserve">Dig Big Board, the </w:t>
      </w:r>
      <w:r w:rsidR="00931D24">
        <w:rPr>
          <w:szCs w:val="26"/>
        </w:rPr>
        <w:t>Commission</w:t>
      </w:r>
      <w:r w:rsidR="00C04E81">
        <w:rPr>
          <w:szCs w:val="26"/>
        </w:rPr>
        <w:t xml:space="preserve"> will refrain from </w:t>
      </w:r>
      <w:r w:rsidR="003F0C50">
        <w:rPr>
          <w:szCs w:val="26"/>
        </w:rPr>
        <w:t>imposing conduit data reporting requirements</w:t>
      </w:r>
      <w:r w:rsidR="002F06E6">
        <w:rPr>
          <w:szCs w:val="26"/>
        </w:rPr>
        <w:t xml:space="preserve"> at present</w:t>
      </w:r>
      <w:r w:rsidR="003F0C50">
        <w:rPr>
          <w:szCs w:val="26"/>
        </w:rPr>
        <w:t>.</w:t>
      </w:r>
    </w:p>
    <w:p w:rsidR="00375EB0" w:rsidP="00ED36CC" w:rsidRDefault="008A364E" w14:paraId="2F6A28A9" w14:textId="519E9B80">
      <w:pPr>
        <w:pStyle w:val="Heading2"/>
        <w:keepLines w:val="0"/>
      </w:pPr>
      <w:bookmarkStart w:name="_Toc229726766" w:id="50"/>
      <w:r>
        <w:t>Applicability of Right</w:t>
      </w:r>
      <w:r w:rsidR="007B5DA6">
        <w:t>s</w:t>
      </w:r>
      <w:r w:rsidR="00E4753D">
        <w:noBreakHyphen/>
      </w:r>
      <w:r>
        <w:t>of</w:t>
      </w:r>
      <w:r w:rsidR="00E4753D">
        <w:noBreakHyphen/>
      </w:r>
      <w:r>
        <w:t>Way Rules to</w:t>
      </w:r>
      <w:r w:rsidR="0006669C">
        <w:br/>
      </w:r>
      <w:r>
        <w:t>Local Governments and Other Utilities</w:t>
      </w:r>
      <w:bookmarkEnd w:id="50"/>
    </w:p>
    <w:p w:rsidR="000148EA" w:rsidP="00ED36CC" w:rsidRDefault="001F0F9A" w14:paraId="7ABE9E55" w14:textId="473872F9">
      <w:pPr>
        <w:pStyle w:val="Heading3"/>
        <w:keepLines w:val="0"/>
      </w:pPr>
      <w:bookmarkStart w:name="_Toc229726767" w:id="51"/>
      <w:r>
        <w:t xml:space="preserve">ROW </w:t>
      </w:r>
      <w:r w:rsidR="000148EA">
        <w:t>Ruling Background</w:t>
      </w:r>
      <w:r w:rsidR="00241557">
        <w:br/>
      </w:r>
      <w:r w:rsidR="000148EA">
        <w:t>and Staff Proposal</w:t>
      </w:r>
      <w:bookmarkEnd w:id="51"/>
    </w:p>
    <w:p w:rsidRPr="007D08A2" w:rsidR="000A5EF7" w:rsidP="00ED36CC" w:rsidRDefault="00CA5FD6" w14:paraId="2B960DF3" w14:textId="253A7DE6">
      <w:pPr>
        <w:pStyle w:val="Standard"/>
        <w:rPr>
          <w:szCs w:val="26"/>
        </w:rPr>
      </w:pPr>
      <w:r>
        <w:rPr>
          <w:szCs w:val="26"/>
        </w:rPr>
        <w:t xml:space="preserve">As explained, </w:t>
      </w:r>
      <w:r w:rsidRPr="004B5949">
        <w:rPr>
          <w:i/>
          <w:iCs/>
          <w:szCs w:val="26"/>
        </w:rPr>
        <w:t>supra</w:t>
      </w:r>
      <w:r>
        <w:rPr>
          <w:szCs w:val="26"/>
        </w:rPr>
        <w:t xml:space="preserve">, </w:t>
      </w:r>
      <w:r w:rsidRPr="007D08A2" w:rsidR="000A5EF7">
        <w:rPr>
          <w:szCs w:val="26"/>
        </w:rPr>
        <w:t>D.98</w:t>
      </w:r>
      <w:r w:rsidR="00E4753D">
        <w:rPr>
          <w:szCs w:val="26"/>
        </w:rPr>
        <w:noBreakHyphen/>
      </w:r>
      <w:r w:rsidRPr="007D08A2" w:rsidR="000A5EF7">
        <w:rPr>
          <w:szCs w:val="26"/>
        </w:rPr>
        <w:t>10</w:t>
      </w:r>
      <w:r w:rsidR="00E4753D">
        <w:rPr>
          <w:szCs w:val="26"/>
        </w:rPr>
        <w:noBreakHyphen/>
      </w:r>
      <w:r w:rsidRPr="007D08A2" w:rsidR="000A5EF7">
        <w:rPr>
          <w:szCs w:val="26"/>
        </w:rPr>
        <w:t>058 adopted</w:t>
      </w:r>
      <w:r w:rsidR="00AD2ECF">
        <w:rPr>
          <w:szCs w:val="26"/>
        </w:rPr>
        <w:t xml:space="preserve"> </w:t>
      </w:r>
      <w:r w:rsidR="00835EAD">
        <w:rPr>
          <w:szCs w:val="26"/>
        </w:rPr>
        <w:t>ROW Rules</w:t>
      </w:r>
      <w:r>
        <w:rPr>
          <w:szCs w:val="26"/>
        </w:rPr>
        <w:t xml:space="preserve"> </w:t>
      </w:r>
      <w:r w:rsidR="004B3047">
        <w:rPr>
          <w:szCs w:val="26"/>
        </w:rPr>
        <w:t>to</w:t>
      </w:r>
      <w:r w:rsidRPr="007D08A2" w:rsidR="000A5EF7">
        <w:rPr>
          <w:szCs w:val="26"/>
        </w:rPr>
        <w:t xml:space="preserve"> govern nondiscriminatory access to the poles, ducts, conduits, and rights</w:t>
      </w:r>
      <w:r w:rsidR="00E4753D">
        <w:rPr>
          <w:szCs w:val="26"/>
        </w:rPr>
        <w:noBreakHyphen/>
      </w:r>
      <w:r w:rsidRPr="007D08A2" w:rsidR="000A5EF7">
        <w:rPr>
          <w:szCs w:val="26"/>
        </w:rPr>
        <w:t>of</w:t>
      </w:r>
      <w:r w:rsidR="00E4753D">
        <w:rPr>
          <w:szCs w:val="26"/>
        </w:rPr>
        <w:noBreakHyphen/>
      </w:r>
      <w:r w:rsidRPr="007D08A2" w:rsidR="000A5EF7">
        <w:rPr>
          <w:szCs w:val="26"/>
        </w:rPr>
        <w:t>way owned and operated by specified telephone companies and electric utilities.</w:t>
      </w:r>
      <w:r w:rsidRPr="007D08A2" w:rsidR="000A5EF7">
        <w:rPr>
          <w:szCs w:val="26"/>
          <w:vertAlign w:val="superscript"/>
        </w:rPr>
        <w:footnoteReference w:id="173"/>
      </w:r>
      <w:r w:rsidRPr="007D08A2" w:rsidR="000A5EF7">
        <w:rPr>
          <w:szCs w:val="26"/>
        </w:rPr>
        <w:t xml:space="preserve"> The adopted rules govern access to public utility rights</w:t>
      </w:r>
      <w:r w:rsidR="00E4753D">
        <w:rPr>
          <w:szCs w:val="26"/>
        </w:rPr>
        <w:noBreakHyphen/>
      </w:r>
      <w:r w:rsidRPr="007D08A2" w:rsidR="000A5EF7">
        <w:rPr>
          <w:szCs w:val="26"/>
        </w:rPr>
        <w:t>of</w:t>
      </w:r>
      <w:r w:rsidR="00E4753D">
        <w:rPr>
          <w:szCs w:val="26"/>
        </w:rPr>
        <w:noBreakHyphen/>
      </w:r>
      <w:r w:rsidRPr="007D08A2" w:rsidR="000A5EF7">
        <w:rPr>
          <w:szCs w:val="26"/>
        </w:rPr>
        <w:t>way and support structures by telecommunications carriers, Commercial Mobile Radio Service (CMRS) carriers, and cable TV companies. D.98</w:t>
      </w:r>
      <w:r w:rsidR="00E4753D">
        <w:rPr>
          <w:szCs w:val="26"/>
        </w:rPr>
        <w:noBreakHyphen/>
      </w:r>
      <w:r w:rsidRPr="007D08A2" w:rsidR="000A5EF7">
        <w:rPr>
          <w:szCs w:val="26"/>
        </w:rPr>
        <w:t>10</w:t>
      </w:r>
      <w:r w:rsidR="00E4753D">
        <w:rPr>
          <w:szCs w:val="26"/>
        </w:rPr>
        <w:noBreakHyphen/>
      </w:r>
      <w:r w:rsidRPr="007D08A2" w:rsidR="000A5EF7">
        <w:rPr>
          <w:szCs w:val="26"/>
        </w:rPr>
        <w:t xml:space="preserve">058 did not apply the </w:t>
      </w:r>
      <w:r w:rsidR="00835EAD">
        <w:rPr>
          <w:szCs w:val="26"/>
        </w:rPr>
        <w:t>ROW Rules</w:t>
      </w:r>
      <w:r w:rsidRPr="007D08A2" w:rsidR="000A5EF7">
        <w:rPr>
          <w:szCs w:val="26"/>
        </w:rPr>
        <w:t xml:space="preserve"> to other utilities under the Commission</w:t>
      </w:r>
      <w:r w:rsidR="00410529">
        <w:rPr>
          <w:szCs w:val="26"/>
        </w:rPr>
        <w:t>’</w:t>
      </w:r>
      <w:r w:rsidRPr="007D08A2" w:rsidR="000A5EF7">
        <w:rPr>
          <w:szCs w:val="26"/>
        </w:rPr>
        <w:t>s authority, despite these utilities also having access to facilities within the states</w:t>
      </w:r>
      <w:r w:rsidR="00410529">
        <w:rPr>
          <w:szCs w:val="26"/>
        </w:rPr>
        <w:t>’</w:t>
      </w:r>
      <w:r w:rsidRPr="007D08A2" w:rsidR="000A5EF7">
        <w:rPr>
          <w:szCs w:val="26"/>
        </w:rPr>
        <w:t xml:space="preserve"> various rights of way.</w:t>
      </w:r>
      <w:r w:rsidRPr="007D08A2" w:rsidR="000A5EF7">
        <w:rPr>
          <w:szCs w:val="26"/>
          <w:vertAlign w:val="superscript"/>
        </w:rPr>
        <w:footnoteReference w:id="174"/>
      </w:r>
    </w:p>
    <w:p w:rsidRPr="007D08A2" w:rsidR="000A5EF7" w:rsidP="00ED36CC" w:rsidRDefault="000A5EF7" w14:paraId="36A1FE04" w14:textId="22718A13">
      <w:pPr>
        <w:pStyle w:val="Standard"/>
        <w:rPr>
          <w:szCs w:val="26"/>
        </w:rPr>
      </w:pPr>
      <w:r w:rsidRPr="007D08A2">
        <w:rPr>
          <w:szCs w:val="26"/>
        </w:rPr>
        <w:t xml:space="preserve">Furthermore, in adopting the </w:t>
      </w:r>
      <w:r w:rsidR="00835EAD">
        <w:rPr>
          <w:szCs w:val="26"/>
        </w:rPr>
        <w:t>ROW Rules</w:t>
      </w:r>
      <w:r w:rsidRPr="007D08A2">
        <w:rPr>
          <w:szCs w:val="26"/>
        </w:rPr>
        <w:t>, the Commission determined it did not have the express statutory authority to regulate municipally</w:t>
      </w:r>
      <w:r w:rsidR="00E4753D">
        <w:rPr>
          <w:szCs w:val="26"/>
        </w:rPr>
        <w:noBreakHyphen/>
      </w:r>
      <w:r w:rsidRPr="007D08A2">
        <w:rPr>
          <w:szCs w:val="26"/>
        </w:rPr>
        <w:t>owned utilities and local governments concerning non</w:t>
      </w:r>
      <w:r w:rsidR="00E4753D">
        <w:rPr>
          <w:szCs w:val="26"/>
        </w:rPr>
        <w:noBreakHyphen/>
      </w:r>
      <w:r w:rsidRPr="007D08A2">
        <w:rPr>
          <w:szCs w:val="26"/>
        </w:rPr>
        <w:t xml:space="preserve">discriminatory access to their poles, ducts, conduits, and </w:t>
      </w:r>
      <w:r w:rsidR="00835EAD">
        <w:rPr>
          <w:szCs w:val="26"/>
        </w:rPr>
        <w:t>ROW Rules</w:t>
      </w:r>
      <w:r w:rsidRPr="007D08A2">
        <w:rPr>
          <w:szCs w:val="26"/>
        </w:rPr>
        <w:t xml:space="preserve"> did not apply to facilities owned and operated by municipal utilities and local governments.</w:t>
      </w:r>
      <w:r w:rsidRPr="007D08A2">
        <w:rPr>
          <w:rStyle w:val="FootnoteReference"/>
          <w:szCs w:val="26"/>
        </w:rPr>
        <w:footnoteReference w:id="175"/>
      </w:r>
      <w:r w:rsidRPr="007D08A2">
        <w:rPr>
          <w:szCs w:val="26"/>
        </w:rPr>
        <w:t xml:space="preserve"> Increasingly, however, these public entities are deploying competitive communications networks offering broadband Internet </w:t>
      </w:r>
      <w:r w:rsidRPr="00C81F2C">
        <w:rPr>
          <w:szCs w:val="26"/>
        </w:rPr>
        <w:t>access s</w:t>
      </w:r>
      <w:r w:rsidRPr="007D08A2">
        <w:rPr>
          <w:szCs w:val="26"/>
        </w:rPr>
        <w:t xml:space="preserve">ervices for consumers. Deployment of these networks may require access to facilities owned by the </w:t>
      </w:r>
      <w:r w:rsidR="00C14994">
        <w:rPr>
          <w:szCs w:val="26"/>
        </w:rPr>
        <w:t xml:space="preserve">Major Pole Owners and other </w:t>
      </w:r>
      <w:r w:rsidRPr="007D08A2">
        <w:rPr>
          <w:szCs w:val="26"/>
        </w:rPr>
        <w:t>IOUs regulated by the Commission.</w:t>
      </w:r>
      <w:r w:rsidRPr="007D08A2">
        <w:rPr>
          <w:i/>
          <w:iCs/>
          <w:szCs w:val="26"/>
        </w:rPr>
        <w:t xml:space="preserve"> </w:t>
      </w:r>
      <w:r w:rsidRPr="007D08A2">
        <w:rPr>
          <w:szCs w:val="26"/>
        </w:rPr>
        <w:t xml:space="preserve">As such, the </w:t>
      </w:r>
      <w:r w:rsidRPr="00DD76EF">
        <w:rPr>
          <w:i/>
          <w:iCs/>
          <w:szCs w:val="26"/>
        </w:rPr>
        <w:t>December 2022 Ruling</w:t>
      </w:r>
      <w:r w:rsidRPr="00DD76EF">
        <w:rPr>
          <w:szCs w:val="26"/>
        </w:rPr>
        <w:t xml:space="preserve"> </w:t>
      </w:r>
      <w:r w:rsidRPr="007D08A2">
        <w:rPr>
          <w:szCs w:val="26"/>
        </w:rPr>
        <w:lastRenderedPageBreak/>
        <w:t>requested party comment on whether government agencies receive nondiscriminatory access to the rights</w:t>
      </w:r>
      <w:r w:rsidR="00E4753D">
        <w:rPr>
          <w:szCs w:val="26"/>
        </w:rPr>
        <w:noBreakHyphen/>
      </w:r>
      <w:r w:rsidRPr="007D08A2">
        <w:rPr>
          <w:szCs w:val="26"/>
        </w:rPr>
        <w:t>of</w:t>
      </w:r>
      <w:r w:rsidR="00E4753D">
        <w:rPr>
          <w:szCs w:val="26"/>
        </w:rPr>
        <w:noBreakHyphen/>
      </w:r>
      <w:r w:rsidRPr="007D08A2">
        <w:rPr>
          <w:szCs w:val="26"/>
        </w:rPr>
        <w:t xml:space="preserve">way and support structures managed by utilities regulated by the Commission, and the </w:t>
      </w:r>
      <w:r w:rsidR="006C1CD1">
        <w:rPr>
          <w:szCs w:val="26"/>
        </w:rPr>
        <w:t>Commission’s</w:t>
      </w:r>
      <w:r w:rsidRPr="007D08A2" w:rsidR="006C1CD1">
        <w:rPr>
          <w:szCs w:val="26"/>
        </w:rPr>
        <w:t xml:space="preserve"> </w:t>
      </w:r>
      <w:r w:rsidRPr="007D08A2">
        <w:rPr>
          <w:szCs w:val="26"/>
        </w:rPr>
        <w:t>authority (or lack thereof) to grant licenses and/or access rights to government agencies.</w:t>
      </w:r>
    </w:p>
    <w:p w:rsidRPr="007D08A2" w:rsidR="000A5EF7" w:rsidP="00ED36CC" w:rsidRDefault="000A5EF7" w14:paraId="7F9AB804" w14:textId="4BCEB97A">
      <w:pPr>
        <w:pStyle w:val="Standard"/>
        <w:rPr>
          <w:szCs w:val="26"/>
        </w:rPr>
      </w:pPr>
      <w:r w:rsidRPr="007D08A2">
        <w:rPr>
          <w:szCs w:val="26"/>
        </w:rPr>
        <w:t>In comments</w:t>
      </w:r>
      <w:r w:rsidR="00687CBC">
        <w:rPr>
          <w:szCs w:val="26"/>
        </w:rPr>
        <w:t xml:space="preserve"> to the </w:t>
      </w:r>
      <w:r w:rsidRPr="00DD76EF" w:rsidR="00687CBC">
        <w:rPr>
          <w:i/>
          <w:iCs/>
          <w:szCs w:val="26"/>
        </w:rPr>
        <w:t>December 2022 Ruling</w:t>
      </w:r>
      <w:r w:rsidR="00687CBC">
        <w:rPr>
          <w:szCs w:val="26"/>
        </w:rPr>
        <w:t>,</w:t>
      </w:r>
      <w:r w:rsidRPr="007D08A2">
        <w:rPr>
          <w:szCs w:val="26"/>
        </w:rPr>
        <w:t xml:space="preserve"> the City and County of </w:t>
      </w:r>
      <w:r w:rsidR="003A4B15">
        <w:rPr>
          <w:szCs w:val="26"/>
        </w:rPr>
        <w:t>San</w:t>
      </w:r>
      <w:r w:rsidR="0051059D">
        <w:rPr>
          <w:szCs w:val="26"/>
        </w:rPr>
        <w:t> </w:t>
      </w:r>
      <w:r w:rsidRPr="007D08A2">
        <w:rPr>
          <w:szCs w:val="26"/>
        </w:rPr>
        <w:t>Francisco (CCSF) explains that it could more easily expand its municipal fiber network (including to help to bridge the digital divide for underserved communities) with access to AT&amp;T</w:t>
      </w:r>
      <w:r w:rsidR="00410529">
        <w:rPr>
          <w:szCs w:val="26"/>
        </w:rPr>
        <w:t>’</w:t>
      </w:r>
      <w:r w:rsidRPr="007D08A2">
        <w:rPr>
          <w:szCs w:val="26"/>
        </w:rPr>
        <w:t>s ROW structures, but claims the restrictive agreements currently offered by AT&amp;T would limit CCSF</w:t>
      </w:r>
      <w:r w:rsidR="00410529">
        <w:rPr>
          <w:szCs w:val="26"/>
        </w:rPr>
        <w:t>’</w:t>
      </w:r>
      <w:r w:rsidRPr="007D08A2">
        <w:rPr>
          <w:szCs w:val="26"/>
        </w:rPr>
        <w:t xml:space="preserve">s use of the structures to internal communications only. CCSF cites the California Constitution and various other state laws that grant local governments the authority to provide communications services without a </w:t>
      </w:r>
      <w:r w:rsidR="001809BE">
        <w:rPr>
          <w:szCs w:val="26"/>
        </w:rPr>
        <w:t>certificate of public convenience and necessity (</w:t>
      </w:r>
      <w:r w:rsidRPr="007D08A2">
        <w:rPr>
          <w:szCs w:val="26"/>
        </w:rPr>
        <w:t>CPCN</w:t>
      </w:r>
      <w:r w:rsidR="001809BE">
        <w:rPr>
          <w:szCs w:val="26"/>
        </w:rPr>
        <w:t>)</w:t>
      </w:r>
      <w:r w:rsidRPr="007D08A2">
        <w:rPr>
          <w:szCs w:val="26"/>
        </w:rPr>
        <w:t xml:space="preserve"> and argues that the C</w:t>
      </w:r>
      <w:r w:rsidR="00574953">
        <w:rPr>
          <w:szCs w:val="26"/>
        </w:rPr>
        <w:t>ommission</w:t>
      </w:r>
      <w:r w:rsidRPr="007D08A2">
        <w:rPr>
          <w:szCs w:val="26"/>
        </w:rPr>
        <w:t xml:space="preserve"> has broad authority to regulate public utilities and ensure nondiscriminatory access, including an expansion of the ROW rules to local governments. AT&amp;T responds to CCSF</w:t>
      </w:r>
      <w:r w:rsidR="00410529">
        <w:rPr>
          <w:szCs w:val="26"/>
        </w:rPr>
        <w:t>’</w:t>
      </w:r>
      <w:r w:rsidRPr="007D08A2">
        <w:rPr>
          <w:szCs w:val="26"/>
        </w:rPr>
        <w:t>s comments by asserting that CCSF</w:t>
      </w:r>
      <w:r w:rsidR="00410529">
        <w:rPr>
          <w:szCs w:val="26"/>
        </w:rPr>
        <w:t>’</w:t>
      </w:r>
      <w:r w:rsidRPr="007D08A2">
        <w:rPr>
          <w:szCs w:val="26"/>
        </w:rPr>
        <w:t>s arguments lack legal support. Specifically, AT&amp;T argues that the PU Code limits the C</w:t>
      </w:r>
      <w:r w:rsidR="00574953">
        <w:rPr>
          <w:szCs w:val="26"/>
        </w:rPr>
        <w:t>ommission’s</w:t>
      </w:r>
      <w:r w:rsidRPr="007D08A2">
        <w:rPr>
          <w:szCs w:val="26"/>
        </w:rPr>
        <w:t xml:space="preserve"> authority to compel and regulate pole attachments to public utilities and cable TV corporations only. AT&amp;T highlights that a county or municipality is not a public utility or cable TV corporation and references </w:t>
      </w:r>
      <w:r w:rsidR="00EA6875">
        <w:rPr>
          <w:szCs w:val="26"/>
        </w:rPr>
        <w:t>Pub.</w:t>
      </w:r>
      <w:r w:rsidR="0051059D">
        <w:rPr>
          <w:szCs w:val="26"/>
        </w:rPr>
        <w:t> </w:t>
      </w:r>
      <w:r w:rsidR="00EA6875">
        <w:rPr>
          <w:szCs w:val="26"/>
        </w:rPr>
        <w:t>Util.</w:t>
      </w:r>
      <w:r w:rsidRPr="007D08A2">
        <w:rPr>
          <w:szCs w:val="26"/>
        </w:rPr>
        <w:t xml:space="preserve"> Code </w:t>
      </w:r>
      <w:r w:rsidR="00CE5DB2">
        <w:rPr>
          <w:szCs w:val="26"/>
        </w:rPr>
        <w:t>Sections</w:t>
      </w:r>
      <w:r w:rsidR="0051059D">
        <w:rPr>
          <w:szCs w:val="26"/>
        </w:rPr>
        <w:t> </w:t>
      </w:r>
      <w:r w:rsidRPr="007D08A2">
        <w:rPr>
          <w:szCs w:val="26"/>
        </w:rPr>
        <w:t>767 and 767.5.</w:t>
      </w:r>
    </w:p>
    <w:p w:rsidRPr="007D08A2" w:rsidR="00870285" w:rsidP="00ED36CC" w:rsidRDefault="00870285" w14:paraId="27639F58" w14:textId="5FAEF22C">
      <w:pPr>
        <w:pStyle w:val="Standard"/>
        <w:rPr>
          <w:szCs w:val="26"/>
        </w:rPr>
      </w:pPr>
      <w:r w:rsidRPr="007D08A2">
        <w:rPr>
          <w:szCs w:val="26"/>
        </w:rPr>
        <w:t xml:space="preserve">For these issues, the </w:t>
      </w:r>
      <w:r w:rsidR="00E8589A">
        <w:rPr>
          <w:szCs w:val="26"/>
        </w:rPr>
        <w:t>Staff Proposal has suggested</w:t>
      </w:r>
      <w:r w:rsidRPr="007D08A2">
        <w:rPr>
          <w:szCs w:val="26"/>
        </w:rPr>
        <w:t xml:space="preserve"> the following revisions:</w:t>
      </w:r>
    </w:p>
    <w:p w:rsidR="00410529" w:rsidRDefault="00870285" w14:paraId="0A6EF9A3" w14:textId="129090EA">
      <w:pPr>
        <w:pStyle w:val="BlockQuoteBullet1"/>
        <w:numPr>
          <w:ilvl w:val="0"/>
          <w:numId w:val="11"/>
        </w:numPr>
        <w:ind w:left="1080"/>
        <w:rPr>
          <w:szCs w:val="26"/>
        </w:rPr>
      </w:pPr>
      <w:r w:rsidRPr="007D08A2">
        <w:rPr>
          <w:szCs w:val="26"/>
        </w:rPr>
        <w:t xml:space="preserve">Expand their applicability to include attachers that are government agencies. Staff believes that the proposed revisions do not require a new grant of authority by the Commission to government agencies, but instead merely requires incumbent </w:t>
      </w:r>
      <w:r w:rsidRPr="0074033A">
        <w:t>utilities</w:t>
      </w:r>
      <w:r w:rsidRPr="007D08A2">
        <w:rPr>
          <w:szCs w:val="26"/>
        </w:rPr>
        <w:t xml:space="preserve"> to give equal non</w:t>
      </w:r>
      <w:r w:rsidR="00E4753D">
        <w:rPr>
          <w:szCs w:val="26"/>
        </w:rPr>
        <w:noBreakHyphen/>
      </w:r>
      <w:r w:rsidRPr="007D08A2">
        <w:rPr>
          <w:szCs w:val="26"/>
        </w:rPr>
        <w:t xml:space="preserve">discriminatory access to the government agencies that already possess constitutional authority to access the ROW. </w:t>
      </w:r>
    </w:p>
    <w:p w:rsidRPr="007D08A2" w:rsidR="00870285" w:rsidRDefault="00870285" w14:paraId="66E9088A" w14:textId="213C29D0">
      <w:pPr>
        <w:pStyle w:val="BlockQuoteBullet1"/>
        <w:numPr>
          <w:ilvl w:val="0"/>
          <w:numId w:val="11"/>
        </w:numPr>
        <w:ind w:left="1080"/>
        <w:rPr>
          <w:szCs w:val="26"/>
        </w:rPr>
      </w:pPr>
      <w:r w:rsidRPr="007D08A2">
        <w:rPr>
          <w:szCs w:val="26"/>
        </w:rPr>
        <w:lastRenderedPageBreak/>
        <w:t xml:space="preserve">Add a definition for </w:t>
      </w:r>
      <w:r w:rsidR="00410529">
        <w:rPr>
          <w:szCs w:val="26"/>
        </w:rPr>
        <w:t>“</w:t>
      </w:r>
      <w:r w:rsidRPr="007D08A2">
        <w:rPr>
          <w:szCs w:val="26"/>
        </w:rPr>
        <w:t>government agency</w:t>
      </w:r>
      <w:r w:rsidR="00410529">
        <w:rPr>
          <w:szCs w:val="26"/>
        </w:rPr>
        <w:t>”</w:t>
      </w:r>
      <w:r w:rsidRPr="007D08A2">
        <w:rPr>
          <w:szCs w:val="26"/>
        </w:rPr>
        <w:t xml:space="preserve"> that is consistent with </w:t>
      </w:r>
      <w:r w:rsidR="003D2079">
        <w:rPr>
          <w:szCs w:val="26"/>
        </w:rPr>
        <w:t xml:space="preserve">California </w:t>
      </w:r>
      <w:r w:rsidRPr="007D08A2">
        <w:rPr>
          <w:szCs w:val="26"/>
        </w:rPr>
        <w:t xml:space="preserve">Government Code </w:t>
      </w:r>
      <w:r w:rsidR="00B64DFB">
        <w:rPr>
          <w:szCs w:val="26"/>
        </w:rPr>
        <w:t>Section</w:t>
      </w:r>
      <w:r w:rsidR="0051059D">
        <w:rPr>
          <w:szCs w:val="26"/>
        </w:rPr>
        <w:t> </w:t>
      </w:r>
      <w:r w:rsidRPr="007D08A2">
        <w:rPr>
          <w:szCs w:val="26"/>
        </w:rPr>
        <w:t>53167 and encompasses: state agencies, cities, counties, community services districts, public utility districts, municipal utility districts, joint powers authorities, local educational agencies, sovereign tribal governments, and certain electrical cooperatives.</w:t>
      </w:r>
    </w:p>
    <w:p w:rsidRPr="007D08A2" w:rsidR="00870285" w:rsidRDefault="00870285" w14:paraId="14F985C7" w14:textId="681E5B6A">
      <w:pPr>
        <w:pStyle w:val="BlockQuoteBullet1"/>
        <w:numPr>
          <w:ilvl w:val="0"/>
          <w:numId w:val="11"/>
        </w:numPr>
        <w:ind w:left="1080"/>
        <w:rPr>
          <w:szCs w:val="26"/>
        </w:rPr>
      </w:pPr>
      <w:r w:rsidRPr="007D08A2">
        <w:rPr>
          <w:szCs w:val="26"/>
        </w:rPr>
        <w:t>Broaden the definition of entities that may attach to poles to reflect attachers not under the Commission</w:t>
      </w:r>
      <w:r w:rsidR="00410529">
        <w:rPr>
          <w:szCs w:val="26"/>
        </w:rPr>
        <w:t>’</w:t>
      </w:r>
      <w:r w:rsidRPr="007D08A2">
        <w:rPr>
          <w:szCs w:val="26"/>
        </w:rPr>
        <w:t xml:space="preserve">s jurisdiction. For example, the proposal adds a definition for </w:t>
      </w:r>
      <w:r w:rsidR="00410529">
        <w:rPr>
          <w:szCs w:val="26"/>
        </w:rPr>
        <w:t>“</w:t>
      </w:r>
      <w:r w:rsidRPr="007D08A2">
        <w:rPr>
          <w:szCs w:val="26"/>
        </w:rPr>
        <w:t>attacher</w:t>
      </w:r>
      <w:r w:rsidR="00410529">
        <w:rPr>
          <w:szCs w:val="26"/>
        </w:rPr>
        <w:t>”</w:t>
      </w:r>
      <w:r w:rsidRPr="007D08A2">
        <w:rPr>
          <w:szCs w:val="26"/>
        </w:rPr>
        <w:t xml:space="preserve"> that includes </w:t>
      </w:r>
      <w:r w:rsidR="00410529">
        <w:rPr>
          <w:szCs w:val="26"/>
        </w:rPr>
        <w:t>“</w:t>
      </w:r>
      <w:r w:rsidRPr="007D08A2">
        <w:rPr>
          <w:szCs w:val="26"/>
        </w:rPr>
        <w:t>government agency</w:t>
      </w:r>
      <w:r w:rsidR="00410529">
        <w:rPr>
          <w:szCs w:val="26"/>
        </w:rPr>
        <w:t>”</w:t>
      </w:r>
      <w:r w:rsidRPr="007D08A2">
        <w:rPr>
          <w:szCs w:val="26"/>
        </w:rPr>
        <w:t xml:space="preserve"> and </w:t>
      </w:r>
      <w:r w:rsidR="00410529">
        <w:rPr>
          <w:szCs w:val="26"/>
        </w:rPr>
        <w:t>“</w:t>
      </w:r>
      <w:r w:rsidRPr="007D08A2">
        <w:rPr>
          <w:szCs w:val="26"/>
        </w:rPr>
        <w:t>public utility,</w:t>
      </w:r>
      <w:r w:rsidR="00410529">
        <w:rPr>
          <w:szCs w:val="26"/>
        </w:rPr>
        <w:t>”</w:t>
      </w:r>
      <w:r w:rsidRPr="007D08A2">
        <w:rPr>
          <w:szCs w:val="26"/>
        </w:rPr>
        <w:t xml:space="preserve"> in addition to the preexisting categories of telecommunications carrier, Commercial Mobile Radio Service (CMRS) carrier, and cable TV company.</w:t>
      </w:r>
    </w:p>
    <w:p w:rsidR="00410529" w:rsidRDefault="00870285" w14:paraId="5FE77E25" w14:textId="30384F68">
      <w:pPr>
        <w:pStyle w:val="BlockQuoteBullet1"/>
        <w:numPr>
          <w:ilvl w:val="0"/>
          <w:numId w:val="11"/>
        </w:numPr>
        <w:ind w:left="1080"/>
        <w:rPr>
          <w:szCs w:val="26"/>
        </w:rPr>
      </w:pPr>
      <w:r w:rsidRPr="007D08A2">
        <w:rPr>
          <w:szCs w:val="26"/>
        </w:rPr>
        <w:t>Expand the ROW rules to all other utilities under Commission</w:t>
      </w:r>
      <w:r w:rsidR="00410529">
        <w:rPr>
          <w:szCs w:val="26"/>
        </w:rPr>
        <w:t>’</w:t>
      </w:r>
      <w:r w:rsidRPr="007D08A2">
        <w:rPr>
          <w:szCs w:val="26"/>
        </w:rPr>
        <w:t>s jurisdiction that own or control support structures or ROW that may be used or useful for deploying communications infrastructure. These changes will also create more equitable rules across utility classes.</w:t>
      </w:r>
    </w:p>
    <w:p w:rsidR="000148EA" w:rsidP="00ED36CC" w:rsidRDefault="001F0F9A" w14:paraId="6C1718DB" w14:textId="79E7F98A">
      <w:pPr>
        <w:pStyle w:val="Heading3"/>
        <w:keepLines w:val="0"/>
      </w:pPr>
      <w:bookmarkStart w:name="_Toc229726768" w:id="52"/>
      <w:r>
        <w:t xml:space="preserve">ROW </w:t>
      </w:r>
      <w:r w:rsidR="009A5CF6">
        <w:t>Ruling Questions</w:t>
      </w:r>
      <w:r w:rsidR="0074033A">
        <w:br/>
      </w:r>
      <w:r w:rsidR="009A5CF6">
        <w:t>and Party Comments</w:t>
      </w:r>
      <w:bookmarkEnd w:id="52"/>
    </w:p>
    <w:p w:rsidR="009A5CF6" w:rsidP="006B65B5" w:rsidRDefault="008811B3" w14:paraId="53E81790" w14:textId="5CB226A6">
      <w:pPr>
        <w:pStyle w:val="Heading4"/>
      </w:pPr>
      <w:r>
        <w:t xml:space="preserve">Does the proposed definition of </w:t>
      </w:r>
      <w:r w:rsidR="00410529">
        <w:t>“</w:t>
      </w:r>
      <w:r>
        <w:t>Government Agency</w:t>
      </w:r>
      <w:r w:rsidR="00410529">
        <w:t>”</w:t>
      </w:r>
      <w:r>
        <w:t xml:space="preserve"> include only entities with existing authority under the California Constitution and/or other laws</w:t>
      </w:r>
      <w:r w:rsidR="00892269">
        <w:t xml:space="preserve"> to access and attach to </w:t>
      </w:r>
      <w:r w:rsidR="006D1689">
        <w:t xml:space="preserve">ROW </w:t>
      </w:r>
      <w:r w:rsidR="00892269">
        <w:t>structures/facilities?</w:t>
      </w:r>
    </w:p>
    <w:p w:rsidRPr="00B36A59" w:rsidR="00A66257" w:rsidP="00ED36CC" w:rsidRDefault="00A66257" w14:paraId="60220F73" w14:textId="20A066E7">
      <w:pPr>
        <w:pStyle w:val="Standard"/>
      </w:pPr>
      <w:proofErr w:type="spellStart"/>
      <w:r w:rsidRPr="00DE502D">
        <w:rPr>
          <w:rFonts w:eastAsia="Calibri" w:cs="Times New Roman"/>
          <w:szCs w:val="26"/>
        </w:rPr>
        <w:t>Extenet</w:t>
      </w:r>
      <w:proofErr w:type="spellEnd"/>
      <w:r w:rsidRPr="00DE502D">
        <w:rPr>
          <w:rFonts w:eastAsia="Calibri" w:cs="Times New Roman"/>
          <w:szCs w:val="26"/>
        </w:rPr>
        <w:t xml:space="preserve"> Systems</w:t>
      </w:r>
      <w:r w:rsidRPr="00B36A59">
        <w:rPr>
          <w:rFonts w:eastAsia="Calibri" w:cs="Times New Roman"/>
          <w:szCs w:val="26"/>
        </w:rPr>
        <w:t xml:space="preserve"> </w:t>
      </w:r>
      <w:r w:rsidR="00DE502D">
        <w:rPr>
          <w:rFonts w:eastAsia="Calibri" w:cs="Times New Roman"/>
          <w:szCs w:val="26"/>
        </w:rPr>
        <w:t>a</w:t>
      </w:r>
      <w:r w:rsidRPr="00B36A59">
        <w:rPr>
          <w:rFonts w:eastAsia="Calibri" w:cs="Times New Roman"/>
          <w:szCs w:val="26"/>
        </w:rPr>
        <w:t>r</w:t>
      </w:r>
      <w:r w:rsidR="00DE502D">
        <w:rPr>
          <w:rFonts w:eastAsia="Calibri" w:cs="Times New Roman"/>
          <w:szCs w:val="26"/>
        </w:rPr>
        <w:t>gues</w:t>
      </w:r>
      <w:r w:rsidRPr="00B36A59">
        <w:rPr>
          <w:rFonts w:eastAsia="Calibri" w:cs="Times New Roman"/>
          <w:szCs w:val="26"/>
        </w:rPr>
        <w:t xml:space="preserve"> that municipalities are outside of the definition of </w:t>
      </w:r>
      <w:r w:rsidR="00410529">
        <w:rPr>
          <w:rFonts w:eastAsia="Calibri" w:cs="Times New Roman"/>
          <w:szCs w:val="26"/>
        </w:rPr>
        <w:t>“</w:t>
      </w:r>
      <w:r w:rsidRPr="00B36A59">
        <w:rPr>
          <w:rFonts w:eastAsia="Calibri" w:cs="Times New Roman"/>
          <w:szCs w:val="26"/>
        </w:rPr>
        <w:t>government agency</w:t>
      </w:r>
      <w:r w:rsidR="00410529">
        <w:rPr>
          <w:rFonts w:eastAsia="Calibri" w:cs="Times New Roman"/>
          <w:szCs w:val="26"/>
        </w:rPr>
        <w:t>”</w:t>
      </w:r>
      <w:r w:rsidRPr="00B36A59">
        <w:rPr>
          <w:rFonts w:eastAsia="Calibri" w:cs="Times New Roman"/>
          <w:szCs w:val="26"/>
        </w:rPr>
        <w:t xml:space="preserve"> as currently defined by the C</w:t>
      </w:r>
      <w:r w:rsidR="00574953">
        <w:rPr>
          <w:rFonts w:eastAsia="Calibri" w:cs="Times New Roman"/>
          <w:szCs w:val="26"/>
        </w:rPr>
        <w:t>ommission,</w:t>
      </w:r>
      <w:r w:rsidRPr="00B36A59">
        <w:rPr>
          <w:rFonts w:eastAsia="Calibri" w:cs="Times New Roman"/>
          <w:szCs w:val="26"/>
        </w:rPr>
        <w:t xml:space="preserve"> and that municipalities are excluded due to their charters. </w:t>
      </w:r>
      <w:r w:rsidR="00114DA2">
        <w:rPr>
          <w:rFonts w:eastAsia="Calibri" w:cs="Times New Roman"/>
          <w:szCs w:val="26"/>
        </w:rPr>
        <w:t xml:space="preserve">It </w:t>
      </w:r>
      <w:r w:rsidR="0045214F">
        <w:rPr>
          <w:rFonts w:eastAsia="Calibri" w:cs="Times New Roman"/>
          <w:szCs w:val="26"/>
        </w:rPr>
        <w:t>asserts</w:t>
      </w:r>
      <w:r w:rsidRPr="00B36A59" w:rsidR="0045214F">
        <w:rPr>
          <w:rFonts w:eastAsia="Calibri" w:cs="Times New Roman"/>
          <w:szCs w:val="26"/>
        </w:rPr>
        <w:t xml:space="preserve"> </w:t>
      </w:r>
      <w:r w:rsidR="00114DA2">
        <w:rPr>
          <w:rFonts w:eastAsia="Calibri" w:cs="Times New Roman"/>
          <w:szCs w:val="26"/>
        </w:rPr>
        <w:t xml:space="preserve">that </w:t>
      </w:r>
      <w:r w:rsidRPr="00B36A59">
        <w:rPr>
          <w:rFonts w:eastAsia="Calibri" w:cs="Times New Roman"/>
          <w:szCs w:val="26"/>
        </w:rPr>
        <w:t>municipalities are required to comply with the technical requirements of the C</w:t>
      </w:r>
      <w:r w:rsidR="00574953">
        <w:rPr>
          <w:rFonts w:eastAsia="Calibri" w:cs="Times New Roman"/>
          <w:szCs w:val="26"/>
        </w:rPr>
        <w:t>ommission’s</w:t>
      </w:r>
      <w:r w:rsidRPr="00B36A59">
        <w:rPr>
          <w:rFonts w:eastAsia="Calibri" w:cs="Times New Roman"/>
          <w:szCs w:val="26"/>
        </w:rPr>
        <w:t xml:space="preserve"> </w:t>
      </w:r>
      <w:r w:rsidR="00835EAD">
        <w:rPr>
          <w:rFonts w:eastAsia="Calibri" w:cs="Times New Roman"/>
          <w:szCs w:val="26"/>
        </w:rPr>
        <w:t>ROW Rules</w:t>
      </w:r>
      <w:r w:rsidRPr="00B36A59">
        <w:rPr>
          <w:rFonts w:eastAsia="Calibri" w:cs="Times New Roman"/>
          <w:szCs w:val="26"/>
        </w:rPr>
        <w:t xml:space="preserve"> and </w:t>
      </w:r>
      <w:r w:rsidR="005B40C8">
        <w:rPr>
          <w:rFonts w:eastAsia="Calibri" w:cs="Times New Roman"/>
          <w:szCs w:val="26"/>
        </w:rPr>
        <w:t>GO</w:t>
      </w:r>
      <w:r w:rsidR="0051059D">
        <w:rPr>
          <w:rFonts w:eastAsia="Calibri" w:cs="Times New Roman"/>
          <w:szCs w:val="26"/>
        </w:rPr>
        <w:t> </w:t>
      </w:r>
      <w:r w:rsidRPr="00B36A59">
        <w:rPr>
          <w:rFonts w:eastAsia="Calibri" w:cs="Times New Roman"/>
          <w:szCs w:val="26"/>
        </w:rPr>
        <w:t>95.</w:t>
      </w:r>
      <w:r w:rsidRPr="00B36A59">
        <w:rPr>
          <w:rFonts w:eastAsia="Calibri" w:cs="Times New Roman"/>
          <w:szCs w:val="26"/>
          <w:vertAlign w:val="superscript"/>
        </w:rPr>
        <w:footnoteReference w:id="176"/>
      </w:r>
    </w:p>
    <w:p w:rsidR="00410529" w:rsidP="00ED36CC" w:rsidRDefault="00A66257" w14:paraId="642FE7F2" w14:textId="215030D7">
      <w:pPr>
        <w:pStyle w:val="Standard"/>
        <w:rPr>
          <w:rFonts w:eastAsia="Calibri" w:cs="Times New Roman"/>
          <w:szCs w:val="26"/>
        </w:rPr>
      </w:pPr>
      <w:r w:rsidRPr="00FF5B4D">
        <w:rPr>
          <w:rFonts w:eastAsia="Calibri" w:cs="Times New Roman"/>
          <w:szCs w:val="26"/>
        </w:rPr>
        <w:lastRenderedPageBreak/>
        <w:t>PG&amp;E</w:t>
      </w:r>
      <w:r w:rsidRPr="00B36A59">
        <w:rPr>
          <w:rFonts w:eastAsia="Calibri" w:cs="Times New Roman"/>
          <w:szCs w:val="26"/>
        </w:rPr>
        <w:t xml:space="preserve"> </w:t>
      </w:r>
      <w:r w:rsidR="00FF5B4D">
        <w:rPr>
          <w:rFonts w:eastAsia="Calibri" w:cs="Times New Roman"/>
          <w:szCs w:val="26"/>
        </w:rPr>
        <w:t>c</w:t>
      </w:r>
      <w:r w:rsidRPr="00B36A59">
        <w:rPr>
          <w:rFonts w:eastAsia="Calibri" w:cs="Times New Roman"/>
          <w:szCs w:val="26"/>
        </w:rPr>
        <w:t>laims the proposed definition includes entities that do not have legal authority to attach</w:t>
      </w:r>
      <w:r w:rsidR="00FF5B4D">
        <w:rPr>
          <w:rFonts w:eastAsia="Calibri" w:cs="Times New Roman"/>
          <w:szCs w:val="26"/>
        </w:rPr>
        <w:t>, noting that</w:t>
      </w:r>
      <w:r w:rsidRPr="00B36A59">
        <w:rPr>
          <w:rFonts w:eastAsia="Calibri" w:cs="Times New Roman"/>
          <w:szCs w:val="26"/>
        </w:rPr>
        <w:t xml:space="preserve"> the CPUC only authorized telecommunications carriers and cable TV companies. </w:t>
      </w:r>
      <w:r w:rsidR="006D2425">
        <w:rPr>
          <w:rFonts w:eastAsia="Calibri" w:cs="Times New Roman"/>
          <w:szCs w:val="26"/>
        </w:rPr>
        <w:t>PG&amp;E claims it is</w:t>
      </w:r>
      <w:r w:rsidRPr="00B36A59">
        <w:rPr>
          <w:rFonts w:eastAsia="Calibri" w:cs="Times New Roman"/>
          <w:szCs w:val="26"/>
        </w:rPr>
        <w:t xml:space="preserve"> unaware of any law granting access to government entities</w:t>
      </w:r>
      <w:r w:rsidR="006D2425">
        <w:rPr>
          <w:rFonts w:eastAsia="Calibri" w:cs="Times New Roman"/>
          <w:szCs w:val="26"/>
        </w:rPr>
        <w:t>, and r</w:t>
      </w:r>
      <w:r w:rsidRPr="00B36A59">
        <w:rPr>
          <w:rFonts w:eastAsia="Calibri" w:cs="Times New Roman"/>
          <w:szCs w:val="26"/>
        </w:rPr>
        <w:t>equests that any legal principle relied upon to extend access be explicitly identified.</w:t>
      </w:r>
      <w:r w:rsidRPr="00B36A59">
        <w:rPr>
          <w:rFonts w:eastAsia="Calibri" w:cs="Times New Roman"/>
          <w:szCs w:val="26"/>
          <w:vertAlign w:val="superscript"/>
        </w:rPr>
        <w:footnoteReference w:id="177"/>
      </w:r>
    </w:p>
    <w:p w:rsidRPr="00B36A59" w:rsidR="00A66257" w:rsidP="00ED36CC" w:rsidRDefault="00A66257" w14:paraId="3F7F0A5C" w14:textId="6268D9D0">
      <w:pPr>
        <w:pStyle w:val="Standard"/>
      </w:pPr>
      <w:r w:rsidRPr="006D2425">
        <w:rPr>
          <w:rFonts w:eastAsia="Calibri" w:cs="Times New Roman"/>
          <w:szCs w:val="26"/>
        </w:rPr>
        <w:t>Race</w:t>
      </w:r>
      <w:r w:rsidRPr="00B36A59">
        <w:rPr>
          <w:rFonts w:eastAsia="Calibri" w:cs="Times New Roman"/>
          <w:szCs w:val="26"/>
        </w:rPr>
        <w:t xml:space="preserve"> </w:t>
      </w:r>
      <w:r w:rsidR="006D2425">
        <w:rPr>
          <w:rFonts w:eastAsia="Calibri" w:cs="Times New Roman"/>
          <w:szCs w:val="26"/>
        </w:rPr>
        <w:t>a</w:t>
      </w:r>
      <w:r w:rsidRPr="00B36A59">
        <w:rPr>
          <w:rFonts w:eastAsia="Calibri" w:cs="Times New Roman"/>
          <w:szCs w:val="26"/>
        </w:rPr>
        <w:t>rgues the CPUC should not allow municipalities to discriminate in granting permits, easements, and access for service providers that may compete with municipal networks.</w:t>
      </w:r>
      <w:r w:rsidRPr="00B36A59">
        <w:rPr>
          <w:rFonts w:eastAsia="Calibri" w:cs="Times New Roman"/>
          <w:szCs w:val="26"/>
          <w:vertAlign w:val="superscript"/>
        </w:rPr>
        <w:footnoteReference w:id="178"/>
      </w:r>
    </w:p>
    <w:p w:rsidRPr="00B36A59" w:rsidR="00A66257" w:rsidP="00ED36CC" w:rsidRDefault="00A66257" w14:paraId="07BD4AA9" w14:textId="36954136">
      <w:pPr>
        <w:pStyle w:val="Standard"/>
      </w:pPr>
      <w:r w:rsidRPr="002A7753">
        <w:rPr>
          <w:rFonts w:eastAsia="Calibri" w:cs="Times New Roman"/>
          <w:szCs w:val="26"/>
        </w:rPr>
        <w:t>SDG&amp;E</w:t>
      </w:r>
      <w:r w:rsidRPr="00B36A59">
        <w:rPr>
          <w:rFonts w:eastAsia="Calibri" w:cs="Times New Roman"/>
          <w:szCs w:val="26"/>
        </w:rPr>
        <w:t xml:space="preserve"> </w:t>
      </w:r>
      <w:r w:rsidR="002A7753">
        <w:rPr>
          <w:rFonts w:eastAsia="Calibri" w:cs="Times New Roman"/>
          <w:szCs w:val="26"/>
        </w:rPr>
        <w:t>s</w:t>
      </w:r>
      <w:r w:rsidRPr="00B36A59">
        <w:rPr>
          <w:rFonts w:eastAsia="Calibri" w:cs="Times New Roman"/>
          <w:szCs w:val="26"/>
        </w:rPr>
        <w:t>uggest</w:t>
      </w:r>
      <w:r w:rsidR="007C7BA8">
        <w:rPr>
          <w:rFonts w:eastAsia="Calibri" w:cs="Times New Roman"/>
          <w:szCs w:val="26"/>
        </w:rPr>
        <w:t>s</w:t>
      </w:r>
      <w:r w:rsidRPr="00B36A59">
        <w:rPr>
          <w:rFonts w:eastAsia="Calibri" w:cs="Times New Roman"/>
          <w:szCs w:val="26"/>
        </w:rPr>
        <w:t xml:space="preserve"> the proposed definition appears to omit federal agencies (</w:t>
      </w:r>
      <w:r w:rsidRPr="007C7BA8">
        <w:rPr>
          <w:rFonts w:eastAsia="Calibri" w:cs="Times New Roman"/>
          <w:i/>
          <w:iCs/>
          <w:szCs w:val="26"/>
        </w:rPr>
        <w:t>e.g</w:t>
      </w:r>
      <w:r w:rsidRPr="00B36A59">
        <w:rPr>
          <w:rFonts w:eastAsia="Calibri" w:cs="Times New Roman"/>
          <w:szCs w:val="26"/>
        </w:rPr>
        <w:t>., Department of Defense) and state entities (</w:t>
      </w:r>
      <w:r w:rsidRPr="007C7BA8">
        <w:rPr>
          <w:rFonts w:eastAsia="Calibri" w:cs="Times New Roman"/>
          <w:i/>
          <w:iCs/>
          <w:szCs w:val="26"/>
        </w:rPr>
        <w:t>e.g</w:t>
      </w:r>
      <w:r w:rsidRPr="00B36A59">
        <w:rPr>
          <w:rFonts w:eastAsia="Calibri" w:cs="Times New Roman"/>
          <w:szCs w:val="26"/>
        </w:rPr>
        <w:t xml:space="preserve">., port or airport authorities). </w:t>
      </w:r>
      <w:r w:rsidR="0045214F">
        <w:rPr>
          <w:rFonts w:eastAsia="Calibri" w:cs="Times New Roman"/>
          <w:szCs w:val="26"/>
        </w:rPr>
        <w:t>SDG&amp;E s</w:t>
      </w:r>
      <w:r w:rsidRPr="00B36A59">
        <w:rPr>
          <w:rFonts w:eastAsia="Calibri" w:cs="Times New Roman"/>
          <w:szCs w:val="26"/>
        </w:rPr>
        <w:t>upports nondiscriminatory access to its right</w:t>
      </w:r>
      <w:r w:rsidR="00532ECE">
        <w:rPr>
          <w:rFonts w:eastAsia="Calibri" w:cs="Times New Roman"/>
          <w:szCs w:val="26"/>
        </w:rPr>
        <w:t>s</w:t>
      </w:r>
      <w:r w:rsidR="00E4753D">
        <w:rPr>
          <w:rFonts w:eastAsia="Calibri" w:cs="Times New Roman"/>
          <w:szCs w:val="26"/>
        </w:rPr>
        <w:noBreakHyphen/>
      </w:r>
      <w:r w:rsidRPr="00B36A59" w:rsidR="00532ECE">
        <w:rPr>
          <w:rFonts w:eastAsia="Calibri" w:cs="Times New Roman"/>
          <w:szCs w:val="26"/>
        </w:rPr>
        <w:t>of</w:t>
      </w:r>
      <w:r w:rsidR="00E4753D">
        <w:rPr>
          <w:rFonts w:eastAsia="Calibri" w:cs="Times New Roman"/>
          <w:szCs w:val="26"/>
        </w:rPr>
        <w:noBreakHyphen/>
      </w:r>
      <w:r w:rsidRPr="00B36A59">
        <w:rPr>
          <w:rFonts w:eastAsia="Calibri" w:cs="Times New Roman"/>
          <w:szCs w:val="26"/>
        </w:rPr>
        <w:t>way and support structures for government agencies if they agree to the terms of SDG&amp;E standardized Pole Attachment License agreement.</w:t>
      </w:r>
      <w:r w:rsidRPr="00B36A59">
        <w:rPr>
          <w:rFonts w:eastAsia="Calibri" w:cs="Times New Roman"/>
          <w:szCs w:val="26"/>
          <w:vertAlign w:val="superscript"/>
        </w:rPr>
        <w:footnoteReference w:id="179"/>
      </w:r>
    </w:p>
    <w:p w:rsidR="00892269" w:rsidP="006B65B5" w:rsidRDefault="00EC6924" w14:paraId="434C0821" w14:textId="4049F253">
      <w:pPr>
        <w:pStyle w:val="Heading4"/>
      </w:pPr>
      <w:r>
        <w:t xml:space="preserve">Will expansion of the </w:t>
      </w:r>
      <w:r w:rsidR="006D1689">
        <w:t xml:space="preserve">ROW </w:t>
      </w:r>
      <w:r>
        <w:t>Rules to include attachers that are government agencies impact safety enforcement concerns? If so, how?</w:t>
      </w:r>
    </w:p>
    <w:p w:rsidRPr="00B36A59" w:rsidR="003C327A" w:rsidP="00ED36CC" w:rsidRDefault="003C327A" w14:paraId="2E2E9CC8" w14:textId="77D0D01F">
      <w:pPr>
        <w:pStyle w:val="Standard"/>
      </w:pPr>
      <w:r w:rsidRPr="000F005F">
        <w:rPr>
          <w:rFonts w:eastAsia="Calibri" w:cs="Times New Roman"/>
          <w:szCs w:val="26"/>
        </w:rPr>
        <w:t xml:space="preserve">AT&amp;T </w:t>
      </w:r>
      <w:r w:rsidR="004E4D77">
        <w:rPr>
          <w:rFonts w:eastAsia="Calibri" w:cs="Times New Roman"/>
          <w:szCs w:val="26"/>
        </w:rPr>
        <w:t>r</w:t>
      </w:r>
      <w:r w:rsidRPr="00B36A59">
        <w:rPr>
          <w:rFonts w:eastAsia="Calibri" w:cs="Times New Roman"/>
          <w:szCs w:val="26"/>
        </w:rPr>
        <w:t xml:space="preserve">ecommends the CPUC confirm its authority to enforce </w:t>
      </w:r>
      <w:r w:rsidR="005B40C8">
        <w:rPr>
          <w:rFonts w:eastAsia="Calibri" w:cs="Times New Roman"/>
          <w:szCs w:val="26"/>
        </w:rPr>
        <w:t>GO</w:t>
      </w:r>
      <w:r w:rsidR="0051059D">
        <w:rPr>
          <w:rFonts w:eastAsia="Calibri" w:cs="Times New Roman"/>
          <w:szCs w:val="26"/>
        </w:rPr>
        <w:t> </w:t>
      </w:r>
      <w:r w:rsidRPr="00B36A59">
        <w:rPr>
          <w:rFonts w:eastAsia="Calibri" w:cs="Times New Roman"/>
          <w:szCs w:val="26"/>
        </w:rPr>
        <w:t xml:space="preserve">95 and </w:t>
      </w:r>
      <w:r w:rsidR="00835EAD">
        <w:rPr>
          <w:rFonts w:eastAsia="Calibri" w:cs="Times New Roman"/>
          <w:szCs w:val="26"/>
        </w:rPr>
        <w:t>ROW Rules</w:t>
      </w:r>
      <w:r w:rsidRPr="00B36A59">
        <w:rPr>
          <w:rFonts w:eastAsia="Calibri" w:cs="Times New Roman"/>
          <w:szCs w:val="26"/>
        </w:rPr>
        <w:t xml:space="preserve"> (including dispute resolution) and other regulations against government agency attachers.</w:t>
      </w:r>
      <w:r w:rsidRPr="00B36A59">
        <w:rPr>
          <w:rFonts w:eastAsia="Calibri" w:cs="Times New Roman"/>
          <w:szCs w:val="26"/>
          <w:vertAlign w:val="superscript"/>
        </w:rPr>
        <w:footnoteReference w:id="180"/>
      </w:r>
    </w:p>
    <w:p w:rsidRPr="00B36A59" w:rsidR="003C327A" w:rsidP="00ED36CC" w:rsidRDefault="003C327A" w14:paraId="4D416BD6" w14:textId="7CAC028E">
      <w:pPr>
        <w:pStyle w:val="Standard"/>
      </w:pPr>
      <w:r w:rsidRPr="000F005F">
        <w:rPr>
          <w:rFonts w:eastAsia="Calibri" w:cs="Times New Roman"/>
          <w:szCs w:val="26"/>
        </w:rPr>
        <w:t>PG&amp;E</w:t>
      </w:r>
      <w:r w:rsidRPr="00B36A59">
        <w:rPr>
          <w:rFonts w:eastAsia="Calibri" w:cs="Times New Roman"/>
          <w:szCs w:val="26"/>
        </w:rPr>
        <w:t xml:space="preserve"> </w:t>
      </w:r>
      <w:r w:rsidR="000F005F">
        <w:rPr>
          <w:rFonts w:eastAsia="Calibri" w:cs="Times New Roman"/>
          <w:szCs w:val="26"/>
        </w:rPr>
        <w:t>a</w:t>
      </w:r>
      <w:r w:rsidRPr="00B36A59">
        <w:rPr>
          <w:rFonts w:eastAsia="Calibri" w:cs="Times New Roman"/>
          <w:szCs w:val="26"/>
        </w:rPr>
        <w:t xml:space="preserve">rgues that expanding the </w:t>
      </w:r>
      <w:r w:rsidR="00835EAD">
        <w:rPr>
          <w:rFonts w:eastAsia="Calibri" w:cs="Times New Roman"/>
          <w:szCs w:val="26"/>
        </w:rPr>
        <w:t>ROW Rules</w:t>
      </w:r>
      <w:r w:rsidRPr="00B36A59">
        <w:rPr>
          <w:rFonts w:eastAsia="Calibri" w:cs="Times New Roman"/>
          <w:szCs w:val="26"/>
        </w:rPr>
        <w:t xml:space="preserve"> to include government agencies could increase safety risks. </w:t>
      </w:r>
      <w:r w:rsidR="000F005F">
        <w:rPr>
          <w:rFonts w:eastAsia="Calibri" w:cs="Times New Roman"/>
          <w:szCs w:val="26"/>
        </w:rPr>
        <w:t xml:space="preserve">It is </w:t>
      </w:r>
      <w:r w:rsidRPr="00B36A59">
        <w:rPr>
          <w:rFonts w:eastAsia="Calibri" w:cs="Times New Roman"/>
          <w:szCs w:val="26"/>
        </w:rPr>
        <w:t>concern</w:t>
      </w:r>
      <w:r w:rsidR="000F005F">
        <w:rPr>
          <w:rFonts w:eastAsia="Calibri" w:cs="Times New Roman"/>
          <w:szCs w:val="26"/>
        </w:rPr>
        <w:t>ed</w:t>
      </w:r>
      <w:r w:rsidRPr="00B36A59">
        <w:rPr>
          <w:rFonts w:eastAsia="Calibri" w:cs="Times New Roman"/>
          <w:szCs w:val="26"/>
        </w:rPr>
        <w:t xml:space="preserve"> that some government agencies may lack the budget, experience, or </w:t>
      </w:r>
      <w:r w:rsidR="000B0229">
        <w:rPr>
          <w:rFonts w:eastAsia="Calibri" w:cs="Times New Roman"/>
          <w:szCs w:val="26"/>
        </w:rPr>
        <w:t xml:space="preserve">willingness to </w:t>
      </w:r>
      <w:r w:rsidRPr="00B36A59">
        <w:rPr>
          <w:rFonts w:eastAsia="Calibri" w:cs="Times New Roman"/>
          <w:szCs w:val="26"/>
        </w:rPr>
        <w:t>compl</w:t>
      </w:r>
      <w:r w:rsidR="000B0229">
        <w:rPr>
          <w:rFonts w:eastAsia="Calibri" w:cs="Times New Roman"/>
          <w:szCs w:val="26"/>
        </w:rPr>
        <w:t>y</w:t>
      </w:r>
      <w:r w:rsidRPr="00B36A59">
        <w:rPr>
          <w:rFonts w:eastAsia="Calibri" w:cs="Times New Roman"/>
          <w:szCs w:val="26"/>
        </w:rPr>
        <w:t xml:space="preserve"> with GO</w:t>
      </w:r>
      <w:r w:rsidR="00C57381">
        <w:rPr>
          <w:rFonts w:eastAsia="Calibri" w:cs="Times New Roman"/>
          <w:szCs w:val="26"/>
        </w:rPr>
        <w:t> </w:t>
      </w:r>
      <w:r w:rsidRPr="00B36A59">
        <w:rPr>
          <w:rFonts w:eastAsia="Calibri" w:cs="Times New Roman"/>
          <w:szCs w:val="26"/>
        </w:rPr>
        <w:t xml:space="preserve">95 </w:t>
      </w:r>
      <w:r w:rsidRPr="00B36A59">
        <w:rPr>
          <w:rFonts w:eastAsia="Calibri" w:cs="Times New Roman"/>
          <w:szCs w:val="26"/>
        </w:rPr>
        <w:lastRenderedPageBreak/>
        <w:t>and utility standards.</w:t>
      </w:r>
      <w:r w:rsidRPr="00B36A59">
        <w:rPr>
          <w:rFonts w:eastAsia="Calibri" w:cs="Times New Roman"/>
          <w:szCs w:val="26"/>
          <w:vertAlign w:val="superscript"/>
        </w:rPr>
        <w:footnoteReference w:id="181"/>
      </w:r>
      <w:r w:rsidRPr="00B36A59">
        <w:rPr>
          <w:rFonts w:eastAsia="Calibri" w:cs="Times New Roman"/>
          <w:szCs w:val="26"/>
        </w:rPr>
        <w:t xml:space="preserve"> </w:t>
      </w:r>
      <w:r w:rsidR="0045214F">
        <w:rPr>
          <w:rFonts w:eastAsia="Calibri" w:cs="Times New Roman"/>
          <w:szCs w:val="26"/>
        </w:rPr>
        <w:t>PG&amp;E</w:t>
      </w:r>
      <w:r w:rsidR="000B0229">
        <w:rPr>
          <w:rFonts w:eastAsia="Calibri" w:cs="Times New Roman"/>
          <w:szCs w:val="26"/>
        </w:rPr>
        <w:t xml:space="preserve"> a</w:t>
      </w:r>
      <w:r w:rsidRPr="00B36A59">
        <w:rPr>
          <w:rFonts w:eastAsia="Calibri" w:cs="Times New Roman"/>
          <w:szCs w:val="26"/>
        </w:rPr>
        <w:t xml:space="preserve">grees with AT&amp;T that </w:t>
      </w:r>
      <w:r w:rsidR="00835EAD">
        <w:rPr>
          <w:rFonts w:eastAsia="Calibri" w:cs="Times New Roman"/>
          <w:szCs w:val="26"/>
        </w:rPr>
        <w:t>ROW Rules</w:t>
      </w:r>
      <w:r w:rsidRPr="00B36A59">
        <w:rPr>
          <w:rFonts w:eastAsia="Calibri" w:cs="Times New Roman"/>
          <w:szCs w:val="26"/>
        </w:rPr>
        <w:t xml:space="preserve"> should not be expanded to include government agencies, citing unresolved legal authority, enforcement, and reciprocity concerns.</w:t>
      </w:r>
      <w:r w:rsidRPr="00B36A59">
        <w:rPr>
          <w:rFonts w:eastAsia="Calibri" w:cs="Times New Roman"/>
          <w:szCs w:val="26"/>
          <w:vertAlign w:val="superscript"/>
        </w:rPr>
        <w:footnoteReference w:id="182"/>
      </w:r>
    </w:p>
    <w:p w:rsidRPr="00B36A59" w:rsidR="003C327A" w:rsidP="00ED36CC" w:rsidRDefault="003C327A" w14:paraId="61D2E002" w14:textId="04CEEAFB">
      <w:pPr>
        <w:pStyle w:val="Standard"/>
      </w:pPr>
      <w:r w:rsidRPr="004E7F11">
        <w:rPr>
          <w:rFonts w:eastAsia="Calibri" w:cs="Times New Roman"/>
          <w:szCs w:val="26"/>
        </w:rPr>
        <w:t>SDG&amp;E</w:t>
      </w:r>
      <w:r w:rsidRPr="00B36A59">
        <w:rPr>
          <w:rFonts w:eastAsia="Calibri" w:cs="Times New Roman"/>
          <w:szCs w:val="26"/>
        </w:rPr>
        <w:t xml:space="preserve"> </w:t>
      </w:r>
      <w:r w:rsidR="004E7F11">
        <w:rPr>
          <w:rFonts w:eastAsia="Calibri" w:cs="Times New Roman"/>
          <w:szCs w:val="26"/>
        </w:rPr>
        <w:t>e</w:t>
      </w:r>
      <w:r w:rsidRPr="00B36A59">
        <w:rPr>
          <w:rFonts w:eastAsia="Calibri" w:cs="Times New Roman"/>
          <w:szCs w:val="26"/>
        </w:rPr>
        <w:t xml:space="preserve">xplains that it has not observed a measurable difference in the implementation of inspection and maintenance practices or responsiveness to remediating safety hazards between attachers subject to the </w:t>
      </w:r>
      <w:r w:rsidR="00835EAD">
        <w:rPr>
          <w:rFonts w:eastAsia="Calibri" w:cs="Times New Roman"/>
          <w:szCs w:val="26"/>
        </w:rPr>
        <w:t>ROW Rules</w:t>
      </w:r>
      <w:r w:rsidRPr="00B36A59">
        <w:rPr>
          <w:rFonts w:eastAsia="Calibri" w:cs="Times New Roman"/>
          <w:szCs w:val="26"/>
        </w:rPr>
        <w:t xml:space="preserve"> and those that are not.</w:t>
      </w:r>
      <w:r w:rsidRPr="00B36A59">
        <w:rPr>
          <w:rFonts w:eastAsia="Calibri" w:cs="Times New Roman"/>
          <w:szCs w:val="26"/>
          <w:vertAlign w:val="superscript"/>
        </w:rPr>
        <w:footnoteReference w:id="183"/>
      </w:r>
    </w:p>
    <w:p w:rsidR="00EC6924" w:rsidP="006B65B5" w:rsidRDefault="000E4C79" w14:paraId="368E9DD2" w14:textId="74FE8C8E">
      <w:pPr>
        <w:pStyle w:val="Heading4"/>
      </w:pPr>
      <w:r>
        <w:t>Should these proposed addition</w:t>
      </w:r>
      <w:r w:rsidR="008A2425">
        <w:t>s</w:t>
      </w:r>
      <w:r>
        <w:t xml:space="preserve"> to the ROW</w:t>
      </w:r>
      <w:r w:rsidR="00581239">
        <w:t xml:space="preserve"> </w:t>
      </w:r>
      <w:r w:rsidR="00257A55">
        <w:t>Rules</w:t>
      </w:r>
      <w:r>
        <w:t xml:space="preserve"> (regarding the applicability of </w:t>
      </w:r>
      <w:r w:rsidR="006D1689">
        <w:t xml:space="preserve">ROW </w:t>
      </w:r>
      <w:r>
        <w:t>Rules to local governments and other utilities) be adopted? Should any additional modifications be considered?</w:t>
      </w:r>
    </w:p>
    <w:p w:rsidRPr="00B36A59" w:rsidR="00CD63BB" w:rsidP="00ED36CC" w:rsidRDefault="00CD63BB" w14:paraId="4DDB36CE" w14:textId="556AA26C">
      <w:pPr>
        <w:pStyle w:val="Standard"/>
      </w:pPr>
      <w:r w:rsidRPr="000E049A">
        <w:rPr>
          <w:rFonts w:eastAsia="Calibri" w:cs="Times New Roman"/>
          <w:szCs w:val="26"/>
        </w:rPr>
        <w:t>AT&amp;T</w:t>
      </w:r>
      <w:r w:rsidRPr="00B36A59">
        <w:rPr>
          <w:rFonts w:eastAsia="Calibri" w:cs="Times New Roman"/>
          <w:szCs w:val="26"/>
        </w:rPr>
        <w:t xml:space="preserve"> </w:t>
      </w:r>
      <w:r w:rsidR="000E049A">
        <w:rPr>
          <w:rFonts w:eastAsia="Calibri" w:cs="Times New Roman"/>
          <w:szCs w:val="26"/>
        </w:rPr>
        <w:t>o</w:t>
      </w:r>
      <w:r w:rsidRPr="00B36A59">
        <w:rPr>
          <w:rFonts w:eastAsia="Calibri" w:cs="Times New Roman"/>
          <w:szCs w:val="26"/>
        </w:rPr>
        <w:t xml:space="preserve">pposes expansion of access rights to government agencies and other entities that lack statutory authority or fall outside CPUC jurisdiction. </w:t>
      </w:r>
      <w:r w:rsidR="000E049A">
        <w:rPr>
          <w:rFonts w:eastAsia="Calibri" w:cs="Times New Roman"/>
          <w:szCs w:val="26"/>
        </w:rPr>
        <w:t>It a</w:t>
      </w:r>
      <w:r w:rsidRPr="00B36A59">
        <w:rPr>
          <w:rFonts w:eastAsia="Calibri" w:cs="Times New Roman"/>
          <w:szCs w:val="26"/>
        </w:rPr>
        <w:t>rgues</w:t>
      </w:r>
      <w:r w:rsidR="0045214F">
        <w:rPr>
          <w:rFonts w:eastAsia="Calibri" w:cs="Times New Roman"/>
          <w:szCs w:val="26"/>
        </w:rPr>
        <w:t xml:space="preserve"> </w:t>
      </w:r>
      <w:r w:rsidR="000E049A">
        <w:rPr>
          <w:rFonts w:eastAsia="Calibri" w:cs="Times New Roman"/>
          <w:szCs w:val="26"/>
        </w:rPr>
        <w:t xml:space="preserve">the </w:t>
      </w:r>
      <w:r w:rsidRPr="00B36A59">
        <w:rPr>
          <w:rFonts w:eastAsia="Calibri" w:cs="Times New Roman"/>
          <w:szCs w:val="26"/>
        </w:rPr>
        <w:t>CPUC may not have requisite authority, citing P</w:t>
      </w:r>
      <w:r w:rsidR="00D962A5">
        <w:rPr>
          <w:rFonts w:eastAsia="Calibri" w:cs="Times New Roman"/>
          <w:szCs w:val="26"/>
        </w:rPr>
        <w:t xml:space="preserve">ublic </w:t>
      </w:r>
      <w:r w:rsidRPr="00B36A59">
        <w:rPr>
          <w:rFonts w:eastAsia="Calibri" w:cs="Times New Roman"/>
          <w:szCs w:val="26"/>
        </w:rPr>
        <w:t>U</w:t>
      </w:r>
      <w:r w:rsidR="00D962A5">
        <w:rPr>
          <w:rFonts w:eastAsia="Calibri" w:cs="Times New Roman"/>
          <w:szCs w:val="26"/>
        </w:rPr>
        <w:t>tility</w:t>
      </w:r>
      <w:r w:rsidRPr="00B36A59">
        <w:rPr>
          <w:rFonts w:eastAsia="Calibri" w:cs="Times New Roman"/>
          <w:szCs w:val="26"/>
        </w:rPr>
        <w:t xml:space="preserve"> Codes and previous CPUC Decisions.</w:t>
      </w:r>
      <w:r w:rsidRPr="00B36A59">
        <w:rPr>
          <w:rFonts w:eastAsia="Calibri" w:cs="Times New Roman"/>
          <w:szCs w:val="26"/>
          <w:vertAlign w:val="superscript"/>
        </w:rPr>
        <w:footnoteReference w:id="184"/>
      </w:r>
    </w:p>
    <w:p w:rsidR="00410529" w:rsidP="00ED36CC" w:rsidRDefault="007F24A4" w14:paraId="2837119D" w14:textId="18ACF02E">
      <w:pPr>
        <w:pStyle w:val="Standard"/>
        <w:rPr>
          <w:rFonts w:eastAsia="Calibri" w:cs="Times New Roman"/>
          <w:szCs w:val="26"/>
        </w:rPr>
      </w:pPr>
      <w:r w:rsidRPr="00C360B4">
        <w:rPr>
          <w:szCs w:val="26"/>
        </w:rPr>
        <w:t>Bear Valley Electric Service, Inc.</w:t>
      </w:r>
      <w:r>
        <w:rPr>
          <w:szCs w:val="26"/>
        </w:rPr>
        <w:t xml:space="preserve"> (</w:t>
      </w:r>
      <w:r w:rsidRPr="00192A70" w:rsidR="00CD63BB">
        <w:rPr>
          <w:rFonts w:eastAsia="Calibri" w:cs="Times New Roman"/>
          <w:szCs w:val="26"/>
        </w:rPr>
        <w:t>Bear Valley</w:t>
      </w:r>
      <w:r>
        <w:rPr>
          <w:rFonts w:eastAsia="Calibri" w:cs="Times New Roman"/>
          <w:szCs w:val="26"/>
        </w:rPr>
        <w:t>)</w:t>
      </w:r>
      <w:r w:rsidR="00192A70">
        <w:rPr>
          <w:rFonts w:eastAsia="Calibri" w:cs="Times New Roman"/>
          <w:szCs w:val="26"/>
        </w:rPr>
        <w:t xml:space="preserve"> s</w:t>
      </w:r>
      <w:r w:rsidRPr="00B36A59" w:rsidR="00CD63BB">
        <w:rPr>
          <w:rFonts w:eastAsia="Calibri" w:cs="Times New Roman"/>
          <w:szCs w:val="26"/>
        </w:rPr>
        <w:t>uggests that ROW rules should not apply to Small and Multi</w:t>
      </w:r>
      <w:r w:rsidR="00E4753D">
        <w:rPr>
          <w:rFonts w:eastAsia="Calibri" w:cs="Times New Roman"/>
          <w:szCs w:val="26"/>
        </w:rPr>
        <w:noBreakHyphen/>
      </w:r>
      <w:r w:rsidRPr="00B36A59" w:rsidR="00CD63BB">
        <w:rPr>
          <w:rFonts w:eastAsia="Calibri" w:cs="Times New Roman"/>
          <w:szCs w:val="26"/>
        </w:rPr>
        <w:t xml:space="preserve">Jurisdictional Utilities (SMJUs) because SJMUs were previously exempt, </w:t>
      </w:r>
      <w:r w:rsidR="00F4082D">
        <w:rPr>
          <w:rFonts w:eastAsia="Calibri" w:cs="Times New Roman"/>
          <w:szCs w:val="26"/>
        </w:rPr>
        <w:t xml:space="preserve">and because of the </w:t>
      </w:r>
      <w:r w:rsidRPr="00B36A59" w:rsidR="00CD63BB">
        <w:rPr>
          <w:rFonts w:eastAsia="Calibri" w:cs="Times New Roman"/>
          <w:szCs w:val="26"/>
        </w:rPr>
        <w:t xml:space="preserve">inequitable cost burden, small customer base, limited resources, and </w:t>
      </w:r>
      <w:r w:rsidR="0045214F">
        <w:rPr>
          <w:rFonts w:eastAsia="Calibri" w:cs="Times New Roman"/>
          <w:szCs w:val="26"/>
        </w:rPr>
        <w:t xml:space="preserve">since </w:t>
      </w:r>
      <w:r w:rsidR="00B67FAA">
        <w:rPr>
          <w:rFonts w:eastAsia="Calibri" w:cs="Times New Roman"/>
          <w:szCs w:val="26"/>
        </w:rPr>
        <w:t xml:space="preserve">they are </w:t>
      </w:r>
      <w:r w:rsidRPr="00B36A59" w:rsidR="00CD63BB">
        <w:rPr>
          <w:rFonts w:eastAsia="Calibri" w:cs="Times New Roman"/>
          <w:szCs w:val="26"/>
        </w:rPr>
        <w:t>following FCC rules</w:t>
      </w:r>
      <w:r w:rsidR="003829D0">
        <w:rPr>
          <w:rFonts w:eastAsia="Calibri" w:cs="Times New Roman"/>
          <w:szCs w:val="26"/>
        </w:rPr>
        <w:t>.</w:t>
      </w:r>
      <w:r w:rsidRPr="00B36A59" w:rsidR="00CD63BB">
        <w:rPr>
          <w:rFonts w:eastAsia="Calibri" w:cs="Times New Roman"/>
          <w:szCs w:val="26"/>
        </w:rPr>
        <w:t xml:space="preserve"> </w:t>
      </w:r>
      <w:r w:rsidR="00B67FAA">
        <w:rPr>
          <w:rFonts w:eastAsia="Calibri" w:cs="Times New Roman"/>
          <w:szCs w:val="26"/>
        </w:rPr>
        <w:t xml:space="preserve">Bear Valley </w:t>
      </w:r>
      <w:r w:rsidRPr="00B36A59" w:rsidR="00CD63BB">
        <w:rPr>
          <w:rFonts w:eastAsia="Calibri" w:cs="Times New Roman"/>
          <w:szCs w:val="26"/>
        </w:rPr>
        <w:t>request</w:t>
      </w:r>
      <w:r w:rsidR="00B67FAA">
        <w:rPr>
          <w:rFonts w:eastAsia="Calibri" w:cs="Times New Roman"/>
          <w:szCs w:val="26"/>
        </w:rPr>
        <w:t>s</w:t>
      </w:r>
      <w:r w:rsidRPr="00B36A59" w:rsidR="00CD63BB">
        <w:rPr>
          <w:rFonts w:eastAsia="Calibri" w:cs="Times New Roman"/>
          <w:szCs w:val="26"/>
        </w:rPr>
        <w:t xml:space="preserve"> </w:t>
      </w:r>
      <w:r w:rsidR="00B67FAA">
        <w:rPr>
          <w:rFonts w:eastAsia="Calibri" w:cs="Times New Roman"/>
          <w:szCs w:val="26"/>
        </w:rPr>
        <w:t xml:space="preserve">the </w:t>
      </w:r>
      <w:r w:rsidR="0045214F">
        <w:rPr>
          <w:rFonts w:eastAsia="Calibri" w:cs="Times New Roman"/>
          <w:szCs w:val="26"/>
        </w:rPr>
        <w:t xml:space="preserve">current </w:t>
      </w:r>
      <w:r w:rsidR="00B67FAA">
        <w:rPr>
          <w:rFonts w:eastAsia="Calibri" w:cs="Times New Roman"/>
          <w:szCs w:val="26"/>
        </w:rPr>
        <w:t>exemption be retained</w:t>
      </w:r>
      <w:r w:rsidRPr="00B36A59" w:rsidR="00CD63BB">
        <w:rPr>
          <w:rFonts w:eastAsia="Calibri" w:cs="Times New Roman"/>
          <w:szCs w:val="26"/>
        </w:rPr>
        <w:t>.</w:t>
      </w:r>
      <w:r w:rsidRPr="00B36A59" w:rsidR="00CD63BB">
        <w:rPr>
          <w:rFonts w:eastAsia="Calibri" w:cs="Times New Roman"/>
          <w:szCs w:val="26"/>
          <w:vertAlign w:val="superscript"/>
        </w:rPr>
        <w:footnoteReference w:id="185"/>
      </w:r>
    </w:p>
    <w:p w:rsidRPr="00B36A59" w:rsidR="00CD63BB" w:rsidP="00ED36CC" w:rsidRDefault="00CD63BB" w14:paraId="3911DF7F" w14:textId="29D76EC3">
      <w:pPr>
        <w:pStyle w:val="Standard"/>
      </w:pPr>
      <w:r w:rsidRPr="00B67FAA">
        <w:rPr>
          <w:rFonts w:eastAsia="Calibri" w:cs="Times New Roman"/>
          <w:szCs w:val="26"/>
        </w:rPr>
        <w:lastRenderedPageBreak/>
        <w:t>California Broadband and Video Association</w:t>
      </w:r>
      <w:r w:rsidRPr="00B36A59">
        <w:rPr>
          <w:rFonts w:eastAsia="Calibri" w:cs="Times New Roman"/>
          <w:szCs w:val="26"/>
        </w:rPr>
        <w:t xml:space="preserve"> </w:t>
      </w:r>
      <w:r w:rsidR="00B67FAA">
        <w:rPr>
          <w:rFonts w:eastAsia="Calibri" w:cs="Times New Roman"/>
          <w:szCs w:val="26"/>
        </w:rPr>
        <w:t>r</w:t>
      </w:r>
      <w:r w:rsidRPr="00B36A59">
        <w:rPr>
          <w:rFonts w:eastAsia="Calibri" w:cs="Times New Roman"/>
          <w:szCs w:val="26"/>
        </w:rPr>
        <w:t>ecommends adding clarification that government agencies are subject to the same regulatory obligations and treatment as other attachers, including compliance with database requirements, safety rules (</w:t>
      </w:r>
      <w:r w:rsidR="005B40C8">
        <w:rPr>
          <w:rFonts w:eastAsia="Calibri" w:cs="Times New Roman"/>
          <w:szCs w:val="26"/>
        </w:rPr>
        <w:t>GO</w:t>
      </w:r>
      <w:r w:rsidR="0051059D">
        <w:rPr>
          <w:rFonts w:eastAsia="Calibri" w:cs="Times New Roman"/>
          <w:szCs w:val="26"/>
        </w:rPr>
        <w:t> </w:t>
      </w:r>
      <w:r w:rsidRPr="00B36A59">
        <w:rPr>
          <w:rFonts w:eastAsia="Calibri" w:cs="Times New Roman"/>
          <w:szCs w:val="26"/>
        </w:rPr>
        <w:t xml:space="preserve">95 and </w:t>
      </w:r>
      <w:r w:rsidR="005B40C8">
        <w:rPr>
          <w:rFonts w:eastAsia="Calibri" w:cs="Times New Roman"/>
          <w:szCs w:val="26"/>
        </w:rPr>
        <w:t>GO</w:t>
      </w:r>
      <w:r w:rsidR="0051059D">
        <w:rPr>
          <w:rFonts w:eastAsia="Calibri" w:cs="Times New Roman"/>
          <w:szCs w:val="26"/>
        </w:rPr>
        <w:t> </w:t>
      </w:r>
      <w:r w:rsidRPr="00B36A59">
        <w:rPr>
          <w:rFonts w:eastAsia="Calibri" w:cs="Times New Roman"/>
          <w:szCs w:val="26"/>
        </w:rPr>
        <w:t xml:space="preserve">128), and network resiliency requirements. </w:t>
      </w:r>
      <w:r w:rsidR="007945D8">
        <w:rPr>
          <w:rFonts w:eastAsia="Calibri" w:cs="Times New Roman"/>
          <w:szCs w:val="26"/>
        </w:rPr>
        <w:t>It o</w:t>
      </w:r>
      <w:r w:rsidRPr="00B36A59">
        <w:rPr>
          <w:rFonts w:eastAsia="Calibri" w:cs="Times New Roman"/>
          <w:szCs w:val="26"/>
        </w:rPr>
        <w:t xml:space="preserve">pposes expanding ROW </w:t>
      </w:r>
      <w:r w:rsidR="0045214F">
        <w:rPr>
          <w:rFonts w:eastAsia="Calibri" w:cs="Times New Roman"/>
          <w:szCs w:val="26"/>
        </w:rPr>
        <w:t>R</w:t>
      </w:r>
      <w:r w:rsidRPr="00B36A59">
        <w:rPr>
          <w:rFonts w:eastAsia="Calibri" w:cs="Times New Roman"/>
          <w:szCs w:val="26"/>
        </w:rPr>
        <w:t xml:space="preserve">ules to all utilities under CPUC jurisdiction that own/control support structures or ROW, because of high costs with minimal benefits. </w:t>
      </w:r>
      <w:r w:rsidR="00E510BB">
        <w:rPr>
          <w:rFonts w:eastAsia="Calibri" w:cs="Times New Roman"/>
          <w:szCs w:val="26"/>
        </w:rPr>
        <w:t>It notes that c</w:t>
      </w:r>
      <w:r w:rsidRPr="00B36A59">
        <w:rPr>
          <w:rFonts w:eastAsia="Calibri" w:cs="Times New Roman"/>
          <w:szCs w:val="26"/>
        </w:rPr>
        <w:t>able and other competitive providers own only a limited/dispersed number of poles, and access to that infrastructure is rarely necessary and/or already addressed through commercial agreements.</w:t>
      </w:r>
      <w:r w:rsidRPr="00B36A59">
        <w:rPr>
          <w:rFonts w:eastAsia="Calibri" w:cs="Times New Roman"/>
          <w:szCs w:val="26"/>
          <w:vertAlign w:val="superscript"/>
        </w:rPr>
        <w:footnoteReference w:id="186"/>
      </w:r>
    </w:p>
    <w:p w:rsidRPr="00B36A59" w:rsidR="00CD63BB" w:rsidP="00ED36CC" w:rsidRDefault="00CD63BB" w14:paraId="7DB7D04B" w14:textId="2F614868">
      <w:pPr>
        <w:pStyle w:val="Standard"/>
      </w:pPr>
      <w:r w:rsidRPr="00E510BB">
        <w:rPr>
          <w:rFonts w:eastAsia="Calibri" w:cs="Times New Roman"/>
          <w:szCs w:val="26"/>
        </w:rPr>
        <w:t>Crown Castle</w:t>
      </w:r>
      <w:r w:rsidRPr="00B36A59">
        <w:rPr>
          <w:rFonts w:eastAsia="Calibri" w:cs="Times New Roman"/>
          <w:szCs w:val="26"/>
        </w:rPr>
        <w:t xml:space="preserve"> </w:t>
      </w:r>
      <w:r w:rsidR="00E510BB">
        <w:rPr>
          <w:rFonts w:eastAsia="Calibri" w:cs="Times New Roman"/>
          <w:szCs w:val="26"/>
        </w:rPr>
        <w:t>a</w:t>
      </w:r>
      <w:r w:rsidRPr="00B36A59">
        <w:rPr>
          <w:rFonts w:eastAsia="Calibri" w:cs="Times New Roman"/>
          <w:szCs w:val="26"/>
        </w:rPr>
        <w:t xml:space="preserve">rgues the language distinguishing between rates for wireline and wireless attachments may have been inadvertently eliminated, specifically the proposal to delete </w:t>
      </w:r>
      <w:r w:rsidR="00CE5DB2">
        <w:rPr>
          <w:rFonts w:eastAsia="Calibri" w:cs="Times New Roman"/>
          <w:szCs w:val="26"/>
        </w:rPr>
        <w:t>Sections</w:t>
      </w:r>
      <w:r w:rsidR="0051059D">
        <w:rPr>
          <w:rFonts w:eastAsia="Calibri" w:cs="Times New Roman"/>
          <w:szCs w:val="26"/>
        </w:rPr>
        <w:t> </w:t>
      </w:r>
      <w:r w:rsidRPr="00B36A59">
        <w:rPr>
          <w:rFonts w:eastAsia="Calibri" w:cs="Times New Roman"/>
          <w:szCs w:val="26"/>
        </w:rPr>
        <w:t xml:space="preserve">(B)(1)(b)(1) and (B)(1)(b)(3) of </w:t>
      </w:r>
      <w:r w:rsidR="00A929DC">
        <w:rPr>
          <w:rFonts w:eastAsia="Calibri" w:cs="Times New Roman"/>
          <w:szCs w:val="26"/>
        </w:rPr>
        <w:t>Rule</w:t>
      </w:r>
      <w:r w:rsidR="0051059D">
        <w:rPr>
          <w:rFonts w:eastAsia="Calibri" w:cs="Times New Roman"/>
          <w:szCs w:val="26"/>
        </w:rPr>
        <w:t> </w:t>
      </w:r>
      <w:r w:rsidRPr="00B36A59">
        <w:rPr>
          <w:rFonts w:eastAsia="Calibri" w:cs="Times New Roman"/>
          <w:szCs w:val="26"/>
        </w:rPr>
        <w:t>VI</w:t>
      </w:r>
      <w:r w:rsidR="00ED4B15">
        <w:rPr>
          <w:rFonts w:eastAsia="Calibri" w:cs="Times New Roman"/>
          <w:szCs w:val="26"/>
        </w:rPr>
        <w:t xml:space="preserve"> — </w:t>
      </w:r>
      <w:r w:rsidRPr="00B36A59">
        <w:rPr>
          <w:rFonts w:eastAsia="Calibri" w:cs="Times New Roman"/>
          <w:szCs w:val="26"/>
        </w:rPr>
        <w:t xml:space="preserve">Pricing and Tariffs Governing Access. </w:t>
      </w:r>
      <w:r w:rsidR="0033098D">
        <w:rPr>
          <w:rFonts w:eastAsia="Calibri" w:cs="Times New Roman"/>
          <w:szCs w:val="26"/>
        </w:rPr>
        <w:t>It u</w:t>
      </w:r>
      <w:r w:rsidRPr="00B36A59">
        <w:rPr>
          <w:rFonts w:eastAsia="Calibri" w:cs="Times New Roman"/>
          <w:szCs w:val="26"/>
        </w:rPr>
        <w:t xml:space="preserve">rges </w:t>
      </w:r>
      <w:r w:rsidR="0033098D">
        <w:rPr>
          <w:rFonts w:eastAsia="Calibri" w:cs="Times New Roman"/>
          <w:szCs w:val="26"/>
        </w:rPr>
        <w:t>the Commission</w:t>
      </w:r>
      <w:r w:rsidR="0045214F">
        <w:rPr>
          <w:rFonts w:eastAsia="Calibri" w:cs="Times New Roman"/>
          <w:szCs w:val="26"/>
        </w:rPr>
        <w:t xml:space="preserve"> to</w:t>
      </w:r>
      <w:r w:rsidR="0033098D">
        <w:rPr>
          <w:rFonts w:eastAsia="Calibri" w:cs="Times New Roman"/>
          <w:szCs w:val="26"/>
        </w:rPr>
        <w:t xml:space="preserve"> retain</w:t>
      </w:r>
      <w:r w:rsidRPr="00B36A59">
        <w:rPr>
          <w:rFonts w:eastAsia="Calibri" w:cs="Times New Roman"/>
          <w:szCs w:val="26"/>
        </w:rPr>
        <w:t xml:space="preserve"> language establishing separate computations of annual recurring fees for wireline and wireless attachments.</w:t>
      </w:r>
      <w:r w:rsidRPr="00B36A59">
        <w:rPr>
          <w:rFonts w:eastAsia="Calibri" w:cs="Times New Roman"/>
          <w:szCs w:val="26"/>
          <w:vertAlign w:val="superscript"/>
        </w:rPr>
        <w:footnoteReference w:id="187"/>
      </w:r>
    </w:p>
    <w:p w:rsidRPr="00B36A59" w:rsidR="00CD63BB" w:rsidP="00ED36CC" w:rsidRDefault="00CD63BB" w14:paraId="0FBEC030" w14:textId="449764E6">
      <w:pPr>
        <w:pStyle w:val="Standard"/>
      </w:pPr>
      <w:r w:rsidRPr="00FF0D7F">
        <w:rPr>
          <w:rFonts w:eastAsia="Calibri" w:cs="Times New Roman"/>
          <w:szCs w:val="26"/>
        </w:rPr>
        <w:t>PG&amp;E</w:t>
      </w:r>
      <w:r w:rsidRPr="00FF0D7F" w:rsidR="00FF0D7F">
        <w:rPr>
          <w:rFonts w:eastAsia="Calibri" w:cs="Times New Roman"/>
          <w:szCs w:val="26"/>
        </w:rPr>
        <w:t xml:space="preserve"> o</w:t>
      </w:r>
      <w:r w:rsidRPr="00B36A59">
        <w:rPr>
          <w:rFonts w:eastAsia="Calibri" w:cs="Times New Roman"/>
          <w:szCs w:val="26"/>
        </w:rPr>
        <w:t xml:space="preserve">pposes the proposed additions. </w:t>
      </w:r>
      <w:r w:rsidR="00FF0D7F">
        <w:rPr>
          <w:rFonts w:eastAsia="Calibri" w:cs="Times New Roman"/>
          <w:szCs w:val="26"/>
        </w:rPr>
        <w:t>It c</w:t>
      </w:r>
      <w:r w:rsidRPr="00B36A59">
        <w:rPr>
          <w:rFonts w:eastAsia="Calibri" w:cs="Times New Roman"/>
          <w:szCs w:val="26"/>
        </w:rPr>
        <w:t>laims government agencies currently do not have authorization to attach to poles</w:t>
      </w:r>
      <w:r w:rsidR="0016065C">
        <w:rPr>
          <w:rFonts w:eastAsia="Calibri" w:cs="Times New Roman"/>
          <w:szCs w:val="26"/>
        </w:rPr>
        <w:t xml:space="preserve">, </w:t>
      </w:r>
      <w:r w:rsidRPr="00B36A59">
        <w:rPr>
          <w:rFonts w:eastAsia="Calibri" w:cs="Times New Roman"/>
          <w:szCs w:val="26"/>
        </w:rPr>
        <w:t xml:space="preserve">and </w:t>
      </w:r>
      <w:r w:rsidR="0016065C">
        <w:rPr>
          <w:rFonts w:eastAsia="Calibri" w:cs="Times New Roman"/>
          <w:szCs w:val="26"/>
        </w:rPr>
        <w:t xml:space="preserve">that </w:t>
      </w:r>
      <w:r w:rsidRPr="00B36A59">
        <w:rPr>
          <w:rFonts w:eastAsia="Calibri" w:cs="Times New Roman"/>
          <w:szCs w:val="26"/>
        </w:rPr>
        <w:t xml:space="preserve">the CPUC must explicitly grant </w:t>
      </w:r>
      <w:r w:rsidR="0016065C">
        <w:rPr>
          <w:rFonts w:eastAsia="Calibri" w:cs="Times New Roman"/>
          <w:szCs w:val="26"/>
        </w:rPr>
        <w:t xml:space="preserve">government agencies such </w:t>
      </w:r>
      <w:r w:rsidRPr="00B36A59">
        <w:rPr>
          <w:rFonts w:eastAsia="Calibri" w:cs="Times New Roman"/>
          <w:szCs w:val="26"/>
        </w:rPr>
        <w:t xml:space="preserve">authority. </w:t>
      </w:r>
      <w:r w:rsidR="00BD2313">
        <w:rPr>
          <w:rFonts w:eastAsia="Calibri" w:cs="Times New Roman"/>
          <w:szCs w:val="26"/>
        </w:rPr>
        <w:t>PG&amp;E r</w:t>
      </w:r>
      <w:r w:rsidRPr="00B36A59">
        <w:rPr>
          <w:rFonts w:eastAsia="Calibri" w:cs="Times New Roman"/>
          <w:szCs w:val="26"/>
        </w:rPr>
        <w:t>ecommends that any granting of authority be conditioned on reciprocal access for private utilities and limited to communications attachments.</w:t>
      </w:r>
      <w:r w:rsidRPr="00B36A59">
        <w:rPr>
          <w:rFonts w:eastAsia="Calibri" w:cs="Times New Roman"/>
          <w:szCs w:val="26"/>
          <w:vertAlign w:val="superscript"/>
        </w:rPr>
        <w:footnoteReference w:id="188"/>
      </w:r>
    </w:p>
    <w:p w:rsidRPr="00B36A59" w:rsidR="00CD63BB" w:rsidP="00ED36CC" w:rsidRDefault="00CD63BB" w14:paraId="23DFBD7E" w14:textId="01FAC366">
      <w:pPr>
        <w:pStyle w:val="Standard"/>
      </w:pPr>
      <w:r w:rsidRPr="00BD2313">
        <w:rPr>
          <w:rFonts w:eastAsia="Calibri" w:cs="Times New Roman"/>
          <w:szCs w:val="26"/>
        </w:rPr>
        <w:t>Race</w:t>
      </w:r>
      <w:r w:rsidRPr="00B36A59">
        <w:rPr>
          <w:rFonts w:eastAsia="Calibri" w:cs="Times New Roman"/>
          <w:szCs w:val="26"/>
        </w:rPr>
        <w:t xml:space="preserve"> </w:t>
      </w:r>
      <w:r w:rsidR="00BD2313">
        <w:rPr>
          <w:rFonts w:eastAsia="Calibri" w:cs="Times New Roman"/>
          <w:szCs w:val="26"/>
        </w:rPr>
        <w:t>s</w:t>
      </w:r>
      <w:r w:rsidRPr="00B36A59">
        <w:rPr>
          <w:rFonts w:eastAsia="Calibri" w:cs="Times New Roman"/>
          <w:szCs w:val="26"/>
        </w:rPr>
        <w:t xml:space="preserve">uggests that if municipalities get full access to poles, they should be required to not discriminate in permitting, grants of easements, </w:t>
      </w:r>
      <w:r w:rsidRPr="005A67D2">
        <w:rPr>
          <w:rFonts w:eastAsia="Calibri" w:cs="Times New Roman"/>
          <w:i/>
          <w:iCs/>
          <w:szCs w:val="26"/>
        </w:rPr>
        <w:t>etc</w:t>
      </w:r>
      <w:r w:rsidRPr="00B36A59">
        <w:rPr>
          <w:rFonts w:eastAsia="Calibri" w:cs="Times New Roman"/>
          <w:szCs w:val="26"/>
        </w:rPr>
        <w:t xml:space="preserve">. </w:t>
      </w:r>
      <w:r w:rsidR="005A67D2">
        <w:rPr>
          <w:rFonts w:eastAsia="Calibri" w:cs="Times New Roman"/>
          <w:szCs w:val="26"/>
        </w:rPr>
        <w:t>Race c</w:t>
      </w:r>
      <w:r w:rsidRPr="00B36A59">
        <w:rPr>
          <w:rFonts w:eastAsia="Calibri" w:cs="Times New Roman"/>
          <w:szCs w:val="26"/>
        </w:rPr>
        <w:t xml:space="preserve">laims that some municipalities require competitive communications providers, but not </w:t>
      </w:r>
      <w:r w:rsidRPr="00B36A59">
        <w:rPr>
          <w:rFonts w:eastAsia="Calibri" w:cs="Times New Roman"/>
          <w:szCs w:val="26"/>
        </w:rPr>
        <w:lastRenderedPageBreak/>
        <w:t>incumbent telephone companies and cable providers, to obtain local franchises or licenses in order to access public ROW or municipal</w:t>
      </w:r>
      <w:r w:rsidR="00E4753D">
        <w:rPr>
          <w:rFonts w:eastAsia="Calibri" w:cs="Times New Roman"/>
          <w:szCs w:val="26"/>
        </w:rPr>
        <w:noBreakHyphen/>
      </w:r>
      <w:r w:rsidRPr="00B36A59">
        <w:rPr>
          <w:rFonts w:eastAsia="Calibri" w:cs="Times New Roman"/>
          <w:szCs w:val="26"/>
        </w:rPr>
        <w:t>owned</w:t>
      </w:r>
      <w:r w:rsidR="00E4753D">
        <w:rPr>
          <w:rFonts w:eastAsia="Calibri" w:cs="Times New Roman"/>
          <w:szCs w:val="26"/>
        </w:rPr>
        <w:noBreakHyphen/>
      </w:r>
      <w:r w:rsidRPr="00B36A59">
        <w:rPr>
          <w:rFonts w:eastAsia="Calibri" w:cs="Times New Roman"/>
          <w:szCs w:val="26"/>
        </w:rPr>
        <w:t>poles.</w:t>
      </w:r>
      <w:r w:rsidRPr="00B36A59">
        <w:rPr>
          <w:rFonts w:eastAsia="Calibri" w:cs="Times New Roman"/>
          <w:szCs w:val="26"/>
          <w:vertAlign w:val="superscript"/>
        </w:rPr>
        <w:footnoteReference w:id="189"/>
      </w:r>
    </w:p>
    <w:p w:rsidRPr="00B36A59" w:rsidR="00CD63BB" w:rsidP="00ED36CC" w:rsidRDefault="00CD63BB" w14:paraId="59754C42" w14:textId="5AFE9A30">
      <w:pPr>
        <w:pStyle w:val="Standard"/>
      </w:pPr>
      <w:r w:rsidRPr="00212E8E">
        <w:rPr>
          <w:rFonts w:eastAsia="Calibri" w:cs="Times New Roman"/>
          <w:szCs w:val="26"/>
        </w:rPr>
        <w:t>Sonic</w:t>
      </w:r>
      <w:r w:rsidRPr="00B36A59">
        <w:rPr>
          <w:rFonts w:eastAsia="Calibri" w:cs="Times New Roman"/>
          <w:szCs w:val="26"/>
        </w:rPr>
        <w:t xml:space="preserve"> </w:t>
      </w:r>
      <w:r w:rsidR="00212E8E">
        <w:rPr>
          <w:rFonts w:eastAsia="Calibri" w:cs="Times New Roman"/>
          <w:szCs w:val="26"/>
        </w:rPr>
        <w:t>s</w:t>
      </w:r>
      <w:r w:rsidRPr="00B36A59">
        <w:rPr>
          <w:rFonts w:eastAsia="Calibri" w:cs="Times New Roman"/>
          <w:szCs w:val="26"/>
        </w:rPr>
        <w:t xml:space="preserve">upports the proposed additions but urges the CPUC to also require that cities permit certificated carriers to place temporary poles in the ROW to bypass overloaded poles. </w:t>
      </w:r>
      <w:r w:rsidR="0045214F">
        <w:rPr>
          <w:rFonts w:eastAsia="Calibri" w:cs="Times New Roman"/>
          <w:szCs w:val="26"/>
        </w:rPr>
        <w:t>Sonic c</w:t>
      </w:r>
      <w:r w:rsidRPr="00B36A59">
        <w:rPr>
          <w:rFonts w:eastAsia="Calibri" w:cs="Times New Roman"/>
          <w:szCs w:val="26"/>
        </w:rPr>
        <w:t>laims it would be highly unfair to allow cities to attach their own facilities while denying carriers like sonic the ability to place temporary poles for the same purpose.</w:t>
      </w:r>
      <w:r w:rsidRPr="00B36A59">
        <w:rPr>
          <w:rFonts w:eastAsia="Calibri" w:cs="Times New Roman"/>
          <w:szCs w:val="26"/>
          <w:vertAlign w:val="superscript"/>
        </w:rPr>
        <w:footnoteReference w:id="190"/>
      </w:r>
    </w:p>
    <w:p w:rsidR="008A2425" w:rsidP="00ED36CC" w:rsidRDefault="007A2E39" w14:paraId="692FB0B8" w14:textId="0F840B15">
      <w:pPr>
        <w:pStyle w:val="Heading3"/>
        <w:keepLines w:val="0"/>
      </w:pPr>
      <w:bookmarkStart w:name="_Toc229726769" w:id="53"/>
      <w:r>
        <w:t>Discussion and Findings</w:t>
      </w:r>
      <w:bookmarkEnd w:id="53"/>
    </w:p>
    <w:p w:rsidR="00BD079A" w:rsidP="00ED36CC" w:rsidRDefault="00BD079A" w14:paraId="40EC3772" w14:textId="0257BCF9">
      <w:pPr>
        <w:pStyle w:val="Standard"/>
      </w:pPr>
      <w:r>
        <w:t>Based on the party comments and s</w:t>
      </w:r>
      <w:r w:rsidR="0022607A">
        <w:t>taff</w:t>
      </w:r>
      <w:r w:rsidR="00410529">
        <w:t>’</w:t>
      </w:r>
      <w:r w:rsidR="0022607A">
        <w:t xml:space="preserve">s recommendations, we first amend </w:t>
      </w:r>
      <w:r w:rsidR="005C2C64">
        <w:t>Section</w:t>
      </w:r>
      <w:r w:rsidR="00196E24">
        <w:t> </w:t>
      </w:r>
      <w:r w:rsidR="0022607A">
        <w:t xml:space="preserve">I. (PURPOSE AND SCOPE OF RULES) </w:t>
      </w:r>
      <w:r w:rsidR="005C2C64">
        <w:t xml:space="preserve">of </w:t>
      </w:r>
      <w:r w:rsidR="00384A2A">
        <w:t>Proposed GO</w:t>
      </w:r>
      <w:r w:rsidR="009C2732">
        <w:t> </w:t>
      </w:r>
      <w:r w:rsidR="00384A2A">
        <w:t xml:space="preserve">178 </w:t>
      </w:r>
      <w:r w:rsidR="0022607A">
        <w:t>as follows</w:t>
      </w:r>
      <w:r w:rsidR="005C2C64">
        <w:t>, and as reflected in Attachment</w:t>
      </w:r>
      <w:r w:rsidR="009C2732">
        <w:t> </w:t>
      </w:r>
      <w:r w:rsidR="005C2C64">
        <w:t>A to this decision</w:t>
      </w:r>
      <w:r w:rsidR="0022607A">
        <w:t>:</w:t>
      </w:r>
    </w:p>
    <w:p w:rsidRPr="00E83798" w:rsidR="007112E5" w:rsidP="007112E5" w:rsidRDefault="007112E5" w14:paraId="21FF7FB8" w14:textId="1679DB15">
      <w:pPr>
        <w:spacing w:after="240" w:line="240" w:lineRule="auto"/>
        <w:ind w:left="720" w:firstLine="0"/>
        <w:rPr>
          <w:rFonts w:ascii="Palatino" w:hAnsi="Palatino" w:eastAsia="Times New Roman" w:cs="Times New Roman"/>
          <w:szCs w:val="20"/>
        </w:rPr>
      </w:pPr>
      <w:bookmarkStart w:name="_Hlk168908952" w:id="54"/>
      <w:r w:rsidRPr="00E83798">
        <w:rPr>
          <w:rFonts w:ascii="Palatino" w:hAnsi="Palatino" w:eastAsia="Times New Roman" w:cs="Times New Roman"/>
          <w:szCs w:val="20"/>
        </w:rPr>
        <w:t>These rules govern access to public utility rights</w:t>
      </w:r>
      <w:r w:rsidR="00E4753D">
        <w:rPr>
          <w:rFonts w:ascii="Palatino" w:hAnsi="Palatino" w:eastAsia="Times New Roman" w:cs="Times New Roman"/>
          <w:szCs w:val="20"/>
        </w:rPr>
        <w:noBreakHyphen/>
      </w:r>
      <w:r w:rsidRPr="00E83798">
        <w:rPr>
          <w:rFonts w:ascii="Palatino" w:hAnsi="Palatino" w:eastAsia="Times New Roman" w:cs="Times New Roman"/>
          <w:szCs w:val="20"/>
        </w:rPr>
        <w:t>of</w:t>
      </w:r>
      <w:r w:rsidR="00E4753D">
        <w:rPr>
          <w:rFonts w:ascii="Palatino" w:hAnsi="Palatino" w:eastAsia="Times New Roman" w:cs="Times New Roman"/>
          <w:szCs w:val="20"/>
        </w:rPr>
        <w:noBreakHyphen/>
      </w:r>
      <w:r w:rsidRPr="00E83798">
        <w:rPr>
          <w:rFonts w:ascii="Palatino" w:hAnsi="Palatino" w:eastAsia="Times New Roman" w:cs="Times New Roman"/>
          <w:szCs w:val="20"/>
        </w:rPr>
        <w:t xml:space="preserve">way and support structures </w:t>
      </w:r>
      <w:r w:rsidRPr="00E83798">
        <w:rPr>
          <w:rFonts w:ascii="Palatino" w:hAnsi="Palatino" w:eastAsia="Times New Roman" w:cs="Times New Roman"/>
          <w:strike/>
          <w:color w:val="FF0000"/>
          <w:szCs w:val="20"/>
        </w:rPr>
        <w:t>by telecommunications carriers, Commercial Mobile Radio Service (CMRS) carriers, and cable TV companies</w:t>
      </w:r>
      <w:r w:rsidRPr="00E83798">
        <w:rPr>
          <w:rFonts w:ascii="Palatino" w:hAnsi="Palatino" w:eastAsia="Times New Roman" w:cs="Times New Roman"/>
          <w:szCs w:val="20"/>
        </w:rPr>
        <w:t xml:space="preserve"> in California</w:t>
      </w:r>
      <w:r w:rsidRPr="00E83798">
        <w:rPr>
          <w:rFonts w:ascii="Palatino" w:hAnsi="Palatino" w:eastAsia="Times New Roman" w:cs="Times New Roman"/>
          <w:i/>
          <w:iCs/>
          <w:color w:val="0915FF"/>
          <w:szCs w:val="20"/>
        </w:rPr>
        <w:t xml:space="preserve">. </w:t>
      </w:r>
      <w:bookmarkEnd w:id="54"/>
      <w:r w:rsidRPr="00E83798">
        <w:rPr>
          <w:rFonts w:ascii="Palatino" w:hAnsi="Palatino" w:eastAsia="Times New Roman" w:cs="Times New Roman"/>
          <w:i/>
          <w:iCs/>
          <w:color w:val="0915FF"/>
          <w:szCs w:val="20"/>
        </w:rPr>
        <w:t xml:space="preserve">These rules </w:t>
      </w:r>
      <w:r w:rsidRPr="00E83798">
        <w:rPr>
          <w:rFonts w:ascii="Palatino" w:hAnsi="Palatino" w:eastAsia="Times New Roman" w:cs="Times New Roman"/>
          <w:strike/>
          <w:color w:val="FF0000"/>
          <w:szCs w:val="20"/>
        </w:rPr>
        <w:t xml:space="preserve">, and </w:t>
      </w:r>
      <w:r w:rsidRPr="00E83798">
        <w:rPr>
          <w:rFonts w:ascii="Palatino" w:hAnsi="Palatino" w:eastAsia="Times New Roman" w:cs="Times New Roman"/>
          <w:szCs w:val="20"/>
        </w:rPr>
        <w:t>are issued pursuant to the Commission’s jurisdiction over access to utility rights</w:t>
      </w:r>
      <w:r w:rsidR="00E4753D">
        <w:rPr>
          <w:rFonts w:ascii="Palatino" w:hAnsi="Palatino" w:eastAsia="Times New Roman" w:cs="Times New Roman"/>
          <w:szCs w:val="20"/>
        </w:rPr>
        <w:noBreakHyphen/>
      </w:r>
      <w:r w:rsidRPr="00E83798">
        <w:rPr>
          <w:rFonts w:ascii="Palatino" w:hAnsi="Palatino" w:eastAsia="Times New Roman" w:cs="Times New Roman"/>
          <w:szCs w:val="20"/>
        </w:rPr>
        <w:t>of</w:t>
      </w:r>
      <w:r w:rsidR="00E4753D">
        <w:rPr>
          <w:rFonts w:ascii="Palatino" w:hAnsi="Palatino" w:eastAsia="Times New Roman" w:cs="Times New Roman"/>
          <w:szCs w:val="20"/>
        </w:rPr>
        <w:noBreakHyphen/>
      </w:r>
      <w:r w:rsidRPr="00E83798">
        <w:rPr>
          <w:rFonts w:ascii="Palatino" w:hAnsi="Palatino" w:eastAsia="Times New Roman" w:cs="Times New Roman"/>
          <w:szCs w:val="20"/>
        </w:rPr>
        <w:t xml:space="preserve">way and support structures under the Federal Communications Act, 47 U.S.C. § 224(c)(1) and subject to California Public Utilities Code §§ 767, 767.5, 767.7, 768, 768.5 and 8001 through 8057.  </w:t>
      </w:r>
      <w:bookmarkStart w:name="_Hlk168908907" w:id="55"/>
      <w:r w:rsidRPr="00E83798">
        <w:rPr>
          <w:rFonts w:ascii="Palatino" w:hAnsi="Palatino" w:eastAsia="Times New Roman" w:cs="Times New Roman"/>
          <w:i/>
          <w:iCs/>
          <w:color w:val="0915FF"/>
          <w:szCs w:val="20"/>
        </w:rPr>
        <w:t>These rules apply to all utilities under the Commission’s jurisdiction which own or control, or in combination jointly own or control, support structures or rights</w:t>
      </w:r>
      <w:r w:rsidR="00E4753D">
        <w:rPr>
          <w:rFonts w:ascii="Palatino" w:hAnsi="Palatino" w:eastAsia="Times New Roman" w:cs="Times New Roman"/>
          <w:i/>
          <w:iCs/>
          <w:color w:val="0915FF"/>
          <w:szCs w:val="20"/>
        </w:rPr>
        <w:noBreakHyphen/>
      </w:r>
      <w:r w:rsidRPr="00E83798">
        <w:rPr>
          <w:rFonts w:ascii="Palatino" w:hAnsi="Palatino" w:eastAsia="Times New Roman" w:cs="Times New Roman"/>
          <w:i/>
          <w:iCs/>
          <w:color w:val="0915FF"/>
          <w:szCs w:val="20"/>
        </w:rPr>
        <w:t>of</w:t>
      </w:r>
      <w:r w:rsidR="00E4753D">
        <w:rPr>
          <w:rFonts w:ascii="Palatino" w:hAnsi="Palatino" w:eastAsia="Times New Roman" w:cs="Times New Roman"/>
          <w:i/>
          <w:iCs/>
          <w:color w:val="0915FF"/>
          <w:szCs w:val="20"/>
        </w:rPr>
        <w:noBreakHyphen/>
      </w:r>
      <w:r w:rsidRPr="00E83798">
        <w:rPr>
          <w:rFonts w:ascii="Palatino" w:hAnsi="Palatino" w:eastAsia="Times New Roman" w:cs="Times New Roman"/>
          <w:i/>
          <w:iCs/>
          <w:color w:val="0915FF"/>
          <w:szCs w:val="20"/>
        </w:rPr>
        <w:t>way that may be used or useful, in whole or in part, for purposes of deploying communications infrastructure.</w:t>
      </w:r>
      <w:r w:rsidRPr="00E83798">
        <w:rPr>
          <w:rFonts w:ascii="Palatino" w:hAnsi="Palatino" w:eastAsia="Times New Roman" w:cs="Times New Roman"/>
          <w:szCs w:val="20"/>
        </w:rPr>
        <w:t xml:space="preserve"> </w:t>
      </w:r>
      <w:bookmarkEnd w:id="55"/>
      <w:r w:rsidRPr="001F0FB4">
        <w:rPr>
          <w:rFonts w:ascii="Palatino" w:hAnsi="Palatino" w:eastAsia="Times New Roman" w:cs="Times New Roman"/>
          <w:strike/>
          <w:color w:val="EE0000"/>
          <w:szCs w:val="20"/>
          <w:highlight w:val="yellow"/>
        </w:rPr>
        <w:t>These rules are to be applied as guidelines by parties in negotiating rights</w:t>
      </w:r>
      <w:r w:rsidR="00E4753D">
        <w:rPr>
          <w:rFonts w:ascii="Palatino" w:hAnsi="Palatino" w:eastAsia="Times New Roman" w:cs="Times New Roman"/>
          <w:strike/>
          <w:color w:val="EE0000"/>
          <w:szCs w:val="20"/>
          <w:highlight w:val="yellow"/>
        </w:rPr>
        <w:noBreakHyphen/>
      </w:r>
      <w:r w:rsidRPr="001F0FB4">
        <w:rPr>
          <w:rFonts w:ascii="Palatino" w:hAnsi="Palatino" w:eastAsia="Times New Roman" w:cs="Times New Roman"/>
          <w:strike/>
          <w:color w:val="EE0000"/>
          <w:szCs w:val="20"/>
          <w:highlight w:val="yellow"/>
        </w:rPr>
        <w:t>of</w:t>
      </w:r>
      <w:r w:rsidR="00E4753D">
        <w:rPr>
          <w:rFonts w:ascii="Palatino" w:hAnsi="Palatino" w:eastAsia="Times New Roman" w:cs="Times New Roman"/>
          <w:strike/>
          <w:color w:val="EE0000"/>
          <w:szCs w:val="20"/>
          <w:highlight w:val="yellow"/>
        </w:rPr>
        <w:noBreakHyphen/>
      </w:r>
      <w:r w:rsidRPr="001F0FB4">
        <w:rPr>
          <w:rFonts w:ascii="Palatino" w:hAnsi="Palatino" w:eastAsia="Times New Roman" w:cs="Times New Roman"/>
          <w:strike/>
          <w:color w:val="EE0000"/>
          <w:szCs w:val="20"/>
          <w:highlight w:val="yellow"/>
        </w:rPr>
        <w:t xml:space="preserve">way access agreements.  Parties may mutually agree on terms which deviate from these rules, but in the event of negotiating disputes submitted for Commission resolution, the adopted rules will be deemed presumptively reasonable.  The burden of proof shall be on the party advocating a deviation from the rules to </w:t>
      </w:r>
      <w:r w:rsidRPr="001F0FB4">
        <w:rPr>
          <w:rFonts w:ascii="Palatino" w:hAnsi="Palatino" w:eastAsia="Times New Roman" w:cs="Times New Roman"/>
          <w:strike/>
          <w:color w:val="EE0000"/>
          <w:szCs w:val="20"/>
          <w:highlight w:val="yellow"/>
        </w:rPr>
        <w:lastRenderedPageBreak/>
        <w:t>show the deviation is reasonable, and is not unduly discriminatory or anticompetitive.</w:t>
      </w:r>
    </w:p>
    <w:p w:rsidR="0022607A" w:rsidP="00ED36CC" w:rsidRDefault="006167A7" w14:paraId="494E6D83" w14:textId="73D814FB">
      <w:pPr>
        <w:pStyle w:val="Standard"/>
      </w:pPr>
      <w:r>
        <w:t xml:space="preserve">Second, we amend </w:t>
      </w:r>
      <w:r w:rsidR="00384A2A">
        <w:t>Section</w:t>
      </w:r>
      <w:r w:rsidR="00114FB8">
        <w:t> </w:t>
      </w:r>
      <w:r w:rsidR="000A04F7">
        <w:t xml:space="preserve">II. (DEFINITIONS) </w:t>
      </w:r>
      <w:r w:rsidR="00384A2A">
        <w:t>of Proposed GO</w:t>
      </w:r>
      <w:r w:rsidR="00114FB8">
        <w:t> </w:t>
      </w:r>
      <w:r w:rsidR="00384A2A">
        <w:t xml:space="preserve">178 </w:t>
      </w:r>
      <w:r w:rsidR="000A04F7">
        <w:t>as follows</w:t>
      </w:r>
      <w:r w:rsidR="00384A2A">
        <w:t>, and as reflected in Attachment</w:t>
      </w:r>
      <w:r w:rsidR="00114FB8">
        <w:t> </w:t>
      </w:r>
      <w:r w:rsidR="00384A2A">
        <w:t>A to this decision</w:t>
      </w:r>
      <w:r w:rsidR="000A04F7">
        <w:t>:</w:t>
      </w:r>
    </w:p>
    <w:p w:rsidRPr="00E83798" w:rsidR="003269DE" w:rsidP="00E61763" w:rsidRDefault="003269DE" w14:paraId="7D51C92C" w14:textId="6AFB3724">
      <w:pPr>
        <w:spacing w:after="120" w:line="240" w:lineRule="auto"/>
        <w:ind w:left="1080" w:hanging="540"/>
        <w:rPr>
          <w:rFonts w:ascii="Palatino" w:hAnsi="Palatino" w:eastAsia="Times New Roman" w:cs="Times New Roman"/>
          <w:i/>
          <w:iCs/>
          <w:color w:val="0915FF"/>
          <w:szCs w:val="20"/>
        </w:rPr>
      </w:pPr>
      <w:r w:rsidRPr="00E83798">
        <w:rPr>
          <w:rFonts w:ascii="Palatino" w:hAnsi="Palatino" w:eastAsia="Times New Roman" w:cs="Times New Roman"/>
          <w:i/>
          <w:iCs/>
          <w:color w:val="0915FF"/>
          <w:szCs w:val="20"/>
        </w:rPr>
        <w:t>B.</w:t>
      </w:r>
      <w:r w:rsidRPr="00E83798">
        <w:rPr>
          <w:rFonts w:ascii="Palatino" w:hAnsi="Palatino" w:eastAsia="Times New Roman" w:cs="Times New Roman"/>
          <w:i/>
          <w:iCs/>
          <w:color w:val="0915FF"/>
          <w:szCs w:val="20"/>
        </w:rPr>
        <w:tab/>
      </w:r>
      <w:bookmarkStart w:name="_Hlk168908986" w:id="56"/>
      <w:r w:rsidRPr="00E83798">
        <w:rPr>
          <w:rFonts w:ascii="Palatino" w:hAnsi="Palatino" w:eastAsia="Times New Roman" w:cs="Times New Roman"/>
          <w:i/>
          <w:iCs/>
          <w:color w:val="0915FF"/>
          <w:szCs w:val="20"/>
        </w:rPr>
        <w:t xml:space="preserve">“Attacher” means any telecommunications carrier, Commercial Mobile Radio Service (CMRS) carrier, public utility, government agency, or cable TV company with authority to attach to </w:t>
      </w:r>
      <w:r w:rsidRPr="0024483E" w:rsidR="000F447C">
        <w:rPr>
          <w:rFonts w:ascii="Palatino" w:hAnsi="Palatino" w:eastAsia="Times New Roman" w:cs="Times New Roman"/>
          <w:i/>
          <w:iCs/>
          <w:color w:val="0915FF"/>
          <w:szCs w:val="20"/>
          <w:highlight w:val="yellow"/>
        </w:rPr>
        <w:t xml:space="preserve">provide communications services </w:t>
      </w:r>
      <w:r w:rsidRPr="0024483E">
        <w:rPr>
          <w:rFonts w:ascii="Palatino" w:hAnsi="Palatino" w:eastAsia="Times New Roman" w:cs="Times New Roman"/>
          <w:strike/>
          <w:color w:val="EE0000"/>
          <w:szCs w:val="20"/>
          <w:highlight w:val="yellow"/>
        </w:rPr>
        <w:t>utility structures</w:t>
      </w:r>
      <w:r w:rsidRPr="00E83798">
        <w:rPr>
          <w:rFonts w:ascii="Palatino" w:hAnsi="Palatino" w:eastAsia="Times New Roman" w:cs="Times New Roman"/>
          <w:i/>
          <w:iCs/>
          <w:color w:val="0915FF"/>
          <w:szCs w:val="20"/>
        </w:rPr>
        <w:t>.</w:t>
      </w:r>
    </w:p>
    <w:bookmarkEnd w:id="56"/>
    <w:p w:rsidRPr="00E83798" w:rsidR="003269DE" w:rsidP="003269DE" w:rsidRDefault="003269DE" w14:paraId="459FA01C" w14:textId="77777777">
      <w:pPr>
        <w:spacing w:after="120" w:line="240" w:lineRule="auto"/>
        <w:ind w:left="1080" w:hanging="540"/>
        <w:rPr>
          <w:rFonts w:ascii="Palatino" w:hAnsi="Palatino" w:eastAsia="Times New Roman" w:cs="Times New Roman"/>
          <w:szCs w:val="20"/>
        </w:rPr>
      </w:pPr>
      <w:r w:rsidRPr="00E83798">
        <w:rPr>
          <w:rFonts w:ascii="Palatino" w:hAnsi="Palatino" w:eastAsia="Times New Roman" w:cs="Times New Roman"/>
          <w:strike/>
          <w:color w:val="FF0000"/>
          <w:szCs w:val="20"/>
        </w:rPr>
        <w:t>B.</w:t>
      </w:r>
      <w:r w:rsidRPr="00E83798">
        <w:rPr>
          <w:rFonts w:ascii="Palatino" w:hAnsi="Palatino" w:eastAsia="Times New Roman" w:cs="Times New Roman"/>
          <w:i/>
          <w:iCs/>
          <w:color w:val="0915FF"/>
          <w:szCs w:val="20"/>
        </w:rPr>
        <w:t>C.</w:t>
      </w:r>
      <w:r w:rsidRPr="00E83798">
        <w:rPr>
          <w:rFonts w:ascii="Palatino" w:hAnsi="Palatino" w:eastAsia="Times New Roman" w:cs="Times New Roman"/>
          <w:szCs w:val="20"/>
        </w:rPr>
        <w:tab/>
        <w:t xml:space="preserve">“Attachment” means any attachment </w:t>
      </w:r>
      <w:r w:rsidRPr="00E83798">
        <w:rPr>
          <w:rFonts w:ascii="Palatino" w:hAnsi="Palatino" w:eastAsia="Times New Roman" w:cs="Times New Roman"/>
          <w:i/>
          <w:iCs/>
          <w:color w:val="0915FF"/>
          <w:szCs w:val="20"/>
        </w:rPr>
        <w:t>to surplus space, or use of excess capacity,</w:t>
      </w:r>
      <w:r w:rsidRPr="00E83798">
        <w:rPr>
          <w:rFonts w:ascii="Palatino" w:hAnsi="Palatino" w:eastAsia="Times New Roman" w:cs="Times New Roman"/>
          <w:szCs w:val="20"/>
        </w:rPr>
        <w:t xml:space="preserve"> </w:t>
      </w:r>
      <w:r w:rsidRPr="00E83798">
        <w:rPr>
          <w:rFonts w:ascii="Palatino" w:hAnsi="Palatino" w:eastAsia="Times New Roman" w:cs="Times New Roman"/>
          <w:i/>
          <w:iCs/>
          <w:color w:val="0915FF"/>
          <w:szCs w:val="20"/>
        </w:rPr>
        <w:t>by an attacher</w:t>
      </w:r>
      <w:r w:rsidRPr="00E83798">
        <w:t xml:space="preserve"> </w:t>
      </w:r>
      <w:r w:rsidRPr="00E83798">
        <w:rPr>
          <w:rFonts w:ascii="Palatino" w:hAnsi="Palatino" w:eastAsia="Times New Roman" w:cs="Times New Roman"/>
          <w:i/>
          <w:iCs/>
          <w:color w:val="0915FF"/>
          <w:szCs w:val="20"/>
        </w:rPr>
        <w:t>on or in any support structure owned, controlled, or used by a public utility.</w:t>
      </w:r>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by a cable television system or provider of telecommunications service to a pole owned or controlled by a utility.</w:t>
      </w:r>
    </w:p>
    <w:p w:rsidR="000A04F7" w:rsidP="00ED36CC" w:rsidRDefault="00F84033" w14:paraId="7303A07D" w14:textId="6D96E2C9">
      <w:pPr>
        <w:pStyle w:val="Standard"/>
      </w:pPr>
      <w:r>
        <w:t>Third,</w:t>
      </w:r>
      <w:r w:rsidR="000C2ACA">
        <w:t xml:space="preserve"> we amend </w:t>
      </w:r>
      <w:r w:rsidR="00384A2A">
        <w:t>Section</w:t>
      </w:r>
      <w:r w:rsidR="00187D3E">
        <w:t> </w:t>
      </w:r>
      <w:r w:rsidR="000C2ACA">
        <w:t>VI.</w:t>
      </w:r>
      <w:r w:rsidR="00A44E0D">
        <w:t xml:space="preserve"> (PRICING AND TARIFFS GOVERNING ACCESS)</w:t>
      </w:r>
      <w:r w:rsidR="00810185">
        <w:t xml:space="preserve"> A. (GENERAL PRINCIPLE OF NONDISCRIMINATION</w:t>
      </w:r>
      <w:r>
        <w:t>)</w:t>
      </w:r>
      <w:r w:rsidR="00A44E0D">
        <w:t xml:space="preserve"> </w:t>
      </w:r>
      <w:r w:rsidR="00384A2A">
        <w:t>of Proposed GO</w:t>
      </w:r>
      <w:r w:rsidR="00300635">
        <w:t> </w:t>
      </w:r>
      <w:r w:rsidR="00384A2A">
        <w:t xml:space="preserve">178 </w:t>
      </w:r>
      <w:r w:rsidR="00A44E0D">
        <w:t>as follows</w:t>
      </w:r>
      <w:r w:rsidR="00384A2A">
        <w:t>, and as reflected in Attachment</w:t>
      </w:r>
      <w:r w:rsidR="00300635">
        <w:t> </w:t>
      </w:r>
      <w:r w:rsidR="00384A2A">
        <w:t>A to this decision</w:t>
      </w:r>
      <w:r w:rsidR="00A44E0D">
        <w:t>:</w:t>
      </w:r>
    </w:p>
    <w:p w:rsidRPr="00E83798" w:rsidR="00DA134B" w:rsidP="00DA134B" w:rsidRDefault="00DA134B" w14:paraId="6625A093" w14:textId="42E37D0A">
      <w:pPr>
        <w:tabs>
          <w:tab w:val="left" w:pos="1080"/>
        </w:tabs>
        <w:spacing w:after="120" w:line="240" w:lineRule="auto"/>
        <w:ind w:left="1080" w:hanging="360"/>
        <w:rPr>
          <w:rFonts w:ascii="Palatino" w:hAnsi="Palatino" w:eastAsia="Times New Roman" w:cs="Times New Roman"/>
          <w:szCs w:val="20"/>
        </w:rPr>
      </w:pPr>
      <w:r w:rsidRPr="00E83798">
        <w:rPr>
          <w:rFonts w:ascii="Palatino" w:hAnsi="Palatino" w:eastAsia="Times New Roman" w:cs="Times New Roman"/>
          <w:szCs w:val="20"/>
        </w:rPr>
        <w:t xml:space="preserve">1. </w:t>
      </w:r>
      <w:r w:rsidRPr="00E83798">
        <w:rPr>
          <w:rFonts w:ascii="Palatino" w:hAnsi="Palatino" w:eastAsia="Times New Roman" w:cs="Times New Roman"/>
          <w:szCs w:val="20"/>
        </w:rPr>
        <w:tab/>
        <w:t>A utility shall grant access to its rights</w:t>
      </w:r>
      <w:r w:rsidR="00E4753D">
        <w:rPr>
          <w:rFonts w:ascii="Palatino" w:hAnsi="Palatino" w:eastAsia="Times New Roman" w:cs="Times New Roman"/>
          <w:szCs w:val="20"/>
        </w:rPr>
        <w:noBreakHyphen/>
      </w:r>
      <w:r w:rsidRPr="00E83798">
        <w:rPr>
          <w:rFonts w:ascii="Palatino" w:hAnsi="Palatino" w:eastAsia="Times New Roman" w:cs="Times New Roman"/>
          <w:szCs w:val="20"/>
        </w:rPr>
        <w:t>of</w:t>
      </w:r>
      <w:r w:rsidR="00E4753D">
        <w:rPr>
          <w:rFonts w:ascii="Palatino" w:hAnsi="Palatino" w:eastAsia="Times New Roman" w:cs="Times New Roman"/>
          <w:szCs w:val="20"/>
        </w:rPr>
        <w:noBreakHyphen/>
      </w:r>
      <w:r w:rsidRPr="00E83798">
        <w:rPr>
          <w:rFonts w:ascii="Palatino" w:hAnsi="Palatino" w:eastAsia="Times New Roman" w:cs="Times New Roman"/>
          <w:szCs w:val="20"/>
        </w:rPr>
        <w:t>way and support structures to</w:t>
      </w:r>
      <w:r w:rsidRPr="00E83798">
        <w:rPr>
          <w:rFonts w:ascii="Palatino" w:hAnsi="Palatino" w:eastAsia="Times New Roman" w:cs="Times New Roman"/>
          <w:i/>
          <w:iCs/>
          <w:color w:val="0915FF"/>
          <w:szCs w:val="20"/>
        </w:rPr>
        <w:t xml:space="preserve"> attachers</w:t>
      </w:r>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 xml:space="preserve">telecommunications carriers, CMRS carriers, and cable TV companies </w:t>
      </w:r>
      <w:r w:rsidRPr="00E83798">
        <w:rPr>
          <w:rFonts w:ascii="Palatino" w:hAnsi="Palatino" w:eastAsia="Times New Roman" w:cs="Times New Roman"/>
          <w:szCs w:val="20"/>
        </w:rPr>
        <w:t>on a nondiscriminatory basis.  Nondiscriminatory access is access on a first</w:t>
      </w:r>
      <w:r w:rsidR="00E4753D">
        <w:rPr>
          <w:rFonts w:ascii="Palatino" w:hAnsi="Palatino" w:eastAsia="Times New Roman" w:cs="Times New Roman"/>
          <w:szCs w:val="20"/>
        </w:rPr>
        <w:noBreakHyphen/>
      </w:r>
      <w:r w:rsidRPr="00E83798">
        <w:rPr>
          <w:rFonts w:ascii="Palatino" w:hAnsi="Palatino" w:eastAsia="Times New Roman" w:cs="Times New Roman"/>
          <w:szCs w:val="20"/>
        </w:rPr>
        <w:t>come, first</w:t>
      </w:r>
      <w:r w:rsidR="00E4753D">
        <w:rPr>
          <w:rFonts w:ascii="Palatino" w:hAnsi="Palatino" w:eastAsia="Times New Roman" w:cs="Times New Roman"/>
          <w:szCs w:val="20"/>
        </w:rPr>
        <w:noBreakHyphen/>
      </w:r>
      <w:r w:rsidRPr="00E83798">
        <w:rPr>
          <w:rFonts w:ascii="Palatino" w:hAnsi="Palatino" w:eastAsia="Times New Roman" w:cs="Times New Roman"/>
          <w:szCs w:val="20"/>
        </w:rPr>
        <w:t>served basis; access that can be restricted only on consistently applied nondiscriminatory principles relating to capacity constraints, and safety, engineering, and reliability requirements.  Electric utilities’ use of its own facilities for internal communications in support of its utility function shall not be considered to establish a comparison for nondiscriminatory access.  A utility shall have the ability to negotiate with a</w:t>
      </w:r>
      <w:r w:rsidRPr="00E83798">
        <w:rPr>
          <w:rFonts w:ascii="Palatino" w:hAnsi="Palatino" w:eastAsia="Times New Roman" w:cs="Times New Roman"/>
          <w:i/>
          <w:iCs/>
          <w:color w:val="0915FF"/>
          <w:szCs w:val="20"/>
        </w:rPr>
        <w:t>n attacher</w:t>
      </w:r>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telecommunications carrier, CMRS carrier, or cable TV company</w:t>
      </w:r>
      <w:r w:rsidRPr="00E83798">
        <w:rPr>
          <w:rFonts w:ascii="Palatino" w:hAnsi="Palatino" w:eastAsia="Times New Roman" w:cs="Times New Roman"/>
          <w:color w:val="FF0000"/>
          <w:szCs w:val="20"/>
        </w:rPr>
        <w:t xml:space="preserve"> </w:t>
      </w:r>
      <w:r w:rsidRPr="00E83798">
        <w:rPr>
          <w:rFonts w:ascii="Palatino" w:hAnsi="Palatino" w:eastAsia="Times New Roman" w:cs="Times New Roman"/>
          <w:szCs w:val="20"/>
        </w:rPr>
        <w:t>the price for access to its rights</w:t>
      </w:r>
      <w:r w:rsidR="00E4753D">
        <w:rPr>
          <w:rFonts w:ascii="Palatino" w:hAnsi="Palatino" w:eastAsia="Times New Roman" w:cs="Times New Roman"/>
          <w:szCs w:val="20"/>
        </w:rPr>
        <w:noBreakHyphen/>
      </w:r>
      <w:r w:rsidRPr="00E83798">
        <w:rPr>
          <w:rFonts w:ascii="Palatino" w:hAnsi="Palatino" w:eastAsia="Times New Roman" w:cs="Times New Roman"/>
          <w:szCs w:val="20"/>
        </w:rPr>
        <w:t>of</w:t>
      </w:r>
      <w:r w:rsidR="00E4753D">
        <w:rPr>
          <w:rFonts w:ascii="Palatino" w:hAnsi="Palatino" w:eastAsia="Times New Roman" w:cs="Times New Roman"/>
          <w:szCs w:val="20"/>
        </w:rPr>
        <w:noBreakHyphen/>
      </w:r>
      <w:r w:rsidRPr="00E83798">
        <w:rPr>
          <w:rFonts w:ascii="Palatino" w:hAnsi="Palatino" w:eastAsia="Times New Roman" w:cs="Times New Roman"/>
          <w:szCs w:val="20"/>
        </w:rPr>
        <w:t>way and support structures.</w:t>
      </w:r>
    </w:p>
    <w:p w:rsidRPr="00E83798" w:rsidR="00DA134B" w:rsidP="00DA134B" w:rsidRDefault="00DA134B" w14:paraId="4C8E189E" w14:textId="3252105F">
      <w:pPr>
        <w:tabs>
          <w:tab w:val="left" w:pos="1080"/>
        </w:tabs>
        <w:spacing w:after="120" w:line="240" w:lineRule="auto"/>
        <w:ind w:left="1080" w:hanging="360"/>
        <w:rPr>
          <w:rFonts w:ascii="Palatino" w:hAnsi="Palatino" w:eastAsia="Times New Roman" w:cs="Times New Roman"/>
          <w:strike/>
          <w:color w:val="FF0000"/>
          <w:szCs w:val="20"/>
        </w:rPr>
      </w:pPr>
      <w:r w:rsidRPr="00E83798">
        <w:rPr>
          <w:rFonts w:ascii="Palatino" w:hAnsi="Palatino" w:eastAsia="Times New Roman" w:cs="Times New Roman"/>
          <w:szCs w:val="20"/>
        </w:rPr>
        <w:t xml:space="preserve">2. </w:t>
      </w:r>
      <w:r w:rsidRPr="00E83798">
        <w:rPr>
          <w:rFonts w:ascii="Palatino" w:hAnsi="Palatino" w:eastAsia="Times New Roman" w:cs="Times New Roman"/>
          <w:szCs w:val="20"/>
        </w:rPr>
        <w:tab/>
        <w:t>A utility shall grant access to its rights</w:t>
      </w:r>
      <w:r w:rsidR="00E4753D">
        <w:rPr>
          <w:rFonts w:ascii="Palatino" w:hAnsi="Palatino" w:eastAsia="Times New Roman" w:cs="Times New Roman"/>
          <w:szCs w:val="20"/>
        </w:rPr>
        <w:noBreakHyphen/>
      </w:r>
      <w:r w:rsidRPr="00E83798">
        <w:rPr>
          <w:rFonts w:ascii="Palatino" w:hAnsi="Palatino" w:eastAsia="Times New Roman" w:cs="Times New Roman"/>
          <w:szCs w:val="20"/>
        </w:rPr>
        <w:t>of</w:t>
      </w:r>
      <w:r w:rsidR="00E4753D">
        <w:rPr>
          <w:rFonts w:ascii="Palatino" w:hAnsi="Palatino" w:eastAsia="Times New Roman" w:cs="Times New Roman"/>
          <w:szCs w:val="20"/>
        </w:rPr>
        <w:noBreakHyphen/>
      </w:r>
      <w:r w:rsidRPr="00E83798">
        <w:rPr>
          <w:rFonts w:ascii="Palatino" w:hAnsi="Palatino" w:eastAsia="Times New Roman" w:cs="Times New Roman"/>
          <w:szCs w:val="20"/>
        </w:rPr>
        <w:t xml:space="preserve">way and support structures to </w:t>
      </w:r>
      <w:r w:rsidRPr="00E83798">
        <w:rPr>
          <w:rFonts w:ascii="Palatino" w:hAnsi="Palatino" w:eastAsia="Times New Roman" w:cs="Times New Roman"/>
          <w:i/>
          <w:iCs/>
          <w:color w:val="0915FF"/>
          <w:szCs w:val="20"/>
        </w:rPr>
        <w:t>attachers</w:t>
      </w:r>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telecommunications carriers, CMRS carriers, and cable TV companies</w:t>
      </w:r>
      <w:r w:rsidRPr="00E83798">
        <w:rPr>
          <w:rFonts w:ascii="Palatino" w:hAnsi="Palatino" w:eastAsia="Times New Roman" w:cs="Times New Roman"/>
          <w:szCs w:val="20"/>
        </w:rPr>
        <w:t xml:space="preserve"> on a nondiscriminatory basis, </w:t>
      </w:r>
      <w:r w:rsidRPr="00E83798">
        <w:rPr>
          <w:rFonts w:ascii="Palatino" w:hAnsi="Palatino" w:eastAsia="Times New Roman" w:cs="Times New Roman"/>
          <w:strike/>
          <w:color w:val="FF0000"/>
          <w:szCs w:val="20"/>
        </w:rPr>
        <w:t>access to or use of the right</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of</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way,</w:t>
      </w:r>
      <w:r w:rsidRPr="00E83798">
        <w:rPr>
          <w:rFonts w:ascii="Palatino" w:hAnsi="Palatino" w:eastAsia="Times New Roman" w:cs="Times New Roman"/>
          <w:szCs w:val="20"/>
        </w:rPr>
        <w:t xml:space="preserve"> where such right</w:t>
      </w:r>
      <w:r w:rsidR="00E4753D">
        <w:rPr>
          <w:rFonts w:ascii="Palatino" w:hAnsi="Palatino" w:eastAsia="Times New Roman" w:cs="Times New Roman"/>
          <w:szCs w:val="20"/>
        </w:rPr>
        <w:noBreakHyphen/>
      </w:r>
      <w:r w:rsidRPr="00E83798">
        <w:rPr>
          <w:rFonts w:ascii="Palatino" w:hAnsi="Palatino" w:eastAsia="Times New Roman" w:cs="Times New Roman"/>
          <w:szCs w:val="20"/>
        </w:rPr>
        <w:t>of</w:t>
      </w:r>
      <w:r w:rsidR="00E4753D">
        <w:rPr>
          <w:rFonts w:ascii="Palatino" w:hAnsi="Palatino" w:eastAsia="Times New Roman" w:cs="Times New Roman"/>
          <w:szCs w:val="20"/>
        </w:rPr>
        <w:noBreakHyphen/>
      </w:r>
      <w:r w:rsidRPr="00E83798">
        <w:rPr>
          <w:rFonts w:ascii="Palatino" w:hAnsi="Palatino" w:eastAsia="Times New Roman" w:cs="Times New Roman"/>
          <w:szCs w:val="20"/>
        </w:rPr>
        <w:t xml:space="preserve">way is located on private property </w:t>
      </w:r>
      <w:r w:rsidRPr="00E83798">
        <w:rPr>
          <w:rFonts w:ascii="Palatino" w:hAnsi="Palatino" w:eastAsia="Times New Roman" w:cs="Times New Roman"/>
          <w:i/>
          <w:iCs/>
          <w:color w:val="0915FF"/>
          <w:szCs w:val="20"/>
        </w:rPr>
        <w:t>and the proposed attachment complies with all relevant</w:t>
      </w:r>
      <w:r w:rsidRPr="00E83798">
        <w:rPr>
          <w:rFonts w:ascii="Palatino" w:hAnsi="Palatino" w:eastAsia="Times New Roman" w:cs="Times New Roman"/>
          <w:szCs w:val="20"/>
        </w:rPr>
        <w:t xml:space="preserve"> safety, engineering, </w:t>
      </w:r>
      <w:r w:rsidRPr="00E83798">
        <w:rPr>
          <w:rFonts w:ascii="Palatino" w:hAnsi="Palatino" w:eastAsia="Times New Roman" w:cs="Times New Roman"/>
          <w:szCs w:val="20"/>
        </w:rPr>
        <w:lastRenderedPageBreak/>
        <w:t xml:space="preserve">and reliability requirements.  </w:t>
      </w:r>
      <w:r w:rsidRPr="00E83798">
        <w:rPr>
          <w:rFonts w:ascii="Palatino" w:hAnsi="Palatino" w:eastAsia="Times New Roman" w:cs="Times New Roman"/>
          <w:strike/>
          <w:color w:val="FF0000"/>
          <w:szCs w:val="20"/>
        </w:rPr>
        <w:t>Electric utilities’ use of their own facilities for internal communications in support of their utility function shall not be considered to establish a comparison for nondiscriminatory access.  A utility shall have the ability to negotiate with a telecommunications carrier, CMRS carrier, or cable TV company the price for access to its rights</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of</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way and support structures.</w:t>
      </w:r>
    </w:p>
    <w:p w:rsidR="00DA134B" w:rsidP="00DA134B" w:rsidRDefault="00DA134B" w14:paraId="025350DA" w14:textId="3B57901A">
      <w:pPr>
        <w:tabs>
          <w:tab w:val="left" w:pos="1080"/>
        </w:tabs>
        <w:spacing w:after="120" w:line="240" w:lineRule="auto"/>
        <w:ind w:left="1080" w:hanging="360"/>
        <w:rPr>
          <w:rFonts w:ascii="Palatino" w:hAnsi="Palatino" w:eastAsia="Times New Roman" w:cs="Times New Roman"/>
          <w:i/>
          <w:iCs/>
          <w:color w:val="0915FF"/>
          <w:szCs w:val="20"/>
        </w:rPr>
      </w:pPr>
      <w:r w:rsidRPr="00E83798">
        <w:rPr>
          <w:rFonts w:ascii="Palatino" w:hAnsi="Palatino" w:eastAsia="Times New Roman" w:cs="Times New Roman"/>
          <w:i/>
          <w:iCs/>
          <w:color w:val="0915FF"/>
          <w:szCs w:val="20"/>
        </w:rPr>
        <w:t>3.</w:t>
      </w:r>
      <w:r w:rsidRPr="00E83798">
        <w:rPr>
          <w:rFonts w:ascii="Palatino" w:hAnsi="Palatino" w:eastAsia="Times New Roman" w:cs="Times New Roman"/>
          <w:i/>
          <w:iCs/>
          <w:color w:val="0915FF"/>
          <w:szCs w:val="20"/>
        </w:rPr>
        <w:tab/>
        <w:t xml:space="preserve">Nondiscriminatory access </w:t>
      </w:r>
      <w:r w:rsidRPr="008A620F">
        <w:rPr>
          <w:rFonts w:ascii="Palatino" w:hAnsi="Palatino" w:eastAsia="Times New Roman" w:cs="Times New Roman"/>
          <w:i/>
          <w:iCs/>
          <w:color w:val="0915FF"/>
          <w:szCs w:val="20"/>
          <w:highlight w:val="yellow"/>
        </w:rPr>
        <w:t>to utility rights of way and support structures</w:t>
      </w:r>
      <w:r>
        <w:rPr>
          <w:rFonts w:ascii="Palatino" w:hAnsi="Palatino" w:eastAsia="Times New Roman" w:cs="Times New Roman"/>
          <w:i/>
          <w:iCs/>
          <w:color w:val="0915FF"/>
          <w:szCs w:val="20"/>
        </w:rPr>
        <w:t xml:space="preserve"> </w:t>
      </w:r>
      <w:r w:rsidRPr="00E83798">
        <w:rPr>
          <w:rFonts w:ascii="Palatino" w:hAnsi="Palatino" w:eastAsia="Times New Roman" w:cs="Times New Roman"/>
          <w:i/>
          <w:iCs/>
          <w:color w:val="0915FF"/>
          <w:szCs w:val="20"/>
        </w:rPr>
        <w:t xml:space="preserve">shall be granted to attachers with appropriate authority </w:t>
      </w:r>
      <w:r w:rsidRPr="004828C1">
        <w:rPr>
          <w:rFonts w:ascii="Palatino" w:hAnsi="Palatino" w:eastAsia="Times New Roman" w:cs="Times New Roman"/>
          <w:i/>
          <w:iCs/>
          <w:color w:val="0915FF"/>
          <w:szCs w:val="20"/>
          <w:highlight w:val="yellow"/>
        </w:rPr>
        <w:t xml:space="preserve">to provide </w:t>
      </w:r>
      <w:r>
        <w:rPr>
          <w:rFonts w:ascii="Palatino" w:hAnsi="Palatino" w:eastAsia="Times New Roman" w:cs="Times New Roman"/>
          <w:i/>
          <w:iCs/>
          <w:color w:val="0915FF"/>
          <w:szCs w:val="20"/>
          <w:highlight w:val="yellow"/>
        </w:rPr>
        <w:t>communications</w:t>
      </w:r>
      <w:r w:rsidRPr="004828C1">
        <w:rPr>
          <w:rFonts w:ascii="Palatino" w:hAnsi="Palatino" w:eastAsia="Times New Roman" w:cs="Times New Roman"/>
          <w:i/>
          <w:iCs/>
          <w:color w:val="0915FF"/>
          <w:szCs w:val="20"/>
          <w:highlight w:val="yellow"/>
        </w:rPr>
        <w:t xml:space="preserve"> service</w:t>
      </w:r>
      <w:r w:rsidRPr="00E83798">
        <w:rPr>
          <w:rFonts w:ascii="Palatino" w:hAnsi="Palatino" w:eastAsia="Times New Roman" w:cs="Times New Roman"/>
          <w:i/>
          <w:iCs/>
          <w:color w:val="0915FF"/>
          <w:szCs w:val="20"/>
        </w:rPr>
        <w:t xml:space="preserve"> </w:t>
      </w:r>
      <w:r w:rsidRPr="00407B88">
        <w:rPr>
          <w:rFonts w:ascii="Palatino" w:hAnsi="Palatino" w:eastAsia="Times New Roman" w:cs="Times New Roman"/>
          <w:i/>
          <w:iCs/>
          <w:strike/>
          <w:color w:val="EE0000"/>
          <w:szCs w:val="20"/>
          <w:highlight w:val="yellow"/>
        </w:rPr>
        <w:t>access rights</w:t>
      </w:r>
      <w:r w:rsidR="00E4753D">
        <w:rPr>
          <w:rFonts w:ascii="Palatino" w:hAnsi="Palatino" w:eastAsia="Times New Roman" w:cs="Times New Roman"/>
          <w:i/>
          <w:iCs/>
          <w:strike/>
          <w:color w:val="EE0000"/>
          <w:szCs w:val="20"/>
          <w:highlight w:val="yellow"/>
        </w:rPr>
        <w:noBreakHyphen/>
      </w:r>
      <w:r w:rsidRPr="00407B88">
        <w:rPr>
          <w:rFonts w:ascii="Palatino" w:hAnsi="Palatino" w:eastAsia="Times New Roman" w:cs="Times New Roman"/>
          <w:i/>
          <w:iCs/>
          <w:strike/>
          <w:color w:val="EE0000"/>
          <w:szCs w:val="20"/>
          <w:highlight w:val="yellow"/>
        </w:rPr>
        <w:t>of</w:t>
      </w:r>
      <w:r w:rsidR="00E4753D">
        <w:rPr>
          <w:rFonts w:ascii="Palatino" w:hAnsi="Palatino" w:eastAsia="Times New Roman" w:cs="Times New Roman"/>
          <w:i/>
          <w:iCs/>
          <w:strike/>
          <w:color w:val="EE0000"/>
          <w:szCs w:val="20"/>
          <w:highlight w:val="yellow"/>
        </w:rPr>
        <w:noBreakHyphen/>
      </w:r>
      <w:r w:rsidRPr="00407B88">
        <w:rPr>
          <w:rFonts w:ascii="Palatino" w:hAnsi="Palatino" w:eastAsia="Times New Roman" w:cs="Times New Roman"/>
          <w:i/>
          <w:iCs/>
          <w:strike/>
          <w:color w:val="EE0000"/>
          <w:szCs w:val="20"/>
          <w:highlight w:val="yellow"/>
        </w:rPr>
        <w:t>way and support structures</w:t>
      </w:r>
      <w:r w:rsidRPr="00407B88">
        <w:rPr>
          <w:rFonts w:ascii="Palatino" w:hAnsi="Palatino" w:eastAsia="Times New Roman" w:cs="Times New Roman"/>
          <w:i/>
          <w:iCs/>
          <w:color w:val="EE0000"/>
          <w:szCs w:val="20"/>
        </w:rPr>
        <w:t xml:space="preserve"> </w:t>
      </w:r>
      <w:r w:rsidRPr="00E83798">
        <w:rPr>
          <w:rFonts w:ascii="Palatino" w:hAnsi="Palatino" w:eastAsia="Times New Roman" w:cs="Times New Roman"/>
          <w:i/>
          <w:iCs/>
          <w:color w:val="0915FF"/>
          <w:szCs w:val="20"/>
        </w:rPr>
        <w:t>regardless of whether the attacher’s authority is granted by the commission, state law, or federal law.</w:t>
      </w:r>
      <w:r w:rsidR="0067382E">
        <w:rPr>
          <w:rFonts w:ascii="Palatino" w:hAnsi="Palatino" w:eastAsia="Times New Roman" w:cs="Times New Roman"/>
          <w:i/>
          <w:iCs/>
          <w:color w:val="0915FF"/>
          <w:szCs w:val="20"/>
        </w:rPr>
        <w:t xml:space="preserve"> </w:t>
      </w:r>
    </w:p>
    <w:p w:rsidR="000434CD" w:rsidP="00F93247" w:rsidRDefault="003B0A06" w14:paraId="22C317A7" w14:textId="4E046CEF">
      <w:pPr>
        <w:tabs>
          <w:tab w:val="left" w:pos="1080"/>
        </w:tabs>
        <w:spacing w:after="120" w:line="240" w:lineRule="auto"/>
        <w:ind w:left="1080" w:hanging="360"/>
        <w:rPr>
          <w:rFonts w:ascii="Palatino" w:hAnsi="Palatino" w:eastAsia="Times New Roman" w:cs="Times New Roman"/>
          <w:i/>
          <w:iCs/>
          <w:color w:val="0915FF"/>
          <w:szCs w:val="20"/>
        </w:rPr>
      </w:pPr>
      <w:r>
        <w:rPr>
          <w:rFonts w:ascii="Palatino" w:hAnsi="Palatino" w:eastAsia="Times New Roman" w:cs="Times New Roman"/>
          <w:i/>
          <w:iCs/>
          <w:color w:val="0915FF"/>
          <w:szCs w:val="20"/>
        </w:rPr>
        <w:tab/>
      </w:r>
      <w:r w:rsidRPr="004B0D19">
        <w:rPr>
          <w:rFonts w:ascii="Palatino" w:hAnsi="Palatino" w:eastAsia="Times New Roman" w:cs="Times New Roman"/>
          <w:i/>
          <w:iCs/>
          <w:color w:val="0915FF"/>
          <w:szCs w:val="20"/>
          <w:highlight w:val="yellow"/>
        </w:rPr>
        <w:t>a.</w:t>
      </w:r>
      <w:r w:rsidRPr="004B0D19">
        <w:rPr>
          <w:rFonts w:ascii="Palatino" w:hAnsi="Palatino" w:eastAsia="Times New Roman" w:cs="Times New Roman"/>
          <w:i/>
          <w:iCs/>
          <w:color w:val="0915FF"/>
          <w:szCs w:val="20"/>
          <w:highlight w:val="yellow"/>
        </w:rPr>
        <w:tab/>
      </w:r>
      <w:r>
        <w:rPr>
          <w:rFonts w:ascii="Palatino" w:hAnsi="Palatino" w:eastAsia="Times New Roman" w:cs="Times New Roman"/>
          <w:i/>
          <w:iCs/>
          <w:color w:val="0915FF"/>
          <w:szCs w:val="20"/>
          <w:highlight w:val="yellow"/>
        </w:rPr>
        <w:t>In</w:t>
      </w:r>
      <w:r w:rsidRPr="004B0D19">
        <w:rPr>
          <w:rFonts w:ascii="Palatino" w:hAnsi="Palatino" w:eastAsia="Times New Roman" w:cs="Times New Roman"/>
          <w:i/>
          <w:iCs/>
          <w:color w:val="0915FF"/>
          <w:szCs w:val="20"/>
          <w:highlight w:val="yellow"/>
        </w:rPr>
        <w:t>cumbent utilit</w:t>
      </w:r>
      <w:r>
        <w:rPr>
          <w:rFonts w:ascii="Palatino" w:hAnsi="Palatino" w:eastAsia="Times New Roman" w:cs="Times New Roman"/>
          <w:i/>
          <w:iCs/>
          <w:color w:val="0915FF"/>
          <w:szCs w:val="20"/>
          <w:highlight w:val="yellow"/>
        </w:rPr>
        <w:t>ies</w:t>
      </w:r>
      <w:r w:rsidRPr="004B0D19">
        <w:rPr>
          <w:rFonts w:ascii="Palatino" w:hAnsi="Palatino" w:eastAsia="Times New Roman" w:cs="Times New Roman"/>
          <w:i/>
          <w:iCs/>
          <w:color w:val="0915FF"/>
          <w:szCs w:val="20"/>
          <w:highlight w:val="yellow"/>
        </w:rPr>
        <w:t xml:space="preserve"> shall</w:t>
      </w:r>
      <w:r>
        <w:rPr>
          <w:rFonts w:ascii="Palatino" w:hAnsi="Palatino" w:eastAsia="Times New Roman" w:cs="Times New Roman"/>
          <w:i/>
          <w:iCs/>
          <w:color w:val="0915FF"/>
          <w:szCs w:val="20"/>
          <w:highlight w:val="yellow"/>
        </w:rPr>
        <w:t xml:space="preserve"> provide access to government agency </w:t>
      </w:r>
      <w:r w:rsidRPr="00DF273E">
        <w:rPr>
          <w:rFonts w:ascii="Palatino" w:hAnsi="Palatino" w:eastAsia="Times New Roman" w:cs="Times New Roman"/>
          <w:i/>
          <w:iCs/>
          <w:color w:val="0915FF"/>
          <w:szCs w:val="20"/>
          <w:highlight w:val="yellow"/>
        </w:rPr>
        <w:t xml:space="preserve">attachers without CPCNs </w:t>
      </w:r>
      <w:r>
        <w:rPr>
          <w:rFonts w:ascii="Palatino" w:hAnsi="Palatino" w:eastAsia="Times New Roman" w:cs="Times New Roman"/>
          <w:i/>
          <w:iCs/>
          <w:color w:val="0915FF"/>
          <w:szCs w:val="20"/>
          <w:highlight w:val="yellow"/>
        </w:rPr>
        <w:t xml:space="preserve">on the condition </w:t>
      </w:r>
      <w:r w:rsidRPr="00DF273E">
        <w:rPr>
          <w:rFonts w:ascii="Palatino" w:hAnsi="Palatino" w:eastAsia="Times New Roman" w:cs="Times New Roman"/>
          <w:i/>
          <w:iCs/>
          <w:color w:val="0915FF"/>
          <w:szCs w:val="20"/>
          <w:highlight w:val="yellow"/>
        </w:rPr>
        <w:t>that</w:t>
      </w:r>
      <w:r>
        <w:rPr>
          <w:rFonts w:ascii="Palatino" w:hAnsi="Palatino" w:eastAsia="Times New Roman" w:cs="Times New Roman"/>
          <w:i/>
          <w:iCs/>
          <w:color w:val="0915FF"/>
          <w:szCs w:val="20"/>
          <w:highlight w:val="yellow"/>
        </w:rPr>
        <w:t xml:space="preserve"> the government agency attacher </w:t>
      </w:r>
      <w:r w:rsidRPr="001A7BD1" w:rsidR="000434CD">
        <w:rPr>
          <w:rFonts w:ascii="Palatino" w:hAnsi="Palatino" w:eastAsia="Times New Roman" w:cs="Times New Roman"/>
          <w:i/>
          <w:iCs/>
          <w:strike/>
          <w:color w:val="EE0000"/>
          <w:szCs w:val="20"/>
          <w:highlight w:val="green"/>
        </w:rPr>
        <w:t>makes a binding commitment to comply with the Commission’s General Order 95, General Order 128, and the requirements of this General Order.</w:t>
      </w:r>
      <w:r w:rsidRPr="001A7BD1" w:rsidR="000434CD">
        <w:rPr>
          <w:rFonts w:ascii="Palatino" w:hAnsi="Palatino" w:eastAsia="Times New Roman" w:cs="Times New Roman"/>
          <w:i/>
          <w:iCs/>
          <w:color w:val="0915FF"/>
          <w:szCs w:val="20"/>
          <w:highlight w:val="green"/>
        </w:rPr>
        <w:t xml:space="preserve"> agrees to a contractual license agreement. The agreement shall obligate government attachers to comply with equivalent obligations for attachers imposed by the Commission relevant to the rights of way, attachments, and the requirements of this General Order. It shall also affirm government attachers’ obligation to comply with statutory and regulatory requirements of general applicability in the state including the Commission’s General Order 95 and General Order 128.</w:t>
      </w:r>
    </w:p>
    <w:p w:rsidR="009E1270" w:rsidP="00E61763" w:rsidRDefault="0010232D" w14:paraId="17B767D7" w14:textId="0FD58665">
      <w:pPr>
        <w:tabs>
          <w:tab w:val="left" w:pos="1080"/>
        </w:tabs>
        <w:spacing w:after="120" w:line="240" w:lineRule="auto"/>
        <w:ind w:left="1080" w:firstLine="0"/>
        <w:rPr>
          <w:rFonts w:ascii="Palatino" w:hAnsi="Palatino" w:eastAsia="Times New Roman" w:cs="Times New Roman"/>
          <w:i/>
          <w:iCs/>
          <w:color w:val="0915FF"/>
          <w:szCs w:val="20"/>
        </w:rPr>
      </w:pPr>
      <w:r w:rsidRPr="009A078E">
        <w:rPr>
          <w:rFonts w:ascii="Palatino" w:hAnsi="Palatino" w:eastAsia="Times New Roman" w:cs="Times New Roman"/>
          <w:i/>
          <w:iCs/>
          <w:color w:val="0915FF"/>
          <w:szCs w:val="20"/>
          <w:highlight w:val="yellow"/>
        </w:rPr>
        <w:t xml:space="preserve">b. Government agency attachers receiving access under this section must wholly own and operate all </w:t>
      </w:r>
      <w:r>
        <w:rPr>
          <w:rFonts w:ascii="Palatino" w:hAnsi="Palatino" w:eastAsia="Times New Roman" w:cs="Times New Roman"/>
          <w:i/>
          <w:iCs/>
          <w:color w:val="0915FF"/>
          <w:szCs w:val="20"/>
          <w:highlight w:val="yellow"/>
        </w:rPr>
        <w:t>attachments</w:t>
      </w:r>
      <w:r w:rsidRPr="009A078E">
        <w:rPr>
          <w:rFonts w:ascii="Palatino" w:hAnsi="Palatino" w:eastAsia="Times New Roman" w:cs="Times New Roman"/>
          <w:i/>
          <w:iCs/>
          <w:color w:val="0915FF"/>
          <w:szCs w:val="20"/>
          <w:highlight w:val="yellow"/>
        </w:rPr>
        <w:t xml:space="preserve">. To the extent a private corporation operates or leases </w:t>
      </w:r>
      <w:r>
        <w:rPr>
          <w:rFonts w:ascii="Palatino" w:hAnsi="Palatino" w:eastAsia="Times New Roman" w:cs="Times New Roman"/>
          <w:i/>
          <w:iCs/>
          <w:color w:val="0915FF"/>
          <w:szCs w:val="20"/>
          <w:highlight w:val="yellow"/>
        </w:rPr>
        <w:t xml:space="preserve">any portion of the </w:t>
      </w:r>
      <w:r w:rsidRPr="009A078E">
        <w:rPr>
          <w:rFonts w:ascii="Palatino" w:hAnsi="Palatino" w:eastAsia="Times New Roman" w:cs="Times New Roman"/>
          <w:i/>
          <w:iCs/>
          <w:color w:val="0915FF"/>
          <w:szCs w:val="20"/>
          <w:highlight w:val="yellow"/>
        </w:rPr>
        <w:t xml:space="preserve">government agency communications </w:t>
      </w:r>
      <w:r>
        <w:rPr>
          <w:rFonts w:ascii="Palatino" w:hAnsi="Palatino" w:eastAsia="Times New Roman" w:cs="Times New Roman"/>
          <w:i/>
          <w:iCs/>
          <w:color w:val="0915FF"/>
          <w:szCs w:val="20"/>
          <w:highlight w:val="yellow"/>
        </w:rPr>
        <w:t>attachments</w:t>
      </w:r>
      <w:r w:rsidRPr="009A078E">
        <w:rPr>
          <w:rFonts w:ascii="Palatino" w:hAnsi="Palatino" w:eastAsia="Times New Roman" w:cs="Times New Roman"/>
          <w:i/>
          <w:iCs/>
          <w:color w:val="0915FF"/>
          <w:szCs w:val="20"/>
          <w:highlight w:val="yellow"/>
        </w:rPr>
        <w:t xml:space="preserve">, the entity must </w:t>
      </w:r>
      <w:r>
        <w:rPr>
          <w:rFonts w:ascii="Palatino" w:hAnsi="Palatino" w:eastAsia="Times New Roman" w:cs="Times New Roman"/>
          <w:i/>
          <w:iCs/>
          <w:color w:val="0915FF"/>
          <w:szCs w:val="20"/>
          <w:highlight w:val="yellow"/>
        </w:rPr>
        <w:t>have</w:t>
      </w:r>
      <w:r w:rsidRPr="009A078E">
        <w:rPr>
          <w:rFonts w:ascii="Palatino" w:hAnsi="Palatino" w:eastAsia="Times New Roman" w:cs="Times New Roman"/>
          <w:i/>
          <w:iCs/>
          <w:color w:val="0915FF"/>
          <w:szCs w:val="20"/>
          <w:highlight w:val="yellow"/>
        </w:rPr>
        <w:t xml:space="preserve"> appropriate licens</w:t>
      </w:r>
      <w:r>
        <w:rPr>
          <w:rFonts w:ascii="Palatino" w:hAnsi="Palatino" w:eastAsia="Times New Roman" w:cs="Times New Roman"/>
          <w:i/>
          <w:iCs/>
          <w:color w:val="0915FF"/>
          <w:szCs w:val="20"/>
          <w:highlight w:val="yellow"/>
        </w:rPr>
        <w:t>ure</w:t>
      </w:r>
      <w:r w:rsidRPr="009A078E">
        <w:rPr>
          <w:rFonts w:ascii="Palatino" w:hAnsi="Palatino" w:eastAsia="Times New Roman" w:cs="Times New Roman"/>
          <w:i/>
          <w:iCs/>
          <w:color w:val="0915FF"/>
          <w:szCs w:val="20"/>
          <w:highlight w:val="yellow"/>
        </w:rPr>
        <w:t>.</w:t>
      </w:r>
    </w:p>
    <w:p w:rsidRPr="00954B8E" w:rsidR="00DA134B" w:rsidP="00DA134B" w:rsidRDefault="00DA134B" w14:paraId="39077114" w14:textId="77777777">
      <w:pPr>
        <w:tabs>
          <w:tab w:val="left" w:pos="1080"/>
        </w:tabs>
        <w:spacing w:after="240" w:line="240" w:lineRule="auto"/>
        <w:ind w:left="1080" w:hanging="360"/>
        <w:rPr>
          <w:rFonts w:ascii="Palatino" w:hAnsi="Palatino" w:eastAsia="Times New Roman" w:cs="Times New Roman"/>
          <w:i/>
          <w:iCs/>
          <w:color w:val="0915FF"/>
          <w:szCs w:val="20"/>
          <w:highlight w:val="yellow"/>
        </w:rPr>
      </w:pPr>
      <w:r w:rsidRPr="00BB0F0F">
        <w:rPr>
          <w:rFonts w:ascii="Palatino" w:hAnsi="Palatino" w:eastAsia="Times New Roman" w:cs="Times New Roman"/>
          <w:i/>
          <w:iCs/>
          <w:color w:val="0915FF"/>
          <w:szCs w:val="20"/>
          <w:highlight w:val="yellow"/>
        </w:rPr>
        <w:t xml:space="preserve">4. </w:t>
      </w:r>
      <w:r>
        <w:rPr>
          <w:rFonts w:ascii="Palatino" w:hAnsi="Palatino" w:eastAsia="Times New Roman" w:cs="Times New Roman"/>
          <w:i/>
          <w:iCs/>
          <w:color w:val="0915FF"/>
          <w:szCs w:val="20"/>
          <w:highlight w:val="yellow"/>
        </w:rPr>
        <w:tab/>
      </w:r>
      <w:r w:rsidRPr="00BB0F0F">
        <w:rPr>
          <w:rFonts w:ascii="Palatino" w:hAnsi="Palatino" w:eastAsia="Times New Roman" w:cs="Times New Roman"/>
          <w:i/>
          <w:iCs/>
          <w:color w:val="0915FF"/>
          <w:szCs w:val="20"/>
          <w:highlight w:val="yellow"/>
        </w:rPr>
        <w:t xml:space="preserve">No utility </w:t>
      </w:r>
      <w:r>
        <w:rPr>
          <w:rFonts w:ascii="Palatino" w:hAnsi="Palatino" w:eastAsia="Times New Roman" w:cs="Times New Roman"/>
          <w:i/>
          <w:iCs/>
          <w:color w:val="0915FF"/>
          <w:szCs w:val="20"/>
          <w:highlight w:val="yellow"/>
        </w:rPr>
        <w:t xml:space="preserve">under the Commission’s jurisdiction </w:t>
      </w:r>
      <w:r w:rsidRPr="00BB0F0F">
        <w:rPr>
          <w:rFonts w:ascii="Palatino" w:hAnsi="Palatino" w:eastAsia="Times New Roman" w:cs="Times New Roman"/>
          <w:i/>
          <w:iCs/>
          <w:color w:val="0915FF"/>
          <w:szCs w:val="20"/>
          <w:highlight w:val="yellow"/>
        </w:rPr>
        <w:t xml:space="preserve">shall enter into agreements, contracts, </w:t>
      </w:r>
      <w:r w:rsidRPr="00532F3F">
        <w:rPr>
          <w:rFonts w:ascii="Palatino" w:hAnsi="Palatino" w:eastAsia="Times New Roman" w:cs="Times New Roman"/>
          <w:i/>
          <w:iCs/>
          <w:color w:val="0915FF"/>
          <w:szCs w:val="20"/>
          <w:highlight w:val="yellow"/>
        </w:rPr>
        <w:t>or association</w:t>
      </w:r>
      <w:r>
        <w:rPr>
          <w:rFonts w:ascii="Palatino" w:hAnsi="Palatino" w:eastAsia="Times New Roman" w:cs="Times New Roman"/>
          <w:i/>
          <w:iCs/>
          <w:color w:val="0915FF"/>
          <w:szCs w:val="20"/>
          <w:highlight w:val="yellow"/>
        </w:rPr>
        <w:t>s</w:t>
      </w:r>
      <w:r w:rsidRPr="00532F3F">
        <w:rPr>
          <w:rFonts w:ascii="Palatino" w:hAnsi="Palatino" w:eastAsia="Times New Roman" w:cs="Times New Roman"/>
          <w:i/>
          <w:iCs/>
          <w:color w:val="0915FF"/>
          <w:szCs w:val="20"/>
          <w:highlight w:val="yellow"/>
        </w:rPr>
        <w:t xml:space="preserve"> for </w:t>
      </w:r>
      <w:r>
        <w:rPr>
          <w:rFonts w:ascii="Palatino" w:hAnsi="Palatino" w:eastAsia="Times New Roman" w:cs="Times New Roman"/>
          <w:i/>
          <w:iCs/>
          <w:color w:val="0915FF"/>
          <w:szCs w:val="20"/>
          <w:highlight w:val="yellow"/>
        </w:rPr>
        <w:t xml:space="preserve">the </w:t>
      </w:r>
      <w:r w:rsidRPr="00532F3F">
        <w:rPr>
          <w:rFonts w:ascii="Palatino" w:hAnsi="Palatino" w:eastAsia="Times New Roman" w:cs="Times New Roman"/>
          <w:i/>
          <w:iCs/>
          <w:color w:val="0915FF"/>
          <w:szCs w:val="20"/>
          <w:highlight w:val="yellow"/>
        </w:rPr>
        <w:t>management of rights of way or associated support structures that knowingly or unknowingly violate the</w:t>
      </w:r>
      <w:r>
        <w:rPr>
          <w:rFonts w:ascii="Palatino" w:hAnsi="Palatino" w:eastAsia="Times New Roman" w:cs="Times New Roman"/>
          <w:i/>
          <w:iCs/>
          <w:color w:val="0915FF"/>
          <w:szCs w:val="20"/>
          <w:highlight w:val="yellow"/>
        </w:rPr>
        <w:t xml:space="preserve"> requirements of this </w:t>
      </w:r>
      <w:r w:rsidRPr="00532F3F">
        <w:rPr>
          <w:rFonts w:ascii="Palatino" w:hAnsi="Palatino" w:eastAsia="Times New Roman" w:cs="Times New Roman"/>
          <w:i/>
          <w:iCs/>
          <w:color w:val="0915FF"/>
          <w:szCs w:val="20"/>
          <w:highlight w:val="yellow"/>
        </w:rPr>
        <w:t>General Order.</w:t>
      </w:r>
    </w:p>
    <w:p w:rsidR="00A44E0D" w:rsidP="005A289D" w:rsidRDefault="003F502A" w14:paraId="1307ADE2" w14:textId="6CEEBE30">
      <w:pPr>
        <w:pStyle w:val="Standard"/>
      </w:pPr>
      <w:r>
        <w:t>Fourth,</w:t>
      </w:r>
      <w:r w:rsidR="00B14E27">
        <w:t xml:space="preserve"> we amend </w:t>
      </w:r>
      <w:r w:rsidR="00055028">
        <w:t>Section</w:t>
      </w:r>
      <w:r w:rsidR="00CC58F6">
        <w:t> </w:t>
      </w:r>
      <w:r w:rsidR="0099431F">
        <w:t xml:space="preserve">VI. (PRICING AND TARIFFS GOVERNING ACCESS) B. (MANNER OF PRICING ACCESS) </w:t>
      </w:r>
      <w:r w:rsidR="00055028">
        <w:t>of Proposed GO</w:t>
      </w:r>
      <w:r w:rsidR="007B21A6">
        <w:t> </w:t>
      </w:r>
      <w:r w:rsidR="00055028">
        <w:t xml:space="preserve">178 </w:t>
      </w:r>
      <w:r w:rsidR="0099431F">
        <w:t>as follows</w:t>
      </w:r>
      <w:r w:rsidR="00055028">
        <w:t>, and as reflected in Attachment</w:t>
      </w:r>
      <w:r w:rsidR="007B21A6">
        <w:t> </w:t>
      </w:r>
      <w:r w:rsidR="00055028">
        <w:t>A to this decision</w:t>
      </w:r>
      <w:r w:rsidR="0099431F">
        <w:t>:</w:t>
      </w:r>
    </w:p>
    <w:p w:rsidRPr="00E83798" w:rsidR="00DA0CD5" w:rsidP="00DA0CD5" w:rsidRDefault="00DA0CD5" w14:paraId="0AAE084F" w14:textId="77777777">
      <w:pPr>
        <w:tabs>
          <w:tab w:val="left" w:pos="1080"/>
        </w:tabs>
        <w:spacing w:after="120" w:line="240" w:lineRule="auto"/>
        <w:ind w:left="1080" w:hanging="360"/>
        <w:rPr>
          <w:rFonts w:ascii="Palatino" w:hAnsi="Palatino" w:eastAsia="Times New Roman" w:cs="Times New Roman"/>
          <w:szCs w:val="20"/>
        </w:rPr>
      </w:pPr>
      <w:r w:rsidRPr="00E83798">
        <w:rPr>
          <w:rFonts w:ascii="Palatino" w:hAnsi="Palatino" w:eastAsia="Times New Roman" w:cs="Times New Roman"/>
          <w:szCs w:val="20"/>
        </w:rPr>
        <w:lastRenderedPageBreak/>
        <w:t xml:space="preserve">1. </w:t>
      </w:r>
      <w:r w:rsidRPr="00E83798">
        <w:rPr>
          <w:rFonts w:ascii="Palatino" w:hAnsi="Palatino" w:eastAsia="Times New Roman" w:cs="Times New Roman"/>
          <w:szCs w:val="20"/>
        </w:rPr>
        <w:tab/>
        <w:t>Whenever a public utility cannot reach an agreement with a</w:t>
      </w:r>
      <w:r w:rsidRPr="00E83798">
        <w:rPr>
          <w:rFonts w:ascii="Palatino" w:hAnsi="Palatino" w:eastAsia="Times New Roman" w:cs="Times New Roman"/>
          <w:i/>
          <w:iCs/>
          <w:color w:val="0915FF"/>
          <w:szCs w:val="20"/>
        </w:rPr>
        <w:t xml:space="preserve">n attacher </w:t>
      </w:r>
      <w:r w:rsidRPr="00E83798">
        <w:rPr>
          <w:rFonts w:ascii="Palatino" w:hAnsi="Palatino" w:eastAsia="Times New Roman" w:cs="Times New Roman"/>
          <w:strike/>
          <w:color w:val="FF0000"/>
          <w:szCs w:val="20"/>
        </w:rPr>
        <w:t xml:space="preserve">telecommunications carrier, CMRS carrier, or cable </w:t>
      </w:r>
      <w:r w:rsidRPr="00E83798">
        <w:rPr>
          <w:rFonts w:ascii="Palatino" w:hAnsi="Palatino" w:eastAsia="Times New Roman" w:cs="Times New Roman"/>
          <w:color w:val="FF0000"/>
          <w:szCs w:val="20"/>
        </w:rPr>
        <w:t>TV</w:t>
      </w:r>
      <w:r w:rsidRPr="00E83798">
        <w:rPr>
          <w:rFonts w:ascii="Palatino" w:hAnsi="Palatino" w:eastAsia="Times New Roman" w:cs="Times New Roman"/>
          <w:strike/>
          <w:color w:val="FF0000"/>
          <w:szCs w:val="20"/>
        </w:rPr>
        <w:t xml:space="preserve"> company, </w:t>
      </w:r>
      <w:r w:rsidRPr="00E83798">
        <w:rPr>
          <w:rFonts w:ascii="Palatino" w:hAnsi="Palatino" w:eastAsia="Times New Roman" w:cs="Times New Roman"/>
          <w:szCs w:val="20"/>
        </w:rPr>
        <w:t>or associations thereof, regarding the terms, conditions, or annual compensation for pole attachments or the terms, conditions, or costs of rearrangements, the Commission shall establish and enforce the rates, terms and conditions for pole attachments and rearrangements so as to assure a public utility the recovery of both of the following:</w:t>
      </w:r>
    </w:p>
    <w:p w:rsidRPr="00E83798" w:rsidR="00DA0CD5" w:rsidP="00DA0CD5" w:rsidRDefault="00DA0CD5" w14:paraId="51817459" w14:textId="1971E257">
      <w:pPr>
        <w:tabs>
          <w:tab w:val="left" w:pos="1710"/>
        </w:tabs>
        <w:spacing w:after="120" w:line="240" w:lineRule="auto"/>
        <w:ind w:left="1710" w:hanging="450"/>
        <w:rPr>
          <w:rFonts w:ascii="Palatino" w:hAnsi="Palatino" w:eastAsia="Times New Roman" w:cs="Times New Roman"/>
          <w:szCs w:val="20"/>
        </w:rPr>
      </w:pPr>
      <w:r w:rsidRPr="00E83798">
        <w:rPr>
          <w:rFonts w:ascii="Palatino" w:hAnsi="Palatino" w:eastAsia="Times New Roman" w:cs="Times New Roman"/>
          <w:szCs w:val="20"/>
        </w:rPr>
        <w:t xml:space="preserve">a. </w:t>
      </w:r>
      <w:r w:rsidRPr="00E83798">
        <w:rPr>
          <w:rFonts w:ascii="Palatino" w:hAnsi="Palatino" w:eastAsia="Times New Roman" w:cs="Times New Roman"/>
          <w:szCs w:val="20"/>
        </w:rPr>
        <w:tab/>
        <w:t>A one</w:t>
      </w:r>
      <w:r w:rsidR="00E4753D">
        <w:rPr>
          <w:rFonts w:ascii="Palatino" w:hAnsi="Palatino" w:eastAsia="Times New Roman" w:cs="Times New Roman"/>
          <w:szCs w:val="20"/>
        </w:rPr>
        <w:noBreakHyphen/>
      </w:r>
      <w:r w:rsidRPr="00E83798">
        <w:rPr>
          <w:rFonts w:ascii="Palatino" w:hAnsi="Palatino" w:eastAsia="Times New Roman" w:cs="Times New Roman"/>
          <w:szCs w:val="20"/>
        </w:rPr>
        <w:t xml:space="preserve">time reimbursement for actual costs incurred by the public utility for rearrangements performed at the request of the </w:t>
      </w:r>
      <w:r w:rsidRPr="00E83798">
        <w:rPr>
          <w:rFonts w:ascii="Palatino" w:hAnsi="Palatino" w:eastAsia="Times New Roman" w:cs="Times New Roman"/>
          <w:i/>
          <w:iCs/>
          <w:color w:val="0915FF"/>
          <w:szCs w:val="20"/>
        </w:rPr>
        <w:t>attacher</w:t>
      </w:r>
      <w:r w:rsidRPr="00E83798">
        <w:rPr>
          <w:rFonts w:ascii="Palatino" w:hAnsi="Palatino" w:eastAsia="Times New Roman" w:cs="Times New Roman"/>
          <w:strike/>
          <w:color w:val="FF0000"/>
          <w:szCs w:val="20"/>
        </w:rPr>
        <w:t xml:space="preserve"> telecommunications carrier, cable TV company, or CMRS carrier</w:t>
      </w:r>
      <w:r w:rsidRPr="00E83798">
        <w:rPr>
          <w:rFonts w:ascii="Palatino" w:hAnsi="Palatino" w:eastAsia="Times New Roman" w:cs="Times New Roman"/>
          <w:szCs w:val="20"/>
        </w:rPr>
        <w:t>.</w:t>
      </w:r>
    </w:p>
    <w:p w:rsidRPr="00E83798" w:rsidR="00DA0CD5" w:rsidP="00DA0CD5" w:rsidRDefault="00DA0CD5" w14:paraId="6E595644" w14:textId="77777777">
      <w:pPr>
        <w:tabs>
          <w:tab w:val="left" w:pos="1710"/>
        </w:tabs>
        <w:spacing w:after="120" w:line="240" w:lineRule="auto"/>
        <w:ind w:left="1713" w:hanging="446"/>
        <w:rPr>
          <w:rFonts w:ascii="Palatino" w:hAnsi="Palatino" w:eastAsia="Times New Roman" w:cs="Times New Roman"/>
          <w:szCs w:val="20"/>
        </w:rPr>
      </w:pPr>
      <w:r w:rsidRPr="00E83798">
        <w:rPr>
          <w:rFonts w:ascii="Palatino" w:hAnsi="Palatino" w:eastAsia="Times New Roman" w:cs="Times New Roman"/>
          <w:szCs w:val="20"/>
        </w:rPr>
        <w:t xml:space="preserve">b. </w:t>
      </w:r>
      <w:r w:rsidRPr="00E83798">
        <w:rPr>
          <w:rFonts w:ascii="Palatino" w:hAnsi="Palatino" w:eastAsia="Times New Roman" w:cs="Times New Roman"/>
          <w:szCs w:val="20"/>
        </w:rPr>
        <w:tab/>
        <w:t>An annual recurring fee computed as follows:</w:t>
      </w:r>
    </w:p>
    <w:p w:rsidRPr="00E83798" w:rsidR="00DA0CD5" w:rsidP="00DA0CD5" w:rsidRDefault="00DA0CD5" w14:paraId="744F6A08" w14:textId="7F58EF93">
      <w:pPr>
        <w:tabs>
          <w:tab w:val="left" w:pos="2250"/>
        </w:tabs>
        <w:spacing w:after="120" w:line="240" w:lineRule="auto"/>
        <w:ind w:left="2250" w:hanging="450"/>
        <w:rPr>
          <w:rFonts w:ascii="Palatino" w:hAnsi="Palatino" w:eastAsia="Times New Roman" w:cs="Times New Roman"/>
          <w:szCs w:val="20"/>
        </w:rPr>
      </w:pPr>
      <w:r w:rsidRPr="00E83798">
        <w:rPr>
          <w:rFonts w:ascii="Palatino" w:hAnsi="Palatino" w:eastAsia="Times New Roman" w:cs="Times New Roman"/>
          <w:szCs w:val="20"/>
        </w:rPr>
        <w:t xml:space="preserve">(1) </w:t>
      </w:r>
      <w:r w:rsidRPr="00E83798">
        <w:rPr>
          <w:rFonts w:ascii="Palatino" w:hAnsi="Palatino" w:eastAsia="Times New Roman" w:cs="Times New Roman"/>
          <w:szCs w:val="20"/>
        </w:rPr>
        <w:tab/>
      </w:r>
      <w:r w:rsidRPr="00E83798">
        <w:rPr>
          <w:rFonts w:ascii="Palatino" w:hAnsi="Palatino" w:eastAsia="Times New Roman" w:cs="Book Antiqua"/>
          <w:szCs w:val="26"/>
        </w:rPr>
        <w:t xml:space="preserve">Except as provided in Section </w:t>
      </w:r>
      <w:r w:rsidRPr="00E83798">
        <w:rPr>
          <w:rFonts w:ascii="Palatino" w:hAnsi="Palatino" w:eastAsia="Times New Roman" w:cs="Times New Roman"/>
          <w:strike/>
          <w:color w:val="FF0000"/>
          <w:szCs w:val="20"/>
        </w:rPr>
        <w:t>3</w:t>
      </w:r>
      <w:r w:rsidRPr="00E83798">
        <w:rPr>
          <w:rFonts w:ascii="Palatino" w:hAnsi="Palatino" w:eastAsia="Times New Roman" w:cs="Times New Roman"/>
          <w:i/>
          <w:iCs/>
          <w:color w:val="0915FF"/>
          <w:szCs w:val="20"/>
        </w:rPr>
        <w:t>2</w:t>
      </w:r>
      <w:r w:rsidRPr="00E83798">
        <w:rPr>
          <w:rFonts w:ascii="Palatino" w:hAnsi="Palatino" w:eastAsia="Times New Roman" w:cs="Book Antiqua"/>
          <w:szCs w:val="26"/>
        </w:rPr>
        <w:t xml:space="preserve"> below, for </w:t>
      </w:r>
      <w:r w:rsidRPr="00E83798">
        <w:rPr>
          <w:rFonts w:ascii="Palatino" w:hAnsi="Palatino" w:eastAsia="Times New Roman" w:cs="Times New Roman"/>
          <w:szCs w:val="20"/>
        </w:rPr>
        <w:t xml:space="preserve">each pole and supporting anchor actually used by the </w:t>
      </w:r>
      <w:r w:rsidRPr="00E83798">
        <w:rPr>
          <w:rFonts w:ascii="Palatino" w:hAnsi="Palatino" w:eastAsia="Times New Roman" w:cs="Times New Roman"/>
          <w:i/>
          <w:iCs/>
          <w:color w:val="0915FF"/>
          <w:szCs w:val="20"/>
        </w:rPr>
        <w:t>attacher</w:t>
      </w:r>
      <w:r w:rsidRPr="00E83798">
        <w:rPr>
          <w:rFonts w:ascii="Palatino" w:hAnsi="Palatino" w:eastAsia="Times New Roman" w:cs="Times New Roman"/>
          <w:strike/>
          <w:color w:val="FF0000"/>
          <w:szCs w:val="20"/>
        </w:rPr>
        <w:t xml:space="preserve"> telecommunications carrier or cable TV company</w:t>
      </w:r>
      <w:r>
        <w:rPr>
          <w:rFonts w:ascii="Palatino" w:hAnsi="Palatino" w:eastAsia="Times New Roman" w:cs="Times New Roman"/>
          <w:strike/>
          <w:color w:val="FF0000"/>
          <w:szCs w:val="20"/>
        </w:rPr>
        <w:t xml:space="preserve"> </w:t>
      </w:r>
      <w:r w:rsidRPr="007A0A2F">
        <w:rPr>
          <w:rFonts w:ascii="Palatino" w:hAnsi="Palatino" w:eastAsia="Times New Roman" w:cs="Times New Roman"/>
          <w:color w:val="0000FF"/>
          <w:szCs w:val="20"/>
          <w:highlight w:val="yellow"/>
        </w:rPr>
        <w:t>for wireline attachments</w:t>
      </w:r>
      <w:r w:rsidRPr="00E83798">
        <w:rPr>
          <w:rFonts w:ascii="Palatino" w:hAnsi="Palatino" w:eastAsia="Times New Roman" w:cs="Times New Roman"/>
          <w:szCs w:val="20"/>
        </w:rPr>
        <w:t>, the annual fee shall be two dollars and fifty cents ($2.50) or 7.4 percent of the public utility’s annual cost</w:t>
      </w:r>
      <w:r w:rsidR="00E4753D">
        <w:rPr>
          <w:rFonts w:ascii="Palatino" w:hAnsi="Palatino" w:eastAsia="Times New Roman" w:cs="Times New Roman"/>
          <w:szCs w:val="20"/>
        </w:rPr>
        <w:noBreakHyphen/>
      </w:r>
      <w:r w:rsidRPr="00E83798">
        <w:rPr>
          <w:rFonts w:ascii="Palatino" w:hAnsi="Palatino" w:eastAsia="Times New Roman" w:cs="Times New Roman"/>
          <w:szCs w:val="20"/>
        </w:rPr>
        <w:t>of</w:t>
      </w:r>
      <w:r w:rsidR="00E4753D">
        <w:rPr>
          <w:rFonts w:ascii="Palatino" w:hAnsi="Palatino" w:eastAsia="Times New Roman" w:cs="Times New Roman"/>
          <w:szCs w:val="20"/>
        </w:rPr>
        <w:noBreakHyphen/>
      </w:r>
      <w:r w:rsidRPr="00E83798">
        <w:rPr>
          <w:rFonts w:ascii="Palatino" w:hAnsi="Palatino" w:eastAsia="Times New Roman" w:cs="Times New Roman"/>
          <w:szCs w:val="20"/>
        </w:rPr>
        <w:t>ownership for the pole and supporting anchor, whichever is greater, except that if a public utility applies for establishment of a fee in excess of two dollars and fifty cents ($2.50) under this rule, the annual fee shall be 7.4 percent of the public utility’s annual cost</w:t>
      </w:r>
      <w:r w:rsidR="00E4753D">
        <w:rPr>
          <w:rFonts w:ascii="Palatino" w:hAnsi="Palatino" w:eastAsia="Times New Roman" w:cs="Times New Roman"/>
          <w:szCs w:val="20"/>
        </w:rPr>
        <w:noBreakHyphen/>
      </w:r>
      <w:r w:rsidRPr="00E83798">
        <w:rPr>
          <w:rFonts w:ascii="Palatino" w:hAnsi="Palatino" w:eastAsia="Times New Roman" w:cs="Times New Roman"/>
          <w:szCs w:val="20"/>
        </w:rPr>
        <w:t>of</w:t>
      </w:r>
      <w:r w:rsidR="00E4753D">
        <w:rPr>
          <w:rFonts w:ascii="Palatino" w:hAnsi="Palatino" w:eastAsia="Times New Roman" w:cs="Times New Roman"/>
          <w:szCs w:val="20"/>
        </w:rPr>
        <w:noBreakHyphen/>
      </w:r>
      <w:r w:rsidRPr="00E83798">
        <w:rPr>
          <w:rFonts w:ascii="Palatino" w:hAnsi="Palatino" w:eastAsia="Times New Roman" w:cs="Times New Roman"/>
          <w:szCs w:val="20"/>
        </w:rPr>
        <w:t xml:space="preserve">ownership for the pole and supporting anchor. </w:t>
      </w:r>
    </w:p>
    <w:p w:rsidRPr="00E83798" w:rsidR="00DA0CD5" w:rsidP="00DA0CD5" w:rsidRDefault="00DA0CD5" w14:paraId="25A3B483" w14:textId="182696CD">
      <w:pPr>
        <w:tabs>
          <w:tab w:val="left" w:pos="1710"/>
        </w:tabs>
        <w:spacing w:after="120" w:line="240" w:lineRule="auto"/>
        <w:ind w:left="1710" w:hanging="450"/>
        <w:rPr>
          <w:rFonts w:ascii="Palatino" w:hAnsi="Palatino" w:eastAsia="Times New Roman" w:cs="Times New Roman"/>
          <w:strike/>
          <w:color w:val="FF0000"/>
          <w:szCs w:val="20"/>
        </w:rPr>
      </w:pPr>
      <w:r w:rsidRPr="00E83798">
        <w:rPr>
          <w:rFonts w:ascii="Palatino" w:hAnsi="Palatino" w:eastAsia="Times New Roman" w:cs="Times New Roman"/>
          <w:szCs w:val="20"/>
        </w:rPr>
        <w:t xml:space="preserve">(2) </w:t>
      </w:r>
      <w:r w:rsidRPr="00E83798">
        <w:rPr>
          <w:rFonts w:ascii="Palatino" w:hAnsi="Palatino" w:eastAsia="Times New Roman" w:cs="Times New Roman"/>
          <w:szCs w:val="20"/>
        </w:rPr>
        <w:tab/>
      </w:r>
      <w:r w:rsidRPr="00E83798">
        <w:rPr>
          <w:rFonts w:ascii="Palatino" w:hAnsi="Palatino" w:eastAsia="Times New Roman" w:cs="Times New Roman"/>
          <w:strike/>
          <w:color w:val="FF0000"/>
          <w:szCs w:val="20"/>
        </w:rPr>
        <w:t>For each pole and supporting anchor actually used by a CMRS carrier, the annual fee for each foot of vertical pole space occupied by the CMRS installation shall be two dollars and fifty cents ($2.50) or 7.4 percent of the public utility’s annual cost</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of</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ownership for the pole and supporting anchor, whichever is greater.  The per</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foot fee for CMRS installations is subject to the following conditions and limitations:</w:t>
      </w:r>
    </w:p>
    <w:p w:rsidRPr="00E83798" w:rsidR="00DA0CD5" w:rsidP="00DA0CD5" w:rsidRDefault="00DA0CD5" w14:paraId="1450C5F5" w14:textId="4B91E20A">
      <w:pPr>
        <w:tabs>
          <w:tab w:val="left" w:pos="1710"/>
        </w:tabs>
        <w:spacing w:after="120" w:line="240" w:lineRule="auto"/>
        <w:ind w:left="1710" w:hanging="450"/>
        <w:rPr>
          <w:rFonts w:ascii="Palatino" w:hAnsi="Palatino" w:eastAsia="Times New Roman" w:cs="Times New Roman"/>
          <w:strike/>
          <w:color w:val="FF0000"/>
          <w:szCs w:val="20"/>
        </w:rPr>
      </w:pPr>
      <w:r w:rsidRPr="00E83798">
        <w:rPr>
          <w:rFonts w:ascii="Palatino" w:hAnsi="Palatino" w:eastAsia="Times New Roman" w:cs="Times New Roman"/>
          <w:strike/>
          <w:color w:val="FF0000"/>
          <w:szCs w:val="20"/>
        </w:rPr>
        <w:t xml:space="preserve">(i) </w:t>
      </w:r>
      <w:r w:rsidRPr="00E83798">
        <w:rPr>
          <w:rFonts w:ascii="Palatino" w:hAnsi="Palatino" w:eastAsia="Times New Roman" w:cs="Times New Roman"/>
          <w:strike/>
          <w:color w:val="FF0000"/>
          <w:szCs w:val="20"/>
        </w:rPr>
        <w:tab/>
        <w:t>The vertical pole space occupied by each CMRS attachment shall be rounded to the nearest whole foot, with a 1</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 xml:space="preserve">foot minimum.  </w:t>
      </w:r>
    </w:p>
    <w:p w:rsidRPr="00E83798" w:rsidR="00DA0CD5" w:rsidP="00DA0CD5" w:rsidRDefault="00DA0CD5" w14:paraId="79C6FC9A" w14:textId="351C759C">
      <w:pPr>
        <w:tabs>
          <w:tab w:val="left" w:pos="1710"/>
        </w:tabs>
        <w:spacing w:after="120" w:line="240" w:lineRule="auto"/>
        <w:ind w:left="1710" w:hanging="450"/>
        <w:rPr>
          <w:rFonts w:ascii="Palatino" w:hAnsi="Palatino" w:eastAsia="Times New Roman" w:cs="Times New Roman"/>
          <w:strike/>
          <w:color w:val="FF0000"/>
          <w:szCs w:val="20"/>
        </w:rPr>
      </w:pPr>
      <w:r w:rsidRPr="00E83798">
        <w:rPr>
          <w:rFonts w:ascii="Palatino" w:hAnsi="Palatino" w:eastAsia="Times New Roman" w:cs="Times New Roman"/>
          <w:strike/>
          <w:color w:val="FF0000"/>
          <w:szCs w:val="20"/>
        </w:rPr>
        <w:t xml:space="preserve">(ii) </w:t>
      </w:r>
      <w:r w:rsidRPr="00E83798">
        <w:rPr>
          <w:rFonts w:ascii="Palatino" w:hAnsi="Palatino" w:eastAsia="Times New Roman" w:cs="Times New Roman"/>
          <w:strike/>
          <w:color w:val="FF0000"/>
          <w:szCs w:val="20"/>
        </w:rPr>
        <w:tab/>
        <w:t>The 7.4% per</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foot fee applies to the pole space that a CMRS attachment renders unusable for non</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 xml:space="preserve">CMRS attachments, including (A) the pole space that is physically occupied by the </w:t>
      </w:r>
      <w:r w:rsidRPr="00E83798">
        <w:rPr>
          <w:rFonts w:ascii="Palatino" w:hAnsi="Palatino" w:eastAsia="Times New Roman" w:cs="Times New Roman"/>
          <w:strike/>
          <w:color w:val="FF0000"/>
          <w:szCs w:val="20"/>
        </w:rPr>
        <w:lastRenderedPageBreak/>
        <w:t xml:space="preserve">CMRS attachment; and (B) any pole space that cannot be used by communication and/or supply conductors due solely to the installation of the CMRS attachment.   </w:t>
      </w:r>
    </w:p>
    <w:p w:rsidRPr="00E83798" w:rsidR="00DA0CD5" w:rsidP="00DA0CD5" w:rsidRDefault="00DA0CD5" w14:paraId="61D58D6A" w14:textId="57C6CBF6">
      <w:pPr>
        <w:tabs>
          <w:tab w:val="left" w:pos="1710"/>
        </w:tabs>
        <w:spacing w:after="120" w:line="240" w:lineRule="auto"/>
        <w:ind w:left="1710" w:hanging="450"/>
        <w:rPr>
          <w:rFonts w:ascii="Palatino" w:hAnsi="Palatino" w:eastAsia="Times New Roman" w:cs="Times New Roman"/>
          <w:strike/>
          <w:color w:val="FF0000"/>
          <w:szCs w:val="20"/>
        </w:rPr>
      </w:pPr>
      <w:r w:rsidRPr="00E83798">
        <w:rPr>
          <w:rFonts w:ascii="Palatino" w:hAnsi="Palatino" w:eastAsia="Times New Roman" w:cs="Times New Roman"/>
          <w:strike/>
          <w:color w:val="FF0000"/>
          <w:szCs w:val="20"/>
        </w:rPr>
        <w:t>(iii)</w:t>
      </w:r>
      <w:r w:rsidRPr="00E83798">
        <w:rPr>
          <w:rFonts w:ascii="Palatino" w:hAnsi="Palatino" w:eastAsia="Times New Roman" w:cs="Times New Roman"/>
          <w:strike/>
          <w:color w:val="FF0000"/>
          <w:szCs w:val="20"/>
        </w:rPr>
        <w:tab/>
        <w:t>The 7.4% per</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 xml:space="preserve">foot fee applies to CMRS attachments anywhere on the pole. </w:t>
      </w:r>
    </w:p>
    <w:p w:rsidRPr="00E83798" w:rsidR="00DA0CD5" w:rsidP="00DA0CD5" w:rsidRDefault="00DA0CD5" w14:paraId="589F03E2" w14:textId="02CA32CD">
      <w:pPr>
        <w:tabs>
          <w:tab w:val="left" w:pos="1710"/>
        </w:tabs>
        <w:spacing w:after="120" w:line="240" w:lineRule="auto"/>
        <w:ind w:left="1710" w:hanging="450"/>
        <w:rPr>
          <w:rFonts w:ascii="Palatino" w:hAnsi="Palatino" w:eastAsia="Times New Roman" w:cs="Times New Roman"/>
          <w:strike/>
          <w:color w:val="FF0000"/>
          <w:szCs w:val="20"/>
        </w:rPr>
      </w:pPr>
      <w:r w:rsidRPr="00E83798">
        <w:rPr>
          <w:rFonts w:ascii="Palatino" w:hAnsi="Palatino" w:eastAsia="Times New Roman" w:cs="Times New Roman"/>
          <w:strike/>
          <w:color w:val="FF0000"/>
          <w:szCs w:val="20"/>
        </w:rPr>
        <w:t xml:space="preserve">(iv) </w:t>
      </w:r>
      <w:r w:rsidRPr="00E83798">
        <w:rPr>
          <w:rFonts w:ascii="Palatino" w:hAnsi="Palatino" w:eastAsia="Times New Roman" w:cs="Times New Roman"/>
          <w:strike/>
          <w:color w:val="FF0000"/>
          <w:szCs w:val="20"/>
        </w:rPr>
        <w:tab/>
        <w:t>The 7.4% per</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foot fee applies once to each foot of pole height.  If multiple CMRS pole attachments are placed on different sides of a pole in the same horizontal plane, the 7.4% per</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 xml:space="preserve">foot attachment fee shall be allocated to each CMRS attachment in the same horizontal plane based on the total number of attachments in the horizontal plane.  </w:t>
      </w:r>
    </w:p>
    <w:p w:rsidRPr="00E83798" w:rsidR="00DA0CD5" w:rsidP="00DA0CD5" w:rsidRDefault="00DA0CD5" w14:paraId="6764CFEA" w14:textId="57A310CA">
      <w:pPr>
        <w:tabs>
          <w:tab w:val="left" w:pos="1710"/>
        </w:tabs>
        <w:spacing w:after="120" w:line="240" w:lineRule="auto"/>
        <w:ind w:left="1710" w:hanging="450"/>
        <w:rPr>
          <w:rFonts w:ascii="Palatino" w:hAnsi="Palatino" w:eastAsia="Times New Roman" w:cs="Times New Roman"/>
          <w:strike/>
          <w:color w:val="FF0000"/>
          <w:szCs w:val="20"/>
        </w:rPr>
      </w:pPr>
      <w:r w:rsidRPr="00E83798">
        <w:rPr>
          <w:rFonts w:ascii="Palatino" w:hAnsi="Palatino" w:eastAsia="Times New Roman" w:cs="Times New Roman"/>
          <w:strike/>
          <w:color w:val="FF0000"/>
          <w:szCs w:val="20"/>
        </w:rPr>
        <w:t xml:space="preserve">(v) </w:t>
      </w:r>
      <w:r w:rsidRPr="00E83798">
        <w:rPr>
          <w:rFonts w:ascii="Palatino" w:hAnsi="Palatino" w:eastAsia="Times New Roman" w:cs="Times New Roman"/>
          <w:strike/>
          <w:color w:val="FF0000"/>
          <w:szCs w:val="20"/>
        </w:rPr>
        <w:tab/>
        <w:t>The total pole</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attachment fees for all CMRS attachments on a particular pole shall not exceed 100% of the pole’s cost</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of</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ownership, less the proportion of the pole’s cost</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of</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 xml:space="preserve">ownership that is allocable to the pole space occupied by all other pole attachments.  </w:t>
      </w:r>
    </w:p>
    <w:p w:rsidRPr="00E83798" w:rsidR="00DA0CD5" w:rsidP="00DA0CD5" w:rsidRDefault="00DA0CD5" w14:paraId="2189238B" w14:textId="0589C8D8">
      <w:pPr>
        <w:tabs>
          <w:tab w:val="left" w:pos="1710"/>
        </w:tabs>
        <w:spacing w:after="120" w:line="240" w:lineRule="auto"/>
        <w:ind w:left="1710" w:hanging="450"/>
        <w:rPr>
          <w:rFonts w:ascii="Palatino" w:hAnsi="Palatino" w:eastAsia="Times New Roman" w:cs="Times New Roman"/>
          <w:strike/>
          <w:color w:val="FF0000"/>
          <w:szCs w:val="20"/>
        </w:rPr>
      </w:pPr>
      <w:r w:rsidRPr="00E83798">
        <w:rPr>
          <w:rFonts w:ascii="Palatino" w:hAnsi="Palatino" w:eastAsia="Times New Roman" w:cs="Times New Roman"/>
          <w:strike/>
          <w:color w:val="FF0000"/>
          <w:szCs w:val="20"/>
        </w:rPr>
        <w:t xml:space="preserve">(vi) </w:t>
      </w:r>
      <w:r w:rsidRPr="00E83798">
        <w:rPr>
          <w:rFonts w:ascii="Palatino" w:hAnsi="Palatino" w:eastAsia="Times New Roman" w:cs="Times New Roman"/>
          <w:strike/>
          <w:color w:val="FF0000"/>
          <w:szCs w:val="20"/>
        </w:rPr>
        <w:tab/>
        <w:t>The 7.4% per</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 xml:space="preserve">foot fee does not apply to electric meters, risers, and conduit associated with CMRS installations.  </w:t>
      </w:r>
    </w:p>
    <w:p w:rsidRPr="00E83798" w:rsidR="00DA0CD5" w:rsidP="00DA0CD5" w:rsidRDefault="00DA0CD5" w14:paraId="252555AD" w14:textId="3231F8EE">
      <w:pPr>
        <w:tabs>
          <w:tab w:val="left" w:pos="1710"/>
        </w:tabs>
        <w:spacing w:after="120" w:line="240" w:lineRule="auto"/>
        <w:ind w:left="1710" w:hanging="450"/>
        <w:rPr>
          <w:rFonts w:ascii="Palatino" w:hAnsi="Palatino" w:eastAsia="Times New Roman" w:cs="Times New Roman"/>
          <w:szCs w:val="20"/>
        </w:rPr>
      </w:pPr>
      <w:r w:rsidRPr="00E83798">
        <w:rPr>
          <w:rFonts w:ascii="Palatino" w:hAnsi="Palatino" w:eastAsia="Times New Roman" w:cs="Times New Roman"/>
          <w:strike/>
          <w:color w:val="FF0000"/>
          <w:szCs w:val="20"/>
        </w:rPr>
        <w:t xml:space="preserve">(3) </w:t>
      </w:r>
      <w:r w:rsidRPr="00E83798">
        <w:rPr>
          <w:rFonts w:ascii="Palatino" w:hAnsi="Palatino" w:eastAsia="Times New Roman" w:cs="Times New Roman"/>
          <w:strike/>
          <w:color w:val="FF0000"/>
          <w:szCs w:val="20"/>
        </w:rPr>
        <w:tab/>
      </w:r>
      <w:r w:rsidRPr="00E83798">
        <w:rPr>
          <w:rFonts w:ascii="Palatino" w:hAnsi="Palatino" w:eastAsia="Times New Roman" w:cs="Times New Roman"/>
          <w:szCs w:val="20"/>
        </w:rPr>
        <w:t>For each pole and supporting anchor actually used by a</w:t>
      </w:r>
      <w:r w:rsidRPr="00E83798">
        <w:rPr>
          <w:rFonts w:ascii="Palatino" w:hAnsi="Palatino" w:eastAsia="Times New Roman" w:cs="Times New Roman"/>
          <w:i/>
          <w:iCs/>
          <w:color w:val="0915FF"/>
          <w:szCs w:val="20"/>
        </w:rPr>
        <w:t>n attacher</w:t>
      </w:r>
      <w:r w:rsidRPr="00E83798">
        <w:rPr>
          <w:rFonts w:ascii="Palatino" w:hAnsi="Palatino" w:eastAsia="Times New Roman" w:cs="Times New Roman"/>
          <w:strike/>
          <w:color w:val="FF0000"/>
          <w:szCs w:val="20"/>
        </w:rPr>
        <w:t xml:space="preserve"> telecommunications carrier for wireless attachments</w:t>
      </w:r>
      <w:r>
        <w:rPr>
          <w:rFonts w:ascii="Palatino" w:hAnsi="Palatino" w:eastAsia="Times New Roman" w:cs="Times New Roman"/>
          <w:strike/>
          <w:color w:val="FF0000"/>
          <w:szCs w:val="20"/>
        </w:rPr>
        <w:t xml:space="preserve"> </w:t>
      </w:r>
      <w:r w:rsidRPr="00BA577B">
        <w:rPr>
          <w:rFonts w:ascii="Palatino" w:hAnsi="Palatino" w:eastAsia="Times New Roman" w:cs="Times New Roman"/>
          <w:color w:val="0000FF"/>
          <w:szCs w:val="20"/>
          <w:highlight w:val="yellow"/>
        </w:rPr>
        <w:t>for wireless attachments</w:t>
      </w:r>
      <w:r w:rsidRPr="00E83798">
        <w:rPr>
          <w:rFonts w:ascii="Palatino" w:hAnsi="Palatino" w:eastAsia="Times New Roman" w:cs="Times New Roman"/>
          <w:szCs w:val="20"/>
        </w:rPr>
        <w:t xml:space="preserve">, the annual fee for each foot of vertical pole space occupied by the </w:t>
      </w:r>
      <w:r w:rsidRPr="00E83798">
        <w:rPr>
          <w:rFonts w:ascii="Palatino" w:hAnsi="Palatino" w:eastAsia="Times New Roman" w:cs="Times New Roman"/>
          <w:i/>
          <w:iCs/>
          <w:color w:val="0915FF"/>
          <w:szCs w:val="20"/>
        </w:rPr>
        <w:t>attacher</w:t>
      </w:r>
      <w:r w:rsidRPr="00E83798">
        <w:rPr>
          <w:rFonts w:ascii="Palatino" w:hAnsi="Palatino" w:eastAsia="Times New Roman" w:cs="Times New Roman"/>
          <w:strike/>
          <w:color w:val="FF0000"/>
          <w:szCs w:val="20"/>
        </w:rPr>
        <w:t xml:space="preserve"> telecommunications carrier’s wireless and wireline attachments</w:t>
      </w:r>
      <w:r w:rsidRPr="00E83798">
        <w:rPr>
          <w:rFonts w:ascii="Palatino" w:hAnsi="Palatino" w:eastAsia="Times New Roman" w:cs="Times New Roman"/>
          <w:szCs w:val="20"/>
        </w:rPr>
        <w:t xml:space="preserve"> shall be two dollars and fifty cents ($2.50) or 7.4 percent of the public utility’s annual cost</w:t>
      </w:r>
      <w:r w:rsidR="00E4753D">
        <w:rPr>
          <w:rFonts w:ascii="Palatino" w:hAnsi="Palatino" w:eastAsia="Times New Roman" w:cs="Times New Roman"/>
          <w:szCs w:val="20"/>
        </w:rPr>
        <w:noBreakHyphen/>
      </w:r>
      <w:r w:rsidRPr="00E83798">
        <w:rPr>
          <w:rFonts w:ascii="Palatino" w:hAnsi="Palatino" w:eastAsia="Times New Roman" w:cs="Times New Roman"/>
          <w:szCs w:val="20"/>
        </w:rPr>
        <w:t>of</w:t>
      </w:r>
      <w:r w:rsidR="00E4753D">
        <w:rPr>
          <w:rFonts w:ascii="Palatino" w:hAnsi="Palatino" w:eastAsia="Times New Roman" w:cs="Times New Roman"/>
          <w:szCs w:val="20"/>
        </w:rPr>
        <w:noBreakHyphen/>
      </w:r>
      <w:r w:rsidRPr="00E83798">
        <w:rPr>
          <w:rFonts w:ascii="Palatino" w:hAnsi="Palatino" w:eastAsia="Times New Roman" w:cs="Times New Roman"/>
          <w:szCs w:val="20"/>
        </w:rPr>
        <w:t>ownership for the pole and supporting anchor, whichever is greater.  The per</w:t>
      </w:r>
      <w:r w:rsidR="00E4753D">
        <w:rPr>
          <w:rFonts w:ascii="Palatino" w:hAnsi="Palatino" w:eastAsia="Times New Roman" w:cs="Times New Roman"/>
          <w:szCs w:val="20"/>
        </w:rPr>
        <w:noBreakHyphen/>
      </w:r>
      <w:r w:rsidRPr="00E83798">
        <w:rPr>
          <w:rFonts w:ascii="Palatino" w:hAnsi="Palatino" w:eastAsia="Times New Roman" w:cs="Times New Roman"/>
          <w:szCs w:val="20"/>
        </w:rPr>
        <w:t xml:space="preserve">foot fee for the </w:t>
      </w:r>
      <w:r w:rsidRPr="00E83798">
        <w:rPr>
          <w:rFonts w:ascii="Palatino" w:hAnsi="Palatino" w:eastAsia="Times New Roman" w:cs="Times New Roman"/>
          <w:strike/>
          <w:color w:val="FF0000"/>
          <w:szCs w:val="20"/>
        </w:rPr>
        <w:t>telecommunications carrier’s wireless and wireline</w:t>
      </w:r>
      <w:r w:rsidRPr="00E83798">
        <w:rPr>
          <w:rFonts w:ascii="Palatino" w:hAnsi="Palatino" w:eastAsia="Times New Roman" w:cs="Times New Roman"/>
          <w:szCs w:val="20"/>
        </w:rPr>
        <w:t xml:space="preserve"> attachments is subject to the following conditions and limitations:</w:t>
      </w:r>
    </w:p>
    <w:p w:rsidRPr="00E83798" w:rsidR="00DA0CD5" w:rsidP="00DA0CD5" w:rsidRDefault="00DA0CD5" w14:paraId="2454A0F2" w14:textId="01C428C2">
      <w:pPr>
        <w:tabs>
          <w:tab w:val="left" w:pos="2880"/>
        </w:tabs>
        <w:spacing w:after="120" w:line="240" w:lineRule="auto"/>
        <w:ind w:left="2880" w:hanging="540"/>
        <w:rPr>
          <w:rFonts w:ascii="Palatino" w:hAnsi="Palatino" w:eastAsia="Times New Roman" w:cs="Times New Roman"/>
          <w:szCs w:val="20"/>
        </w:rPr>
      </w:pPr>
      <w:r w:rsidRPr="00E83798">
        <w:rPr>
          <w:rFonts w:ascii="Palatino" w:hAnsi="Palatino" w:eastAsia="Times New Roman" w:cs="Times New Roman"/>
          <w:szCs w:val="20"/>
        </w:rPr>
        <w:t xml:space="preserve">(i) </w:t>
      </w:r>
      <w:r w:rsidRPr="00E83798">
        <w:rPr>
          <w:rFonts w:ascii="Palatino" w:hAnsi="Palatino" w:eastAsia="Times New Roman" w:cs="Times New Roman"/>
          <w:szCs w:val="20"/>
        </w:rPr>
        <w:tab/>
        <w:t xml:space="preserve">The vertical pole space occupied by each of the </w:t>
      </w:r>
      <w:r w:rsidRPr="00E83798">
        <w:rPr>
          <w:rFonts w:ascii="Palatino" w:hAnsi="Palatino" w:eastAsia="Times New Roman" w:cs="Times New Roman"/>
          <w:strike/>
          <w:color w:val="FF0000"/>
          <w:szCs w:val="20"/>
        </w:rPr>
        <w:t>telecommunications carrier’s wireless and wireline</w:t>
      </w:r>
      <w:r w:rsidRPr="00E83798">
        <w:rPr>
          <w:rFonts w:ascii="Palatino" w:hAnsi="Palatino" w:eastAsia="Times New Roman" w:cs="Times New Roman"/>
          <w:szCs w:val="20"/>
        </w:rPr>
        <w:t xml:space="preserve"> attachments shall be rounded to the nearest whole foot, with a 1</w:t>
      </w:r>
      <w:r w:rsidR="00E4753D">
        <w:rPr>
          <w:rFonts w:ascii="Palatino" w:hAnsi="Palatino" w:eastAsia="Times New Roman" w:cs="Times New Roman"/>
          <w:szCs w:val="20"/>
        </w:rPr>
        <w:noBreakHyphen/>
      </w:r>
      <w:r w:rsidRPr="00E83798">
        <w:rPr>
          <w:rFonts w:ascii="Palatino" w:hAnsi="Palatino" w:eastAsia="Times New Roman" w:cs="Times New Roman"/>
          <w:szCs w:val="20"/>
        </w:rPr>
        <w:t>foot minimum.</w:t>
      </w:r>
    </w:p>
    <w:p w:rsidRPr="00E83798" w:rsidR="00DA0CD5" w:rsidP="00DA0CD5" w:rsidRDefault="00DA0CD5" w14:paraId="5DAF283F" w14:textId="36363D33">
      <w:pPr>
        <w:tabs>
          <w:tab w:val="left" w:pos="2880"/>
        </w:tabs>
        <w:spacing w:after="120" w:line="240" w:lineRule="auto"/>
        <w:ind w:left="2880" w:hanging="540"/>
        <w:rPr>
          <w:rFonts w:ascii="Palatino" w:hAnsi="Palatino" w:eastAsia="Times New Roman" w:cs="Times New Roman"/>
          <w:szCs w:val="20"/>
        </w:rPr>
      </w:pPr>
      <w:r w:rsidRPr="00E83798">
        <w:rPr>
          <w:rFonts w:ascii="Palatino" w:hAnsi="Palatino" w:eastAsia="Times New Roman" w:cs="Times New Roman"/>
          <w:szCs w:val="20"/>
        </w:rPr>
        <w:t xml:space="preserve">(ii) </w:t>
      </w:r>
      <w:r w:rsidRPr="00E83798">
        <w:rPr>
          <w:rFonts w:ascii="Palatino" w:hAnsi="Palatino" w:eastAsia="Times New Roman" w:cs="Times New Roman"/>
          <w:szCs w:val="20"/>
        </w:rPr>
        <w:tab/>
        <w:t>The 7.4% per</w:t>
      </w:r>
      <w:r w:rsidR="00E4753D">
        <w:rPr>
          <w:rFonts w:ascii="Palatino" w:hAnsi="Palatino" w:eastAsia="Times New Roman" w:cs="Times New Roman"/>
          <w:szCs w:val="20"/>
        </w:rPr>
        <w:noBreakHyphen/>
      </w:r>
      <w:r w:rsidRPr="00E83798">
        <w:rPr>
          <w:rFonts w:ascii="Palatino" w:hAnsi="Palatino" w:eastAsia="Times New Roman" w:cs="Times New Roman"/>
          <w:szCs w:val="20"/>
        </w:rPr>
        <w:t xml:space="preserve">foot fee applies to the pole space that the </w:t>
      </w:r>
      <w:r w:rsidRPr="00E83798">
        <w:rPr>
          <w:rFonts w:ascii="Palatino" w:hAnsi="Palatino" w:eastAsia="Times New Roman" w:cs="Times New Roman"/>
          <w:strike/>
          <w:color w:val="FF0000"/>
          <w:szCs w:val="20"/>
        </w:rPr>
        <w:t>telecommunications carrier’s</w:t>
      </w:r>
      <w:r w:rsidRPr="00E83798">
        <w:rPr>
          <w:rFonts w:ascii="Palatino" w:hAnsi="Palatino" w:eastAsia="Times New Roman" w:cs="Times New Roman"/>
          <w:szCs w:val="20"/>
        </w:rPr>
        <w:t xml:space="preserve"> attachment renders </w:t>
      </w:r>
      <w:r w:rsidRPr="00E83798">
        <w:rPr>
          <w:rFonts w:ascii="Palatino" w:hAnsi="Palatino" w:eastAsia="Times New Roman" w:cs="Times New Roman"/>
          <w:szCs w:val="20"/>
        </w:rPr>
        <w:lastRenderedPageBreak/>
        <w:t xml:space="preserve">unusable for other pole attachments, including (A) the pole space that is physically occupied by the </w:t>
      </w:r>
      <w:r w:rsidRPr="00E83798">
        <w:rPr>
          <w:rFonts w:ascii="Palatino" w:hAnsi="Palatino" w:eastAsia="Times New Roman" w:cs="Times New Roman"/>
          <w:strike/>
          <w:color w:val="FF0000"/>
          <w:szCs w:val="20"/>
        </w:rPr>
        <w:t>telecommunications carrier’s</w:t>
      </w:r>
      <w:r w:rsidRPr="00E83798">
        <w:rPr>
          <w:rFonts w:ascii="Palatino" w:hAnsi="Palatino" w:eastAsia="Times New Roman" w:cs="Times New Roman"/>
          <w:szCs w:val="20"/>
        </w:rPr>
        <w:t xml:space="preserve"> attachment; and (B) any pole space that cannot be used by communication and/or supply conductors due solely to the installation of the </w:t>
      </w:r>
      <w:r w:rsidRPr="00E83798">
        <w:rPr>
          <w:rFonts w:ascii="Palatino" w:hAnsi="Palatino" w:eastAsia="Times New Roman" w:cs="Times New Roman"/>
          <w:strike/>
          <w:color w:val="FF0000"/>
          <w:szCs w:val="20"/>
        </w:rPr>
        <w:t>telecommunications carrier’s</w:t>
      </w:r>
      <w:r w:rsidRPr="00E83798">
        <w:rPr>
          <w:rFonts w:ascii="Palatino" w:hAnsi="Palatino" w:eastAsia="Times New Roman" w:cs="Times New Roman"/>
          <w:szCs w:val="20"/>
        </w:rPr>
        <w:t xml:space="preserve"> pole attachment.</w:t>
      </w:r>
    </w:p>
    <w:p w:rsidRPr="00E83798" w:rsidR="00DA0CD5" w:rsidP="00DA0CD5" w:rsidRDefault="00DA0CD5" w14:paraId="23A7EBE7" w14:textId="1955C48A">
      <w:pPr>
        <w:tabs>
          <w:tab w:val="left" w:pos="2880"/>
        </w:tabs>
        <w:spacing w:after="120" w:line="240" w:lineRule="auto"/>
        <w:ind w:left="2880" w:hanging="540"/>
        <w:rPr>
          <w:rFonts w:ascii="Palatino" w:hAnsi="Palatino" w:eastAsia="Times New Roman" w:cs="Times New Roman"/>
          <w:szCs w:val="20"/>
        </w:rPr>
      </w:pPr>
      <w:r w:rsidRPr="00E83798">
        <w:rPr>
          <w:rFonts w:ascii="Palatino" w:hAnsi="Palatino" w:eastAsia="Times New Roman" w:cs="Times New Roman"/>
          <w:szCs w:val="20"/>
        </w:rPr>
        <w:t xml:space="preserve">(iii) </w:t>
      </w:r>
      <w:r w:rsidRPr="00E83798">
        <w:rPr>
          <w:rFonts w:ascii="Palatino" w:hAnsi="Palatino" w:eastAsia="Times New Roman" w:cs="Times New Roman"/>
          <w:szCs w:val="20"/>
        </w:rPr>
        <w:tab/>
        <w:t>The 7.4% per</w:t>
      </w:r>
      <w:r w:rsidR="00E4753D">
        <w:rPr>
          <w:rFonts w:ascii="Palatino" w:hAnsi="Palatino" w:eastAsia="Times New Roman" w:cs="Times New Roman"/>
          <w:szCs w:val="20"/>
        </w:rPr>
        <w:noBreakHyphen/>
      </w:r>
      <w:r w:rsidRPr="00E83798">
        <w:rPr>
          <w:rFonts w:ascii="Palatino" w:hAnsi="Palatino" w:eastAsia="Times New Roman" w:cs="Times New Roman"/>
          <w:szCs w:val="20"/>
        </w:rPr>
        <w:t>foot fee applies to</w:t>
      </w:r>
      <w:r w:rsidRPr="00E83798">
        <w:rPr>
          <w:rFonts w:ascii="Palatino" w:hAnsi="Palatino" w:eastAsia="Times New Roman" w:cs="Times New Roman"/>
          <w:strike/>
          <w:color w:val="FF0000"/>
          <w:szCs w:val="20"/>
        </w:rPr>
        <w:t xml:space="preserve"> the telecommunications carrier’s wireless and wireline</w:t>
      </w:r>
      <w:r w:rsidRPr="00E83798">
        <w:rPr>
          <w:rFonts w:ascii="Palatino" w:hAnsi="Palatino" w:eastAsia="Times New Roman" w:cs="Times New Roman"/>
          <w:szCs w:val="20"/>
        </w:rPr>
        <w:t xml:space="preserve"> attachments anywhere on the pole.</w:t>
      </w:r>
    </w:p>
    <w:p w:rsidRPr="00E83798" w:rsidR="00DA0CD5" w:rsidP="00DA0CD5" w:rsidRDefault="00DA0CD5" w14:paraId="7C11CFC9" w14:textId="0D2820D9">
      <w:pPr>
        <w:tabs>
          <w:tab w:val="left" w:pos="2880"/>
        </w:tabs>
        <w:spacing w:after="120" w:line="240" w:lineRule="auto"/>
        <w:ind w:left="2880" w:hanging="540"/>
        <w:rPr>
          <w:rFonts w:ascii="Palatino" w:hAnsi="Palatino" w:eastAsia="Times New Roman" w:cs="Times New Roman"/>
          <w:szCs w:val="20"/>
        </w:rPr>
      </w:pPr>
      <w:r w:rsidRPr="00E83798">
        <w:rPr>
          <w:rFonts w:ascii="Palatino" w:hAnsi="Palatino" w:eastAsia="Times New Roman" w:cs="Times New Roman"/>
          <w:szCs w:val="20"/>
        </w:rPr>
        <w:t xml:space="preserve">(iv) </w:t>
      </w:r>
      <w:r w:rsidRPr="00E83798">
        <w:rPr>
          <w:rFonts w:ascii="Palatino" w:hAnsi="Palatino" w:eastAsia="Times New Roman" w:cs="Times New Roman"/>
          <w:szCs w:val="20"/>
        </w:rPr>
        <w:tab/>
        <w:t>The 7.4% per</w:t>
      </w:r>
      <w:r w:rsidR="00E4753D">
        <w:rPr>
          <w:rFonts w:ascii="Palatino" w:hAnsi="Palatino" w:eastAsia="Times New Roman" w:cs="Times New Roman"/>
          <w:szCs w:val="20"/>
        </w:rPr>
        <w:noBreakHyphen/>
      </w:r>
      <w:r w:rsidRPr="00E83798">
        <w:rPr>
          <w:rFonts w:ascii="Palatino" w:hAnsi="Palatino" w:eastAsia="Times New Roman" w:cs="Times New Roman"/>
          <w:szCs w:val="20"/>
        </w:rPr>
        <w:t>foot fee applies once to each foot of pole height.  If multiple pole attachments are placed on different sides of a pole in the same horizontal plane, the 7.4% per</w:t>
      </w:r>
      <w:r w:rsidR="00E4753D">
        <w:rPr>
          <w:rFonts w:ascii="Palatino" w:hAnsi="Palatino" w:eastAsia="Times New Roman" w:cs="Times New Roman"/>
          <w:szCs w:val="20"/>
        </w:rPr>
        <w:noBreakHyphen/>
      </w:r>
      <w:r w:rsidRPr="00E83798">
        <w:rPr>
          <w:rFonts w:ascii="Palatino" w:hAnsi="Palatino" w:eastAsia="Times New Roman" w:cs="Times New Roman"/>
          <w:szCs w:val="20"/>
        </w:rPr>
        <w:t xml:space="preserve">foot attachment fee shall be allocated to each </w:t>
      </w:r>
      <w:r w:rsidRPr="00E83798">
        <w:rPr>
          <w:rFonts w:ascii="Palatino" w:hAnsi="Palatino" w:eastAsia="Times New Roman" w:cs="Times New Roman"/>
          <w:strike/>
          <w:color w:val="FF0000"/>
          <w:szCs w:val="20"/>
        </w:rPr>
        <w:t>telecommunications carrier</w:t>
      </w:r>
      <w:r w:rsidRPr="00E83798">
        <w:rPr>
          <w:rFonts w:ascii="Palatino" w:hAnsi="Palatino" w:eastAsia="Times New Roman" w:cs="Times New Roman"/>
          <w:szCs w:val="20"/>
        </w:rPr>
        <w:t xml:space="preserve"> pole attachment in the same horizontal plane based on the total number of attachments in the horizontal plane.</w:t>
      </w:r>
    </w:p>
    <w:p w:rsidRPr="00E83798" w:rsidR="00DA0CD5" w:rsidP="00DA0CD5" w:rsidRDefault="00DA0CD5" w14:paraId="525D4E2D" w14:textId="7654EF87">
      <w:pPr>
        <w:tabs>
          <w:tab w:val="left" w:pos="2880"/>
        </w:tabs>
        <w:spacing w:after="120" w:line="240" w:lineRule="auto"/>
        <w:ind w:left="2880" w:hanging="540"/>
        <w:rPr>
          <w:rFonts w:ascii="Palatino" w:hAnsi="Palatino" w:eastAsia="Times New Roman" w:cs="Times New Roman"/>
          <w:szCs w:val="20"/>
        </w:rPr>
      </w:pPr>
      <w:r w:rsidRPr="00E83798">
        <w:rPr>
          <w:rFonts w:ascii="Palatino" w:hAnsi="Palatino" w:eastAsia="Times New Roman" w:cs="Times New Roman"/>
          <w:szCs w:val="20"/>
        </w:rPr>
        <w:t xml:space="preserve">(v) </w:t>
      </w:r>
      <w:r w:rsidRPr="00E83798">
        <w:rPr>
          <w:rFonts w:ascii="Palatino" w:hAnsi="Palatino" w:eastAsia="Times New Roman" w:cs="Times New Roman"/>
          <w:szCs w:val="20"/>
        </w:rPr>
        <w:tab/>
        <w:t>The total pole</w:t>
      </w:r>
      <w:r w:rsidR="00E4753D">
        <w:rPr>
          <w:rFonts w:ascii="Palatino" w:hAnsi="Palatino" w:eastAsia="Times New Roman" w:cs="Times New Roman"/>
          <w:szCs w:val="20"/>
        </w:rPr>
        <w:noBreakHyphen/>
      </w:r>
      <w:r w:rsidRPr="00E83798">
        <w:rPr>
          <w:rFonts w:ascii="Palatino" w:hAnsi="Palatino" w:eastAsia="Times New Roman" w:cs="Times New Roman"/>
          <w:szCs w:val="20"/>
        </w:rPr>
        <w:t xml:space="preserve">attachment fees for all </w:t>
      </w:r>
      <w:r w:rsidRPr="00E83798">
        <w:rPr>
          <w:rFonts w:ascii="Palatino" w:hAnsi="Palatino" w:eastAsia="Times New Roman" w:cs="Times New Roman"/>
          <w:strike/>
          <w:color w:val="FF0000"/>
          <w:szCs w:val="20"/>
        </w:rPr>
        <w:t>telecommunications carrier</w:t>
      </w:r>
      <w:r w:rsidRPr="00E83798">
        <w:rPr>
          <w:rFonts w:ascii="Palatino" w:hAnsi="Palatino" w:eastAsia="Times New Roman" w:cs="Times New Roman"/>
          <w:szCs w:val="20"/>
        </w:rPr>
        <w:t xml:space="preserve"> attachments on a particular pole shall not exceed 100% of the pole’s cost</w:t>
      </w:r>
      <w:r w:rsidR="00E4753D">
        <w:rPr>
          <w:rFonts w:ascii="Palatino" w:hAnsi="Palatino" w:eastAsia="Times New Roman" w:cs="Times New Roman"/>
          <w:szCs w:val="20"/>
        </w:rPr>
        <w:noBreakHyphen/>
      </w:r>
      <w:r w:rsidRPr="00E83798">
        <w:rPr>
          <w:rFonts w:ascii="Palatino" w:hAnsi="Palatino" w:eastAsia="Times New Roman" w:cs="Times New Roman"/>
          <w:szCs w:val="20"/>
        </w:rPr>
        <w:t>of</w:t>
      </w:r>
      <w:r w:rsidR="00E4753D">
        <w:rPr>
          <w:rFonts w:ascii="Palatino" w:hAnsi="Palatino" w:eastAsia="Times New Roman" w:cs="Times New Roman"/>
          <w:szCs w:val="20"/>
        </w:rPr>
        <w:noBreakHyphen/>
      </w:r>
      <w:r w:rsidRPr="00E83798">
        <w:rPr>
          <w:rFonts w:ascii="Palatino" w:hAnsi="Palatino" w:eastAsia="Times New Roman" w:cs="Times New Roman"/>
          <w:szCs w:val="20"/>
        </w:rPr>
        <w:t>ownership, less the proportion of the pole’s cost</w:t>
      </w:r>
      <w:r w:rsidR="00E4753D">
        <w:rPr>
          <w:rFonts w:ascii="Palatino" w:hAnsi="Palatino" w:eastAsia="Times New Roman" w:cs="Times New Roman"/>
          <w:szCs w:val="20"/>
        </w:rPr>
        <w:noBreakHyphen/>
      </w:r>
      <w:r w:rsidRPr="00E83798">
        <w:rPr>
          <w:rFonts w:ascii="Palatino" w:hAnsi="Palatino" w:eastAsia="Times New Roman" w:cs="Times New Roman"/>
          <w:szCs w:val="20"/>
        </w:rPr>
        <w:t>of</w:t>
      </w:r>
      <w:r w:rsidR="00E4753D">
        <w:rPr>
          <w:rFonts w:ascii="Palatino" w:hAnsi="Palatino" w:eastAsia="Times New Roman" w:cs="Times New Roman"/>
          <w:szCs w:val="20"/>
        </w:rPr>
        <w:noBreakHyphen/>
      </w:r>
      <w:r w:rsidRPr="00E83798">
        <w:rPr>
          <w:rFonts w:ascii="Palatino" w:hAnsi="Palatino" w:eastAsia="Times New Roman" w:cs="Times New Roman"/>
          <w:szCs w:val="20"/>
        </w:rPr>
        <w:t>ownership that is allocable to the pole space occupied by all other pole attachments.</w:t>
      </w:r>
    </w:p>
    <w:p w:rsidRPr="00E83798" w:rsidR="00DA0CD5" w:rsidP="00DA0CD5" w:rsidRDefault="00DA0CD5" w14:paraId="608CED70" w14:textId="4F89A130">
      <w:pPr>
        <w:tabs>
          <w:tab w:val="left" w:pos="2880"/>
        </w:tabs>
        <w:spacing w:after="120" w:line="240" w:lineRule="auto"/>
        <w:ind w:left="2880" w:hanging="540"/>
        <w:rPr>
          <w:rFonts w:ascii="Palatino" w:hAnsi="Palatino" w:eastAsia="Times New Roman" w:cs="Times New Roman"/>
          <w:szCs w:val="20"/>
        </w:rPr>
      </w:pPr>
      <w:r w:rsidRPr="00E83798">
        <w:rPr>
          <w:rFonts w:ascii="Palatino" w:hAnsi="Palatino" w:eastAsia="Times New Roman" w:cs="Times New Roman"/>
          <w:szCs w:val="20"/>
        </w:rPr>
        <w:t xml:space="preserve">(vi) </w:t>
      </w:r>
      <w:r w:rsidRPr="00E83798">
        <w:rPr>
          <w:rFonts w:ascii="Palatino" w:hAnsi="Palatino" w:eastAsia="Times New Roman" w:cs="Times New Roman"/>
          <w:szCs w:val="20"/>
        </w:rPr>
        <w:tab/>
        <w:t>The 7.4% per</w:t>
      </w:r>
      <w:r w:rsidR="00E4753D">
        <w:rPr>
          <w:rFonts w:ascii="Palatino" w:hAnsi="Palatino" w:eastAsia="Times New Roman" w:cs="Times New Roman"/>
          <w:szCs w:val="20"/>
        </w:rPr>
        <w:noBreakHyphen/>
      </w:r>
      <w:r w:rsidRPr="00E83798">
        <w:rPr>
          <w:rFonts w:ascii="Palatino" w:hAnsi="Palatino" w:eastAsia="Times New Roman" w:cs="Times New Roman"/>
          <w:szCs w:val="20"/>
        </w:rPr>
        <w:t xml:space="preserve">foot fee does not apply to electric meters, risers, and conduit associated with </w:t>
      </w:r>
      <w:r w:rsidRPr="00E83798">
        <w:rPr>
          <w:rFonts w:ascii="Palatino" w:hAnsi="Palatino" w:eastAsia="Times New Roman" w:cs="Times New Roman"/>
          <w:strike/>
          <w:color w:val="FF0000"/>
          <w:szCs w:val="20"/>
        </w:rPr>
        <w:t xml:space="preserve">telecommunications carrier wireless </w:t>
      </w:r>
      <w:r w:rsidRPr="00E83798">
        <w:rPr>
          <w:rFonts w:ascii="Palatino" w:hAnsi="Palatino" w:eastAsia="Times New Roman" w:cs="Times New Roman"/>
          <w:szCs w:val="20"/>
        </w:rPr>
        <w:t>pole installations.</w:t>
      </w:r>
    </w:p>
    <w:p w:rsidRPr="00E83798" w:rsidR="00DA0CD5" w:rsidP="00DA0CD5" w:rsidRDefault="00DA0CD5" w14:paraId="197DBA68" w14:textId="77777777">
      <w:pPr>
        <w:tabs>
          <w:tab w:val="left" w:pos="2880"/>
        </w:tabs>
        <w:spacing w:after="240" w:line="240" w:lineRule="auto"/>
        <w:ind w:left="2894" w:hanging="547"/>
        <w:rPr>
          <w:rFonts w:ascii="Palatino" w:hAnsi="Palatino" w:eastAsia="Times New Roman" w:cs="Times New Roman"/>
          <w:szCs w:val="20"/>
        </w:rPr>
      </w:pPr>
      <w:r w:rsidRPr="00E83798">
        <w:rPr>
          <w:rFonts w:ascii="Palatino" w:hAnsi="Palatino" w:eastAsia="Times New Roman" w:cs="Times New Roman"/>
          <w:szCs w:val="20"/>
        </w:rPr>
        <w:t xml:space="preserve">(vii) </w:t>
      </w:r>
      <w:r w:rsidRPr="00E83798">
        <w:rPr>
          <w:rFonts w:ascii="Palatino" w:hAnsi="Palatino" w:eastAsia="Times New Roman" w:cs="Times New Roman"/>
          <w:szCs w:val="20"/>
        </w:rPr>
        <w:tab/>
        <w:t>The annual fee in Section VI.B.1.b.1, above, shall apply to a</w:t>
      </w:r>
      <w:r w:rsidRPr="00E83798">
        <w:rPr>
          <w:rFonts w:ascii="Palatino" w:hAnsi="Palatino" w:eastAsia="Times New Roman" w:cs="Times New Roman"/>
          <w:i/>
          <w:iCs/>
          <w:color w:val="0915FF"/>
          <w:szCs w:val="20"/>
        </w:rPr>
        <w:t xml:space="preserve">n attacher </w:t>
      </w:r>
      <w:r w:rsidRPr="00E83798">
        <w:rPr>
          <w:rFonts w:ascii="Palatino" w:hAnsi="Palatino" w:eastAsia="Times New Roman" w:cs="Times New Roman"/>
          <w:strike/>
          <w:color w:val="FF0000"/>
          <w:szCs w:val="20"/>
        </w:rPr>
        <w:t>telecommunications carrier</w:t>
      </w:r>
      <w:r w:rsidRPr="00E83798">
        <w:rPr>
          <w:rFonts w:ascii="Palatino" w:hAnsi="Palatino" w:eastAsia="Times New Roman" w:cs="Times New Roman"/>
          <w:szCs w:val="20"/>
        </w:rPr>
        <w:t xml:space="preserve"> that has only wireline facilities attached to a pole, even if another </w:t>
      </w:r>
      <w:r w:rsidRPr="00E83798">
        <w:rPr>
          <w:rFonts w:ascii="Palatino" w:hAnsi="Palatino" w:eastAsia="Times New Roman" w:cs="Times New Roman"/>
          <w:i/>
          <w:iCs/>
          <w:color w:val="0915FF"/>
          <w:szCs w:val="20"/>
        </w:rPr>
        <w:t>attacher</w:t>
      </w:r>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telecommunications carrier</w:t>
      </w:r>
      <w:r w:rsidRPr="00E83798">
        <w:rPr>
          <w:rFonts w:ascii="Palatino" w:hAnsi="Palatino" w:eastAsia="Times New Roman" w:cs="Times New Roman"/>
          <w:szCs w:val="20"/>
        </w:rPr>
        <w:t xml:space="preserve"> has wireless facilities attached to the same pole.   </w:t>
      </w:r>
    </w:p>
    <w:p w:rsidRPr="00E83798" w:rsidR="00DA0CD5" w:rsidP="00DA0CD5" w:rsidRDefault="00DA0CD5" w14:paraId="0764DDA9" w14:textId="6A2C2A38">
      <w:pPr>
        <w:tabs>
          <w:tab w:val="left" w:pos="2250"/>
        </w:tabs>
        <w:spacing w:after="120" w:line="240" w:lineRule="auto"/>
        <w:ind w:left="2250" w:hanging="450"/>
        <w:rPr>
          <w:rFonts w:ascii="Palatino" w:hAnsi="Palatino" w:eastAsia="Times New Roman" w:cs="Times New Roman"/>
          <w:szCs w:val="20"/>
        </w:rPr>
      </w:pPr>
      <w:r w:rsidRPr="00E83798">
        <w:rPr>
          <w:rFonts w:ascii="Palatino" w:hAnsi="Palatino" w:eastAsia="Times New Roman" w:cs="Times New Roman"/>
          <w:strike/>
          <w:color w:val="FF0000"/>
          <w:szCs w:val="20"/>
        </w:rPr>
        <w:t>(4)</w:t>
      </w:r>
      <w:r w:rsidRPr="00E83798">
        <w:rPr>
          <w:rFonts w:ascii="Palatino" w:hAnsi="Palatino" w:eastAsia="Times New Roman" w:cs="Times New Roman"/>
          <w:i/>
          <w:iCs/>
          <w:color w:val="0915FF"/>
          <w:szCs w:val="20"/>
        </w:rPr>
        <w:t xml:space="preserve">(3) </w:t>
      </w:r>
      <w:r w:rsidRPr="00E83798">
        <w:rPr>
          <w:rFonts w:ascii="Palatino" w:hAnsi="Palatino" w:eastAsia="Times New Roman" w:cs="Times New Roman"/>
          <w:szCs w:val="20"/>
        </w:rPr>
        <w:tab/>
        <w:t xml:space="preserve">For support structures used by the </w:t>
      </w:r>
      <w:r w:rsidRPr="00E83798">
        <w:rPr>
          <w:rFonts w:ascii="Palatino" w:hAnsi="Palatino" w:eastAsia="Times New Roman" w:cs="Times New Roman"/>
          <w:i/>
          <w:iCs/>
          <w:color w:val="0915FF"/>
          <w:szCs w:val="20"/>
        </w:rPr>
        <w:t>attacher</w:t>
      </w:r>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telecommunications carrier, CMRS carrier, or cable TV company</w:t>
      </w:r>
      <w:r w:rsidRPr="00E83798">
        <w:rPr>
          <w:rFonts w:ascii="Palatino" w:hAnsi="Palatino" w:eastAsia="Times New Roman" w:cs="Times New Roman"/>
          <w:szCs w:val="20"/>
        </w:rPr>
        <w:t xml:space="preserve">, other than poles or anchors, a percentage of the </w:t>
      </w:r>
      <w:r w:rsidRPr="00E83798">
        <w:rPr>
          <w:rFonts w:ascii="Palatino" w:hAnsi="Palatino" w:eastAsia="Times New Roman" w:cs="Times New Roman"/>
          <w:szCs w:val="20"/>
        </w:rPr>
        <w:lastRenderedPageBreak/>
        <w:t>annual cost</w:t>
      </w:r>
      <w:r w:rsidR="00E4753D">
        <w:rPr>
          <w:rFonts w:ascii="Palatino" w:hAnsi="Palatino" w:eastAsia="Times New Roman" w:cs="Times New Roman"/>
          <w:szCs w:val="20"/>
        </w:rPr>
        <w:noBreakHyphen/>
      </w:r>
      <w:r w:rsidRPr="00E83798">
        <w:rPr>
          <w:rFonts w:ascii="Palatino" w:hAnsi="Palatino" w:eastAsia="Times New Roman" w:cs="Times New Roman"/>
          <w:szCs w:val="20"/>
        </w:rPr>
        <w:t>of</w:t>
      </w:r>
      <w:r w:rsidR="00E4753D">
        <w:rPr>
          <w:rFonts w:ascii="Palatino" w:hAnsi="Palatino" w:eastAsia="Times New Roman" w:cs="Times New Roman"/>
          <w:szCs w:val="20"/>
        </w:rPr>
        <w:noBreakHyphen/>
      </w:r>
      <w:r w:rsidRPr="00E83798">
        <w:rPr>
          <w:rFonts w:ascii="Palatino" w:hAnsi="Palatino" w:eastAsia="Times New Roman" w:cs="Times New Roman"/>
          <w:szCs w:val="20"/>
        </w:rPr>
        <w:t xml:space="preserve">ownership for the support structure, computed by dividing the volume or capacity rendered unusable by the </w:t>
      </w:r>
      <w:proofErr w:type="spellStart"/>
      <w:r w:rsidRPr="00E83798">
        <w:rPr>
          <w:rFonts w:ascii="Palatino" w:hAnsi="Palatino" w:eastAsia="Times New Roman" w:cs="Times New Roman"/>
          <w:i/>
          <w:iCs/>
          <w:color w:val="0915FF"/>
          <w:szCs w:val="20"/>
        </w:rPr>
        <w:t>attacher’s</w:t>
      </w:r>
      <w:proofErr w:type="spellEnd"/>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 xml:space="preserve">telecommunications </w:t>
      </w:r>
      <w:proofErr w:type="spellStart"/>
      <w:r w:rsidRPr="00E83798">
        <w:rPr>
          <w:rFonts w:ascii="Palatino" w:hAnsi="Palatino" w:eastAsia="Times New Roman" w:cs="Times New Roman"/>
          <w:strike/>
          <w:color w:val="FF0000"/>
          <w:szCs w:val="20"/>
        </w:rPr>
        <w:t>carrier’s</w:t>
      </w:r>
      <w:proofErr w:type="spellEnd"/>
      <w:r w:rsidRPr="00E83798">
        <w:rPr>
          <w:rFonts w:ascii="Palatino" w:hAnsi="Palatino" w:eastAsia="Times New Roman" w:cs="Times New Roman"/>
          <w:strike/>
          <w:color w:val="FF0000"/>
          <w:szCs w:val="20"/>
        </w:rPr>
        <w:t>, CMRS carrier’s, or cable TV company’s</w:t>
      </w:r>
      <w:r w:rsidRPr="00E83798">
        <w:rPr>
          <w:rFonts w:ascii="Palatino" w:hAnsi="Palatino" w:eastAsia="Times New Roman" w:cs="Times New Roman"/>
          <w:szCs w:val="20"/>
        </w:rPr>
        <w:t xml:space="preserve"> equipment by the total usable volume or capacity.  As used in this paragraph, “total usable volume or capacity” means all volume or capacity in which </w:t>
      </w:r>
      <w:r w:rsidRPr="00E83798">
        <w:rPr>
          <w:rFonts w:ascii="Palatino" w:hAnsi="Palatino" w:eastAsia="Times New Roman" w:cs="Times New Roman"/>
          <w:i/>
          <w:iCs/>
          <w:color w:val="0915FF"/>
          <w:szCs w:val="20"/>
        </w:rPr>
        <w:t>an attacher’s</w:t>
      </w:r>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the public utility’s</w:t>
      </w:r>
      <w:r w:rsidRPr="00E83798">
        <w:rPr>
          <w:rFonts w:ascii="Palatino" w:hAnsi="Palatino" w:eastAsia="Times New Roman" w:cs="Times New Roman"/>
          <w:szCs w:val="20"/>
        </w:rPr>
        <w:t xml:space="preserve"> line, plant, or system could legally be located, including the volume or capacity rendered unusable by the </w:t>
      </w:r>
      <w:proofErr w:type="spellStart"/>
      <w:r w:rsidRPr="00E83798">
        <w:rPr>
          <w:rFonts w:ascii="Palatino" w:hAnsi="Palatino" w:eastAsia="Times New Roman" w:cs="Times New Roman"/>
          <w:i/>
          <w:iCs/>
          <w:color w:val="0915FF"/>
          <w:szCs w:val="20"/>
        </w:rPr>
        <w:t>attacher’s</w:t>
      </w:r>
      <w:proofErr w:type="spellEnd"/>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 xml:space="preserve">telecommunications </w:t>
      </w:r>
      <w:proofErr w:type="spellStart"/>
      <w:r w:rsidRPr="00E83798">
        <w:rPr>
          <w:rFonts w:ascii="Palatino" w:hAnsi="Palatino" w:eastAsia="Times New Roman" w:cs="Times New Roman"/>
          <w:strike/>
          <w:color w:val="FF0000"/>
          <w:szCs w:val="20"/>
        </w:rPr>
        <w:t>carrier’s</w:t>
      </w:r>
      <w:proofErr w:type="spellEnd"/>
      <w:r w:rsidRPr="00E83798">
        <w:rPr>
          <w:rFonts w:ascii="Palatino" w:hAnsi="Palatino" w:eastAsia="Times New Roman" w:cs="Times New Roman"/>
          <w:strike/>
          <w:color w:val="FF0000"/>
          <w:szCs w:val="20"/>
        </w:rPr>
        <w:t xml:space="preserve">, CMRS carrier’s, or cable TV company’s </w:t>
      </w:r>
      <w:r w:rsidRPr="00E83798">
        <w:rPr>
          <w:rFonts w:ascii="Palatino" w:hAnsi="Palatino" w:eastAsia="Times New Roman" w:cs="Times New Roman"/>
          <w:szCs w:val="20"/>
        </w:rPr>
        <w:t>equipment.</w:t>
      </w:r>
    </w:p>
    <w:p w:rsidRPr="00E83798" w:rsidR="00DA0CD5" w:rsidP="00DA0CD5" w:rsidRDefault="00DA0CD5" w14:paraId="43984083" w14:textId="4FBE9D55">
      <w:pPr>
        <w:tabs>
          <w:tab w:val="left" w:pos="1710"/>
        </w:tabs>
        <w:spacing w:after="120" w:line="240" w:lineRule="auto"/>
        <w:ind w:left="1713" w:hanging="446"/>
        <w:rPr>
          <w:rFonts w:ascii="Palatino" w:hAnsi="Palatino" w:eastAsia="Times New Roman" w:cs="Times New Roman"/>
          <w:szCs w:val="20"/>
        </w:rPr>
      </w:pPr>
      <w:r w:rsidRPr="00E83798">
        <w:rPr>
          <w:rFonts w:ascii="Palatino" w:hAnsi="Palatino" w:eastAsia="Times New Roman" w:cs="Times New Roman"/>
          <w:szCs w:val="20"/>
        </w:rPr>
        <w:t>c.</w:t>
      </w:r>
      <w:r w:rsidRPr="00E83798">
        <w:rPr>
          <w:rFonts w:ascii="Palatino" w:hAnsi="Palatino" w:eastAsia="Times New Roman" w:cs="Times New Roman"/>
          <w:szCs w:val="20"/>
        </w:rPr>
        <w:tab/>
        <w:t xml:space="preserve">Except as allowed by Sections VI.B.1.b.2 </w:t>
      </w:r>
      <w:r w:rsidRPr="00E83798">
        <w:rPr>
          <w:rFonts w:ascii="Palatino" w:hAnsi="Palatino" w:eastAsia="Times New Roman" w:cs="Times New Roman"/>
          <w:strike/>
          <w:color w:val="FF0000"/>
          <w:szCs w:val="20"/>
        </w:rPr>
        <w:t>and 3</w:t>
      </w:r>
      <w:r w:rsidRPr="00E83798">
        <w:rPr>
          <w:rFonts w:ascii="Palatino" w:hAnsi="Palatino" w:eastAsia="Times New Roman" w:cs="Times New Roman"/>
          <w:szCs w:val="20"/>
        </w:rPr>
        <w:t>, above, a utility may not charge a</w:t>
      </w:r>
      <w:r w:rsidRPr="00E83798">
        <w:rPr>
          <w:rFonts w:ascii="Palatino" w:hAnsi="Palatino" w:eastAsia="Times New Roman" w:cs="Times New Roman"/>
          <w:i/>
          <w:iCs/>
          <w:color w:val="0915FF"/>
          <w:szCs w:val="20"/>
        </w:rPr>
        <w:t xml:space="preserve">n attacher </w:t>
      </w:r>
      <w:r w:rsidRPr="00E83798">
        <w:rPr>
          <w:rFonts w:ascii="Palatino" w:hAnsi="Palatino" w:eastAsia="Times New Roman" w:cs="Times New Roman"/>
          <w:strike/>
          <w:color w:val="FF0000"/>
          <w:szCs w:val="20"/>
        </w:rPr>
        <w:t xml:space="preserve">telecommunications carrier, CMRS carrier, or cable TV company </w:t>
      </w:r>
      <w:r w:rsidRPr="00E83798">
        <w:rPr>
          <w:rFonts w:ascii="Palatino" w:hAnsi="Palatino" w:eastAsia="Times New Roman" w:cs="Times New Roman"/>
          <w:szCs w:val="20"/>
        </w:rPr>
        <w:t>a higher rate for access to its rights</w:t>
      </w:r>
      <w:r w:rsidR="00E4753D">
        <w:rPr>
          <w:rFonts w:ascii="Palatino" w:hAnsi="Palatino" w:eastAsia="Times New Roman" w:cs="Times New Roman"/>
          <w:szCs w:val="20"/>
        </w:rPr>
        <w:noBreakHyphen/>
      </w:r>
      <w:r w:rsidRPr="00E83798">
        <w:rPr>
          <w:rFonts w:ascii="Palatino" w:hAnsi="Palatino" w:eastAsia="Times New Roman" w:cs="Times New Roman"/>
          <w:szCs w:val="20"/>
        </w:rPr>
        <w:t>of</w:t>
      </w:r>
      <w:r w:rsidR="00E4753D">
        <w:rPr>
          <w:rFonts w:ascii="Palatino" w:hAnsi="Palatino" w:eastAsia="Times New Roman" w:cs="Times New Roman"/>
          <w:szCs w:val="20"/>
        </w:rPr>
        <w:noBreakHyphen/>
      </w:r>
      <w:r w:rsidRPr="00E83798">
        <w:rPr>
          <w:rFonts w:ascii="Palatino" w:hAnsi="Palatino" w:eastAsia="Times New Roman" w:cs="Times New Roman"/>
          <w:szCs w:val="20"/>
        </w:rPr>
        <w:t xml:space="preserve">way and support structures than it would charge a similarly situated </w:t>
      </w:r>
      <w:r w:rsidRPr="00E83798">
        <w:rPr>
          <w:rFonts w:ascii="Palatino" w:hAnsi="Palatino" w:eastAsia="Times New Roman" w:cs="Times New Roman"/>
          <w:i/>
          <w:iCs/>
          <w:color w:val="0915FF"/>
          <w:szCs w:val="20"/>
        </w:rPr>
        <w:t xml:space="preserve">attacher </w:t>
      </w:r>
      <w:r w:rsidRPr="00E83798">
        <w:rPr>
          <w:rFonts w:ascii="Palatino" w:hAnsi="Palatino" w:eastAsia="Times New Roman" w:cs="Times New Roman"/>
          <w:strike/>
          <w:color w:val="FF0000"/>
          <w:szCs w:val="20"/>
        </w:rPr>
        <w:t>cable television corporation</w:t>
      </w:r>
      <w:r w:rsidRPr="00E83798">
        <w:rPr>
          <w:rFonts w:ascii="Palatino" w:hAnsi="Palatino" w:eastAsia="Times New Roman" w:cs="Times New Roman"/>
          <w:color w:val="FF0000"/>
          <w:szCs w:val="20"/>
        </w:rPr>
        <w:t xml:space="preserve"> </w:t>
      </w:r>
      <w:r w:rsidRPr="00E83798">
        <w:rPr>
          <w:rFonts w:ascii="Palatino" w:hAnsi="Palatino" w:eastAsia="Times New Roman" w:cs="Times New Roman"/>
          <w:szCs w:val="20"/>
        </w:rPr>
        <w:t>for access to the same rights</w:t>
      </w:r>
      <w:r w:rsidR="00E4753D">
        <w:rPr>
          <w:rFonts w:ascii="Palatino" w:hAnsi="Palatino" w:eastAsia="Times New Roman" w:cs="Times New Roman"/>
          <w:szCs w:val="20"/>
        </w:rPr>
        <w:noBreakHyphen/>
      </w:r>
      <w:r w:rsidRPr="00E83798">
        <w:rPr>
          <w:rFonts w:ascii="Palatino" w:hAnsi="Palatino" w:eastAsia="Times New Roman" w:cs="Times New Roman"/>
          <w:szCs w:val="20"/>
        </w:rPr>
        <w:t>of</w:t>
      </w:r>
      <w:r w:rsidR="00E4753D">
        <w:rPr>
          <w:rFonts w:ascii="Palatino" w:hAnsi="Palatino" w:eastAsia="Times New Roman" w:cs="Times New Roman"/>
          <w:szCs w:val="20"/>
        </w:rPr>
        <w:noBreakHyphen/>
      </w:r>
      <w:r w:rsidRPr="00E83798">
        <w:rPr>
          <w:rFonts w:ascii="Palatino" w:hAnsi="Palatino" w:eastAsia="Times New Roman" w:cs="Times New Roman"/>
          <w:szCs w:val="20"/>
        </w:rPr>
        <w:t xml:space="preserve">way and support structures.  </w:t>
      </w:r>
    </w:p>
    <w:p w:rsidRPr="00E83798" w:rsidR="00DA0CD5" w:rsidP="00DA0CD5" w:rsidRDefault="00DA0CD5" w14:paraId="42EFAA32" w14:textId="362BED87">
      <w:pPr>
        <w:tabs>
          <w:tab w:val="left" w:pos="1710"/>
        </w:tabs>
        <w:spacing w:after="120" w:line="240" w:lineRule="auto"/>
        <w:ind w:left="1713" w:hanging="446"/>
        <w:rPr>
          <w:rFonts w:ascii="Palatino" w:hAnsi="Palatino" w:eastAsia="Times New Roman" w:cs="Times New Roman"/>
          <w:strike/>
          <w:color w:val="FF0000"/>
          <w:szCs w:val="20"/>
        </w:rPr>
      </w:pPr>
      <w:r w:rsidRPr="00E83798">
        <w:rPr>
          <w:rFonts w:ascii="Palatino" w:hAnsi="Palatino" w:eastAsia="Times New Roman" w:cs="Times New Roman"/>
          <w:strike/>
          <w:color w:val="FF0000"/>
          <w:szCs w:val="20"/>
        </w:rPr>
        <w:t xml:space="preserve">d. </w:t>
      </w:r>
      <w:r w:rsidRPr="00E83798">
        <w:rPr>
          <w:rFonts w:ascii="Palatino" w:hAnsi="Palatino" w:eastAsia="Times New Roman" w:cs="Times New Roman"/>
          <w:strike/>
          <w:color w:val="FF0000"/>
          <w:szCs w:val="20"/>
        </w:rPr>
        <w:tab/>
        <w:t>Except as allowed by Sections VI.B.1.b.2 and 3, above, a utility may not charge a telecommunications carrier or CMRS carrier a higher rate for access to its rights</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of</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way and support structures than it would charge a similarly situated telecommunications carrier or CMRS carrier for access to the same rights</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of</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way and support structures.</w:t>
      </w:r>
    </w:p>
    <w:p w:rsidR="0099431F" w:rsidP="00ED36CC" w:rsidRDefault="003F502A" w14:paraId="2E6ACB35" w14:textId="77B498DB">
      <w:pPr>
        <w:pStyle w:val="Standard"/>
      </w:pPr>
      <w:r>
        <w:t>Finally, we amend</w:t>
      </w:r>
      <w:r w:rsidR="009469E7">
        <w:t xml:space="preserve"> </w:t>
      </w:r>
      <w:r w:rsidR="00055028">
        <w:t>Section</w:t>
      </w:r>
      <w:r w:rsidR="00AB541A">
        <w:t> </w:t>
      </w:r>
      <w:r w:rsidR="009469E7">
        <w:t xml:space="preserve">VI. (PRICING AND TARIFFS GOVERNING ACCESS), </w:t>
      </w:r>
      <w:r w:rsidR="002E5CC8">
        <w:t>C</w:t>
      </w:r>
      <w:r w:rsidR="009469E7">
        <w:t>. (CO</w:t>
      </w:r>
      <w:r w:rsidR="002E5CC8">
        <w:t xml:space="preserve">NTRACTS) </w:t>
      </w:r>
      <w:r w:rsidR="00055028">
        <w:t>of Proposed GO</w:t>
      </w:r>
      <w:r w:rsidR="00AB541A">
        <w:t> </w:t>
      </w:r>
      <w:r w:rsidR="00055028">
        <w:t xml:space="preserve">178 </w:t>
      </w:r>
      <w:r w:rsidR="002E5CC8">
        <w:t>as follows</w:t>
      </w:r>
      <w:r w:rsidR="00055028">
        <w:t>, and as reflected in Attachment</w:t>
      </w:r>
      <w:r w:rsidR="00AB541A">
        <w:t> </w:t>
      </w:r>
      <w:r w:rsidR="00055028">
        <w:t>A to this decision</w:t>
      </w:r>
      <w:r w:rsidR="002E5CC8">
        <w:t>:</w:t>
      </w:r>
    </w:p>
    <w:p w:rsidRPr="00E83798" w:rsidR="00B63D26" w:rsidP="00B63D26" w:rsidRDefault="00B63D26" w14:paraId="01E8148E" w14:textId="77777777">
      <w:pPr>
        <w:tabs>
          <w:tab w:val="left" w:pos="1080"/>
        </w:tabs>
        <w:spacing w:after="120" w:line="240" w:lineRule="auto"/>
        <w:ind w:left="1080" w:hanging="360"/>
        <w:rPr>
          <w:rFonts w:ascii="Palatino" w:hAnsi="Palatino" w:eastAsia="Times New Roman" w:cs="Times New Roman"/>
          <w:szCs w:val="20"/>
        </w:rPr>
      </w:pPr>
      <w:r w:rsidRPr="00E83798">
        <w:rPr>
          <w:rFonts w:ascii="Palatino" w:hAnsi="Palatino" w:eastAsia="Times New Roman" w:cs="Times New Roman"/>
          <w:szCs w:val="20"/>
        </w:rPr>
        <w:t>1.</w:t>
      </w:r>
      <w:r w:rsidRPr="00E83798">
        <w:rPr>
          <w:rFonts w:ascii="Palatino" w:hAnsi="Palatino" w:eastAsia="Times New Roman" w:cs="Times New Roman"/>
          <w:szCs w:val="20"/>
        </w:rPr>
        <w:tab/>
        <w:t>A utility that provides or has negotiated an agreement with a</w:t>
      </w:r>
      <w:r w:rsidRPr="00E83798">
        <w:rPr>
          <w:rFonts w:ascii="Palatino" w:hAnsi="Palatino" w:eastAsia="Times New Roman" w:cs="Times New Roman"/>
          <w:i/>
          <w:iCs/>
          <w:color w:val="0915FF"/>
          <w:szCs w:val="20"/>
        </w:rPr>
        <w:t xml:space="preserve">n attacher </w:t>
      </w:r>
      <w:r w:rsidRPr="00E83798">
        <w:rPr>
          <w:rFonts w:ascii="Palatino" w:hAnsi="Palatino" w:eastAsia="Times New Roman" w:cs="Times New Roman"/>
          <w:strike/>
          <w:color w:val="FF0000"/>
          <w:szCs w:val="20"/>
        </w:rPr>
        <w:t>telecommunications carrier, CMRS carrier, or cable TV company</w:t>
      </w:r>
      <w:r w:rsidRPr="00E83798">
        <w:rPr>
          <w:rFonts w:ascii="Palatino" w:hAnsi="Palatino" w:eastAsia="Times New Roman" w:cs="Times New Roman"/>
          <w:szCs w:val="20"/>
        </w:rPr>
        <w:t xml:space="preserve"> to provide access to its support structures </w:t>
      </w:r>
      <w:r w:rsidRPr="00B33E3A">
        <w:rPr>
          <w:rFonts w:ascii="Palatino" w:hAnsi="Palatino" w:eastAsia="Times New Roman" w:cs="Times New Roman"/>
          <w:i/>
          <w:iCs/>
          <w:color w:val="0000FF"/>
          <w:szCs w:val="20"/>
          <w:highlight w:val="yellow"/>
        </w:rPr>
        <w:t>shall file with the Commission</w:t>
      </w:r>
      <w:r w:rsidRPr="00B33E3A">
        <w:rPr>
          <w:rFonts w:ascii="Palatino" w:hAnsi="Palatino" w:eastAsia="Times New Roman" w:cs="Times New Roman"/>
          <w:color w:val="0000FF"/>
          <w:szCs w:val="20"/>
        </w:rPr>
        <w:t xml:space="preserve"> </w:t>
      </w:r>
      <w:r w:rsidRPr="00B33E3A">
        <w:rPr>
          <w:rFonts w:ascii="Palatino" w:hAnsi="Palatino" w:eastAsia="Times New Roman" w:cs="Times New Roman"/>
          <w:strike/>
          <w:color w:val="FF0000"/>
          <w:szCs w:val="20"/>
          <w:highlight w:val="yellow"/>
        </w:rPr>
        <w:t xml:space="preserve">submit via </w:t>
      </w:r>
      <w:proofErr w:type="spellStart"/>
      <w:r w:rsidRPr="00B33E3A">
        <w:rPr>
          <w:rFonts w:ascii="Palatino" w:hAnsi="Palatino" w:eastAsia="Times New Roman" w:cs="Times New Roman"/>
          <w:strike/>
          <w:color w:val="FF0000"/>
          <w:szCs w:val="20"/>
          <w:highlight w:val="yellow"/>
        </w:rPr>
        <w:t>CDcompliance@cpuc.ca.govcon</w:t>
      </w:r>
      <w:proofErr w:type="spellEnd"/>
      <w:r w:rsidRPr="00E83798">
        <w:rPr>
          <w:rFonts w:ascii="Palatino" w:hAnsi="Palatino" w:eastAsia="Times New Roman" w:cs="Times New Roman"/>
          <w:szCs w:val="20"/>
        </w:rPr>
        <w:t xml:space="preserve"> the executed contract showing:</w:t>
      </w:r>
    </w:p>
    <w:p w:rsidRPr="00E83798" w:rsidR="00B63D26" w:rsidP="00B63D26" w:rsidRDefault="00B63D26" w14:paraId="3F6941D6" w14:textId="77777777">
      <w:pPr>
        <w:tabs>
          <w:tab w:val="left" w:pos="1710"/>
        </w:tabs>
        <w:spacing w:after="120" w:line="240" w:lineRule="auto"/>
        <w:ind w:left="1713" w:hanging="446"/>
        <w:rPr>
          <w:rFonts w:ascii="Palatino" w:hAnsi="Palatino" w:eastAsia="Times New Roman" w:cs="Times New Roman"/>
          <w:szCs w:val="20"/>
        </w:rPr>
      </w:pPr>
      <w:r w:rsidRPr="00E83798">
        <w:rPr>
          <w:rFonts w:ascii="Palatino" w:hAnsi="Palatino" w:eastAsia="Times New Roman" w:cs="Times New Roman"/>
          <w:szCs w:val="20"/>
        </w:rPr>
        <w:t>a.</w:t>
      </w:r>
      <w:r w:rsidRPr="00E83798">
        <w:rPr>
          <w:rFonts w:ascii="Palatino" w:hAnsi="Palatino" w:eastAsia="Times New Roman" w:cs="Times New Roman"/>
          <w:szCs w:val="20"/>
        </w:rPr>
        <w:tab/>
        <w:t>The annual fee for attaching to a pole and supporting anchor.</w:t>
      </w:r>
    </w:p>
    <w:p w:rsidRPr="00E83798" w:rsidR="00B63D26" w:rsidP="00B63D26" w:rsidRDefault="00B63D26" w14:paraId="440F75B4" w14:textId="77777777">
      <w:pPr>
        <w:tabs>
          <w:tab w:val="left" w:pos="1710"/>
        </w:tabs>
        <w:spacing w:after="120" w:line="240" w:lineRule="auto"/>
        <w:ind w:left="1713" w:hanging="446"/>
        <w:rPr>
          <w:rFonts w:ascii="Palatino" w:hAnsi="Palatino" w:eastAsia="Times New Roman" w:cs="Times New Roman"/>
          <w:szCs w:val="20"/>
        </w:rPr>
      </w:pPr>
      <w:r w:rsidRPr="00E83798">
        <w:rPr>
          <w:rFonts w:ascii="Palatino" w:hAnsi="Palatino" w:eastAsia="Times New Roman" w:cs="Times New Roman"/>
          <w:szCs w:val="20"/>
        </w:rPr>
        <w:t>b.</w:t>
      </w:r>
      <w:r w:rsidRPr="00E83798">
        <w:rPr>
          <w:rFonts w:ascii="Palatino" w:hAnsi="Palatino" w:eastAsia="Times New Roman" w:cs="Times New Roman"/>
          <w:szCs w:val="20"/>
        </w:rPr>
        <w:tab/>
        <w:t>The annual fee per linear foot for use of conduit.</w:t>
      </w:r>
    </w:p>
    <w:p w:rsidRPr="00E83798" w:rsidR="00B63D26" w:rsidP="00B63D26" w:rsidRDefault="00B63D26" w14:paraId="20234565" w14:textId="25486F51">
      <w:pPr>
        <w:tabs>
          <w:tab w:val="left" w:pos="1710"/>
        </w:tabs>
        <w:spacing w:after="120" w:line="240" w:lineRule="auto"/>
        <w:ind w:left="1713" w:hanging="446"/>
        <w:rPr>
          <w:rFonts w:ascii="Palatino" w:hAnsi="Palatino" w:eastAsia="Times New Roman" w:cs="Times New Roman"/>
          <w:szCs w:val="20"/>
        </w:rPr>
      </w:pPr>
      <w:r w:rsidRPr="00E83798">
        <w:rPr>
          <w:rFonts w:ascii="Palatino" w:hAnsi="Palatino" w:eastAsia="Times New Roman" w:cs="Times New Roman"/>
          <w:szCs w:val="20"/>
        </w:rPr>
        <w:lastRenderedPageBreak/>
        <w:t>c.</w:t>
      </w:r>
      <w:r w:rsidRPr="00E83798">
        <w:rPr>
          <w:rFonts w:ascii="Palatino" w:hAnsi="Palatino" w:eastAsia="Times New Roman" w:cs="Times New Roman"/>
          <w:szCs w:val="20"/>
        </w:rPr>
        <w:tab/>
        <w:t>Unit costs for all make</w:t>
      </w:r>
      <w:r w:rsidR="00E4753D">
        <w:rPr>
          <w:rFonts w:ascii="Palatino" w:hAnsi="Palatino" w:eastAsia="Times New Roman" w:cs="Times New Roman"/>
          <w:szCs w:val="20"/>
        </w:rPr>
        <w:noBreakHyphen/>
      </w:r>
      <w:r w:rsidRPr="00E83798">
        <w:rPr>
          <w:rFonts w:ascii="Palatino" w:hAnsi="Palatino" w:eastAsia="Times New Roman" w:cs="Times New Roman"/>
          <w:szCs w:val="20"/>
        </w:rPr>
        <w:t>ready and rearrangements work.</w:t>
      </w:r>
    </w:p>
    <w:p w:rsidRPr="00E83798" w:rsidR="00B63D26" w:rsidP="00B63D26" w:rsidRDefault="00B63D26" w14:paraId="042A06B7" w14:textId="2EBE851D">
      <w:pPr>
        <w:tabs>
          <w:tab w:val="left" w:pos="1710"/>
        </w:tabs>
        <w:spacing w:after="120" w:line="240" w:lineRule="auto"/>
        <w:ind w:left="1713" w:hanging="446"/>
        <w:rPr>
          <w:rFonts w:ascii="Palatino" w:hAnsi="Palatino" w:eastAsia="Times New Roman" w:cs="Times New Roman"/>
          <w:szCs w:val="20"/>
        </w:rPr>
      </w:pPr>
      <w:r w:rsidRPr="00E83798">
        <w:rPr>
          <w:rFonts w:ascii="Palatino" w:hAnsi="Palatino" w:eastAsia="Times New Roman" w:cs="Times New Roman"/>
          <w:szCs w:val="20"/>
        </w:rPr>
        <w:t>d.</w:t>
      </w:r>
      <w:r w:rsidRPr="00E83798">
        <w:rPr>
          <w:rFonts w:ascii="Palatino" w:hAnsi="Palatino" w:eastAsia="Times New Roman" w:cs="Times New Roman"/>
          <w:szCs w:val="20"/>
        </w:rPr>
        <w:tab/>
        <w:t>All terms and conditions governing access to its rights</w:t>
      </w:r>
      <w:r w:rsidR="00E4753D">
        <w:rPr>
          <w:rFonts w:ascii="Palatino" w:hAnsi="Palatino" w:eastAsia="Times New Roman" w:cs="Times New Roman"/>
          <w:szCs w:val="20"/>
        </w:rPr>
        <w:noBreakHyphen/>
      </w:r>
      <w:r w:rsidRPr="00E83798">
        <w:rPr>
          <w:rFonts w:ascii="Palatino" w:hAnsi="Palatino" w:eastAsia="Times New Roman" w:cs="Times New Roman"/>
          <w:szCs w:val="20"/>
        </w:rPr>
        <w:t>of</w:t>
      </w:r>
      <w:r w:rsidR="00E4753D">
        <w:rPr>
          <w:rFonts w:ascii="Palatino" w:hAnsi="Palatino" w:eastAsia="Times New Roman" w:cs="Times New Roman"/>
          <w:szCs w:val="20"/>
        </w:rPr>
        <w:noBreakHyphen/>
      </w:r>
      <w:r w:rsidRPr="00E83798">
        <w:rPr>
          <w:rFonts w:ascii="Palatino" w:hAnsi="Palatino" w:eastAsia="Times New Roman" w:cs="Times New Roman"/>
          <w:szCs w:val="20"/>
        </w:rPr>
        <w:t>way and support structures.</w:t>
      </w:r>
    </w:p>
    <w:p w:rsidRPr="00E83798" w:rsidR="00B63D26" w:rsidP="00B63D26" w:rsidRDefault="00B63D26" w14:paraId="5B5057D8" w14:textId="77777777">
      <w:pPr>
        <w:tabs>
          <w:tab w:val="left" w:pos="1710"/>
        </w:tabs>
        <w:spacing w:after="120" w:line="240" w:lineRule="auto"/>
        <w:ind w:left="1713" w:hanging="446"/>
        <w:rPr>
          <w:rFonts w:ascii="Palatino" w:hAnsi="Palatino" w:eastAsia="Times New Roman" w:cs="Times New Roman"/>
          <w:szCs w:val="20"/>
        </w:rPr>
      </w:pPr>
      <w:r w:rsidRPr="00E83798">
        <w:rPr>
          <w:rFonts w:ascii="Palatino" w:hAnsi="Palatino" w:eastAsia="Times New Roman" w:cs="Times New Roman"/>
          <w:szCs w:val="20"/>
        </w:rPr>
        <w:t>e.</w:t>
      </w:r>
      <w:r w:rsidRPr="00E83798">
        <w:rPr>
          <w:rFonts w:ascii="Palatino" w:hAnsi="Palatino" w:eastAsia="Times New Roman" w:cs="Times New Roman"/>
          <w:szCs w:val="20"/>
        </w:rPr>
        <w:tab/>
        <w:t>The fee for copies or preparation of maps, drawings and plans for attachment to or use of support structures.</w:t>
      </w:r>
    </w:p>
    <w:p w:rsidRPr="00E83798" w:rsidR="00B63D26" w:rsidP="00B63D26" w:rsidRDefault="00B63D26" w14:paraId="3446F09B" w14:textId="127163DD">
      <w:pPr>
        <w:tabs>
          <w:tab w:val="left" w:pos="1080"/>
        </w:tabs>
        <w:spacing w:after="240" w:line="240" w:lineRule="auto"/>
        <w:ind w:left="1080" w:hanging="360"/>
        <w:rPr>
          <w:rFonts w:ascii="Palatino" w:hAnsi="Palatino" w:eastAsia="Times New Roman" w:cs="Times New Roman"/>
          <w:strike/>
          <w:szCs w:val="20"/>
        </w:rPr>
      </w:pPr>
      <w:r w:rsidRPr="00E83798">
        <w:rPr>
          <w:rFonts w:ascii="Palatino" w:hAnsi="Palatino" w:eastAsia="Times New Roman" w:cs="Times New Roman"/>
          <w:szCs w:val="20"/>
        </w:rPr>
        <w:t>2.</w:t>
      </w:r>
      <w:r w:rsidRPr="00E83798">
        <w:rPr>
          <w:rFonts w:ascii="Palatino" w:hAnsi="Palatino" w:eastAsia="Times New Roman" w:cs="Times New Roman"/>
          <w:szCs w:val="20"/>
        </w:rPr>
        <w:tab/>
        <w:t xml:space="preserve">A utility entering into contracts with </w:t>
      </w:r>
      <w:r w:rsidRPr="00E83798">
        <w:rPr>
          <w:rFonts w:ascii="Palatino" w:hAnsi="Palatino" w:eastAsia="Times New Roman" w:cs="Times New Roman"/>
          <w:i/>
          <w:iCs/>
          <w:color w:val="0915FF"/>
          <w:szCs w:val="20"/>
        </w:rPr>
        <w:t>an attacher</w:t>
      </w:r>
      <w:r w:rsidRPr="00E83798">
        <w:rPr>
          <w:rFonts w:ascii="Palatino" w:hAnsi="Palatino" w:eastAsia="Times New Roman" w:cs="Times New Roman"/>
          <w:strike/>
          <w:color w:val="FF0000"/>
          <w:szCs w:val="20"/>
        </w:rPr>
        <w:t xml:space="preserve"> telecommunications carriers, CMRS carriers, or cable TV companies or cable TV company</w:t>
      </w:r>
      <w:r w:rsidRPr="00E83798">
        <w:rPr>
          <w:rFonts w:ascii="Palatino" w:hAnsi="Palatino" w:eastAsia="Times New Roman" w:cs="Times New Roman"/>
          <w:szCs w:val="20"/>
        </w:rPr>
        <w:t xml:space="preserve"> for access to its support structures, shall </w:t>
      </w:r>
      <w:r w:rsidRPr="00E83798">
        <w:rPr>
          <w:rFonts w:ascii="Palatino" w:hAnsi="Palatino" w:eastAsia="Times New Roman" w:cs="Times New Roman"/>
          <w:i/>
          <w:iCs/>
          <w:color w:val="0915FF"/>
          <w:szCs w:val="20"/>
        </w:rPr>
        <w:t>submit</w:t>
      </w:r>
      <w:r w:rsidRPr="00E83798">
        <w:rPr>
          <w:rFonts w:ascii="Palatino" w:hAnsi="Palatino" w:eastAsia="Times New Roman" w:cs="Times New Roman"/>
          <w:color w:val="0915FF"/>
          <w:szCs w:val="20"/>
        </w:rPr>
        <w:t xml:space="preserve"> </w:t>
      </w:r>
      <w:r w:rsidRPr="00E83798">
        <w:rPr>
          <w:rFonts w:ascii="Palatino" w:hAnsi="Palatino" w:eastAsia="Times New Roman" w:cs="Times New Roman"/>
          <w:strike/>
          <w:color w:val="FF0000"/>
          <w:szCs w:val="20"/>
        </w:rPr>
        <w:t>file</w:t>
      </w:r>
      <w:r w:rsidRPr="00E83798">
        <w:rPr>
          <w:rFonts w:ascii="Palatino" w:hAnsi="Palatino" w:eastAsia="Times New Roman" w:cs="Times New Roman"/>
          <w:szCs w:val="20"/>
        </w:rPr>
        <w:t xml:space="preserve"> such contracts with the Commission pursuant to General Order 96, available for full public inspection, and extended on a nondiscriminatory basis to all other similarly situated</w:t>
      </w:r>
      <w:r w:rsidRPr="00E83798">
        <w:rPr>
          <w:rFonts w:ascii="Palatino" w:hAnsi="Palatino" w:eastAsia="Times New Roman" w:cs="Times New Roman"/>
          <w:i/>
          <w:iCs/>
          <w:color w:val="0915FF"/>
          <w:szCs w:val="20"/>
        </w:rPr>
        <w:t xml:space="preserve"> attachers</w:t>
      </w:r>
      <w:r w:rsidRPr="00E83798">
        <w:rPr>
          <w:rFonts w:ascii="Palatino" w:hAnsi="Palatino" w:eastAsia="Times New Roman" w:cs="Times New Roman"/>
          <w:strike/>
          <w:color w:val="FF0000"/>
          <w:szCs w:val="20"/>
        </w:rPr>
        <w:t xml:space="preserve"> telecommunications carriers, CMRS carriers, or cable TV companies</w:t>
      </w:r>
      <w:r w:rsidRPr="00E83798">
        <w:rPr>
          <w:rFonts w:ascii="Palatino" w:hAnsi="Palatino" w:eastAsia="Times New Roman" w:cs="Times New Roman"/>
          <w:szCs w:val="20"/>
        </w:rPr>
        <w:t xml:space="preserve">.  </w:t>
      </w:r>
      <w:r w:rsidRPr="00E83798">
        <w:rPr>
          <w:rFonts w:ascii="Palatino" w:hAnsi="Palatino" w:eastAsia="Times New Roman" w:cs="Times New Roman"/>
          <w:strike/>
          <w:color w:val="FF0000"/>
          <w:szCs w:val="20"/>
        </w:rPr>
        <w:t>If the contracts are mutually negotiated and submitted as being pursuant to the terms of 251 and 252 of TA 96, they shall be reviewed consistent with the provisions of Resolution ALJ</w:t>
      </w:r>
      <w:r w:rsidR="00E4753D">
        <w:rPr>
          <w:rFonts w:ascii="Palatino" w:hAnsi="Palatino" w:eastAsia="Times New Roman" w:cs="Times New Roman"/>
          <w:strike/>
          <w:color w:val="FF0000"/>
          <w:szCs w:val="20"/>
        </w:rPr>
        <w:noBreakHyphen/>
      </w:r>
      <w:r w:rsidRPr="00E83798">
        <w:rPr>
          <w:rFonts w:ascii="Palatino" w:hAnsi="Palatino" w:eastAsia="Times New Roman" w:cs="Times New Roman"/>
          <w:strike/>
          <w:color w:val="FF0000"/>
          <w:szCs w:val="20"/>
        </w:rPr>
        <w:t>174.</w:t>
      </w:r>
    </w:p>
    <w:p w:rsidRPr="00B33E3A" w:rsidR="00B63D26" w:rsidP="00B63D26" w:rsidRDefault="00B63D26" w14:paraId="20893CCF" w14:textId="77777777">
      <w:pPr>
        <w:tabs>
          <w:tab w:val="left" w:pos="1080"/>
        </w:tabs>
        <w:spacing w:after="240" w:line="240" w:lineRule="auto"/>
        <w:ind w:left="1080" w:hanging="360"/>
        <w:rPr>
          <w:rFonts w:ascii="Palatino" w:hAnsi="Palatino" w:eastAsia="Times New Roman" w:cs="Times New Roman"/>
          <w:i/>
          <w:iCs/>
          <w:color w:val="0915FF"/>
          <w:szCs w:val="20"/>
        </w:rPr>
      </w:pPr>
      <w:r w:rsidRPr="00B33E3A">
        <w:rPr>
          <w:rFonts w:ascii="Palatino" w:hAnsi="Palatino" w:eastAsia="Times New Roman" w:cs="Times New Roman"/>
          <w:i/>
          <w:iCs/>
          <w:color w:val="0915FF"/>
          <w:szCs w:val="20"/>
        </w:rPr>
        <w:t xml:space="preserve">3.  A utility must make the contracts publicly available on its internet website. </w:t>
      </w:r>
    </w:p>
    <w:p w:rsidRPr="00B33E3A" w:rsidR="00B63D26" w:rsidP="00B63D26" w:rsidRDefault="00B63D26" w14:paraId="4BEE8426" w14:textId="77777777">
      <w:pPr>
        <w:tabs>
          <w:tab w:val="left" w:pos="1080"/>
        </w:tabs>
        <w:spacing w:after="240" w:line="240" w:lineRule="auto"/>
        <w:ind w:left="1080" w:hanging="360"/>
        <w:rPr>
          <w:rFonts w:ascii="Palatino" w:hAnsi="Palatino" w:eastAsia="Times New Roman" w:cs="Times New Roman"/>
          <w:i/>
          <w:iCs/>
          <w:color w:val="0915FF"/>
          <w:szCs w:val="20"/>
        </w:rPr>
      </w:pPr>
      <w:r w:rsidRPr="00B33E3A">
        <w:rPr>
          <w:rFonts w:ascii="Palatino" w:hAnsi="Palatino" w:eastAsia="Times New Roman" w:cs="Times New Roman"/>
          <w:i/>
          <w:iCs/>
          <w:color w:val="0915FF"/>
          <w:szCs w:val="20"/>
        </w:rPr>
        <w:t>4.  Commission staff may post these agreements on the Commission’s website for transparency.</w:t>
      </w:r>
    </w:p>
    <w:p w:rsidR="00410529" w:rsidP="00ED36CC" w:rsidRDefault="00455504" w14:paraId="56841957" w14:textId="5700E65B">
      <w:pPr>
        <w:pStyle w:val="Standard"/>
      </w:pPr>
      <w:r>
        <w:t>By</w:t>
      </w:r>
      <w:r w:rsidR="002D223B">
        <w:t xml:space="preserve"> making these amendments, the Commission confirms its intent </w:t>
      </w:r>
      <w:r w:rsidR="00E424E6">
        <w:t>that non</w:t>
      </w:r>
      <w:r w:rsidR="00E4753D">
        <w:noBreakHyphen/>
      </w:r>
      <w:r w:rsidR="00E424E6">
        <w:t>CPCN entities</w:t>
      </w:r>
      <w:r w:rsidR="00F13F93">
        <w:t>,</w:t>
      </w:r>
      <w:r w:rsidR="00E424E6">
        <w:t xml:space="preserve"> such as government agencies</w:t>
      </w:r>
      <w:r w:rsidR="00F13F93">
        <w:t>,</w:t>
      </w:r>
      <w:r w:rsidR="00E424E6">
        <w:t xml:space="preserve"> must be provided access</w:t>
      </w:r>
      <w:r w:rsidR="002D37CD">
        <w:t xml:space="preserve"> to </w:t>
      </w:r>
      <w:r w:rsidR="007E778C">
        <w:t>incumbent utilities</w:t>
      </w:r>
      <w:r w:rsidR="00FA7301">
        <w:t xml:space="preserve"> ROW and support structures</w:t>
      </w:r>
      <w:r w:rsidR="002D37CD">
        <w:t xml:space="preserve"> on the condition that they make a binding commitment to comply with the Commission</w:t>
      </w:r>
      <w:r w:rsidR="00410529">
        <w:t>’</w:t>
      </w:r>
      <w:r w:rsidR="002D37CD">
        <w:t xml:space="preserve">s </w:t>
      </w:r>
      <w:r w:rsidR="005B40C8">
        <w:t>GO</w:t>
      </w:r>
      <w:r w:rsidR="0051059D">
        <w:t> </w:t>
      </w:r>
      <w:r w:rsidR="00AA583C">
        <w:t>95</w:t>
      </w:r>
      <w:r w:rsidR="00CD3920">
        <w:t xml:space="preserve"> (Overhead electric [an communications] line construction</w:t>
      </w:r>
      <w:r w:rsidR="002C5C49">
        <w:t>)</w:t>
      </w:r>
      <w:r w:rsidR="00AA583C">
        <w:t xml:space="preserve">, </w:t>
      </w:r>
      <w:r w:rsidR="005B40C8">
        <w:t>GO</w:t>
      </w:r>
      <w:r w:rsidR="0051059D">
        <w:t> </w:t>
      </w:r>
      <w:r w:rsidR="00AA583C">
        <w:t>128</w:t>
      </w:r>
      <w:r w:rsidR="002C5C49">
        <w:t xml:space="preserve"> (Construction of underground electric supply and communication systems)</w:t>
      </w:r>
      <w:r w:rsidR="00AA583C">
        <w:t xml:space="preserve">, and </w:t>
      </w:r>
      <w:r>
        <w:t xml:space="preserve">the requirements adopted by </w:t>
      </w:r>
      <w:r w:rsidR="00AA583C">
        <w:t>this decision.</w:t>
      </w:r>
      <w:r w:rsidR="00AB000A">
        <w:t xml:space="preserve"> In doing so, the Commission relies on the </w:t>
      </w:r>
      <w:r w:rsidR="00A10451">
        <w:t xml:space="preserve">general regulatory </w:t>
      </w:r>
      <w:r w:rsidR="00AB000A">
        <w:t xml:space="preserve">authority provided by </w:t>
      </w:r>
      <w:r w:rsidR="00EA6875">
        <w:t>Pub.</w:t>
      </w:r>
      <w:r w:rsidR="0051059D">
        <w:t> </w:t>
      </w:r>
      <w:r w:rsidR="00EA6875">
        <w:t>Util.</w:t>
      </w:r>
      <w:r w:rsidR="00AB000A">
        <w:t xml:space="preserve"> Code </w:t>
      </w:r>
      <w:r w:rsidR="00B64DFB">
        <w:t>Section</w:t>
      </w:r>
      <w:r w:rsidR="0051059D">
        <w:t> </w:t>
      </w:r>
      <w:r w:rsidR="00AB000A">
        <w:t>701, quoted</w:t>
      </w:r>
      <w:r w:rsidR="00904C9E">
        <w:t>,</w:t>
      </w:r>
      <w:r w:rsidR="00AB000A">
        <w:t xml:space="preserve"> </w:t>
      </w:r>
      <w:r w:rsidRPr="00B47BA5" w:rsidR="00AB000A">
        <w:rPr>
          <w:i/>
          <w:iCs/>
        </w:rPr>
        <w:t>supra</w:t>
      </w:r>
      <w:r w:rsidRPr="00B47BA5" w:rsidR="00904C9E">
        <w:rPr>
          <w:i/>
          <w:iCs/>
        </w:rPr>
        <w:t>,</w:t>
      </w:r>
      <w:r w:rsidR="00904C9E">
        <w:t xml:space="preserve"> at </w:t>
      </w:r>
      <w:r w:rsidR="00B1117C">
        <w:t>footnote</w:t>
      </w:r>
      <w:r w:rsidR="0051059D">
        <w:t> </w:t>
      </w:r>
      <w:r w:rsidR="006166F1">
        <w:t>15</w:t>
      </w:r>
      <w:r w:rsidR="00904C9E">
        <w:t>,</w:t>
      </w:r>
      <w:r w:rsidR="00A10451">
        <w:t xml:space="preserve"> and the specific authority </w:t>
      </w:r>
      <w:r w:rsidR="003036DF">
        <w:t xml:space="preserve">provided by </w:t>
      </w:r>
      <w:r w:rsidR="00EA6875">
        <w:t>Pub.</w:t>
      </w:r>
      <w:r w:rsidR="0051059D">
        <w:t> </w:t>
      </w:r>
      <w:r w:rsidR="00EA6875">
        <w:t>Util.</w:t>
      </w:r>
      <w:r w:rsidR="003036DF">
        <w:t xml:space="preserve"> Code </w:t>
      </w:r>
      <w:r w:rsidR="00B64DFB">
        <w:t>Section</w:t>
      </w:r>
      <w:r w:rsidR="0051059D">
        <w:t> </w:t>
      </w:r>
      <w:r w:rsidR="003036DF">
        <w:t xml:space="preserve">767, quoted, </w:t>
      </w:r>
      <w:r w:rsidRPr="00B47BA5" w:rsidR="003036DF">
        <w:rPr>
          <w:i/>
          <w:iCs/>
        </w:rPr>
        <w:t>supra</w:t>
      </w:r>
      <w:r w:rsidR="003036DF">
        <w:t xml:space="preserve">, at </w:t>
      </w:r>
      <w:r w:rsidR="00B1117C">
        <w:t>footnote</w:t>
      </w:r>
      <w:r w:rsidR="0051059D">
        <w:t> </w:t>
      </w:r>
      <w:r w:rsidR="00D44642">
        <w:t>16</w:t>
      </w:r>
      <w:r w:rsidR="003036DF">
        <w:t>,</w:t>
      </w:r>
      <w:r w:rsidR="00847910">
        <w:t xml:space="preserve"> to include government agencies</w:t>
      </w:r>
      <w:r w:rsidR="004C3184">
        <w:t xml:space="preserve"> within the definition of </w:t>
      </w:r>
      <w:r w:rsidR="00410529">
        <w:t>“</w:t>
      </w:r>
      <w:r w:rsidR="00ED5211">
        <w:t>attacher</w:t>
      </w:r>
      <w:r w:rsidR="00410529">
        <w:t>”</w:t>
      </w:r>
      <w:r w:rsidR="000A7125">
        <w:t xml:space="preserve"> that should be granted ROW access</w:t>
      </w:r>
      <w:r w:rsidR="00F96663">
        <w:t>.</w:t>
      </w:r>
    </w:p>
    <w:p w:rsidR="00047099" w:rsidP="00ED36CC" w:rsidRDefault="00047099" w14:paraId="7E5DA3F3" w14:textId="3A54ADEC">
      <w:pPr>
        <w:pStyle w:val="Standard"/>
      </w:pPr>
      <w:r>
        <w:lastRenderedPageBreak/>
        <w:t xml:space="preserve">As further support for this conclusion to </w:t>
      </w:r>
      <w:r w:rsidR="00537692">
        <w:t>grant government agencies ROW access</w:t>
      </w:r>
      <w:r w:rsidR="00725219">
        <w:t xml:space="preserve"> to the Major Pole Owners</w:t>
      </w:r>
      <w:r w:rsidR="00410529">
        <w:t>’</w:t>
      </w:r>
      <w:r w:rsidR="00725219">
        <w:t xml:space="preserve"> poles, </w:t>
      </w:r>
      <w:r w:rsidR="000217F2">
        <w:t>the Commission relies on its gene</w:t>
      </w:r>
      <w:r w:rsidR="00A950BC">
        <w:t>r</w:t>
      </w:r>
      <w:r w:rsidR="000217F2">
        <w:t xml:space="preserve">al authority over </w:t>
      </w:r>
      <w:r w:rsidR="00A950BC">
        <w:t xml:space="preserve">utilities to order ROW </w:t>
      </w:r>
      <w:r w:rsidR="00F13F93">
        <w:t xml:space="preserve">access </w:t>
      </w:r>
      <w:r w:rsidR="00A950BC">
        <w:t xml:space="preserve">for entities </w:t>
      </w:r>
      <w:r w:rsidR="00752553">
        <w:t xml:space="preserve">such as government and </w:t>
      </w:r>
      <w:r w:rsidR="002D1FCE">
        <w:t xml:space="preserve">tribal entities </w:t>
      </w:r>
      <w:r w:rsidR="00A950BC">
        <w:t>that provide broadband services.</w:t>
      </w:r>
      <w:r w:rsidR="000E7DD4">
        <w:t xml:space="preserve"> In taking such action, the Commission </w:t>
      </w:r>
      <w:r w:rsidR="00DC150D">
        <w:t xml:space="preserve">seeks to advance telecommunications competition </w:t>
      </w:r>
      <w:r w:rsidR="008F2101">
        <w:t xml:space="preserve">and </w:t>
      </w:r>
      <w:r w:rsidR="00410529">
        <w:t>“</w:t>
      </w:r>
      <w:r w:rsidR="008F2101">
        <w:t>encourage the deployment… of advanced telecommunications,</w:t>
      </w:r>
      <w:r w:rsidR="00410529">
        <w:t>”</w:t>
      </w:r>
      <w:r w:rsidR="008F2101">
        <w:t xml:space="preserve"> as provided</w:t>
      </w:r>
      <w:r w:rsidR="00197B4B">
        <w:t xml:space="preserve"> by </w:t>
      </w:r>
      <w:r w:rsidR="00997A41">
        <w:t>47</w:t>
      </w:r>
      <w:r w:rsidR="0051059D">
        <w:t> </w:t>
      </w:r>
      <w:r w:rsidR="00997A41">
        <w:t>U</w:t>
      </w:r>
      <w:r w:rsidR="00197B4B">
        <w:t xml:space="preserve">.S.C. </w:t>
      </w:r>
      <w:r w:rsidR="00B64DFB">
        <w:t>Section</w:t>
      </w:r>
      <w:r w:rsidR="0051059D">
        <w:t> </w:t>
      </w:r>
      <w:r w:rsidR="00197B4B">
        <w:t>1302(a) of the Federal Telecommunications Act.</w:t>
      </w:r>
    </w:p>
    <w:p w:rsidR="00A044AB" w:rsidP="00ED36CC" w:rsidRDefault="00A044AB" w14:paraId="2050BCD6" w14:textId="0E57C2C2">
      <w:pPr>
        <w:pStyle w:val="Standard"/>
      </w:pPr>
      <w:r>
        <w:t xml:space="preserve">The </w:t>
      </w:r>
      <w:r w:rsidR="00F13F93">
        <w:t xml:space="preserve">above </w:t>
      </w:r>
      <w:r>
        <w:t xml:space="preserve">amendments also </w:t>
      </w:r>
      <w:r w:rsidR="00D33D70">
        <w:t>address the Joint Pole Association</w:t>
      </w:r>
      <w:r w:rsidR="00410529">
        <w:t>’</w:t>
      </w:r>
      <w:r w:rsidR="00D33D70">
        <w:t>s</w:t>
      </w:r>
      <w:r w:rsidR="00121E60">
        <w:t xml:space="preserve"> concern</w:t>
      </w:r>
      <w:r w:rsidR="00D33D70">
        <w:t xml:space="preserve"> that it could be used to circumvent Commission rules regarding ROW access.</w:t>
      </w:r>
      <w:r w:rsidR="00DF607C">
        <w:t xml:space="preserve"> No utility under the Commission</w:t>
      </w:r>
      <w:r w:rsidR="00410529">
        <w:t>’</w:t>
      </w:r>
      <w:r w:rsidR="00DF607C">
        <w:t>s jurisdiction shall enter into agreements, contracts, or associations</w:t>
      </w:r>
      <w:r w:rsidR="0011694D">
        <w:t xml:space="preserve"> for the management of rights of way or associated support structures</w:t>
      </w:r>
      <w:r w:rsidR="009D2DBD">
        <w:t xml:space="preserve"> that knowingly or unknowingly violate the requirements of this decision</w:t>
      </w:r>
      <w:r w:rsidR="00BD609C">
        <w:t xml:space="preserve"> or any applicable </w:t>
      </w:r>
      <w:r w:rsidR="00F13F93">
        <w:t>GOs</w:t>
      </w:r>
      <w:r w:rsidR="002649EE">
        <w:t xml:space="preserve"> </w:t>
      </w:r>
      <w:r w:rsidR="00BD609C">
        <w:t>regarding ROW access.</w:t>
      </w:r>
    </w:p>
    <w:p w:rsidRPr="007D08A2" w:rsidR="00422DE8" w:rsidP="00ED36CC" w:rsidRDefault="00121E60" w14:paraId="369996EA" w14:textId="7517F277">
      <w:pPr>
        <w:pStyle w:val="Standard"/>
        <w:rPr>
          <w:szCs w:val="26"/>
        </w:rPr>
      </w:pPr>
      <w:r>
        <w:t xml:space="preserve">Finally, </w:t>
      </w:r>
      <w:r w:rsidR="004C4EF7">
        <w:t>we r</w:t>
      </w:r>
      <w:r w:rsidR="00422DE8">
        <w:rPr>
          <w:szCs w:val="26"/>
        </w:rPr>
        <w:t xml:space="preserve">eject </w:t>
      </w:r>
      <w:r w:rsidR="004C4EF7">
        <w:rPr>
          <w:szCs w:val="26"/>
        </w:rPr>
        <w:t xml:space="preserve">the </w:t>
      </w:r>
      <w:r w:rsidR="00422DE8">
        <w:rPr>
          <w:szCs w:val="26"/>
        </w:rPr>
        <w:t>request of small, multi</w:t>
      </w:r>
      <w:r w:rsidR="00E4753D">
        <w:rPr>
          <w:szCs w:val="26"/>
        </w:rPr>
        <w:noBreakHyphen/>
      </w:r>
      <w:r w:rsidR="00422DE8">
        <w:rPr>
          <w:szCs w:val="26"/>
        </w:rPr>
        <w:t xml:space="preserve">jurisdictional utilities, </w:t>
      </w:r>
      <w:r w:rsidR="00410529">
        <w:rPr>
          <w:szCs w:val="26"/>
        </w:rPr>
        <w:t>“</w:t>
      </w:r>
      <w:r w:rsidR="00422DE8">
        <w:rPr>
          <w:szCs w:val="26"/>
        </w:rPr>
        <w:t>SMJUs,</w:t>
      </w:r>
      <w:r w:rsidR="00410529">
        <w:rPr>
          <w:szCs w:val="26"/>
        </w:rPr>
        <w:t>”</w:t>
      </w:r>
      <w:r w:rsidR="00422DE8">
        <w:rPr>
          <w:szCs w:val="26"/>
        </w:rPr>
        <w:t xml:space="preserve"> </w:t>
      </w:r>
      <w:r w:rsidRPr="00C360B4" w:rsidR="00422DE8">
        <w:rPr>
          <w:szCs w:val="26"/>
        </w:rPr>
        <w:t>Bear Valley (</w:t>
      </w:r>
      <w:r w:rsidR="007F24A4">
        <w:rPr>
          <w:szCs w:val="26"/>
        </w:rPr>
        <w:t>U 913</w:t>
      </w:r>
      <w:r w:rsidR="0051059D">
        <w:rPr>
          <w:szCs w:val="26"/>
        </w:rPr>
        <w:t> </w:t>
      </w:r>
      <w:r w:rsidR="007F24A4">
        <w:rPr>
          <w:szCs w:val="26"/>
        </w:rPr>
        <w:t>E</w:t>
      </w:r>
      <w:r w:rsidRPr="00C360B4" w:rsidR="00422DE8">
        <w:rPr>
          <w:szCs w:val="26"/>
        </w:rPr>
        <w:t>),</w:t>
      </w:r>
      <w:r w:rsidR="00422DE8">
        <w:rPr>
          <w:szCs w:val="26"/>
        </w:rPr>
        <w:t xml:space="preserve"> </w:t>
      </w:r>
      <w:r w:rsidRPr="00C360B4" w:rsidR="00422DE8">
        <w:rPr>
          <w:szCs w:val="26"/>
        </w:rPr>
        <w:t>Liberty Utilities (</w:t>
      </w:r>
      <w:proofErr w:type="spellStart"/>
      <w:r w:rsidRPr="00C360B4" w:rsidR="00422DE8">
        <w:rPr>
          <w:szCs w:val="26"/>
        </w:rPr>
        <w:t>Calpeco</w:t>
      </w:r>
      <w:proofErr w:type="spellEnd"/>
      <w:r w:rsidRPr="00C360B4" w:rsidR="00422DE8">
        <w:rPr>
          <w:szCs w:val="26"/>
        </w:rPr>
        <w:t xml:space="preserve"> Electric) </w:t>
      </w:r>
      <w:r w:rsidRPr="00C360B4" w:rsidR="007F24A4">
        <w:rPr>
          <w:szCs w:val="26"/>
        </w:rPr>
        <w:t xml:space="preserve">LLC </w:t>
      </w:r>
      <w:r w:rsidRPr="00C360B4" w:rsidR="00422DE8">
        <w:rPr>
          <w:szCs w:val="26"/>
        </w:rPr>
        <w:t>(</w:t>
      </w:r>
      <w:r w:rsidR="007F24A4">
        <w:rPr>
          <w:szCs w:val="26"/>
        </w:rPr>
        <w:t>U</w:t>
      </w:r>
      <w:r w:rsidR="0051059D">
        <w:rPr>
          <w:szCs w:val="26"/>
        </w:rPr>
        <w:t> </w:t>
      </w:r>
      <w:r w:rsidR="007F24A4">
        <w:rPr>
          <w:szCs w:val="26"/>
        </w:rPr>
        <w:t>9</w:t>
      </w:r>
      <w:r w:rsidRPr="00C360B4" w:rsidR="00422DE8">
        <w:rPr>
          <w:szCs w:val="26"/>
        </w:rPr>
        <w:t>33</w:t>
      </w:r>
      <w:r w:rsidR="0051059D">
        <w:rPr>
          <w:szCs w:val="26"/>
        </w:rPr>
        <w:t> </w:t>
      </w:r>
      <w:r w:rsidRPr="00C360B4" w:rsidR="00422DE8">
        <w:rPr>
          <w:szCs w:val="26"/>
        </w:rPr>
        <w:t xml:space="preserve">E), </w:t>
      </w:r>
      <w:r w:rsidR="00422DE8">
        <w:rPr>
          <w:szCs w:val="26"/>
        </w:rPr>
        <w:t>a</w:t>
      </w:r>
      <w:r w:rsidRPr="00C360B4" w:rsidR="00422DE8">
        <w:rPr>
          <w:szCs w:val="26"/>
        </w:rPr>
        <w:t xml:space="preserve">nd </w:t>
      </w:r>
      <w:proofErr w:type="spellStart"/>
      <w:r w:rsidRPr="00C360B4" w:rsidR="00422DE8">
        <w:rPr>
          <w:szCs w:val="26"/>
        </w:rPr>
        <w:t>Pacificorp</w:t>
      </w:r>
      <w:proofErr w:type="spellEnd"/>
      <w:r w:rsidRPr="00C360B4" w:rsidR="00422DE8">
        <w:rPr>
          <w:szCs w:val="26"/>
        </w:rPr>
        <w:t xml:space="preserve"> (</w:t>
      </w:r>
      <w:r w:rsidR="007F24A4">
        <w:rPr>
          <w:szCs w:val="26"/>
        </w:rPr>
        <w:t>U</w:t>
      </w:r>
      <w:r w:rsidR="0051059D">
        <w:rPr>
          <w:szCs w:val="26"/>
        </w:rPr>
        <w:t> </w:t>
      </w:r>
      <w:r w:rsidR="007F24A4">
        <w:rPr>
          <w:szCs w:val="26"/>
        </w:rPr>
        <w:t>9</w:t>
      </w:r>
      <w:r w:rsidRPr="00C360B4" w:rsidR="00422DE8">
        <w:rPr>
          <w:szCs w:val="26"/>
        </w:rPr>
        <w:t>01</w:t>
      </w:r>
      <w:r w:rsidR="0051059D">
        <w:rPr>
          <w:szCs w:val="26"/>
        </w:rPr>
        <w:t> </w:t>
      </w:r>
      <w:r w:rsidRPr="00C360B4" w:rsidR="00422DE8">
        <w:rPr>
          <w:szCs w:val="26"/>
        </w:rPr>
        <w:t>E)</w:t>
      </w:r>
      <w:r w:rsidR="004C4EF7">
        <w:rPr>
          <w:szCs w:val="26"/>
        </w:rPr>
        <w:t xml:space="preserve"> that they be exempt from these new ROW requirements.</w:t>
      </w:r>
      <w:r w:rsidR="00422DE8">
        <w:rPr>
          <w:szCs w:val="26"/>
        </w:rPr>
        <w:t xml:space="preserve"> </w:t>
      </w:r>
      <w:r w:rsidR="005E2BDE">
        <w:rPr>
          <w:szCs w:val="26"/>
        </w:rPr>
        <w:t>It is important to the objective of consistent regulatory oversight that</w:t>
      </w:r>
      <w:r w:rsidRPr="00C360B4" w:rsidR="00422DE8">
        <w:rPr>
          <w:szCs w:val="26"/>
        </w:rPr>
        <w:t xml:space="preserve"> all utilities </w:t>
      </w:r>
      <w:r w:rsidR="005E2BDE">
        <w:rPr>
          <w:szCs w:val="26"/>
        </w:rPr>
        <w:t>must be treated</w:t>
      </w:r>
      <w:r w:rsidR="00422DE8">
        <w:rPr>
          <w:szCs w:val="26"/>
        </w:rPr>
        <w:t xml:space="preserve"> uniformly </w:t>
      </w:r>
      <w:r w:rsidRPr="00C360B4" w:rsidR="00422DE8">
        <w:rPr>
          <w:szCs w:val="26"/>
        </w:rPr>
        <w:t>under the Commission</w:t>
      </w:r>
      <w:r w:rsidR="00410529">
        <w:rPr>
          <w:szCs w:val="26"/>
        </w:rPr>
        <w:t>’</w:t>
      </w:r>
      <w:r w:rsidRPr="00C360B4" w:rsidR="00422DE8">
        <w:rPr>
          <w:szCs w:val="26"/>
        </w:rPr>
        <w:t xml:space="preserve">s jurisdiction </w:t>
      </w:r>
      <w:r w:rsidR="00422DE8">
        <w:rPr>
          <w:szCs w:val="26"/>
        </w:rPr>
        <w:t xml:space="preserve">and </w:t>
      </w:r>
      <w:r w:rsidR="00835EAD">
        <w:rPr>
          <w:szCs w:val="26"/>
        </w:rPr>
        <w:t>ROW Rules</w:t>
      </w:r>
      <w:r w:rsidRPr="00C360B4" w:rsidR="00422DE8">
        <w:rPr>
          <w:szCs w:val="26"/>
        </w:rPr>
        <w:t xml:space="preserve">. </w:t>
      </w:r>
      <w:r w:rsidR="0017201E">
        <w:rPr>
          <w:szCs w:val="26"/>
        </w:rPr>
        <w:t>As the Commission has</w:t>
      </w:r>
      <w:r w:rsidRPr="00C360B4" w:rsidR="00422DE8">
        <w:rPr>
          <w:szCs w:val="26"/>
        </w:rPr>
        <w:t xml:space="preserve"> reverse preempted the FCC</w:t>
      </w:r>
      <w:r w:rsidR="0017201E">
        <w:rPr>
          <w:szCs w:val="26"/>
        </w:rPr>
        <w:t>, it is immaterial that</w:t>
      </w:r>
      <w:r w:rsidRPr="00C360B4" w:rsidR="00422DE8">
        <w:rPr>
          <w:szCs w:val="26"/>
        </w:rPr>
        <w:t xml:space="preserve"> the </w:t>
      </w:r>
      <w:r w:rsidR="00410529">
        <w:rPr>
          <w:szCs w:val="26"/>
        </w:rPr>
        <w:t>“</w:t>
      </w:r>
      <w:r w:rsidRPr="00C360B4" w:rsidR="00422DE8">
        <w:rPr>
          <w:szCs w:val="26"/>
        </w:rPr>
        <w:t>SMJUs</w:t>
      </w:r>
      <w:r w:rsidR="00410529">
        <w:rPr>
          <w:szCs w:val="26"/>
        </w:rPr>
        <w:t>”</w:t>
      </w:r>
      <w:r w:rsidRPr="00C360B4" w:rsidR="00422DE8">
        <w:rPr>
          <w:szCs w:val="26"/>
        </w:rPr>
        <w:t xml:space="preserve"> have maintained rules generally mirroring the FCC</w:t>
      </w:r>
      <w:r w:rsidR="00410529">
        <w:rPr>
          <w:szCs w:val="26"/>
        </w:rPr>
        <w:t>’</w:t>
      </w:r>
      <w:r w:rsidRPr="00C360B4" w:rsidR="00422DE8">
        <w:rPr>
          <w:szCs w:val="26"/>
        </w:rPr>
        <w:t xml:space="preserve">s </w:t>
      </w:r>
      <w:r w:rsidR="00835EAD">
        <w:rPr>
          <w:szCs w:val="26"/>
        </w:rPr>
        <w:t>ROW Rules</w:t>
      </w:r>
      <w:r w:rsidR="00D11E56">
        <w:rPr>
          <w:szCs w:val="26"/>
        </w:rPr>
        <w:t>,</w:t>
      </w:r>
      <w:r w:rsidR="00A1230A">
        <w:rPr>
          <w:szCs w:val="26"/>
        </w:rPr>
        <w:t xml:space="preserve"> since it is Californi</w:t>
      </w:r>
      <w:r w:rsidR="00A57F2C">
        <w:rPr>
          <w:szCs w:val="26"/>
        </w:rPr>
        <w:t>a</w:t>
      </w:r>
      <w:r w:rsidR="00410529">
        <w:rPr>
          <w:szCs w:val="26"/>
        </w:rPr>
        <w:t>’</w:t>
      </w:r>
      <w:r w:rsidR="00A57F2C">
        <w:rPr>
          <w:szCs w:val="26"/>
        </w:rPr>
        <w:t xml:space="preserve">s rules that take precedence. </w:t>
      </w:r>
      <w:r w:rsidR="007E2EDB">
        <w:rPr>
          <w:szCs w:val="26"/>
        </w:rPr>
        <w:t>Despite our preemption, we acknowledge that the</w:t>
      </w:r>
      <w:r w:rsidR="00422DE8">
        <w:rPr>
          <w:szCs w:val="26"/>
        </w:rPr>
        <w:t xml:space="preserve"> Commission</w:t>
      </w:r>
      <w:r w:rsidR="00410529">
        <w:rPr>
          <w:szCs w:val="26"/>
        </w:rPr>
        <w:t>’</w:t>
      </w:r>
      <w:r w:rsidR="00422DE8">
        <w:rPr>
          <w:szCs w:val="26"/>
        </w:rPr>
        <w:t xml:space="preserve">s </w:t>
      </w:r>
      <w:r w:rsidR="00835EAD">
        <w:rPr>
          <w:szCs w:val="26"/>
        </w:rPr>
        <w:t>ROW Rules</w:t>
      </w:r>
      <w:r w:rsidR="00422DE8">
        <w:rPr>
          <w:szCs w:val="26"/>
        </w:rPr>
        <w:t xml:space="preserve"> are similar to the FCC</w:t>
      </w:r>
      <w:r w:rsidR="00410529">
        <w:rPr>
          <w:szCs w:val="26"/>
        </w:rPr>
        <w:t>’</w:t>
      </w:r>
      <w:r w:rsidR="00422DE8">
        <w:rPr>
          <w:szCs w:val="26"/>
        </w:rPr>
        <w:t>s, and achieve the same objectives</w:t>
      </w:r>
      <w:r w:rsidR="00325DFE">
        <w:rPr>
          <w:szCs w:val="26"/>
        </w:rPr>
        <w:t>;</w:t>
      </w:r>
      <w:r w:rsidR="00422DE8">
        <w:rPr>
          <w:szCs w:val="26"/>
        </w:rPr>
        <w:t xml:space="preserve"> therefore, it should not be a substantial burden </w:t>
      </w:r>
      <w:r w:rsidR="00325DFE">
        <w:rPr>
          <w:szCs w:val="26"/>
        </w:rPr>
        <w:t xml:space="preserve">for the SMJUs </w:t>
      </w:r>
      <w:r w:rsidR="00422DE8">
        <w:rPr>
          <w:szCs w:val="26"/>
        </w:rPr>
        <w:t xml:space="preserve">to </w:t>
      </w:r>
      <w:r w:rsidR="00E73E1C">
        <w:rPr>
          <w:szCs w:val="26"/>
        </w:rPr>
        <w:t xml:space="preserve">adjust their operations to </w:t>
      </w:r>
      <w:r w:rsidR="00422DE8">
        <w:rPr>
          <w:szCs w:val="26"/>
        </w:rPr>
        <w:t xml:space="preserve">come into compliance with the </w:t>
      </w:r>
      <w:r w:rsidR="00325DFE">
        <w:rPr>
          <w:szCs w:val="26"/>
        </w:rPr>
        <w:t>Commission</w:t>
      </w:r>
      <w:r w:rsidR="00410529">
        <w:rPr>
          <w:szCs w:val="26"/>
        </w:rPr>
        <w:t>’</w:t>
      </w:r>
      <w:r w:rsidR="00325DFE">
        <w:rPr>
          <w:szCs w:val="26"/>
        </w:rPr>
        <w:t xml:space="preserve">s </w:t>
      </w:r>
      <w:r w:rsidR="00422DE8">
        <w:rPr>
          <w:szCs w:val="26"/>
        </w:rPr>
        <w:t xml:space="preserve">requirements. </w:t>
      </w:r>
      <w:r w:rsidR="00AC739A">
        <w:rPr>
          <w:szCs w:val="26"/>
        </w:rPr>
        <w:t xml:space="preserve">Our conclusion </w:t>
      </w:r>
      <w:r w:rsidR="00CE430F">
        <w:rPr>
          <w:szCs w:val="26"/>
        </w:rPr>
        <w:t>regarding the SMJUs</w:t>
      </w:r>
      <w:r w:rsidR="00410529">
        <w:rPr>
          <w:szCs w:val="26"/>
        </w:rPr>
        <w:t>’</w:t>
      </w:r>
      <w:r w:rsidR="00CE430F">
        <w:rPr>
          <w:szCs w:val="26"/>
        </w:rPr>
        <w:t xml:space="preserve"> ability to comply is buttressed by the fact that the </w:t>
      </w:r>
      <w:r w:rsidR="00422DE8">
        <w:rPr>
          <w:szCs w:val="26"/>
        </w:rPr>
        <w:t xml:space="preserve">SMJUs </w:t>
      </w:r>
      <w:r w:rsidR="00CE430F">
        <w:rPr>
          <w:szCs w:val="26"/>
        </w:rPr>
        <w:t xml:space="preserve">failed to </w:t>
      </w:r>
      <w:r w:rsidR="00422DE8">
        <w:rPr>
          <w:szCs w:val="26"/>
        </w:rPr>
        <w:lastRenderedPageBreak/>
        <w:t xml:space="preserve">provide any specific provisions that are burdensome, require tailoring, or exemption. </w:t>
      </w:r>
      <w:r w:rsidR="00CE430F">
        <w:rPr>
          <w:szCs w:val="26"/>
        </w:rPr>
        <w:t>Their claim of burden, then, is speculative</w:t>
      </w:r>
      <w:r w:rsidR="00465C26">
        <w:rPr>
          <w:szCs w:val="26"/>
        </w:rPr>
        <w:t xml:space="preserve"> and will not be given any weight.</w:t>
      </w:r>
    </w:p>
    <w:p w:rsidR="007A2E39" w:rsidP="00ED36CC" w:rsidRDefault="007A2015" w14:paraId="2D974A28" w14:textId="7C3B80C1">
      <w:pPr>
        <w:pStyle w:val="Heading2"/>
        <w:keepLines w:val="0"/>
      </w:pPr>
      <w:bookmarkStart w:name="_Toc229726770" w:id="57"/>
      <w:r>
        <w:t>Overlashing</w:t>
      </w:r>
      <w:bookmarkEnd w:id="57"/>
    </w:p>
    <w:p w:rsidR="004C1C4F" w:rsidP="00ED36CC" w:rsidRDefault="006D1689" w14:paraId="389495A3" w14:textId="5FFAEF17">
      <w:pPr>
        <w:pStyle w:val="Heading3"/>
        <w:keepLines w:val="0"/>
      </w:pPr>
      <w:bookmarkStart w:name="_Toc229726771" w:id="58"/>
      <w:r>
        <w:t xml:space="preserve">ROW </w:t>
      </w:r>
      <w:r w:rsidR="004B6D63">
        <w:t>Ruling Background</w:t>
      </w:r>
      <w:r w:rsidR="00B23FBA">
        <w:br/>
      </w:r>
      <w:r w:rsidR="004B6D63">
        <w:t>and Staff Proposal</w:t>
      </w:r>
      <w:bookmarkEnd w:id="58"/>
    </w:p>
    <w:p w:rsidRPr="007D08A2" w:rsidR="00F86B99" w:rsidP="00ED36CC" w:rsidRDefault="00F86B99" w14:paraId="69B608FD" w14:textId="551AC7F5">
      <w:pPr>
        <w:pStyle w:val="Standard"/>
        <w:rPr>
          <w:szCs w:val="26"/>
        </w:rPr>
      </w:pPr>
      <w:r w:rsidRPr="007D08A2">
        <w:rPr>
          <w:szCs w:val="26"/>
        </w:rPr>
        <w:t xml:space="preserve">The </w:t>
      </w:r>
      <w:r w:rsidRPr="00E13DDD">
        <w:rPr>
          <w:i/>
          <w:iCs/>
          <w:szCs w:val="26"/>
        </w:rPr>
        <w:t>December 2022</w:t>
      </w:r>
      <w:r w:rsidRPr="007D08A2">
        <w:rPr>
          <w:szCs w:val="26"/>
        </w:rPr>
        <w:t xml:space="preserve"> </w:t>
      </w:r>
      <w:r w:rsidRPr="007D08A2">
        <w:rPr>
          <w:i/>
          <w:iCs/>
          <w:szCs w:val="26"/>
        </w:rPr>
        <w:t>Ruling</w:t>
      </w:r>
      <w:r w:rsidRPr="007D08A2">
        <w:rPr>
          <w:szCs w:val="26"/>
        </w:rPr>
        <w:t xml:space="preserve"> requested party comment on the practice of </w:t>
      </w:r>
      <w:r w:rsidR="00410529">
        <w:rPr>
          <w:szCs w:val="26"/>
        </w:rPr>
        <w:t>“</w:t>
      </w:r>
      <w:r w:rsidRPr="007D08A2">
        <w:rPr>
          <w:szCs w:val="26"/>
        </w:rPr>
        <w:t>overlashing,</w:t>
      </w:r>
      <w:r w:rsidR="00410529">
        <w:rPr>
          <w:szCs w:val="26"/>
        </w:rPr>
        <w:t>”</w:t>
      </w:r>
      <w:r w:rsidRPr="007D08A2">
        <w:rPr>
          <w:szCs w:val="26"/>
        </w:rPr>
        <w:t xml:space="preserve"> which is the process of physically tying additional cables to existing cables on a utility pole to accommodate additional fiber or coaxial cables. The </w:t>
      </w:r>
      <w:r w:rsidRPr="003D4D2C" w:rsidR="003D4D2C">
        <w:rPr>
          <w:i/>
          <w:iCs/>
          <w:szCs w:val="26"/>
        </w:rPr>
        <w:t xml:space="preserve">December 2022 </w:t>
      </w:r>
      <w:r w:rsidRPr="003D4D2C">
        <w:rPr>
          <w:i/>
          <w:iCs/>
          <w:szCs w:val="26"/>
        </w:rPr>
        <w:t>Ruling</w:t>
      </w:r>
      <w:r w:rsidRPr="007D08A2">
        <w:rPr>
          <w:szCs w:val="26"/>
        </w:rPr>
        <w:t xml:space="preserve"> questions sought to develop the record on whether California</w:t>
      </w:r>
      <w:r w:rsidR="00410529">
        <w:rPr>
          <w:szCs w:val="26"/>
        </w:rPr>
        <w:t>’</w:t>
      </w:r>
      <w:r w:rsidRPr="007D08A2">
        <w:rPr>
          <w:szCs w:val="26"/>
        </w:rPr>
        <w:t xml:space="preserve">s existing </w:t>
      </w:r>
      <w:r w:rsidR="00835EAD">
        <w:rPr>
          <w:szCs w:val="26"/>
        </w:rPr>
        <w:t>ROW Rules</w:t>
      </w:r>
      <w:r w:rsidRPr="007D08A2">
        <w:rPr>
          <w:szCs w:val="26"/>
        </w:rPr>
        <w:t xml:space="preserve"> would benefit from setting formal parameters, processes, and definitions for this practice.</w:t>
      </w:r>
    </w:p>
    <w:p w:rsidRPr="007D08A2" w:rsidR="002C31DA" w:rsidP="00ED36CC" w:rsidRDefault="002C31DA" w14:paraId="7FA8D112" w14:textId="346B96D0">
      <w:pPr>
        <w:pStyle w:val="Standard"/>
        <w:rPr>
          <w:szCs w:val="26"/>
        </w:rPr>
      </w:pPr>
      <w:r w:rsidRPr="007D08A2">
        <w:rPr>
          <w:szCs w:val="26"/>
        </w:rPr>
        <w:t xml:space="preserve">Consistent with party comments on the </w:t>
      </w:r>
      <w:r w:rsidRPr="00E13DDD">
        <w:rPr>
          <w:i/>
          <w:iCs/>
          <w:szCs w:val="26"/>
        </w:rPr>
        <w:t xml:space="preserve">December </w:t>
      </w:r>
      <w:r w:rsidRPr="00E13DDD" w:rsidR="007F51E5">
        <w:rPr>
          <w:i/>
          <w:iCs/>
          <w:szCs w:val="26"/>
        </w:rPr>
        <w:t>2022</w:t>
      </w:r>
      <w:r w:rsidR="007F51E5">
        <w:rPr>
          <w:szCs w:val="26"/>
        </w:rPr>
        <w:t xml:space="preserve"> </w:t>
      </w:r>
      <w:r w:rsidRPr="007F51E5">
        <w:rPr>
          <w:i/>
          <w:iCs/>
          <w:szCs w:val="26"/>
        </w:rPr>
        <w:t>Ruling</w:t>
      </w:r>
      <w:r w:rsidRPr="007D08A2">
        <w:rPr>
          <w:szCs w:val="26"/>
        </w:rPr>
        <w:t xml:space="preserve">, the </w:t>
      </w:r>
      <w:r w:rsidR="007F51E5">
        <w:rPr>
          <w:szCs w:val="26"/>
        </w:rPr>
        <w:t>S</w:t>
      </w:r>
      <w:r w:rsidRPr="007D08A2">
        <w:rPr>
          <w:szCs w:val="26"/>
        </w:rPr>
        <w:t xml:space="preserve">taff </w:t>
      </w:r>
      <w:r w:rsidR="007F51E5">
        <w:rPr>
          <w:szCs w:val="26"/>
        </w:rPr>
        <w:t>P</w:t>
      </w:r>
      <w:r w:rsidRPr="007D08A2">
        <w:rPr>
          <w:szCs w:val="26"/>
        </w:rPr>
        <w:t xml:space="preserve">roposal </w:t>
      </w:r>
      <w:r w:rsidR="008C653B">
        <w:rPr>
          <w:szCs w:val="26"/>
        </w:rPr>
        <w:t xml:space="preserve">to the </w:t>
      </w:r>
      <w:r w:rsidRPr="008C653B" w:rsidR="008C653B">
        <w:rPr>
          <w:i/>
          <w:iCs/>
          <w:szCs w:val="26"/>
        </w:rPr>
        <w:t>ROW Ruling</w:t>
      </w:r>
      <w:r w:rsidR="008C653B">
        <w:rPr>
          <w:szCs w:val="26"/>
        </w:rPr>
        <w:t xml:space="preserve"> </w:t>
      </w:r>
      <w:r w:rsidRPr="007D08A2">
        <w:rPr>
          <w:szCs w:val="26"/>
        </w:rPr>
        <w:t xml:space="preserve">includes a new </w:t>
      </w:r>
      <w:r w:rsidR="00B64DFB">
        <w:rPr>
          <w:szCs w:val="26"/>
        </w:rPr>
        <w:t>Section</w:t>
      </w:r>
      <w:r w:rsidR="0051059D">
        <w:rPr>
          <w:szCs w:val="26"/>
        </w:rPr>
        <w:t> </w:t>
      </w:r>
      <w:r w:rsidRPr="007D08A2">
        <w:rPr>
          <w:szCs w:val="26"/>
        </w:rPr>
        <w:t xml:space="preserve">V in the </w:t>
      </w:r>
      <w:r w:rsidR="00835EAD">
        <w:rPr>
          <w:szCs w:val="26"/>
        </w:rPr>
        <w:t>ROW Rules</w:t>
      </w:r>
      <w:r w:rsidRPr="007D08A2">
        <w:rPr>
          <w:szCs w:val="26"/>
        </w:rPr>
        <w:t xml:space="preserve"> that incorporates language from the FCC</w:t>
      </w:r>
      <w:r w:rsidR="00410529">
        <w:rPr>
          <w:szCs w:val="26"/>
        </w:rPr>
        <w:t>’</w:t>
      </w:r>
      <w:r w:rsidRPr="007D08A2">
        <w:rPr>
          <w:szCs w:val="26"/>
        </w:rPr>
        <w:t xml:space="preserve">s overlashing rules (Code of Federal Regulations </w:t>
      </w:r>
      <w:r w:rsidR="00997A41">
        <w:rPr>
          <w:szCs w:val="26"/>
        </w:rPr>
        <w:t>Title</w:t>
      </w:r>
      <w:r w:rsidR="0051059D">
        <w:rPr>
          <w:szCs w:val="26"/>
        </w:rPr>
        <w:t> </w:t>
      </w:r>
      <w:r w:rsidRPr="007D08A2">
        <w:rPr>
          <w:szCs w:val="26"/>
        </w:rPr>
        <w:t xml:space="preserve">47. Telecommunication </w:t>
      </w:r>
      <w:r w:rsidR="00B33FB9">
        <w:rPr>
          <w:szCs w:val="26"/>
        </w:rPr>
        <w:t>§</w:t>
      </w:r>
      <w:r w:rsidR="0051059D">
        <w:rPr>
          <w:szCs w:val="26"/>
        </w:rPr>
        <w:t> </w:t>
      </w:r>
      <w:r w:rsidRPr="007D08A2">
        <w:rPr>
          <w:szCs w:val="26"/>
        </w:rPr>
        <w:t>47.1.1415). These rules include stipulations on prior approvals; preexisting violations; 15</w:t>
      </w:r>
      <w:r w:rsidR="00E4753D">
        <w:rPr>
          <w:szCs w:val="26"/>
        </w:rPr>
        <w:noBreakHyphen/>
      </w:r>
      <w:r w:rsidRPr="007D08A2">
        <w:rPr>
          <w:szCs w:val="26"/>
        </w:rPr>
        <w:t xml:space="preserve">day advanced notice requirements; </w:t>
      </w:r>
      <w:proofErr w:type="spellStart"/>
      <w:r w:rsidRPr="007D08A2">
        <w:rPr>
          <w:szCs w:val="26"/>
        </w:rPr>
        <w:t>overlashers</w:t>
      </w:r>
      <w:proofErr w:type="spellEnd"/>
      <w:r w:rsidR="00410529">
        <w:rPr>
          <w:szCs w:val="26"/>
        </w:rPr>
        <w:t>’</w:t>
      </w:r>
      <w:r w:rsidRPr="007D08A2">
        <w:rPr>
          <w:szCs w:val="26"/>
        </w:rPr>
        <w:t xml:space="preserve"> responsibilities; and post overlashing reviews.</w:t>
      </w:r>
    </w:p>
    <w:p w:rsidR="004B6D63" w:rsidP="00ED36CC" w:rsidRDefault="00120BC6" w14:paraId="57CF4BC5" w14:textId="63C3BB2E">
      <w:pPr>
        <w:pStyle w:val="Heading3"/>
        <w:keepLines w:val="0"/>
      </w:pPr>
      <w:bookmarkStart w:name="_Toc229726772" w:id="59"/>
      <w:r>
        <w:t xml:space="preserve">ROW </w:t>
      </w:r>
      <w:r w:rsidR="00AE7BF4">
        <w:t>Ruling Questions</w:t>
      </w:r>
      <w:r w:rsidR="00E93D11">
        <w:br/>
      </w:r>
      <w:r w:rsidR="00AE7BF4">
        <w:t>and Party Comments</w:t>
      </w:r>
      <w:bookmarkEnd w:id="59"/>
    </w:p>
    <w:p w:rsidR="00AE7BF4" w:rsidP="00E12786" w:rsidRDefault="00171B09" w14:paraId="5CCC18C3" w14:textId="421EB2A5">
      <w:pPr>
        <w:pStyle w:val="Heading4"/>
      </w:pPr>
      <w:r>
        <w:t>Should the CPUC adopt staff</w:t>
      </w:r>
      <w:r w:rsidR="00410529">
        <w:t>’</w:t>
      </w:r>
      <w:r>
        <w:t>s proposal for overlashing rules?</w:t>
      </w:r>
    </w:p>
    <w:p w:rsidR="00410529" w:rsidP="005A289D" w:rsidRDefault="009555B1" w14:paraId="66C2DAD1" w14:textId="18C3E155">
      <w:pPr>
        <w:pStyle w:val="Standard"/>
        <w:rPr>
          <w:rFonts w:eastAsia="Calibri" w:cs="Times New Roman"/>
          <w:szCs w:val="26"/>
        </w:rPr>
      </w:pPr>
      <w:r w:rsidRPr="00D45A17">
        <w:rPr>
          <w:rFonts w:eastAsia="Calibri" w:cs="Times New Roman"/>
          <w:szCs w:val="26"/>
        </w:rPr>
        <w:t>California Broadband and Video Association</w:t>
      </w:r>
      <w:r w:rsidRPr="002C6853">
        <w:rPr>
          <w:rFonts w:eastAsia="Calibri" w:cs="Times New Roman"/>
          <w:szCs w:val="26"/>
        </w:rPr>
        <w:t xml:space="preserve"> </w:t>
      </w:r>
      <w:r w:rsidR="00D45A17">
        <w:rPr>
          <w:rFonts w:eastAsia="Calibri" w:cs="Times New Roman"/>
          <w:szCs w:val="26"/>
        </w:rPr>
        <w:t>s</w:t>
      </w:r>
      <w:r w:rsidRPr="002C6853">
        <w:rPr>
          <w:rFonts w:eastAsia="Calibri" w:cs="Times New Roman"/>
          <w:szCs w:val="26"/>
        </w:rPr>
        <w:t xml:space="preserve">upports </w:t>
      </w:r>
      <w:r w:rsidR="000504DF">
        <w:rPr>
          <w:rFonts w:eastAsia="Calibri" w:cs="Times New Roman"/>
          <w:szCs w:val="26"/>
        </w:rPr>
        <w:t>the Staff P</w:t>
      </w:r>
      <w:r w:rsidRPr="002C6853">
        <w:rPr>
          <w:rFonts w:eastAsia="Calibri" w:cs="Times New Roman"/>
          <w:szCs w:val="26"/>
        </w:rPr>
        <w:t>roposal to add FCC</w:t>
      </w:r>
      <w:r w:rsidR="00410529">
        <w:rPr>
          <w:rFonts w:eastAsia="Calibri" w:cs="Times New Roman"/>
          <w:szCs w:val="26"/>
        </w:rPr>
        <w:t>’</w:t>
      </w:r>
      <w:r w:rsidRPr="002C6853">
        <w:rPr>
          <w:rFonts w:eastAsia="Calibri" w:cs="Times New Roman"/>
          <w:szCs w:val="26"/>
        </w:rPr>
        <w:t>s overlashing rules</w:t>
      </w:r>
      <w:r w:rsidR="000504DF">
        <w:rPr>
          <w:rFonts w:eastAsia="Calibri" w:cs="Times New Roman"/>
          <w:szCs w:val="26"/>
        </w:rPr>
        <w:t>,</w:t>
      </w:r>
      <w:r w:rsidRPr="002C6853">
        <w:rPr>
          <w:rFonts w:eastAsia="Calibri" w:cs="Times New Roman"/>
          <w:szCs w:val="26"/>
        </w:rPr>
        <w:t xml:space="preserve"> and opposes more stringent overlashing rules.</w:t>
      </w:r>
      <w:r w:rsidRPr="002C6853">
        <w:rPr>
          <w:rFonts w:eastAsia="Calibri" w:cs="Times New Roman"/>
          <w:szCs w:val="26"/>
          <w:vertAlign w:val="superscript"/>
        </w:rPr>
        <w:footnoteReference w:id="191"/>
      </w:r>
    </w:p>
    <w:p w:rsidRPr="002C6853" w:rsidR="009555B1" w:rsidRDefault="009555B1" w14:paraId="621B88FA" w14:textId="24CCFAEB">
      <w:pPr>
        <w:pStyle w:val="BlockQuoteBullet1"/>
        <w:numPr>
          <w:ilvl w:val="0"/>
          <w:numId w:val="10"/>
        </w:numPr>
        <w:ind w:left="1080"/>
        <w:rPr>
          <w:rFonts w:eastAsia="Calibri" w:cs="Times New Roman"/>
          <w:szCs w:val="26"/>
        </w:rPr>
      </w:pPr>
      <w:r w:rsidRPr="000504DF">
        <w:rPr>
          <w:rFonts w:eastAsia="Calibri" w:cs="Times New Roman"/>
          <w:szCs w:val="26"/>
        </w:rPr>
        <w:t>Crown Castle</w:t>
      </w:r>
      <w:r w:rsidRPr="002C6853">
        <w:rPr>
          <w:rFonts w:eastAsia="Calibri" w:cs="Times New Roman"/>
          <w:szCs w:val="26"/>
        </w:rPr>
        <w:t xml:space="preserve"> </w:t>
      </w:r>
      <w:r w:rsidR="000504DF">
        <w:rPr>
          <w:rFonts w:eastAsia="Calibri" w:cs="Times New Roman"/>
          <w:szCs w:val="26"/>
        </w:rPr>
        <w:t>s</w:t>
      </w:r>
      <w:r w:rsidRPr="002C6853">
        <w:rPr>
          <w:rFonts w:eastAsia="Calibri" w:cs="Times New Roman"/>
          <w:szCs w:val="26"/>
        </w:rPr>
        <w:t>upports proposed overlashing rules.</w:t>
      </w:r>
      <w:r w:rsidRPr="002C6853">
        <w:rPr>
          <w:rFonts w:eastAsia="Calibri" w:cs="Times New Roman"/>
          <w:szCs w:val="26"/>
          <w:vertAlign w:val="superscript"/>
        </w:rPr>
        <w:footnoteReference w:id="192"/>
      </w:r>
    </w:p>
    <w:p w:rsidRPr="002C6853" w:rsidR="009555B1" w:rsidRDefault="009555B1" w14:paraId="5562CE76" w14:textId="137B0FF4">
      <w:pPr>
        <w:pStyle w:val="BlockQuoteBullet1"/>
        <w:numPr>
          <w:ilvl w:val="0"/>
          <w:numId w:val="10"/>
        </w:numPr>
        <w:ind w:left="1080"/>
        <w:rPr>
          <w:rFonts w:eastAsia="Calibri" w:cs="Times New Roman"/>
          <w:szCs w:val="26"/>
        </w:rPr>
      </w:pPr>
      <w:r w:rsidRPr="000504DF">
        <w:rPr>
          <w:rFonts w:eastAsia="Calibri" w:cs="Times New Roman"/>
          <w:szCs w:val="26"/>
        </w:rPr>
        <w:lastRenderedPageBreak/>
        <w:t>PG&amp;E</w:t>
      </w:r>
      <w:r w:rsidRPr="002C6853">
        <w:rPr>
          <w:rFonts w:eastAsia="Calibri" w:cs="Times New Roman"/>
          <w:szCs w:val="26"/>
        </w:rPr>
        <w:t xml:space="preserve"> </w:t>
      </w:r>
      <w:r w:rsidR="000504DF">
        <w:rPr>
          <w:rFonts w:eastAsia="Calibri" w:cs="Times New Roman"/>
          <w:szCs w:val="26"/>
        </w:rPr>
        <w:t>o</w:t>
      </w:r>
      <w:r w:rsidRPr="002C6853">
        <w:rPr>
          <w:rFonts w:eastAsia="Calibri" w:cs="Times New Roman"/>
          <w:szCs w:val="26"/>
        </w:rPr>
        <w:t xml:space="preserve">pposes the proposed overlashing rules. </w:t>
      </w:r>
      <w:r w:rsidR="00390629">
        <w:rPr>
          <w:rFonts w:eastAsia="Calibri" w:cs="Times New Roman"/>
          <w:szCs w:val="26"/>
        </w:rPr>
        <w:t>It r</w:t>
      </w:r>
      <w:r w:rsidRPr="002C6853">
        <w:rPr>
          <w:rFonts w:eastAsia="Calibri" w:cs="Times New Roman"/>
          <w:szCs w:val="26"/>
        </w:rPr>
        <w:t xml:space="preserve">ecommends attachers submit applications with the size and weight details for all </w:t>
      </w:r>
      <w:proofErr w:type="spellStart"/>
      <w:r w:rsidRPr="002C6853">
        <w:rPr>
          <w:rFonts w:eastAsia="Calibri" w:cs="Times New Roman"/>
          <w:szCs w:val="26"/>
        </w:rPr>
        <w:t>overlashings</w:t>
      </w:r>
      <w:proofErr w:type="spellEnd"/>
      <w:r w:rsidRPr="002C6853">
        <w:rPr>
          <w:rFonts w:eastAsia="Calibri" w:cs="Times New Roman"/>
          <w:szCs w:val="26"/>
        </w:rPr>
        <w:t xml:space="preserve">, including wind loading. </w:t>
      </w:r>
      <w:r w:rsidR="008F52A7">
        <w:rPr>
          <w:rFonts w:eastAsia="Calibri" w:cs="Times New Roman"/>
          <w:szCs w:val="26"/>
        </w:rPr>
        <w:t>PG&amp;E</w:t>
      </w:r>
      <w:r w:rsidR="00AD230B">
        <w:rPr>
          <w:rFonts w:eastAsia="Calibri" w:cs="Times New Roman"/>
          <w:szCs w:val="26"/>
        </w:rPr>
        <w:t xml:space="preserve"> has</w:t>
      </w:r>
      <w:r w:rsidRPr="002C6853">
        <w:rPr>
          <w:rFonts w:eastAsia="Calibri" w:cs="Times New Roman"/>
          <w:szCs w:val="26"/>
        </w:rPr>
        <w:t xml:space="preserve"> concerns regarding safety risks and utility resources, including: the shift of responsibility from attachers to utilities; the requirement for documentation from utilities to deny unsafe </w:t>
      </w:r>
      <w:proofErr w:type="spellStart"/>
      <w:r w:rsidRPr="002C6853">
        <w:rPr>
          <w:rFonts w:eastAsia="Calibri" w:cs="Times New Roman"/>
          <w:szCs w:val="26"/>
        </w:rPr>
        <w:t>overlashings</w:t>
      </w:r>
      <w:proofErr w:type="spellEnd"/>
      <w:r w:rsidRPr="002C6853">
        <w:rPr>
          <w:rFonts w:eastAsia="Calibri" w:cs="Times New Roman"/>
          <w:szCs w:val="26"/>
        </w:rPr>
        <w:t>; the prohibition on utilities recovering review costs; and, restrictions that only allow for after</w:t>
      </w:r>
      <w:r w:rsidR="00E4753D">
        <w:rPr>
          <w:rFonts w:eastAsia="Calibri" w:cs="Times New Roman"/>
          <w:szCs w:val="26"/>
        </w:rPr>
        <w:noBreakHyphen/>
      </w:r>
      <w:r w:rsidRPr="002C6853">
        <w:rPr>
          <w:rFonts w:eastAsia="Calibri" w:cs="Times New Roman"/>
          <w:szCs w:val="26"/>
        </w:rPr>
        <w:t>the</w:t>
      </w:r>
      <w:r w:rsidR="00E4753D">
        <w:rPr>
          <w:rFonts w:eastAsia="Calibri" w:cs="Times New Roman"/>
          <w:szCs w:val="26"/>
        </w:rPr>
        <w:noBreakHyphen/>
      </w:r>
      <w:r w:rsidRPr="002C6853">
        <w:rPr>
          <w:rFonts w:eastAsia="Calibri" w:cs="Times New Roman"/>
          <w:szCs w:val="26"/>
        </w:rPr>
        <w:t>fact notifications and inspections.</w:t>
      </w:r>
      <w:r w:rsidRPr="002C6853">
        <w:rPr>
          <w:rFonts w:eastAsia="Calibri" w:cs="Times New Roman"/>
          <w:szCs w:val="26"/>
          <w:vertAlign w:val="superscript"/>
        </w:rPr>
        <w:footnoteReference w:id="193"/>
      </w:r>
      <w:r w:rsidRPr="002C6853">
        <w:rPr>
          <w:rFonts w:eastAsia="Calibri" w:cs="Times New Roman"/>
          <w:szCs w:val="26"/>
        </w:rPr>
        <w:t xml:space="preserve"> </w:t>
      </w:r>
      <w:r w:rsidR="006129E3">
        <w:rPr>
          <w:rFonts w:eastAsia="Calibri" w:cs="Times New Roman"/>
          <w:szCs w:val="26"/>
        </w:rPr>
        <w:t>It a</w:t>
      </w:r>
      <w:r w:rsidRPr="002C6853">
        <w:rPr>
          <w:rFonts w:eastAsia="Calibri" w:cs="Times New Roman"/>
          <w:szCs w:val="26"/>
        </w:rPr>
        <w:t>grees with SCE that attachers must obtain approval to overlash because a safety analysis is required before work can proceed.</w:t>
      </w:r>
      <w:r w:rsidRPr="002C6853">
        <w:rPr>
          <w:rFonts w:eastAsia="Calibri" w:cs="Times New Roman"/>
          <w:szCs w:val="26"/>
          <w:vertAlign w:val="superscript"/>
        </w:rPr>
        <w:footnoteReference w:id="194"/>
      </w:r>
    </w:p>
    <w:p w:rsidR="00171B09" w:rsidP="00E12786" w:rsidRDefault="00450BD1" w14:paraId="5223C3C4" w14:textId="3353CC1F">
      <w:pPr>
        <w:pStyle w:val="Heading4"/>
      </w:pPr>
      <w:r>
        <w:t>Should the CPUC consider any additional modifications to staff</w:t>
      </w:r>
      <w:r w:rsidR="00410529">
        <w:t>’</w:t>
      </w:r>
      <w:r>
        <w:t>s proposal for overlashing rules?</w:t>
      </w:r>
    </w:p>
    <w:p w:rsidRPr="002C6853" w:rsidR="009819F0" w:rsidP="005A289D" w:rsidRDefault="009819F0" w14:paraId="33022439" w14:textId="53B7C06F">
      <w:pPr>
        <w:pStyle w:val="Standard"/>
      </w:pPr>
      <w:r w:rsidRPr="003D1484">
        <w:rPr>
          <w:rFonts w:eastAsia="Calibri" w:cs="Times New Roman"/>
          <w:szCs w:val="26"/>
        </w:rPr>
        <w:t>AT&amp;T</w:t>
      </w:r>
      <w:r w:rsidRPr="002C6853">
        <w:rPr>
          <w:rFonts w:eastAsia="Calibri" w:cs="Times New Roman"/>
          <w:szCs w:val="26"/>
        </w:rPr>
        <w:t xml:space="preserve"> </w:t>
      </w:r>
      <w:r w:rsidR="003D1484">
        <w:rPr>
          <w:rFonts w:eastAsia="Calibri" w:cs="Times New Roman"/>
          <w:szCs w:val="26"/>
        </w:rPr>
        <w:t>d</w:t>
      </w:r>
      <w:r w:rsidRPr="002C6853">
        <w:rPr>
          <w:rFonts w:eastAsia="Calibri" w:cs="Times New Roman"/>
          <w:szCs w:val="26"/>
        </w:rPr>
        <w:t xml:space="preserve">oes not object to adding overlashing to </w:t>
      </w:r>
      <w:r w:rsidR="00835EAD">
        <w:rPr>
          <w:rFonts w:eastAsia="Calibri" w:cs="Times New Roman"/>
          <w:szCs w:val="26"/>
        </w:rPr>
        <w:t>ROW Rules</w:t>
      </w:r>
      <w:r w:rsidR="00810F1E">
        <w:rPr>
          <w:rFonts w:eastAsia="Calibri" w:cs="Times New Roman"/>
          <w:szCs w:val="26"/>
        </w:rPr>
        <w:t>, but r</w:t>
      </w:r>
      <w:r w:rsidRPr="002C6853">
        <w:rPr>
          <w:rFonts w:eastAsia="Calibri" w:cs="Times New Roman"/>
          <w:szCs w:val="26"/>
        </w:rPr>
        <w:t>ecommends clarification that all overlashing attachments must be lashed to existing</w:t>
      </w:r>
      <w:r w:rsidR="0051059D">
        <w:rPr>
          <w:rFonts w:eastAsia="Calibri" w:cs="Times New Roman"/>
          <w:szCs w:val="26"/>
        </w:rPr>
        <w:t> </w:t>
      </w:r>
      <w:r w:rsidR="003A4B15">
        <w:rPr>
          <w:rFonts w:eastAsia="Calibri" w:cs="Times New Roman"/>
          <w:szCs w:val="26"/>
        </w:rPr>
        <w:t xml:space="preserve">&amp; </w:t>
      </w:r>
      <w:r w:rsidRPr="002C6853">
        <w:rPr>
          <w:rFonts w:eastAsia="Calibri" w:cs="Times New Roman"/>
          <w:szCs w:val="26"/>
        </w:rPr>
        <w:t>approved attachments.</w:t>
      </w:r>
      <w:r w:rsidRPr="002C6853">
        <w:rPr>
          <w:rFonts w:eastAsia="Calibri" w:cs="Times New Roman"/>
          <w:szCs w:val="26"/>
          <w:vertAlign w:val="superscript"/>
        </w:rPr>
        <w:footnoteReference w:id="195"/>
      </w:r>
    </w:p>
    <w:p w:rsidRPr="002C6853" w:rsidR="009819F0" w:rsidP="005A289D" w:rsidRDefault="009819F0" w14:paraId="74346D01" w14:textId="5516A7D2">
      <w:pPr>
        <w:pStyle w:val="Standard"/>
      </w:pPr>
      <w:proofErr w:type="spellStart"/>
      <w:r w:rsidRPr="00810F1E">
        <w:rPr>
          <w:rFonts w:eastAsia="Calibri" w:cs="Times New Roman"/>
          <w:szCs w:val="26"/>
        </w:rPr>
        <w:t>Extenet</w:t>
      </w:r>
      <w:proofErr w:type="spellEnd"/>
      <w:r w:rsidRPr="00810F1E">
        <w:rPr>
          <w:rFonts w:eastAsia="Calibri" w:cs="Times New Roman"/>
          <w:szCs w:val="26"/>
        </w:rPr>
        <w:t xml:space="preserve"> Systems</w:t>
      </w:r>
      <w:r w:rsidRPr="002C6853">
        <w:rPr>
          <w:rFonts w:eastAsia="Calibri" w:cs="Times New Roman"/>
          <w:szCs w:val="26"/>
        </w:rPr>
        <w:t xml:space="preserve"> </w:t>
      </w:r>
      <w:r w:rsidR="00810F1E">
        <w:rPr>
          <w:rFonts w:eastAsia="Calibri" w:cs="Times New Roman"/>
          <w:szCs w:val="26"/>
        </w:rPr>
        <w:t>r</w:t>
      </w:r>
      <w:r w:rsidRPr="002C6853">
        <w:rPr>
          <w:rFonts w:eastAsia="Calibri" w:cs="Times New Roman"/>
          <w:szCs w:val="26"/>
        </w:rPr>
        <w:t>ecommends the CPUC mirror the overlashing rules issued by the FCC.</w:t>
      </w:r>
      <w:r w:rsidRPr="002C6853">
        <w:rPr>
          <w:rFonts w:eastAsia="Calibri" w:cs="Times New Roman"/>
          <w:szCs w:val="26"/>
          <w:vertAlign w:val="superscript"/>
        </w:rPr>
        <w:footnoteReference w:id="196"/>
      </w:r>
    </w:p>
    <w:p w:rsidRPr="002C6853" w:rsidR="009819F0" w:rsidP="005A289D" w:rsidRDefault="009819F0" w14:paraId="1A46B873" w14:textId="57BB8E5B">
      <w:pPr>
        <w:pStyle w:val="Standard"/>
      </w:pPr>
      <w:r w:rsidRPr="00810F1E">
        <w:rPr>
          <w:rFonts w:eastAsia="Calibri" w:cs="Times New Roman"/>
          <w:szCs w:val="26"/>
        </w:rPr>
        <w:t>PG&amp;E</w:t>
      </w:r>
      <w:r w:rsidRPr="002C6853">
        <w:rPr>
          <w:rFonts w:eastAsia="Calibri" w:cs="Times New Roman"/>
          <w:szCs w:val="26"/>
        </w:rPr>
        <w:t xml:space="preserve"> </w:t>
      </w:r>
      <w:r w:rsidR="00810F1E">
        <w:rPr>
          <w:rFonts w:eastAsia="Calibri" w:cs="Times New Roman"/>
          <w:szCs w:val="26"/>
        </w:rPr>
        <w:t>r</w:t>
      </w:r>
      <w:r w:rsidRPr="002C6853">
        <w:rPr>
          <w:rFonts w:eastAsia="Calibri" w:cs="Times New Roman"/>
          <w:szCs w:val="26"/>
        </w:rPr>
        <w:t xml:space="preserve">ecommends striking </w:t>
      </w:r>
      <w:r w:rsidR="00B64DFB">
        <w:rPr>
          <w:rFonts w:eastAsia="Calibri" w:cs="Times New Roman"/>
          <w:szCs w:val="26"/>
        </w:rPr>
        <w:t>Section</w:t>
      </w:r>
      <w:r w:rsidR="0051059D">
        <w:rPr>
          <w:rFonts w:eastAsia="Calibri" w:cs="Times New Roman"/>
          <w:szCs w:val="26"/>
        </w:rPr>
        <w:t> </w:t>
      </w:r>
      <w:r w:rsidRPr="002C6853">
        <w:rPr>
          <w:rFonts w:eastAsia="Calibri" w:cs="Times New Roman"/>
          <w:szCs w:val="26"/>
        </w:rPr>
        <w:t xml:space="preserve">V. If </w:t>
      </w:r>
      <w:r w:rsidR="00B64DFB">
        <w:rPr>
          <w:rFonts w:eastAsia="Calibri" w:cs="Times New Roman"/>
          <w:szCs w:val="26"/>
        </w:rPr>
        <w:t>Section</w:t>
      </w:r>
      <w:r w:rsidR="0051059D">
        <w:rPr>
          <w:rFonts w:eastAsia="Calibri" w:cs="Times New Roman"/>
          <w:szCs w:val="26"/>
        </w:rPr>
        <w:t> </w:t>
      </w:r>
      <w:r w:rsidRPr="002C6853">
        <w:rPr>
          <w:rFonts w:eastAsia="Calibri" w:cs="Times New Roman"/>
          <w:szCs w:val="26"/>
        </w:rPr>
        <w:t xml:space="preserve">V remains, </w:t>
      </w:r>
      <w:r w:rsidR="00E00447">
        <w:rPr>
          <w:rFonts w:eastAsia="Calibri" w:cs="Times New Roman"/>
          <w:szCs w:val="26"/>
        </w:rPr>
        <w:t xml:space="preserve">it </w:t>
      </w:r>
      <w:r w:rsidRPr="002C6853">
        <w:rPr>
          <w:rFonts w:eastAsia="Calibri" w:cs="Times New Roman"/>
          <w:szCs w:val="26"/>
        </w:rPr>
        <w:t>recommends the CPUC address safety and financial considerations.</w:t>
      </w:r>
      <w:r w:rsidRPr="002C6853">
        <w:rPr>
          <w:rFonts w:eastAsia="Calibri" w:cs="Times New Roman"/>
          <w:szCs w:val="26"/>
          <w:vertAlign w:val="superscript"/>
        </w:rPr>
        <w:footnoteReference w:id="197"/>
      </w:r>
    </w:p>
    <w:p w:rsidRPr="002C6853" w:rsidR="009819F0" w:rsidP="005A289D" w:rsidRDefault="009819F0" w14:paraId="261EDBA3" w14:textId="15BE2C62">
      <w:pPr>
        <w:pStyle w:val="Standard"/>
      </w:pPr>
      <w:r w:rsidRPr="00E00447">
        <w:rPr>
          <w:rFonts w:eastAsia="Calibri" w:cs="Times New Roman"/>
          <w:szCs w:val="26"/>
        </w:rPr>
        <w:t>SDG&amp;E</w:t>
      </w:r>
      <w:r w:rsidRPr="002C6853">
        <w:rPr>
          <w:rFonts w:eastAsia="Calibri" w:cs="Times New Roman"/>
          <w:szCs w:val="26"/>
        </w:rPr>
        <w:t xml:space="preserve"> </w:t>
      </w:r>
      <w:r w:rsidR="00E00447">
        <w:rPr>
          <w:rFonts w:eastAsia="Calibri" w:cs="Times New Roman"/>
          <w:szCs w:val="26"/>
        </w:rPr>
        <w:t>o</w:t>
      </w:r>
      <w:r w:rsidRPr="002C6853">
        <w:rPr>
          <w:rFonts w:eastAsia="Calibri" w:cs="Times New Roman"/>
          <w:szCs w:val="26"/>
        </w:rPr>
        <w:t xml:space="preserve">pposes the overlashing rules as proposed due to increased loading and safety hazards. </w:t>
      </w:r>
      <w:r w:rsidR="00E00447">
        <w:rPr>
          <w:rFonts w:eastAsia="Calibri" w:cs="Times New Roman"/>
          <w:szCs w:val="26"/>
        </w:rPr>
        <w:t>It r</w:t>
      </w:r>
      <w:r w:rsidRPr="002C6853">
        <w:rPr>
          <w:rFonts w:eastAsia="Calibri" w:cs="Times New Roman"/>
          <w:szCs w:val="26"/>
        </w:rPr>
        <w:t xml:space="preserve">ecommends treating overlashing as a new or altered attachment requiring full application review, incorporating it into the definition of </w:t>
      </w:r>
      <w:r w:rsidR="00410529">
        <w:rPr>
          <w:rFonts w:eastAsia="Calibri" w:cs="Times New Roman"/>
          <w:szCs w:val="26"/>
        </w:rPr>
        <w:t>“</w:t>
      </w:r>
      <w:r w:rsidRPr="002C6853">
        <w:rPr>
          <w:rFonts w:eastAsia="Calibri" w:cs="Times New Roman"/>
          <w:szCs w:val="26"/>
        </w:rPr>
        <w:t>attachment,</w:t>
      </w:r>
      <w:r w:rsidR="00410529">
        <w:rPr>
          <w:rFonts w:eastAsia="Calibri" w:cs="Times New Roman"/>
          <w:szCs w:val="26"/>
        </w:rPr>
        <w:t>”</w:t>
      </w:r>
      <w:r w:rsidRPr="002C6853">
        <w:rPr>
          <w:rFonts w:eastAsia="Calibri" w:cs="Times New Roman"/>
          <w:szCs w:val="26"/>
        </w:rPr>
        <w:t xml:space="preserve"> and allowing pole owners to charge application fees. </w:t>
      </w:r>
      <w:r w:rsidR="00A40672">
        <w:rPr>
          <w:rFonts w:eastAsia="Calibri" w:cs="Times New Roman"/>
          <w:szCs w:val="26"/>
        </w:rPr>
        <w:lastRenderedPageBreak/>
        <w:t>It further r</w:t>
      </w:r>
      <w:r w:rsidRPr="002C6853">
        <w:rPr>
          <w:rFonts w:eastAsia="Calibri" w:cs="Times New Roman"/>
          <w:szCs w:val="26"/>
        </w:rPr>
        <w:t>ecommends allowing third</w:t>
      </w:r>
      <w:r w:rsidR="00E4753D">
        <w:rPr>
          <w:rFonts w:eastAsia="Calibri" w:cs="Times New Roman"/>
          <w:szCs w:val="26"/>
        </w:rPr>
        <w:noBreakHyphen/>
      </w:r>
      <w:r w:rsidRPr="002C6853">
        <w:rPr>
          <w:rFonts w:eastAsia="Calibri" w:cs="Times New Roman"/>
          <w:szCs w:val="26"/>
        </w:rPr>
        <w:t>party overlashing only if the third</w:t>
      </w:r>
      <w:r w:rsidR="00E4753D">
        <w:rPr>
          <w:rFonts w:eastAsia="Calibri" w:cs="Times New Roman"/>
          <w:szCs w:val="26"/>
        </w:rPr>
        <w:noBreakHyphen/>
      </w:r>
      <w:r w:rsidRPr="002C6853">
        <w:rPr>
          <w:rFonts w:eastAsia="Calibri" w:cs="Times New Roman"/>
          <w:szCs w:val="26"/>
        </w:rPr>
        <w:t xml:space="preserve">party holds a license agreement with the pole owner and follows </w:t>
      </w:r>
      <w:r w:rsidR="005B40C8">
        <w:rPr>
          <w:rFonts w:eastAsia="Calibri" w:cs="Times New Roman"/>
          <w:szCs w:val="26"/>
        </w:rPr>
        <w:t>GO</w:t>
      </w:r>
      <w:r w:rsidR="0051059D">
        <w:rPr>
          <w:rFonts w:eastAsia="Calibri" w:cs="Times New Roman"/>
          <w:szCs w:val="26"/>
        </w:rPr>
        <w:t> </w:t>
      </w:r>
      <w:r w:rsidRPr="002C6853">
        <w:rPr>
          <w:rFonts w:eastAsia="Calibri" w:cs="Times New Roman"/>
          <w:szCs w:val="26"/>
        </w:rPr>
        <w:t xml:space="preserve">95. </w:t>
      </w:r>
      <w:r w:rsidR="00A40672">
        <w:rPr>
          <w:rFonts w:eastAsia="Calibri" w:cs="Times New Roman"/>
          <w:szCs w:val="26"/>
        </w:rPr>
        <w:t xml:space="preserve">Finally, SDG&amp;E </w:t>
      </w:r>
      <w:r w:rsidRPr="002C6853">
        <w:rPr>
          <w:rFonts w:eastAsia="Calibri" w:cs="Times New Roman"/>
          <w:szCs w:val="26"/>
        </w:rPr>
        <w:t xml:space="preserve">recommends that construction standards for overlashing be addressed by the </w:t>
      </w:r>
      <w:r w:rsidR="005B40C8">
        <w:rPr>
          <w:rFonts w:eastAsia="Calibri" w:cs="Times New Roman"/>
          <w:szCs w:val="26"/>
        </w:rPr>
        <w:t>GO</w:t>
      </w:r>
      <w:r w:rsidR="0051059D">
        <w:rPr>
          <w:rFonts w:eastAsia="Calibri" w:cs="Times New Roman"/>
          <w:szCs w:val="26"/>
        </w:rPr>
        <w:t> </w:t>
      </w:r>
      <w:r w:rsidRPr="002C6853">
        <w:rPr>
          <w:rFonts w:eastAsia="Calibri" w:cs="Times New Roman"/>
          <w:szCs w:val="26"/>
        </w:rPr>
        <w:t>95 Rules Committee and the CPUC Electric Safety and Reliability Branch.</w:t>
      </w:r>
      <w:r w:rsidRPr="002C6853">
        <w:rPr>
          <w:rFonts w:eastAsia="Calibri" w:cs="Times New Roman"/>
          <w:szCs w:val="26"/>
          <w:vertAlign w:val="superscript"/>
        </w:rPr>
        <w:footnoteReference w:id="198"/>
      </w:r>
    </w:p>
    <w:p w:rsidR="00262D9B" w:rsidP="005A289D" w:rsidRDefault="009819F0" w14:paraId="434DA44E" w14:textId="19A49656">
      <w:pPr>
        <w:pStyle w:val="Standard"/>
      </w:pPr>
      <w:r w:rsidRPr="008B41DF">
        <w:rPr>
          <w:rFonts w:eastAsia="Calibri" w:cs="Times New Roman"/>
          <w:szCs w:val="26"/>
        </w:rPr>
        <w:t>Sonic</w:t>
      </w:r>
      <w:r w:rsidRPr="002C6853">
        <w:rPr>
          <w:rFonts w:eastAsia="Calibri" w:cs="Times New Roman"/>
          <w:szCs w:val="26"/>
        </w:rPr>
        <w:t xml:space="preserve"> </w:t>
      </w:r>
      <w:r w:rsidR="008B41DF">
        <w:rPr>
          <w:rFonts w:eastAsia="Calibri" w:cs="Times New Roman"/>
          <w:szCs w:val="26"/>
        </w:rPr>
        <w:t>d</w:t>
      </w:r>
      <w:r w:rsidRPr="002C6853">
        <w:rPr>
          <w:rFonts w:eastAsia="Calibri" w:cs="Times New Roman"/>
          <w:szCs w:val="26"/>
        </w:rPr>
        <w:t xml:space="preserve">oes not oppose </w:t>
      </w:r>
      <w:r w:rsidR="008F52A7">
        <w:rPr>
          <w:rFonts w:eastAsia="Calibri" w:cs="Times New Roman"/>
          <w:szCs w:val="26"/>
        </w:rPr>
        <w:t xml:space="preserve">a </w:t>
      </w:r>
      <w:r w:rsidRPr="002C6853">
        <w:rPr>
          <w:rFonts w:eastAsia="Calibri" w:cs="Times New Roman"/>
          <w:szCs w:val="26"/>
        </w:rPr>
        <w:t>streamlined overlashing processes.</w:t>
      </w:r>
      <w:r w:rsidR="008B41DF">
        <w:rPr>
          <w:rFonts w:eastAsia="Calibri" w:cs="Times New Roman"/>
          <w:szCs w:val="26"/>
        </w:rPr>
        <w:t xml:space="preserve"> It s</w:t>
      </w:r>
      <w:r w:rsidRPr="002C6853">
        <w:rPr>
          <w:rFonts w:eastAsia="Calibri" w:cs="Times New Roman"/>
          <w:szCs w:val="26"/>
        </w:rPr>
        <w:t xml:space="preserve">uggests modifying the </w:t>
      </w:r>
      <w:r w:rsidR="008B41DF">
        <w:rPr>
          <w:rFonts w:eastAsia="Calibri" w:cs="Times New Roman"/>
          <w:szCs w:val="26"/>
        </w:rPr>
        <w:t>S</w:t>
      </w:r>
      <w:r w:rsidRPr="002C6853">
        <w:rPr>
          <w:rFonts w:eastAsia="Calibri" w:cs="Times New Roman"/>
          <w:szCs w:val="26"/>
        </w:rPr>
        <w:t xml:space="preserve">taff </w:t>
      </w:r>
      <w:r w:rsidR="008B41DF">
        <w:rPr>
          <w:rFonts w:eastAsia="Calibri" w:cs="Times New Roman"/>
          <w:szCs w:val="26"/>
        </w:rPr>
        <w:t>P</w:t>
      </w:r>
      <w:r w:rsidRPr="002C6853">
        <w:rPr>
          <w:rFonts w:eastAsia="Calibri" w:cs="Times New Roman"/>
          <w:szCs w:val="26"/>
        </w:rPr>
        <w:t>roposal to clarify that overlashing should not be allowed on poles that are already overloaded.</w:t>
      </w:r>
      <w:r w:rsidRPr="002C6853">
        <w:rPr>
          <w:rFonts w:eastAsia="Calibri" w:cs="Times New Roman"/>
          <w:szCs w:val="26"/>
          <w:vertAlign w:val="superscript"/>
        </w:rPr>
        <w:footnoteReference w:id="199"/>
      </w:r>
    </w:p>
    <w:p w:rsidR="00450BD1" w:rsidP="00ED36CC" w:rsidRDefault="009819F0" w14:paraId="724E3696" w14:textId="3E5E50C6">
      <w:pPr>
        <w:pStyle w:val="Heading3"/>
        <w:keepLines w:val="0"/>
      </w:pPr>
      <w:bookmarkStart w:name="_Toc229726773" w:id="60"/>
      <w:r>
        <w:t>Discussion and Findings</w:t>
      </w:r>
      <w:bookmarkEnd w:id="60"/>
    </w:p>
    <w:p w:rsidR="00410529" w:rsidP="00ED36CC" w:rsidRDefault="008512B2" w14:paraId="3B137C85" w14:textId="1C674E78">
      <w:pPr>
        <w:pStyle w:val="Standard"/>
        <w:ind w:firstLine="360"/>
        <w:rPr>
          <w:szCs w:val="26"/>
        </w:rPr>
      </w:pPr>
      <w:r>
        <w:rPr>
          <w:szCs w:val="26"/>
        </w:rPr>
        <w:t>We a</w:t>
      </w:r>
      <w:r w:rsidR="004601DC">
        <w:rPr>
          <w:szCs w:val="26"/>
        </w:rPr>
        <w:t xml:space="preserve">gree with </w:t>
      </w:r>
      <w:r w:rsidRPr="0081568C" w:rsidR="004601DC">
        <w:rPr>
          <w:szCs w:val="26"/>
        </w:rPr>
        <w:t>PGE</w:t>
      </w:r>
      <w:r w:rsidR="00410529">
        <w:rPr>
          <w:szCs w:val="26"/>
        </w:rPr>
        <w:t>’</w:t>
      </w:r>
      <w:r>
        <w:rPr>
          <w:szCs w:val="26"/>
        </w:rPr>
        <w:t>s</w:t>
      </w:r>
      <w:r w:rsidR="004601DC">
        <w:rPr>
          <w:szCs w:val="26"/>
        </w:rPr>
        <w:t xml:space="preserve"> recommendation to remove </w:t>
      </w:r>
      <w:r w:rsidR="00FB2BDE">
        <w:rPr>
          <w:szCs w:val="26"/>
        </w:rPr>
        <w:t xml:space="preserve">the </w:t>
      </w:r>
      <w:r w:rsidR="004601DC">
        <w:rPr>
          <w:szCs w:val="26"/>
        </w:rPr>
        <w:t>propos</w:t>
      </w:r>
      <w:r w:rsidR="00FB2BDE">
        <w:rPr>
          <w:szCs w:val="26"/>
        </w:rPr>
        <w:t>ed</w:t>
      </w:r>
      <w:r w:rsidR="004601DC">
        <w:rPr>
          <w:szCs w:val="26"/>
        </w:rPr>
        <w:t xml:space="preserve"> FCC Overlashing </w:t>
      </w:r>
      <w:r w:rsidR="00330E9A">
        <w:rPr>
          <w:szCs w:val="26"/>
        </w:rPr>
        <w:t>R</w:t>
      </w:r>
      <w:r w:rsidR="004601DC">
        <w:rPr>
          <w:szCs w:val="26"/>
        </w:rPr>
        <w:t xml:space="preserve">ules entirely and treat overlashing attachment applications as regular attachment applications. </w:t>
      </w:r>
      <w:r w:rsidR="00DB0FCC">
        <w:rPr>
          <w:szCs w:val="26"/>
        </w:rPr>
        <w:t>Including the Overlashing Rules would be</w:t>
      </w:r>
      <w:r w:rsidR="004601DC">
        <w:rPr>
          <w:szCs w:val="26"/>
        </w:rPr>
        <w:t xml:space="preserve"> inconsistent with the Commission</w:t>
      </w:r>
      <w:r w:rsidR="00410529">
        <w:rPr>
          <w:szCs w:val="26"/>
        </w:rPr>
        <w:t>’</w:t>
      </w:r>
      <w:r w:rsidR="004601DC">
        <w:rPr>
          <w:szCs w:val="26"/>
        </w:rPr>
        <w:t xml:space="preserve">s safety requirements by allowing attachments regardless of preexisting safety violations. Additionally, the </w:t>
      </w:r>
      <w:r w:rsidR="009B2DDF">
        <w:rPr>
          <w:szCs w:val="26"/>
        </w:rPr>
        <w:t xml:space="preserve">Overlashing Rules </w:t>
      </w:r>
      <w:r w:rsidR="00F6480C">
        <w:rPr>
          <w:szCs w:val="26"/>
        </w:rPr>
        <w:t>c</w:t>
      </w:r>
      <w:r w:rsidR="009B2DDF">
        <w:rPr>
          <w:szCs w:val="26"/>
        </w:rPr>
        <w:t>ould unfairly</w:t>
      </w:r>
      <w:r w:rsidR="004601DC">
        <w:rPr>
          <w:szCs w:val="26"/>
        </w:rPr>
        <w:t xml:space="preserve"> shift costs to electric </w:t>
      </w:r>
      <w:r w:rsidR="00582996">
        <w:rPr>
          <w:szCs w:val="26"/>
        </w:rPr>
        <w:t>ratepayers/pole</w:t>
      </w:r>
      <w:r w:rsidR="004601DC">
        <w:rPr>
          <w:szCs w:val="26"/>
        </w:rPr>
        <w:t xml:space="preserve"> owners for performing any safety reviews and application processing.</w:t>
      </w:r>
    </w:p>
    <w:p w:rsidR="009819F0" w:rsidP="00ED36CC" w:rsidRDefault="00A7242C" w14:paraId="178452CD" w14:textId="6E205AB6">
      <w:pPr>
        <w:pStyle w:val="Heading2"/>
        <w:keepLines w:val="0"/>
      </w:pPr>
      <w:bookmarkStart w:name="_Toc229726774" w:id="61"/>
      <w:r>
        <w:t xml:space="preserve">Technical Cleanup to </w:t>
      </w:r>
      <w:r w:rsidR="00120BC6">
        <w:t>Right</w:t>
      </w:r>
      <w:r w:rsidR="002F136C">
        <w:t>s</w:t>
      </w:r>
      <w:r w:rsidR="00E4753D">
        <w:noBreakHyphen/>
      </w:r>
      <w:r w:rsidR="00120BC6">
        <w:t>of</w:t>
      </w:r>
      <w:r w:rsidR="00E4753D">
        <w:noBreakHyphen/>
      </w:r>
      <w:r w:rsidR="00120BC6">
        <w:t xml:space="preserve">Way </w:t>
      </w:r>
      <w:r>
        <w:t>Rules</w:t>
      </w:r>
      <w:bookmarkEnd w:id="61"/>
    </w:p>
    <w:p w:rsidR="00A7242C" w:rsidP="00ED36CC" w:rsidRDefault="00A7242C" w14:paraId="020D1F4E" w14:textId="592D5ADE">
      <w:pPr>
        <w:pStyle w:val="Standard"/>
      </w:pPr>
      <w:r>
        <w:t xml:space="preserve">While not requested by the </w:t>
      </w:r>
      <w:r w:rsidRPr="00A7242C">
        <w:rPr>
          <w:i/>
          <w:iCs/>
        </w:rPr>
        <w:t>ROW Ruling</w:t>
      </w:r>
      <w:r>
        <w:rPr>
          <w:i/>
          <w:iCs/>
        </w:rPr>
        <w:t>,</w:t>
      </w:r>
      <w:r w:rsidR="00AD2ECF">
        <w:t xml:space="preserve"> </w:t>
      </w:r>
      <w:r w:rsidR="004C6A7B">
        <w:t xml:space="preserve">some parties have proposed some minor </w:t>
      </w:r>
      <w:r w:rsidR="004F5161">
        <w:t>cleanup</w:t>
      </w:r>
      <w:r w:rsidR="004C6A7B">
        <w:t xml:space="preserve"> to the </w:t>
      </w:r>
      <w:r w:rsidR="00835EAD">
        <w:t>ROW Rules</w:t>
      </w:r>
      <w:r w:rsidR="004C6A7B">
        <w:t>.</w:t>
      </w:r>
    </w:p>
    <w:p w:rsidR="00290572" w:rsidP="00ED36CC" w:rsidRDefault="001E478D" w14:paraId="6A89ACFB" w14:textId="4A223741">
      <w:pPr>
        <w:pStyle w:val="Heading3"/>
        <w:keepLines w:val="0"/>
      </w:pPr>
      <w:bookmarkStart w:name="_Toc229726775" w:id="62"/>
      <w:r>
        <w:t>Party Comments</w:t>
      </w:r>
      <w:bookmarkEnd w:id="62"/>
    </w:p>
    <w:p w:rsidRPr="00CE58FB" w:rsidR="004A6ED9" w:rsidP="005A289D" w:rsidRDefault="004A6ED9" w14:paraId="68C92389" w14:textId="2FE7868E">
      <w:pPr>
        <w:pStyle w:val="Standard"/>
      </w:pPr>
      <w:r w:rsidRPr="00226595">
        <w:rPr>
          <w:rFonts w:eastAsia="Calibri" w:cs="Times New Roman"/>
          <w:szCs w:val="26"/>
        </w:rPr>
        <w:t>AT&amp;T</w:t>
      </w:r>
      <w:r w:rsidRPr="00CE58FB">
        <w:rPr>
          <w:rFonts w:eastAsia="Calibri" w:cs="Times New Roman"/>
          <w:szCs w:val="26"/>
        </w:rPr>
        <w:t xml:space="preserve"> </w:t>
      </w:r>
      <w:r w:rsidR="00226595">
        <w:rPr>
          <w:rFonts w:eastAsia="Calibri" w:cs="Times New Roman"/>
          <w:szCs w:val="26"/>
        </w:rPr>
        <w:t>r</w:t>
      </w:r>
      <w:r w:rsidRPr="00CE58FB">
        <w:rPr>
          <w:rFonts w:eastAsia="Calibri" w:cs="Times New Roman"/>
          <w:szCs w:val="26"/>
        </w:rPr>
        <w:t xml:space="preserve">ecommends technical correction for proposed </w:t>
      </w:r>
      <w:r w:rsidR="00835EAD">
        <w:rPr>
          <w:rFonts w:eastAsia="Calibri" w:cs="Times New Roman"/>
          <w:szCs w:val="26"/>
        </w:rPr>
        <w:t>ROW Rules</w:t>
      </w:r>
      <w:r w:rsidRPr="00CE58FB">
        <w:rPr>
          <w:rFonts w:eastAsia="Calibri" w:cs="Times New Roman"/>
          <w:szCs w:val="26"/>
        </w:rPr>
        <w:t xml:space="preserve"> </w:t>
      </w:r>
      <w:r w:rsidR="00410529">
        <w:rPr>
          <w:rFonts w:eastAsia="Calibri" w:cs="Times New Roman"/>
          <w:szCs w:val="26"/>
        </w:rPr>
        <w:t>“</w:t>
      </w:r>
      <w:r w:rsidRPr="00CE58FB">
        <w:rPr>
          <w:rFonts w:eastAsia="Calibri" w:cs="Times New Roman"/>
          <w:szCs w:val="26"/>
        </w:rPr>
        <w:t>Make</w:t>
      </w:r>
      <w:r w:rsidR="00E4753D">
        <w:rPr>
          <w:rFonts w:eastAsia="Calibri" w:cs="Times New Roman"/>
          <w:szCs w:val="26"/>
        </w:rPr>
        <w:noBreakHyphen/>
      </w:r>
      <w:r w:rsidRPr="00CE58FB">
        <w:rPr>
          <w:rFonts w:eastAsia="Calibri" w:cs="Times New Roman"/>
          <w:szCs w:val="26"/>
        </w:rPr>
        <w:t>ready</w:t>
      </w:r>
      <w:r w:rsidR="00410529">
        <w:rPr>
          <w:rFonts w:eastAsia="Calibri" w:cs="Times New Roman"/>
          <w:szCs w:val="26"/>
        </w:rPr>
        <w:t>”</w:t>
      </w:r>
      <w:r w:rsidRPr="00CE58FB">
        <w:rPr>
          <w:rFonts w:eastAsia="Calibri" w:cs="Times New Roman"/>
          <w:szCs w:val="26"/>
        </w:rPr>
        <w:t xml:space="preserve"> </w:t>
      </w:r>
      <w:r w:rsidR="00B64DFB">
        <w:rPr>
          <w:rFonts w:eastAsia="Calibri" w:cs="Times New Roman"/>
          <w:szCs w:val="26"/>
        </w:rPr>
        <w:t>Section</w:t>
      </w:r>
      <w:r w:rsidR="0051059D">
        <w:rPr>
          <w:rFonts w:eastAsia="Calibri" w:cs="Times New Roman"/>
          <w:szCs w:val="26"/>
        </w:rPr>
        <w:t> </w:t>
      </w:r>
      <w:r w:rsidRPr="00CE58FB">
        <w:rPr>
          <w:rFonts w:eastAsia="Calibri" w:cs="Times New Roman"/>
          <w:szCs w:val="26"/>
        </w:rPr>
        <w:t xml:space="preserve">IV.E.2 to reference </w:t>
      </w:r>
      <w:r w:rsidR="00410529">
        <w:rPr>
          <w:rFonts w:eastAsia="Calibri" w:cs="Times New Roman"/>
          <w:szCs w:val="26"/>
        </w:rPr>
        <w:t>“</w:t>
      </w:r>
      <w:r w:rsidRPr="00CE58FB">
        <w:rPr>
          <w:rFonts w:eastAsia="Calibri" w:cs="Times New Roman"/>
          <w:szCs w:val="26"/>
        </w:rPr>
        <w:t>make</w:t>
      </w:r>
      <w:r w:rsidR="00E4753D">
        <w:rPr>
          <w:rFonts w:eastAsia="Calibri" w:cs="Times New Roman"/>
          <w:szCs w:val="26"/>
        </w:rPr>
        <w:noBreakHyphen/>
      </w:r>
      <w:r w:rsidRPr="00CE58FB">
        <w:rPr>
          <w:rFonts w:eastAsia="Calibri" w:cs="Times New Roman"/>
          <w:szCs w:val="26"/>
        </w:rPr>
        <w:t>ready costs</w:t>
      </w:r>
      <w:r w:rsidR="00410529">
        <w:rPr>
          <w:rFonts w:eastAsia="Calibri" w:cs="Times New Roman"/>
          <w:szCs w:val="26"/>
        </w:rPr>
        <w:t>”</w:t>
      </w:r>
      <w:r w:rsidRPr="00CE58FB">
        <w:rPr>
          <w:rFonts w:eastAsia="Calibri" w:cs="Times New Roman"/>
          <w:szCs w:val="26"/>
        </w:rPr>
        <w:t xml:space="preserve"> and not </w:t>
      </w:r>
      <w:r w:rsidR="00410529">
        <w:rPr>
          <w:rFonts w:eastAsia="Calibri" w:cs="Times New Roman"/>
          <w:szCs w:val="26"/>
        </w:rPr>
        <w:t>“</w:t>
      </w:r>
      <w:r w:rsidRPr="00CE58FB">
        <w:rPr>
          <w:rFonts w:eastAsia="Calibri" w:cs="Times New Roman"/>
          <w:szCs w:val="26"/>
        </w:rPr>
        <w:t>survey costs.</w:t>
      </w:r>
      <w:r w:rsidR="00410529">
        <w:rPr>
          <w:rFonts w:eastAsia="Calibri" w:cs="Times New Roman"/>
          <w:szCs w:val="26"/>
        </w:rPr>
        <w:t>”</w:t>
      </w:r>
      <w:r w:rsidRPr="00CE58FB">
        <w:rPr>
          <w:rFonts w:eastAsia="Calibri" w:cs="Times New Roman"/>
          <w:szCs w:val="26"/>
          <w:vertAlign w:val="superscript"/>
        </w:rPr>
        <w:footnoteReference w:id="200"/>
      </w:r>
    </w:p>
    <w:p w:rsidRPr="00CE58FB" w:rsidR="004A6ED9" w:rsidP="005A289D" w:rsidRDefault="004A6ED9" w14:paraId="076525E0" w14:textId="6F6E85B4">
      <w:pPr>
        <w:pStyle w:val="Standard"/>
      </w:pPr>
      <w:proofErr w:type="spellStart"/>
      <w:r w:rsidRPr="00226595">
        <w:rPr>
          <w:rFonts w:eastAsia="Calibri" w:cs="Times New Roman"/>
          <w:szCs w:val="26"/>
        </w:rPr>
        <w:lastRenderedPageBreak/>
        <w:t>Surfnet</w:t>
      </w:r>
      <w:proofErr w:type="spellEnd"/>
      <w:r w:rsidRPr="00CE58FB">
        <w:rPr>
          <w:rFonts w:eastAsia="Calibri" w:cs="Times New Roman"/>
          <w:szCs w:val="26"/>
        </w:rPr>
        <w:t xml:space="preserve"> </w:t>
      </w:r>
      <w:r w:rsidR="00226595">
        <w:rPr>
          <w:rFonts w:eastAsia="Calibri" w:cs="Times New Roman"/>
          <w:szCs w:val="26"/>
        </w:rPr>
        <w:t>r</w:t>
      </w:r>
      <w:r w:rsidRPr="00CE58FB">
        <w:rPr>
          <w:rFonts w:eastAsia="Calibri" w:cs="Times New Roman"/>
          <w:szCs w:val="26"/>
        </w:rPr>
        <w:t xml:space="preserve">ecommends requiring pole owners to acknowledge </w:t>
      </w:r>
      <w:r w:rsidR="00DE1FA2">
        <w:rPr>
          <w:rFonts w:eastAsia="Calibri" w:cs="Times New Roman"/>
          <w:szCs w:val="26"/>
        </w:rPr>
        <w:t xml:space="preserve">that </w:t>
      </w:r>
      <w:r w:rsidRPr="00CE58FB">
        <w:rPr>
          <w:rFonts w:eastAsia="Calibri" w:cs="Times New Roman"/>
          <w:szCs w:val="26"/>
        </w:rPr>
        <w:t xml:space="preserve">the OTMR process was requested by an attacher. </w:t>
      </w:r>
      <w:r w:rsidR="00940C26">
        <w:rPr>
          <w:rFonts w:eastAsia="Calibri" w:cs="Times New Roman"/>
          <w:szCs w:val="26"/>
        </w:rPr>
        <w:t>It r</w:t>
      </w:r>
      <w:r w:rsidRPr="00CE58FB">
        <w:rPr>
          <w:rFonts w:eastAsia="Calibri" w:cs="Times New Roman"/>
          <w:szCs w:val="26"/>
        </w:rPr>
        <w:t>ecommends adding what happens if the utility does not respond to the attacher</w:t>
      </w:r>
      <w:r w:rsidR="00410529">
        <w:rPr>
          <w:rFonts w:eastAsia="Calibri" w:cs="Times New Roman"/>
          <w:szCs w:val="26"/>
        </w:rPr>
        <w:t>’</w:t>
      </w:r>
      <w:r w:rsidRPr="00CE58FB">
        <w:rPr>
          <w:rFonts w:eastAsia="Calibri" w:cs="Times New Roman"/>
          <w:szCs w:val="26"/>
        </w:rPr>
        <w:t xml:space="preserve">s invocation of the OTMR </w:t>
      </w:r>
      <w:r w:rsidR="00151C98">
        <w:rPr>
          <w:rFonts w:eastAsia="Calibri" w:cs="Times New Roman"/>
          <w:szCs w:val="26"/>
        </w:rPr>
        <w:t>15</w:t>
      </w:r>
      <w:r w:rsidR="00E4753D">
        <w:rPr>
          <w:rFonts w:eastAsia="Calibri" w:cs="Times New Roman"/>
          <w:szCs w:val="26"/>
        </w:rPr>
        <w:noBreakHyphen/>
      </w:r>
      <w:r w:rsidR="00151C98">
        <w:rPr>
          <w:rFonts w:eastAsia="Calibri" w:cs="Times New Roman"/>
          <w:szCs w:val="26"/>
        </w:rPr>
        <w:t>day</w:t>
      </w:r>
      <w:r w:rsidRPr="00CE58FB">
        <w:rPr>
          <w:rFonts w:eastAsia="Calibri" w:cs="Times New Roman"/>
          <w:szCs w:val="26"/>
        </w:rPr>
        <w:t xml:space="preserve"> application review for simple </w:t>
      </w:r>
      <w:r w:rsidR="00151C98">
        <w:rPr>
          <w:rFonts w:eastAsia="Calibri" w:cs="Times New Roman"/>
          <w:szCs w:val="26"/>
        </w:rPr>
        <w:t>make</w:t>
      </w:r>
      <w:r w:rsidR="00E4753D">
        <w:rPr>
          <w:rFonts w:eastAsia="Calibri" w:cs="Times New Roman"/>
          <w:szCs w:val="26"/>
        </w:rPr>
        <w:noBreakHyphen/>
      </w:r>
      <w:r w:rsidR="00151C98">
        <w:rPr>
          <w:rFonts w:eastAsia="Calibri" w:cs="Times New Roman"/>
          <w:szCs w:val="26"/>
        </w:rPr>
        <w:t>ready</w:t>
      </w:r>
      <w:r w:rsidRPr="00CE58FB">
        <w:rPr>
          <w:rFonts w:eastAsia="Calibri" w:cs="Times New Roman"/>
          <w:szCs w:val="26"/>
        </w:rPr>
        <w:t xml:space="preserve"> projects (after the application is deemed complete).</w:t>
      </w:r>
      <w:r w:rsidRPr="00CE58FB">
        <w:rPr>
          <w:rFonts w:eastAsia="Calibri" w:cs="Times New Roman"/>
          <w:szCs w:val="26"/>
          <w:vertAlign w:val="superscript"/>
        </w:rPr>
        <w:footnoteReference w:id="201"/>
      </w:r>
    </w:p>
    <w:p w:rsidRPr="007D08A2" w:rsidR="004A6ED9" w:rsidP="00005C91" w:rsidRDefault="004A6ED9" w14:paraId="56B80A89" w14:textId="390D03DA">
      <w:pPr>
        <w:pStyle w:val="Standard"/>
        <w:rPr>
          <w:szCs w:val="26"/>
        </w:rPr>
      </w:pPr>
      <w:r>
        <w:t>Crown Castle</w:t>
      </w:r>
      <w:r w:rsidR="00892EE7">
        <w:t xml:space="preserve"> suggests </w:t>
      </w:r>
      <w:r w:rsidR="008F52A7">
        <w:t>the</w:t>
      </w:r>
      <w:r w:rsidRPr="008F52A7" w:rsidR="008F52A7">
        <w:t xml:space="preserve"> ROW Rules </w:t>
      </w:r>
      <w:r w:rsidR="008F52A7">
        <w:t xml:space="preserve">addressing </w:t>
      </w:r>
      <w:r w:rsidRPr="008F52A7" w:rsidR="008F52A7">
        <w:t>“</w:t>
      </w:r>
      <w:r w:rsidR="008F52A7">
        <w:t>Manner of Pricing Access</w:t>
      </w:r>
      <w:r w:rsidRPr="008F52A7" w:rsidR="008F52A7">
        <w:t xml:space="preserve">” </w:t>
      </w:r>
      <w:r w:rsidR="008F52A7">
        <w:t xml:space="preserve">in </w:t>
      </w:r>
      <w:r w:rsidRPr="008F52A7" w:rsidR="008F52A7">
        <w:t>Section</w:t>
      </w:r>
      <w:r w:rsidR="00AF5693">
        <w:t> </w:t>
      </w:r>
      <w:r w:rsidR="008F52A7">
        <w:t xml:space="preserve">VI.B.1.b(1) and </w:t>
      </w:r>
      <w:r w:rsidRPr="008F52A7" w:rsidR="008F52A7">
        <w:t>Section</w:t>
      </w:r>
      <w:r w:rsidR="00AF5693">
        <w:t> </w:t>
      </w:r>
      <w:r w:rsidR="008F52A7">
        <w:t>VI.B.1.b(1)(2) be amended to apply to attachers “for wireline attachments” and “for wireless attachments,” respectively.</w:t>
      </w:r>
      <w:r w:rsidR="008F52A7">
        <w:rPr>
          <w:rStyle w:val="FootnoteReference"/>
        </w:rPr>
        <w:footnoteReference w:id="202"/>
      </w:r>
    </w:p>
    <w:p w:rsidR="00716D34" w:rsidP="00ED36CC" w:rsidRDefault="001E478D" w14:paraId="2912F988" w14:textId="464A0015">
      <w:pPr>
        <w:pStyle w:val="Heading3"/>
        <w:keepLines w:val="0"/>
      </w:pPr>
      <w:bookmarkStart w:name="_Toc229726776" w:id="63"/>
      <w:r>
        <w:t>Discussion and Findings</w:t>
      </w:r>
      <w:bookmarkEnd w:id="63"/>
    </w:p>
    <w:p w:rsidR="001E478D" w:rsidP="00ED36CC" w:rsidRDefault="00996C77" w14:paraId="23F35879" w14:textId="7CDAD084">
      <w:pPr>
        <w:pStyle w:val="Standard"/>
      </w:pPr>
      <w:r>
        <w:t xml:space="preserve">Based on the party comments and staff </w:t>
      </w:r>
      <w:r w:rsidR="00CB6753">
        <w:t>recommendations</w:t>
      </w:r>
      <w:r>
        <w:t xml:space="preserve">, we </w:t>
      </w:r>
      <w:r w:rsidR="0059770C">
        <w:t xml:space="preserve">will use the term </w:t>
      </w:r>
      <w:r w:rsidR="00410529">
        <w:t>“</w:t>
      </w:r>
      <w:r w:rsidR="0059770C">
        <w:t>make</w:t>
      </w:r>
      <w:r w:rsidR="00E4753D">
        <w:noBreakHyphen/>
      </w:r>
      <w:r w:rsidR="0059770C">
        <w:t>ready costs</w:t>
      </w:r>
      <w:r w:rsidR="00410529">
        <w:t>”</w:t>
      </w:r>
      <w:r w:rsidR="0059770C">
        <w:t xml:space="preserve"> instead of </w:t>
      </w:r>
      <w:r w:rsidR="00410529">
        <w:t>“</w:t>
      </w:r>
      <w:r w:rsidR="0059770C">
        <w:t>survey costs</w:t>
      </w:r>
      <w:r w:rsidR="00410529">
        <w:t>”</w:t>
      </w:r>
      <w:r w:rsidR="0059770C">
        <w:t xml:space="preserve"> in </w:t>
      </w:r>
      <w:r w:rsidR="00EA07CD">
        <w:t>Section</w:t>
      </w:r>
      <w:r w:rsidR="00857660">
        <w:t> </w:t>
      </w:r>
      <w:r w:rsidR="00CB6753">
        <w:t>IV.</w:t>
      </w:r>
      <w:r w:rsidR="00211F8D">
        <w:t xml:space="preserve"> (</w:t>
      </w:r>
      <w:r w:rsidR="00676E20">
        <w:t>REQUESTS FOR ACCESS TO RIGHTS</w:t>
      </w:r>
      <w:r w:rsidR="00E4753D">
        <w:noBreakHyphen/>
      </w:r>
      <w:r w:rsidR="00676E20">
        <w:t>OF</w:t>
      </w:r>
      <w:r w:rsidR="00E4753D">
        <w:noBreakHyphen/>
      </w:r>
      <w:r w:rsidR="00676E20">
        <w:t xml:space="preserve">WAY AND SUPPORT STRUCTURES), </w:t>
      </w:r>
      <w:r w:rsidR="00CB6753">
        <w:t>E.</w:t>
      </w:r>
      <w:r w:rsidR="006178CB">
        <w:t xml:space="preserve"> (SELF</w:t>
      </w:r>
      <w:r w:rsidR="00E4753D">
        <w:noBreakHyphen/>
      </w:r>
      <w:r w:rsidR="006178CB">
        <w:t xml:space="preserve">HELP REMEDY) </w:t>
      </w:r>
      <w:r w:rsidR="00CB6753">
        <w:t>2.</w:t>
      </w:r>
      <w:r w:rsidR="00EA07CD">
        <w:t xml:space="preserve"> of Proposed GO</w:t>
      </w:r>
      <w:r w:rsidR="00857660">
        <w:t> </w:t>
      </w:r>
      <w:r w:rsidR="00EA07CD">
        <w:t>178</w:t>
      </w:r>
      <w:r w:rsidR="00CB6753">
        <w:t xml:space="preserve"> </w:t>
      </w:r>
      <w:r w:rsidR="007442FE">
        <w:t>as follows</w:t>
      </w:r>
      <w:r w:rsidR="00EA07CD">
        <w:t>, and as depicted in Attachment</w:t>
      </w:r>
      <w:r w:rsidR="00857660">
        <w:t> </w:t>
      </w:r>
      <w:r w:rsidR="00EA07CD">
        <w:t>A to this decision</w:t>
      </w:r>
      <w:r w:rsidR="007442FE">
        <w:t>:</w:t>
      </w:r>
    </w:p>
    <w:p w:rsidRPr="00E83798" w:rsidR="00C54697" w:rsidP="00C54697" w:rsidRDefault="00C54697" w14:paraId="475164BD" w14:textId="1D586E5F">
      <w:pPr>
        <w:tabs>
          <w:tab w:val="left" w:pos="1080"/>
        </w:tabs>
        <w:spacing w:after="120" w:line="240" w:lineRule="auto"/>
        <w:ind w:left="1080" w:hanging="360"/>
        <w:rPr>
          <w:rFonts w:ascii="Palatino" w:hAnsi="Palatino" w:eastAsia="Times New Roman" w:cs="Times New Roman"/>
          <w:szCs w:val="20"/>
        </w:rPr>
      </w:pPr>
      <w:r w:rsidRPr="00E83798">
        <w:rPr>
          <w:rFonts w:ascii="Palatino" w:hAnsi="Palatino" w:eastAsia="Times New Roman" w:cs="Times New Roman"/>
          <w:szCs w:val="20"/>
        </w:rPr>
        <w:t>2. </w:t>
      </w:r>
      <w:r w:rsidRPr="00E83798">
        <w:rPr>
          <w:rFonts w:ascii="Palatino" w:hAnsi="Palatino" w:eastAsia="Times New Roman" w:cs="Times New Roman"/>
          <w:b/>
          <w:bCs/>
          <w:szCs w:val="20"/>
        </w:rPr>
        <w:t>Make</w:t>
      </w:r>
      <w:r w:rsidR="00E4753D">
        <w:rPr>
          <w:rFonts w:ascii="Palatino" w:hAnsi="Palatino" w:eastAsia="Times New Roman" w:cs="Times New Roman"/>
          <w:b/>
          <w:bCs/>
          <w:szCs w:val="20"/>
        </w:rPr>
        <w:noBreakHyphen/>
      </w:r>
      <w:r w:rsidRPr="00E83798">
        <w:rPr>
          <w:rFonts w:ascii="Palatino" w:hAnsi="Palatino" w:eastAsia="Times New Roman" w:cs="Times New Roman"/>
          <w:b/>
          <w:bCs/>
          <w:szCs w:val="20"/>
        </w:rPr>
        <w:t>ready.</w:t>
      </w:r>
      <w:r w:rsidRPr="00E83798">
        <w:rPr>
          <w:rFonts w:ascii="Palatino" w:hAnsi="Palatino" w:eastAsia="Times New Roman" w:cs="Times New Roman"/>
          <w:szCs w:val="20"/>
        </w:rPr>
        <w:t> If make</w:t>
      </w:r>
      <w:r w:rsidR="00E4753D">
        <w:rPr>
          <w:rFonts w:ascii="Palatino" w:hAnsi="Palatino" w:eastAsia="Times New Roman" w:cs="Times New Roman"/>
          <w:szCs w:val="20"/>
        </w:rPr>
        <w:noBreakHyphen/>
      </w:r>
      <w:r w:rsidRPr="00E83798">
        <w:rPr>
          <w:rFonts w:ascii="Palatino" w:hAnsi="Palatino" w:eastAsia="Times New Roman" w:cs="Times New Roman"/>
          <w:szCs w:val="20"/>
        </w:rPr>
        <w:t>ready is not complete by the date specified in paragraph (C) of this section, then a new attacher may conduct the make</w:t>
      </w:r>
      <w:r w:rsidR="00E4753D">
        <w:rPr>
          <w:rFonts w:ascii="Palatino" w:hAnsi="Palatino" w:eastAsia="Times New Roman" w:cs="Times New Roman"/>
          <w:szCs w:val="20"/>
        </w:rPr>
        <w:noBreakHyphen/>
      </w:r>
      <w:r w:rsidRPr="00E83798">
        <w:rPr>
          <w:rFonts w:ascii="Palatino" w:hAnsi="Palatino" w:eastAsia="Times New Roman" w:cs="Times New Roman"/>
          <w:szCs w:val="20"/>
        </w:rPr>
        <w:t>ready in place of the utility and existing attachers, and, as specified in paragraph (H), hire a contractor to complete the make</w:t>
      </w:r>
      <w:r w:rsidR="00E4753D">
        <w:rPr>
          <w:rFonts w:ascii="Palatino" w:hAnsi="Palatino" w:eastAsia="Times New Roman" w:cs="Times New Roman"/>
          <w:szCs w:val="20"/>
        </w:rPr>
        <w:noBreakHyphen/>
      </w:r>
      <w:r w:rsidRPr="00E83798">
        <w:rPr>
          <w:rFonts w:ascii="Palatino" w:hAnsi="Palatino" w:eastAsia="Times New Roman" w:cs="Times New Roman"/>
          <w:szCs w:val="20"/>
        </w:rPr>
        <w:t xml:space="preserve">ready. </w:t>
      </w:r>
      <w:r w:rsidRPr="00E83798">
        <w:rPr>
          <w:rFonts w:ascii="Palatino" w:hAnsi="Palatino" w:eastAsia="Times New Roman" w:cs="Times New Roman"/>
          <w:i/>
          <w:iCs/>
          <w:color w:val="0915FF"/>
          <w:szCs w:val="20"/>
        </w:rPr>
        <w:t xml:space="preserve">Costs of such </w:t>
      </w:r>
      <w:r w:rsidRPr="00D820BF">
        <w:rPr>
          <w:rFonts w:ascii="Palatino" w:hAnsi="Palatino" w:eastAsia="Times New Roman" w:cs="Times New Roman"/>
          <w:i/>
          <w:iCs/>
          <w:strike/>
          <w:color w:val="EE0000"/>
          <w:szCs w:val="20"/>
          <w:highlight w:val="yellow"/>
        </w:rPr>
        <w:t>survey</w:t>
      </w:r>
      <w:r w:rsidRPr="00D820BF">
        <w:rPr>
          <w:highlight w:val="yellow"/>
        </w:rPr>
        <w:t xml:space="preserve"> </w:t>
      </w:r>
      <w:r w:rsidRPr="00D820BF">
        <w:rPr>
          <w:rFonts w:ascii="Palatino" w:hAnsi="Palatino" w:eastAsia="Times New Roman" w:cs="Times New Roman"/>
          <w:i/>
          <w:iCs/>
          <w:color w:val="0000FF"/>
          <w:szCs w:val="20"/>
          <w:highlight w:val="yellow"/>
        </w:rPr>
        <w:t>make</w:t>
      </w:r>
      <w:r w:rsidR="00E4753D">
        <w:rPr>
          <w:rFonts w:ascii="Palatino" w:hAnsi="Palatino" w:eastAsia="Times New Roman" w:cs="Times New Roman"/>
          <w:i/>
          <w:iCs/>
          <w:color w:val="0000FF"/>
          <w:szCs w:val="20"/>
          <w:highlight w:val="yellow"/>
        </w:rPr>
        <w:noBreakHyphen/>
      </w:r>
      <w:r w:rsidRPr="00D820BF">
        <w:rPr>
          <w:rFonts w:ascii="Palatino" w:hAnsi="Palatino" w:eastAsia="Times New Roman" w:cs="Times New Roman"/>
          <w:i/>
          <w:iCs/>
          <w:color w:val="0000FF"/>
          <w:szCs w:val="20"/>
          <w:highlight w:val="yellow"/>
        </w:rPr>
        <w:t>ready</w:t>
      </w:r>
      <w:r w:rsidRPr="00D820BF">
        <w:rPr>
          <w:rFonts w:ascii="Palatino" w:hAnsi="Palatino" w:eastAsia="Times New Roman" w:cs="Times New Roman"/>
          <w:i/>
          <w:iCs/>
          <w:color w:val="0000FF"/>
          <w:szCs w:val="20"/>
        </w:rPr>
        <w:t xml:space="preserve"> </w:t>
      </w:r>
      <w:r w:rsidRPr="00E83798">
        <w:rPr>
          <w:rFonts w:ascii="Palatino" w:hAnsi="Palatino" w:eastAsia="Times New Roman" w:cs="Times New Roman"/>
          <w:i/>
          <w:iCs/>
          <w:color w:val="0915FF"/>
          <w:szCs w:val="20"/>
        </w:rPr>
        <w:t>and subsequent contractor costs shall be assigned to the attacher.</w:t>
      </w:r>
    </w:p>
    <w:p w:rsidRPr="00E83798" w:rsidR="00C54697" w:rsidP="00C54697" w:rsidRDefault="00C54697" w14:paraId="18927018" w14:textId="6FAE025E">
      <w:pPr>
        <w:tabs>
          <w:tab w:val="left" w:pos="1080"/>
        </w:tabs>
        <w:spacing w:after="120" w:line="240" w:lineRule="auto"/>
        <w:ind w:left="1440" w:hanging="360"/>
        <w:rPr>
          <w:rFonts w:ascii="Palatino" w:hAnsi="Palatino" w:eastAsia="Times New Roman" w:cs="Times New Roman"/>
          <w:szCs w:val="20"/>
        </w:rPr>
      </w:pPr>
      <w:r w:rsidRPr="00E83798">
        <w:rPr>
          <w:rFonts w:ascii="Palatino" w:hAnsi="Palatino" w:eastAsia="Times New Roman" w:cs="Times New Roman"/>
          <w:szCs w:val="20"/>
        </w:rPr>
        <w:t>a.</w:t>
      </w:r>
      <w:r w:rsidRPr="00E83798">
        <w:rPr>
          <w:rFonts w:ascii="Palatino" w:hAnsi="Palatino" w:eastAsia="Times New Roman" w:cs="Times New Roman"/>
          <w:szCs w:val="20"/>
        </w:rPr>
        <w:tab/>
        <w:t>A new attacher shall permit the affected utility and existing attachers to be present for any make</w:t>
      </w:r>
      <w:r w:rsidR="00E4753D">
        <w:rPr>
          <w:rFonts w:ascii="Palatino" w:hAnsi="Palatino" w:eastAsia="Times New Roman" w:cs="Times New Roman"/>
          <w:szCs w:val="20"/>
        </w:rPr>
        <w:noBreakHyphen/>
      </w:r>
      <w:r w:rsidRPr="00E83798">
        <w:rPr>
          <w:rFonts w:ascii="Palatino" w:hAnsi="Palatino" w:eastAsia="Times New Roman" w:cs="Times New Roman"/>
          <w:szCs w:val="20"/>
        </w:rPr>
        <w:t>ready. A new attacher shall use commercially reasonable efforts to provide the affected utility and existing attachers with advance notice of not less than 5 days of the impending make</w:t>
      </w:r>
      <w:r w:rsidR="00E4753D">
        <w:rPr>
          <w:rFonts w:ascii="Palatino" w:hAnsi="Palatino" w:eastAsia="Times New Roman" w:cs="Times New Roman"/>
          <w:szCs w:val="20"/>
        </w:rPr>
        <w:noBreakHyphen/>
      </w:r>
      <w:r w:rsidRPr="00E83798">
        <w:rPr>
          <w:rFonts w:ascii="Palatino" w:hAnsi="Palatino" w:eastAsia="Times New Roman" w:cs="Times New Roman"/>
          <w:szCs w:val="20"/>
        </w:rPr>
        <w:t xml:space="preserve">ready. The notice shall include the date and time </w:t>
      </w:r>
      <w:r w:rsidRPr="00E83798">
        <w:rPr>
          <w:rFonts w:ascii="Palatino" w:hAnsi="Palatino" w:eastAsia="Times New Roman" w:cs="Times New Roman"/>
          <w:szCs w:val="20"/>
        </w:rPr>
        <w:lastRenderedPageBreak/>
        <w:t>of the make</w:t>
      </w:r>
      <w:r w:rsidR="00E4753D">
        <w:rPr>
          <w:rFonts w:ascii="Palatino" w:hAnsi="Palatino" w:eastAsia="Times New Roman" w:cs="Times New Roman"/>
          <w:szCs w:val="20"/>
        </w:rPr>
        <w:noBreakHyphen/>
      </w:r>
      <w:r w:rsidRPr="00E83798">
        <w:rPr>
          <w:rFonts w:ascii="Palatino" w:hAnsi="Palatino" w:eastAsia="Times New Roman" w:cs="Times New Roman"/>
          <w:szCs w:val="20"/>
        </w:rPr>
        <w:t>ready, a description of the work involved, and the name of the contractor being used by the new attacher.</w:t>
      </w:r>
    </w:p>
    <w:p w:rsidRPr="00E83798" w:rsidR="00C54697" w:rsidP="00C54697" w:rsidRDefault="00C54697" w14:paraId="44E2FC7F" w14:textId="1E37DF7B">
      <w:pPr>
        <w:tabs>
          <w:tab w:val="left" w:pos="1080"/>
        </w:tabs>
        <w:spacing w:after="120" w:line="240" w:lineRule="auto"/>
        <w:ind w:left="1440" w:hanging="360"/>
        <w:rPr>
          <w:rFonts w:ascii="Palatino" w:hAnsi="Palatino" w:eastAsia="Times New Roman" w:cs="Times New Roman"/>
          <w:szCs w:val="20"/>
        </w:rPr>
      </w:pPr>
      <w:r w:rsidRPr="00E83798">
        <w:rPr>
          <w:rFonts w:ascii="Palatino" w:hAnsi="Palatino" w:eastAsia="Times New Roman" w:cs="Times New Roman"/>
          <w:szCs w:val="20"/>
        </w:rPr>
        <w:t>b.</w:t>
      </w:r>
      <w:r w:rsidRPr="00E83798">
        <w:rPr>
          <w:rFonts w:ascii="Palatino" w:hAnsi="Palatino" w:eastAsia="Times New Roman" w:cs="Times New Roman"/>
          <w:szCs w:val="20"/>
        </w:rPr>
        <w:tab/>
        <w:t>The new attacher shall notify an affected utility or existing attacher immediately if make</w:t>
      </w:r>
      <w:r w:rsidR="00E4753D">
        <w:rPr>
          <w:rFonts w:ascii="Palatino" w:hAnsi="Palatino" w:eastAsia="Times New Roman" w:cs="Times New Roman"/>
          <w:szCs w:val="20"/>
        </w:rPr>
        <w:noBreakHyphen/>
      </w:r>
      <w:r w:rsidRPr="00E83798">
        <w:rPr>
          <w:rFonts w:ascii="Palatino" w:hAnsi="Palatino" w:eastAsia="Times New Roman" w:cs="Times New Roman"/>
          <w:szCs w:val="20"/>
        </w:rPr>
        <w:t>ready damages the equipment of a utility or an existing attacher or causes an outage that is reasonably likely to interrupt the service of a utility or existing attacher. Upon receiving notice from the new attacher, the utility or existing attacher may either:</w:t>
      </w:r>
    </w:p>
    <w:p w:rsidRPr="00E83798" w:rsidR="00C54697" w:rsidP="00C54697" w:rsidRDefault="00C54697" w14:paraId="52FD5B51" w14:textId="77777777">
      <w:pPr>
        <w:tabs>
          <w:tab w:val="left" w:pos="1080"/>
        </w:tabs>
        <w:spacing w:after="120" w:line="240" w:lineRule="auto"/>
        <w:ind w:left="1800" w:hanging="360"/>
        <w:rPr>
          <w:rFonts w:ascii="Palatino" w:hAnsi="Palatino" w:eastAsia="Times New Roman" w:cs="Times New Roman"/>
          <w:szCs w:val="20"/>
        </w:rPr>
      </w:pPr>
      <w:r w:rsidRPr="00E83798">
        <w:rPr>
          <w:rFonts w:ascii="Palatino" w:hAnsi="Palatino" w:eastAsia="Times New Roman" w:cs="Times New Roman"/>
          <w:szCs w:val="20"/>
        </w:rPr>
        <w:t>i.</w:t>
      </w:r>
      <w:r w:rsidRPr="00E83798">
        <w:rPr>
          <w:rFonts w:ascii="Palatino" w:hAnsi="Palatino" w:eastAsia="Times New Roman" w:cs="Times New Roman"/>
          <w:szCs w:val="20"/>
        </w:rPr>
        <w:tab/>
        <w:t>Complete any necessary remedial work and bill the new attacher for the reasonable costs related to fixing the damage; or</w:t>
      </w:r>
    </w:p>
    <w:p w:rsidRPr="00E83798" w:rsidR="00C54697" w:rsidP="00C54697" w:rsidRDefault="00C54697" w14:paraId="5CA521B1" w14:textId="77777777">
      <w:pPr>
        <w:tabs>
          <w:tab w:val="left" w:pos="1080"/>
        </w:tabs>
        <w:spacing w:after="120" w:line="240" w:lineRule="auto"/>
        <w:ind w:left="1800" w:hanging="360"/>
        <w:rPr>
          <w:rFonts w:ascii="Palatino" w:hAnsi="Palatino" w:eastAsia="Times New Roman" w:cs="Times New Roman"/>
          <w:szCs w:val="20"/>
        </w:rPr>
      </w:pPr>
      <w:r w:rsidRPr="00E83798">
        <w:rPr>
          <w:rFonts w:ascii="Palatino" w:hAnsi="Palatino" w:eastAsia="Times New Roman" w:cs="Times New Roman"/>
          <w:szCs w:val="20"/>
        </w:rPr>
        <w:t>ii.</w:t>
      </w:r>
      <w:r w:rsidRPr="00E83798">
        <w:rPr>
          <w:rFonts w:ascii="Palatino" w:hAnsi="Palatino" w:eastAsia="Times New Roman" w:cs="Times New Roman"/>
          <w:szCs w:val="20"/>
        </w:rPr>
        <w:tab/>
        <w:t>Require the new attacher to fix the damage at its expense immediately following notice from the utility or existing attacher.</w:t>
      </w:r>
    </w:p>
    <w:p w:rsidRPr="00E83798" w:rsidR="00C54697" w:rsidP="00C54697" w:rsidRDefault="00C54697" w14:paraId="460A7963" w14:textId="23DCAECD">
      <w:pPr>
        <w:tabs>
          <w:tab w:val="left" w:pos="1080"/>
        </w:tabs>
        <w:spacing w:after="120" w:line="240" w:lineRule="auto"/>
        <w:ind w:left="1440" w:hanging="360"/>
        <w:rPr>
          <w:rFonts w:ascii="Palatino" w:hAnsi="Palatino" w:eastAsia="Times New Roman" w:cs="Times New Roman"/>
          <w:szCs w:val="20"/>
        </w:rPr>
      </w:pPr>
      <w:r w:rsidRPr="00E83798">
        <w:rPr>
          <w:rFonts w:ascii="Palatino" w:hAnsi="Palatino" w:eastAsia="Times New Roman" w:cs="Times New Roman"/>
          <w:szCs w:val="20"/>
        </w:rPr>
        <w:t>c.</w:t>
      </w:r>
      <w:r w:rsidRPr="00E83798">
        <w:rPr>
          <w:rFonts w:ascii="Palatino" w:hAnsi="Palatino" w:eastAsia="Times New Roman" w:cs="Times New Roman"/>
          <w:szCs w:val="20"/>
        </w:rPr>
        <w:tab/>
        <w:t>A new attacher shall notify the affected utility and existing attachers within 15 days after completion of make</w:t>
      </w:r>
      <w:r w:rsidR="00E4753D">
        <w:rPr>
          <w:rFonts w:ascii="Palatino" w:hAnsi="Palatino" w:eastAsia="Times New Roman" w:cs="Times New Roman"/>
          <w:szCs w:val="20"/>
        </w:rPr>
        <w:noBreakHyphen/>
      </w:r>
      <w:r w:rsidRPr="00E83798">
        <w:rPr>
          <w:rFonts w:ascii="Palatino" w:hAnsi="Palatino" w:eastAsia="Times New Roman" w:cs="Times New Roman"/>
          <w:szCs w:val="20"/>
        </w:rPr>
        <w:t>ready on a particular pole. The notice shall provide the affected utility and existing attachers at least 90 days from receipt in which to inspect the make</w:t>
      </w:r>
      <w:r w:rsidR="00E4753D">
        <w:rPr>
          <w:rFonts w:ascii="Palatino" w:hAnsi="Palatino" w:eastAsia="Times New Roman" w:cs="Times New Roman"/>
          <w:szCs w:val="20"/>
        </w:rPr>
        <w:noBreakHyphen/>
      </w:r>
      <w:r w:rsidRPr="00E83798">
        <w:rPr>
          <w:rFonts w:ascii="Palatino" w:hAnsi="Palatino" w:eastAsia="Times New Roman" w:cs="Times New Roman"/>
          <w:szCs w:val="20"/>
        </w:rPr>
        <w:t>ready. The affected utility and existing attachers have 14 days after completion of their inspection to notify the new attacher of any damage or code violations caused by make</w:t>
      </w:r>
      <w:r w:rsidR="00E4753D">
        <w:rPr>
          <w:rFonts w:ascii="Palatino" w:hAnsi="Palatino" w:eastAsia="Times New Roman" w:cs="Times New Roman"/>
          <w:szCs w:val="20"/>
        </w:rPr>
        <w:noBreakHyphen/>
      </w:r>
      <w:r w:rsidRPr="00E83798">
        <w:rPr>
          <w:rFonts w:ascii="Palatino" w:hAnsi="Palatino" w:eastAsia="Times New Roman" w:cs="Times New Roman"/>
          <w:szCs w:val="20"/>
        </w:rPr>
        <w:t>ready conducted by the new attacher on their equipment. If the utility or an existing attacher notifies the new attacher of such damage or code violations, then the utility or existing attacher shall provide adequate documentation of the damage or the code violations. The utility or existing attacher may either complete any necessary remedial work and bill the new attacher for the reasonable costs related to fixing the damage or code violations or require the new attacher to fix the damage or code violations at its expense within 14 days following notice from the utility or existing attacher.</w:t>
      </w:r>
    </w:p>
    <w:p w:rsidR="007442FE" w:rsidP="00ED36CC" w:rsidRDefault="0061163F" w14:paraId="02823905" w14:textId="4DDFF41E">
      <w:pPr>
        <w:pStyle w:val="Standard"/>
      </w:pPr>
      <w:r>
        <w:t xml:space="preserve">In addition, we shall amend </w:t>
      </w:r>
      <w:r w:rsidR="006F28D1">
        <w:t>Section</w:t>
      </w:r>
      <w:r w:rsidR="00AD1001">
        <w:t> </w:t>
      </w:r>
      <w:r w:rsidR="001F7CB0">
        <w:t>IV. (REQUESTS FOR ACCESS TO RIGHTS</w:t>
      </w:r>
      <w:r w:rsidR="00E4753D">
        <w:noBreakHyphen/>
      </w:r>
      <w:r w:rsidR="001F7CB0">
        <w:t>OF</w:t>
      </w:r>
      <w:r w:rsidR="00E4753D">
        <w:noBreakHyphen/>
      </w:r>
      <w:r w:rsidR="001F7CB0">
        <w:t>WAY AND SUPPORT STRUCTURES)</w:t>
      </w:r>
      <w:r w:rsidR="00B547F3">
        <w:t>, F. (ONE</w:t>
      </w:r>
      <w:r w:rsidR="00E4753D">
        <w:noBreakHyphen/>
      </w:r>
      <w:r w:rsidR="00B547F3">
        <w:t>TOUCH MAKE</w:t>
      </w:r>
      <w:r w:rsidR="00E4753D">
        <w:noBreakHyphen/>
      </w:r>
      <w:r w:rsidR="00B547F3">
        <w:t xml:space="preserve">READY OPTION), 2. (Application </w:t>
      </w:r>
      <w:r w:rsidR="006F28D1">
        <w:t>R</w:t>
      </w:r>
      <w:r w:rsidR="00B547F3">
        <w:t xml:space="preserve">eview on the </w:t>
      </w:r>
      <w:r w:rsidR="006F28D1">
        <w:t>M</w:t>
      </w:r>
      <w:r w:rsidR="00B547F3">
        <w:t xml:space="preserve">erits) </w:t>
      </w:r>
      <w:r w:rsidR="006F28D1">
        <w:t>of Proposed GO</w:t>
      </w:r>
      <w:r w:rsidR="00DA1C13">
        <w:t> </w:t>
      </w:r>
      <w:r w:rsidR="006F28D1">
        <w:t xml:space="preserve">178 </w:t>
      </w:r>
      <w:r w:rsidR="00B547F3">
        <w:t>as follows</w:t>
      </w:r>
      <w:r w:rsidR="006F28D1">
        <w:t>, and as depicted in Attachment</w:t>
      </w:r>
      <w:r w:rsidR="00DA1C13">
        <w:t> </w:t>
      </w:r>
      <w:r w:rsidR="006F28D1">
        <w:t>A to this decision</w:t>
      </w:r>
      <w:r w:rsidR="00B547F3">
        <w:t>:</w:t>
      </w:r>
    </w:p>
    <w:p w:rsidRPr="00E83798" w:rsidR="00C77241" w:rsidP="00C77241" w:rsidRDefault="00A34A75" w14:paraId="0C02473E" w14:textId="1D9CADEB">
      <w:pPr>
        <w:tabs>
          <w:tab w:val="left" w:pos="1080"/>
        </w:tabs>
        <w:spacing w:after="120" w:line="240" w:lineRule="auto"/>
        <w:ind w:left="1080" w:hanging="360"/>
        <w:rPr>
          <w:rFonts w:ascii="Palatino" w:hAnsi="Palatino" w:eastAsia="Times New Roman" w:cs="Times New Roman"/>
          <w:szCs w:val="20"/>
        </w:rPr>
      </w:pPr>
      <w:r>
        <w:rPr>
          <w:rFonts w:ascii="Palatino" w:hAnsi="Palatino" w:eastAsia="Times New Roman" w:cs="Times New Roman"/>
          <w:b/>
          <w:bCs/>
          <w:szCs w:val="20"/>
        </w:rPr>
        <w:lastRenderedPageBreak/>
        <w:t xml:space="preserve">2. </w:t>
      </w:r>
      <w:r w:rsidR="003A2842">
        <w:rPr>
          <w:rFonts w:ascii="Palatino" w:hAnsi="Palatino" w:eastAsia="Times New Roman" w:cs="Times New Roman"/>
          <w:b/>
          <w:bCs/>
          <w:szCs w:val="20"/>
        </w:rPr>
        <w:t xml:space="preserve"> </w:t>
      </w:r>
      <w:r w:rsidRPr="00E83798" w:rsidR="00C77241">
        <w:rPr>
          <w:rFonts w:ascii="Palatino" w:hAnsi="Palatino" w:eastAsia="Times New Roman" w:cs="Times New Roman"/>
          <w:b/>
          <w:bCs/>
          <w:szCs w:val="20"/>
        </w:rPr>
        <w:t>Application review on the merits.</w:t>
      </w:r>
      <w:r w:rsidRPr="00E83798" w:rsidR="00C77241">
        <w:rPr>
          <w:rFonts w:ascii="Palatino" w:hAnsi="Palatino" w:eastAsia="Times New Roman" w:cs="Times New Roman"/>
          <w:szCs w:val="20"/>
        </w:rPr>
        <w:t> The utility shall review on the merits a complete application requesting one</w:t>
      </w:r>
      <w:r w:rsidR="00E4753D">
        <w:rPr>
          <w:rFonts w:ascii="Palatino" w:hAnsi="Palatino" w:eastAsia="Times New Roman" w:cs="Times New Roman"/>
          <w:szCs w:val="20"/>
        </w:rPr>
        <w:noBreakHyphen/>
      </w:r>
      <w:r w:rsidRPr="00E83798" w:rsidR="00C77241">
        <w:rPr>
          <w:rFonts w:ascii="Palatino" w:hAnsi="Palatino" w:eastAsia="Times New Roman" w:cs="Times New Roman"/>
          <w:szCs w:val="20"/>
        </w:rPr>
        <w:t>touch make</w:t>
      </w:r>
      <w:r w:rsidR="00E4753D">
        <w:rPr>
          <w:rFonts w:ascii="Palatino" w:hAnsi="Palatino" w:eastAsia="Times New Roman" w:cs="Times New Roman"/>
          <w:szCs w:val="20"/>
        </w:rPr>
        <w:noBreakHyphen/>
      </w:r>
      <w:r w:rsidRPr="00E83798" w:rsidR="00C77241">
        <w:rPr>
          <w:rFonts w:ascii="Palatino" w:hAnsi="Palatino" w:eastAsia="Times New Roman" w:cs="Times New Roman"/>
          <w:szCs w:val="20"/>
        </w:rPr>
        <w:t>ready and respond to the new attacher either granting or denying an application within 15 days of the utility's receipt of a complete application (or within 30 days in the case of larger orders as described in paragraph (D) of this section).</w:t>
      </w:r>
    </w:p>
    <w:p w:rsidRPr="00E83798" w:rsidR="00C77241" w:rsidP="00C77241" w:rsidRDefault="00C77241" w14:paraId="4E73BF8F" w14:textId="77777777">
      <w:pPr>
        <w:tabs>
          <w:tab w:val="left" w:pos="1080"/>
        </w:tabs>
        <w:spacing w:after="120" w:line="240" w:lineRule="auto"/>
        <w:ind w:left="1440" w:hanging="360"/>
        <w:rPr>
          <w:rFonts w:ascii="Palatino" w:hAnsi="Palatino" w:eastAsia="Times New Roman" w:cs="Times New Roman"/>
          <w:szCs w:val="20"/>
        </w:rPr>
      </w:pPr>
      <w:r w:rsidRPr="00E83798">
        <w:rPr>
          <w:rFonts w:ascii="Palatino" w:hAnsi="Palatino" w:eastAsia="Times New Roman" w:cs="Times New Roman"/>
          <w:szCs w:val="20"/>
        </w:rPr>
        <w:t>a.</w:t>
      </w:r>
      <w:r w:rsidRPr="00E83798">
        <w:rPr>
          <w:rFonts w:ascii="Palatino" w:hAnsi="Palatino" w:eastAsia="Times New Roman" w:cs="Times New Roman"/>
          <w:szCs w:val="20"/>
        </w:rPr>
        <w:tab/>
        <w:t>If the utility denies the application on its merits, then its decision shall be specific, shall include all relevant evidence and information, internal design, construction and maintenance standards, supporting its decision, and shall explain how such evidence and information relate to a denial of access for reasons of lack of capacity, safety, reliability, or engineering standards.</w:t>
      </w:r>
    </w:p>
    <w:p w:rsidR="00C77241" w:rsidP="00C77241" w:rsidRDefault="00C77241" w14:paraId="4988A6F7" w14:textId="4E5FBB15">
      <w:pPr>
        <w:tabs>
          <w:tab w:val="left" w:pos="1080"/>
        </w:tabs>
        <w:spacing w:after="120" w:line="240" w:lineRule="auto"/>
        <w:ind w:left="1440" w:hanging="360"/>
        <w:rPr>
          <w:rFonts w:ascii="Palatino" w:hAnsi="Palatino" w:eastAsia="Times New Roman" w:cs="Times New Roman"/>
          <w:szCs w:val="20"/>
        </w:rPr>
      </w:pPr>
      <w:r w:rsidRPr="00E83798">
        <w:rPr>
          <w:rFonts w:ascii="Palatino" w:hAnsi="Palatino" w:eastAsia="Times New Roman" w:cs="Times New Roman"/>
          <w:szCs w:val="20"/>
        </w:rPr>
        <w:t>b.</w:t>
      </w:r>
      <w:r w:rsidRPr="00E83798">
        <w:rPr>
          <w:rFonts w:ascii="Palatino" w:hAnsi="Palatino" w:eastAsia="Times New Roman" w:cs="Times New Roman"/>
          <w:szCs w:val="20"/>
        </w:rPr>
        <w:tab/>
        <w:t>Within the 15</w:t>
      </w:r>
      <w:r w:rsidR="00E4753D">
        <w:rPr>
          <w:rFonts w:ascii="Palatino" w:hAnsi="Palatino" w:eastAsia="Times New Roman" w:cs="Times New Roman"/>
          <w:szCs w:val="20"/>
        </w:rPr>
        <w:noBreakHyphen/>
      </w:r>
      <w:r w:rsidRPr="00E83798">
        <w:rPr>
          <w:rFonts w:ascii="Palatino" w:hAnsi="Palatino" w:eastAsia="Times New Roman" w:cs="Times New Roman"/>
          <w:szCs w:val="20"/>
        </w:rPr>
        <w:t>day application review period (or within 30 days in the case of larger orders as described in paragraph (D) of this section), a utility may object to the designation by the new attacher's contractor that certain make</w:t>
      </w:r>
      <w:r w:rsidR="00E4753D">
        <w:rPr>
          <w:rFonts w:ascii="Palatino" w:hAnsi="Palatino" w:eastAsia="Times New Roman" w:cs="Times New Roman"/>
          <w:szCs w:val="20"/>
        </w:rPr>
        <w:noBreakHyphen/>
      </w:r>
      <w:r w:rsidRPr="00E83798">
        <w:rPr>
          <w:rFonts w:ascii="Palatino" w:hAnsi="Palatino" w:eastAsia="Times New Roman" w:cs="Times New Roman"/>
          <w:szCs w:val="20"/>
        </w:rPr>
        <w:t>ready is simple. If the utility objects to the contractor's determination that make</w:t>
      </w:r>
      <w:r w:rsidR="00E4753D">
        <w:rPr>
          <w:rFonts w:ascii="Palatino" w:hAnsi="Palatino" w:eastAsia="Times New Roman" w:cs="Times New Roman"/>
          <w:szCs w:val="20"/>
        </w:rPr>
        <w:noBreakHyphen/>
      </w:r>
      <w:r w:rsidRPr="00E83798">
        <w:rPr>
          <w:rFonts w:ascii="Palatino" w:hAnsi="Palatino" w:eastAsia="Times New Roman" w:cs="Times New Roman"/>
          <w:szCs w:val="20"/>
        </w:rPr>
        <w:t>ready is simple, then it is deemed complex. The utility's objection is final and determinative so long as it is specific and in writing, includes all relevant evidence and information supporting its decision, made in good faith, and explains how such evidence and information relate to a determination that the make</w:t>
      </w:r>
      <w:r w:rsidR="00E4753D">
        <w:rPr>
          <w:rFonts w:ascii="Palatino" w:hAnsi="Palatino" w:eastAsia="Times New Roman" w:cs="Times New Roman"/>
          <w:szCs w:val="20"/>
        </w:rPr>
        <w:noBreakHyphen/>
      </w:r>
      <w:r w:rsidRPr="00E83798">
        <w:rPr>
          <w:rFonts w:ascii="Palatino" w:hAnsi="Palatino" w:eastAsia="Times New Roman" w:cs="Times New Roman"/>
          <w:szCs w:val="20"/>
        </w:rPr>
        <w:t>ready is not simple.</w:t>
      </w:r>
    </w:p>
    <w:p w:rsidRPr="00416961" w:rsidR="00C77241" w:rsidP="00DC7CDD" w:rsidRDefault="00C77241" w14:paraId="1A7A3FA7" w14:textId="77777777">
      <w:pPr>
        <w:tabs>
          <w:tab w:val="left" w:pos="1080"/>
        </w:tabs>
        <w:spacing w:after="240" w:line="240" w:lineRule="auto"/>
        <w:ind w:left="1440" w:hanging="360"/>
        <w:rPr>
          <w:rFonts w:ascii="Palatino" w:hAnsi="Palatino" w:eastAsia="Times New Roman" w:cs="Times New Roman"/>
          <w:i/>
          <w:iCs/>
          <w:color w:val="0000FF"/>
          <w:szCs w:val="20"/>
        </w:rPr>
      </w:pPr>
      <w:r w:rsidRPr="00416961">
        <w:rPr>
          <w:rFonts w:ascii="Palatino" w:hAnsi="Palatino" w:eastAsia="Times New Roman" w:cs="Times New Roman"/>
          <w:i/>
          <w:iCs/>
          <w:color w:val="0000FF"/>
          <w:szCs w:val="20"/>
          <w:highlight w:val="yellow"/>
        </w:rPr>
        <w:t xml:space="preserve">c. </w:t>
      </w:r>
      <w:r w:rsidRPr="00416961">
        <w:rPr>
          <w:rFonts w:ascii="Palatino" w:hAnsi="Palatino" w:eastAsia="Times New Roman" w:cs="Times New Roman"/>
          <w:i/>
          <w:iCs/>
          <w:color w:val="0000FF"/>
          <w:szCs w:val="20"/>
          <w:highlight w:val="yellow"/>
        </w:rPr>
        <w:tab/>
        <w:t>Failure of the utility to respond within required period of time shall be deemed acceptance of the application.</w:t>
      </w:r>
    </w:p>
    <w:p w:rsidR="00B547F3" w:rsidP="00ED36CC" w:rsidRDefault="007E7D19" w14:paraId="0D6D0D94" w14:textId="091E58FF">
      <w:pPr>
        <w:pStyle w:val="Standard"/>
      </w:pPr>
      <w:r>
        <w:t>In making these edits, we agree with AT&amp;T</w:t>
      </w:r>
      <w:r w:rsidR="00410529">
        <w:t>’</w:t>
      </w:r>
      <w:r>
        <w:t xml:space="preserve">s recommendation to use </w:t>
      </w:r>
      <w:r w:rsidR="00410529">
        <w:t>“</w:t>
      </w:r>
      <w:r>
        <w:t>make</w:t>
      </w:r>
      <w:r w:rsidR="00E4753D">
        <w:noBreakHyphen/>
      </w:r>
      <w:r>
        <w:t>ready costs</w:t>
      </w:r>
      <w:r w:rsidR="00410529">
        <w:t>”</w:t>
      </w:r>
      <w:r>
        <w:t xml:space="preserve"> and not </w:t>
      </w:r>
      <w:r w:rsidR="00410529">
        <w:t>“</w:t>
      </w:r>
      <w:r>
        <w:t>survey costs.</w:t>
      </w:r>
      <w:r w:rsidR="00410529">
        <w:t>”</w:t>
      </w:r>
    </w:p>
    <w:p w:rsidR="004F5161" w:rsidP="00ED36CC" w:rsidRDefault="00615F41" w14:paraId="0162121F" w14:textId="434B01E1">
      <w:pPr>
        <w:pStyle w:val="Standard"/>
      </w:pPr>
      <w:r>
        <w:t xml:space="preserve">We also agree with </w:t>
      </w:r>
      <w:proofErr w:type="spellStart"/>
      <w:r>
        <w:t>Surfnet</w:t>
      </w:r>
      <w:proofErr w:type="spellEnd"/>
      <w:r>
        <w:t xml:space="preserve"> that there should be an end date </w:t>
      </w:r>
      <w:r w:rsidR="00CD11B4">
        <w:t xml:space="preserve">to the application approval process. </w:t>
      </w:r>
      <w:r w:rsidR="00063092">
        <w:t>Thus, we have added the provision that if</w:t>
      </w:r>
      <w:r w:rsidR="00CD11B4">
        <w:t xml:space="preserve"> the utility does not respond to the attacher</w:t>
      </w:r>
      <w:r w:rsidR="00410529">
        <w:t>’</w:t>
      </w:r>
      <w:r w:rsidR="00CD11B4">
        <w:t xml:space="preserve">s OTMR application by the required review period for simple </w:t>
      </w:r>
      <w:r w:rsidR="00CC18DD">
        <w:t>make</w:t>
      </w:r>
      <w:r w:rsidR="00E4753D">
        <w:noBreakHyphen/>
      </w:r>
      <w:r w:rsidR="00CC18DD">
        <w:t>ready</w:t>
      </w:r>
      <w:r w:rsidR="00CD11B4">
        <w:t xml:space="preserve"> projects</w:t>
      </w:r>
      <w:r w:rsidR="00063092">
        <w:t>, the application shall be deemed accepted.</w:t>
      </w:r>
    </w:p>
    <w:p w:rsidR="0040051B" w:rsidP="00ED36CC" w:rsidRDefault="0040051B" w14:paraId="31EADFB4" w14:textId="754A885D">
      <w:pPr>
        <w:pStyle w:val="Standard"/>
      </w:pPr>
      <w:r>
        <w:lastRenderedPageBreak/>
        <w:t>Finally, the Commission edits the definition of “telecommunications carrier” to clarify which entities are within the scope of the GO 178 adopted by this decision. In Attachment A. II. DEFINITIONS, the definition of “telecommunications carrier” is amended as follows:</w:t>
      </w:r>
    </w:p>
    <w:p w:rsidRPr="00E83798" w:rsidR="0040051B" w:rsidP="0024483E" w:rsidRDefault="0040051B" w14:paraId="5CCF457B" w14:textId="1B695565">
      <w:pPr>
        <w:keepLines/>
        <w:spacing w:after="120" w:line="240" w:lineRule="auto"/>
        <w:ind w:left="540" w:firstLine="0"/>
        <w:rPr>
          <w:rFonts w:ascii="Palatino" w:hAnsi="Palatino" w:eastAsia="Times New Roman" w:cs="Times New Roman"/>
          <w:szCs w:val="20"/>
        </w:rPr>
      </w:pPr>
      <w:r w:rsidRPr="00E83798">
        <w:rPr>
          <w:rFonts w:ascii="Palatino" w:hAnsi="Palatino" w:eastAsia="Times New Roman" w:cs="Times New Roman"/>
          <w:szCs w:val="20"/>
        </w:rPr>
        <w:t xml:space="preserve">Telecommunications carrier” generally means any provider of telecommunications services that has been granted a certificate of public convenience and necessity (CPCN) by the California Public Utilities Commission (Commission).  The definition of “telecommunications carrier” includes Competitive Local Exchange Carriers (CLEC) </w:t>
      </w:r>
      <w:r w:rsidRPr="00EA28D6">
        <w:rPr>
          <w:rFonts w:ascii="Palatino" w:hAnsi="Palatino" w:eastAsia="Times New Roman" w:cs="Times New Roman"/>
          <w:i/>
          <w:iCs/>
          <w:color w:val="0915FF"/>
          <w:szCs w:val="20"/>
          <w:highlight w:val="yellow"/>
        </w:rPr>
        <w:t>and Interexchange Carriers (IEC)</w:t>
      </w:r>
      <w:r w:rsidRPr="00E83798">
        <w:rPr>
          <w:rFonts w:ascii="Palatino" w:hAnsi="Palatino" w:eastAsia="Times New Roman" w:cs="Times New Roman"/>
          <w:szCs w:val="20"/>
        </w:rPr>
        <w:t xml:space="preserve"> that have been granted a CPCN by the Commission to provide facilities</w:t>
      </w:r>
      <w:r w:rsidR="00E4753D">
        <w:rPr>
          <w:rFonts w:ascii="Palatino" w:hAnsi="Palatino" w:eastAsia="Times New Roman" w:cs="Times New Roman"/>
          <w:szCs w:val="20"/>
        </w:rPr>
        <w:noBreakHyphen/>
      </w:r>
      <w:r w:rsidRPr="00E83798">
        <w:rPr>
          <w:rFonts w:ascii="Palatino" w:hAnsi="Palatino" w:eastAsia="Times New Roman" w:cs="Times New Roman"/>
          <w:szCs w:val="20"/>
        </w:rPr>
        <w:t xml:space="preserve">based competitive local exchange service. </w:t>
      </w:r>
      <w:r w:rsidRPr="008C1348">
        <w:rPr>
          <w:rFonts w:ascii="Palatino" w:hAnsi="Palatino" w:eastAsia="Times New Roman" w:cs="Times New Roman"/>
          <w:i/>
          <w:iCs/>
          <w:color w:val="0915FF"/>
          <w:szCs w:val="20"/>
          <w:highlight w:val="yellow"/>
        </w:rPr>
        <w:t>The definition of “telecommunications carrier” also includes facilities</w:t>
      </w:r>
      <w:r w:rsidR="00E4753D">
        <w:rPr>
          <w:rFonts w:ascii="Palatino" w:hAnsi="Palatino" w:eastAsia="Times New Roman" w:cs="Times New Roman"/>
          <w:i/>
          <w:iCs/>
          <w:color w:val="0915FF"/>
          <w:szCs w:val="20"/>
          <w:highlight w:val="yellow"/>
        </w:rPr>
        <w:noBreakHyphen/>
      </w:r>
      <w:r w:rsidRPr="008C1348">
        <w:rPr>
          <w:rFonts w:ascii="Palatino" w:hAnsi="Palatino" w:eastAsia="Times New Roman" w:cs="Times New Roman"/>
          <w:i/>
          <w:iCs/>
          <w:color w:val="0915FF"/>
          <w:szCs w:val="20"/>
          <w:highlight w:val="yellow"/>
        </w:rPr>
        <w:t>based carriers that provide Voice over Internet Protocol services.</w:t>
      </w:r>
      <w:r w:rsidRPr="008C1348">
        <w:rPr>
          <w:rFonts w:ascii="Palatino" w:hAnsi="Palatino" w:eastAsia="Times New Roman" w:cs="Times New Roman"/>
          <w:szCs w:val="20"/>
        </w:rPr>
        <w:t xml:space="preserve"> </w:t>
      </w:r>
      <w:r w:rsidRPr="00E83798">
        <w:rPr>
          <w:rFonts w:ascii="Palatino" w:hAnsi="Palatino" w:eastAsia="Times New Roman" w:cs="Times New Roman"/>
          <w:szCs w:val="20"/>
        </w:rPr>
        <w:t xml:space="preserve">These rules, however, exclude </w:t>
      </w:r>
      <w:r w:rsidRPr="008C1348">
        <w:rPr>
          <w:rFonts w:ascii="Palatino" w:hAnsi="Palatino" w:eastAsia="Times New Roman" w:cs="Times New Roman"/>
          <w:i/>
          <w:iCs/>
          <w:color w:val="0915FF"/>
          <w:szCs w:val="20"/>
          <w:highlight w:val="yellow"/>
        </w:rPr>
        <w:t>non</w:t>
      </w:r>
      <w:r w:rsidR="00E4753D">
        <w:rPr>
          <w:rFonts w:ascii="Palatino" w:hAnsi="Palatino" w:eastAsia="Times New Roman" w:cs="Times New Roman"/>
          <w:i/>
          <w:iCs/>
          <w:color w:val="0915FF"/>
          <w:szCs w:val="20"/>
          <w:highlight w:val="yellow"/>
        </w:rPr>
        <w:noBreakHyphen/>
      </w:r>
      <w:r w:rsidRPr="008C1348">
        <w:rPr>
          <w:rFonts w:ascii="Palatino" w:hAnsi="Palatino" w:eastAsia="Times New Roman" w:cs="Times New Roman"/>
          <w:i/>
          <w:iCs/>
          <w:color w:val="0915FF"/>
          <w:szCs w:val="20"/>
          <w:highlight w:val="yellow"/>
        </w:rPr>
        <w:t>facilities</w:t>
      </w:r>
      <w:r w:rsidR="00E4753D">
        <w:rPr>
          <w:rFonts w:ascii="Palatino" w:hAnsi="Palatino" w:eastAsia="Times New Roman" w:cs="Times New Roman"/>
          <w:i/>
          <w:iCs/>
          <w:color w:val="0915FF"/>
          <w:szCs w:val="20"/>
          <w:highlight w:val="yellow"/>
        </w:rPr>
        <w:noBreakHyphen/>
      </w:r>
      <w:r w:rsidRPr="008C1348">
        <w:rPr>
          <w:rFonts w:ascii="Palatino" w:hAnsi="Palatino" w:eastAsia="Times New Roman" w:cs="Times New Roman"/>
          <w:i/>
          <w:iCs/>
          <w:color w:val="0915FF"/>
          <w:szCs w:val="20"/>
          <w:highlight w:val="yellow"/>
        </w:rPr>
        <w:t xml:space="preserve">based </w:t>
      </w:r>
      <w:r w:rsidRPr="00092FDA">
        <w:rPr>
          <w:rFonts w:ascii="Palatino" w:hAnsi="Palatino" w:eastAsia="Times New Roman" w:cs="Times New Roman"/>
          <w:i/>
          <w:iCs/>
          <w:color w:val="0915FF"/>
          <w:szCs w:val="20"/>
          <w:highlight w:val="yellow"/>
        </w:rPr>
        <w:t>providers and IECs</w:t>
      </w:r>
      <w:r w:rsidRPr="00092FDA">
        <w:rPr>
          <w:rFonts w:ascii="Palatino" w:hAnsi="Palatino" w:eastAsia="Times New Roman" w:cs="Times New Roman"/>
          <w:szCs w:val="20"/>
          <w:highlight w:val="yellow"/>
        </w:rPr>
        <w:t xml:space="preserve"> </w:t>
      </w:r>
      <w:r w:rsidRPr="00B263B9">
        <w:rPr>
          <w:rFonts w:ascii="Palatino" w:hAnsi="Palatino" w:eastAsia="Times New Roman" w:cs="Times New Roman"/>
          <w:i/>
          <w:iCs/>
          <w:color w:val="0915FF"/>
          <w:szCs w:val="20"/>
          <w:highlight w:val="yellow"/>
        </w:rPr>
        <w:t>that have not been granted a CPCN by the Commission</w:t>
      </w:r>
      <w:r w:rsidRPr="00092FDA">
        <w:rPr>
          <w:rFonts w:ascii="Palatino" w:hAnsi="Palatino" w:eastAsia="Times New Roman" w:cs="Times New Roman"/>
          <w:strike/>
          <w:color w:val="FF0000"/>
          <w:szCs w:val="20"/>
          <w:highlight w:val="yellow"/>
        </w:rPr>
        <w:t xml:space="preserve"> interexchange carriers</w:t>
      </w:r>
      <w:r w:rsidRPr="00E83798">
        <w:rPr>
          <w:rFonts w:ascii="Palatino" w:hAnsi="Palatino" w:eastAsia="Times New Roman" w:cs="Times New Roman"/>
          <w:szCs w:val="20"/>
        </w:rPr>
        <w:t xml:space="preserve"> from the definition of “telecommunications carrier.”  </w:t>
      </w:r>
    </w:p>
    <w:p w:rsidRPr="00A7242C" w:rsidR="0040051B" w:rsidP="0024483E" w:rsidRDefault="0040051B" w14:paraId="06E0E126" w14:textId="4E681041">
      <w:pPr>
        <w:pStyle w:val="Standard"/>
        <w:ind w:firstLine="0"/>
      </w:pPr>
      <w:r>
        <w:t>These edits are necessary to acknowledge that</w:t>
      </w:r>
      <w:r w:rsidR="006F135F">
        <w:t xml:space="preserve"> (1)</w:t>
      </w:r>
      <w:r>
        <w:t xml:space="preserve"> the Commission issues CPCNs for full</w:t>
      </w:r>
      <w:r w:rsidR="00E4753D">
        <w:noBreakHyphen/>
      </w:r>
      <w:r>
        <w:t>facilities based CLEC and IEC service</w:t>
      </w:r>
      <w:r w:rsidR="006F135F">
        <w:t>; and (2) the Commission licenses VoIP telecommunications service.</w:t>
      </w:r>
    </w:p>
    <w:p w:rsidR="000E270A" w:rsidP="00ED36CC" w:rsidRDefault="006F4D80" w14:paraId="13412367" w14:textId="07128480">
      <w:pPr>
        <w:pStyle w:val="Heading1"/>
        <w:keepLines w:val="0"/>
      </w:pPr>
      <w:bookmarkStart w:name="_Toc229726777" w:id="64"/>
      <w:r>
        <w:t>Petitions for Modification</w:t>
      </w:r>
      <w:bookmarkEnd w:id="64"/>
    </w:p>
    <w:p w:rsidR="00CC18DD" w:rsidP="00304C31" w:rsidRDefault="001A6AE0" w14:paraId="4F394B08" w14:textId="7D312681">
      <w:pPr>
        <w:pStyle w:val="Heading2"/>
      </w:pPr>
      <w:bookmarkStart w:name="_Toc229726778" w:id="65"/>
      <w:r>
        <w:t>Major Pole Owners and</w:t>
      </w:r>
      <w:r w:rsidR="0048259B">
        <w:t xml:space="preserve"> </w:t>
      </w:r>
      <w:r>
        <w:t>Joint Pole</w:t>
      </w:r>
      <w:r w:rsidR="0048259B">
        <w:br/>
      </w:r>
      <w:r>
        <w:t>Attachers</w:t>
      </w:r>
      <w:r w:rsidR="0048259B">
        <w:t xml:space="preserve"> </w:t>
      </w:r>
      <w:r>
        <w:t>Petition for Modification</w:t>
      </w:r>
      <w:r w:rsidR="0048259B">
        <w:br/>
      </w:r>
      <w:r>
        <w:t>of D</w:t>
      </w:r>
      <w:r w:rsidR="00905742">
        <w:t>ecision </w:t>
      </w:r>
      <w:r>
        <w:t>21</w:t>
      </w:r>
      <w:r w:rsidR="00E4753D">
        <w:noBreakHyphen/>
      </w:r>
      <w:r>
        <w:t>10</w:t>
      </w:r>
      <w:r w:rsidR="00E4753D">
        <w:noBreakHyphen/>
      </w:r>
      <w:r>
        <w:t>019</w:t>
      </w:r>
      <w:bookmarkEnd w:id="65"/>
    </w:p>
    <w:p w:rsidR="00410529" w:rsidP="00ED36CC" w:rsidRDefault="00A53E91" w14:paraId="1A3C4E75" w14:textId="3377FA5B">
      <w:pPr>
        <w:pStyle w:val="Standard"/>
      </w:pPr>
      <w:r>
        <w:t xml:space="preserve">In their </w:t>
      </w:r>
      <w:r w:rsidRPr="00F777FE">
        <w:rPr>
          <w:i/>
          <w:iCs/>
        </w:rPr>
        <w:t>Petition for Modification</w:t>
      </w:r>
      <w:r w:rsidR="00C01532">
        <w:t xml:space="preserve"> (</w:t>
      </w:r>
      <w:r w:rsidRPr="0005569B" w:rsidR="0005569B">
        <w:rPr>
          <w:i/>
          <w:iCs/>
        </w:rPr>
        <w:t>Joint</w:t>
      </w:r>
      <w:r w:rsidR="0005569B">
        <w:t xml:space="preserve"> </w:t>
      </w:r>
      <w:r w:rsidRPr="00C01532" w:rsidR="00C01532">
        <w:rPr>
          <w:i/>
          <w:iCs/>
        </w:rPr>
        <w:t>Petition</w:t>
      </w:r>
      <w:r w:rsidR="00C01532">
        <w:t>),</w:t>
      </w:r>
      <w:r>
        <w:t xml:space="preserve"> </w:t>
      </w:r>
      <w:r w:rsidR="001119E9">
        <w:t xml:space="preserve">the </w:t>
      </w:r>
      <w:r w:rsidR="00CD4FA6">
        <w:t xml:space="preserve">Joint Pole Owners and Joint Pole Attachers </w:t>
      </w:r>
      <w:r w:rsidR="00F777FE">
        <w:t xml:space="preserve">(Petitioners) </w:t>
      </w:r>
      <w:r w:rsidR="00CD4FA6">
        <w:t>seek to modify D.21</w:t>
      </w:r>
      <w:r w:rsidR="00E4753D">
        <w:noBreakHyphen/>
      </w:r>
      <w:r w:rsidR="00CD4FA6">
        <w:t>10</w:t>
      </w:r>
      <w:r w:rsidR="00E4753D">
        <w:noBreakHyphen/>
      </w:r>
      <w:r w:rsidR="00CD4FA6">
        <w:t>019 in the following ways</w:t>
      </w:r>
      <w:r w:rsidR="00F76747">
        <w:t>: (1</w:t>
      </w:r>
      <w:r w:rsidR="00F763AC">
        <w:t>)</w:t>
      </w:r>
      <w:r w:rsidR="00CF414F">
        <w:t> </w:t>
      </w:r>
      <w:r w:rsidR="00BA5E32">
        <w:t xml:space="preserve">Data </w:t>
      </w:r>
      <w:r w:rsidR="00F763AC">
        <w:t>Points</w:t>
      </w:r>
      <w:r w:rsidR="00126613">
        <w:t> </w:t>
      </w:r>
      <w:r w:rsidR="00F76747">
        <w:t>8 and 11 be provided for all existing and future attachments</w:t>
      </w:r>
      <w:r w:rsidR="00AD4545">
        <w:t>; (2</w:t>
      </w:r>
      <w:r w:rsidR="00F763AC">
        <w:t>)</w:t>
      </w:r>
      <w:r w:rsidR="0051059D">
        <w:t> </w:t>
      </w:r>
      <w:r w:rsidR="00AD4545">
        <w:t xml:space="preserve">for all existing pole attachments that were subject </w:t>
      </w:r>
      <w:r w:rsidR="004B52A4">
        <w:t>t</w:t>
      </w:r>
      <w:r w:rsidR="00AD4545">
        <w:t>o</w:t>
      </w:r>
      <w:r w:rsidR="004B52A4">
        <w:t xml:space="preserve"> the</w:t>
      </w:r>
      <w:r w:rsidR="00AD4545">
        <w:t xml:space="preserve"> pole loading retention requirements specified in </w:t>
      </w:r>
      <w:r w:rsidR="005B40C8">
        <w:t>GO</w:t>
      </w:r>
      <w:r w:rsidR="0051059D">
        <w:t> </w:t>
      </w:r>
      <w:r w:rsidR="005B40C8">
        <w:t>95, Rule</w:t>
      </w:r>
      <w:r w:rsidR="0051059D">
        <w:t> </w:t>
      </w:r>
      <w:r w:rsidR="00AD4545">
        <w:t>44</w:t>
      </w:r>
      <w:r w:rsidR="004B52A4">
        <w:t xml:space="preserve"> and for all future pole attachments, either</w:t>
      </w:r>
      <w:r w:rsidR="00326400">
        <w:t xml:space="preserve"> (a</w:t>
      </w:r>
      <w:r w:rsidR="00F763AC">
        <w:t>)</w:t>
      </w:r>
      <w:r w:rsidR="0051059D">
        <w:t> </w:t>
      </w:r>
      <w:r w:rsidR="00326400">
        <w:t xml:space="preserve">the information required for </w:t>
      </w:r>
      <w:r w:rsidR="001120E8">
        <w:t>Phase</w:t>
      </w:r>
      <w:r w:rsidR="0051059D">
        <w:t> </w:t>
      </w:r>
      <w:r w:rsidR="00326400">
        <w:t xml:space="preserve">2 Data </w:t>
      </w:r>
      <w:r w:rsidR="002857CF">
        <w:t>Points</w:t>
      </w:r>
      <w:r w:rsidR="0051059D">
        <w:t> </w:t>
      </w:r>
      <w:r w:rsidR="00326400">
        <w:t>6</w:t>
      </w:r>
      <w:r w:rsidR="00E4753D">
        <w:noBreakHyphen/>
      </w:r>
      <w:r w:rsidR="00326400">
        <w:t>7, 9</w:t>
      </w:r>
      <w:r w:rsidR="00E4753D">
        <w:noBreakHyphen/>
      </w:r>
      <w:r w:rsidR="00326400">
        <w:t>10, and 12</w:t>
      </w:r>
      <w:r w:rsidR="00E4753D">
        <w:noBreakHyphen/>
      </w:r>
      <w:r w:rsidR="00326400">
        <w:t>17 be provided as individual data points</w:t>
      </w:r>
      <w:r w:rsidR="006501A3">
        <w:t>; or (b</w:t>
      </w:r>
      <w:r w:rsidR="00F763AC">
        <w:t>)</w:t>
      </w:r>
      <w:r w:rsidR="0051059D">
        <w:t> </w:t>
      </w:r>
      <w:r w:rsidR="006501A3">
        <w:t xml:space="preserve">the </w:t>
      </w:r>
      <w:r w:rsidR="00C82BD3">
        <w:t>P</w:t>
      </w:r>
      <w:r w:rsidR="006501A3">
        <w:t xml:space="preserve">ole </w:t>
      </w:r>
      <w:r w:rsidR="00C82BD3">
        <w:t>L</w:t>
      </w:r>
      <w:r w:rsidR="006501A3">
        <w:t xml:space="preserve">oading </w:t>
      </w:r>
      <w:r w:rsidR="00C82BD3">
        <w:lastRenderedPageBreak/>
        <w:t>C</w:t>
      </w:r>
      <w:r w:rsidR="006501A3">
        <w:t>alculation performed for those attachments be provided.</w:t>
      </w:r>
      <w:r w:rsidR="00C3632B">
        <w:t xml:space="preserve"> </w:t>
      </w:r>
      <w:r w:rsidR="00F777FE">
        <w:t>Petitioners</w:t>
      </w:r>
      <w:r w:rsidR="00DB4AA2">
        <w:t xml:space="preserve"> claim that these proposed modifications have </w:t>
      </w:r>
      <w:r w:rsidR="00F777FE">
        <w:t>t</w:t>
      </w:r>
      <w:r w:rsidR="00DB4AA2">
        <w:t>he potential to make the Major Pole Owner databases more comprehensive.</w:t>
      </w:r>
    </w:p>
    <w:p w:rsidR="00410529" w:rsidP="00ED36CC" w:rsidRDefault="000F783D" w14:paraId="4773E717" w14:textId="67DE16F7">
      <w:pPr>
        <w:pStyle w:val="Standard"/>
      </w:pPr>
      <w:r>
        <w:t xml:space="preserve">Petitioners also ask the Commission to clarify the IOU reimbursement process and to adjust the compliance dates to tie them to a Commission decision on the </w:t>
      </w:r>
      <w:r w:rsidRPr="00B07A86" w:rsidR="00B07A86">
        <w:rPr>
          <w:i/>
          <w:iCs/>
        </w:rPr>
        <w:t>Joint</w:t>
      </w:r>
      <w:r w:rsidR="00B07A86">
        <w:t xml:space="preserve"> </w:t>
      </w:r>
      <w:r w:rsidRPr="00C01532">
        <w:rPr>
          <w:i/>
          <w:iCs/>
        </w:rPr>
        <w:t>Petition</w:t>
      </w:r>
      <w:r w:rsidR="000036E3">
        <w:t>,</w:t>
      </w:r>
      <w:r>
        <w:t xml:space="preserve"> </w:t>
      </w:r>
      <w:r w:rsidR="000036E3">
        <w:t>a</w:t>
      </w:r>
      <w:r w:rsidR="00462977">
        <w:t xml:space="preserve">s opposed to </w:t>
      </w:r>
      <w:r w:rsidR="00042D39">
        <w:t xml:space="preserve">within 12 months of </w:t>
      </w:r>
      <w:r w:rsidR="00462977">
        <w:t xml:space="preserve">the </w:t>
      </w:r>
      <w:r w:rsidR="001120E8">
        <w:t>Phase</w:t>
      </w:r>
      <w:r w:rsidR="0051059D">
        <w:t> </w:t>
      </w:r>
      <w:r w:rsidR="00462977">
        <w:t xml:space="preserve">2 Joint Workshop </w:t>
      </w:r>
      <w:r w:rsidR="000036E3">
        <w:t>R</w:t>
      </w:r>
      <w:r w:rsidR="0006524F">
        <w:t>eport</w:t>
      </w:r>
      <w:r w:rsidR="000036E3">
        <w:t xml:space="preserve"> deadline</w:t>
      </w:r>
      <w:r w:rsidR="000669A7">
        <w:t xml:space="preserve">, which is </w:t>
      </w:r>
      <w:r w:rsidR="0023089B">
        <w:t>September</w:t>
      </w:r>
      <w:r w:rsidR="0051059D">
        <w:t> </w:t>
      </w:r>
      <w:r w:rsidR="000669A7">
        <w:t>9, 2025</w:t>
      </w:r>
      <w:r w:rsidR="000036E3">
        <w:t>.</w:t>
      </w:r>
      <w:r w:rsidR="0006524F">
        <w:t xml:space="preserve"> </w:t>
      </w:r>
      <w:r w:rsidR="001445B0">
        <w:t>Petitioners assert that</w:t>
      </w:r>
      <w:r w:rsidR="00F91DA5">
        <w:t xml:space="preserve"> </w:t>
      </w:r>
      <w:r w:rsidR="00207888">
        <w:t>clarifying</w:t>
      </w:r>
      <w:r w:rsidR="00F91DA5">
        <w:t xml:space="preserve"> the IOU funding mechanism will enable the electric utilities (SDG&amp;E, PG&amp;E, and SCE) to secure sufficient funding to </w:t>
      </w:r>
      <w:r w:rsidR="00473DB6">
        <w:t>implement</w:t>
      </w:r>
      <w:r w:rsidR="00F91DA5">
        <w:t xml:space="preserve"> the </w:t>
      </w:r>
      <w:r w:rsidR="00A4557D">
        <w:t>Track</w:t>
      </w:r>
      <w:r w:rsidR="0051059D">
        <w:t> </w:t>
      </w:r>
      <w:r w:rsidR="00F91DA5">
        <w:t xml:space="preserve">2 Decision requirements without defunding other operation and maintenance programs and activities necessary for the safe and reliable </w:t>
      </w:r>
      <w:r w:rsidR="00473DB6">
        <w:t>operation of the electric system.</w:t>
      </w:r>
    </w:p>
    <w:p w:rsidR="005F40A5" w:rsidP="00ED36CC" w:rsidRDefault="005F40A5" w14:paraId="61478E82" w14:textId="7436A79A">
      <w:pPr>
        <w:pStyle w:val="Standard"/>
      </w:pPr>
      <w:r>
        <w:t xml:space="preserve">These requested modifications fall into three categories: </w:t>
      </w:r>
      <w:r w:rsidR="00875928">
        <w:t>(1</w:t>
      </w:r>
      <w:r w:rsidR="00F35ED1">
        <w:t>)</w:t>
      </w:r>
      <w:r w:rsidR="00CF414F">
        <w:t> </w:t>
      </w:r>
      <w:r w:rsidR="00836875">
        <w:t xml:space="preserve">GRC </w:t>
      </w:r>
      <w:r w:rsidR="00875928">
        <w:t>cost recovery; (2</w:t>
      </w:r>
      <w:r w:rsidR="00F35ED1">
        <w:t>)</w:t>
      </w:r>
      <w:r w:rsidR="0051059D">
        <w:t> </w:t>
      </w:r>
      <w:r w:rsidR="00875928">
        <w:t>extension of time</w:t>
      </w:r>
      <w:r w:rsidR="00631963">
        <w:t>; and (3</w:t>
      </w:r>
      <w:r w:rsidR="00F35ED1">
        <w:t>)</w:t>
      </w:r>
      <w:r w:rsidR="0051059D">
        <w:t> </w:t>
      </w:r>
      <w:r w:rsidR="00A4557D">
        <w:t>Track</w:t>
      </w:r>
      <w:r w:rsidR="0051059D">
        <w:t> </w:t>
      </w:r>
      <w:r w:rsidR="00631963">
        <w:t xml:space="preserve">2, </w:t>
      </w:r>
      <w:r w:rsidR="001120E8">
        <w:t>Phase</w:t>
      </w:r>
      <w:r w:rsidR="0051059D">
        <w:t> </w:t>
      </w:r>
      <w:r w:rsidR="00631963">
        <w:t>2 data reporting requirement changes</w:t>
      </w:r>
      <w:r w:rsidR="00E52228">
        <w:t>, which we will now address.</w:t>
      </w:r>
    </w:p>
    <w:p w:rsidR="00270E83" w:rsidP="00ED36CC" w:rsidRDefault="00270E83" w14:paraId="2931DF5D" w14:textId="1D3F1D63">
      <w:pPr>
        <w:pStyle w:val="Standard"/>
      </w:pPr>
      <w:r w:rsidRPr="00E52228">
        <w:rPr>
          <w:u w:val="single"/>
        </w:rPr>
        <w:t>GRC Cost Recovery</w:t>
      </w:r>
      <w:r>
        <w:t>: Petitioners ask that Pole Ow</w:t>
      </w:r>
      <w:r w:rsidR="00EC6F3D">
        <w:t xml:space="preserve">ners subject to a </w:t>
      </w:r>
      <w:r w:rsidR="001119E9">
        <w:t>GRC</w:t>
      </w:r>
      <w:r w:rsidR="00EC6F3D">
        <w:t xml:space="preserve"> shall have the option to utilize a reimbursable memorandum account to recover costs incurred to comply with supplying the data points identified in </w:t>
      </w:r>
      <w:r w:rsidR="00AE3B9A">
        <w:t>Attachment</w:t>
      </w:r>
      <w:r w:rsidR="0051059D">
        <w:t> </w:t>
      </w:r>
      <w:r w:rsidR="00EC6F3D">
        <w:t>A</w:t>
      </w:r>
      <w:r w:rsidR="001119E9">
        <w:t xml:space="preserve"> to this decision,</w:t>
      </w:r>
      <w:r w:rsidR="00EC6F3D">
        <w:t xml:space="preserve"> </w:t>
      </w:r>
      <w:r w:rsidR="00E27085">
        <w:t xml:space="preserve">and the costs to develop the pole databases described in Ordering </w:t>
      </w:r>
      <w:r w:rsidR="00AC6D4A">
        <w:t>Paragraph</w:t>
      </w:r>
      <w:r w:rsidR="0051059D">
        <w:t> </w:t>
      </w:r>
      <w:r w:rsidR="00E27085">
        <w:t xml:space="preserve">2. </w:t>
      </w:r>
      <w:r w:rsidR="007729AA">
        <w:t>Additionally, Petitioner</w:t>
      </w:r>
      <w:r w:rsidR="009B6C86">
        <w:t>s</w:t>
      </w:r>
      <w:r w:rsidR="007729AA">
        <w:t xml:space="preserve"> ask that Pole Owners subject to</w:t>
      </w:r>
      <w:r w:rsidR="00B5010D">
        <w:t xml:space="preserve"> a</w:t>
      </w:r>
      <w:r w:rsidR="009B6C86">
        <w:t xml:space="preserve"> GRC</w:t>
      </w:r>
      <w:r w:rsidR="0014505D">
        <w:t xml:space="preserve"> be given the option of seeking a disposition of these memorandum accounts by a </w:t>
      </w:r>
      <w:r w:rsidR="004D7AB6">
        <w:t>Tier</w:t>
      </w:r>
      <w:r w:rsidR="0051059D">
        <w:t> </w:t>
      </w:r>
      <w:r w:rsidR="0014505D">
        <w:t xml:space="preserve">2 </w:t>
      </w:r>
      <w:r w:rsidR="001119E9">
        <w:t>A</w:t>
      </w:r>
      <w:r w:rsidR="0014505D">
        <w:t xml:space="preserve">dvice </w:t>
      </w:r>
      <w:r w:rsidR="001119E9">
        <w:t>L</w:t>
      </w:r>
      <w:r w:rsidR="0014505D">
        <w:t>etter or through their respective GRC</w:t>
      </w:r>
      <w:r w:rsidR="003953F7">
        <w:t>s.</w:t>
      </w:r>
    </w:p>
    <w:p w:rsidR="00967B35" w:rsidP="00ED36CC" w:rsidRDefault="00967B35" w14:paraId="3E8C968B" w14:textId="35116C5C">
      <w:pPr>
        <w:pStyle w:val="Standard"/>
      </w:pPr>
      <w:r>
        <w:t xml:space="preserve">The Commission rejects this request to predetermine costs for utilities subject to GRCs. </w:t>
      </w:r>
      <w:r w:rsidR="00C475E7">
        <w:t>Whether</w:t>
      </w:r>
      <w:r>
        <w:t xml:space="preserve"> utilities prudently implemented </w:t>
      </w:r>
      <w:r w:rsidR="009F69E6">
        <w:t>D.21</w:t>
      </w:r>
      <w:r w:rsidR="00E4753D">
        <w:noBreakHyphen/>
      </w:r>
      <w:r w:rsidR="009F69E6">
        <w:t>10</w:t>
      </w:r>
      <w:r w:rsidR="00E4753D">
        <w:noBreakHyphen/>
      </w:r>
      <w:r w:rsidR="009F69E6">
        <w:t xml:space="preserve">019 should be reviewed in detail before any </w:t>
      </w:r>
      <w:r w:rsidR="00C475E7">
        <w:t>cost</w:t>
      </w:r>
      <w:r w:rsidR="009F69E6">
        <w:t xml:space="preserve"> recovery is allowed, </w:t>
      </w:r>
      <w:r w:rsidR="00FC0FAE">
        <w:t>especially in light of</w:t>
      </w:r>
      <w:r w:rsidR="00C475E7">
        <w:t xml:space="preserve"> the Petitioners</w:t>
      </w:r>
      <w:r w:rsidR="00410529">
        <w:t>’</w:t>
      </w:r>
      <w:r w:rsidR="00C475E7">
        <w:t xml:space="preserve"> claims regarding the costs of compliance</w:t>
      </w:r>
      <w:r w:rsidR="003B6BC3">
        <w:t xml:space="preserve">, which they estimate </w:t>
      </w:r>
      <w:r w:rsidR="001A3841">
        <w:t>to be</w:t>
      </w:r>
      <w:r w:rsidR="003B6BC3">
        <w:t xml:space="preserve"> </w:t>
      </w:r>
      <w:r w:rsidR="003B6BC3">
        <w:lastRenderedPageBreak/>
        <w:t>in excess of $650</w:t>
      </w:r>
      <w:r w:rsidR="0051059D">
        <w:t> </w:t>
      </w:r>
      <w:r w:rsidR="004840C8">
        <w:t>million</w:t>
      </w:r>
      <w:r w:rsidR="003B6BC3">
        <w:t>.</w:t>
      </w:r>
      <w:r w:rsidR="001F2BE1">
        <w:t xml:space="preserve"> To the extent </w:t>
      </w:r>
      <w:r w:rsidR="00021169">
        <w:t>the utilities seek reimbursement through their respective GRCs, they shall demonstrate that their compliance was provided as cost efficiently as possible.</w:t>
      </w:r>
      <w:r w:rsidR="00A90F6C">
        <w:t xml:space="preserve"> In the interim, the </w:t>
      </w:r>
      <w:r w:rsidR="0005691F">
        <w:t>utilities subject to GRCs should track their costs in their memorandum accounts</w:t>
      </w:r>
      <w:r w:rsidR="0000251B">
        <w:t xml:space="preserve"> which shall then be offered as proof as reasonableness in their respective </w:t>
      </w:r>
      <w:r w:rsidR="002A7704">
        <w:t xml:space="preserve">future </w:t>
      </w:r>
      <w:r w:rsidR="0000251B">
        <w:t>GRCs</w:t>
      </w:r>
      <w:r w:rsidR="002A7704">
        <w:t>.</w:t>
      </w:r>
    </w:p>
    <w:p w:rsidR="00CF26FA" w:rsidP="00ED36CC" w:rsidRDefault="00CF26FA" w14:paraId="402BF124" w14:textId="098FD7E8">
      <w:pPr>
        <w:pStyle w:val="Standard"/>
      </w:pPr>
      <w:r w:rsidRPr="00710339">
        <w:rPr>
          <w:u w:val="single"/>
        </w:rPr>
        <w:t>Extension of Time</w:t>
      </w:r>
      <w:r>
        <w:t>:</w:t>
      </w:r>
      <w:r w:rsidR="00DF27A9">
        <w:t xml:space="preserve"> We decline to grant</w:t>
      </w:r>
      <w:r w:rsidR="008856A9">
        <w:t xml:space="preserve"> the </w:t>
      </w:r>
      <w:r w:rsidR="00BA6626">
        <w:t xml:space="preserve">blanket </w:t>
      </w:r>
      <w:r w:rsidR="008856A9">
        <w:t>requested extension</w:t>
      </w:r>
      <w:r w:rsidR="00BA6626">
        <w:t xml:space="preserve"> of time</w:t>
      </w:r>
      <w:r w:rsidR="008856A9">
        <w:t xml:space="preserve"> as the deadline has passed. </w:t>
      </w:r>
      <w:r w:rsidR="0095057B">
        <w:t>Instead, any further extensions of time will be subject to the Compliance Plan Advice Letter process that we detail below.</w:t>
      </w:r>
    </w:p>
    <w:p w:rsidR="00710339" w:rsidP="00ED36CC" w:rsidRDefault="00A4557D" w14:paraId="6EF47767" w14:textId="7920F3B4">
      <w:pPr>
        <w:pStyle w:val="Standard"/>
      </w:pPr>
      <w:r>
        <w:t>Track</w:t>
      </w:r>
      <w:r w:rsidR="0051059D">
        <w:t> </w:t>
      </w:r>
      <w:r w:rsidR="00DA18C9">
        <w:t xml:space="preserve">2, </w:t>
      </w:r>
      <w:r w:rsidR="001120E8">
        <w:t>Phase</w:t>
      </w:r>
      <w:r w:rsidR="0051059D">
        <w:t> </w:t>
      </w:r>
      <w:r w:rsidR="00DA18C9">
        <w:t xml:space="preserve">2 Data Reporting Requirement Changes: The Commission has decided to provide additional pathways for </w:t>
      </w:r>
      <w:r w:rsidR="00A65B6B">
        <w:t>compliance with D.21</w:t>
      </w:r>
      <w:r w:rsidR="00E4753D">
        <w:noBreakHyphen/>
      </w:r>
      <w:r w:rsidR="00A65B6B">
        <w:t>10</w:t>
      </w:r>
      <w:r w:rsidR="00E4753D">
        <w:noBreakHyphen/>
      </w:r>
      <w:r w:rsidR="00A65B6B">
        <w:t xml:space="preserve">019, Ordering </w:t>
      </w:r>
      <w:r w:rsidR="00AC6D4A">
        <w:t>Paragraph</w:t>
      </w:r>
      <w:r w:rsidR="0051059D">
        <w:t> </w:t>
      </w:r>
      <w:r w:rsidR="00A65B6B">
        <w:t>9, as follows:</w:t>
      </w:r>
    </w:p>
    <w:p w:rsidR="005F7F48" w:rsidRDefault="00C85598" w14:paraId="30596B0A" w14:textId="0D9193FB">
      <w:pPr>
        <w:pStyle w:val="BlockQuoteBullet1"/>
        <w:numPr>
          <w:ilvl w:val="1"/>
          <w:numId w:val="15"/>
        </w:numPr>
        <w:ind w:left="1080"/>
      </w:pPr>
      <w:r>
        <w:rPr>
          <w:b/>
          <w:bCs/>
        </w:rPr>
        <w:t>Option</w:t>
      </w:r>
      <w:r w:rsidR="0051059D">
        <w:rPr>
          <w:b/>
          <w:bCs/>
        </w:rPr>
        <w:t> </w:t>
      </w:r>
      <w:r w:rsidRPr="009644D9" w:rsidR="005F7F48">
        <w:rPr>
          <w:b/>
          <w:bCs/>
        </w:rPr>
        <w:t>1:</w:t>
      </w:r>
      <w:r w:rsidR="005F7F48">
        <w:t xml:space="preserve"> Provide the data as required by </w:t>
      </w:r>
      <w:r w:rsidR="00413DEC">
        <w:t>D.</w:t>
      </w:r>
      <w:r w:rsidRPr="00C16E06" w:rsidR="005F7F48">
        <w:t>21</w:t>
      </w:r>
      <w:r w:rsidR="00E4753D">
        <w:noBreakHyphen/>
      </w:r>
      <w:r w:rsidRPr="00C16E06" w:rsidR="005F7F48">
        <w:t>10</w:t>
      </w:r>
      <w:r w:rsidR="00E4753D">
        <w:noBreakHyphen/>
      </w:r>
      <w:r w:rsidRPr="00C16E06" w:rsidR="005F7F48">
        <w:t>019</w:t>
      </w:r>
      <w:r w:rsidR="005F7F48">
        <w:t>.</w:t>
      </w:r>
      <w:r w:rsidR="00CD0676">
        <w:t xml:space="preserve"> </w:t>
      </w:r>
      <w:r w:rsidRPr="00CD0676" w:rsidR="00CD0676">
        <w:t>The deadline for compliance with Decision</w:t>
      </w:r>
      <w:r w:rsidR="007F0761">
        <w:t> </w:t>
      </w:r>
      <w:r w:rsidRPr="00CD0676" w:rsidR="00CD0676">
        <w:t>21</w:t>
      </w:r>
      <w:r w:rsidR="007F0761">
        <w:noBreakHyphen/>
      </w:r>
      <w:r w:rsidRPr="00CD0676" w:rsidR="00CD0676">
        <w:t>10</w:t>
      </w:r>
      <w:r w:rsidR="007F0761">
        <w:noBreakHyphen/>
      </w:r>
      <w:r w:rsidRPr="00CD0676" w:rsidR="00CD0676">
        <w:t>019, Ordering Paragraph</w:t>
      </w:r>
      <w:r w:rsidR="007F0761">
        <w:t> </w:t>
      </w:r>
      <w:r w:rsidRPr="00CD0676" w:rsidR="00CD0676">
        <w:t>9, is extended</w:t>
      </w:r>
      <w:r w:rsidR="00CD0676">
        <w:t>, as modified by the Executive Director,</w:t>
      </w:r>
      <w:r w:rsidRPr="00CD0676" w:rsidR="00CD0676">
        <w:t xml:space="preserve"> to one year to June</w:t>
      </w:r>
      <w:r w:rsidR="007F0761">
        <w:t> </w:t>
      </w:r>
      <w:r w:rsidRPr="00CD0676" w:rsidR="00CD0676">
        <w:t xml:space="preserve">9, 2027 unless the utility elects to submit a </w:t>
      </w:r>
      <w:r w:rsidR="002D6561">
        <w:t>Compliance Plan</w:t>
      </w:r>
      <w:r w:rsidRPr="00CD0676" w:rsidR="00CD0676">
        <w:t xml:space="preserve"> according to the provisions below.</w:t>
      </w:r>
    </w:p>
    <w:p w:rsidR="005F7F48" w:rsidRDefault="00C85598" w14:paraId="716C3060" w14:textId="47C010F2">
      <w:pPr>
        <w:pStyle w:val="BlockQuoteBullet1"/>
        <w:numPr>
          <w:ilvl w:val="1"/>
          <w:numId w:val="15"/>
        </w:numPr>
        <w:ind w:left="1080"/>
      </w:pPr>
      <w:r>
        <w:rPr>
          <w:b/>
          <w:bCs/>
        </w:rPr>
        <w:t>Option</w:t>
      </w:r>
      <w:r w:rsidR="0051059D">
        <w:rPr>
          <w:b/>
          <w:bCs/>
        </w:rPr>
        <w:t> </w:t>
      </w:r>
      <w:r w:rsidRPr="009644D9" w:rsidR="005F7F48">
        <w:rPr>
          <w:b/>
          <w:bCs/>
        </w:rPr>
        <w:t>2:</w:t>
      </w:r>
      <w:r w:rsidR="005F7F48">
        <w:t xml:space="preserve"> Provide specified </w:t>
      </w:r>
      <w:r w:rsidR="00A4557D">
        <w:t>Track</w:t>
      </w:r>
      <w:r w:rsidR="0051059D">
        <w:t> </w:t>
      </w:r>
      <w:r w:rsidR="005F7F48">
        <w:t xml:space="preserve">2, </w:t>
      </w:r>
      <w:r w:rsidR="001120E8">
        <w:t>Phase</w:t>
      </w:r>
      <w:r w:rsidR="0051059D">
        <w:t> </w:t>
      </w:r>
      <w:r w:rsidR="005F7F48">
        <w:t xml:space="preserve">2 Datapoints </w:t>
      </w:r>
      <w:r w:rsidRPr="005F7F48" w:rsidR="005F7F48">
        <w:rPr>
          <w:i/>
          <w:iCs/>
        </w:rPr>
        <w:t>and</w:t>
      </w:r>
      <w:r w:rsidR="005F7F48">
        <w:t xml:space="preserve"> a Pole Loading Calculation:</w:t>
      </w:r>
    </w:p>
    <w:p w:rsidR="00E26F1D" w:rsidRDefault="005F7F48" w14:paraId="1C03F137" w14:textId="1B55B5CE">
      <w:pPr>
        <w:pStyle w:val="BlockQuoteBullet2"/>
        <w:numPr>
          <w:ilvl w:val="2"/>
          <w:numId w:val="15"/>
        </w:numPr>
        <w:ind w:left="1440"/>
      </w:pPr>
      <w:r>
        <w:t xml:space="preserve">1) </w:t>
      </w:r>
      <w:r w:rsidR="00AC2107">
        <w:t>The Commission will m</w:t>
      </w:r>
      <w:r>
        <w:t xml:space="preserve">aintain </w:t>
      </w:r>
      <w:r w:rsidR="00AC2107">
        <w:t xml:space="preserve">the </w:t>
      </w:r>
      <w:r>
        <w:t xml:space="preserve">requirement that utilities provide specific data for specified </w:t>
      </w:r>
      <w:r w:rsidR="001120E8">
        <w:t>Phase</w:t>
      </w:r>
      <w:r w:rsidR="0051059D">
        <w:t> </w:t>
      </w:r>
      <w:r>
        <w:t>2 Datapoints: 6 (</w:t>
      </w:r>
      <w:r w:rsidRPr="005C0C08">
        <w:t>Attachment Location on Pole</w:t>
      </w:r>
      <w:r>
        <w:t>), 7 (</w:t>
      </w:r>
      <w:r w:rsidRPr="002A52C0">
        <w:t>Pole Attachment Elevation</w:t>
      </w:r>
      <w:r>
        <w:t>), 8 (</w:t>
      </w:r>
      <w:r w:rsidRPr="002A52C0">
        <w:t>Attachment Description</w:t>
      </w:r>
      <w:r>
        <w:t>), and 11 (</w:t>
      </w:r>
      <w:r w:rsidRPr="002A52C0">
        <w:t>Grade of Construction</w:t>
      </w:r>
      <w:r>
        <w:t>).</w:t>
      </w:r>
    </w:p>
    <w:p w:rsidR="005F7F48" w:rsidRDefault="005F7F48" w14:paraId="78B91069" w14:textId="1DEC100A">
      <w:pPr>
        <w:pStyle w:val="BlockQuoteBullet2"/>
        <w:numPr>
          <w:ilvl w:val="2"/>
          <w:numId w:val="15"/>
        </w:numPr>
        <w:ind w:left="1440"/>
      </w:pPr>
      <w:r>
        <w:t>2) A Pole Loading Calculation may be used to comply with the requirement to provide specific data for Datapoints</w:t>
      </w:r>
      <w:r w:rsidR="0081775F">
        <w:t>:</w:t>
      </w:r>
      <w:r>
        <w:t xml:space="preserve"> 9 (</w:t>
      </w:r>
      <w:r w:rsidRPr="00F3398A">
        <w:t>Attachment Dimensions</w:t>
      </w:r>
      <w:r>
        <w:t>), 10 (</w:t>
      </w:r>
      <w:r w:rsidRPr="006339E8">
        <w:t>Attachment Weight</w:t>
      </w:r>
      <w:r>
        <w:t>), 12 (</w:t>
      </w:r>
      <w:r w:rsidRPr="006339E8">
        <w:t>Conductor Tension</w:t>
      </w:r>
      <w:r>
        <w:t>), 13 (</w:t>
      </w:r>
      <w:r w:rsidRPr="004A03A0">
        <w:t>Cable Tensile Strength</w:t>
      </w:r>
      <w:r>
        <w:t>), 14 (</w:t>
      </w:r>
      <w:r w:rsidRPr="004A03A0">
        <w:t>Cable Average Span Length</w:t>
      </w:r>
      <w:r>
        <w:t>), 15 (</w:t>
      </w:r>
      <w:r w:rsidRPr="00546339">
        <w:t>Wind Loading on the Attachment</w:t>
      </w:r>
      <w:r>
        <w:t>), 16 (</w:t>
      </w:r>
      <w:r w:rsidRPr="00546339">
        <w:t>Vertical Loading</w:t>
      </w:r>
      <w:r>
        <w:t xml:space="preserve">), and Data </w:t>
      </w:r>
      <w:r w:rsidR="00752828">
        <w:t>Point</w:t>
      </w:r>
      <w:r w:rsidR="0051059D">
        <w:t> </w:t>
      </w:r>
      <w:r>
        <w:t>17 (Bending Moment due to the Attachment).</w:t>
      </w:r>
    </w:p>
    <w:p w:rsidR="005F7F48" w:rsidRDefault="005F7F48" w14:paraId="6EB77F9B" w14:textId="77777777">
      <w:pPr>
        <w:pStyle w:val="BlockQuoteBullet3"/>
        <w:numPr>
          <w:ilvl w:val="3"/>
          <w:numId w:val="15"/>
        </w:numPr>
        <w:ind w:left="1800"/>
      </w:pPr>
      <w:r>
        <w:lastRenderedPageBreak/>
        <w:t>The Pole Loading Calculation must be stored and accessible in the respective pole owner attachment database.</w:t>
      </w:r>
    </w:p>
    <w:p w:rsidR="005F7F48" w:rsidRDefault="005F7F48" w14:paraId="10A75A11" w14:textId="77777777">
      <w:pPr>
        <w:pStyle w:val="BlockQuoteBullet3"/>
        <w:numPr>
          <w:ilvl w:val="3"/>
          <w:numId w:val="15"/>
        </w:numPr>
        <w:ind w:left="1800"/>
      </w:pPr>
      <w:r>
        <w:t>The Pole Loading Calculation must substantially include this information.</w:t>
      </w:r>
    </w:p>
    <w:p w:rsidR="00410529" w:rsidRDefault="005F7F48" w14:paraId="60BF003B" w14:textId="07B98AB7">
      <w:pPr>
        <w:pStyle w:val="BlockQuoteBullet3"/>
        <w:numPr>
          <w:ilvl w:val="3"/>
          <w:numId w:val="15"/>
        </w:numPr>
        <w:ind w:left="1800"/>
      </w:pPr>
      <w:r>
        <w:t>The Pole Loading Calculation may be used to satisfy these data reporting requirement</w:t>
      </w:r>
      <w:r w:rsidR="00563846">
        <w:t>s</w:t>
      </w:r>
      <w:r>
        <w:t xml:space="preserve"> for these specific datapoints for all attachments included in the Pole Loading Calculation.</w:t>
      </w:r>
    </w:p>
    <w:p w:rsidR="00E26F1D" w:rsidRDefault="005F7F48" w14:paraId="44E3FBE8" w14:textId="38BBBECA">
      <w:pPr>
        <w:pStyle w:val="BlockQuoteBullet3"/>
        <w:numPr>
          <w:ilvl w:val="3"/>
          <w:numId w:val="15"/>
        </w:numPr>
        <w:ind w:left="1800"/>
      </w:pPr>
      <w:r>
        <w:t>The Pole Loading Calculation must include the date it was created.</w:t>
      </w:r>
    </w:p>
    <w:p w:rsidR="005F7F48" w:rsidRDefault="003426E6" w14:paraId="780967B8" w14:textId="24E6BC02">
      <w:pPr>
        <w:pStyle w:val="BlockQuoteBullet3"/>
        <w:numPr>
          <w:ilvl w:val="3"/>
          <w:numId w:val="15"/>
        </w:numPr>
        <w:ind w:left="1800"/>
      </w:pPr>
      <w:r>
        <w:t>We r</w:t>
      </w:r>
      <w:r w:rsidR="005F7F48">
        <w:t xml:space="preserve">eject </w:t>
      </w:r>
      <w:r w:rsidR="00B27CDF">
        <w:t xml:space="preserve">the </w:t>
      </w:r>
      <w:r w:rsidR="005F7F48">
        <w:t>proposal to limit</w:t>
      </w:r>
      <w:r w:rsidR="00B27CDF">
        <w:t xml:space="preserve"> the</w:t>
      </w:r>
      <w:r w:rsidR="005F7F48">
        <w:t xml:space="preserve"> obligation to provide attachment data for poles where Pole Loading Calculations were generated since </w:t>
      </w:r>
      <w:r w:rsidR="005B40C8">
        <w:t>GO</w:t>
      </w:r>
      <w:r w:rsidR="0051059D">
        <w:t> </w:t>
      </w:r>
      <w:r w:rsidR="005F7F48">
        <w:t xml:space="preserve">95, </w:t>
      </w:r>
      <w:r w:rsidR="00A929DC">
        <w:t>Rule</w:t>
      </w:r>
      <w:r w:rsidR="0051059D">
        <w:t> </w:t>
      </w:r>
      <w:r w:rsidR="005F7F48">
        <w:t xml:space="preserve">44 was adopted. </w:t>
      </w:r>
      <w:r w:rsidR="00014770">
        <w:t>It is likely</w:t>
      </w:r>
      <w:r w:rsidR="001A5201">
        <w:t xml:space="preserve"> that some</w:t>
      </w:r>
      <w:r w:rsidR="005F7F48">
        <w:t xml:space="preserve"> data exists before that requirement was adopted in 2009 or can be extracted from existing data sets.</w:t>
      </w:r>
    </w:p>
    <w:p w:rsidR="00410529" w:rsidRDefault="00C85598" w14:paraId="243E1035" w14:textId="15931258">
      <w:pPr>
        <w:pStyle w:val="BlockQuoteBullet1"/>
        <w:numPr>
          <w:ilvl w:val="1"/>
          <w:numId w:val="15"/>
        </w:numPr>
        <w:ind w:left="1080"/>
      </w:pPr>
      <w:r>
        <w:rPr>
          <w:b/>
          <w:bCs/>
        </w:rPr>
        <w:t>Option</w:t>
      </w:r>
      <w:r w:rsidR="0051059D">
        <w:rPr>
          <w:b/>
          <w:bCs/>
        </w:rPr>
        <w:t> </w:t>
      </w:r>
      <w:r w:rsidRPr="009644D9" w:rsidR="005F7F48">
        <w:rPr>
          <w:b/>
          <w:bCs/>
        </w:rPr>
        <w:t>3:</w:t>
      </w:r>
      <w:r w:rsidR="005F7F48">
        <w:t xml:space="preserve"> File a </w:t>
      </w:r>
      <w:r w:rsidR="004D7AB6">
        <w:t>Tier</w:t>
      </w:r>
      <w:r w:rsidR="0051059D">
        <w:t> </w:t>
      </w:r>
      <w:r w:rsidR="005F7F48">
        <w:t xml:space="preserve">2 Advice Letter with a </w:t>
      </w:r>
      <w:r w:rsidR="009E1935">
        <w:t>C</w:t>
      </w:r>
      <w:r w:rsidR="005F7F48">
        <w:t xml:space="preserve">ompliance </w:t>
      </w:r>
      <w:r w:rsidR="009E1935">
        <w:t>P</w:t>
      </w:r>
      <w:r w:rsidR="005F7F48">
        <w:t>lan.</w:t>
      </w:r>
    </w:p>
    <w:p w:rsidR="00410529" w:rsidRDefault="005F7F48" w14:paraId="3926349F" w14:textId="749D8339">
      <w:pPr>
        <w:pStyle w:val="BlockQuoteBullet2"/>
        <w:numPr>
          <w:ilvl w:val="2"/>
          <w:numId w:val="15"/>
        </w:numPr>
        <w:ind w:left="1440"/>
      </w:pPr>
      <w:r>
        <w:t xml:space="preserve">If compliance is not expected to be possible within the timeline provided, the utility must file a </w:t>
      </w:r>
      <w:r w:rsidR="004D7AB6">
        <w:t>Tier</w:t>
      </w:r>
      <w:r w:rsidR="0051059D">
        <w:t> </w:t>
      </w:r>
      <w:r>
        <w:t xml:space="preserve">2 </w:t>
      </w:r>
      <w:r w:rsidR="004D7AB6">
        <w:t>advice letter</w:t>
      </w:r>
      <w:r>
        <w:t xml:space="preserve"> within </w:t>
      </w:r>
      <w:r w:rsidRPr="00E61763" w:rsidR="001260ED">
        <w:rPr>
          <w:highlight w:val="yellow"/>
        </w:rPr>
        <w:t>90</w:t>
      </w:r>
      <w:r w:rsidR="001260ED">
        <w:t xml:space="preserve"> </w:t>
      </w:r>
      <w:r>
        <w:t xml:space="preserve">days </w:t>
      </w:r>
      <w:r w:rsidRPr="00CD0676" w:rsidR="00CD0676">
        <w:t xml:space="preserve">from the issuance date of this Decision </w:t>
      </w:r>
      <w:r>
        <w:t xml:space="preserve">with a </w:t>
      </w:r>
      <w:r w:rsidR="002D6561">
        <w:t>Compliance Plan</w:t>
      </w:r>
      <w:r>
        <w:t xml:space="preserve"> outlining steps and time needed to comply.</w:t>
      </w:r>
    </w:p>
    <w:p w:rsidR="00410529" w:rsidRDefault="005F7F48" w14:paraId="499B8634" w14:textId="3E0E9F2E">
      <w:pPr>
        <w:pStyle w:val="BlockQuoteBullet3"/>
        <w:numPr>
          <w:ilvl w:val="3"/>
          <w:numId w:val="15"/>
        </w:numPr>
        <w:ind w:left="1800"/>
      </w:pPr>
      <w:r>
        <w:t>Identify specific number of attachments and data fields that cannot be readily provided.</w:t>
      </w:r>
    </w:p>
    <w:p w:rsidR="00410529" w:rsidRDefault="005F7F48" w14:paraId="172D7714" w14:textId="1AE300C7">
      <w:pPr>
        <w:pStyle w:val="BlockQuoteBullet2"/>
        <w:numPr>
          <w:ilvl w:val="2"/>
          <w:numId w:val="15"/>
        </w:numPr>
        <w:ind w:left="1440"/>
      </w:pPr>
      <w:r>
        <w:t>Compliance should leverage existing data sources over performing more expensive field inspections.</w:t>
      </w:r>
      <w:r w:rsidR="00CD0676">
        <w:t xml:space="preserve"> </w:t>
      </w:r>
      <w:r w:rsidR="00714A0A">
        <w:t>Commission s</w:t>
      </w:r>
      <w:r>
        <w:t>taff will review for reasonableness</w:t>
      </w:r>
      <w:r w:rsidR="00714A0A">
        <w:t>,</w:t>
      </w:r>
      <w:r>
        <w:t xml:space="preserve"> taking into account the number of attachments and data points at issue, the compliance strategies proposed, the length of time needed to comply</w:t>
      </w:r>
      <w:r w:rsidR="00714A0A">
        <w:t>,</w:t>
      </w:r>
      <w:r>
        <w:t xml:space="preserve"> </w:t>
      </w:r>
      <w:r w:rsidR="00764B87">
        <w:t xml:space="preserve">costs, </w:t>
      </w:r>
      <w:r>
        <w:t>and the quality of existing data.</w:t>
      </w:r>
    </w:p>
    <w:p w:rsidR="00CD0676" w:rsidP="00E61763" w:rsidRDefault="00CD0676" w14:paraId="6B1C60F2" w14:textId="149AE551">
      <w:pPr>
        <w:pStyle w:val="BlockQuoteBullet2"/>
        <w:numPr>
          <w:ilvl w:val="2"/>
          <w:numId w:val="15"/>
        </w:numPr>
        <w:ind w:left="1440"/>
      </w:pPr>
      <w:r>
        <w:t>The Compliance Plan shall address fulfillment of Phase</w:t>
      </w:r>
      <w:r w:rsidR="00132CC4">
        <w:t> </w:t>
      </w:r>
      <w:r>
        <w:t>2 Data Points</w:t>
      </w:r>
      <w:r w:rsidR="00132CC4">
        <w:t> </w:t>
      </w:r>
      <w:r>
        <w:t xml:space="preserve">7, 9, 10, and 12–17 (attachment </w:t>
      </w:r>
      <w:r>
        <w:lastRenderedPageBreak/>
        <w:t>elevation, dimensions, weight, conductor tension, tensile strength, average span length, wind loading, vertical loading, and bending moment) the Compliance Plan shall propose a prioritized schedule for attachments on poles in HFTD Tier</w:t>
      </w:r>
      <w:r w:rsidR="00132CC4">
        <w:t> </w:t>
      </w:r>
      <w:r>
        <w:t>2 and Tier</w:t>
      </w:r>
      <w:r w:rsidR="00132CC4">
        <w:t> </w:t>
      </w:r>
      <w:r>
        <w:t>3 areas.</w:t>
      </w:r>
    </w:p>
    <w:p w:rsidR="00CD0676" w:rsidP="00E61763" w:rsidRDefault="00CD0676" w14:paraId="4969A40A" w14:textId="64F5E3C8">
      <w:pPr>
        <w:pStyle w:val="BlockQuoteBullet2"/>
        <w:numPr>
          <w:ilvl w:val="2"/>
          <w:numId w:val="15"/>
        </w:numPr>
        <w:ind w:left="1440"/>
      </w:pPr>
      <w:r>
        <w:t>The Compliance Plan shall include an annual reporting requirement. The pole</w:t>
      </w:r>
      <w:r w:rsidR="00132CC4">
        <w:noBreakHyphen/>
      </w:r>
      <w:r>
        <w:t>owner must submit to Commission staff (via CDcompliance@cpuc.ca.gov) an annual report tracking progress against the targets set forth in the Compliance Plan, identifying any material deviations from those targets, and proposing corrective actions where applicable.</w:t>
      </w:r>
    </w:p>
    <w:p w:rsidR="00410529" w:rsidRDefault="003C1FEE" w14:paraId="4FCDEF98" w14:textId="247B24FC">
      <w:pPr>
        <w:pStyle w:val="BlockQuoteBullet2"/>
        <w:numPr>
          <w:ilvl w:val="0"/>
          <w:numId w:val="14"/>
        </w:numPr>
        <w:ind w:left="1440"/>
      </w:pPr>
      <w:r>
        <w:t>Commission s</w:t>
      </w:r>
      <w:r w:rsidR="005F7F48">
        <w:t xml:space="preserve">taff may deny the advice letter proposal and instead refer to the Commission additional remedial actions </w:t>
      </w:r>
      <w:r w:rsidRPr="00764B87" w:rsidR="00764B87">
        <w:t xml:space="preserve">or other programmatic or reporting changes </w:t>
      </w:r>
      <w:r w:rsidR="005F7F48">
        <w:t>via staff resolution, including</w:t>
      </w:r>
      <w:r>
        <w:t>,</w:t>
      </w:r>
      <w:r w:rsidR="005F7F48">
        <w:t xml:space="preserve"> but not limited to, a third</w:t>
      </w:r>
      <w:r w:rsidR="00E4753D">
        <w:noBreakHyphen/>
      </w:r>
      <w:r w:rsidR="005F7F48">
        <w:t>party auditor and compliance monitor to oversee compliance at the utility</w:t>
      </w:r>
      <w:r w:rsidR="00410529">
        <w:t>’</w:t>
      </w:r>
      <w:r w:rsidR="005F7F48">
        <w:t>s expense.</w:t>
      </w:r>
    </w:p>
    <w:p w:rsidR="005F7F48" w:rsidRDefault="00F93C1E" w14:paraId="15F0CFE6" w14:textId="2FE22084">
      <w:pPr>
        <w:pStyle w:val="BlockQuoteBullet2"/>
        <w:numPr>
          <w:ilvl w:val="0"/>
          <w:numId w:val="14"/>
        </w:numPr>
        <w:ind w:left="1440"/>
      </w:pPr>
      <w:r>
        <w:t>The Commission a</w:t>
      </w:r>
      <w:r w:rsidR="005F7F48">
        <w:t>uthorize</w:t>
      </w:r>
      <w:r>
        <w:t>s</w:t>
      </w:r>
      <w:r w:rsidR="005F7F48">
        <w:t xml:space="preserve"> staff to put forward an enforcement framework setting forth terms, conditions</w:t>
      </w:r>
      <w:r>
        <w:t>,</w:t>
      </w:r>
      <w:r w:rsidR="005F7F48">
        <w:t xml:space="preserve"> and processes for hiring a 3</w:t>
      </w:r>
      <w:r w:rsidRPr="005F6436" w:rsidR="005F6436">
        <w:t>rd</w:t>
      </w:r>
      <w:r w:rsidR="005F7F48">
        <w:t xml:space="preserve"> party audit of utility practices and compliance monitor. </w:t>
      </w:r>
      <w:r>
        <w:t>The a</w:t>
      </w:r>
      <w:r w:rsidR="005F7F48">
        <w:t xml:space="preserve">udit and compliance monitor shall be </w:t>
      </w:r>
      <w:r>
        <w:t xml:space="preserve">hired </w:t>
      </w:r>
      <w:r w:rsidR="005F7F48">
        <w:t>at</w:t>
      </w:r>
      <w:r>
        <w:t xml:space="preserve"> the</w:t>
      </w:r>
      <w:r w:rsidR="005F7F48">
        <w:t xml:space="preserve"> utility</w:t>
      </w:r>
      <w:r w:rsidR="00410529">
        <w:t>’</w:t>
      </w:r>
      <w:r w:rsidR="005F7F48">
        <w:t xml:space="preserve">s expense. </w:t>
      </w:r>
      <w:r w:rsidR="005176F3">
        <w:t>The u</w:t>
      </w:r>
      <w:r w:rsidR="005F7F48">
        <w:t>tility shall comply with audit requirements. Th</w:t>
      </w:r>
      <w:r w:rsidR="00AE5F81">
        <w:t xml:space="preserve">e Commission believes this </w:t>
      </w:r>
      <w:r w:rsidR="005F7F48">
        <w:t xml:space="preserve">will more effectively result in </w:t>
      </w:r>
      <w:r w:rsidR="005176F3">
        <w:t xml:space="preserve">an </w:t>
      </w:r>
      <w:r w:rsidR="005F7F48">
        <w:t xml:space="preserve">enhanced and </w:t>
      </w:r>
      <w:r w:rsidR="005176F3">
        <w:t xml:space="preserve">more </w:t>
      </w:r>
      <w:r w:rsidR="005F7F48">
        <w:t xml:space="preserve">compliant process than potentially </w:t>
      </w:r>
      <w:r w:rsidR="00BE5FA7">
        <w:t xml:space="preserve">levying </w:t>
      </w:r>
      <w:r w:rsidR="005F7F48">
        <w:t>sizeable fines.</w:t>
      </w:r>
    </w:p>
    <w:p w:rsidR="00124330" w:rsidP="00ED36CC" w:rsidRDefault="000B1D87" w14:paraId="21F49EAB" w14:textId="1BBA349D">
      <w:pPr>
        <w:pStyle w:val="Standard"/>
      </w:pPr>
      <w:r>
        <w:t xml:space="preserve">Because of </w:t>
      </w:r>
      <w:r w:rsidR="00A90584">
        <w:t>the</w:t>
      </w:r>
      <w:r>
        <w:t xml:space="preserve"> above </w:t>
      </w:r>
      <w:r w:rsidR="00A90584">
        <w:t>modifications</w:t>
      </w:r>
      <w:r>
        <w:t>, the Commission will add the following new Ordering Paragraphs</w:t>
      </w:r>
      <w:r w:rsidR="00B44C22">
        <w:t xml:space="preserve"> to D.21</w:t>
      </w:r>
      <w:r w:rsidR="00E4753D">
        <w:noBreakHyphen/>
      </w:r>
      <w:r w:rsidR="00B44C22">
        <w:t>10</w:t>
      </w:r>
      <w:r w:rsidR="00E4753D">
        <w:noBreakHyphen/>
      </w:r>
      <w:r w:rsidR="00B44C22">
        <w:t>019</w:t>
      </w:r>
      <w:r w:rsidR="00A90584">
        <w:t>:</w:t>
      </w:r>
    </w:p>
    <w:p w:rsidRPr="00CD0676" w:rsidR="003D7A9B" w:rsidRDefault="003D7A9B" w14:paraId="348EB7D7" w14:textId="11A1A47E">
      <w:pPr>
        <w:pStyle w:val="BlockQuoteBullet1"/>
        <w:numPr>
          <w:ilvl w:val="0"/>
          <w:numId w:val="15"/>
        </w:numPr>
        <w:ind w:left="1080"/>
      </w:pPr>
      <w:r w:rsidRPr="003F6565">
        <w:rPr>
          <w:u w:val="single"/>
        </w:rPr>
        <w:t>New OP</w:t>
      </w:r>
      <w:r w:rsidRPr="00F370F2" w:rsidR="00F370F2">
        <w:t>:</w:t>
      </w:r>
      <w:r>
        <w:t xml:space="preserve"> Databases shall account for stratification of data by retaining the version history of data and documents by including a </w:t>
      </w:r>
      <w:r w:rsidRPr="00CD0676">
        <w:t xml:space="preserve">timestamp for when existing data is modified </w:t>
      </w:r>
      <w:r w:rsidRPr="00E61763" w:rsidR="00CD0676">
        <w:t>and, if applicable, a timestamp for when the Pole Loading Calculation was performed</w:t>
      </w:r>
      <w:r w:rsidRPr="00CD0676" w:rsidR="00CD0676">
        <w:t>.</w:t>
      </w:r>
      <w:r w:rsidRPr="00CD0676">
        <w:t xml:space="preserve"> This will account for changes that will occur </w:t>
      </w:r>
      <w:r w:rsidRPr="00CD0676" w:rsidR="00C81694">
        <w:t>over time</w:t>
      </w:r>
      <w:r w:rsidRPr="00CD0676">
        <w:t xml:space="preserve"> due to maintenance and One</w:t>
      </w:r>
      <w:r w:rsidRPr="00CD0676" w:rsidR="00E4753D">
        <w:noBreakHyphen/>
      </w:r>
      <w:r w:rsidRPr="00CD0676">
        <w:t>Touch Make</w:t>
      </w:r>
      <w:r w:rsidRPr="00CD0676" w:rsidR="00E4753D">
        <w:noBreakHyphen/>
      </w:r>
      <w:r w:rsidRPr="00CD0676">
        <w:t>Ready processes.</w:t>
      </w:r>
    </w:p>
    <w:p w:rsidRPr="00CD0676" w:rsidR="003D7A9B" w:rsidRDefault="003D7A9B" w14:paraId="622F847A" w14:textId="32BDC052">
      <w:pPr>
        <w:pStyle w:val="BlockQuoteBullet1"/>
        <w:numPr>
          <w:ilvl w:val="0"/>
          <w:numId w:val="15"/>
        </w:numPr>
        <w:ind w:left="1080"/>
      </w:pPr>
      <w:r w:rsidRPr="00CD0676">
        <w:rPr>
          <w:u w:val="single"/>
        </w:rPr>
        <w:lastRenderedPageBreak/>
        <w:t>New OP</w:t>
      </w:r>
      <w:r w:rsidRPr="00CD0676" w:rsidR="00F370F2">
        <w:t>:</w:t>
      </w:r>
      <w:r w:rsidRPr="00CD0676">
        <w:t xml:space="preserve"> Each of the Major Pole Owners shall</w:t>
      </w:r>
      <w:r w:rsidRPr="00CD0676" w:rsidR="00CD0676">
        <w:t xml:space="preserve"> </w:t>
      </w:r>
      <w:r w:rsidRPr="00E61763" w:rsidR="00CD0676">
        <w:t>upload each newly generated Pole Loading Calculation to their respective database within 30 days of completing the Pole Loading Calculation.</w:t>
      </w:r>
    </w:p>
    <w:p w:rsidR="00B44C22" w:rsidP="00ED36CC" w:rsidRDefault="002A2C86" w14:paraId="49566553" w14:textId="740F8808">
      <w:pPr>
        <w:pStyle w:val="Heading2"/>
        <w:keepLines w:val="0"/>
      </w:pPr>
      <w:bookmarkStart w:name="_Toc229726779" w:id="66"/>
      <w:r>
        <w:t>Sonic Telecom, LLC</w:t>
      </w:r>
      <w:r w:rsidR="00410529">
        <w:t>’</w:t>
      </w:r>
      <w:r w:rsidR="00A40D26">
        <w:t>s Petition for Modification</w:t>
      </w:r>
      <w:r>
        <w:t xml:space="preserve"> </w:t>
      </w:r>
      <w:r w:rsidR="00A40D26">
        <w:t>of D</w:t>
      </w:r>
      <w:r w:rsidR="00B867AC">
        <w:t>ecision </w:t>
      </w:r>
      <w:r w:rsidR="00A40D26">
        <w:t>22</w:t>
      </w:r>
      <w:r w:rsidR="00E4753D">
        <w:noBreakHyphen/>
      </w:r>
      <w:r w:rsidR="00A40D26">
        <w:t>10</w:t>
      </w:r>
      <w:r w:rsidR="00E4753D">
        <w:noBreakHyphen/>
      </w:r>
      <w:r w:rsidR="00A40D26">
        <w:t>025</w:t>
      </w:r>
      <w:bookmarkEnd w:id="66"/>
    </w:p>
    <w:p w:rsidR="00CC4609" w:rsidP="00ED36CC" w:rsidRDefault="00CC4609" w14:paraId="2D0236D1" w14:textId="78520D21">
      <w:pPr>
        <w:pStyle w:val="Standard"/>
      </w:pPr>
      <w:r>
        <w:t>Sonic</w:t>
      </w:r>
      <w:r w:rsidR="00410529">
        <w:t>’</w:t>
      </w:r>
      <w:r>
        <w:t xml:space="preserve">s </w:t>
      </w:r>
      <w:r w:rsidRPr="00CC4609">
        <w:rPr>
          <w:i/>
          <w:iCs/>
        </w:rPr>
        <w:t>Petition for Modification</w:t>
      </w:r>
      <w:r>
        <w:t xml:space="preserve"> (</w:t>
      </w:r>
      <w:r w:rsidRPr="008C478B" w:rsidR="008C478B">
        <w:rPr>
          <w:i/>
          <w:iCs/>
        </w:rPr>
        <w:t>Sonic</w:t>
      </w:r>
      <w:r w:rsidR="008C478B">
        <w:t xml:space="preserve"> </w:t>
      </w:r>
      <w:r w:rsidRPr="00CC4609">
        <w:rPr>
          <w:i/>
          <w:iCs/>
        </w:rPr>
        <w:t>Petition</w:t>
      </w:r>
      <w:r>
        <w:t>) asks the Commission to clarify D.22</w:t>
      </w:r>
      <w:r w:rsidR="00E4753D">
        <w:noBreakHyphen/>
      </w:r>
      <w:r>
        <w:t>10</w:t>
      </w:r>
      <w:r w:rsidR="00E4753D">
        <w:noBreakHyphen/>
      </w:r>
      <w:r>
        <w:t>025</w:t>
      </w:r>
      <w:r w:rsidR="00410529">
        <w:t>’</w:t>
      </w:r>
      <w:r>
        <w:t>s pole attachment rules in a way that (1</w:t>
      </w:r>
      <w:r w:rsidR="00F51225">
        <w:t>)</w:t>
      </w:r>
      <w:r w:rsidR="0051059D">
        <w:t> </w:t>
      </w:r>
      <w:r>
        <w:t xml:space="preserve">effectively requires pole owners to remediate preexisting violations fast enough for attachers to obtain access </w:t>
      </w:r>
      <w:r w:rsidR="002A69CF">
        <w:t>to poles</w:t>
      </w:r>
      <w:r w:rsidR="001112B3">
        <w:t xml:space="preserve"> </w:t>
      </w:r>
      <w:r>
        <w:t>within 45 days</w:t>
      </w:r>
      <w:r w:rsidR="001112B3">
        <w:t xml:space="preserve"> of the pole owner</w:t>
      </w:r>
      <w:r w:rsidR="00410529">
        <w:t>’</w:t>
      </w:r>
      <w:r w:rsidR="001112B3">
        <w:t>s receipt of a complete pole attachment applica</w:t>
      </w:r>
      <w:r w:rsidR="00214308">
        <w:t>t</w:t>
      </w:r>
      <w:r w:rsidR="001112B3">
        <w:t>ion</w:t>
      </w:r>
      <w:r>
        <w:t>, and (2</w:t>
      </w:r>
      <w:r w:rsidR="00F51225">
        <w:t>)</w:t>
      </w:r>
      <w:r w:rsidR="0051059D">
        <w:t> </w:t>
      </w:r>
      <w:r>
        <w:t>imposes new transparency obligations for remediation plans and schedules. Sonic frames the request as necessary to prevent pole owners from delaying remediations beyond 45 days and up to months or years.</w:t>
      </w:r>
      <w:r w:rsidR="00D37402">
        <w:t xml:space="preserve"> As justification for its position, </w:t>
      </w:r>
      <w:r>
        <w:t>Sonic highlights PG&amp;E</w:t>
      </w:r>
      <w:r w:rsidR="00410529">
        <w:t>’</w:t>
      </w:r>
      <w:r>
        <w:t xml:space="preserve">s </w:t>
      </w:r>
      <w:r w:rsidR="00410529">
        <w:t>“</w:t>
      </w:r>
      <w:r>
        <w:t>conditional approval</w:t>
      </w:r>
      <w:r w:rsidR="00410529">
        <w:t>”</w:t>
      </w:r>
      <w:r>
        <w:t xml:space="preserve"> practice, where </w:t>
      </w:r>
      <w:r w:rsidR="00130F27">
        <w:t xml:space="preserve">pole </w:t>
      </w:r>
      <w:r>
        <w:t>access is contingent on PG&amp;E</w:t>
      </w:r>
      <w:r w:rsidR="00410529">
        <w:t>’</w:t>
      </w:r>
      <w:r>
        <w:t xml:space="preserve">s remediation work. Sonic alleges that PG&amp;E is using </w:t>
      </w:r>
      <w:r w:rsidR="00410529">
        <w:t>“</w:t>
      </w:r>
      <w:r>
        <w:t>conditional approvals</w:t>
      </w:r>
      <w:r w:rsidR="00410529">
        <w:t>”</w:t>
      </w:r>
      <w:r>
        <w:t xml:space="preserve"> to improperly deny </w:t>
      </w:r>
      <w:r w:rsidR="00130F27">
        <w:t xml:space="preserve">pole </w:t>
      </w:r>
      <w:r>
        <w:t>access for months or years.</w:t>
      </w:r>
      <w:r w:rsidR="00FC4F24">
        <w:rPr>
          <w:rStyle w:val="FootnoteReference"/>
        </w:rPr>
        <w:footnoteReference w:id="203"/>
      </w:r>
    </w:p>
    <w:p w:rsidR="00410529" w:rsidP="00ED36CC" w:rsidRDefault="00CC4609" w14:paraId="434C7DA8" w14:textId="6A578609">
      <w:pPr>
        <w:pStyle w:val="Standard"/>
      </w:pPr>
      <w:r>
        <w:t xml:space="preserve">Sonic </w:t>
      </w:r>
      <w:r w:rsidR="000420E9">
        <w:t xml:space="preserve">also </w:t>
      </w:r>
      <w:r>
        <w:t xml:space="preserve">argues that OTMR rules require pole owners to provide access on poles with preexisting violations by completing necessary remediation within 45 days. Sonic states, </w:t>
      </w:r>
      <w:r w:rsidR="00410529">
        <w:t>“</w:t>
      </w:r>
      <w:r>
        <w:t>Read together, the only legitimate conclusion is that these rules require…necessary remediation work within 45 days…</w:t>
      </w:r>
      <w:r w:rsidR="00410529">
        <w:t>”</w:t>
      </w:r>
      <w:r w:rsidR="00671DC6">
        <w:rPr>
          <w:rStyle w:val="FootnoteReference"/>
        </w:rPr>
        <w:footnoteReference w:id="204"/>
      </w:r>
    </w:p>
    <w:p w:rsidR="00410529" w:rsidP="00ED36CC" w:rsidRDefault="00993092" w14:paraId="2FAC8A83" w14:textId="00AA4C2E">
      <w:pPr>
        <w:pStyle w:val="Standard"/>
      </w:pPr>
      <w:r w:rsidRPr="00993092">
        <w:t xml:space="preserve">SDG&amp;E </w:t>
      </w:r>
      <w:r w:rsidR="00410529">
        <w:t>“</w:t>
      </w:r>
      <w:r w:rsidRPr="00993092">
        <w:t xml:space="preserve">shares some of </w:t>
      </w:r>
      <w:r w:rsidR="00E139E5">
        <w:t>[Sonic</w:t>
      </w:r>
      <w:r w:rsidR="00410529">
        <w:t>’</w:t>
      </w:r>
      <w:r w:rsidR="00E139E5">
        <w:t xml:space="preserve">s] </w:t>
      </w:r>
      <w:r w:rsidRPr="00993092">
        <w:t>concerns</w:t>
      </w:r>
      <w:r w:rsidR="00410529">
        <w:t>”</w:t>
      </w:r>
      <w:r w:rsidRPr="00993092">
        <w:t xml:space="preserve"> but does not support the </w:t>
      </w:r>
      <w:r w:rsidRPr="00894A75" w:rsidR="00894A75">
        <w:rPr>
          <w:i/>
          <w:iCs/>
        </w:rPr>
        <w:t>Sonic</w:t>
      </w:r>
      <w:r w:rsidR="00894A75">
        <w:t xml:space="preserve"> </w:t>
      </w:r>
      <w:r w:rsidRPr="00E139E5" w:rsidR="00E139E5">
        <w:rPr>
          <w:i/>
          <w:iCs/>
        </w:rPr>
        <w:t>P</w:t>
      </w:r>
      <w:r w:rsidRPr="00993092">
        <w:rPr>
          <w:i/>
          <w:iCs/>
        </w:rPr>
        <w:t>etition</w:t>
      </w:r>
      <w:r w:rsidRPr="00993092">
        <w:t xml:space="preserve"> and requests a more balanced approach. SDG&amp;E emphasizes </w:t>
      </w:r>
      <w:r w:rsidR="005B40C8">
        <w:t>GO</w:t>
      </w:r>
      <w:r w:rsidR="0051059D">
        <w:t> </w:t>
      </w:r>
      <w:r w:rsidR="005B40C8">
        <w:t xml:space="preserve">95, </w:t>
      </w:r>
      <w:r w:rsidR="005B40C8">
        <w:lastRenderedPageBreak/>
        <w:t>Rule</w:t>
      </w:r>
      <w:r w:rsidR="0051059D">
        <w:t> </w:t>
      </w:r>
      <w:r w:rsidRPr="00993092">
        <w:t xml:space="preserve">18 prioritization and warns </w:t>
      </w:r>
      <w:r w:rsidR="00E139E5">
        <w:t xml:space="preserve">that </w:t>
      </w:r>
      <w:r w:rsidRPr="00993092">
        <w:t>a strict 45</w:t>
      </w:r>
      <w:r w:rsidR="00E4753D">
        <w:noBreakHyphen/>
      </w:r>
      <w:r w:rsidRPr="00993092">
        <w:t xml:space="preserve">day deadline could </w:t>
      </w:r>
      <w:r w:rsidR="00410529">
        <w:t>“</w:t>
      </w:r>
      <w:r w:rsidRPr="00993092">
        <w:t>divert resources away from more urgent safety</w:t>
      </w:r>
      <w:r w:rsidR="00E4753D">
        <w:noBreakHyphen/>
      </w:r>
      <w:r w:rsidRPr="00993092">
        <w:t>related tasks.</w:t>
      </w:r>
      <w:r w:rsidR="00410529">
        <w:t>”</w:t>
      </w:r>
      <w:r w:rsidR="00E139E5">
        <w:rPr>
          <w:rStyle w:val="FootnoteReference"/>
        </w:rPr>
        <w:footnoteReference w:id="205"/>
      </w:r>
    </w:p>
    <w:p w:rsidRPr="00993092" w:rsidR="00993092" w:rsidP="00ED36CC" w:rsidRDefault="00993092" w14:paraId="64ED1F19" w14:textId="4D1B2C8B">
      <w:pPr>
        <w:pStyle w:val="Standard"/>
      </w:pPr>
      <w:r w:rsidRPr="00993092">
        <w:t xml:space="preserve">PG&amp;E opposes the </w:t>
      </w:r>
      <w:r w:rsidRPr="00E578F7" w:rsidR="00E578F7">
        <w:rPr>
          <w:i/>
          <w:iCs/>
        </w:rPr>
        <w:t>Sonic</w:t>
      </w:r>
      <w:r w:rsidR="00E578F7">
        <w:t xml:space="preserve"> </w:t>
      </w:r>
      <w:r w:rsidRPr="00993092">
        <w:rPr>
          <w:i/>
          <w:iCs/>
        </w:rPr>
        <w:t xml:space="preserve">Petition </w:t>
      </w:r>
      <w:r w:rsidRPr="00993092">
        <w:t xml:space="preserve">and argues </w:t>
      </w:r>
      <w:r w:rsidR="00E578F7">
        <w:t xml:space="preserve">that </w:t>
      </w:r>
      <w:r w:rsidRPr="00993092">
        <w:t>Sonic is trying to create a new 45</w:t>
      </w:r>
      <w:r w:rsidR="00E4753D">
        <w:noBreakHyphen/>
      </w:r>
      <w:r w:rsidRPr="00993092">
        <w:t xml:space="preserve">day remediation mandate. PG&amp;E highlights </w:t>
      </w:r>
      <w:r w:rsidR="00A929DC">
        <w:t>Rule</w:t>
      </w:r>
      <w:r w:rsidR="0051059D">
        <w:t> </w:t>
      </w:r>
      <w:r w:rsidRPr="00993092">
        <w:t xml:space="preserve">18 and resource/cost constraints, stating that </w:t>
      </w:r>
      <w:r w:rsidR="00A929DC">
        <w:t>Rule</w:t>
      </w:r>
      <w:r w:rsidR="0051059D">
        <w:t> </w:t>
      </w:r>
      <w:r w:rsidRPr="00993092">
        <w:t xml:space="preserve">18 was intended </w:t>
      </w:r>
      <w:r w:rsidR="00410529">
        <w:t>“</w:t>
      </w:r>
      <w:r w:rsidRPr="00993092">
        <w:t>to establish an auditable maintenance program… and a method to prioritize corrective actions</w:t>
      </w:r>
      <w:r w:rsidR="00410529">
        <w:t>”</w:t>
      </w:r>
      <w:r w:rsidRPr="00993092">
        <w:t xml:space="preserve"> for </w:t>
      </w:r>
      <w:r w:rsidR="005B40C8">
        <w:t>GO</w:t>
      </w:r>
      <w:r w:rsidR="0051059D">
        <w:t> </w:t>
      </w:r>
      <w:r w:rsidRPr="00993092">
        <w:t>95 violations.</w:t>
      </w:r>
      <w:r>
        <w:rPr>
          <w:rStyle w:val="FootnoteReference"/>
        </w:rPr>
        <w:footnoteReference w:id="206"/>
      </w:r>
    </w:p>
    <w:p w:rsidRPr="00993092" w:rsidR="00993092" w:rsidP="00ED36CC" w:rsidRDefault="00993092" w14:paraId="77CEF1B9" w14:textId="6DE2D770">
      <w:pPr>
        <w:pStyle w:val="Standard"/>
      </w:pPr>
      <w:r w:rsidRPr="00993092">
        <w:t xml:space="preserve">SCE opposes the </w:t>
      </w:r>
      <w:r w:rsidRPr="0099389E" w:rsidR="0099389E">
        <w:rPr>
          <w:i/>
          <w:iCs/>
        </w:rPr>
        <w:t>Sonic</w:t>
      </w:r>
      <w:r w:rsidR="0099389E">
        <w:t xml:space="preserve"> </w:t>
      </w:r>
      <w:r w:rsidRPr="008F0736" w:rsidR="008F0736">
        <w:rPr>
          <w:i/>
          <w:iCs/>
        </w:rPr>
        <w:t>P</w:t>
      </w:r>
      <w:r w:rsidRPr="00993092">
        <w:rPr>
          <w:i/>
          <w:iCs/>
        </w:rPr>
        <w:t>etition</w:t>
      </w:r>
      <w:r w:rsidRPr="00993092">
        <w:t>, characteriz</w:t>
      </w:r>
      <w:r w:rsidR="008F0736">
        <w:t>ing</w:t>
      </w:r>
      <w:r w:rsidRPr="00993092">
        <w:t xml:space="preserve"> a 45</w:t>
      </w:r>
      <w:r w:rsidR="00E4753D">
        <w:noBreakHyphen/>
      </w:r>
      <w:r w:rsidRPr="00993092">
        <w:t>day remediation requirement as extremely unrealistic, and argues Sonic</w:t>
      </w:r>
      <w:r w:rsidR="00410529">
        <w:t>’</w:t>
      </w:r>
      <w:r w:rsidRPr="00993092">
        <w:t>s proposed language would nullify OTMR</w:t>
      </w:r>
      <w:r w:rsidR="00410529">
        <w:t>’</w:t>
      </w:r>
      <w:r w:rsidRPr="00993092">
        <w:t>s deviation mechanism. SCE argues the 45</w:t>
      </w:r>
      <w:r w:rsidR="00E4753D">
        <w:noBreakHyphen/>
      </w:r>
      <w:r w:rsidRPr="00993092">
        <w:t>day accept/deny provision is about application processing and not about completing pole replacements.</w:t>
      </w:r>
      <w:r w:rsidR="000377B1">
        <w:rPr>
          <w:rStyle w:val="FootnoteReference"/>
        </w:rPr>
        <w:footnoteReference w:id="207"/>
      </w:r>
    </w:p>
    <w:p w:rsidRPr="00A40D26" w:rsidR="00993092" w:rsidP="00ED36CC" w:rsidRDefault="00993092" w14:paraId="4ACBA71C" w14:textId="730B30C5">
      <w:pPr>
        <w:pStyle w:val="Standard"/>
      </w:pPr>
      <w:r w:rsidRPr="00993092">
        <w:t xml:space="preserve">AT&amp;T opposes the </w:t>
      </w:r>
      <w:r w:rsidRPr="0099389E" w:rsidR="0099389E">
        <w:rPr>
          <w:i/>
          <w:iCs/>
        </w:rPr>
        <w:t>Sonic</w:t>
      </w:r>
      <w:r w:rsidR="0099389E">
        <w:t xml:space="preserve"> </w:t>
      </w:r>
      <w:r w:rsidRPr="000377B1" w:rsidR="000377B1">
        <w:rPr>
          <w:i/>
          <w:iCs/>
        </w:rPr>
        <w:t>P</w:t>
      </w:r>
      <w:r w:rsidRPr="00993092">
        <w:rPr>
          <w:i/>
          <w:iCs/>
        </w:rPr>
        <w:t>etition</w:t>
      </w:r>
      <w:r w:rsidRPr="00993092">
        <w:t xml:space="preserve"> and argues that it seeks </w:t>
      </w:r>
      <w:r w:rsidR="00410529">
        <w:t>“</w:t>
      </w:r>
      <w:r w:rsidRPr="00993092">
        <w:t>significant modifications…not a clarification</w:t>
      </w:r>
      <w:r w:rsidR="00410529">
        <w:t>”</w:t>
      </w:r>
      <w:r w:rsidRPr="00993092">
        <w:t xml:space="preserve"> on issues that should be addressed in the normal course of the proceeding. AT&amp;T also emphasizes </w:t>
      </w:r>
      <w:r w:rsidR="00E578F7">
        <w:t xml:space="preserve">that the </w:t>
      </w:r>
      <w:r w:rsidR="005B40C8">
        <w:t>GO</w:t>
      </w:r>
      <w:r w:rsidR="0051059D">
        <w:t> </w:t>
      </w:r>
      <w:r w:rsidRPr="00993092">
        <w:t>95</w:t>
      </w:r>
      <w:r w:rsidR="005B40C8">
        <w:t>,</w:t>
      </w:r>
      <w:r w:rsidRPr="00993092">
        <w:t xml:space="preserve"> </w:t>
      </w:r>
      <w:r w:rsidR="00A929DC">
        <w:t>Rule</w:t>
      </w:r>
      <w:r w:rsidR="0051059D">
        <w:t> </w:t>
      </w:r>
      <w:r w:rsidRPr="00993092">
        <w:t>18 remediation intervals</w:t>
      </w:r>
      <w:r w:rsidR="00FE2FEF">
        <w:t xml:space="preserve"> do not</w:t>
      </w:r>
      <w:r w:rsidRPr="00993092">
        <w:t xml:space="preserve"> require that all nonconformances </w:t>
      </w:r>
      <w:r w:rsidR="00805DEA">
        <w:t>be</w:t>
      </w:r>
      <w:r w:rsidRPr="00993092">
        <w:t xml:space="preserve"> remedied in 45 days.</w:t>
      </w:r>
      <w:r w:rsidR="00805DEA">
        <w:rPr>
          <w:rStyle w:val="FootnoteReference"/>
        </w:rPr>
        <w:footnoteReference w:id="208"/>
      </w:r>
    </w:p>
    <w:p w:rsidRPr="00217643" w:rsidR="00217643" w:rsidP="00ED36CC" w:rsidRDefault="00C87115" w14:paraId="0C9A031B" w14:textId="7EFE316A">
      <w:pPr>
        <w:pStyle w:val="Standard"/>
      </w:pPr>
      <w:r>
        <w:t xml:space="preserve">To place </w:t>
      </w:r>
      <w:r w:rsidR="00FD166E">
        <w:t xml:space="preserve">the </w:t>
      </w:r>
      <w:r w:rsidRPr="00FD166E">
        <w:rPr>
          <w:i/>
          <w:iCs/>
        </w:rPr>
        <w:t>Sonic</w:t>
      </w:r>
      <w:r w:rsidR="00FD166E">
        <w:t xml:space="preserve"> </w:t>
      </w:r>
      <w:r w:rsidRPr="00E1410B">
        <w:rPr>
          <w:i/>
          <w:iCs/>
        </w:rPr>
        <w:t xml:space="preserve">Petition </w:t>
      </w:r>
      <w:r w:rsidRPr="00077350" w:rsidR="00077350">
        <w:t>and the opposition thereto</w:t>
      </w:r>
      <w:r w:rsidR="00077350">
        <w:rPr>
          <w:i/>
          <w:iCs/>
        </w:rPr>
        <w:t xml:space="preserve"> </w:t>
      </w:r>
      <w:r>
        <w:t>in the</w:t>
      </w:r>
      <w:r w:rsidR="00077350">
        <w:t>ir</w:t>
      </w:r>
      <w:r>
        <w:t xml:space="preserve"> proper context, </w:t>
      </w:r>
      <w:r w:rsidR="00E700CC">
        <w:t>it will be helpful to provide a</w:t>
      </w:r>
      <w:r>
        <w:t xml:space="preserve"> brief summary of D.</w:t>
      </w:r>
      <w:r w:rsidR="00E1410B">
        <w:t>22</w:t>
      </w:r>
      <w:r w:rsidR="00E4753D">
        <w:noBreakHyphen/>
      </w:r>
      <w:r w:rsidR="00E1410B">
        <w:t>10</w:t>
      </w:r>
      <w:r w:rsidR="00E4753D">
        <w:noBreakHyphen/>
      </w:r>
      <w:r w:rsidR="00E1410B">
        <w:t>025</w:t>
      </w:r>
      <w:r w:rsidR="00E700CC">
        <w:t>. This decision</w:t>
      </w:r>
      <w:r w:rsidRPr="00217643" w:rsidR="00217643">
        <w:t xml:space="preserve"> adopted OTMR requirements to facilitate and accelerate pole attachment deployments in California to help expand broadband access</w:t>
      </w:r>
      <w:r w:rsidR="00651071">
        <w:t>, thereby</w:t>
      </w:r>
      <w:r w:rsidRPr="00217643" w:rsidR="00217643">
        <w:t xml:space="preserve"> promot</w:t>
      </w:r>
      <w:r w:rsidR="00651071">
        <w:t>ing</w:t>
      </w:r>
      <w:r w:rsidRPr="00217643" w:rsidR="00217643">
        <w:t xml:space="preserve"> safety and competition. D.22</w:t>
      </w:r>
      <w:r w:rsidR="00E4753D">
        <w:noBreakHyphen/>
      </w:r>
      <w:r w:rsidRPr="00217643" w:rsidR="00217643">
        <w:t>10</w:t>
      </w:r>
      <w:r w:rsidR="00E4753D">
        <w:noBreakHyphen/>
      </w:r>
      <w:r w:rsidRPr="00217643" w:rsidR="00217643">
        <w:t xml:space="preserve">025 explains </w:t>
      </w:r>
      <w:r w:rsidR="00317D45">
        <w:t xml:space="preserve">that </w:t>
      </w:r>
      <w:r w:rsidRPr="00217643" w:rsidR="00217643">
        <w:t xml:space="preserve">the purpose of its </w:t>
      </w:r>
      <w:r w:rsidRPr="00217643" w:rsidR="00217643">
        <w:lastRenderedPageBreak/>
        <w:t xml:space="preserve">OTMR/pole attachment rules is to implement </w:t>
      </w:r>
      <w:r w:rsidR="00410529">
        <w:t>“</w:t>
      </w:r>
      <w:r w:rsidRPr="00217643" w:rsidR="00217643">
        <w:t>a transparent and efficient pole attachment process</w:t>
      </w:r>
      <w:r w:rsidR="00410529">
        <w:t>”</w:t>
      </w:r>
      <w:r w:rsidRPr="00217643" w:rsidR="00217643">
        <w:t xml:space="preserve"> that gives new attachers more options and control.</w:t>
      </w:r>
      <w:r w:rsidR="00531534">
        <w:rPr>
          <w:rStyle w:val="FootnoteReference"/>
        </w:rPr>
        <w:footnoteReference w:id="209"/>
      </w:r>
      <w:r w:rsidRPr="00217643" w:rsidR="00217643">
        <w:t xml:space="preserve"> Relevant provisions include:</w:t>
      </w:r>
    </w:p>
    <w:p w:rsidR="00410529" w:rsidRDefault="00217643" w14:paraId="0CC02B12" w14:textId="61909975">
      <w:pPr>
        <w:pStyle w:val="BlockQuoteBullet1"/>
        <w:numPr>
          <w:ilvl w:val="0"/>
          <w:numId w:val="16"/>
        </w:numPr>
        <w:ind w:left="1080"/>
      </w:pPr>
      <w:r w:rsidRPr="00217643">
        <w:t>Utilities must respond to requests as quickly as possible and within 45 days of receipt of a complete application.</w:t>
      </w:r>
      <w:r w:rsidR="00733CEC">
        <w:rPr>
          <w:rStyle w:val="FootnoteReference"/>
        </w:rPr>
        <w:footnoteReference w:id="210"/>
      </w:r>
    </w:p>
    <w:p w:rsidRPr="00217643" w:rsidR="00217643" w:rsidRDefault="00217643" w14:paraId="43E6B1F7" w14:textId="6DA7C36D">
      <w:pPr>
        <w:pStyle w:val="BlockQuoteBullet1"/>
        <w:numPr>
          <w:ilvl w:val="0"/>
          <w:numId w:val="16"/>
        </w:numPr>
        <w:ind w:left="1080"/>
      </w:pPr>
      <w:r w:rsidRPr="00217643">
        <w:t>A utility may not deny an attacher access to poles, or delay completion of make ready work, due to preexisting violations (not caused by the new attacher</w:t>
      </w:r>
      <w:r w:rsidR="00410529">
        <w:t>’</w:t>
      </w:r>
      <w:r w:rsidRPr="00217643">
        <w:t>s prior attachments).</w:t>
      </w:r>
      <w:r w:rsidR="003C51C3">
        <w:rPr>
          <w:rStyle w:val="FootnoteReference"/>
        </w:rPr>
        <w:footnoteReference w:id="211"/>
      </w:r>
    </w:p>
    <w:p w:rsidRPr="00217643" w:rsidR="00217643" w:rsidRDefault="00217643" w14:paraId="0446312B" w14:textId="2CD40C37">
      <w:pPr>
        <w:pStyle w:val="BlockQuoteBullet1"/>
        <w:numPr>
          <w:ilvl w:val="0"/>
          <w:numId w:val="16"/>
        </w:numPr>
        <w:ind w:left="1080"/>
      </w:pPr>
      <w:r w:rsidRPr="00217643">
        <w:t xml:space="preserve">For </w:t>
      </w:r>
      <w:r w:rsidR="000C63F3">
        <w:t>make</w:t>
      </w:r>
      <w:r w:rsidR="00E4753D">
        <w:noBreakHyphen/>
      </w:r>
      <w:r w:rsidR="000C63F3">
        <w:t>ready</w:t>
      </w:r>
      <w:r w:rsidRPr="00217643">
        <w:t xml:space="preserve"> work, utilities may deviate from specified time limits for </w:t>
      </w:r>
      <w:r w:rsidR="00410529">
        <w:t>“</w:t>
      </w:r>
      <w:r w:rsidRPr="00217643">
        <w:t>good and sufficient cause,</w:t>
      </w:r>
      <w:r w:rsidR="00410529">
        <w:t>”</w:t>
      </w:r>
      <w:r w:rsidRPr="00217643">
        <w:t xml:space="preserve"> but must provide a detailed explanation and a new completion date. The deviation must last no longer than necessary.</w:t>
      </w:r>
      <w:r w:rsidR="006A23FE">
        <w:rPr>
          <w:rStyle w:val="FootnoteReference"/>
        </w:rPr>
        <w:footnoteReference w:id="212"/>
      </w:r>
    </w:p>
    <w:p w:rsidRPr="00217643" w:rsidR="00217643" w:rsidP="00ED36CC" w:rsidRDefault="00217643" w14:paraId="13D8E955" w14:textId="45D5B8BB">
      <w:pPr>
        <w:pStyle w:val="Standard"/>
      </w:pPr>
      <w:r w:rsidRPr="00217643">
        <w:t>D.22</w:t>
      </w:r>
      <w:r w:rsidR="00E4753D">
        <w:noBreakHyphen/>
      </w:r>
      <w:r w:rsidRPr="00217643">
        <w:t>10</w:t>
      </w:r>
      <w:r w:rsidR="00E4753D">
        <w:noBreakHyphen/>
      </w:r>
      <w:r w:rsidRPr="00217643">
        <w:t xml:space="preserve">025 </w:t>
      </w:r>
      <w:r w:rsidR="00262D3D">
        <w:t xml:space="preserve">also </w:t>
      </w:r>
      <w:r w:rsidRPr="00217643">
        <w:t>states that a utility must respond in writing to a request for access as quickly as possible by granting or denying access within 45 days of receiving a complete application.</w:t>
      </w:r>
      <w:r w:rsidR="002A0237">
        <w:rPr>
          <w:rStyle w:val="FootnoteReference"/>
        </w:rPr>
        <w:footnoteReference w:id="213"/>
      </w:r>
      <w:r w:rsidRPr="00217643">
        <w:t xml:space="preserve"> The utility</w:t>
      </w:r>
      <w:r w:rsidR="00410529">
        <w:t>’</w:t>
      </w:r>
      <w:r w:rsidRPr="00217643">
        <w:t xml:space="preserve">s response must state whether access is granted or denied. If denied, the response must be specific and include supporting evidence/information and explain how it relates to </w:t>
      </w:r>
      <w:r>
        <w:t xml:space="preserve">the </w:t>
      </w:r>
      <w:r w:rsidRPr="00217643">
        <w:t>denial for capacity, safety, reliability, or engineering reasons. Also, the rules state that failure to respond within 45 days is deemed an acceptance.</w:t>
      </w:r>
    </w:p>
    <w:p w:rsidRPr="00545D18" w:rsidR="00545D18" w:rsidP="00ED36CC" w:rsidRDefault="00F16D58" w14:paraId="00E7A090" w14:textId="5237A6E5">
      <w:pPr>
        <w:pStyle w:val="Standard"/>
      </w:pPr>
      <w:r w:rsidRPr="00545D18">
        <w:t>The</w:t>
      </w:r>
      <w:r w:rsidRPr="00545D18" w:rsidR="00545D18">
        <w:t xml:space="preserve"> Commission adopted OTMR </w:t>
      </w:r>
      <w:r>
        <w:t xml:space="preserve">rules </w:t>
      </w:r>
      <w:r w:rsidRPr="00545D18" w:rsidR="00545D18">
        <w:t>to reduce friction and delays in pole attachments while protecting safety and advancing broadband deployment. Sonic</w:t>
      </w:r>
      <w:r w:rsidR="00410529">
        <w:t>’</w:t>
      </w:r>
      <w:r w:rsidRPr="00545D18" w:rsidR="00545D18">
        <w:t>s concerns are directly related to these issues</w:t>
      </w:r>
      <w:r>
        <w:t>, and its</w:t>
      </w:r>
      <w:r w:rsidRPr="00545D18" w:rsidR="00545D18">
        <w:t xml:space="preserve"> </w:t>
      </w:r>
      <w:r w:rsidR="00410529">
        <w:t>“</w:t>
      </w:r>
      <w:r w:rsidRPr="00545D18" w:rsidR="00545D18">
        <w:t xml:space="preserve">conditional </w:t>
      </w:r>
      <w:r w:rsidRPr="00545D18" w:rsidR="00545D18">
        <w:lastRenderedPageBreak/>
        <w:t>approval</w:t>
      </w:r>
      <w:r w:rsidR="00410529">
        <w:t>”</w:t>
      </w:r>
      <w:r w:rsidRPr="00545D18" w:rsidR="00545D18">
        <w:t xml:space="preserve"> allegation </w:t>
      </w:r>
      <w:r w:rsidR="00765CAC">
        <w:t>against PG&amp;E</w:t>
      </w:r>
      <w:r w:rsidRPr="00545D18" w:rsidR="00545D18">
        <w:t xml:space="preserve"> is a key concern, as the practice</w:t>
      </w:r>
      <w:r w:rsidR="00765CAC">
        <w:t xml:space="preserve">, if </w:t>
      </w:r>
      <w:r w:rsidR="004E1EAD">
        <w:t>true</w:t>
      </w:r>
      <w:r w:rsidR="00765CAC">
        <w:t>,</w:t>
      </w:r>
      <w:r w:rsidRPr="00545D18" w:rsidR="00545D18">
        <w:t xml:space="preserve"> is not aligned the Commission</w:t>
      </w:r>
      <w:r w:rsidR="00410529">
        <w:t>’</w:t>
      </w:r>
      <w:r w:rsidRPr="00545D18" w:rsidR="00545D18">
        <w:t>s intentions/goals.</w:t>
      </w:r>
    </w:p>
    <w:p w:rsidRPr="00545D18" w:rsidR="00545D18" w:rsidP="00ED36CC" w:rsidRDefault="00545D18" w14:paraId="51076684" w14:textId="6D339616">
      <w:pPr>
        <w:pStyle w:val="Standard"/>
      </w:pPr>
      <w:r w:rsidRPr="00545D18">
        <w:t>At the same time,</w:t>
      </w:r>
      <w:r w:rsidR="004E1EAD">
        <w:t xml:space="preserve"> however, we do not reject</w:t>
      </w:r>
      <w:r w:rsidRPr="00545D18">
        <w:t xml:space="preserve"> the pole owners</w:t>
      </w:r>
      <w:r w:rsidR="00410529">
        <w:t>’</w:t>
      </w:r>
      <w:r w:rsidRPr="00545D18">
        <w:t xml:space="preserve"> c</w:t>
      </w:r>
      <w:r w:rsidR="00123232">
        <w:t>oncerns outright.</w:t>
      </w:r>
      <w:r w:rsidRPr="00545D18">
        <w:t xml:space="preserve"> </w:t>
      </w:r>
      <w:r w:rsidR="005B40C8">
        <w:t>GO</w:t>
      </w:r>
      <w:r w:rsidR="0051059D">
        <w:t> </w:t>
      </w:r>
      <w:r w:rsidRPr="00545D18">
        <w:t>95</w:t>
      </w:r>
      <w:r w:rsidR="00123232">
        <w:t>,</w:t>
      </w:r>
      <w:r w:rsidRPr="00545D18">
        <w:t xml:space="preserve"> </w:t>
      </w:r>
      <w:r w:rsidR="00A929DC">
        <w:t>Rule</w:t>
      </w:r>
      <w:r w:rsidR="0051059D">
        <w:t> </w:t>
      </w:r>
      <w:r w:rsidRPr="00545D18">
        <w:t>18 already includes rules for the scheduling of remediation work. Also, for certain make</w:t>
      </w:r>
      <w:r w:rsidR="00E4753D">
        <w:noBreakHyphen/>
      </w:r>
      <w:r w:rsidRPr="00545D18">
        <w:t xml:space="preserve">ready work, the OTMR rules allow for schedule deviations where </w:t>
      </w:r>
      <w:r w:rsidR="00410529">
        <w:t>“</w:t>
      </w:r>
      <w:r w:rsidRPr="00545D18">
        <w:t>good and sufficient cause</w:t>
      </w:r>
      <w:r w:rsidR="00410529">
        <w:t>”</w:t>
      </w:r>
      <w:r w:rsidRPr="00545D18">
        <w:t xml:space="preserve"> exists, then requiring additional documentation and a new completion date.</w:t>
      </w:r>
    </w:p>
    <w:p w:rsidRPr="00545D18" w:rsidR="00545D18" w:rsidP="00ED36CC" w:rsidRDefault="005E5FA3" w14:paraId="07C94C9D" w14:textId="53FC8706">
      <w:pPr>
        <w:pStyle w:val="Standard"/>
      </w:pPr>
      <w:r>
        <w:t xml:space="preserve">After weighing all considerations, we reject </w:t>
      </w:r>
      <w:r w:rsidR="007920AE">
        <w:t xml:space="preserve">the </w:t>
      </w:r>
      <w:r>
        <w:t>S</w:t>
      </w:r>
      <w:r w:rsidRPr="007920AE">
        <w:rPr>
          <w:i/>
          <w:iCs/>
        </w:rPr>
        <w:t>onic</w:t>
      </w:r>
      <w:r>
        <w:t xml:space="preserve"> </w:t>
      </w:r>
      <w:r w:rsidRPr="005E5FA3">
        <w:rPr>
          <w:i/>
          <w:iCs/>
        </w:rPr>
        <w:t>Petition</w:t>
      </w:r>
      <w:r>
        <w:t xml:space="preserve">. </w:t>
      </w:r>
      <w:r w:rsidRPr="00545D18" w:rsidR="00545D18">
        <w:t xml:space="preserve">A blanket </w:t>
      </w:r>
      <w:r w:rsidR="00410529">
        <w:t>“</w:t>
      </w:r>
      <w:r w:rsidRPr="00545D18" w:rsidR="00545D18">
        <w:t>45</w:t>
      </w:r>
      <w:r w:rsidR="00E4753D">
        <w:noBreakHyphen/>
      </w:r>
      <w:r w:rsidRPr="00545D18" w:rsidR="00545D18">
        <w:t>day remediation requirement</w:t>
      </w:r>
      <w:r w:rsidR="00410529">
        <w:t>”</w:t>
      </w:r>
      <w:r w:rsidRPr="00545D18" w:rsidR="00545D18">
        <w:t xml:space="preserve"> for all pre</w:t>
      </w:r>
      <w:r w:rsidR="00E4753D">
        <w:noBreakHyphen/>
      </w:r>
      <w:r w:rsidRPr="00545D18" w:rsidR="00545D18">
        <w:t>existing violations would risk:</w:t>
      </w:r>
      <w:r w:rsidR="00C25ABC">
        <w:t xml:space="preserve"> (</w:t>
      </w:r>
      <w:r w:rsidR="00CF414F">
        <w:t>1) </w:t>
      </w:r>
      <w:r w:rsidR="00B31162">
        <w:t>creating a conflict</w:t>
      </w:r>
      <w:r w:rsidRPr="00545D18" w:rsidR="00545D18">
        <w:t xml:space="preserve"> with </w:t>
      </w:r>
      <w:r w:rsidR="00A929DC">
        <w:t>Rule</w:t>
      </w:r>
      <w:r w:rsidR="0051059D">
        <w:t> </w:t>
      </w:r>
      <w:r w:rsidRPr="00545D18" w:rsidR="00545D18">
        <w:t>18</w:t>
      </w:r>
      <w:r w:rsidR="00410529">
        <w:t>’</w:t>
      </w:r>
      <w:r w:rsidRPr="00545D18" w:rsidR="00545D18">
        <w:t>s prioritization requirements and the safety/cost considerations</w:t>
      </w:r>
      <w:r w:rsidR="00B31162">
        <w:t>; (2</w:t>
      </w:r>
      <w:r w:rsidR="005032EF">
        <w:t>)</w:t>
      </w:r>
      <w:r w:rsidR="0051059D">
        <w:t> </w:t>
      </w:r>
      <w:r w:rsidR="004B0C22">
        <w:t>creating o</w:t>
      </w:r>
      <w:r w:rsidRPr="00545D18" w:rsidR="00545D18">
        <w:t>perational infeasibility and increased disputes or requests for exceptions, as claimed by the pole owners</w:t>
      </w:r>
      <w:r w:rsidR="004B0C22">
        <w:t>; and (3</w:t>
      </w:r>
      <w:r w:rsidR="005032EF">
        <w:t>)</w:t>
      </w:r>
      <w:r w:rsidR="0051059D">
        <w:t> </w:t>
      </w:r>
      <w:r w:rsidRPr="00545D18" w:rsidR="00545D18">
        <w:t>skewing costs and responsibilities among pole owners, ratepayers, and attachers beyond what the Commission intended in D.22</w:t>
      </w:r>
      <w:r w:rsidR="00E4753D">
        <w:noBreakHyphen/>
      </w:r>
      <w:r w:rsidRPr="00545D18" w:rsidR="00545D18">
        <w:t>10</w:t>
      </w:r>
      <w:r w:rsidR="00E4753D">
        <w:noBreakHyphen/>
      </w:r>
      <w:r w:rsidRPr="00545D18" w:rsidR="00545D18">
        <w:t>025.</w:t>
      </w:r>
    </w:p>
    <w:p w:rsidR="00545D18" w:rsidP="00ED36CC" w:rsidRDefault="00545D18" w14:paraId="508CE0A0" w14:textId="1205C9AB">
      <w:pPr>
        <w:pStyle w:val="Standard"/>
      </w:pPr>
      <w:r w:rsidRPr="00545D18">
        <w:t>Even without endorsing Sonic</w:t>
      </w:r>
      <w:r w:rsidR="00410529">
        <w:t>’</w:t>
      </w:r>
      <w:r w:rsidRPr="00545D18">
        <w:t>s 45</w:t>
      </w:r>
      <w:r w:rsidR="00E4753D">
        <w:noBreakHyphen/>
      </w:r>
      <w:r w:rsidRPr="00545D18">
        <w:t xml:space="preserve">day remediation requirement, the Commission </w:t>
      </w:r>
      <w:r w:rsidR="00572DE4">
        <w:t xml:space="preserve">stresses that it </w:t>
      </w:r>
      <w:r w:rsidRPr="00545D18">
        <w:t>has already decided that a utility may not deny access (or delay make</w:t>
      </w:r>
      <w:r w:rsidR="00E4753D">
        <w:noBreakHyphen/>
      </w:r>
      <w:r w:rsidRPr="00545D18">
        <w:t xml:space="preserve">ready work) due to a preexisting violation not caused by the new attacher. If pole owners are effectively withholding access via </w:t>
      </w:r>
      <w:r w:rsidR="00410529">
        <w:t>“</w:t>
      </w:r>
      <w:r w:rsidRPr="00545D18">
        <w:t>conditional approvals</w:t>
      </w:r>
      <w:r w:rsidR="00410529">
        <w:t>”</w:t>
      </w:r>
      <w:r w:rsidRPr="00545D18">
        <w:t xml:space="preserve"> or unclear remediation timelines,</w:t>
      </w:r>
      <w:r w:rsidR="00576ECC">
        <w:t xml:space="preserve"> a credible argument</w:t>
      </w:r>
      <w:r w:rsidRPr="00545D18">
        <w:t xml:space="preserve"> </w:t>
      </w:r>
      <w:r w:rsidR="00222CC9">
        <w:t>can be advanced</w:t>
      </w:r>
      <w:r w:rsidRPr="00545D18">
        <w:t xml:space="preserve"> that existing OTMR protections are not being implemented in a way </w:t>
      </w:r>
      <w:r w:rsidR="00222CC9">
        <w:t xml:space="preserve">that </w:t>
      </w:r>
      <w:r w:rsidRPr="00545D18">
        <w:t>supports the Commission</w:t>
      </w:r>
      <w:r w:rsidR="00410529">
        <w:t>’</w:t>
      </w:r>
      <w:r w:rsidRPr="00545D18">
        <w:t>s goals/intentions</w:t>
      </w:r>
      <w:r w:rsidR="003702AE">
        <w:t xml:space="preserve">, and the Commission reserves the right to institute any </w:t>
      </w:r>
      <w:r w:rsidR="00CA76CD">
        <w:t>necessary enforcement action at either the Commission or staff level.</w:t>
      </w:r>
    </w:p>
    <w:p w:rsidRPr="006F4D80" w:rsidR="006F4D80" w:rsidP="00ED36CC" w:rsidRDefault="00035117" w14:paraId="66728642" w14:textId="785DBF42">
      <w:pPr>
        <w:pStyle w:val="Standard"/>
      </w:pPr>
      <w:r>
        <w:t xml:space="preserve">But because this may continue to be a concern for attachers, the Commission </w:t>
      </w:r>
      <w:r w:rsidR="009C1EA5">
        <w:t>instructs staff to seek additional data to investigate the issue by re</w:t>
      </w:r>
      <w:r w:rsidR="00A42F39">
        <w:t>q</w:t>
      </w:r>
      <w:r w:rsidR="009C1EA5">
        <w:t>uiring pole owners and attachers to provide aggregated metrics on (</w:t>
      </w:r>
      <w:r w:rsidR="002D5B96">
        <w:t>1</w:t>
      </w:r>
      <w:r w:rsidR="0072643B">
        <w:t>)</w:t>
      </w:r>
      <w:r w:rsidR="0051059D">
        <w:t> </w:t>
      </w:r>
      <w:r w:rsidR="00C71EAE">
        <w:t xml:space="preserve">the </w:t>
      </w:r>
      <w:r w:rsidR="009C1EA5">
        <w:lastRenderedPageBreak/>
        <w:t>volume/percentage of requests affected by preexisting violations; (</w:t>
      </w:r>
      <w:r w:rsidR="002D5B96">
        <w:t>2</w:t>
      </w:r>
      <w:r w:rsidR="0072643B">
        <w:t>)</w:t>
      </w:r>
      <w:r w:rsidR="0051059D">
        <w:t> </w:t>
      </w:r>
      <w:r w:rsidR="00C71EAE">
        <w:t>the</w:t>
      </w:r>
      <w:r w:rsidR="009C1EA5">
        <w:t xml:space="preserve"> time from request </w:t>
      </w:r>
      <w:r w:rsidR="00A42F39">
        <w:t>to</w:t>
      </w:r>
      <w:r w:rsidR="009C1EA5">
        <w:t xml:space="preserve"> remediation comple</w:t>
      </w:r>
      <w:r w:rsidR="008E73BB">
        <w:t xml:space="preserve">tion (by </w:t>
      </w:r>
      <w:r w:rsidR="00A929DC">
        <w:t>Rule</w:t>
      </w:r>
      <w:r w:rsidR="0051059D">
        <w:t> </w:t>
      </w:r>
      <w:r w:rsidR="008E73BB">
        <w:t>18 category where applicable); and (</w:t>
      </w:r>
      <w:r w:rsidR="002D5B96">
        <w:t>3</w:t>
      </w:r>
      <w:r w:rsidR="0072643B">
        <w:t>)</w:t>
      </w:r>
      <w:r w:rsidR="0051059D">
        <w:t> </w:t>
      </w:r>
      <w:r w:rsidR="00C71EAE">
        <w:t xml:space="preserve">the </w:t>
      </w:r>
      <w:r w:rsidR="00281C77">
        <w:t xml:space="preserve">use of </w:t>
      </w:r>
      <w:r w:rsidR="00410529">
        <w:t>“</w:t>
      </w:r>
      <w:r w:rsidR="00281C77">
        <w:t>conditional approval</w:t>
      </w:r>
      <w:r w:rsidR="00410529">
        <w:t>”</w:t>
      </w:r>
      <w:r w:rsidR="00281C77">
        <w:t xml:space="preserve"> or similar responses to attachment requests, if any.</w:t>
      </w:r>
    </w:p>
    <w:p w:rsidR="00603238" w:rsidP="00ED36CC" w:rsidRDefault="00603238" w14:paraId="44F7F4F1" w14:textId="77777777">
      <w:pPr>
        <w:pStyle w:val="Heading1"/>
        <w:keepLines w:val="0"/>
      </w:pPr>
      <w:bookmarkStart w:name="_Toc133843852" w:id="67"/>
      <w:bookmarkStart w:name="_Toc8123721" w:id="68"/>
      <w:bookmarkStart w:name="_Toc229726780" w:id="69"/>
      <w:r>
        <w:t>Summary of Public Comment</w:t>
      </w:r>
      <w:bookmarkEnd w:id="67"/>
      <w:bookmarkEnd w:id="69"/>
    </w:p>
    <w:p w:rsidRPr="00326B5C" w:rsidR="00603238" w:rsidP="005A289D" w:rsidRDefault="00A929DC" w14:paraId="04730535" w14:textId="01EEC1B8">
      <w:pPr>
        <w:pStyle w:val="Standard"/>
      </w:pPr>
      <w:r>
        <w:t>Rule</w:t>
      </w:r>
      <w:r w:rsidR="0051059D">
        <w:t> </w:t>
      </w:r>
      <w:r w:rsidRPr="00326B5C" w:rsidR="00603238">
        <w:t>1.18 allows any member of the public to submit written comment</w:t>
      </w:r>
      <w:r w:rsidR="009337E8">
        <w:t>s</w:t>
      </w:r>
      <w:r w:rsidRPr="00326B5C" w:rsidR="00603238">
        <w:t xml:space="preserve"> in any Commission proceeding using the </w:t>
      </w:r>
      <w:r w:rsidR="00410529">
        <w:t>“</w:t>
      </w:r>
      <w:r w:rsidRPr="00326B5C" w:rsidR="00603238">
        <w:t>Public Comment</w:t>
      </w:r>
      <w:r w:rsidR="00410529">
        <w:t>”</w:t>
      </w:r>
      <w:r w:rsidRPr="00326B5C" w:rsidR="00603238">
        <w:t xml:space="preserve"> tab of the online Docket Card for that proceeding on the Commission</w:t>
      </w:r>
      <w:r w:rsidR="00410529">
        <w:t>’</w:t>
      </w:r>
      <w:r w:rsidRPr="00326B5C" w:rsidR="00603238">
        <w:t>s website.</w:t>
      </w:r>
      <w:r w:rsidR="003132E5">
        <w:t xml:space="preserve"> </w:t>
      </w:r>
      <w:r>
        <w:t>Rule</w:t>
      </w:r>
      <w:r w:rsidR="0051059D">
        <w:t> </w:t>
      </w:r>
      <w:r w:rsidRPr="00326B5C" w:rsidR="00603238">
        <w:t xml:space="preserve">1.18(b) requires that relevant written </w:t>
      </w:r>
      <w:r w:rsidR="009337E8">
        <w:t>comments</w:t>
      </w:r>
      <w:r w:rsidRPr="00326B5C" w:rsidR="00603238">
        <w:t xml:space="preserve"> submitted in a proceeding be summarized in the final decision issued in that proceeding.</w:t>
      </w:r>
    </w:p>
    <w:p w:rsidRPr="00603238" w:rsidR="00603238" w:rsidP="00ED36CC" w:rsidRDefault="00126F35" w14:paraId="4B9B7E6C" w14:textId="664FFE28">
      <w:pPr>
        <w:pStyle w:val="Standard"/>
      </w:pPr>
      <w:r>
        <w:t>One public comment was received</w:t>
      </w:r>
      <w:r w:rsidR="0041065A">
        <w:t>,</w:t>
      </w:r>
      <w:r>
        <w:t xml:space="preserve"> </w:t>
      </w:r>
      <w:r w:rsidR="00616EF5">
        <w:t>which provides general support for the comments filed by Sonic</w:t>
      </w:r>
      <w:r w:rsidR="0041065A">
        <w:t xml:space="preserve"> in these proceedings.</w:t>
      </w:r>
      <w:r w:rsidR="00A9435E">
        <w:t xml:space="preserve"> As this decision resolves the issues raised by Sonic and the other responding parties, it is unnecessary to </w:t>
      </w:r>
      <w:r w:rsidR="00A64CB6">
        <w:t>address this public comment separately.</w:t>
      </w:r>
    </w:p>
    <w:p w:rsidR="00FA1B4F" w:rsidP="00ED36CC" w:rsidRDefault="005939A5" w14:paraId="274DC99B" w14:textId="77777777">
      <w:pPr>
        <w:pStyle w:val="Heading1"/>
        <w:keepLines w:val="0"/>
      </w:pPr>
      <w:bookmarkStart w:name="_Toc133843853" w:id="70"/>
      <w:bookmarkStart w:name="_Toc229726781" w:id="71"/>
      <w:r>
        <w:t>Conclusion</w:t>
      </w:r>
      <w:bookmarkEnd w:id="68"/>
      <w:bookmarkEnd w:id="70"/>
      <w:bookmarkEnd w:id="71"/>
    </w:p>
    <w:p w:rsidR="00410529" w:rsidP="00ED36CC" w:rsidRDefault="00E25B71" w14:paraId="3030BEB6" w14:textId="24519FBD">
      <w:pPr>
        <w:pStyle w:val="Standard"/>
      </w:pPr>
      <w:r>
        <w:t>When the Commission opened these proceeding</w:t>
      </w:r>
      <w:r w:rsidR="00B66AA8">
        <w:t>s,</w:t>
      </w:r>
      <w:r w:rsidR="00472A49">
        <w:t xml:space="preserve"> it did so with the intent to ascertain the feasibility of creating a shared database or </w:t>
      </w:r>
      <w:r w:rsidR="00582657">
        <w:t>statewide</w:t>
      </w:r>
      <w:r w:rsidR="00472A49">
        <w:t xml:space="preserve"> census of the over 5</w:t>
      </w:r>
      <w:r w:rsidR="0051059D">
        <w:t> </w:t>
      </w:r>
      <w:r w:rsidR="004840C8">
        <w:t>million</w:t>
      </w:r>
      <w:r w:rsidR="00472A49">
        <w:t xml:space="preserve"> utility poles and conduit in California. As our investigation proceeded, and as a result of party comments and discussions, we realized that due to different record keeping systems</w:t>
      </w:r>
      <w:r w:rsidR="001B6F6C">
        <w:t xml:space="preserve"> and terminologies </w:t>
      </w:r>
      <w:r w:rsidR="006C4515">
        <w:t xml:space="preserve">utilized </w:t>
      </w:r>
      <w:r w:rsidR="001B6F6C">
        <w:t xml:space="preserve">by each of the Major Pole </w:t>
      </w:r>
      <w:r w:rsidR="0030152C">
        <w:t>Owners</w:t>
      </w:r>
      <w:r w:rsidR="001B6F6C">
        <w:t xml:space="preserve"> that a singular shared database or census was not practical.</w:t>
      </w:r>
    </w:p>
    <w:p w:rsidR="0062742B" w:rsidP="00ED36CC" w:rsidRDefault="0030152C" w14:paraId="01EF1179" w14:textId="6C301980">
      <w:pPr>
        <w:pStyle w:val="Standard"/>
      </w:pPr>
      <w:r>
        <w:t xml:space="preserve">The Commission adjusted its focus on </w:t>
      </w:r>
      <w:r w:rsidR="00D34EEA">
        <w:t xml:space="preserve">requiring the Major Pole Owners to collect and maintain the same categories of information about their utility poles </w:t>
      </w:r>
      <w:r w:rsidR="00E778EB">
        <w:t>(D.20</w:t>
      </w:r>
      <w:r w:rsidR="00E4753D">
        <w:noBreakHyphen/>
      </w:r>
      <w:r w:rsidR="00E778EB">
        <w:t>07</w:t>
      </w:r>
      <w:r w:rsidR="00E4753D">
        <w:noBreakHyphen/>
      </w:r>
      <w:r w:rsidR="00E778EB">
        <w:t xml:space="preserve">004), </w:t>
      </w:r>
      <w:r w:rsidR="00D34EEA">
        <w:t xml:space="preserve">and the </w:t>
      </w:r>
      <w:r w:rsidR="004B4D4F">
        <w:t>attachments affixed thereto</w:t>
      </w:r>
      <w:r w:rsidR="00DE18D8">
        <w:t xml:space="preserve"> (D.</w:t>
      </w:r>
      <w:r w:rsidR="00EA1E53">
        <w:t>21</w:t>
      </w:r>
      <w:r w:rsidR="00E4753D">
        <w:noBreakHyphen/>
      </w:r>
      <w:r w:rsidR="00EA1E53">
        <w:t>10</w:t>
      </w:r>
      <w:r w:rsidR="00E4753D">
        <w:noBreakHyphen/>
      </w:r>
      <w:r w:rsidR="00EA1E53">
        <w:t>019)</w:t>
      </w:r>
      <w:r w:rsidR="004B4D4F">
        <w:t>. By imposing these requirements, the Commission placed itself in a</w:t>
      </w:r>
      <w:r w:rsidR="009A47F2">
        <w:t xml:space="preserve"> </w:t>
      </w:r>
      <w:r w:rsidR="004B32E5">
        <w:t xml:space="preserve">position to </w:t>
      </w:r>
      <w:r w:rsidR="005603B3">
        <w:t>intelligently</w:t>
      </w:r>
      <w:r w:rsidR="009A47F2">
        <w:t xml:space="preserve"> </w:t>
      </w:r>
      <w:r w:rsidR="004B32E5">
        <w:t xml:space="preserve">determine what energy and telecommunications systems were impacted by </w:t>
      </w:r>
      <w:r w:rsidR="00043388">
        <w:lastRenderedPageBreak/>
        <w:t>catastrophic fires, how those companies could work together to see that those services</w:t>
      </w:r>
      <w:r w:rsidR="0062742B">
        <w:t xml:space="preserve"> could be restored</w:t>
      </w:r>
      <w:r w:rsidR="008D1DDD">
        <w:t xml:space="preserve">, </w:t>
      </w:r>
      <w:r w:rsidR="00900636">
        <w:t>how public safety</w:t>
      </w:r>
      <w:r w:rsidR="00E35843">
        <w:t xml:space="preserve"> could be enhanced against the prospect of future catastrophic wildfires, </w:t>
      </w:r>
      <w:r w:rsidR="008D1DDD">
        <w:t>and how the Commission could best streamline the process for attachers to have access to the utility poles</w:t>
      </w:r>
      <w:r w:rsidR="000A2AB5">
        <w:t xml:space="preserve"> (D.22</w:t>
      </w:r>
      <w:r w:rsidR="00E4753D">
        <w:noBreakHyphen/>
      </w:r>
      <w:r w:rsidR="000A2AB5">
        <w:t>10</w:t>
      </w:r>
      <w:r w:rsidR="00E4753D">
        <w:noBreakHyphen/>
      </w:r>
      <w:r w:rsidR="000A2AB5">
        <w:t>025).</w:t>
      </w:r>
    </w:p>
    <w:p w:rsidRPr="00343E5C" w:rsidR="00343E5C" w:rsidP="00ED36CC" w:rsidRDefault="008B4736" w14:paraId="6E3C0703" w14:textId="10CFCD1C">
      <w:pPr>
        <w:pStyle w:val="Standard"/>
      </w:pPr>
      <w:r>
        <w:t>B</w:t>
      </w:r>
      <w:r w:rsidR="0062742B">
        <w:t xml:space="preserve">y adopting these amended </w:t>
      </w:r>
      <w:r w:rsidR="00835EAD">
        <w:t>ROW Rules</w:t>
      </w:r>
      <w:r w:rsidR="0062742B">
        <w:t xml:space="preserve">, </w:t>
      </w:r>
      <w:r w:rsidR="003D6DDE">
        <w:t xml:space="preserve">the Commission takes a major step in providing fair and equitable access to utility poles so that </w:t>
      </w:r>
      <w:r w:rsidR="00563D3F">
        <w:t>California</w:t>
      </w:r>
      <w:r w:rsidR="00410529">
        <w:t>’</w:t>
      </w:r>
      <w:r w:rsidR="00563D3F">
        <w:t>s goal of broadband expansion can be achieved</w:t>
      </w:r>
      <w:r w:rsidR="00126385">
        <w:t>.</w:t>
      </w:r>
    </w:p>
    <w:p w:rsidR="004A1EAD" w:rsidP="00ED36CC" w:rsidRDefault="004A1EAD" w14:paraId="0FE5F7C7" w14:textId="77777777">
      <w:pPr>
        <w:pStyle w:val="Heading1"/>
        <w:keepLines w:val="0"/>
      </w:pPr>
      <w:bookmarkStart w:name="_Toc8123723" w:id="72"/>
      <w:bookmarkStart w:name="_Toc133843854" w:id="73"/>
      <w:bookmarkStart w:name="_Toc229726782" w:id="74"/>
      <w:r>
        <w:t>Procedural Matters</w:t>
      </w:r>
      <w:bookmarkEnd w:id="74"/>
    </w:p>
    <w:p w:rsidRPr="008B175A" w:rsidR="004A1EAD" w:rsidP="00ED36CC" w:rsidRDefault="004A1EAD" w14:paraId="045F402C" w14:textId="6A69DBDE">
      <w:pPr>
        <w:pStyle w:val="Standard"/>
      </w:pPr>
      <w:r w:rsidRPr="008B175A">
        <w:t xml:space="preserve">This decision affirms all rulings made by the </w:t>
      </w:r>
      <w:r w:rsidR="00EC3176">
        <w:t>ALJ</w:t>
      </w:r>
      <w:r w:rsidRPr="008B175A">
        <w:t xml:space="preserve"> and assigned Commissioner in this proceeding. All motions not ruled on are deemed denied.</w:t>
      </w:r>
    </w:p>
    <w:p w:rsidR="005939A5" w:rsidP="00ED36CC" w:rsidRDefault="005939A5" w14:paraId="552D9846" w14:textId="77777777">
      <w:pPr>
        <w:pStyle w:val="Heading1"/>
        <w:keepLines w:val="0"/>
      </w:pPr>
      <w:bookmarkStart w:name="_Toc229726783" w:id="75"/>
      <w:r>
        <w:t>Comments on Proposed Decision</w:t>
      </w:r>
      <w:bookmarkEnd w:id="72"/>
      <w:bookmarkEnd w:id="73"/>
      <w:bookmarkEnd w:id="75"/>
    </w:p>
    <w:p w:rsidR="00410529" w:rsidP="00ED36CC" w:rsidRDefault="005C58FA" w14:paraId="02B330A1" w14:textId="78F5C6FC">
      <w:pPr>
        <w:pStyle w:val="Standard"/>
      </w:pPr>
      <w:r w:rsidRPr="008953AD">
        <w:t xml:space="preserve">The proposed decision of Commissioner </w:t>
      </w:r>
      <w:r w:rsidR="00193837">
        <w:t xml:space="preserve">John Reynolds </w:t>
      </w:r>
      <w:r>
        <w:t xml:space="preserve">in this matter was mailed to the parties in accordance with </w:t>
      </w:r>
      <w:r w:rsidR="00B64DFB">
        <w:t>Pub. Util. Code Section</w:t>
      </w:r>
      <w:r w:rsidR="0051059D">
        <w:t> </w:t>
      </w:r>
      <w:r>
        <w:t>311</w:t>
      </w:r>
      <w:r w:rsidR="00B64DFB">
        <w:t xml:space="preserve"> </w:t>
      </w:r>
      <w:r>
        <w:t xml:space="preserve">comments were allowed under </w:t>
      </w:r>
      <w:r w:rsidR="00A929DC">
        <w:t>Rule</w:t>
      </w:r>
      <w:r w:rsidR="0051059D">
        <w:t> </w:t>
      </w:r>
      <w:r>
        <w:t xml:space="preserve">14.3.  Comments were filed on </w:t>
      </w:r>
      <w:r w:rsidR="00F62673">
        <w:t>April</w:t>
      </w:r>
      <w:r w:rsidR="00CD140E">
        <w:t> </w:t>
      </w:r>
      <w:r w:rsidR="00F62673">
        <w:t xml:space="preserve">30, 2026 by </w:t>
      </w:r>
      <w:r w:rsidR="007C1786">
        <w:t>Frontier and Verizon, PacifiCorp</w:t>
      </w:r>
      <w:r w:rsidR="003547C1">
        <w:t xml:space="preserve">, </w:t>
      </w:r>
      <w:r w:rsidR="00277978">
        <w:t>AT&amp;T,</w:t>
      </w:r>
      <w:r w:rsidR="00BB5B55">
        <w:t xml:space="preserve"> California Broadband</w:t>
      </w:r>
      <w:r w:rsidR="00CD140E">
        <w:t> </w:t>
      </w:r>
      <w:r w:rsidR="00BB5B55">
        <w:t xml:space="preserve">&amp; Video Association, </w:t>
      </w:r>
      <w:r w:rsidR="00A9405B">
        <w:t xml:space="preserve">Consolidated, </w:t>
      </w:r>
      <w:r w:rsidR="004978D6">
        <w:t xml:space="preserve">Small LECs, Joint IOUs, CTIA, </w:t>
      </w:r>
      <w:r w:rsidR="00EE4942">
        <w:t>and Sonic</w:t>
      </w:r>
      <w:r>
        <w:t xml:space="preserve">, and reply comments were filed on </w:t>
      </w:r>
      <w:r w:rsidR="001F7A82">
        <w:t>May</w:t>
      </w:r>
      <w:r w:rsidR="00CD140E">
        <w:t> </w:t>
      </w:r>
      <w:r w:rsidR="001F7A82">
        <w:t>5, 2026</w:t>
      </w:r>
      <w:r>
        <w:t xml:space="preserve"> by </w:t>
      </w:r>
      <w:r w:rsidR="001F7A82">
        <w:t>Frontier and Verizon, AT&amp;T, California Broadband</w:t>
      </w:r>
      <w:r w:rsidR="00CD140E">
        <w:t> </w:t>
      </w:r>
      <w:r w:rsidR="001F7A82">
        <w:t>&amp; Video Association, Small LECs, Joint IOUs, CTIA, and Sonic</w:t>
      </w:r>
      <w:r>
        <w:t>.</w:t>
      </w:r>
    </w:p>
    <w:p w:rsidR="002E4752" w:rsidP="002E4752" w:rsidRDefault="00E7221C" w14:paraId="754A8D44" w14:textId="7DA5B566">
      <w:pPr>
        <w:pStyle w:val="Heading2"/>
      </w:pPr>
      <w:bookmarkStart w:name="_Toc229726784" w:id="76"/>
      <w:r>
        <w:t>Summary of Comments</w:t>
      </w:r>
      <w:bookmarkEnd w:id="76"/>
    </w:p>
    <w:p w:rsidRPr="005800B5" w:rsidR="005800B5" w:rsidP="00E9014C" w:rsidRDefault="005800B5" w14:paraId="54E5B2F9" w14:textId="5C467C3F">
      <w:pPr>
        <w:pStyle w:val="SectionCommentSub"/>
      </w:pPr>
      <w:r w:rsidRPr="005800B5">
        <w:t>Frontier and Verizon</w:t>
      </w:r>
    </w:p>
    <w:p w:rsidRPr="007247C8" w:rsidR="007247C8" w:rsidP="007247C8" w:rsidRDefault="007247C8" w14:paraId="7662CAE5" w14:textId="6FD2B8E8">
      <w:pPr>
        <w:pStyle w:val="Standard"/>
      </w:pPr>
      <w:r w:rsidRPr="007247C8">
        <w:t>Frontier and Verizon</w:t>
      </w:r>
      <w:r w:rsidR="006D43D1">
        <w:t xml:space="preserve"> make the following comments:</w:t>
      </w:r>
    </w:p>
    <w:p w:rsidRPr="007247C8" w:rsidR="007247C8" w:rsidP="00E61763" w:rsidRDefault="007247C8" w14:paraId="3F009893" w14:textId="366F2EBB">
      <w:pPr>
        <w:pStyle w:val="Standard"/>
        <w:numPr>
          <w:ilvl w:val="0"/>
          <w:numId w:val="31"/>
        </w:numPr>
      </w:pPr>
      <w:r w:rsidRPr="007247C8">
        <w:t>Extend the compliance deadline for submission of “Track 2” pole database data</w:t>
      </w:r>
      <w:r w:rsidR="00A56DBA">
        <w:t xml:space="preserve"> </w:t>
      </w:r>
      <w:r w:rsidRPr="007247C8">
        <w:t>points for one year until June 9, 2027</w:t>
      </w:r>
      <w:r w:rsidR="00A56DBA">
        <w:t>,</w:t>
      </w:r>
      <w:r w:rsidRPr="007247C8">
        <w:t xml:space="preserve"> to accommodate the new Pole Loading</w:t>
      </w:r>
      <w:r w:rsidR="00A56DBA">
        <w:t xml:space="preserve"> </w:t>
      </w:r>
      <w:r w:rsidRPr="007247C8">
        <w:t>Calculation (“PLC”) option and the “</w:t>
      </w:r>
      <w:r w:rsidR="002D6561">
        <w:t>Compliance Plan</w:t>
      </w:r>
      <w:r w:rsidRPr="007247C8">
        <w:t>.”</w:t>
      </w:r>
    </w:p>
    <w:p w:rsidRPr="007247C8" w:rsidR="007247C8" w:rsidP="00E61763" w:rsidRDefault="007247C8" w14:paraId="65983208" w14:textId="62607DB9">
      <w:pPr>
        <w:pStyle w:val="Standard"/>
        <w:numPr>
          <w:ilvl w:val="0"/>
          <w:numId w:val="31"/>
        </w:numPr>
      </w:pPr>
      <w:r w:rsidRPr="007247C8">
        <w:lastRenderedPageBreak/>
        <w:t>Remove the expanded penalty and reporting requirements in Section VI(D) of the</w:t>
      </w:r>
      <w:r w:rsidR="00A56DBA">
        <w:t xml:space="preserve"> </w:t>
      </w:r>
      <w:r w:rsidRPr="007247C8">
        <w:t>Proposed G.O. relating to pole database compliance, which put “incumbent utilities”</w:t>
      </w:r>
      <w:r w:rsidR="00A56DBA">
        <w:t xml:space="preserve"> </w:t>
      </w:r>
      <w:r w:rsidRPr="007247C8">
        <w:t>in the improper and burdensome position of policing updates to pole attachment data</w:t>
      </w:r>
      <w:r w:rsidR="00A56DBA">
        <w:t xml:space="preserve"> </w:t>
      </w:r>
      <w:r w:rsidRPr="007247C8">
        <w:t>from attachers.</w:t>
      </w:r>
    </w:p>
    <w:p w:rsidRPr="007247C8" w:rsidR="007247C8" w:rsidP="00E61763" w:rsidRDefault="007247C8" w14:paraId="140737FB" w14:textId="2AC3FF1F">
      <w:pPr>
        <w:pStyle w:val="Standard"/>
        <w:numPr>
          <w:ilvl w:val="0"/>
          <w:numId w:val="31"/>
        </w:numPr>
      </w:pPr>
      <w:r w:rsidRPr="007247C8">
        <w:t>Clarify the “</w:t>
      </w:r>
      <w:r w:rsidR="00B9714A">
        <w:t>self-help</w:t>
      </w:r>
      <w:r w:rsidRPr="007247C8">
        <w:t>” mechanism in Section III(E) of the Proposed G.O. to confirm</w:t>
      </w:r>
      <w:r w:rsidR="00A56DBA">
        <w:t xml:space="preserve"> </w:t>
      </w:r>
      <w:r w:rsidRPr="007247C8">
        <w:t>whether incumbent approval is needed and provide procedures for such approval if</w:t>
      </w:r>
      <w:r w:rsidR="00A56DBA">
        <w:t xml:space="preserve"> </w:t>
      </w:r>
      <w:r w:rsidRPr="007247C8">
        <w:t>that is the intended process.</w:t>
      </w:r>
    </w:p>
    <w:p w:rsidRPr="007247C8" w:rsidR="007247C8" w:rsidP="00E61763" w:rsidRDefault="007247C8" w14:paraId="0A02AA89" w14:textId="3C1F04BB">
      <w:pPr>
        <w:pStyle w:val="Standard"/>
        <w:numPr>
          <w:ilvl w:val="0"/>
          <w:numId w:val="31"/>
        </w:numPr>
      </w:pPr>
      <w:r w:rsidRPr="007247C8">
        <w:t>Replace the Tier 3 advice letter procedure in Section III(E) of the Proposed G.O.</w:t>
      </w:r>
      <w:r w:rsidR="00A56DBA">
        <w:t xml:space="preserve"> </w:t>
      </w:r>
      <w:r w:rsidRPr="007247C8">
        <w:t>regarding self-help agreement approvals and instead utilize a Tier 2 process.</w:t>
      </w:r>
    </w:p>
    <w:p w:rsidR="007247C8" w:rsidP="00E9014C" w:rsidRDefault="00FE7B39" w14:paraId="23550B09" w14:textId="031DF9AE">
      <w:pPr>
        <w:pStyle w:val="SectionCommentSub"/>
      </w:pPr>
      <w:r w:rsidRPr="00992F7B">
        <w:t>PacifiCorp Comments on behalf of Small and Multi-Jurisdictional Utilities (SM</w:t>
      </w:r>
      <w:r w:rsidRPr="00992F7B" w:rsidR="00182144">
        <w:t>JUs)</w:t>
      </w:r>
    </w:p>
    <w:p w:rsidRPr="00E61763" w:rsidR="00782EC7" w:rsidP="007247C8" w:rsidRDefault="00EF0EBC" w14:paraId="7C873A77" w14:textId="0D0543D1">
      <w:pPr>
        <w:pStyle w:val="Standard"/>
      </w:pPr>
      <w:r w:rsidRPr="00E61763">
        <w:t>PacifiCorp</w:t>
      </w:r>
      <w:r w:rsidRPr="00E61763" w:rsidR="00782EC7">
        <w:t xml:space="preserve"> mak</w:t>
      </w:r>
      <w:r w:rsidRPr="00E61763" w:rsidR="00EF4543">
        <w:t>e</w:t>
      </w:r>
      <w:r w:rsidRPr="00E61763" w:rsidR="00782EC7">
        <w:t>s the following comments:</w:t>
      </w:r>
    </w:p>
    <w:p w:rsidRPr="007247C8" w:rsidR="007247C8" w:rsidP="00E61763" w:rsidRDefault="007247C8" w14:paraId="42240239" w14:textId="1E076026">
      <w:pPr>
        <w:pStyle w:val="Standard"/>
        <w:numPr>
          <w:ilvl w:val="0"/>
          <w:numId w:val="32"/>
        </w:numPr>
      </w:pPr>
      <w:r w:rsidRPr="007247C8">
        <w:t xml:space="preserve">SMJUs are fundamentally dissimilar from Major Pole Owners in size and operational structure; </w:t>
      </w:r>
    </w:p>
    <w:p w:rsidRPr="007247C8" w:rsidR="007247C8" w:rsidP="00E61763" w:rsidRDefault="007247C8" w14:paraId="7A760B23" w14:textId="1C0066A0">
      <w:pPr>
        <w:pStyle w:val="Standard"/>
        <w:numPr>
          <w:ilvl w:val="0"/>
          <w:numId w:val="32"/>
        </w:numPr>
      </w:pPr>
      <w:r w:rsidRPr="007247C8">
        <w:t xml:space="preserve">The Commission has consistently exempted SMJUs from ROW and comparable regulatory frameworks; </w:t>
      </w:r>
    </w:p>
    <w:p w:rsidRPr="007247C8" w:rsidR="007247C8" w:rsidP="00E61763" w:rsidRDefault="007247C8" w14:paraId="1D963407" w14:textId="566DD347">
      <w:pPr>
        <w:pStyle w:val="Standard"/>
        <w:numPr>
          <w:ilvl w:val="0"/>
          <w:numId w:val="32"/>
        </w:numPr>
      </w:pPr>
      <w:r w:rsidRPr="007247C8">
        <w:t xml:space="preserve">There is no evidence of discriminatory access, safety deficiencies, or attachment-related problems associated with SMJUs; </w:t>
      </w:r>
    </w:p>
    <w:p w:rsidRPr="007247C8" w:rsidR="007247C8" w:rsidP="00E61763" w:rsidRDefault="007247C8" w14:paraId="121A1852" w14:textId="47CB2EFE">
      <w:pPr>
        <w:pStyle w:val="Standard"/>
        <w:numPr>
          <w:ilvl w:val="0"/>
          <w:numId w:val="32"/>
        </w:numPr>
      </w:pPr>
      <w:r w:rsidRPr="007247C8">
        <w:t xml:space="preserve">Extending GO 178 to SMJUs would impose disproportionate costs on small ratepayer populations without offsetting benefits; and </w:t>
      </w:r>
      <w:r w:rsidR="00EF0EBC">
        <w:t>a</w:t>
      </w:r>
      <w:r w:rsidRPr="007247C8">
        <w:t xml:space="preserve"> cost-benefit analysis and/or a workshop are necessary predicates to any such expansion. </w:t>
      </w:r>
    </w:p>
    <w:p w:rsidR="007247C8" w:rsidP="00E61763" w:rsidRDefault="00B9714A" w14:paraId="629832B6" w14:textId="35D7BA35">
      <w:pPr>
        <w:pStyle w:val="Standard"/>
        <w:numPr>
          <w:ilvl w:val="0"/>
          <w:numId w:val="32"/>
        </w:numPr>
      </w:pPr>
      <w:r>
        <w:t>PacifiCorp asks that the Commission r</w:t>
      </w:r>
      <w:r w:rsidRPr="007247C8" w:rsidR="007247C8">
        <w:t>evise the Proposed Decision to</w:t>
      </w:r>
      <w:r w:rsidR="00D93DB4">
        <w:t xml:space="preserve"> </w:t>
      </w:r>
      <w:r w:rsidRPr="007247C8" w:rsidR="007247C8">
        <w:t xml:space="preserve">continue exempting Small and Multi-Jurisdictional Utilities from General Order 178 or defer any consideration of expanded SMJU obligations to a </w:t>
      </w:r>
      <w:r w:rsidRPr="007247C8" w:rsidR="007247C8">
        <w:lastRenderedPageBreak/>
        <w:t xml:space="preserve">dedicated SMJU-focused track that allows for the development of a complete record including a formal feasibility and cost-benefit analysis, workshop(s), and targeted record development specific to SMJUs. </w:t>
      </w:r>
    </w:p>
    <w:p w:rsidRPr="00E850DC" w:rsidR="0096537C" w:rsidP="00F9105C" w:rsidRDefault="007D4F5B" w14:paraId="31403A60" w14:textId="6EC13190">
      <w:pPr>
        <w:pStyle w:val="SectionCommentSub"/>
      </w:pPr>
      <w:r w:rsidRPr="00E850DC">
        <w:t>AT&amp;T</w:t>
      </w:r>
    </w:p>
    <w:p w:rsidRPr="007247C8" w:rsidR="007247C8" w:rsidP="007247C8" w:rsidRDefault="007D4F5B" w14:paraId="04A22CD5" w14:textId="59422A14">
      <w:pPr>
        <w:pStyle w:val="Standard"/>
      </w:pPr>
      <w:r>
        <w:t xml:space="preserve">AT&amp;T </w:t>
      </w:r>
      <w:r w:rsidR="00F773BD">
        <w:t>makes the following comments:</w:t>
      </w:r>
      <w:r w:rsidRPr="007247C8" w:rsidR="007247C8">
        <w:t xml:space="preserve"> </w:t>
      </w:r>
    </w:p>
    <w:p w:rsidRPr="007247C8" w:rsidR="007247C8" w:rsidP="00E61763" w:rsidRDefault="00C7195D" w14:paraId="5C9E8F77" w14:textId="5A5524D8">
      <w:pPr>
        <w:pStyle w:val="Standard"/>
        <w:numPr>
          <w:ilvl w:val="0"/>
          <w:numId w:val="33"/>
        </w:numPr>
      </w:pPr>
      <w:r>
        <w:t xml:space="preserve">The Proposed Decision </w:t>
      </w:r>
      <w:r w:rsidRPr="007247C8" w:rsidR="007247C8">
        <w:t>extends access rights to government agencies without ensuring adequate Commission enforcement authority;</w:t>
      </w:r>
    </w:p>
    <w:p w:rsidRPr="007247C8" w:rsidR="007247C8" w:rsidP="00E61763" w:rsidRDefault="00C7195D" w14:paraId="49F2A8E3" w14:textId="0F735BAC">
      <w:pPr>
        <w:pStyle w:val="Standard"/>
        <w:numPr>
          <w:ilvl w:val="0"/>
          <w:numId w:val="33"/>
        </w:numPr>
      </w:pPr>
      <w:r>
        <w:t xml:space="preserve">The Proposed Decision </w:t>
      </w:r>
      <w:r w:rsidRPr="007247C8" w:rsidR="007247C8">
        <w:t>could be read to improperly shift liability from attachers to pole owners in the self-help pole replacement process;</w:t>
      </w:r>
    </w:p>
    <w:p w:rsidRPr="007247C8" w:rsidR="007247C8" w:rsidP="00E61763" w:rsidRDefault="00C7195D" w14:paraId="7D45F270" w14:textId="579089DC">
      <w:pPr>
        <w:pStyle w:val="Standard"/>
        <w:numPr>
          <w:ilvl w:val="0"/>
          <w:numId w:val="33"/>
        </w:numPr>
      </w:pPr>
      <w:r>
        <w:t xml:space="preserve">The Proposed Decision </w:t>
      </w:r>
      <w:r w:rsidRPr="007247C8" w:rsidR="007247C8">
        <w:t xml:space="preserve">creates ambiguity regarding attacher data obligations; </w:t>
      </w:r>
    </w:p>
    <w:p w:rsidR="00C7195D" w:rsidP="00E61763" w:rsidRDefault="00D93DB4" w14:paraId="008D0AF0" w14:textId="7444AAB5">
      <w:pPr>
        <w:pStyle w:val="Standard"/>
        <w:numPr>
          <w:ilvl w:val="0"/>
          <w:numId w:val="33"/>
        </w:numPr>
      </w:pPr>
      <w:r>
        <w:t>T</w:t>
      </w:r>
      <w:r w:rsidR="00C7195D">
        <w:t xml:space="preserve">he Proposed Decision </w:t>
      </w:r>
      <w:r w:rsidRPr="007247C8" w:rsidR="007247C8">
        <w:t xml:space="preserve">deletes critical “guidelines” language from the ROW Rules without basis or explanation; </w:t>
      </w:r>
    </w:p>
    <w:p w:rsidRPr="007247C8" w:rsidR="007247C8" w:rsidP="00E61763" w:rsidRDefault="00C7195D" w14:paraId="7F72BB0E" w14:textId="0955DAD7">
      <w:pPr>
        <w:pStyle w:val="Standard"/>
        <w:numPr>
          <w:ilvl w:val="0"/>
          <w:numId w:val="33"/>
        </w:numPr>
      </w:pPr>
      <w:r>
        <w:t>The Proposed Decision</w:t>
      </w:r>
      <w:r w:rsidRPr="007247C8" w:rsidR="007247C8">
        <w:t xml:space="preserve"> mandates a one-size-fits-all Standardized Self-Help Agreement that conflicts with the Commission’s longstanding preference for negotiated agreements; and</w:t>
      </w:r>
    </w:p>
    <w:p w:rsidR="007247C8" w:rsidP="00E61763" w:rsidRDefault="00C7195D" w14:paraId="6F7EF867" w14:textId="3DB931F6">
      <w:pPr>
        <w:pStyle w:val="Standard"/>
        <w:numPr>
          <w:ilvl w:val="0"/>
          <w:numId w:val="33"/>
        </w:numPr>
      </w:pPr>
      <w:r>
        <w:t xml:space="preserve">The Proposed Decision </w:t>
      </w:r>
      <w:r w:rsidRPr="007247C8" w:rsidR="007247C8">
        <w:t>fails to provide attachers with a reasonable extension of the compliance deadline for Ordering Paragraph 9 of D.21-10-019.</w:t>
      </w:r>
    </w:p>
    <w:p w:rsidRPr="002A167C" w:rsidR="00C43982" w:rsidP="00F9105C" w:rsidRDefault="00C43982" w14:paraId="5A5DC09E" w14:textId="7D6813EE">
      <w:pPr>
        <w:pStyle w:val="SectionCommentSub"/>
      </w:pPr>
      <w:r w:rsidRPr="002A167C">
        <w:t>California Broadband and Video Association</w:t>
      </w:r>
    </w:p>
    <w:p w:rsidRPr="007247C8" w:rsidR="007247C8" w:rsidP="007247C8" w:rsidRDefault="00FD29A3" w14:paraId="7899E019" w14:textId="08CB6EAB">
      <w:pPr>
        <w:pStyle w:val="Standard"/>
      </w:pPr>
      <w:r>
        <w:t>California Broadband and Video Association makes the following comments:</w:t>
      </w:r>
      <w:r w:rsidRPr="007247C8" w:rsidR="007247C8">
        <w:t xml:space="preserve"> </w:t>
      </w:r>
    </w:p>
    <w:p w:rsidRPr="007247C8" w:rsidR="007247C8" w:rsidP="00E61763" w:rsidRDefault="00FD29A3" w14:paraId="560318EC" w14:textId="726E1074">
      <w:pPr>
        <w:pStyle w:val="Standard"/>
        <w:numPr>
          <w:ilvl w:val="0"/>
          <w:numId w:val="34"/>
        </w:numPr>
      </w:pPr>
      <w:r>
        <w:t>The Proposed Decision should c</w:t>
      </w:r>
      <w:r w:rsidRPr="002A167C" w:rsidR="007247C8">
        <w:t>larify</w:t>
      </w:r>
      <w:r w:rsidRPr="002A167C" w:rsidR="007247C8">
        <w:rPr>
          <w:b/>
          <w:bCs/>
        </w:rPr>
        <w:t xml:space="preserve"> </w:t>
      </w:r>
      <w:r w:rsidRPr="007247C8" w:rsidR="007247C8">
        <w:t xml:space="preserve">that attachment reports should include only fully resolved unauthorized attachments—not ongoing disputes, investigations, or allegations.  </w:t>
      </w:r>
    </w:p>
    <w:p w:rsidRPr="007247C8" w:rsidR="007247C8" w:rsidP="00E61763" w:rsidRDefault="00FD29A3" w14:paraId="4FE002AE" w14:textId="7D60DFF6">
      <w:pPr>
        <w:pStyle w:val="Standard"/>
        <w:numPr>
          <w:ilvl w:val="0"/>
          <w:numId w:val="34"/>
        </w:numPr>
      </w:pPr>
      <w:r>
        <w:lastRenderedPageBreak/>
        <w:t>The Proposed Decision should e</w:t>
      </w:r>
      <w:r w:rsidRPr="002A167C" w:rsidR="007247C8">
        <w:t>liminate the Attachment Data Enforcement Rule</w:t>
      </w:r>
      <w:r w:rsidRPr="007247C8" w:rsidR="007247C8">
        <w:rPr>
          <w:b/>
          <w:bCs/>
        </w:rPr>
        <w:t xml:space="preserve">. </w:t>
      </w:r>
      <w:r w:rsidRPr="007247C8" w:rsidR="007247C8">
        <w:t>The Commission should strike this rule because it is unnecessary, ambiguous, violates attachers’ due process rights, and exceeds the Commission’s authority. The P</w:t>
      </w:r>
      <w:r w:rsidR="00646D11">
        <w:t xml:space="preserve">roposed </w:t>
      </w:r>
      <w:r w:rsidRPr="007247C8" w:rsidR="007247C8">
        <w:t>D</w:t>
      </w:r>
      <w:r w:rsidR="00646D11">
        <w:t>ecision</w:t>
      </w:r>
      <w:r w:rsidRPr="007247C8" w:rsidR="007247C8">
        <w:t xml:space="preserve">’s conclusions constitute legal error. </w:t>
      </w:r>
      <w:r w:rsidRPr="007247C8" w:rsidR="007247C8">
        <w:rPr>
          <w:i/>
          <w:iCs/>
        </w:rPr>
        <w:t xml:space="preserve">See </w:t>
      </w:r>
      <w:r w:rsidRPr="007247C8" w:rsidR="007247C8">
        <w:t xml:space="preserve">Section II.B. </w:t>
      </w:r>
    </w:p>
    <w:p w:rsidRPr="007247C8" w:rsidR="007247C8" w:rsidP="00E61763" w:rsidRDefault="002A5061" w14:paraId="5FD3AB18" w14:textId="3744CF71">
      <w:pPr>
        <w:pStyle w:val="Standard"/>
        <w:numPr>
          <w:ilvl w:val="0"/>
          <w:numId w:val="34"/>
        </w:numPr>
      </w:pPr>
      <w:r>
        <w:t>The Commission should a</w:t>
      </w:r>
      <w:r w:rsidRPr="00C51C88" w:rsidR="007247C8">
        <w:t>dopt the P</w:t>
      </w:r>
      <w:r w:rsidR="00492CF4">
        <w:t xml:space="preserve">roposed </w:t>
      </w:r>
      <w:r w:rsidRPr="00C51C88" w:rsidR="007247C8">
        <w:t>D</w:t>
      </w:r>
      <w:r w:rsidR="00492CF4">
        <w:t>ecision</w:t>
      </w:r>
      <w:r w:rsidRPr="00C51C88" w:rsidR="007247C8">
        <w:t>’s Contractor Transparency Rules.</w:t>
      </w:r>
      <w:r w:rsidRPr="007247C8" w:rsidR="007247C8">
        <w:rPr>
          <w:b/>
          <w:bCs/>
        </w:rPr>
        <w:t xml:space="preserve"> </w:t>
      </w:r>
      <w:r w:rsidRPr="007247C8" w:rsidR="007247C8">
        <w:t xml:space="preserve">These rules will help attachers identify qualified contractors and ensure that pole owners vet and onboard approved contractors in a timely manner. </w:t>
      </w:r>
      <w:r w:rsidRPr="007247C8" w:rsidR="007247C8">
        <w:rPr>
          <w:i/>
          <w:iCs/>
        </w:rPr>
        <w:t xml:space="preserve">See </w:t>
      </w:r>
      <w:r w:rsidRPr="007247C8" w:rsidR="007247C8">
        <w:t xml:space="preserve">Section II.C. </w:t>
      </w:r>
    </w:p>
    <w:p w:rsidRPr="007247C8" w:rsidR="007247C8" w:rsidP="00E61763" w:rsidRDefault="002A5061" w14:paraId="5657A869" w14:textId="0411456D">
      <w:pPr>
        <w:pStyle w:val="Standard"/>
        <w:numPr>
          <w:ilvl w:val="0"/>
          <w:numId w:val="34"/>
        </w:numPr>
      </w:pPr>
      <w:r>
        <w:t xml:space="preserve">The Commission should </w:t>
      </w:r>
      <w:r w:rsidR="00D81EEC">
        <w:t>adopt</w:t>
      </w:r>
      <w:r w:rsidRPr="00C51C88" w:rsidR="007247C8">
        <w:t xml:space="preserve"> the P</w:t>
      </w:r>
      <w:r w:rsidR="00B35AD8">
        <w:t xml:space="preserve">roposed </w:t>
      </w:r>
      <w:r w:rsidRPr="00C51C88" w:rsidR="007247C8">
        <w:t>D</w:t>
      </w:r>
      <w:r w:rsidR="00B35AD8">
        <w:t>ecision</w:t>
      </w:r>
      <w:r w:rsidRPr="00C51C88" w:rsidR="007247C8">
        <w:t>’s Construction Standards Rules.</w:t>
      </w:r>
      <w:r w:rsidRPr="007247C8" w:rsidR="007247C8">
        <w:rPr>
          <w:b/>
          <w:bCs/>
        </w:rPr>
        <w:t xml:space="preserve"> </w:t>
      </w:r>
      <w:r w:rsidRPr="007247C8" w:rsidR="007247C8">
        <w:t xml:space="preserve">These measures should be adopted because they will enhance transparency and promote accountability. </w:t>
      </w:r>
      <w:r w:rsidRPr="007247C8" w:rsidR="007247C8">
        <w:rPr>
          <w:i/>
          <w:iCs/>
        </w:rPr>
        <w:t xml:space="preserve">See </w:t>
      </w:r>
      <w:r w:rsidRPr="007247C8" w:rsidR="007247C8">
        <w:t xml:space="preserve">Section II.D. </w:t>
      </w:r>
    </w:p>
    <w:p w:rsidRPr="007247C8" w:rsidR="007247C8" w:rsidP="00E61763" w:rsidRDefault="002A5061" w14:paraId="7BE4A52C" w14:textId="30190096">
      <w:pPr>
        <w:pStyle w:val="Standard"/>
        <w:numPr>
          <w:ilvl w:val="0"/>
          <w:numId w:val="34"/>
        </w:numPr>
      </w:pPr>
      <w:r>
        <w:t xml:space="preserve">The Commission should </w:t>
      </w:r>
      <w:r w:rsidR="00D81EEC">
        <w:t>a</w:t>
      </w:r>
      <w:r w:rsidRPr="00C51C88" w:rsidR="007247C8">
        <w:t>dopt Self-Help Remedies for Simple Pole Replacements.</w:t>
      </w:r>
      <w:r w:rsidRPr="007247C8" w:rsidR="007247C8">
        <w:rPr>
          <w:b/>
          <w:bCs/>
        </w:rPr>
        <w:t xml:space="preserve"> </w:t>
      </w:r>
      <w:r w:rsidRPr="007247C8" w:rsidR="007247C8">
        <w:t>The Commission should adopt the P</w:t>
      </w:r>
      <w:r w:rsidR="00634099">
        <w:t xml:space="preserve">roposed </w:t>
      </w:r>
      <w:r w:rsidRPr="007247C8" w:rsidR="007247C8">
        <w:t>D</w:t>
      </w:r>
      <w:r w:rsidR="00634099">
        <w:t>ecision</w:t>
      </w:r>
      <w:r w:rsidRPr="007247C8" w:rsidR="007247C8">
        <w:t xml:space="preserve">’s measures allowing attachers to utilize self-help remedies for simple pole replacements. </w:t>
      </w:r>
      <w:r w:rsidRPr="007247C8" w:rsidR="007247C8">
        <w:rPr>
          <w:i/>
          <w:iCs/>
        </w:rPr>
        <w:t xml:space="preserve">See </w:t>
      </w:r>
      <w:r w:rsidRPr="007247C8" w:rsidR="007247C8">
        <w:t xml:space="preserve">Section II.E. </w:t>
      </w:r>
    </w:p>
    <w:p w:rsidRPr="007247C8" w:rsidR="007247C8" w:rsidP="00E61763" w:rsidRDefault="002A5061" w14:paraId="0DA191CF" w14:textId="6A1CDFAF">
      <w:pPr>
        <w:pStyle w:val="Standard"/>
        <w:numPr>
          <w:ilvl w:val="0"/>
          <w:numId w:val="34"/>
        </w:numPr>
      </w:pPr>
      <w:r>
        <w:t xml:space="preserve">The Commission should </w:t>
      </w:r>
      <w:r w:rsidR="00D81EEC">
        <w:t>r</w:t>
      </w:r>
      <w:r w:rsidRPr="00C51C88" w:rsidR="007247C8">
        <w:t>equire Complex Pole Replacements to be Completed Within 135 Days of Receipt of an Attacher’s Request.</w:t>
      </w:r>
      <w:r w:rsidRPr="007247C8" w:rsidR="007247C8">
        <w:rPr>
          <w:b/>
          <w:bCs/>
        </w:rPr>
        <w:t xml:space="preserve"> </w:t>
      </w:r>
      <w:r w:rsidRPr="007247C8" w:rsidR="007247C8">
        <w:t>The Commission should require pole owners to complete complex pole replacements within 135 days of receiving an attacher’s request; the P</w:t>
      </w:r>
      <w:r w:rsidR="000F6D3F">
        <w:t xml:space="preserve">roposed </w:t>
      </w:r>
      <w:r w:rsidRPr="007247C8" w:rsidR="007247C8">
        <w:t>D</w:t>
      </w:r>
      <w:r w:rsidR="000F6D3F">
        <w:t>ecision</w:t>
      </w:r>
      <w:r w:rsidRPr="007247C8" w:rsidR="007247C8">
        <w:t xml:space="preserve"> lacks factual support to remove a defined timeframe. </w:t>
      </w:r>
      <w:r w:rsidRPr="007247C8" w:rsidR="007247C8">
        <w:rPr>
          <w:i/>
          <w:iCs/>
        </w:rPr>
        <w:t xml:space="preserve">See </w:t>
      </w:r>
      <w:r w:rsidRPr="007247C8" w:rsidR="007247C8">
        <w:t xml:space="preserve">Section II.E. </w:t>
      </w:r>
    </w:p>
    <w:p w:rsidRPr="007247C8" w:rsidR="007247C8" w:rsidP="00E61763" w:rsidRDefault="002A5061" w14:paraId="0A635964" w14:textId="0619BF64">
      <w:pPr>
        <w:pStyle w:val="Standard"/>
        <w:numPr>
          <w:ilvl w:val="0"/>
          <w:numId w:val="34"/>
        </w:numPr>
      </w:pPr>
      <w:r>
        <w:t xml:space="preserve">The Commission should </w:t>
      </w:r>
      <w:r w:rsidR="00D81EEC">
        <w:t>r</w:t>
      </w:r>
      <w:r w:rsidRPr="00C51C88" w:rsidR="007247C8">
        <w:t xml:space="preserve">emove </w:t>
      </w:r>
      <w:r w:rsidR="00D81EEC">
        <w:t xml:space="preserve">the </w:t>
      </w:r>
      <w:r w:rsidRPr="00C51C88" w:rsidR="007247C8">
        <w:t>Utility Approval Requirement for Pole Reinforcement Self-Help Modifications.</w:t>
      </w:r>
      <w:r w:rsidRPr="007247C8" w:rsidR="007247C8">
        <w:rPr>
          <w:b/>
          <w:bCs/>
        </w:rPr>
        <w:t xml:space="preserve"> </w:t>
      </w:r>
      <w:r w:rsidRPr="007247C8" w:rsidR="007247C8">
        <w:t xml:space="preserve">The Commission should adopt self-help remedies for pole </w:t>
      </w:r>
      <w:r w:rsidR="000F6D3F">
        <w:t xml:space="preserve">reinforcement; there is no valid basis for </w:t>
      </w:r>
      <w:r w:rsidR="000F6D3F">
        <w:lastRenderedPageBreak/>
        <w:t>such a requirement given the substantial guardrails already in place, which constitutes a</w:t>
      </w:r>
      <w:r w:rsidRPr="007247C8" w:rsidR="007247C8">
        <w:t xml:space="preserve"> factual error. </w:t>
      </w:r>
      <w:r w:rsidRPr="007247C8" w:rsidR="007247C8">
        <w:rPr>
          <w:i/>
          <w:iCs/>
        </w:rPr>
        <w:t xml:space="preserve">See </w:t>
      </w:r>
      <w:r w:rsidRPr="007247C8" w:rsidR="007247C8">
        <w:t xml:space="preserve">Section II.F. </w:t>
      </w:r>
    </w:p>
    <w:p w:rsidRPr="007247C8" w:rsidR="007247C8" w:rsidP="00E61763" w:rsidRDefault="002A5061" w14:paraId="206904BB" w14:textId="5EFDC888">
      <w:pPr>
        <w:pStyle w:val="Standard"/>
        <w:numPr>
          <w:ilvl w:val="0"/>
          <w:numId w:val="34"/>
        </w:numPr>
      </w:pPr>
      <w:r>
        <w:t xml:space="preserve">The Commission should </w:t>
      </w:r>
      <w:r w:rsidR="00D81EEC">
        <w:t>e</w:t>
      </w:r>
      <w:r w:rsidRPr="00243750" w:rsidR="007247C8">
        <w:t>nsure a Level Playing Field in Applying Proposed GO 178 to Local Governments.</w:t>
      </w:r>
      <w:r w:rsidRPr="007247C8" w:rsidR="007247C8">
        <w:rPr>
          <w:b/>
          <w:bCs/>
        </w:rPr>
        <w:t xml:space="preserve"> </w:t>
      </w:r>
      <w:r w:rsidRPr="007247C8" w:rsidR="007247C8">
        <w:t xml:space="preserve">To better promote equitable access to poles, the Commission should require government agencies seeking infrastructure access to comply with </w:t>
      </w:r>
      <w:r w:rsidRPr="007247C8" w:rsidR="007247C8">
        <w:rPr>
          <w:i/>
          <w:iCs/>
        </w:rPr>
        <w:t xml:space="preserve">all </w:t>
      </w:r>
      <w:r w:rsidRPr="007247C8" w:rsidR="007247C8">
        <w:t>statutory or regulatory requirements applicable to other attachers. The P</w:t>
      </w:r>
      <w:r w:rsidR="008D6B89">
        <w:t xml:space="preserve">roposed </w:t>
      </w:r>
      <w:r w:rsidRPr="007247C8" w:rsidR="007247C8">
        <w:t>D</w:t>
      </w:r>
      <w:r w:rsidR="008D6B89">
        <w:t>ecision</w:t>
      </w:r>
      <w:r w:rsidRPr="007247C8" w:rsidR="007247C8">
        <w:t xml:space="preserve"> commits legal error because it falls short of establishing a true level playing field for all attachers. </w:t>
      </w:r>
      <w:r w:rsidRPr="007247C8" w:rsidR="007247C8">
        <w:rPr>
          <w:i/>
          <w:iCs/>
        </w:rPr>
        <w:t xml:space="preserve">See </w:t>
      </w:r>
      <w:r w:rsidRPr="007247C8" w:rsidR="007247C8">
        <w:t xml:space="preserve">Section II.G. </w:t>
      </w:r>
    </w:p>
    <w:p w:rsidR="007247C8" w:rsidP="00E61763" w:rsidRDefault="002A5061" w14:paraId="77E744A2" w14:textId="0F2815D0">
      <w:pPr>
        <w:pStyle w:val="Standard"/>
        <w:numPr>
          <w:ilvl w:val="0"/>
          <w:numId w:val="34"/>
        </w:numPr>
      </w:pPr>
      <w:r>
        <w:t xml:space="preserve">The Commission should </w:t>
      </w:r>
      <w:r w:rsidR="00D81EEC">
        <w:t>a</w:t>
      </w:r>
      <w:r w:rsidRPr="00243750" w:rsidR="007247C8">
        <w:t xml:space="preserve">dopt the Staff Proposal’s Overlashing Recommendation. </w:t>
      </w:r>
      <w:r w:rsidRPr="007247C8" w:rsidR="007247C8">
        <w:t>The Commission should adopt overlashing rules similar to those established by the Federal Communications Commission (“FCC”), which have proven effective in facilitating safe deployment. The P</w:t>
      </w:r>
      <w:r w:rsidR="00A30BDD">
        <w:t xml:space="preserve">roposed </w:t>
      </w:r>
      <w:r w:rsidRPr="007247C8" w:rsidR="007247C8">
        <w:t>D</w:t>
      </w:r>
      <w:r w:rsidR="00A30BDD">
        <w:t>ecision</w:t>
      </w:r>
      <w:r w:rsidRPr="007247C8" w:rsidR="007247C8">
        <w:t xml:space="preserve">’s conclusions constitute factual and legal error. </w:t>
      </w:r>
      <w:r w:rsidRPr="007247C8" w:rsidR="007247C8">
        <w:rPr>
          <w:i/>
          <w:iCs/>
        </w:rPr>
        <w:t xml:space="preserve">See </w:t>
      </w:r>
      <w:r w:rsidRPr="007247C8" w:rsidR="007247C8">
        <w:t xml:space="preserve">Section II.H. </w:t>
      </w:r>
    </w:p>
    <w:p w:rsidRPr="00A668E1" w:rsidR="00243750" w:rsidP="00F9105C" w:rsidRDefault="00243750" w14:paraId="30C925EB" w14:textId="228710EB">
      <w:pPr>
        <w:pStyle w:val="SectionCommentSub"/>
      </w:pPr>
      <w:r w:rsidRPr="00A668E1">
        <w:t>Consolidated Communications</w:t>
      </w:r>
    </w:p>
    <w:p w:rsidRPr="007247C8" w:rsidR="007247C8" w:rsidP="007247C8" w:rsidRDefault="007247C8" w14:paraId="1E78F36C" w14:textId="0FD97B2C">
      <w:pPr>
        <w:pStyle w:val="Standard"/>
      </w:pPr>
      <w:r w:rsidRPr="007247C8">
        <w:t xml:space="preserve">Consolidated </w:t>
      </w:r>
      <w:r w:rsidR="00BC1CD6">
        <w:t>makes the following comments:</w:t>
      </w:r>
    </w:p>
    <w:p w:rsidRPr="007247C8" w:rsidR="007247C8" w:rsidP="00E61763" w:rsidRDefault="007247C8" w14:paraId="0845C796" w14:textId="2556F9B6">
      <w:pPr>
        <w:pStyle w:val="Standard"/>
        <w:numPr>
          <w:ilvl w:val="0"/>
          <w:numId w:val="35"/>
        </w:numPr>
      </w:pPr>
      <w:r w:rsidRPr="00E61763">
        <w:t>Confirm that the Pole Loading Calculation (“PLC”) alternative compliance pathway in Ordering Paragraph 4 of the Proposed Decision is available to all utilities</w:t>
      </w:r>
      <w:r w:rsidRPr="007247C8">
        <w:t xml:space="preserve"> subject to</w:t>
      </w:r>
      <w:r w:rsidR="00A668E1">
        <w:t xml:space="preserve"> </w:t>
      </w:r>
      <w:r w:rsidRPr="007247C8">
        <w:t>D.21-10-019, and that utilities not subject to the Major Pole Owner database repository</w:t>
      </w:r>
      <w:r w:rsidR="00A668E1">
        <w:t xml:space="preserve"> </w:t>
      </w:r>
      <w:r w:rsidRPr="007247C8">
        <w:t>obligation in Ordering Paragraph 6 may nonetheless use PLCs to satisfy the applicable</w:t>
      </w:r>
      <w:r w:rsidR="00A668E1">
        <w:t xml:space="preserve"> </w:t>
      </w:r>
      <w:r w:rsidRPr="007247C8">
        <w:t>Track 2, Phase 2 Datapoint requirements;</w:t>
      </w:r>
    </w:p>
    <w:p w:rsidRPr="007247C8" w:rsidR="007247C8" w:rsidP="00E61763" w:rsidRDefault="007247C8" w14:paraId="166983CE" w14:textId="14B693D6">
      <w:pPr>
        <w:pStyle w:val="Standard"/>
        <w:numPr>
          <w:ilvl w:val="0"/>
          <w:numId w:val="35"/>
        </w:numPr>
      </w:pPr>
      <w:r w:rsidRPr="00E61763">
        <w:t>Clarify that the incumbent utility approval requirement</w:t>
      </w:r>
      <w:r w:rsidRPr="007247C8">
        <w:t xml:space="preserve"> in Section IV.E.3.a of Proposed</w:t>
      </w:r>
      <w:r w:rsidR="002B2AB2">
        <w:t xml:space="preserve"> </w:t>
      </w:r>
      <w:r w:rsidRPr="007247C8">
        <w:t>G.O. 178 is a substantive engineering gatekeeping right that may be exercised on</w:t>
      </w:r>
      <w:r w:rsidR="002B2AB2">
        <w:t xml:space="preserve"> </w:t>
      </w:r>
      <w:r w:rsidRPr="007247C8">
        <w:t xml:space="preserve">safety, reliability, and engineering grounds, and limit the scope of the </w:t>
      </w:r>
      <w:r w:rsidR="002B2AB2">
        <w:t>self-help reinforcement</w:t>
      </w:r>
      <w:r w:rsidRPr="007247C8">
        <w:t xml:space="preserve"> rule to the Major Pole Owners </w:t>
      </w:r>
      <w:r w:rsidRPr="007247C8">
        <w:lastRenderedPageBreak/>
        <w:t>given the apparent lack of a record</w:t>
      </w:r>
      <w:r w:rsidR="002B2AB2">
        <w:t xml:space="preserve"> </w:t>
      </w:r>
      <w:r w:rsidRPr="007247C8">
        <w:t>reflected in the Proposed Decision that would be necessary to support the application</w:t>
      </w:r>
      <w:r w:rsidR="002B2AB2">
        <w:t xml:space="preserve"> </w:t>
      </w:r>
      <w:r w:rsidRPr="007247C8">
        <w:t>of the new rule to smaller pole owners; and</w:t>
      </w:r>
    </w:p>
    <w:p w:rsidR="007247C8" w:rsidP="00E61763" w:rsidRDefault="007247C8" w14:paraId="068E3691" w14:textId="5AD32DE0">
      <w:pPr>
        <w:pStyle w:val="Standard"/>
        <w:numPr>
          <w:ilvl w:val="0"/>
          <w:numId w:val="35"/>
        </w:numPr>
      </w:pPr>
      <w:r w:rsidRPr="00E61763">
        <w:t>Amend Section IV.E.4 of G.O. 178 or Ordering Paragraph 3</w:t>
      </w:r>
      <w:r w:rsidRPr="007247C8">
        <w:t xml:space="preserve"> to confirm that the</w:t>
      </w:r>
      <w:r w:rsidR="002B2AB2">
        <w:t xml:space="preserve"> </w:t>
      </w:r>
      <w:r w:rsidRPr="007247C8">
        <w:t>obligation to develop and file the Standardized Self-Help Agreement falls exclusively</w:t>
      </w:r>
      <w:r w:rsidR="002B2AB2">
        <w:t xml:space="preserve"> </w:t>
      </w:r>
      <w:r w:rsidRPr="007247C8">
        <w:t>on the five Major Pole Owners.</w:t>
      </w:r>
    </w:p>
    <w:p w:rsidRPr="005B3374" w:rsidR="003C039C" w:rsidP="00BB5EBA" w:rsidRDefault="003C039C" w14:paraId="5B2F2781" w14:textId="4974084C">
      <w:pPr>
        <w:pStyle w:val="SectionCommentSub"/>
      </w:pPr>
      <w:r w:rsidRPr="005B3374">
        <w:t>Small LECs</w:t>
      </w:r>
    </w:p>
    <w:p w:rsidRPr="007247C8" w:rsidR="003C039C" w:rsidP="007247C8" w:rsidRDefault="008C15E2" w14:paraId="582DB345" w14:textId="65FDCD6A">
      <w:pPr>
        <w:pStyle w:val="Standard"/>
      </w:pPr>
      <w:r>
        <w:t>Small LECs make the following comments:</w:t>
      </w:r>
      <w:r w:rsidR="007E397A">
        <w:t xml:space="preserve"> </w:t>
      </w:r>
    </w:p>
    <w:p w:rsidRPr="007247C8" w:rsidR="007247C8" w:rsidP="00E61763" w:rsidRDefault="007247C8" w14:paraId="13FB2BAB" w14:textId="73C061DA">
      <w:pPr>
        <w:pStyle w:val="Standard"/>
        <w:numPr>
          <w:ilvl w:val="0"/>
          <w:numId w:val="40"/>
        </w:numPr>
      </w:pPr>
      <w:r w:rsidRPr="007247C8">
        <w:t>Extend the deadline for compliance with the “Track 2” pole database requirements to at</w:t>
      </w:r>
      <w:r w:rsidR="005B3374">
        <w:t xml:space="preserve"> </w:t>
      </w:r>
      <w:r w:rsidRPr="007247C8">
        <w:t>least 60 days after the issuance date of the final decision stemming from the Proposed</w:t>
      </w:r>
      <w:r w:rsidR="005B3374">
        <w:t xml:space="preserve"> </w:t>
      </w:r>
      <w:r w:rsidRPr="007247C8">
        <w:t>Decision.</w:t>
      </w:r>
    </w:p>
    <w:p w:rsidRPr="007247C8" w:rsidR="007247C8" w:rsidP="00E61763" w:rsidRDefault="007247C8" w14:paraId="25C6FCB7" w14:textId="3676DEA8">
      <w:pPr>
        <w:pStyle w:val="Standard"/>
        <w:numPr>
          <w:ilvl w:val="0"/>
          <w:numId w:val="41"/>
        </w:numPr>
      </w:pPr>
      <w:r w:rsidRPr="007247C8">
        <w:t>Restore language to the “purpose and scope” section of Proposed G.O. 178 characterizing the rules as “guidelines” to be applied “by parties in negotiating right of way access agreements” as opposed to rigid requirements.</w:t>
      </w:r>
    </w:p>
    <w:p w:rsidR="007247C8" w:rsidP="00E61763" w:rsidRDefault="007247C8" w14:paraId="5DF0CBF6" w14:textId="0948B39E">
      <w:pPr>
        <w:pStyle w:val="Standard"/>
        <w:numPr>
          <w:ilvl w:val="0"/>
          <w:numId w:val="42"/>
        </w:numPr>
      </w:pPr>
      <w:r w:rsidRPr="007247C8">
        <w:t>Remove language from the definitions in Proposed G.O. 178 classifying the Small LECs</w:t>
      </w:r>
      <w:r w:rsidR="005B3374">
        <w:t xml:space="preserve"> </w:t>
      </w:r>
      <w:r w:rsidRPr="007247C8">
        <w:t>as “incumbent local exchange carriers,” reverting to the original definition that applied</w:t>
      </w:r>
      <w:r w:rsidR="005B3374">
        <w:t xml:space="preserve"> </w:t>
      </w:r>
      <w:r w:rsidRPr="007247C8">
        <w:t>exclusively to large and mid-sized Incumbent Local Exchange Carriers regulated according to the Uniform Regulatory Framework.</w:t>
      </w:r>
    </w:p>
    <w:p w:rsidR="008E1DD9" w:rsidP="00C5757D" w:rsidRDefault="008E1DD9" w14:paraId="6A71FFF7" w14:textId="3451017D">
      <w:pPr>
        <w:pStyle w:val="SectionCommentSub"/>
      </w:pPr>
      <w:r w:rsidRPr="00C5757D">
        <w:t>Joint IOUs’ (SDG&amp;E, SCE, and PG&amp;E)</w:t>
      </w:r>
    </w:p>
    <w:p w:rsidRPr="00582A7C" w:rsidR="009243E9" w:rsidP="007247C8" w:rsidRDefault="003919DC" w14:paraId="02D90AFB" w14:textId="3F2E4169">
      <w:pPr>
        <w:pStyle w:val="Standard"/>
      </w:pPr>
      <w:r w:rsidRPr="00E61763">
        <w:t>The Joint IOUs make the following comments:</w:t>
      </w:r>
    </w:p>
    <w:p w:rsidRPr="007247C8" w:rsidR="007247C8" w:rsidRDefault="007247C8" w14:paraId="5B9E3104" w14:textId="36C59F26">
      <w:pPr>
        <w:pStyle w:val="Standard"/>
        <w:numPr>
          <w:ilvl w:val="0"/>
          <w:numId w:val="19"/>
        </w:numPr>
      </w:pPr>
      <w:r w:rsidRPr="007247C8">
        <w:t>The P</w:t>
      </w:r>
      <w:r w:rsidR="0014105C">
        <w:t xml:space="preserve">roposed </w:t>
      </w:r>
      <w:r w:rsidRPr="007247C8">
        <w:t>D</w:t>
      </w:r>
      <w:r w:rsidR="0014105C">
        <w:t>ecision</w:t>
      </w:r>
      <w:r w:rsidRPr="007247C8">
        <w:t xml:space="preserve"> incorrectly states that historical attachment data certainly exists</w:t>
      </w:r>
      <w:r w:rsidR="0014105C">
        <w:t>.</w:t>
      </w:r>
    </w:p>
    <w:p w:rsidRPr="007247C8" w:rsidR="007247C8" w:rsidRDefault="007247C8" w14:paraId="5ECB5E1D" w14:textId="451F6D0B">
      <w:pPr>
        <w:pStyle w:val="Standard"/>
        <w:numPr>
          <w:ilvl w:val="0"/>
          <w:numId w:val="19"/>
        </w:numPr>
      </w:pPr>
      <w:r w:rsidRPr="007247C8">
        <w:t>The P</w:t>
      </w:r>
      <w:r w:rsidR="0014105C">
        <w:t xml:space="preserve">roposed </w:t>
      </w:r>
      <w:r w:rsidRPr="007247C8">
        <w:t>D</w:t>
      </w:r>
      <w:r w:rsidR="00EB0513">
        <w:t>ecision</w:t>
      </w:r>
      <w:r w:rsidRPr="007247C8">
        <w:t xml:space="preserve"> should clarify the language regarding discrete data points; strike the system of record requirement; the timestamp </w:t>
      </w:r>
      <w:r w:rsidRPr="007247C8">
        <w:lastRenderedPageBreak/>
        <w:t>requirement for data changes and OTMR conflicts should be modified or stricken; clarification for timing of implementation of Options 2 and 3.</w:t>
      </w:r>
    </w:p>
    <w:p w:rsidRPr="007247C8" w:rsidR="007247C8" w:rsidRDefault="007247C8" w14:paraId="3AE65B72" w14:textId="77777777">
      <w:pPr>
        <w:pStyle w:val="Standard"/>
        <w:numPr>
          <w:ilvl w:val="0"/>
          <w:numId w:val="19"/>
        </w:numPr>
      </w:pPr>
      <w:r w:rsidRPr="007247C8">
        <w:t>ROW Changes</w:t>
      </w:r>
    </w:p>
    <w:p w:rsidRPr="007247C8" w:rsidR="007247C8" w:rsidRDefault="007247C8" w14:paraId="324F073F" w14:textId="77777777">
      <w:pPr>
        <w:pStyle w:val="Standard"/>
        <w:numPr>
          <w:ilvl w:val="1"/>
          <w:numId w:val="19"/>
        </w:numPr>
      </w:pPr>
      <w:r w:rsidRPr="007247C8">
        <w:t>Expanded reporting obligations will increase rates</w:t>
      </w:r>
    </w:p>
    <w:p w:rsidRPr="007247C8" w:rsidR="007247C8" w:rsidRDefault="007247C8" w14:paraId="1CD5C5C5" w14:textId="77777777">
      <w:pPr>
        <w:pStyle w:val="Standard"/>
        <w:numPr>
          <w:ilvl w:val="1"/>
          <w:numId w:val="19"/>
        </w:numPr>
      </w:pPr>
      <w:r w:rsidRPr="007247C8">
        <w:t>Remove the public disclosure of qualified utility contractors</w:t>
      </w:r>
    </w:p>
    <w:p w:rsidRPr="007247C8" w:rsidR="007247C8" w:rsidRDefault="007247C8" w14:paraId="5010CDCA" w14:textId="77777777">
      <w:pPr>
        <w:pStyle w:val="Standard"/>
        <w:numPr>
          <w:ilvl w:val="1"/>
          <w:numId w:val="19"/>
        </w:numPr>
      </w:pPr>
      <w:r w:rsidRPr="007247C8">
        <w:t>Increase the timing of the self-help workshop</w:t>
      </w:r>
    </w:p>
    <w:p w:rsidRPr="007247C8" w:rsidR="007247C8" w:rsidRDefault="007247C8" w14:paraId="2FB39334" w14:textId="77777777">
      <w:pPr>
        <w:pStyle w:val="Standard"/>
        <w:numPr>
          <w:ilvl w:val="1"/>
          <w:numId w:val="19"/>
        </w:numPr>
      </w:pPr>
      <w:r w:rsidRPr="007247C8">
        <w:t>Timing for approval and onboarding of contractors</w:t>
      </w:r>
    </w:p>
    <w:p w:rsidRPr="007247C8" w:rsidR="007247C8" w:rsidRDefault="007247C8" w14:paraId="1722FD0C" w14:textId="77777777">
      <w:pPr>
        <w:pStyle w:val="Standard"/>
        <w:numPr>
          <w:ilvl w:val="1"/>
          <w:numId w:val="19"/>
        </w:numPr>
      </w:pPr>
      <w:r w:rsidRPr="007247C8">
        <w:t>Don’t expand Row rules to government agencies</w:t>
      </w:r>
    </w:p>
    <w:p w:rsidR="007247C8" w:rsidP="00C5757D" w:rsidRDefault="002E4752" w14:paraId="34526FF4" w14:textId="7F918A64">
      <w:pPr>
        <w:pStyle w:val="SectionCommentSub"/>
      </w:pPr>
      <w:r w:rsidRPr="00C5757D">
        <w:t>CTIA</w:t>
      </w:r>
    </w:p>
    <w:p w:rsidRPr="00582A7C" w:rsidR="0032217B" w:rsidP="007247C8" w:rsidRDefault="0032217B" w14:paraId="5C780FFD" w14:textId="6BA6D318">
      <w:pPr>
        <w:pStyle w:val="Standard"/>
      </w:pPr>
      <w:r w:rsidRPr="00E61763">
        <w:t>CTIA makes the following comments:</w:t>
      </w:r>
    </w:p>
    <w:p w:rsidRPr="007247C8" w:rsidR="007247C8" w:rsidP="00E61763" w:rsidRDefault="007247C8" w14:paraId="67643B0A" w14:textId="68B96125">
      <w:pPr>
        <w:pStyle w:val="Standard"/>
        <w:numPr>
          <w:ilvl w:val="0"/>
          <w:numId w:val="36"/>
        </w:numPr>
      </w:pPr>
      <w:r w:rsidRPr="007247C8">
        <w:t xml:space="preserve">The Commission should decline to adopt Proposed Rule IV.D.5 because it would empower pole owners to penalize attachers for alleged noncompliance with the data reporting and unauthorized attachment rules. The Proposed Decision’s changes to that rule do not resolve the multiple concerns that CTIA and many other parties raised, including that it would unlawfully delegate the Commission’s enforcement and penalty powers to pole owners. </w:t>
      </w:r>
    </w:p>
    <w:p w:rsidRPr="007247C8" w:rsidR="007247C8" w:rsidP="00E61763" w:rsidRDefault="007247C8" w14:paraId="480AFF3C" w14:textId="61A7251F">
      <w:pPr>
        <w:pStyle w:val="Standard"/>
        <w:numPr>
          <w:ilvl w:val="0"/>
          <w:numId w:val="36"/>
        </w:numPr>
      </w:pPr>
      <w:r w:rsidRPr="007247C8">
        <w:t xml:space="preserve">Adopt the Proposed Decision’s changes to Rules IV.H and IV.I to require that pole owners make publicly available all changes to their list of qualified contractors and changes to their access, design, construction, and maintenance standards. If such changes were allowed to take effect immediately, they </w:t>
      </w:r>
      <w:r w:rsidR="009B7DA0">
        <w:t>would</w:t>
      </w:r>
      <w:r w:rsidRPr="007247C8" w:rsidR="009B7DA0">
        <w:t xml:space="preserve"> </w:t>
      </w:r>
      <w:r w:rsidRPr="007247C8">
        <w:t xml:space="preserve">disrupt </w:t>
      </w:r>
      <w:proofErr w:type="spellStart"/>
      <w:r w:rsidRPr="007247C8">
        <w:t>attachers</w:t>
      </w:r>
      <w:proofErr w:type="spellEnd"/>
      <w:r w:rsidRPr="007247C8">
        <w:t xml:space="preserve">’ efforts to deploy and maintain attachments. The Commission should thus: </w:t>
      </w:r>
    </w:p>
    <w:p w:rsidRPr="007247C8" w:rsidR="007247C8" w:rsidP="00E61763" w:rsidRDefault="007247C8" w14:paraId="68EE73D1" w14:textId="77777777">
      <w:pPr>
        <w:pStyle w:val="Standard"/>
        <w:numPr>
          <w:ilvl w:val="0"/>
          <w:numId w:val="36"/>
        </w:numPr>
      </w:pPr>
      <w:r w:rsidRPr="007247C8">
        <w:lastRenderedPageBreak/>
        <w:t xml:space="preserve">Add a 30-day advance notice requirement for utilities’ changes to approved contractor lists and contractor qualifications, so that changes will not take effect until at least 30 days after they become publicly available. </w:t>
      </w:r>
    </w:p>
    <w:p w:rsidRPr="007247C8" w:rsidR="007247C8" w:rsidP="00E61763" w:rsidRDefault="007247C8" w14:paraId="1EDDFCA8" w14:textId="77777777">
      <w:pPr>
        <w:pStyle w:val="Standard"/>
        <w:numPr>
          <w:ilvl w:val="0"/>
          <w:numId w:val="36"/>
        </w:numPr>
      </w:pPr>
      <w:r w:rsidRPr="007247C8">
        <w:t xml:space="preserve">Add the same 30-day period before utilities’ published changes to their access, design, construction, and maintenance standards take effect. </w:t>
      </w:r>
    </w:p>
    <w:p w:rsidRPr="007247C8" w:rsidR="00C56157" w:rsidP="00E61763" w:rsidRDefault="007247C8" w14:paraId="3B886400" w14:textId="6987A7EC">
      <w:pPr>
        <w:pStyle w:val="Standard"/>
        <w:numPr>
          <w:ilvl w:val="0"/>
          <w:numId w:val="36"/>
        </w:numPr>
      </w:pPr>
      <w:r w:rsidRPr="007247C8">
        <w:t>Require that all standards must be consistent with Commission rules.</w:t>
      </w:r>
    </w:p>
    <w:p w:rsidRPr="007247C8" w:rsidR="007247C8" w:rsidP="00E61763" w:rsidRDefault="007247C8" w14:paraId="25A3696C" w14:textId="4A0BF410">
      <w:pPr>
        <w:pStyle w:val="Standard"/>
        <w:numPr>
          <w:ilvl w:val="0"/>
          <w:numId w:val="36"/>
        </w:numPr>
      </w:pPr>
      <w:r w:rsidRPr="007247C8">
        <w:t xml:space="preserve">Direct that a workshop be convened to address whether local governments and other government agencies should be defined as attachers. </w:t>
      </w:r>
    </w:p>
    <w:p w:rsidRPr="007247C8" w:rsidR="007247C8" w:rsidP="00E61763" w:rsidRDefault="007247C8" w14:paraId="0910241D" w14:textId="77777777">
      <w:pPr>
        <w:pStyle w:val="Standard"/>
        <w:numPr>
          <w:ilvl w:val="0"/>
          <w:numId w:val="36"/>
        </w:numPr>
      </w:pPr>
      <w:r w:rsidRPr="007247C8">
        <w:t xml:space="preserve">Grant the </w:t>
      </w:r>
      <w:r w:rsidRPr="00E61763">
        <w:rPr>
          <w:i/>
          <w:iCs/>
        </w:rPr>
        <w:t>Petition for Modification</w:t>
      </w:r>
      <w:r w:rsidRPr="007247C8">
        <w:t xml:space="preserve"> of the Track 2 Decision that attachers and pole owners filed in July 2025. </w:t>
      </w:r>
    </w:p>
    <w:p w:rsidRPr="0013450D" w:rsidR="007247C8" w:rsidP="0013450D" w:rsidRDefault="002E2D6C" w14:paraId="4B4611C6" w14:textId="1E6A8C0E">
      <w:pPr>
        <w:pStyle w:val="SectionCommentSub"/>
      </w:pPr>
      <w:r w:rsidRPr="0013450D">
        <w:t>S</w:t>
      </w:r>
      <w:r w:rsidRPr="0013450D" w:rsidR="00D07310">
        <w:t>onic</w:t>
      </w:r>
    </w:p>
    <w:p w:rsidR="009532AD" w:rsidP="007247C8" w:rsidRDefault="009532AD" w14:paraId="06184DF4" w14:textId="24E3B514">
      <w:pPr>
        <w:pStyle w:val="Standard"/>
      </w:pPr>
      <w:r>
        <w:t>Sonic makes the following comments:</w:t>
      </w:r>
    </w:p>
    <w:p w:rsidR="002E2D6C" w:rsidP="00E61763" w:rsidRDefault="009F4E20" w14:paraId="2F3B350C" w14:textId="4E52A6CC">
      <w:pPr>
        <w:pStyle w:val="Standard"/>
        <w:numPr>
          <w:ilvl w:val="0"/>
          <w:numId w:val="37"/>
        </w:numPr>
      </w:pPr>
      <w:r>
        <w:t xml:space="preserve">Recommends </w:t>
      </w:r>
      <w:r w:rsidR="008313A4">
        <w:t>that the fines for unauthorized attachments remain at $500</w:t>
      </w:r>
      <w:r w:rsidR="009A20B4">
        <w:t>,</w:t>
      </w:r>
      <w:r w:rsidR="008313A4">
        <w:t xml:space="preserve"> as </w:t>
      </w:r>
      <w:r w:rsidR="00F10957">
        <w:t xml:space="preserve">it claims </w:t>
      </w:r>
      <w:r w:rsidR="008313A4">
        <w:t xml:space="preserve">there is no evidence that this amount is inadequate to act as a deterrent. </w:t>
      </w:r>
    </w:p>
    <w:p w:rsidR="00C1522C" w:rsidRDefault="007A310D" w14:paraId="4DFE5CBE" w14:textId="479EF7BB">
      <w:pPr>
        <w:pStyle w:val="Standard"/>
        <w:numPr>
          <w:ilvl w:val="0"/>
          <w:numId w:val="38"/>
        </w:numPr>
      </w:pPr>
      <w:r>
        <w:t xml:space="preserve">Claims that the proposed GO 178 provisions regarding </w:t>
      </w:r>
      <w:r w:rsidR="0046245C">
        <w:t>pole</w:t>
      </w:r>
      <w:r w:rsidR="00C1522C">
        <w:t xml:space="preserve"> </w:t>
      </w:r>
      <w:r w:rsidR="002E1225">
        <w:t>reinforcements</w:t>
      </w:r>
      <w:r w:rsidR="0046245C">
        <w:t>,</w:t>
      </w:r>
      <w:r w:rsidR="002E1225">
        <w:t xml:space="preserve"> </w:t>
      </w:r>
      <w:r w:rsidR="0046245C">
        <w:t xml:space="preserve">replacements, and self-help are too vague and unenforceable. </w:t>
      </w:r>
    </w:p>
    <w:p w:rsidR="007A310D" w:rsidP="00E61763" w:rsidRDefault="00DC5C1D" w14:paraId="529FAA08" w14:textId="7D30A387">
      <w:pPr>
        <w:pStyle w:val="Standard"/>
        <w:numPr>
          <w:ilvl w:val="0"/>
          <w:numId w:val="38"/>
        </w:numPr>
      </w:pPr>
      <w:r>
        <w:t>Sonic requests the following changes:</w:t>
      </w:r>
    </w:p>
    <w:p w:rsidRPr="00663ECA" w:rsidR="00663ECA" w:rsidP="00E61763" w:rsidRDefault="00663ECA" w14:paraId="0CAF706F" w14:textId="77777777">
      <w:pPr>
        <w:pStyle w:val="Standard"/>
        <w:numPr>
          <w:ilvl w:val="2"/>
          <w:numId w:val="29"/>
        </w:numPr>
      </w:pPr>
      <w:r w:rsidRPr="00663ECA">
        <w:t>Section IV.E: substitute “pole owner” for “incumbent utility”</w:t>
      </w:r>
    </w:p>
    <w:p w:rsidRPr="00663ECA" w:rsidR="00663ECA" w:rsidP="00E61763" w:rsidRDefault="00663ECA" w14:paraId="41791B88" w14:textId="407F8A12">
      <w:pPr>
        <w:pStyle w:val="Standard"/>
        <w:numPr>
          <w:ilvl w:val="2"/>
          <w:numId w:val="29"/>
        </w:numPr>
      </w:pPr>
      <w:r w:rsidRPr="00663ECA">
        <w:t>Section IV.E.3: add “reinforcements” to first sentence; expand to include possibility that pole owner can complete work on time</w:t>
      </w:r>
      <w:r w:rsidR="00CA78FD">
        <w:t>ly</w:t>
      </w:r>
      <w:r w:rsidRPr="00663ECA">
        <w:t xml:space="preserve"> basis, and/or decides to delegate required work to attacher</w:t>
      </w:r>
    </w:p>
    <w:p w:rsidRPr="00663ECA" w:rsidR="00663ECA" w:rsidP="00E61763" w:rsidRDefault="00663ECA" w14:paraId="5E21F5A3" w14:textId="77777777">
      <w:pPr>
        <w:pStyle w:val="Standard"/>
        <w:numPr>
          <w:ilvl w:val="2"/>
          <w:numId w:val="29"/>
        </w:numPr>
      </w:pPr>
      <w:r w:rsidRPr="00663ECA">
        <w:t xml:space="preserve">Section IV.E.3: Reinforcement approval should be automatic (objective standards), not left to pole owner discretion; also </w:t>
      </w:r>
      <w:r w:rsidRPr="00663ECA">
        <w:lastRenderedPageBreak/>
        <w:t>define cost responsibility (pole owner pays when fixing preexisting violations; costs split when attacher's new attachment triggers the need)</w:t>
      </w:r>
    </w:p>
    <w:p w:rsidRPr="00663ECA" w:rsidR="00663ECA" w:rsidP="00E61763" w:rsidRDefault="00663ECA" w14:paraId="57D9681F" w14:textId="77777777">
      <w:pPr>
        <w:pStyle w:val="Standard"/>
        <w:numPr>
          <w:ilvl w:val="2"/>
          <w:numId w:val="29"/>
        </w:numPr>
      </w:pPr>
      <w:r w:rsidRPr="00663ECA">
        <w:t>Section IV.E.3: Complex pole replacements should have a defined timeline (up to one year maximum)</w:t>
      </w:r>
    </w:p>
    <w:p w:rsidRPr="00663ECA" w:rsidR="00663ECA" w:rsidP="00E61763" w:rsidRDefault="00663ECA" w14:paraId="4A7C5B68" w14:textId="77777777">
      <w:pPr>
        <w:pStyle w:val="Standard"/>
        <w:numPr>
          <w:ilvl w:val="2"/>
          <w:numId w:val="29"/>
        </w:numPr>
      </w:pPr>
      <w:r w:rsidRPr="00663ECA">
        <w:t>The Standardized Self-Help Agreement process needs CPUC-run workshops and formal comment periods, not open-ended negotiation</w:t>
      </w:r>
    </w:p>
    <w:p w:rsidR="00DC5C1D" w:rsidP="00E61763" w:rsidRDefault="00BF03D5" w14:paraId="3272148E" w14:textId="75CEE439">
      <w:pPr>
        <w:pStyle w:val="Standard"/>
        <w:numPr>
          <w:ilvl w:val="0"/>
          <w:numId w:val="39"/>
        </w:numPr>
      </w:pPr>
      <w:r>
        <w:t>Agrees that a full database is unnecessary.</w:t>
      </w:r>
    </w:p>
    <w:p w:rsidR="00BF03D5" w:rsidP="00E61763" w:rsidRDefault="00BF03D5" w14:paraId="5EA39B15" w14:textId="7BAA4AF7">
      <w:pPr>
        <w:pStyle w:val="Standard"/>
        <w:numPr>
          <w:ilvl w:val="0"/>
          <w:numId w:val="39"/>
        </w:numPr>
      </w:pPr>
      <w:r>
        <w:t xml:space="preserve">Asks that Major Pole Owners </w:t>
      </w:r>
      <w:r w:rsidR="006117B0">
        <w:t>provide attachers with efficient access to existing conduit records in whatever form they exist.</w:t>
      </w:r>
    </w:p>
    <w:p w:rsidR="006117B0" w:rsidP="00E61763" w:rsidRDefault="006117B0" w14:paraId="2FA7D55E" w14:textId="52D5D89B">
      <w:pPr>
        <w:pStyle w:val="Standard"/>
        <w:numPr>
          <w:ilvl w:val="0"/>
          <w:numId w:val="39"/>
        </w:numPr>
      </w:pPr>
      <w:r>
        <w:t>Sonic requests workshops to produce:</w:t>
      </w:r>
    </w:p>
    <w:p w:rsidRPr="00BD0A35" w:rsidR="00BD0A35" w:rsidP="00E61763" w:rsidRDefault="00BD0A35" w14:paraId="05FE5443" w14:textId="77777777">
      <w:pPr>
        <w:pStyle w:val="Standard"/>
        <w:numPr>
          <w:ilvl w:val="2"/>
          <w:numId w:val="30"/>
        </w:numPr>
      </w:pPr>
      <w:r w:rsidRPr="00BD0A35">
        <w:t>Defined remediation timeframes for non-compliant poles</w:t>
      </w:r>
    </w:p>
    <w:p w:rsidRPr="00BD0A35" w:rsidR="00BD0A35" w:rsidP="00E61763" w:rsidRDefault="00BD0A35" w14:paraId="08F338AE" w14:textId="77777777">
      <w:pPr>
        <w:pStyle w:val="Standard"/>
        <w:numPr>
          <w:ilvl w:val="2"/>
          <w:numId w:val="30"/>
        </w:numPr>
      </w:pPr>
      <w:r w:rsidRPr="00BD0A35">
        <w:t>An exception process for extenuating circumstances</w:t>
      </w:r>
    </w:p>
    <w:p w:rsidRPr="00BD0A35" w:rsidR="00BD0A35" w:rsidP="00E61763" w:rsidRDefault="00BD0A35" w14:paraId="75D2105F" w14:textId="77777777">
      <w:pPr>
        <w:pStyle w:val="Standard"/>
        <w:numPr>
          <w:ilvl w:val="2"/>
          <w:numId w:val="30"/>
        </w:numPr>
      </w:pPr>
      <w:r w:rsidRPr="00BD0A35">
        <w:t>Transparency requirements on remediation status</w:t>
      </w:r>
    </w:p>
    <w:p w:rsidRPr="00BD0A35" w:rsidR="00BD0A35" w:rsidP="00E61763" w:rsidRDefault="00BD0A35" w14:paraId="16CB1050" w14:textId="77777777">
      <w:pPr>
        <w:pStyle w:val="Standard"/>
        <w:numPr>
          <w:ilvl w:val="2"/>
          <w:numId w:val="30"/>
        </w:numPr>
      </w:pPr>
      <w:r w:rsidRPr="00BD0A35">
        <w:t>A clear dispute-resolution process</w:t>
      </w:r>
    </w:p>
    <w:p w:rsidR="00BD0A35" w:rsidP="00E61763" w:rsidRDefault="00BD0A35" w14:paraId="6A1AF411" w14:textId="48AB1C34">
      <w:pPr>
        <w:pStyle w:val="Standard"/>
        <w:numPr>
          <w:ilvl w:val="2"/>
          <w:numId w:val="30"/>
        </w:numPr>
      </w:pPr>
      <w:r w:rsidRPr="00BD0A35">
        <w:t>Cost-sharing and self-help guidance</w:t>
      </w:r>
    </w:p>
    <w:p w:rsidRPr="007247C8" w:rsidR="007247C8" w:rsidP="00E7221C" w:rsidRDefault="00E7221C" w14:paraId="5A24BD55" w14:textId="0360ABAE">
      <w:pPr>
        <w:pStyle w:val="Heading2"/>
      </w:pPr>
      <w:bookmarkStart w:name="_Toc229726785" w:id="77"/>
      <w:r>
        <w:t>Discussion</w:t>
      </w:r>
      <w:bookmarkEnd w:id="77"/>
    </w:p>
    <w:p w:rsidR="00BB4E2B" w:rsidP="007247C8" w:rsidRDefault="00E43849" w14:paraId="06B04529" w14:textId="48336589">
      <w:pPr>
        <w:pStyle w:val="Standard"/>
      </w:pPr>
      <w:r>
        <w:t>In reviewing the comments</w:t>
      </w:r>
      <w:r w:rsidR="00565BEE">
        <w:t xml:space="preserve">, the main topics that they </w:t>
      </w:r>
      <w:r w:rsidR="008775D0">
        <w:t>raise</w:t>
      </w:r>
      <w:r w:rsidR="003C3915">
        <w:t xml:space="preserve"> concern</w:t>
      </w:r>
      <w:r w:rsidR="00051890">
        <w:t xml:space="preserve"> </w:t>
      </w:r>
      <w:r w:rsidR="00277E71">
        <w:t xml:space="preserve">whether the Commission should extend the </w:t>
      </w:r>
      <w:r w:rsidR="00051890">
        <w:t>Track 2 compliance deadline</w:t>
      </w:r>
      <w:r w:rsidR="00277E71">
        <w:t>;</w:t>
      </w:r>
      <w:r w:rsidR="00082219">
        <w:t xml:space="preserve"> proposed modifications to the </w:t>
      </w:r>
      <w:r w:rsidR="00F243EE">
        <w:t>Self-Help</w:t>
      </w:r>
      <w:r w:rsidR="00082219">
        <w:t xml:space="preserve"> provisions</w:t>
      </w:r>
      <w:r w:rsidR="00CB66D8">
        <w:t xml:space="preserve">; the </w:t>
      </w:r>
      <w:r w:rsidR="00282285">
        <w:t xml:space="preserve">legality of the </w:t>
      </w:r>
      <w:r w:rsidR="00CB66D8">
        <w:t>expan</w:t>
      </w:r>
      <w:r w:rsidR="00FB3FF5">
        <w:t>ded</w:t>
      </w:r>
      <w:r w:rsidR="00CB66D8">
        <w:t xml:space="preserve"> </w:t>
      </w:r>
      <w:r w:rsidR="00344DED">
        <w:t>attacher definition</w:t>
      </w:r>
      <w:r w:rsidR="00282285">
        <w:t xml:space="preserve"> and the ramifications</w:t>
      </w:r>
      <w:r w:rsidR="00302721">
        <w:t xml:space="preserve"> for </w:t>
      </w:r>
      <w:r w:rsidR="008D3EF0">
        <w:t xml:space="preserve">GO 178’s </w:t>
      </w:r>
      <w:r w:rsidR="00302721">
        <w:t xml:space="preserve">enforcement, especially with respect to </w:t>
      </w:r>
      <w:r w:rsidR="00F62B0C">
        <w:t xml:space="preserve">the sovereign immunity status </w:t>
      </w:r>
      <w:r w:rsidR="005D173A">
        <w:t>enjoyed by</w:t>
      </w:r>
      <w:r w:rsidR="00F62B0C">
        <w:t xml:space="preserve"> Native American tribes; </w:t>
      </w:r>
      <w:r w:rsidR="00574521">
        <w:t xml:space="preserve">whether the proposed GO 178 </w:t>
      </w:r>
      <w:r w:rsidR="00A670EB">
        <w:t>ROW Rules are</w:t>
      </w:r>
      <w:r w:rsidR="00CA32F8">
        <w:t xml:space="preserve"> </w:t>
      </w:r>
      <w:r w:rsidR="00A670EB">
        <w:t>mandatory or gu</w:t>
      </w:r>
      <w:r w:rsidR="00CA32F8">
        <w:t>idelines</w:t>
      </w:r>
      <w:r w:rsidR="0064656D">
        <w:t xml:space="preserve">; </w:t>
      </w:r>
      <w:r w:rsidR="00957931">
        <w:t xml:space="preserve">and the </w:t>
      </w:r>
      <w:r w:rsidR="00CB16C8">
        <w:t xml:space="preserve">financial impact of compliance </w:t>
      </w:r>
      <w:r w:rsidR="00957931">
        <w:t xml:space="preserve">with the ROW Rules </w:t>
      </w:r>
      <w:r w:rsidR="00CB16C8">
        <w:t>on ratepayers</w:t>
      </w:r>
      <w:r w:rsidR="007A4BE1">
        <w:t>.</w:t>
      </w:r>
      <w:r w:rsidR="008156A3">
        <w:t xml:space="preserve"> </w:t>
      </w:r>
      <w:r w:rsidR="00922D3A">
        <w:t xml:space="preserve"> </w:t>
      </w:r>
      <w:r w:rsidR="002F198B">
        <w:t xml:space="preserve">This discussion section will address these concerns. We also note that the comments </w:t>
      </w:r>
      <w:r w:rsidR="002F198B">
        <w:lastRenderedPageBreak/>
        <w:t xml:space="preserve">raise other </w:t>
      </w:r>
      <w:r w:rsidR="00BB4E2B">
        <w:t xml:space="preserve">objections and </w:t>
      </w:r>
      <w:r w:rsidR="00137DA2">
        <w:t>concerns</w:t>
      </w:r>
      <w:r w:rsidR="002D279A">
        <w:t>,</w:t>
      </w:r>
      <w:r w:rsidR="00137DA2">
        <w:t xml:space="preserve"> </w:t>
      </w:r>
      <w:r w:rsidR="00595F2F">
        <w:t xml:space="preserve">wordsmithing requests, </w:t>
      </w:r>
      <w:r w:rsidR="00137DA2">
        <w:t>and</w:t>
      </w:r>
      <w:r w:rsidR="00BB4E2B">
        <w:t xml:space="preserve"> ask that the Commission make additional modifications to the proposed GO 178. </w:t>
      </w:r>
      <w:r w:rsidR="007D458F">
        <w:t xml:space="preserve">All such remaining </w:t>
      </w:r>
      <w:r w:rsidR="001B785E">
        <w:t>objections</w:t>
      </w:r>
      <w:r w:rsidR="00595F2F">
        <w:t>, suggestions,</w:t>
      </w:r>
      <w:r w:rsidR="001B785E">
        <w:t xml:space="preserve"> and concerns not addressed by this decision are deemed denied. </w:t>
      </w:r>
      <w:r w:rsidR="00BE1315">
        <w:t>(</w:t>
      </w:r>
      <w:r w:rsidRPr="00E61763" w:rsidR="00BE1315">
        <w:rPr>
          <w:i/>
          <w:iCs/>
        </w:rPr>
        <w:t>See In Re Pac. Gas &amp; Elec. Co.</w:t>
      </w:r>
      <w:r w:rsidR="00BE1315">
        <w:t xml:space="preserve"> (Feb. 17, 2000) 199 P.U.R.4</w:t>
      </w:r>
      <w:r w:rsidRPr="00E61763" w:rsidR="00BE1315">
        <w:rPr>
          <w:vertAlign w:val="superscript"/>
        </w:rPr>
        <w:t>th</w:t>
      </w:r>
      <w:r w:rsidR="00BE1315">
        <w:t xml:space="preserve"> 177 [Decision 00-02-046].) </w:t>
      </w:r>
    </w:p>
    <w:p w:rsidR="00684BFC" w:rsidP="007247C8" w:rsidRDefault="00603A6B" w14:paraId="12D1D548" w14:textId="03CA0F98">
      <w:pPr>
        <w:pStyle w:val="Standard"/>
      </w:pPr>
      <w:r>
        <w:t>C</w:t>
      </w:r>
      <w:r w:rsidR="006374C9">
        <w:t xml:space="preserve">omments </w:t>
      </w:r>
      <w:r w:rsidR="00203E41">
        <w:t xml:space="preserve">can be grouped </w:t>
      </w:r>
      <w:r w:rsidR="006374C9">
        <w:t>into two categories</w:t>
      </w:r>
      <w:r w:rsidR="006B2463">
        <w:t>: pole attach</w:t>
      </w:r>
      <w:r w:rsidR="00F1477F">
        <w:t>ment database</w:t>
      </w:r>
      <w:r w:rsidR="00203E41">
        <w:t xml:space="preserve"> and Rights-of-Way Rules.</w:t>
      </w:r>
    </w:p>
    <w:p w:rsidR="000B6AA6" w:rsidP="003F219C" w:rsidRDefault="003F219C" w14:paraId="03BECE47" w14:textId="2DCAB17B">
      <w:pPr>
        <w:pStyle w:val="Heading3"/>
      </w:pPr>
      <w:bookmarkStart w:name="_Toc229726786" w:id="78"/>
      <w:r>
        <w:t>Pole Attachment Database</w:t>
      </w:r>
      <w:bookmarkEnd w:id="78"/>
    </w:p>
    <w:p w:rsidR="00884CE2" w:rsidP="00E61763" w:rsidRDefault="00884CE2" w14:paraId="31C3610D" w14:textId="680849A1">
      <w:pPr>
        <w:pStyle w:val="IssueBullet"/>
      </w:pPr>
      <w:r>
        <w:t>Issue 1: Joint Petition for Modification of D.21</w:t>
      </w:r>
      <w:r w:rsidR="00FB0113">
        <w:t>-10-019</w:t>
      </w:r>
    </w:p>
    <w:p w:rsidRPr="00685757" w:rsidR="00685757" w:rsidP="00685757" w:rsidRDefault="00685757" w14:paraId="3D4FFD00" w14:textId="28B0FD6A">
      <w:pPr>
        <w:pStyle w:val="Standard"/>
      </w:pPr>
      <w:r w:rsidRPr="00685757">
        <w:t>The Joint IOUs argue the P</w:t>
      </w:r>
      <w:r>
        <w:t xml:space="preserve">roposed </w:t>
      </w:r>
      <w:r w:rsidRPr="00685757">
        <w:t>D</w:t>
      </w:r>
      <w:r>
        <w:t>ecision</w:t>
      </w:r>
      <w:r w:rsidRPr="00685757">
        <w:t xml:space="preserve"> should fully grant the </w:t>
      </w:r>
      <w:r w:rsidRPr="00E61763">
        <w:rPr>
          <w:i/>
          <w:iCs/>
        </w:rPr>
        <w:t xml:space="preserve">Joint </w:t>
      </w:r>
      <w:r w:rsidRPr="00E61763" w:rsidR="00CB42AC">
        <w:rPr>
          <w:i/>
          <w:iCs/>
        </w:rPr>
        <w:t>Petition for Modification</w:t>
      </w:r>
      <w:r w:rsidR="00CB42AC">
        <w:t xml:space="preserve"> </w:t>
      </w:r>
      <w:r w:rsidR="00291F62">
        <w:t>(</w:t>
      </w:r>
      <w:r w:rsidRPr="00E61763" w:rsidR="00291F62">
        <w:rPr>
          <w:i/>
          <w:iCs/>
        </w:rPr>
        <w:t>Joint PFM</w:t>
      </w:r>
      <w:r w:rsidR="00291F62">
        <w:t xml:space="preserve">) </w:t>
      </w:r>
      <w:r w:rsidRPr="00685757">
        <w:t>rather than offer new/alternative compliance pathways. They argue: (a) Phase 2 data points are not available for most existing attachments; (b) D.22-10-025’s OTMR framework created new regulatory gaps; and (c) compliance costs exceeding $650 million outweigh any safety or competitive benefits.</w:t>
      </w:r>
      <w:r w:rsidR="00866036">
        <w:t xml:space="preserve"> </w:t>
      </w:r>
    </w:p>
    <w:p w:rsidRPr="00685757" w:rsidR="00685757" w:rsidP="00685757" w:rsidRDefault="00685757" w14:paraId="40A9CADB" w14:textId="33C0E1F6">
      <w:pPr>
        <w:pStyle w:val="Standard"/>
      </w:pPr>
      <w:r w:rsidRPr="00685757">
        <w:t>The Joint IOUs also disagree with the P</w:t>
      </w:r>
      <w:r w:rsidR="00100990">
        <w:t xml:space="preserve">roposed </w:t>
      </w:r>
      <w:r w:rsidR="002A6CCE">
        <w:t>Decision’s</w:t>
      </w:r>
      <w:r w:rsidRPr="00685757">
        <w:t xml:space="preserve"> statement that data “certainly exists” before GO 95 Rule 44’s 2009 effective date</w:t>
      </w:r>
      <w:r w:rsidR="008C4C47">
        <w:t>, “</w:t>
      </w:r>
      <w:r w:rsidRPr="00685757">
        <w:t>or can be extracted from existing data sets.” They argue this is unsupported by the record and inconsistent with historical utility construction and record-keeping practices.</w:t>
      </w:r>
    </w:p>
    <w:p w:rsidRPr="00685757" w:rsidR="00685757" w:rsidP="00333F9A" w:rsidRDefault="00A10616" w14:paraId="4CD815F0" w14:textId="637E255E">
      <w:pPr>
        <w:pStyle w:val="SectionSub"/>
      </w:pPr>
      <w:r>
        <w:t>Discussion</w:t>
      </w:r>
      <w:r w:rsidR="00B02FFA">
        <w:t xml:space="preserve"> and Recommendations</w:t>
      </w:r>
    </w:p>
    <w:p w:rsidR="004B74D4" w:rsidP="00603E61" w:rsidRDefault="0045617E" w14:paraId="37153924" w14:textId="0E01D773">
      <w:pPr>
        <w:pStyle w:val="Standard"/>
      </w:pPr>
      <w:r>
        <w:t xml:space="preserve">As the genesis and record of this proceeding confirms, utility record-keeping practices are </w:t>
      </w:r>
      <w:r w:rsidR="00C008B8">
        <w:t>poor,</w:t>
      </w:r>
      <w:r w:rsidR="000E6CF2">
        <w:t xml:space="preserve"> and</w:t>
      </w:r>
      <w:r w:rsidR="00BD4A3A">
        <w:t xml:space="preserve"> </w:t>
      </w:r>
      <w:r w:rsidR="00484659">
        <w:t xml:space="preserve">this lack of </w:t>
      </w:r>
      <w:r w:rsidR="00BD4A3A">
        <w:t xml:space="preserve">accountability </w:t>
      </w:r>
      <w:r w:rsidR="000E6CF2">
        <w:t>has</w:t>
      </w:r>
      <w:r w:rsidR="00484659">
        <w:t xml:space="preserve"> too often</w:t>
      </w:r>
      <w:r w:rsidR="005264BB">
        <w:t xml:space="preserve"> </w:t>
      </w:r>
      <w:r w:rsidR="003C671E">
        <w:t xml:space="preserve">precipitated </w:t>
      </w:r>
      <w:r w:rsidR="00E114CA">
        <w:t>disastrous consequences</w:t>
      </w:r>
      <w:r>
        <w:t xml:space="preserve">. </w:t>
      </w:r>
      <w:r w:rsidR="005B2490">
        <w:t>Despite this</w:t>
      </w:r>
      <w:r w:rsidR="007E2625">
        <w:t>, u</w:t>
      </w:r>
      <w:r w:rsidR="00096C28">
        <w:t xml:space="preserve">tilities </w:t>
      </w:r>
      <w:r w:rsidR="0091158C">
        <w:t xml:space="preserve">continue to </w:t>
      </w:r>
      <w:r w:rsidR="004A6000">
        <w:t>counsel against compliance</w:t>
      </w:r>
      <w:r w:rsidR="005B2490">
        <w:t xml:space="preserve"> and accountability</w:t>
      </w:r>
      <w:r w:rsidR="004A6000">
        <w:t xml:space="preserve">. </w:t>
      </w:r>
      <w:r w:rsidR="006C7CC8">
        <w:t>Specifically, these</w:t>
      </w:r>
      <w:r w:rsidR="00BB0EE3">
        <w:t xml:space="preserve"> u</w:t>
      </w:r>
      <w:r w:rsidR="004A6000">
        <w:t xml:space="preserve">tilities continue to </w:t>
      </w:r>
      <w:r w:rsidR="00096C28">
        <w:t xml:space="preserve">provide extraordinary </w:t>
      </w:r>
      <w:r w:rsidR="0091158C">
        <w:t xml:space="preserve">projected compliance </w:t>
      </w:r>
      <w:r w:rsidR="00B231D6">
        <w:t>estimates</w:t>
      </w:r>
      <w:r w:rsidR="00AE6929">
        <w:t xml:space="preserve"> that </w:t>
      </w:r>
      <w:r w:rsidR="00A10041">
        <w:t xml:space="preserve">assume the </w:t>
      </w:r>
      <w:r w:rsidR="004354CD">
        <w:t>most exorbitant</w:t>
      </w:r>
      <w:r w:rsidR="00A10041">
        <w:t xml:space="preserve"> </w:t>
      </w:r>
      <w:r w:rsidR="00EE0DE6">
        <w:t xml:space="preserve">strategies for </w:t>
      </w:r>
      <w:r w:rsidR="00745D0A">
        <w:t>compliance</w:t>
      </w:r>
      <w:r w:rsidR="00B82A84">
        <w:t xml:space="preserve">, and </w:t>
      </w:r>
      <w:r w:rsidR="0064554A">
        <w:t xml:space="preserve">disregard </w:t>
      </w:r>
      <w:r w:rsidR="005B2490">
        <w:t>strategies</w:t>
      </w:r>
      <w:r w:rsidR="00B77301">
        <w:t xml:space="preserve"> aimed at </w:t>
      </w:r>
      <w:r w:rsidR="007B75E9">
        <w:t>reduc</w:t>
      </w:r>
      <w:r w:rsidR="00B77301">
        <w:t>ing</w:t>
      </w:r>
      <w:r w:rsidR="007B75E9">
        <w:t xml:space="preserve"> </w:t>
      </w:r>
      <w:r w:rsidR="00E95A46">
        <w:lastRenderedPageBreak/>
        <w:t>projected</w:t>
      </w:r>
      <w:r w:rsidR="00B77301">
        <w:t xml:space="preserve"> </w:t>
      </w:r>
      <w:r w:rsidR="009E6B51">
        <w:t>cost</w:t>
      </w:r>
      <w:r w:rsidR="0064554A">
        <w:t>s</w:t>
      </w:r>
      <w:r w:rsidR="001F5ECB">
        <w:t xml:space="preserve"> as </w:t>
      </w:r>
      <w:r w:rsidR="00E7591C">
        <w:t>proposed in</w:t>
      </w:r>
      <w:r w:rsidR="00711234">
        <w:t xml:space="preserve"> this Decision</w:t>
      </w:r>
      <w:r w:rsidR="00750FD5">
        <w:t>.</w:t>
      </w:r>
      <w:r w:rsidR="0064554A">
        <w:t xml:space="preserve"> </w:t>
      </w:r>
      <w:r w:rsidR="00FE52FF">
        <w:t xml:space="preserve">At this juncture, </w:t>
      </w:r>
      <w:r w:rsidR="00994D67">
        <w:t xml:space="preserve">whether or not </w:t>
      </w:r>
      <w:r w:rsidR="00976C2E">
        <w:t>utility</w:t>
      </w:r>
      <w:r w:rsidR="00994D67">
        <w:t xml:space="preserve"> estimates are credible </w:t>
      </w:r>
      <w:r w:rsidR="00A73512">
        <w:t xml:space="preserve">will be </w:t>
      </w:r>
      <w:r w:rsidR="0064001D">
        <w:t>determined through the compliance process</w:t>
      </w:r>
      <w:r w:rsidR="00002916">
        <w:t xml:space="preserve"> with</w:t>
      </w:r>
      <w:r w:rsidR="00334B33">
        <w:t xml:space="preserve"> specific evidentiary showings</w:t>
      </w:r>
      <w:r w:rsidR="00647066">
        <w:t>, staff review</w:t>
      </w:r>
      <w:r w:rsidR="00935C54">
        <w:t>,</w:t>
      </w:r>
      <w:r w:rsidR="00647066">
        <w:t xml:space="preserve"> </w:t>
      </w:r>
      <w:r w:rsidR="00334B33">
        <w:t xml:space="preserve">and </w:t>
      </w:r>
      <w:r w:rsidR="00935C54">
        <w:t xml:space="preserve">potential third-party </w:t>
      </w:r>
      <w:r w:rsidR="00334B33">
        <w:t>audits</w:t>
      </w:r>
      <w:r w:rsidR="00826424">
        <w:t>.</w:t>
      </w:r>
      <w:r w:rsidR="004B6F7E">
        <w:t xml:space="preserve"> </w:t>
      </w:r>
    </w:p>
    <w:p w:rsidRPr="00685757" w:rsidR="00685757" w:rsidP="00685757" w:rsidRDefault="00685757" w14:paraId="18CE84FC" w14:textId="506F0A8E">
      <w:pPr>
        <w:pStyle w:val="Standard"/>
      </w:pPr>
      <w:r w:rsidRPr="00685757">
        <w:t xml:space="preserve">The evidentiary record, specifically at party comments and the Phase 2 Workshop Reports, supports the </w:t>
      </w:r>
      <w:r w:rsidR="00FC47FF">
        <w:t>position</w:t>
      </w:r>
      <w:r w:rsidRPr="00685757">
        <w:t xml:space="preserve"> that the required data points are not </w:t>
      </w:r>
      <w:r w:rsidR="00EE5D6B">
        <w:t xml:space="preserve">specifically </w:t>
      </w:r>
      <w:r w:rsidRPr="00685757">
        <w:t xml:space="preserve">maintained as discrete database fields aligned with Track 2 data requirements. However, fully granting the </w:t>
      </w:r>
      <w:r w:rsidRPr="00E61763">
        <w:rPr>
          <w:i/>
          <w:iCs/>
        </w:rPr>
        <w:t>Joint PFM</w:t>
      </w:r>
      <w:r w:rsidRPr="00685757">
        <w:t xml:space="preserve"> would effectively eliminate any near-term data collection obligations for “legacy” poles that predate the GO 95 Rule 44 PLC requirement (until and unless future work requires a new PLC), which is contrary to the Commission’s goal of creating </w:t>
      </w:r>
      <w:r w:rsidRPr="00685757">
        <w:rPr>
          <w:i/>
          <w:iCs/>
        </w:rPr>
        <w:t>comprehensive</w:t>
      </w:r>
      <w:r w:rsidRPr="00685757">
        <w:t xml:space="preserve"> databases to support broadband deployment, competition, and pole safety. </w:t>
      </w:r>
    </w:p>
    <w:p w:rsidRPr="00685757" w:rsidR="00685757" w:rsidP="00685757" w:rsidRDefault="00E804FB" w14:paraId="45D0877F" w14:textId="4E64480A">
      <w:pPr>
        <w:pStyle w:val="Standard"/>
      </w:pPr>
      <w:r>
        <w:t>A</w:t>
      </w:r>
      <w:r w:rsidRPr="00685757" w:rsidR="00685757">
        <w:t xml:space="preserve">ssertions on this issue </w:t>
      </w:r>
      <w:r w:rsidR="00F60EE4">
        <w:t>are</w:t>
      </w:r>
      <w:r w:rsidRPr="00685757" w:rsidR="00685757">
        <w:t xml:space="preserve"> overstated. The Joint IOUs admit “that information for older poles resides in scanned or hard-copy work orders, as-built drawings and material lists, historical pole cards, and archived files stored off-site (</w:t>
      </w:r>
      <w:r w:rsidRPr="00E61763" w:rsidR="00685757">
        <w:rPr>
          <w:i/>
          <w:iCs/>
        </w:rPr>
        <w:t>e.g</w:t>
      </w:r>
      <w:r w:rsidRPr="00685757" w:rsidR="00685757">
        <w:t>., Iron Mountain).”</w:t>
      </w:r>
      <w:r w:rsidRPr="00685757" w:rsidR="00685757">
        <w:rPr>
          <w:vertAlign w:val="superscript"/>
        </w:rPr>
        <w:footnoteReference w:id="214"/>
      </w:r>
      <w:r w:rsidRPr="00685757" w:rsidR="00685757">
        <w:t xml:space="preserve"> They frame the potential retrieval of that data as being unjustifiably burdensome and costly. </w:t>
      </w:r>
      <w:r w:rsidR="00E87E09">
        <w:t xml:space="preserve">While the </w:t>
      </w:r>
      <w:r w:rsidR="00A73415">
        <w:t>sheer</w:t>
      </w:r>
      <w:r w:rsidR="00E87E09">
        <w:t xml:space="preserve"> number of poles </w:t>
      </w:r>
      <w:r w:rsidR="00A73415">
        <w:t xml:space="preserve">in California </w:t>
      </w:r>
      <w:r w:rsidR="00E87E09">
        <w:t>dictates that there will be a cost component for compliance, t</w:t>
      </w:r>
      <w:r w:rsidRPr="00685757" w:rsidR="00685757">
        <w:t xml:space="preserve">he evidentiary record is underdeveloped for </w:t>
      </w:r>
      <w:r w:rsidR="00203BB0">
        <w:t xml:space="preserve">the Commission to undertake a </w:t>
      </w:r>
      <w:r w:rsidRPr="00685757" w:rsidR="00685757">
        <w:t xml:space="preserve">meaningful cost </w:t>
      </w:r>
      <w:r w:rsidR="00A023A7">
        <w:t>assessment.</w:t>
      </w:r>
      <w:r w:rsidR="00CE2F14">
        <w:t xml:space="preserve"> This issue will need to be addressed</w:t>
      </w:r>
      <w:r w:rsidR="00837ACE">
        <w:t xml:space="preserve"> in the </w:t>
      </w:r>
      <w:r w:rsidR="0053495B">
        <w:t xml:space="preserve">staff review of </w:t>
      </w:r>
      <w:r w:rsidR="002D6561">
        <w:t>Compliance Plan</w:t>
      </w:r>
      <w:r w:rsidR="00837ACE">
        <w:t xml:space="preserve">s submitted by </w:t>
      </w:r>
      <w:r w:rsidR="0053495B">
        <w:t>utilities and when</w:t>
      </w:r>
      <w:r w:rsidR="00CE2F14">
        <w:t xml:space="preserve"> </w:t>
      </w:r>
      <w:r w:rsidR="002E3D86">
        <w:t xml:space="preserve">each </w:t>
      </w:r>
      <w:r w:rsidR="0059115E">
        <w:t xml:space="preserve">rate-regulated </w:t>
      </w:r>
      <w:r w:rsidR="0053495B">
        <w:t>utility</w:t>
      </w:r>
      <w:r w:rsidR="002E3D86">
        <w:t xml:space="preserve"> seeks to recover its costs in its subsequent GRC </w:t>
      </w:r>
      <w:r w:rsidR="00E75B42">
        <w:t xml:space="preserve">or other appropriate venue before the Commission </w:t>
      </w:r>
      <w:r w:rsidR="00B13330">
        <w:t>and attempts to substantiate the necessity for and the reasonableness of the costs.</w:t>
      </w:r>
    </w:p>
    <w:p w:rsidRPr="00685757" w:rsidR="00685757" w:rsidP="00685757" w:rsidRDefault="00685757" w14:paraId="6BEAE5B5" w14:textId="782C7482">
      <w:pPr>
        <w:pStyle w:val="Standard"/>
      </w:pPr>
      <w:r w:rsidRPr="00685757">
        <w:lastRenderedPageBreak/>
        <w:t>The Joint IOUs also assert that the information/documents for legacy poles “do not contain all of the data points required by Phase 2 of the Track 2 decision.”</w:t>
      </w:r>
      <w:r w:rsidRPr="00685757">
        <w:rPr>
          <w:vertAlign w:val="superscript"/>
        </w:rPr>
        <w:footnoteReference w:id="215"/>
      </w:r>
      <w:r w:rsidRPr="00685757">
        <w:t xml:space="preserve"> However, they do not specify which data points are missing from those documents</w:t>
      </w:r>
      <w:r w:rsidR="00FF6E66">
        <w:t>, nor what datapoints would need to be revised or removed to enable compliance</w:t>
      </w:r>
      <w:r w:rsidRPr="00685757">
        <w:t xml:space="preserve">. </w:t>
      </w:r>
      <w:r w:rsidR="00C122C4">
        <w:t>Receiving information on</w:t>
      </w:r>
      <w:r w:rsidR="00D92717">
        <w:t xml:space="preserve"> </w:t>
      </w:r>
      <w:r w:rsidR="00710056">
        <w:t xml:space="preserve">specific </w:t>
      </w:r>
      <w:r w:rsidR="00CE4D7F">
        <w:t xml:space="preserve">data </w:t>
      </w:r>
      <w:r w:rsidR="00710056">
        <w:t>field</w:t>
      </w:r>
      <w:r w:rsidR="003812DC">
        <w:t xml:space="preserve"> requirements</w:t>
      </w:r>
      <w:r w:rsidR="00FF6E66">
        <w:t xml:space="preserve"> as part of the </w:t>
      </w:r>
      <w:r w:rsidR="002D6561">
        <w:t>Compliance Plan</w:t>
      </w:r>
      <w:r w:rsidR="00FF6E66">
        <w:t xml:space="preserve"> process will</w:t>
      </w:r>
      <w:r w:rsidR="00A7402C">
        <w:t xml:space="preserve"> inform potential</w:t>
      </w:r>
      <w:r w:rsidR="002678DF">
        <w:t xml:space="preserve"> modification</w:t>
      </w:r>
      <w:r w:rsidR="004932F2">
        <w:t>s that will</w:t>
      </w:r>
      <w:r w:rsidR="003A10AA">
        <w:t xml:space="preserve"> enable the Commission to craft tailored solutions</w:t>
      </w:r>
      <w:r w:rsidR="00F83636">
        <w:t xml:space="preserve">. </w:t>
      </w:r>
    </w:p>
    <w:p w:rsidRPr="00685757" w:rsidR="00685757" w:rsidP="00685757" w:rsidRDefault="00057E41" w14:paraId="380D2BE6" w14:textId="57CECDCD">
      <w:pPr>
        <w:pStyle w:val="Standard"/>
      </w:pPr>
      <w:r>
        <w:t>T</w:t>
      </w:r>
      <w:r w:rsidRPr="00685757" w:rsidR="00685757">
        <w:t>he Joint PFM proposal does not adequately address legacy poles without PLCs, therefore it is inadequate. The Option 3 to allow pole owners to submit a Compliance Plan will allow for pole owners to propose solutions to address this gap to ensure fulfillment for legacy poles</w:t>
      </w:r>
      <w:r w:rsidR="00334D1F">
        <w:t xml:space="preserve"> through tailored solutions and additional time</w:t>
      </w:r>
      <w:r w:rsidRPr="00685757" w:rsidR="00685757">
        <w:t xml:space="preserve">. </w:t>
      </w:r>
      <w:r w:rsidR="00AA761F">
        <w:t>T</w:t>
      </w:r>
      <w:r w:rsidRPr="00685757" w:rsidR="00685757">
        <w:t>he requirements for the Compliance Plan are augmented to require they specifically address fulfillment as follows:</w:t>
      </w:r>
    </w:p>
    <w:p w:rsidRPr="00685757" w:rsidR="00685757" w:rsidP="00685757" w:rsidRDefault="00685757" w14:paraId="6C59E6BA" w14:textId="1EB7A0CB">
      <w:pPr>
        <w:pStyle w:val="Standard"/>
      </w:pPr>
      <w:r w:rsidRPr="00685757">
        <w:t>Data Points 6, 8, and 11</w:t>
      </w:r>
      <w:r w:rsidR="00C73F88">
        <w:t xml:space="preserve"> </w:t>
      </w:r>
      <w:r w:rsidR="00015E47">
        <w:t>are</w:t>
      </w:r>
      <w:r w:rsidR="00C73F88">
        <w:t xml:space="preserve"> required to be </w:t>
      </w:r>
      <w:r w:rsidR="00C17AE0">
        <w:t xml:space="preserve">submitted by the </w:t>
      </w:r>
      <w:r w:rsidR="007C3A9C">
        <w:t>regular compliance deadline, as modified herein,</w:t>
      </w:r>
      <w:r w:rsidRPr="00685757">
        <w:t xml:space="preserve"> for all poles. These data points are essentially classification-level information that describes what is on a pole at a categorical level. These data points are not inputs to or outputs from a PLC and they represent </w:t>
      </w:r>
      <w:r w:rsidR="00002B94">
        <w:t>basic information on attachments</w:t>
      </w:r>
      <w:r w:rsidRPr="00685757">
        <w:t xml:space="preserve">. </w:t>
      </w:r>
      <w:r w:rsidR="00132834">
        <w:t xml:space="preserve">Further, provision of Data Points 8 and 11 </w:t>
      </w:r>
      <w:r w:rsidR="00015E47">
        <w:t>is</w:t>
      </w:r>
      <w:r w:rsidR="00132834">
        <w:t xml:space="preserve"> uncontested in the PFM, and utilities should generally be able to determine the </w:t>
      </w:r>
      <w:r w:rsidR="003E38DA">
        <w:t>location</w:t>
      </w:r>
      <w:r w:rsidR="005E557C">
        <w:t xml:space="preserve"> of their attachment</w:t>
      </w:r>
      <w:r w:rsidR="003E38DA">
        <w:t xml:space="preserve"> on a pole</w:t>
      </w:r>
      <w:r w:rsidR="006216A0">
        <w:t>.</w:t>
      </w:r>
    </w:p>
    <w:p w:rsidRPr="00685757" w:rsidR="00685757" w:rsidP="00685757" w:rsidRDefault="00685757" w14:paraId="4FF5550C" w14:textId="70B75317">
      <w:pPr>
        <w:pStyle w:val="Standard"/>
        <w:numPr>
          <w:ilvl w:val="0"/>
          <w:numId w:val="26"/>
        </w:numPr>
      </w:pPr>
      <w:r w:rsidRPr="00685757">
        <w:t>Datapoint 6 (</w:t>
      </w:r>
      <w:r w:rsidRPr="007C38C1" w:rsidR="007C38C1">
        <w:t>Location of attachment on pole (e.g., within comm. zone, pole top, cross arm, pole mount, etc.</w:t>
      </w:r>
      <w:r w:rsidRPr="00685757">
        <w:t xml:space="preserve">) is likely feasible from existing records. </w:t>
      </w:r>
    </w:p>
    <w:p w:rsidRPr="00685757" w:rsidR="00685757" w:rsidP="00685757" w:rsidRDefault="00685757" w14:paraId="11CC815B" w14:textId="7FB25708">
      <w:pPr>
        <w:pStyle w:val="Standard"/>
        <w:numPr>
          <w:ilvl w:val="0"/>
          <w:numId w:val="26"/>
        </w:numPr>
      </w:pPr>
      <w:r w:rsidRPr="00685757">
        <w:lastRenderedPageBreak/>
        <w:t>Datapoint 8 (Attachment Description, e.g., cable, messenger, antenna</w:t>
      </w:r>
      <w:r w:rsidR="00480D2B">
        <w:t>, etc.</w:t>
      </w:r>
      <w:r w:rsidRPr="00685757">
        <w:t xml:space="preserve">) is also likely feasible from existing records. </w:t>
      </w:r>
    </w:p>
    <w:p w:rsidRPr="00685757" w:rsidR="00685757" w:rsidP="00685757" w:rsidRDefault="00685757" w14:paraId="6D8B4B49" w14:textId="77777777">
      <w:pPr>
        <w:pStyle w:val="Standard"/>
        <w:numPr>
          <w:ilvl w:val="0"/>
          <w:numId w:val="26"/>
        </w:numPr>
      </w:pPr>
      <w:r w:rsidRPr="00685757">
        <w:t>Datapoint 11 (Grade of Construction) is a pole-level attribute and is known to and set by the pole owner and should not require new engineering.</w:t>
      </w:r>
    </w:p>
    <w:p w:rsidR="00E93DE9" w:rsidP="00685757" w:rsidRDefault="00685757" w14:paraId="2BA1EB76" w14:textId="5D27D37C">
      <w:pPr>
        <w:pStyle w:val="Standard"/>
      </w:pPr>
      <w:r w:rsidRPr="00685757">
        <w:t>The remaining Data Points 7, 9, 10, and 12 to 17 for all legacy poles. These data points are inputs to or outputs from a PLC: attachment elevation, dimensions, weight, conductor tension, tensile strength, average span length, wind loading, vertical loading, and bending moment. They likely require either field measurement, manufacturer specifications, or design records</w:t>
      </w:r>
      <w:r w:rsidR="00286FBE">
        <w:t>,</w:t>
      </w:r>
      <w:r w:rsidRPr="00685757">
        <w:t xml:space="preserve"> and they may not be readily available for legacy poles without either a PLC or a field visit. This group is where costs are likely concentrated and where compliance </w:t>
      </w:r>
      <w:r w:rsidR="0085748F">
        <w:t>might be</w:t>
      </w:r>
      <w:r w:rsidR="00CA2F7D">
        <w:t xml:space="preserve"> more</w:t>
      </w:r>
      <w:r w:rsidRPr="00685757">
        <w:t xml:space="preserve"> </w:t>
      </w:r>
      <w:r w:rsidR="00E93DE9">
        <w:t>nuanced</w:t>
      </w:r>
      <w:r w:rsidRPr="00685757">
        <w:t xml:space="preserve">. </w:t>
      </w:r>
    </w:p>
    <w:p w:rsidRPr="00685757" w:rsidR="00685757" w:rsidP="00984DB1" w:rsidRDefault="00984DB1" w14:paraId="6DD2F385" w14:textId="73A76C8C">
      <w:pPr>
        <w:pStyle w:val="Standard"/>
      </w:pPr>
      <w:r>
        <w:t>W</w:t>
      </w:r>
      <w:r w:rsidR="0085748F">
        <w:t>e will</w:t>
      </w:r>
      <w:r>
        <w:t xml:space="preserve"> additionally</w:t>
      </w:r>
      <w:r w:rsidR="0085748F">
        <w:t xml:space="preserve"> r</w:t>
      </w:r>
      <w:r w:rsidR="00C1667D">
        <w:t>equire that</w:t>
      </w:r>
      <w:r w:rsidRPr="00685757" w:rsidR="00685757">
        <w:t xml:space="preserve"> Compliance Plans propose a tiered prioritization coupled with minimum completion targets.</w:t>
      </w:r>
      <w:r w:rsidR="00822E14">
        <w:t xml:space="preserve"> </w:t>
      </w:r>
      <w:r w:rsidR="00E2522A">
        <w:t>Compliance plans shall provide</w:t>
      </w:r>
      <w:r w:rsidRPr="00685757" w:rsidR="00685757">
        <w:t xml:space="preserve"> priority </w:t>
      </w:r>
      <w:r w:rsidR="00E2522A">
        <w:t>to</w:t>
      </w:r>
      <w:r w:rsidRPr="00685757" w:rsidR="00685757">
        <w:t xml:space="preserve"> </w:t>
      </w:r>
      <w:r w:rsidR="00E2522A">
        <w:t>attachments</w:t>
      </w:r>
      <w:r w:rsidRPr="00685757" w:rsidR="00685757">
        <w:t xml:space="preserve"> located in High Fire Threat District (HFTD) Tier 2 and Tier 3 areas. California's wildfire crisis makes structural data on poles in fire-prone areas the most safety-critical use case for the database. These poles represent a defined, mappable population available from the C</w:t>
      </w:r>
      <w:r w:rsidR="003F3493">
        <w:t>ommission’s</w:t>
      </w:r>
      <w:r w:rsidRPr="00685757" w:rsidR="00685757">
        <w:t xml:space="preserve"> existing HFTD maps. For example, Compliance Plans can propose full compliance </w:t>
      </w:r>
      <w:r w:rsidR="001E14AA">
        <w:t>on an expedited basis</w:t>
      </w:r>
      <w:r w:rsidRPr="00685757" w:rsidR="00685757">
        <w:t xml:space="preserve">. Many utilities are already conducting pole inspection and reinforcement work in HFTDs as part of their wildfire mitigation plans, offering </w:t>
      </w:r>
      <w:r w:rsidR="003A5B14">
        <w:t xml:space="preserve">a </w:t>
      </w:r>
      <w:r w:rsidRPr="00685757" w:rsidR="00685757">
        <w:t xml:space="preserve">significant opportunity to synergize the work efforts </w:t>
      </w:r>
      <w:r w:rsidR="00A43687">
        <w:t xml:space="preserve">currently underway </w:t>
      </w:r>
      <w:r w:rsidRPr="00685757" w:rsidR="00685757">
        <w:t>and</w:t>
      </w:r>
      <w:r w:rsidR="003A5B14">
        <w:t xml:space="preserve"> their attendant </w:t>
      </w:r>
      <w:r w:rsidRPr="00685757" w:rsidR="003A5B14">
        <w:t>costs</w:t>
      </w:r>
      <w:r w:rsidRPr="00685757" w:rsidR="00685757">
        <w:t>.</w:t>
      </w:r>
      <w:r w:rsidR="00DE42D6">
        <w:t xml:space="preserve"> </w:t>
      </w:r>
      <w:r w:rsidRPr="00685757" w:rsidR="00685757">
        <w:t xml:space="preserve">The remaining legacy poles are brought into full compliance at a specified rate for each 12-month period following adoption </w:t>
      </w:r>
      <w:r w:rsidRPr="00685757" w:rsidR="00685757">
        <w:lastRenderedPageBreak/>
        <w:t>of the Decision, such that all poles are in full compliance within a set number of years.</w:t>
      </w:r>
    </w:p>
    <w:p w:rsidRPr="00685757" w:rsidR="00685757" w:rsidP="00685757" w:rsidRDefault="007648BE" w14:paraId="50D52017" w14:textId="5BD7A54F">
      <w:pPr>
        <w:pStyle w:val="Standard"/>
      </w:pPr>
      <w:r>
        <w:t>Finally, we will</w:t>
      </w:r>
      <w:r w:rsidRPr="00685757" w:rsidR="00685757">
        <w:t xml:space="preserve"> require Compliance Plans to include annual reporting so the Commission can track progress, identify underperformers, and intervene before coverage is materially off-track. </w:t>
      </w:r>
    </w:p>
    <w:p w:rsidR="00342C9B" w:rsidP="00F76574" w:rsidRDefault="00C23F3D" w14:paraId="51CB8C87" w14:textId="4AFE17E1">
      <w:pPr>
        <w:pStyle w:val="IssueBullet"/>
      </w:pPr>
      <w:r>
        <w:t xml:space="preserve">Issue 2: </w:t>
      </w:r>
      <w:r w:rsidR="009C60CF">
        <w:t>D</w:t>
      </w:r>
      <w:r>
        <w:t xml:space="preserve">iscrete </w:t>
      </w:r>
      <w:r w:rsidR="009C60CF">
        <w:t>D</w:t>
      </w:r>
      <w:r>
        <w:t xml:space="preserve">ata </w:t>
      </w:r>
      <w:r w:rsidR="009C60CF">
        <w:t>P</w:t>
      </w:r>
      <w:r>
        <w:t>oints</w:t>
      </w:r>
    </w:p>
    <w:p w:rsidR="00B94C89" w:rsidP="00B94C89" w:rsidRDefault="00B94C89" w14:paraId="21D62EAD" w14:textId="53606D5E">
      <w:r>
        <w:t>The second new proposed Ordering Paragraph to D.21-10-019 would require that “[a]</w:t>
      </w:r>
      <w:proofErr w:type="spellStart"/>
      <w:r>
        <w:t>ll</w:t>
      </w:r>
      <w:proofErr w:type="spellEnd"/>
      <w:r>
        <w:t xml:space="preserve"> new PLCs performed for new installations or modifications must be stored as discrete, structured, and machine-readable data points” within the pole attachment databases. The Joint IOUs argue this requirement undercuts the P</w:t>
      </w:r>
      <w:r w:rsidR="00AF3B33">
        <w:t xml:space="preserve">roposed </w:t>
      </w:r>
      <w:r>
        <w:t>D</w:t>
      </w:r>
      <w:r w:rsidR="00AF3B33">
        <w:t>ecision</w:t>
      </w:r>
      <w:r>
        <w:t>’s own proposal to allow PLCs as a compliance vehicle, because it mandates extraction of individual data fields from those PLCs into separate database records.</w:t>
      </w:r>
    </w:p>
    <w:p w:rsidRPr="00A70E9E" w:rsidR="00B94C89" w:rsidP="00333F9A" w:rsidRDefault="00AF3B33" w14:paraId="30C9647C" w14:textId="12A7BEDA">
      <w:pPr>
        <w:pStyle w:val="SectionSub"/>
        <w:rPr>
          <w:b w:val="0"/>
          <w:bCs w:val="0"/>
        </w:rPr>
      </w:pPr>
      <w:r>
        <w:t>Discussion and Recommendations</w:t>
      </w:r>
    </w:p>
    <w:p w:rsidR="00B94C89" w:rsidP="00B94C89" w:rsidRDefault="00AF3B33" w14:paraId="3920C762" w14:textId="658FC1AC">
      <w:r>
        <w:t>We</w:t>
      </w:r>
      <w:r w:rsidR="00B94C89">
        <w:t xml:space="preserve"> agree that requiring manual extraction of discrete data points from PLCs </w:t>
      </w:r>
      <w:r w:rsidR="008103E2">
        <w:t>potentially conflicts</w:t>
      </w:r>
      <w:r w:rsidR="00B94C89">
        <w:t xml:space="preserve"> with Option 2 (using PLCs to satisfy Phase 2 obligations). The P</w:t>
      </w:r>
      <w:r w:rsidR="008103E2">
        <w:t xml:space="preserve">roposed </w:t>
      </w:r>
      <w:r w:rsidR="00B94C89">
        <w:t>D</w:t>
      </w:r>
      <w:r w:rsidR="008103E2">
        <w:t>ecision</w:t>
      </w:r>
      <w:r w:rsidR="00B94C89">
        <w:t xml:space="preserve">’s intent, as described in its narrative, </w:t>
      </w:r>
      <w:r w:rsidR="00600856">
        <w:t>is</w:t>
      </w:r>
      <w:r w:rsidR="00B94C89">
        <w:t xml:space="preserve"> that PLCs themselves serve as the compliance tool rather than </w:t>
      </w:r>
      <w:r w:rsidR="00600856">
        <w:t xml:space="preserve">require </w:t>
      </w:r>
      <w:r w:rsidR="00B94C89">
        <w:t xml:space="preserve">that PLC data be separately disaggregated. </w:t>
      </w:r>
    </w:p>
    <w:p w:rsidR="00B94C89" w:rsidP="00B94C89" w:rsidRDefault="00871E3E" w14:paraId="0F4CF98C" w14:textId="7D5803E3">
      <w:r>
        <w:t>The</w:t>
      </w:r>
      <w:r w:rsidR="00B94C89">
        <w:t xml:space="preserve"> Decision</w:t>
      </w:r>
      <w:r>
        <w:t xml:space="preserve"> will </w:t>
      </w:r>
      <w:r w:rsidR="00B94C89">
        <w:t>clarify that submission and retention of a time</w:t>
      </w:r>
      <w:r w:rsidR="008602F0">
        <w:t xml:space="preserve"> </w:t>
      </w:r>
      <w:r w:rsidR="00B94C89">
        <w:t xml:space="preserve">stamped PLC document satisfies the data point requirements for Phase 2 compliance. </w:t>
      </w:r>
      <w:r w:rsidR="00904068">
        <w:t>The Decision will also require that</w:t>
      </w:r>
      <w:r w:rsidR="00B94C89">
        <w:t xml:space="preserve"> the specific requirement to store data as “discrete, structured, and machine-readable data points” </w:t>
      </w:r>
      <w:r w:rsidR="00904068">
        <w:t>will</w:t>
      </w:r>
      <w:r w:rsidR="00B94C89">
        <w:t xml:space="preserve"> be modified to apply only to </w:t>
      </w:r>
      <w:r w:rsidR="00323F59">
        <w:t>attachments</w:t>
      </w:r>
      <w:r w:rsidR="00B94C89">
        <w:t xml:space="preserve"> that </w:t>
      </w:r>
      <w:r w:rsidR="00323F59">
        <w:t>do not utilize a PLC</w:t>
      </w:r>
      <w:r w:rsidR="007E2931">
        <w:t xml:space="preserve"> for compliance</w:t>
      </w:r>
      <w:r w:rsidR="00DF1A4D">
        <w:t xml:space="preserve"> for specified datapoints</w:t>
      </w:r>
      <w:r w:rsidR="00B94C89">
        <w:t>.</w:t>
      </w:r>
    </w:p>
    <w:p w:rsidR="00C23F3D" w:rsidP="00F76574" w:rsidRDefault="005E1AD0" w14:paraId="06C267BE" w14:textId="42493227">
      <w:pPr>
        <w:pStyle w:val="IssueBullet"/>
      </w:pPr>
      <w:r>
        <w:lastRenderedPageBreak/>
        <w:t xml:space="preserve">Issue 3: </w:t>
      </w:r>
      <w:r w:rsidR="005060B1">
        <w:t>S</w:t>
      </w:r>
      <w:r>
        <w:t xml:space="preserve">ystem of </w:t>
      </w:r>
      <w:r w:rsidR="005060B1">
        <w:t>R</w:t>
      </w:r>
      <w:r>
        <w:t xml:space="preserve">ecord </w:t>
      </w:r>
      <w:r w:rsidR="005060B1">
        <w:t>R</w:t>
      </w:r>
      <w:r>
        <w:t>equirement</w:t>
      </w:r>
    </w:p>
    <w:p w:rsidR="002A37CC" w:rsidP="002A37CC" w:rsidRDefault="002A37CC" w14:paraId="45B76061" w14:textId="035ED236">
      <w:r>
        <w:t>The P</w:t>
      </w:r>
      <w:r w:rsidR="005F5393">
        <w:t xml:space="preserve">roposed </w:t>
      </w:r>
      <w:r>
        <w:t>D</w:t>
      </w:r>
      <w:r w:rsidR="005F5393">
        <w:t>ecision</w:t>
      </w:r>
      <w:r>
        <w:t xml:space="preserve"> </w:t>
      </w:r>
      <w:r w:rsidR="008F0547">
        <w:t>requires that</w:t>
      </w:r>
      <w:r>
        <w:t xml:space="preserve"> each Major Pole Owner “shall use their respective pole attachment databases as their official repository and system of record for all future Pole Loading Calculations.” The Joint IOUs argue this is incompatible with existing utility asset management architecture (SAP, GIS, work management systems), would create cybersecurity and data governance risks, undermine data integrity, and impose significant ongoing ratepayer costs.</w:t>
      </w:r>
    </w:p>
    <w:p w:rsidRPr="00721592" w:rsidR="002A37CC" w:rsidP="00F00822" w:rsidRDefault="005F5393" w14:paraId="26F937C4" w14:textId="0F915BE3">
      <w:pPr>
        <w:pStyle w:val="SectionSub"/>
        <w:rPr>
          <w:b w:val="0"/>
          <w:bCs w:val="0"/>
        </w:rPr>
      </w:pPr>
      <w:r>
        <w:t xml:space="preserve">Discussion and </w:t>
      </w:r>
      <w:r w:rsidR="000D6535">
        <w:t>Recommendations</w:t>
      </w:r>
    </w:p>
    <w:p w:rsidR="002A37CC" w:rsidP="002A37CC" w:rsidRDefault="005F5393" w14:paraId="5A738616" w14:textId="3385F874">
      <w:r>
        <w:t>The Commission</w:t>
      </w:r>
      <w:r w:rsidR="002A37CC">
        <w:t xml:space="preserve"> partially agrees</w:t>
      </w:r>
      <w:r w:rsidR="000D6535">
        <w:t xml:space="preserve"> with the Joint IOUs’ concerns</w:t>
      </w:r>
      <w:r w:rsidR="002A37CC">
        <w:t xml:space="preserve">. That said, </w:t>
      </w:r>
      <w:r w:rsidR="008F0547">
        <w:t xml:space="preserve">the Commission has </w:t>
      </w:r>
      <w:r w:rsidR="002A37CC">
        <w:t xml:space="preserve">a legitimate interest in ensuring PLCs are not siloed in proprietary systems inaccessible to attachers, government entities, or Commission staff. </w:t>
      </w:r>
      <w:r w:rsidR="00AF7399">
        <w:t>Rather than</w:t>
      </w:r>
      <w:r w:rsidR="002A37CC">
        <w:t xml:space="preserve"> designate the pole database as the authoritative system of record, </w:t>
      </w:r>
      <w:r w:rsidR="00AF7399">
        <w:t>we</w:t>
      </w:r>
      <w:r w:rsidR="002A37CC">
        <w:t xml:space="preserve"> require that PLCs performed for new or modified attachments be uploaded to the pole database in a timely manner. This preserves the utility’s enterprise architecture while ensuring the database reflects current conditions.</w:t>
      </w:r>
    </w:p>
    <w:p w:rsidR="002A37CC" w:rsidP="002A37CC" w:rsidRDefault="003D5AD3" w14:paraId="1F72154F" w14:textId="009E69F9">
      <w:r>
        <w:t>As such</w:t>
      </w:r>
      <w:r w:rsidR="00466FED">
        <w:t>, we will modify the requirement as follows:</w:t>
      </w:r>
      <w:r w:rsidR="002A37CC">
        <w:t xml:space="preserve"> utilities need not designate the pole database as their system of </w:t>
      </w:r>
      <w:r w:rsidR="00BE4506">
        <w:t>record but</w:t>
      </w:r>
      <w:r w:rsidR="002A37CC">
        <w:t xml:space="preserve"> must upload each new PLC to the pole database within 30 days of completion. </w:t>
      </w:r>
      <w:r w:rsidR="00B22F07">
        <w:t>We will strike</w:t>
      </w:r>
      <w:r w:rsidR="002A37CC">
        <w:t xml:space="preserve"> the “system of record” language and substitute it </w:t>
      </w:r>
      <w:r w:rsidR="00F6263D">
        <w:t>with</w:t>
      </w:r>
      <w:r w:rsidR="002A37CC">
        <w:t xml:space="preserve"> a timely (</w:t>
      </w:r>
      <w:r w:rsidR="004E66F1">
        <w:t>30-day</w:t>
      </w:r>
      <w:r w:rsidR="002A37CC">
        <w:t>) requirement to upload PLCs.</w:t>
      </w:r>
    </w:p>
    <w:p w:rsidR="00390D47" w:rsidP="00F76574" w:rsidRDefault="000D32B9" w14:paraId="3301D37C" w14:textId="0C015EC3">
      <w:pPr>
        <w:pStyle w:val="IssueBullet"/>
      </w:pPr>
      <w:r>
        <w:t xml:space="preserve">Issue 4: </w:t>
      </w:r>
      <w:r w:rsidR="00C62569">
        <w:t>T</w:t>
      </w:r>
      <w:r>
        <w:t xml:space="preserve">imestamp </w:t>
      </w:r>
      <w:r w:rsidR="00C62569">
        <w:t>R</w:t>
      </w:r>
      <w:r>
        <w:t xml:space="preserve">equirement for </w:t>
      </w:r>
      <w:r w:rsidR="00F6263D">
        <w:t>D</w:t>
      </w:r>
      <w:r>
        <w:t xml:space="preserve">ata </w:t>
      </w:r>
      <w:r w:rsidR="00F6263D">
        <w:t>C</w:t>
      </w:r>
      <w:r>
        <w:t xml:space="preserve">hanges and OTMR </w:t>
      </w:r>
      <w:r w:rsidR="00F6263D">
        <w:t>C</w:t>
      </w:r>
      <w:r>
        <w:t>onflicts</w:t>
      </w:r>
    </w:p>
    <w:p w:rsidR="00D8004F" w:rsidP="00D8004F" w:rsidRDefault="00D8004F" w14:paraId="0F51FBA0" w14:textId="2DF2EAC2">
      <w:r>
        <w:t>The P</w:t>
      </w:r>
      <w:r w:rsidR="00BE4506">
        <w:t xml:space="preserve">roposed </w:t>
      </w:r>
      <w:r>
        <w:t>D</w:t>
      </w:r>
      <w:r w:rsidR="00BE4506">
        <w:t>ecision requires</w:t>
      </w:r>
      <w:r>
        <w:t xml:space="preserve"> that databases retain version history by including a timestamp when existing data is modified and when new data is uploaded, intended to address OTMR rearrangements that may alter another </w:t>
      </w:r>
      <w:r>
        <w:lastRenderedPageBreak/>
        <w:t>party’s attachment data without a corresponding update by the attachment owner.</w:t>
      </w:r>
    </w:p>
    <w:p w:rsidRPr="007C7307" w:rsidR="00F6263D" w:rsidP="009E60D7" w:rsidRDefault="00457C4B" w14:paraId="1E0FFC36" w14:textId="36CDD254">
      <w:pPr>
        <w:pStyle w:val="SectionSub"/>
        <w:rPr>
          <w:b w:val="0"/>
          <w:bCs w:val="0"/>
        </w:rPr>
      </w:pPr>
      <w:r>
        <w:t>Discussion and Recommendations</w:t>
      </w:r>
    </w:p>
    <w:p w:rsidR="00D8004F" w:rsidP="00D8004F" w:rsidRDefault="00D8004F" w14:paraId="3D8F5D92" w14:textId="34B1B2F3">
      <w:r>
        <w:t>The Joint IOUs state there is ambiguity in whether the P</w:t>
      </w:r>
      <w:r w:rsidR="00CB3F5F">
        <w:t xml:space="preserve">roposed </w:t>
      </w:r>
      <w:r>
        <w:t>D</w:t>
      </w:r>
      <w:r w:rsidR="00CB3F5F">
        <w:t>ecision</w:t>
      </w:r>
      <w:r>
        <w:t xml:space="preserve">’s intention is for (a) periodic database snapshots or (b) field-level timestamps. </w:t>
      </w:r>
      <w:r w:rsidR="00CB3F5F">
        <w:t>We agree that</w:t>
      </w:r>
      <w:r>
        <w:t xml:space="preserve"> field-level timestamps present implementation challenges. The PLC-based approach can resolve this concern; each OTMR rearrangement requires a new PLC, which contains an inherent timestamp. However, the OTMR data accountability gap is a </w:t>
      </w:r>
      <w:r w:rsidR="004434E7">
        <w:t>concern</w:t>
      </w:r>
      <w:r>
        <w:t xml:space="preserve"> that the Commission should address. </w:t>
      </w:r>
    </w:p>
    <w:p w:rsidR="00D8004F" w:rsidP="00D8004F" w:rsidRDefault="001E4596" w14:paraId="30926A0A" w14:textId="6B9A3242">
      <w:r>
        <w:t xml:space="preserve">We will adopt </w:t>
      </w:r>
      <w:r w:rsidR="00D8004F">
        <w:t xml:space="preserve">a hybrid approach: </w:t>
      </w:r>
      <w:r>
        <w:t xml:space="preserve">we will </w:t>
      </w:r>
      <w:r w:rsidR="00D8004F">
        <w:t>require that any PLC uploaded to the pole database include the date of the PLC, which serves as a timestamp for the new/modified attachment configuration and the pole’s updated status. For utilities not using PLC option</w:t>
      </w:r>
      <w:r w:rsidR="00DF1A4D">
        <w:t xml:space="preserve"> for specified datapoints</w:t>
      </w:r>
      <w:r w:rsidR="00D8004F">
        <w:t>, a data modification timestamp remains appropriate.</w:t>
      </w:r>
    </w:p>
    <w:p w:rsidR="00D8004F" w:rsidP="00F76574" w:rsidRDefault="002A599E" w14:paraId="75ED3751" w14:textId="449A343F">
      <w:pPr>
        <w:pStyle w:val="IssueBullet"/>
      </w:pPr>
      <w:r>
        <w:t xml:space="preserve">Issue 5: </w:t>
      </w:r>
      <w:r w:rsidR="00F6263D">
        <w:t>C</w:t>
      </w:r>
      <w:r>
        <w:t xml:space="preserve">ompliance </w:t>
      </w:r>
      <w:r w:rsidR="00F6263D">
        <w:t>T</w:t>
      </w:r>
      <w:r>
        <w:t>iming for Options 2 and 3</w:t>
      </w:r>
    </w:p>
    <w:p w:rsidR="00A96CD7" w:rsidP="00A96CD7" w:rsidRDefault="00A96CD7" w14:paraId="3D0BD0A8" w14:textId="4B19D9C8">
      <w:r>
        <w:t>The Joint IOUs state that the P</w:t>
      </w:r>
      <w:r w:rsidR="00E61F54">
        <w:t xml:space="preserve">roposed </w:t>
      </w:r>
      <w:r>
        <w:t>D</w:t>
      </w:r>
      <w:r w:rsidR="00E61F54">
        <w:t>ecision</w:t>
      </w:r>
      <w:r>
        <w:t xml:space="preserve"> provides three compliance pathways but does not specify a compliance deadline for Option 2. For Option 3, a Tier 2 Advice Letter must be filed within 60 days of the decision’s effective date, which would fall after the existing June 9, 2026</w:t>
      </w:r>
      <w:r w:rsidR="0028308A">
        <w:t>,</w:t>
      </w:r>
      <w:r>
        <w:t xml:space="preserve"> deadline under D.21-10-019. The Joint IOUs are concerned that utilities choosing Options 2 or 3 could be found out of compliance before the new pathways are operative.</w:t>
      </w:r>
    </w:p>
    <w:p w:rsidRPr="007C7307" w:rsidR="00A96CD7" w:rsidP="004938C9" w:rsidRDefault="0030076B" w14:paraId="09507F32" w14:textId="4B753170">
      <w:pPr>
        <w:pStyle w:val="SectionSub"/>
        <w:rPr>
          <w:b w:val="0"/>
          <w:bCs w:val="0"/>
        </w:rPr>
      </w:pPr>
      <w:r>
        <w:t>Discussion and Recommendation</w:t>
      </w:r>
    </w:p>
    <w:p w:rsidR="00710015" w:rsidP="00A96CD7" w:rsidRDefault="00A96CD7" w14:paraId="7DC1EA4C" w14:textId="77777777">
      <w:r>
        <w:t>This is a legitimate procedural concern stemming from the timing of the adoption of a final Decision.</w:t>
      </w:r>
      <w:r w:rsidR="002A01D0">
        <w:t xml:space="preserve"> Thus, we will </w:t>
      </w:r>
      <w:r w:rsidR="000542E1">
        <w:t>extend the compliance deadline</w:t>
      </w:r>
      <w:r w:rsidR="008368F6">
        <w:t xml:space="preserve">, as modified by the </w:t>
      </w:r>
      <w:r w:rsidR="00EB72CC">
        <w:t>Executive Director,</w:t>
      </w:r>
      <w:r w:rsidR="000542E1">
        <w:t xml:space="preserve"> from June 9, 2026</w:t>
      </w:r>
      <w:r w:rsidR="007D04D0">
        <w:t>,</w:t>
      </w:r>
      <w:r w:rsidR="000542E1">
        <w:t xml:space="preserve"> to June 9, 2027.</w:t>
      </w:r>
      <w:r w:rsidR="00692348">
        <w:t xml:space="preserve"> </w:t>
      </w:r>
    </w:p>
    <w:p w:rsidR="00A96CD7" w:rsidP="00A96CD7" w:rsidRDefault="00692348" w14:paraId="702C638C" w14:textId="35994C90">
      <w:r>
        <w:lastRenderedPageBreak/>
        <w:t>Utilities that have</w:t>
      </w:r>
      <w:r w:rsidR="00700049">
        <w:t xml:space="preserve"> determined compliance is not possible within this time period are required to file a </w:t>
      </w:r>
      <w:r w:rsidR="002D6561">
        <w:t>Compliance Plan</w:t>
      </w:r>
      <w:r w:rsidR="00700049">
        <w:t>.</w:t>
      </w:r>
      <w:r w:rsidR="001E4F2B">
        <w:t xml:space="preserve"> Compliance plans </w:t>
      </w:r>
      <w:r w:rsidR="00626516">
        <w:t>must be</w:t>
      </w:r>
      <w:r w:rsidR="00A503D9">
        <w:t xml:space="preserve"> </w:t>
      </w:r>
      <w:r w:rsidR="00710015">
        <w:t>filed</w:t>
      </w:r>
      <w:r w:rsidR="00626516">
        <w:t xml:space="preserve"> within 90 days of </w:t>
      </w:r>
      <w:r w:rsidRPr="00710015" w:rsidR="00710015">
        <w:t>adoption of a final Decision</w:t>
      </w:r>
      <w:r w:rsidR="00710015">
        <w:t>.</w:t>
      </w:r>
    </w:p>
    <w:p w:rsidR="002A599E" w:rsidP="00157E83" w:rsidRDefault="0042475E" w14:paraId="02F5CA03" w14:textId="550D5C1C">
      <w:pPr>
        <w:pStyle w:val="Heading3"/>
      </w:pPr>
      <w:bookmarkStart w:name="_Toc229726787" w:id="79"/>
      <w:r>
        <w:t>Rights-of</w:t>
      </w:r>
      <w:r w:rsidR="00C377D1">
        <w:t>-</w:t>
      </w:r>
      <w:r>
        <w:t>Way Rules (GO 178)</w:t>
      </w:r>
      <w:bookmarkEnd w:id="79"/>
    </w:p>
    <w:p w:rsidR="004F6203" w:rsidP="00F76574" w:rsidRDefault="004825B1" w14:paraId="1023316E" w14:textId="6CE66A90">
      <w:pPr>
        <w:pStyle w:val="IssueBullet"/>
      </w:pPr>
      <w:r>
        <w:t xml:space="preserve">Issue 6: </w:t>
      </w:r>
      <w:r w:rsidR="00586F96">
        <w:t>A</w:t>
      </w:r>
      <w:r>
        <w:t xml:space="preserve">nnual </w:t>
      </w:r>
      <w:r w:rsidR="00586F96">
        <w:t>R</w:t>
      </w:r>
      <w:r>
        <w:t xml:space="preserve">eporting on </w:t>
      </w:r>
      <w:r w:rsidR="00586F96">
        <w:t>U</w:t>
      </w:r>
      <w:r>
        <w:t xml:space="preserve">nauthorized </w:t>
      </w:r>
      <w:r w:rsidR="00586F96">
        <w:t>A</w:t>
      </w:r>
      <w:r>
        <w:t>ttachments</w:t>
      </w:r>
    </w:p>
    <w:p w:rsidR="00813E2E" w:rsidP="00813E2E" w:rsidRDefault="00813E2E" w14:paraId="1BAAF62F" w14:textId="0A104BBF">
      <w:r>
        <w:t>The P</w:t>
      </w:r>
      <w:r w:rsidR="003C2527">
        <w:t xml:space="preserve">roposed </w:t>
      </w:r>
      <w:r>
        <w:t>D</w:t>
      </w:r>
      <w:r w:rsidR="003C2527">
        <w:t>ecision adopts</w:t>
      </w:r>
      <w:r>
        <w:t xml:space="preserve"> an annual compliance filing requirement where utilities must report info/stats on unauthorized attachments to the Commission. The Joint IOUs argue this imposes new administrative burdens without improving resolution timelines or safety outcomes.</w:t>
      </w:r>
    </w:p>
    <w:p w:rsidRPr="007906BF" w:rsidR="00813E2E" w:rsidP="00401BEB" w:rsidRDefault="007D04D0" w14:paraId="08B32C24" w14:textId="2B6AE836">
      <w:pPr>
        <w:pStyle w:val="SectionSub"/>
        <w:rPr>
          <w:b w:val="0"/>
          <w:bCs w:val="0"/>
        </w:rPr>
      </w:pPr>
      <w:r>
        <w:t>Discussion and Recommendation</w:t>
      </w:r>
    </w:p>
    <w:p w:rsidR="00813E2E" w:rsidP="00813E2E" w:rsidRDefault="00813E2E" w14:paraId="5CB103FE" w14:textId="5DCD8167">
      <w:r>
        <w:t xml:space="preserve">The Commission has an interest in monitoring the prevalence of unauthorized attachments as part of its oversight of ROW issues. Annual reporting will give the Commission visibility into systemic issues and industry-wide trends. </w:t>
      </w:r>
      <w:r w:rsidR="000D6667">
        <w:t>As such, the Commission will maintain this requirement.</w:t>
      </w:r>
    </w:p>
    <w:p w:rsidR="004825B1" w:rsidP="00F76574" w:rsidRDefault="00813E2E" w14:paraId="5DBEC238" w14:textId="49C12004">
      <w:pPr>
        <w:pStyle w:val="IssueBullet"/>
      </w:pPr>
      <w:r>
        <w:t>Issue 7:</w:t>
      </w:r>
      <w:r w:rsidR="00933D4B">
        <w:t xml:space="preserve"> </w:t>
      </w:r>
      <w:r w:rsidR="00586F96">
        <w:t>S</w:t>
      </w:r>
      <w:r w:rsidR="00933D4B">
        <w:t>elf-</w:t>
      </w:r>
      <w:r w:rsidR="00586F96">
        <w:t>H</w:t>
      </w:r>
      <w:r w:rsidR="00933D4B">
        <w:t xml:space="preserve">elp for </w:t>
      </w:r>
      <w:r w:rsidR="00586F96">
        <w:t>S</w:t>
      </w:r>
      <w:r w:rsidR="00933D4B">
        <w:t xml:space="preserve">imple </w:t>
      </w:r>
      <w:r w:rsidR="00586F96">
        <w:t>P</w:t>
      </w:r>
      <w:r w:rsidR="00933D4B">
        <w:t xml:space="preserve">ole </w:t>
      </w:r>
      <w:r w:rsidR="00586F96">
        <w:t>A</w:t>
      </w:r>
      <w:r w:rsidR="00933D4B">
        <w:t>ttachments</w:t>
      </w:r>
    </w:p>
    <w:p w:rsidRPr="0069144F" w:rsidR="002D273B" w:rsidP="002D273B" w:rsidRDefault="002D273B" w14:paraId="4E2ED1C7" w14:textId="2583386C">
      <w:r>
        <w:t>The P</w:t>
      </w:r>
      <w:r w:rsidR="008B0B72">
        <w:t xml:space="preserve">roposed </w:t>
      </w:r>
      <w:r>
        <w:t>D</w:t>
      </w:r>
      <w:r w:rsidR="008B0B72">
        <w:t>ecision</w:t>
      </w:r>
      <w:r>
        <w:t xml:space="preserve">’s </w:t>
      </w:r>
      <w:r w:rsidR="008B0B72">
        <w:t>e</w:t>
      </w:r>
      <w:r>
        <w:t>dits to GO 178 include adding:</w:t>
      </w:r>
    </w:p>
    <w:p w:rsidRPr="0069144F" w:rsidR="002D273B" w:rsidP="00F76574" w:rsidRDefault="002D273B" w14:paraId="7532A15F" w14:textId="77777777">
      <w:pPr>
        <w:ind w:left="1440" w:right="1440" w:firstLine="0"/>
      </w:pPr>
      <w:r>
        <w:t>“</w:t>
      </w:r>
      <w:r w:rsidRPr="0069144F">
        <w:t>In instances wherein a pole can be replaced with minimal disruption (e.g., does not have electric facilities or does not require deenergization), an attacher may utilize the Self-Help Remedy procedures outlined herein.</w:t>
      </w:r>
      <w:r>
        <w:t>”</w:t>
      </w:r>
    </w:p>
    <w:p w:rsidR="002D273B" w:rsidP="00F76574" w:rsidRDefault="002D273B" w14:paraId="3265B0CC" w14:textId="345C1F5A">
      <w:pPr>
        <w:ind w:firstLine="0"/>
      </w:pPr>
      <w:r>
        <w:t>Here, the P</w:t>
      </w:r>
      <w:r w:rsidR="00A811E1">
        <w:t xml:space="preserve">roposed </w:t>
      </w:r>
      <w:r>
        <w:t>D</w:t>
      </w:r>
      <w:r w:rsidR="00A811E1">
        <w:t>ecision</w:t>
      </w:r>
      <w:r>
        <w:t xml:space="preserve"> authorizes a self-help remedy allowing attachers to perform “simple pole replacements” where a pole can be replaced with “minimal disruption.” </w:t>
      </w:r>
    </w:p>
    <w:p w:rsidR="002D273B" w:rsidP="002D273B" w:rsidRDefault="002D273B" w14:paraId="023C628C" w14:textId="77777777">
      <w:r>
        <w:t xml:space="preserve">The Joint IOUs argue the provision, as written, could permit self-help on poles with energized electric facilities, creating safety and liability risks. They </w:t>
      </w:r>
      <w:r>
        <w:lastRenderedPageBreak/>
        <w:t>request the Commission: (1) prohibit self-help for any pole bearing electric facilities or requiring deenergization, or alternatively, (2) modify the GO 178 language to expressly limit simple pole replacements to poles with no electric facilities and no deenergization requirement.</w:t>
      </w:r>
    </w:p>
    <w:p w:rsidRPr="004D4546" w:rsidR="002D273B" w:rsidP="00401BEB" w:rsidRDefault="0036697F" w14:paraId="619D3F91" w14:textId="584520D0">
      <w:pPr>
        <w:pStyle w:val="SectionSub"/>
        <w:rPr>
          <w:b w:val="0"/>
          <w:bCs w:val="0"/>
        </w:rPr>
      </w:pPr>
      <w:r>
        <w:t>Discussion an</w:t>
      </w:r>
      <w:r w:rsidR="003B55B5">
        <w:t>d</w:t>
      </w:r>
      <w:r>
        <w:t xml:space="preserve"> Recommendations</w:t>
      </w:r>
    </w:p>
    <w:p w:rsidR="002D273B" w:rsidP="002D273B" w:rsidRDefault="00D56976" w14:paraId="4736A5DA" w14:textId="0841D8C7">
      <w:r>
        <w:t>The Commission</w:t>
      </w:r>
      <w:r w:rsidR="002D273B">
        <w:t xml:space="preserve"> generally agrees with the Joint IOU’s overarching concerns on this issue and believes clarification is warranted. The existing “minimal disruption” language </w:t>
      </w:r>
      <w:r w:rsidR="00CC70CB">
        <w:t xml:space="preserve">could </w:t>
      </w:r>
      <w:r w:rsidR="002D273B">
        <w:t xml:space="preserve">be </w:t>
      </w:r>
      <w:r w:rsidR="00CC70CB">
        <w:t>inter</w:t>
      </w:r>
      <w:r w:rsidR="00F6273C">
        <w:t>preted</w:t>
      </w:r>
      <w:r w:rsidR="002D273B">
        <w:t xml:space="preserve"> to allow self-help in situations involving </w:t>
      </w:r>
      <w:proofErr w:type="spellStart"/>
      <w:r w:rsidR="009E6B3D">
        <w:t>deenergization</w:t>
      </w:r>
      <w:proofErr w:type="spellEnd"/>
      <w:r w:rsidR="002D273B">
        <w:t xml:space="preserve"> infrastructure. However, </w:t>
      </w:r>
      <w:r w:rsidR="00F6273C">
        <w:t>the Commission</w:t>
      </w:r>
      <w:r w:rsidR="002D273B">
        <w:t xml:space="preserve"> disagrees with the Joint </w:t>
      </w:r>
      <w:r w:rsidR="00A84883">
        <w:t>IOUs'</w:t>
      </w:r>
      <w:r w:rsidR="002D273B">
        <w:t xml:space="preserve"> alternative language options because they are too restrictive.</w:t>
      </w:r>
      <w:r w:rsidR="00A84883">
        <w:t xml:space="preserve"> Instead, w</w:t>
      </w:r>
      <w:r w:rsidR="006A0B28">
        <w:t>e will modify</w:t>
      </w:r>
      <w:r w:rsidR="002D273B">
        <w:t xml:space="preserve"> the P</w:t>
      </w:r>
      <w:r w:rsidR="006A0B28">
        <w:t xml:space="preserve">roposed </w:t>
      </w:r>
      <w:r w:rsidR="002D273B">
        <w:t>D</w:t>
      </w:r>
      <w:r w:rsidR="006A0B28">
        <w:t>ecision</w:t>
      </w:r>
      <w:r w:rsidR="002D273B">
        <w:t xml:space="preserve"> and GO 178 Section IV.E.3.b.1 to expressly state that self-help for simple pole replacements is not available for poles that would require </w:t>
      </w:r>
      <w:proofErr w:type="spellStart"/>
      <w:r w:rsidR="002D273B">
        <w:t>deenergization</w:t>
      </w:r>
      <w:proofErr w:type="spellEnd"/>
      <w:r w:rsidR="002D273B">
        <w:t xml:space="preserve">. </w:t>
      </w:r>
    </w:p>
    <w:p w:rsidR="00933D4B" w:rsidP="00F76574" w:rsidRDefault="00A131CE" w14:paraId="22A1186A" w14:textId="42102870">
      <w:pPr>
        <w:pStyle w:val="IssueBullet"/>
      </w:pPr>
      <w:r>
        <w:t xml:space="preserve">Issue 8: </w:t>
      </w:r>
      <w:r w:rsidR="00392AAD">
        <w:t>S</w:t>
      </w:r>
      <w:r>
        <w:t>elf-</w:t>
      </w:r>
      <w:r w:rsidR="00392AAD">
        <w:t>H</w:t>
      </w:r>
      <w:r>
        <w:t xml:space="preserve">elp </w:t>
      </w:r>
      <w:r w:rsidR="00392AAD">
        <w:t>P</w:t>
      </w:r>
      <w:r>
        <w:t xml:space="preserve">ole </w:t>
      </w:r>
      <w:r w:rsidR="00392AAD">
        <w:t>R</w:t>
      </w:r>
      <w:r>
        <w:t xml:space="preserve">eplacement </w:t>
      </w:r>
      <w:r w:rsidR="00392AAD">
        <w:t>L</w:t>
      </w:r>
      <w:r>
        <w:t>iability</w:t>
      </w:r>
    </w:p>
    <w:p w:rsidR="001145D7" w:rsidP="001145D7" w:rsidRDefault="001145D7" w14:paraId="60C1675A" w14:textId="61906DBD">
      <w:r>
        <w:t xml:space="preserve">The Joint IOUs argue the proposed </w:t>
      </w:r>
      <w:r w:rsidRPr="0099256B">
        <w:t xml:space="preserve">Self-Help Pole Replacement </w:t>
      </w:r>
      <w:r>
        <w:t>framework creates inequitable liability exposure because after an attacher replaces a pole, the utility inherits long-term ownership, inspection, and maintenance obligations for an asset it did not specify, procure, or install. They request the P</w:t>
      </w:r>
      <w:r w:rsidR="00A84883">
        <w:t xml:space="preserve">roposed </w:t>
      </w:r>
      <w:r>
        <w:t>D</w:t>
      </w:r>
      <w:r w:rsidR="00A84883">
        <w:t>ecision</w:t>
      </w:r>
      <w:r>
        <w:t xml:space="preserve"> specify that the standardized self-help agreement must include full indemnification, immediate defense obligations, insurance, and bonding requirements exceeding typical pole attachment arrangements. They also request that Section IV.E.3.b.2 (which allows a utility’s post-installation inspection to relieve the attacher of liability) be stricken.</w:t>
      </w:r>
    </w:p>
    <w:p w:rsidRPr="003E3848" w:rsidR="001145D7" w:rsidP="00897E98" w:rsidRDefault="00E420C0" w14:paraId="76A6D157" w14:textId="05B4C032">
      <w:pPr>
        <w:pStyle w:val="SectionSub"/>
        <w:rPr>
          <w:b w:val="0"/>
          <w:bCs w:val="0"/>
        </w:rPr>
      </w:pPr>
      <w:r>
        <w:t>Discussion and Recommendations</w:t>
      </w:r>
    </w:p>
    <w:p w:rsidR="00352594" w:rsidP="001145D7" w:rsidRDefault="00085708" w14:paraId="288B6E6D" w14:textId="77777777">
      <w:r>
        <w:t>The Commission</w:t>
      </w:r>
      <w:r w:rsidR="001145D7">
        <w:t xml:space="preserve"> agrees that a</w:t>
      </w:r>
      <w:r>
        <w:t>n</w:t>
      </w:r>
      <w:r w:rsidR="001145D7">
        <w:t xml:space="preserve"> indemnification framework is important for any self-help pole replacement framework. Utilities will inherit lifecycle </w:t>
      </w:r>
      <w:r w:rsidR="001145D7">
        <w:lastRenderedPageBreak/>
        <w:t>ownership of assets they did not procure or install, and post-installation inspections may not be able to catch all defects. That said, the Joint IOUs appear to agree that th</w:t>
      </w:r>
      <w:r w:rsidR="00142E75">
        <w:t>is</w:t>
      </w:r>
      <w:r w:rsidR="001145D7">
        <w:t xml:space="preserve"> issue can be resolved under the standardized self-help agreement (to be developed by the pole owners and submitted as a Tier 3 Advice Letter for Commission review and approval). </w:t>
      </w:r>
    </w:p>
    <w:p w:rsidR="001145D7" w:rsidP="001145D7" w:rsidRDefault="00B02BEE" w14:paraId="16760602" w14:textId="00E24B2C">
      <w:r>
        <w:t>The Commission</w:t>
      </w:r>
      <w:r w:rsidR="001145D7">
        <w:t xml:space="preserve"> </w:t>
      </w:r>
      <w:r w:rsidR="00885F57">
        <w:t xml:space="preserve">also </w:t>
      </w:r>
      <w:r w:rsidR="001145D7">
        <w:t>agrees that the standardized agreement should include enhanced indemnification, immediate defense obligations, and bonding requirements.</w:t>
      </w:r>
      <w:r w:rsidR="00352594">
        <w:t xml:space="preserve"> </w:t>
      </w:r>
      <w:r w:rsidR="00FF209B">
        <w:t>We will</w:t>
      </w:r>
      <w:r w:rsidR="001145D7">
        <w:t xml:space="preserve"> direct pole owners to develop a self-help agreement that includes sufficient indemnification, immediate defense, enhanced insurance, and bonding requirements. </w:t>
      </w:r>
      <w:r w:rsidRPr="00DF1A4D" w:rsidR="00DF1A4D">
        <w:t xml:space="preserve"> The new section IV.E.3.b.2 </w:t>
      </w:r>
      <w:r w:rsidR="00DF1A4D">
        <w:t>will strike</w:t>
      </w:r>
      <w:r w:rsidRPr="00DF1A4D" w:rsidR="00DF1A4D">
        <w:t xml:space="preserve"> the sentence</w:t>
      </w:r>
      <w:r w:rsidR="00D44BDE">
        <w:t>,</w:t>
      </w:r>
      <w:r w:rsidRPr="00DF1A4D" w:rsidR="00DF1A4D">
        <w:t xml:space="preserve"> “</w:t>
      </w:r>
      <w:r w:rsidR="00D44BDE">
        <w:t>I</w:t>
      </w:r>
      <w:r w:rsidRPr="00DF1A4D" w:rsidR="00DF1A4D">
        <w:t xml:space="preserve">f no problems are identified, the pole owner shall formally accept the installation and relieve the attacher of liability for the installation.”   </w:t>
      </w:r>
      <w:r w:rsidR="00DF1A4D">
        <w:t>S</w:t>
      </w:r>
      <w:r w:rsidRPr="00DF1A4D" w:rsidR="00DF1A4D">
        <w:t>eparately, the section IV.E.4 requires Standardized Self Help Agreements to “specify indemnity, liability, and dispute resolution provisions</w:t>
      </w:r>
      <w:r w:rsidR="003875EE">
        <w:t xml:space="preserve"> consistent with this General Order.</w:t>
      </w:r>
      <w:r w:rsidRPr="00DF1A4D" w:rsidR="00DF1A4D">
        <w:t>”</w:t>
      </w:r>
    </w:p>
    <w:p w:rsidR="002E6C2F" w:rsidP="00F76574" w:rsidRDefault="001145D7" w14:paraId="4E952094" w14:textId="04B0DA53">
      <w:pPr>
        <w:pStyle w:val="IssueBullet"/>
      </w:pPr>
      <w:r>
        <w:t xml:space="preserve">Issue 9: </w:t>
      </w:r>
      <w:r w:rsidR="00885F57">
        <w:t>S</w:t>
      </w:r>
      <w:r>
        <w:t>elf-</w:t>
      </w:r>
      <w:r w:rsidR="00885F57">
        <w:t>H</w:t>
      </w:r>
      <w:r>
        <w:t xml:space="preserve">elp </w:t>
      </w:r>
      <w:r w:rsidR="00885F57">
        <w:t>W</w:t>
      </w:r>
      <w:r>
        <w:t xml:space="preserve">orkshop </w:t>
      </w:r>
      <w:r w:rsidR="00885F57">
        <w:t>T</w:t>
      </w:r>
      <w:r w:rsidR="00545B11">
        <w:t>iming</w:t>
      </w:r>
    </w:p>
    <w:p w:rsidR="00A35247" w:rsidP="00A35247" w:rsidRDefault="00A35247" w14:paraId="4DFA8469" w14:textId="3DDAD3EB">
      <w:r>
        <w:t>The P</w:t>
      </w:r>
      <w:r w:rsidR="00B02BEE">
        <w:t xml:space="preserve">roposed </w:t>
      </w:r>
      <w:r>
        <w:t>D</w:t>
      </w:r>
      <w:r w:rsidR="00B02BEE">
        <w:t>ecision</w:t>
      </w:r>
      <w:r>
        <w:t xml:space="preserve"> requires Major Pole Owners to hold a workshop with all interested parties within 60 days of the decision’s issuance to develop a standardized self-help agreement. The Joint IOUs request an extension to 120 days to allow for coordination across engineering, operations, legal, regulatory, and IT functions simultaneously engaged in Track 2 pole database implementation.</w:t>
      </w:r>
    </w:p>
    <w:p w:rsidRPr="0079710C" w:rsidR="00A35247" w:rsidP="0059543F" w:rsidRDefault="004E2389" w14:paraId="1EB68783" w14:textId="2FACB2F0">
      <w:pPr>
        <w:pStyle w:val="SectionSub"/>
        <w:rPr>
          <w:b w:val="0"/>
          <w:bCs w:val="0"/>
        </w:rPr>
      </w:pPr>
      <w:r>
        <w:t>Discussion and Recommendations</w:t>
      </w:r>
    </w:p>
    <w:p w:rsidR="00A35247" w:rsidP="00A35247" w:rsidRDefault="00A35247" w14:paraId="296876D5" w14:textId="38F3B5DA">
      <w:r>
        <w:t xml:space="preserve">The Joint IOUs’ request is reasonable. The period immediately following the adopted Decision will likely require coordination and planning across different teams. </w:t>
      </w:r>
      <w:r w:rsidR="00E975D5">
        <w:t>While we established the</w:t>
      </w:r>
      <w:r>
        <w:t xml:space="preserve"> 60-day window to minimize delay in implementing the self-help remedy, </w:t>
      </w:r>
      <w:r w:rsidR="00DA25BC">
        <w:t>we believe</w:t>
      </w:r>
      <w:r>
        <w:t xml:space="preserve"> that goal can still be achieved </w:t>
      </w:r>
      <w:r>
        <w:lastRenderedPageBreak/>
        <w:t>with a 120-day workshop timeline.</w:t>
      </w:r>
      <w:r w:rsidR="003C47A4">
        <w:t xml:space="preserve"> However, we will</w:t>
      </w:r>
      <w:r>
        <w:t xml:space="preserve"> retain the 60-day post-workshop deadline for Tier 3 Advice Letter filings.</w:t>
      </w:r>
    </w:p>
    <w:p w:rsidR="00545B11" w:rsidP="00F76574" w:rsidRDefault="00D71085" w14:paraId="605B1EE7" w14:textId="651A5AF9">
      <w:pPr>
        <w:pStyle w:val="IssueBullet"/>
      </w:pPr>
      <w:r>
        <w:t xml:space="preserve">Issue 10: </w:t>
      </w:r>
      <w:r w:rsidR="00F4572E">
        <w:t>P</w:t>
      </w:r>
      <w:r>
        <w:t xml:space="preserve">ublic </w:t>
      </w:r>
      <w:r w:rsidR="00F4572E">
        <w:t>D</w:t>
      </w:r>
      <w:r>
        <w:t xml:space="preserve">isclosure of </w:t>
      </w:r>
      <w:r w:rsidR="00F4572E">
        <w:t>U</w:t>
      </w:r>
      <w:r>
        <w:t xml:space="preserve">tility </w:t>
      </w:r>
      <w:r w:rsidR="00F4572E">
        <w:t>C</w:t>
      </w:r>
      <w:r>
        <w:t xml:space="preserve">ontractor </w:t>
      </w:r>
      <w:r w:rsidR="00F4572E">
        <w:t>L</w:t>
      </w:r>
      <w:r>
        <w:t>ists</w:t>
      </w:r>
    </w:p>
    <w:p w:rsidR="00BB577F" w:rsidP="00BB577F" w:rsidRDefault="00BB577F" w14:paraId="487CDB7C" w14:textId="77777777">
      <w:r>
        <w:t>Proposed GO 178 Section IV.H.1 would require utilities to maintain and publicly post on their websites lists of contractors qualified to perform make-ready work and attach facilities on the utility’s support structures. The Joint IOUs argue public posting creates safety risks, operational risks, and administrative risks.</w:t>
      </w:r>
    </w:p>
    <w:p w:rsidRPr="00974AD9" w:rsidR="00BB577F" w:rsidP="007310F7" w:rsidRDefault="0011597C" w14:paraId="78FCEEBF" w14:textId="38994C3C">
      <w:pPr>
        <w:pStyle w:val="SectionSub"/>
        <w:rPr>
          <w:b w:val="0"/>
          <w:bCs w:val="0"/>
        </w:rPr>
      </w:pPr>
      <w:r>
        <w:t>Discussion and Recommendations</w:t>
      </w:r>
    </w:p>
    <w:p w:rsidRPr="002D460A" w:rsidR="00BB577F" w:rsidP="00BB577F" w:rsidRDefault="0011597C" w14:paraId="25594014" w14:textId="757CD738">
      <w:r>
        <w:t>We</w:t>
      </w:r>
      <w:r w:rsidR="00BB577F">
        <w:t xml:space="preserve"> disagree with the Joint IOUs that public posting of electric utility contractor lists is inappropriate and creates significant risks. While contractor qualifications for electric infrastructure work can be scope-specific, the public list can categorize qualifications based on </w:t>
      </w:r>
      <w:r w:rsidR="008A6A50">
        <w:t xml:space="preserve">the </w:t>
      </w:r>
      <w:r w:rsidR="00BB577F">
        <w:t>class of work. The publicly posted list can include information to convey the necessary distinctions.</w:t>
      </w:r>
      <w:r w:rsidR="007D6314">
        <w:t xml:space="preserve"> The</w:t>
      </w:r>
      <w:r w:rsidR="00BB577F">
        <w:t xml:space="preserve"> P</w:t>
      </w:r>
      <w:r w:rsidR="007D6314">
        <w:t xml:space="preserve">roposed </w:t>
      </w:r>
      <w:r w:rsidR="00BB577F">
        <w:t>D</w:t>
      </w:r>
      <w:r w:rsidR="007D6314">
        <w:t>ecision shall</w:t>
      </w:r>
      <w:r w:rsidR="00BB577F">
        <w:t xml:space="preserve"> maintain the proposed GO 178 Section IV.H.1 as is.</w:t>
      </w:r>
    </w:p>
    <w:p w:rsidR="00D71085" w:rsidP="00F76574" w:rsidRDefault="00E04436" w14:paraId="11611B7C" w14:textId="38D942F8">
      <w:pPr>
        <w:pStyle w:val="IssueBullet"/>
        <w:ind w:left="1080"/>
      </w:pPr>
      <w:r>
        <w:t xml:space="preserve">Issue 11: </w:t>
      </w:r>
      <w:r w:rsidR="00F4572E">
        <w:t>C</w:t>
      </w:r>
      <w:r>
        <w:t xml:space="preserve">ontractor </w:t>
      </w:r>
      <w:r w:rsidR="00F4572E">
        <w:t>A</w:t>
      </w:r>
      <w:r>
        <w:t xml:space="preserve">pproval and </w:t>
      </w:r>
      <w:r w:rsidR="00F4572E">
        <w:t>O</w:t>
      </w:r>
      <w:r>
        <w:t xml:space="preserve">nboarding </w:t>
      </w:r>
      <w:r w:rsidR="00EA07EB">
        <w:t>T</w:t>
      </w:r>
      <w:r>
        <w:t>imeline</w:t>
      </w:r>
    </w:p>
    <w:p w:rsidR="005C79E6" w:rsidP="005C79E6" w:rsidRDefault="005C79E6" w14:paraId="370F45AC" w14:textId="61DE3860">
      <w:r>
        <w:t>The P</w:t>
      </w:r>
      <w:r w:rsidR="009F6D0A">
        <w:t xml:space="preserve">roposed </w:t>
      </w:r>
      <w:r>
        <w:t>D</w:t>
      </w:r>
      <w:r w:rsidR="009F6D0A">
        <w:t>ecision requires</w:t>
      </w:r>
      <w:r>
        <w:t xml:space="preserve"> that utilities have 30 days to approve contractors proposed by attachers, plus an additional 14 days to complete contractor “onboarding.” The Joint IOUs argue 30 days is insufficient given the complexity of contractor vetting (which can take months even for the utilities’ own contractor approval processes), and that the “onboarding” language is ambiguous and potentially reads as requiring utilities to onboard attacher-hired contractors as utility vendors.</w:t>
      </w:r>
    </w:p>
    <w:p w:rsidRPr="00D036B9" w:rsidR="005C79E6" w:rsidP="00212F1B" w:rsidRDefault="002C1220" w14:paraId="5FF0B3F2" w14:textId="68E0A8F5">
      <w:pPr>
        <w:pStyle w:val="SectionSub"/>
        <w:rPr>
          <w:b w:val="0"/>
          <w:bCs w:val="0"/>
        </w:rPr>
      </w:pPr>
      <w:r>
        <w:t>Discussion and Recommendations</w:t>
      </w:r>
    </w:p>
    <w:p w:rsidR="005C79E6" w:rsidP="005C79E6" w:rsidRDefault="002C1220" w14:paraId="7DB27DC0" w14:textId="672FB58C">
      <w:r>
        <w:t>The Commission agrees that</w:t>
      </w:r>
      <w:r w:rsidR="005C79E6">
        <w:t xml:space="preserve"> both points are well-taken. First, 30 days is likely insufficient for a thorough contractor safety and qualification review. </w:t>
      </w:r>
      <w:r w:rsidR="005C79E6">
        <w:lastRenderedPageBreak/>
        <w:t>Second, the 14-day “onboarding” language should be clarified or deleted.</w:t>
      </w:r>
      <w:r w:rsidR="00D41F8A">
        <w:t xml:space="preserve"> Thus, we will:</w:t>
      </w:r>
      <w:r w:rsidR="005C79E6">
        <w:t xml:space="preserve"> (1) </w:t>
      </w:r>
      <w:r w:rsidR="00D41F8A">
        <w:t>extend the</w:t>
      </w:r>
      <w:r w:rsidR="005C79E6">
        <w:t xml:space="preserve"> contractor approval timeline from 30 to 120 days, with the clock beginning upon receipt of a complete application package; and (2) </w:t>
      </w:r>
      <w:r w:rsidR="00FA6A1C">
        <w:t>delete</w:t>
      </w:r>
      <w:r w:rsidR="005C79E6">
        <w:t xml:space="preserve"> the “14 additional days for contractor onboarding” language from Sections IV.H.4 and IV.H.5.</w:t>
      </w:r>
    </w:p>
    <w:p w:rsidR="00E04436" w:rsidP="00F76574" w:rsidRDefault="006F363E" w14:paraId="66851C0B" w14:textId="71E91B13">
      <w:pPr>
        <w:pStyle w:val="IssueBullet"/>
      </w:pPr>
      <w:r>
        <w:t xml:space="preserve">Issue 12: </w:t>
      </w:r>
      <w:r w:rsidR="00164BCC">
        <w:t>Expansion of ROW Rules to Government Agencies</w:t>
      </w:r>
    </w:p>
    <w:p w:rsidR="00F2284D" w:rsidP="0075726F" w:rsidRDefault="0075726F" w14:paraId="29306C68" w14:textId="77777777">
      <w:r>
        <w:t>The P</w:t>
      </w:r>
      <w:r w:rsidR="00FA6A1C">
        <w:t xml:space="preserve">roposed </w:t>
      </w:r>
      <w:r>
        <w:t>D</w:t>
      </w:r>
      <w:r w:rsidR="00FA6A1C">
        <w:t>ecision</w:t>
      </w:r>
      <w:r>
        <w:t xml:space="preserve"> expands the ROW rules to government agency attachers (who do not hold CPCNs) on condition that the agency make a binding commitment to comply with GO 95, GO 128, and GO 178. The Joint IOUs flag that a contractual commitment to comply with the Commission’s General Orders in a license agreement may not be sufficient to confer Commission jurisdiction over municipalities.</w:t>
      </w:r>
      <w:r w:rsidR="00876EB7">
        <w:t xml:space="preserve"> </w:t>
      </w:r>
    </w:p>
    <w:p w:rsidR="0075726F" w:rsidP="0075726F" w:rsidRDefault="00F2284D" w14:paraId="4569A83B" w14:textId="046A922F">
      <w:r>
        <w:t>The Joint I</w:t>
      </w:r>
      <w:r w:rsidR="00F8122A">
        <w:t>O</w:t>
      </w:r>
      <w:r>
        <w:t>U</w:t>
      </w:r>
      <w:r w:rsidR="00F8122A">
        <w:t>s</w:t>
      </w:r>
      <w:r>
        <w:t xml:space="preserve"> and other parties</w:t>
      </w:r>
      <w:r w:rsidR="00876EB7">
        <w:t xml:space="preserve"> also raise concerns about the applicability and enforceability of such rules </w:t>
      </w:r>
      <w:r w:rsidR="00112239">
        <w:t>with respect to Native Tribes enjoying sovereign immunity.</w:t>
      </w:r>
    </w:p>
    <w:p w:rsidRPr="00BD6E3D" w:rsidR="0072399B" w:rsidP="00F76574" w:rsidRDefault="0072399B" w14:paraId="2146E848" w14:textId="0776B539">
      <w:r w:rsidRPr="00BD6E3D">
        <w:t xml:space="preserve">AT&amp;T argues a "binding commitment" to a pole owner cannot substitute for real </w:t>
      </w:r>
      <w:r>
        <w:t>C</w:t>
      </w:r>
      <w:r w:rsidR="00545487">
        <w:t xml:space="preserve">ommission </w:t>
      </w:r>
      <w:r w:rsidRPr="00BD6E3D">
        <w:t xml:space="preserve">enforcement jurisdiction. The </w:t>
      </w:r>
      <w:r>
        <w:t>C</w:t>
      </w:r>
      <w:r w:rsidR="00545487">
        <w:t>ommission</w:t>
      </w:r>
      <w:r w:rsidRPr="00BD6E3D">
        <w:t xml:space="preserve"> holds fines up to $100,000/offense under Pub. Util. Code §§ 2107–2108</w:t>
      </w:r>
      <w:r>
        <w:t xml:space="preserve">. </w:t>
      </w:r>
      <w:r w:rsidR="001012B2">
        <w:t>AT&amp;T contends that p</w:t>
      </w:r>
      <w:r>
        <w:t>ole owners lack this enforcement power.</w:t>
      </w:r>
      <w:r w:rsidRPr="00BD6E3D">
        <w:t xml:space="preserve"> AT&amp;T urges the </w:t>
      </w:r>
      <w:r>
        <w:t>C</w:t>
      </w:r>
      <w:r w:rsidR="00545487">
        <w:t xml:space="preserve">ommission </w:t>
      </w:r>
      <w:r w:rsidRPr="00BD6E3D">
        <w:t xml:space="preserve">to require government entities to waive sovereign immunity and submit to </w:t>
      </w:r>
      <w:r>
        <w:t>C</w:t>
      </w:r>
      <w:r w:rsidR="00545487">
        <w:t>ommission</w:t>
      </w:r>
      <w:r w:rsidRPr="00BD6E3D">
        <w:t xml:space="preserve"> enforcement.</w:t>
      </w:r>
      <w:r>
        <w:t xml:space="preserve"> </w:t>
      </w:r>
    </w:p>
    <w:p w:rsidRPr="00BD6E3D" w:rsidR="0072399B" w:rsidP="00F76574" w:rsidRDefault="0072399B" w14:paraId="3849D99C" w14:textId="50FD7B35">
      <w:r w:rsidRPr="00BD6E3D">
        <w:t>Joint IOUs (PG&amp;E</w:t>
      </w:r>
      <w:r>
        <w:t xml:space="preserve">, Edison, </w:t>
      </w:r>
      <w:r w:rsidRPr="00BD6E3D">
        <w:t xml:space="preserve">SDG&amp;E) warn that a commitment made in a pole license agreement may not </w:t>
      </w:r>
      <w:r>
        <w:t>translate to</w:t>
      </w:r>
      <w:r w:rsidRPr="00BD6E3D">
        <w:t xml:space="preserve"> </w:t>
      </w:r>
      <w:r>
        <w:t>C</w:t>
      </w:r>
      <w:r w:rsidR="00F1659A">
        <w:t>ommission</w:t>
      </w:r>
      <w:r w:rsidRPr="00BD6E3D">
        <w:t xml:space="preserve"> jurisdiction over </w:t>
      </w:r>
      <w:r>
        <w:t>Tribe</w:t>
      </w:r>
      <w:r w:rsidRPr="00BD6E3D">
        <w:t xml:space="preserve">s or municipalities. They want any commitment made directly to the </w:t>
      </w:r>
      <w:r>
        <w:t>C</w:t>
      </w:r>
      <w:r w:rsidR="00F1659A">
        <w:t>ommission</w:t>
      </w:r>
      <w:r w:rsidRPr="00BD6E3D">
        <w:t xml:space="preserve">, with express consent to </w:t>
      </w:r>
      <w:r>
        <w:t>C</w:t>
      </w:r>
      <w:r w:rsidR="00F1659A">
        <w:t>ommission</w:t>
      </w:r>
      <w:r w:rsidRPr="00BD6E3D">
        <w:t xml:space="preserve"> jurisdiction</w:t>
      </w:r>
      <w:r>
        <w:t>. They aim to free themselves of the responsibilities and costs of</w:t>
      </w:r>
      <w:r w:rsidRPr="00BD6E3D">
        <w:t xml:space="preserve"> enforcement.</w:t>
      </w:r>
      <w:r>
        <w:t xml:space="preserve"> </w:t>
      </w:r>
    </w:p>
    <w:p w:rsidR="0072399B" w:rsidRDefault="0072399B" w14:paraId="09BC038B" w14:textId="276C8137">
      <w:proofErr w:type="spellStart"/>
      <w:r w:rsidRPr="00BD6E3D">
        <w:lastRenderedPageBreak/>
        <w:t>CalBroadband</w:t>
      </w:r>
      <w:proofErr w:type="spellEnd"/>
      <w:r w:rsidRPr="00BD6E3D">
        <w:t xml:space="preserve"> supports </w:t>
      </w:r>
      <w:r>
        <w:t>Tribal</w:t>
      </w:r>
      <w:r w:rsidRPr="00BD6E3D">
        <w:t xml:space="preserve"> inclusion but wants government attachers held to the same data-reporting and regulatory obligations as commercial carriers (including D.21-10-019 attachment data requirements).</w:t>
      </w:r>
      <w:r>
        <w:t xml:space="preserve"> </w:t>
      </w:r>
    </w:p>
    <w:p w:rsidRPr="00FE49C5" w:rsidR="0075726F" w:rsidP="00FE10AB" w:rsidRDefault="002E5807" w14:paraId="0167C1E5" w14:textId="653E255B">
      <w:pPr>
        <w:pStyle w:val="SectionSub"/>
        <w:rPr>
          <w:b w:val="0"/>
          <w:bCs w:val="0"/>
        </w:rPr>
      </w:pPr>
      <w:r>
        <w:t>Discussion and Recommendations</w:t>
      </w:r>
    </w:p>
    <w:p w:rsidR="00950B20" w:rsidP="00950B20" w:rsidRDefault="00A72389" w14:paraId="1D72522F" w14:textId="70010AE2">
      <w:r w:rsidRPr="00BD6E3D">
        <w:t xml:space="preserve">The Proposed Decision </w:t>
      </w:r>
      <w:r w:rsidR="00802DE4">
        <w:t>revises which entities are covered by</w:t>
      </w:r>
      <w:r w:rsidRPr="00BD6E3D">
        <w:t xml:space="preserve"> the ROW </w:t>
      </w:r>
      <w:r w:rsidR="00F32FBB">
        <w:t>R</w:t>
      </w:r>
      <w:r>
        <w:t>ules</w:t>
      </w:r>
      <w:r w:rsidRPr="00BD6E3D">
        <w:t xml:space="preserve"> </w:t>
      </w:r>
      <w:r>
        <w:t>under</w:t>
      </w:r>
      <w:r w:rsidR="00545FBE">
        <w:t xml:space="preserve"> the new</w:t>
      </w:r>
      <w:r w:rsidRPr="00BD6E3D">
        <w:t xml:space="preserve"> GO 178. </w:t>
      </w:r>
      <w:r w:rsidR="00BE1315">
        <w:t>P</w:t>
      </w:r>
      <w:r w:rsidR="00545FBE">
        <w:t>rivate utilities will be required to provide</w:t>
      </w:r>
      <w:r w:rsidRPr="00F76574">
        <w:t xml:space="preserve"> "sovereign Tribal governments" </w:t>
      </w:r>
      <w:r w:rsidR="00F0502E">
        <w:t xml:space="preserve">and </w:t>
      </w:r>
      <w:r w:rsidRPr="00F76574">
        <w:t>"Government Agenc</w:t>
      </w:r>
      <w:r w:rsidR="00036D89">
        <w:t>ies</w:t>
      </w:r>
      <w:r w:rsidRPr="00F76574">
        <w:t>"</w:t>
      </w:r>
      <w:r w:rsidR="00036D89">
        <w:t xml:space="preserve"> </w:t>
      </w:r>
      <w:r w:rsidR="008434C5">
        <w:t>with</w:t>
      </w:r>
      <w:r w:rsidRPr="00BD6E3D">
        <w:t xml:space="preserve"> nondiscriminatory access to</w:t>
      </w:r>
      <w:r w:rsidR="00516E01">
        <w:t xml:space="preserve"> an</w:t>
      </w:r>
      <w:r w:rsidRPr="00BD6E3D">
        <w:t xml:space="preserve"> IOU</w:t>
      </w:r>
      <w:r>
        <w:t>’s</w:t>
      </w:r>
      <w:r w:rsidRPr="00BD6E3D">
        <w:t xml:space="preserve"> </w:t>
      </w:r>
      <w:r>
        <w:t>ROW</w:t>
      </w:r>
      <w:r w:rsidRPr="00BD6E3D">
        <w:t xml:space="preserve"> without needing a CPCN.</w:t>
      </w:r>
      <w:r w:rsidR="00516E01">
        <w:t xml:space="preserve"> </w:t>
      </w:r>
      <w:r w:rsidRPr="00BD6E3D" w:rsidR="00950B20">
        <w:t xml:space="preserve">Many </w:t>
      </w:r>
      <w:r w:rsidR="00950B20">
        <w:t>Tribal</w:t>
      </w:r>
      <w:r w:rsidRPr="00BD6E3D" w:rsidR="00950B20">
        <w:t xml:space="preserve"> lands in California are rural and unserved or underserved by broadband. Access to existing utility pole infrastructure </w:t>
      </w:r>
      <w:r w:rsidR="00950B20">
        <w:t>(</w:t>
      </w:r>
      <w:r w:rsidRPr="00BD6E3D" w:rsidR="00950B20">
        <w:t xml:space="preserve">rather than </w:t>
      </w:r>
      <w:r w:rsidR="00950B20">
        <w:t>installing</w:t>
      </w:r>
      <w:r w:rsidRPr="00BD6E3D" w:rsidR="00950B20">
        <w:t xml:space="preserve"> new poles</w:t>
      </w:r>
      <w:r w:rsidR="00950B20">
        <w:t xml:space="preserve">) </w:t>
      </w:r>
      <w:r w:rsidRPr="00BD6E3D" w:rsidR="00950B20">
        <w:t>is often the fastest and most cost-effective deployment path. The P</w:t>
      </w:r>
      <w:r w:rsidR="00E6662A">
        <w:t xml:space="preserve">roposed </w:t>
      </w:r>
      <w:r w:rsidRPr="00BD6E3D" w:rsidR="00950B20">
        <w:t>D</w:t>
      </w:r>
      <w:r w:rsidR="00E6662A">
        <w:t>ecision</w:t>
      </w:r>
      <w:r w:rsidRPr="00BD6E3D" w:rsidR="00950B20">
        <w:t xml:space="preserve">'s </w:t>
      </w:r>
      <w:r w:rsidR="00950B20">
        <w:t>Tribal</w:t>
      </w:r>
      <w:r w:rsidRPr="00BD6E3D" w:rsidR="00950B20">
        <w:t xml:space="preserve"> inclusion directly advances this goal.</w:t>
      </w:r>
    </w:p>
    <w:p w:rsidRPr="00BD6E3D" w:rsidR="00BE1315" w:rsidP="00950B20" w:rsidRDefault="00BE1315" w14:paraId="12A96BB0" w14:textId="423BECB3">
      <w:r>
        <w:t>By including Tribal governments within the scope of these ROW Rules, we acknowledge that they enjoy sovereign immunity status, and nothing that we adopt today infringes upon the rights and privileges that flow therefrom.</w:t>
      </w:r>
      <w:r w:rsidR="002C394F">
        <w:t xml:space="preserve"> </w:t>
      </w:r>
      <w:r>
        <w:t>Instead, the ROW Rules we adopt are designed to provide uniform Rules with pathways that apply to all attachers</w:t>
      </w:r>
      <w:r w:rsidR="002C394F">
        <w:t>, including sovereign Tribal governments and Government Agencies. To the extent issues arise between Tribal entities, local governments, and pole owners, the Commission can address those issues in consultation with the government entities and pole owners as part of the Commission’s continued oversight and jurisdiction over pole right of way issues.</w:t>
      </w:r>
    </w:p>
    <w:p w:rsidRPr="00F76574" w:rsidR="00DF1A4D" w:rsidP="007247C8" w:rsidRDefault="00DF1A4D" w14:paraId="5671CD64" w14:textId="4AA3415E">
      <w:pPr>
        <w:pStyle w:val="Standard"/>
        <w:rPr>
          <w:u w:val="single"/>
        </w:rPr>
      </w:pPr>
      <w:r w:rsidRPr="00F76574">
        <w:rPr>
          <w:u w:val="single"/>
        </w:rPr>
        <w:t>Issue 13: Attachment Data Enforcement Authorization</w:t>
      </w:r>
      <w:r w:rsidR="00EF6FF4">
        <w:rPr>
          <w:u w:val="single"/>
        </w:rPr>
        <w:t xml:space="preserve"> and Unauthorized Attachment Reporting</w:t>
      </w:r>
    </w:p>
    <w:p w:rsidR="00DF1A4D" w:rsidP="00DF1A4D" w:rsidRDefault="00DF1A4D" w14:paraId="2B720A21" w14:textId="72CC2B3A">
      <w:pPr>
        <w:pStyle w:val="Standard"/>
      </w:pPr>
      <w:r>
        <w:t xml:space="preserve">Various parties raise concerns with the proposal to expand incumbent utilities’ penalty authority and reporting requirements in Section VI(D) of the Proposed G.O. relating to pole database compliance, suggesting that it puts </w:t>
      </w:r>
      <w:r>
        <w:lastRenderedPageBreak/>
        <w:t>“incumbent utilities” in the improper and burdensome position of policing updates to pole attachment data from attachers.</w:t>
      </w:r>
      <w:r w:rsidR="00EF6FF4">
        <w:t xml:space="preserve"> Similar concerns are also raised in regard to the enhanced reporting requirements and increased penalty amount for unauthorized attachments.</w:t>
      </w:r>
    </w:p>
    <w:p w:rsidRPr="00974AD9" w:rsidR="00DF1A4D" w:rsidP="00C95BDA" w:rsidRDefault="00DF1A4D" w14:paraId="7BA0F9D9" w14:textId="763B1BF3">
      <w:pPr>
        <w:pStyle w:val="SectionSub"/>
        <w:rPr>
          <w:b w:val="0"/>
          <w:bCs w:val="0"/>
        </w:rPr>
      </w:pPr>
      <w:r>
        <w:t>Discussion and Recommendations</w:t>
      </w:r>
    </w:p>
    <w:p w:rsidR="00DF1A4D" w:rsidP="00DF1A4D" w:rsidRDefault="00EF6FF4" w14:paraId="0A6B4789" w14:textId="24040C5C">
      <w:pPr>
        <w:pStyle w:val="Standard"/>
      </w:pPr>
      <w:r>
        <w:t xml:space="preserve">As discussed above, our position is unchanged. </w:t>
      </w:r>
      <w:r w:rsidR="00CA431C">
        <w:t xml:space="preserve">The central objective of these rules is to improve </w:t>
      </w:r>
      <w:r>
        <w:t xml:space="preserve">utility infrastructure accountability, </w:t>
      </w:r>
      <w:r w:rsidR="00CA431C">
        <w:t>both for attachers that utilize incumbent utility infrastructure and for pole owners that must permit and manage attachments and attachment owners. I</w:t>
      </w:r>
      <w:r>
        <w:t>mprov</w:t>
      </w:r>
      <w:r w:rsidR="00CA431C">
        <w:t>ing</w:t>
      </w:r>
      <w:r>
        <w:t xml:space="preserve"> compliance through better reporting,</w:t>
      </w:r>
      <w:r w:rsidR="00CA431C">
        <w:t xml:space="preserve"> enforcement, and penalties is essential to achieving this objective. </w:t>
      </w:r>
    </w:p>
    <w:p w:rsidRPr="00F76574" w:rsidR="00DF1A4D" w:rsidP="003D3763" w:rsidRDefault="00DF1A4D" w14:paraId="0CDDAE2A" w14:textId="2555CFC7">
      <w:pPr>
        <w:pStyle w:val="IssueBullet"/>
        <w:ind w:left="1080"/>
        <w:rPr>
          <w:u w:val="single"/>
        </w:rPr>
      </w:pPr>
      <w:r w:rsidRPr="00F76574">
        <w:rPr>
          <w:u w:val="single"/>
        </w:rPr>
        <w:t>Issue 14: Applicability of GO 178</w:t>
      </w:r>
    </w:p>
    <w:p w:rsidR="00CA431C" w:rsidP="00CA431C" w:rsidRDefault="00DF1A4D" w14:paraId="4A88A82F" w14:textId="6F6A0340">
      <w:pPr>
        <w:pStyle w:val="Standard"/>
      </w:pPr>
      <w:r>
        <w:t>SMJUs and the Small LECs alike contend that extending GO 178 to their utilities would be unprecedented, impose disproportionate costs, and is not warranted.</w:t>
      </w:r>
      <w:r w:rsidR="00EF6FF4">
        <w:t xml:space="preserve"> Further, some parties oppose</w:t>
      </w:r>
      <w:r w:rsidR="00CA431C">
        <w:t xml:space="preserve"> the Proposed Decision </w:t>
      </w:r>
      <w:r w:rsidRPr="00CA431C" w:rsidR="00CA431C">
        <w:t>remov</w:t>
      </w:r>
      <w:r w:rsidR="00CA431C">
        <w:t>ing</w:t>
      </w:r>
      <w:r w:rsidRPr="00CA431C" w:rsidR="00CA431C">
        <w:t xml:space="preserve"> language</w:t>
      </w:r>
      <w:r w:rsidR="00CA431C">
        <w:t xml:space="preserve"> first adopted in the original ROW Rules </w:t>
      </w:r>
      <w:r w:rsidRPr="00CA431C" w:rsidR="00CA431C">
        <w:t xml:space="preserve">describing </w:t>
      </w:r>
      <w:r w:rsidR="00CA431C">
        <w:t>the r</w:t>
      </w:r>
      <w:r w:rsidRPr="00CA431C" w:rsidR="00CA431C">
        <w:t>ules as "guidelines</w:t>
      </w:r>
      <w:r w:rsidR="00CA431C">
        <w:t>,</w:t>
      </w:r>
      <w:r w:rsidRPr="00CA431C" w:rsidR="00CA431C">
        <w:t xml:space="preserve">" </w:t>
      </w:r>
      <w:r w:rsidR="00CA431C">
        <w:t xml:space="preserve">and </w:t>
      </w:r>
      <w:r w:rsidRPr="00CA431C" w:rsidR="00CA431C">
        <w:t>allowing negotiated deviations</w:t>
      </w:r>
      <w:r w:rsidR="00CA431C">
        <w:t>.</w:t>
      </w:r>
    </w:p>
    <w:p w:rsidRPr="00974AD9" w:rsidR="00DF1A4D" w:rsidP="002E0242" w:rsidRDefault="00DF1A4D" w14:paraId="370BF2B7" w14:textId="11C24931">
      <w:pPr>
        <w:pStyle w:val="SectionSub"/>
        <w:rPr>
          <w:b w:val="0"/>
          <w:bCs w:val="0"/>
        </w:rPr>
      </w:pPr>
      <w:r>
        <w:t>Discussion and Recommendations</w:t>
      </w:r>
    </w:p>
    <w:p w:rsidR="00F316D1" w:rsidP="00DF1A4D" w:rsidRDefault="00F316D1" w14:paraId="59E04E93" w14:textId="69DCA365">
      <w:pPr>
        <w:pStyle w:val="Standard"/>
      </w:pPr>
      <w:r>
        <w:t>The original ROW Rules were adopted to address the</w:t>
      </w:r>
      <w:r w:rsidR="00F406ED">
        <w:t xml:space="preserve"> natural power imbalance between incumbent utilities and potential attachers that seek access to incumbent utility infrastructure and rights-of-way. The record of this proceeding is sufficient to illustrate that anticompetitive conduct</w:t>
      </w:r>
      <w:r>
        <w:t xml:space="preserve"> continues to</w:t>
      </w:r>
      <w:r w:rsidR="00F406ED">
        <w:t xml:space="preserve"> occur.</w:t>
      </w:r>
      <w:r>
        <w:t xml:space="preserve"> And in particular, the rural regions of the state where SMJUs and Small LECs serve as the incumbent utilities are likely to have poor broadband access and to receive public funds for broadband investment. It is essential that any attachers that seek </w:t>
      </w:r>
      <w:r>
        <w:lastRenderedPageBreak/>
        <w:t>to deploy broadband networks in these areas have the protections afforded by these proposed rules.</w:t>
      </w:r>
    </w:p>
    <w:p w:rsidR="00DF1A4D" w:rsidP="00DF1A4D" w:rsidRDefault="00F316D1" w14:paraId="1DD2161E" w14:textId="2EE7266A">
      <w:pPr>
        <w:pStyle w:val="Standard"/>
      </w:pPr>
      <w:r>
        <w:t xml:space="preserve">Further, as we recast the ROW Rules as a general order, it is no longer advisable to permit incumbent utilities to </w:t>
      </w:r>
      <w:r w:rsidR="00672FC2">
        <w:t xml:space="preserve">undermine </w:t>
      </w:r>
      <w:r>
        <w:t xml:space="preserve">these rules through negotiated deviations. </w:t>
      </w:r>
      <w:r w:rsidR="00672FC2">
        <w:t xml:space="preserve"> </w:t>
      </w:r>
      <w:r w:rsidR="002C394F">
        <w:t xml:space="preserve">Historically, the Commission has heard complaints from would-be attachers that the process and rules to qualify for attachment permission have been opaque and applied inconsistently. Making the ROW Rules mandatory rather than guidelines will hopefully eliminate these complaints. Furthermore, providing clarity and consistency will also help expedite the process for meeting California goal of providing greater broadband access to rural and underserved communities.   </w:t>
      </w:r>
    </w:p>
    <w:p w:rsidR="005939A5" w:rsidP="00ED36CC" w:rsidRDefault="005939A5" w14:paraId="4340B794" w14:textId="59112B33">
      <w:pPr>
        <w:pStyle w:val="Heading1"/>
        <w:keepLines w:val="0"/>
      </w:pPr>
      <w:bookmarkStart w:name="_Toc8123724" w:id="80"/>
      <w:bookmarkStart w:name="_Toc133843855" w:id="81"/>
      <w:bookmarkStart w:name="_Toc229726788" w:id="82"/>
      <w:r>
        <w:t>Assignment of Proceeding</w:t>
      </w:r>
      <w:bookmarkEnd w:id="80"/>
      <w:bookmarkEnd w:id="81"/>
      <w:bookmarkEnd w:id="82"/>
    </w:p>
    <w:p w:rsidR="005939A5" w:rsidP="00ED36CC" w:rsidRDefault="00C127C2" w14:paraId="24CF8022" w14:textId="0B049CD0">
      <w:pPr>
        <w:pStyle w:val="Standard"/>
      </w:pPr>
      <w:r>
        <w:t>John Reynolds</w:t>
      </w:r>
      <w:r w:rsidR="009C1951">
        <w:t xml:space="preserve"> </w:t>
      </w:r>
      <w:r w:rsidR="005939A5">
        <w:t xml:space="preserve">is the assigned Commissioner and </w:t>
      </w:r>
      <w:r w:rsidR="00AB6CC5">
        <w:t>Robert</w:t>
      </w:r>
      <w:r w:rsidR="0051059D">
        <w:t> </w:t>
      </w:r>
      <w:r w:rsidR="00AB6CC5">
        <w:t>M</w:t>
      </w:r>
      <w:r w:rsidR="009C1951">
        <w:t xml:space="preserve">. </w:t>
      </w:r>
      <w:r w:rsidR="00AB6CC5">
        <w:t>Mason</w:t>
      </w:r>
      <w:r w:rsidR="0051059D">
        <w:t> </w:t>
      </w:r>
      <w:r w:rsidR="00AB6CC5">
        <w:t>I</w:t>
      </w:r>
      <w:r w:rsidR="009C1951">
        <w:t>II</w:t>
      </w:r>
      <w:r w:rsidR="005939A5">
        <w:t xml:space="preserve"> is the assigned </w:t>
      </w:r>
      <w:r w:rsidR="00EC3176">
        <w:t>ALJ</w:t>
      </w:r>
      <w:r w:rsidR="005939A5">
        <w:t xml:space="preserve"> </w:t>
      </w:r>
      <w:r w:rsidR="002A5EF6">
        <w:t>to</w:t>
      </w:r>
      <w:r w:rsidR="005939A5">
        <w:t xml:space="preserve"> th</w:t>
      </w:r>
      <w:r w:rsidR="00B66AA8">
        <w:t>ese</w:t>
      </w:r>
      <w:r w:rsidR="005939A5">
        <w:t xml:space="preserve"> proceeding</w:t>
      </w:r>
      <w:r w:rsidR="00B66AA8">
        <w:t>s</w:t>
      </w:r>
      <w:r w:rsidR="005939A5">
        <w:t>.</w:t>
      </w:r>
    </w:p>
    <w:p w:rsidR="005939A5" w:rsidP="00ED36CC" w:rsidRDefault="005939A5" w14:paraId="47736A40" w14:textId="77777777">
      <w:pPr>
        <w:pStyle w:val="Dummy"/>
        <w:keepLines w:val="0"/>
      </w:pPr>
      <w:bookmarkStart w:name="_Toc8123725" w:id="83"/>
      <w:bookmarkStart w:name="_Toc133843856" w:id="84"/>
      <w:bookmarkStart w:name="_Toc229726789" w:id="85"/>
      <w:r>
        <w:t>Findings of Fact</w:t>
      </w:r>
      <w:bookmarkEnd w:id="83"/>
      <w:bookmarkEnd w:id="84"/>
      <w:bookmarkEnd w:id="85"/>
    </w:p>
    <w:p w:rsidR="00215B0E" w:rsidP="00215B0E" w:rsidRDefault="00215B0E" w14:paraId="4AA81897" w14:textId="77777777">
      <w:pPr>
        <w:pStyle w:val="FoF"/>
      </w:pPr>
      <w:r>
        <w:t xml:space="preserve">When the Commission opened this OII/OIR, </w:t>
      </w:r>
      <w:r w:rsidRPr="00837D60">
        <w:t>there was no shared data repository to track pole locations, attachments, their condition, or their ownership</w:t>
      </w:r>
      <w:r>
        <w:t>.</w:t>
      </w:r>
    </w:p>
    <w:p w:rsidRPr="001E2A62" w:rsidR="00215B0E" w:rsidP="00215B0E" w:rsidRDefault="00215B0E" w14:paraId="2DC4473A" w14:textId="77777777">
      <w:pPr>
        <w:pStyle w:val="FoF"/>
      </w:pPr>
      <w:r w:rsidRPr="003463E5">
        <w:t>Pole information databases will assist the Commission in ascertaining if poles and attachments are poorly maintained, and if such a state of maintenance is the cause or contributing cause behind fires throughout California that have resulted in substantial property damage and repeated loss of life</w:t>
      </w:r>
      <w:r>
        <w:t>.</w:t>
      </w:r>
    </w:p>
    <w:p w:rsidR="008C5077" w:rsidP="00ED36CC" w:rsidRDefault="00C93539" w14:paraId="589661E6" w14:textId="3DBC9B97">
      <w:pPr>
        <w:pStyle w:val="FoF"/>
      </w:pPr>
      <w:r>
        <w:t>Some Major Pole Owners complain th</w:t>
      </w:r>
      <w:r w:rsidR="00582CCB">
        <w:t>at they have noticed unauthorized pole attachments to their utility poles</w:t>
      </w:r>
      <w:r w:rsidR="008C5077">
        <w:t xml:space="preserve"> dating back to 1998.</w:t>
      </w:r>
    </w:p>
    <w:p w:rsidR="00F62B7A" w:rsidP="00ED36CC" w:rsidRDefault="008C5077" w14:paraId="31BFE12F" w14:textId="11FC048E">
      <w:pPr>
        <w:pStyle w:val="FoF"/>
      </w:pPr>
      <w:r>
        <w:lastRenderedPageBreak/>
        <w:t>Some Major Pole Owners assert that approximately 25</w:t>
      </w:r>
      <w:r w:rsidR="0051059D">
        <w:t> </w:t>
      </w:r>
      <w:r w:rsidR="004840C8">
        <w:t>percent</w:t>
      </w:r>
      <w:r>
        <w:t xml:space="preserve"> of denied pole access applications have resulted in </w:t>
      </w:r>
      <w:r w:rsidR="007648BB">
        <w:t>unauthorized</w:t>
      </w:r>
      <w:r>
        <w:t xml:space="preserve"> attachments by applicants.</w:t>
      </w:r>
    </w:p>
    <w:p w:rsidR="007648BB" w:rsidP="00ED36CC" w:rsidRDefault="00367382" w14:paraId="3439E58E" w14:textId="5444ABD5">
      <w:pPr>
        <w:pStyle w:val="FoF"/>
      </w:pPr>
      <w:r>
        <w:t>PG&amp;E asserts that</w:t>
      </w:r>
      <w:r w:rsidR="003463E5">
        <w:t>,</w:t>
      </w:r>
      <w:r>
        <w:t xml:space="preserve"> due to increased labor costs to initiate, track, and follow</w:t>
      </w:r>
      <w:r w:rsidR="00E4753D">
        <w:noBreakHyphen/>
      </w:r>
      <w:r>
        <w:t>up on attachment issues,</w:t>
      </w:r>
      <w:r w:rsidR="00BC505C">
        <w:t xml:space="preserve"> the existing penalty amount is an ineffective deterrent</w:t>
      </w:r>
      <w:r w:rsidR="003731B3">
        <w:t xml:space="preserve"> and doesn</w:t>
      </w:r>
      <w:r w:rsidR="00410529">
        <w:t>’</w:t>
      </w:r>
      <w:r w:rsidR="003731B3">
        <w:t>t provide PG&amp;E with sufficient funds to administer</w:t>
      </w:r>
      <w:r w:rsidR="00AD21CD">
        <w:t xml:space="preserve"> its program.</w:t>
      </w:r>
    </w:p>
    <w:p w:rsidR="00AD21CD" w:rsidP="00ED36CC" w:rsidRDefault="00F90403" w14:paraId="3337B0C8" w14:textId="2F2239A1">
      <w:pPr>
        <w:pStyle w:val="FoF"/>
      </w:pPr>
      <w:r>
        <w:t>Some communications attachers have complained about delays in replacing overloaded utility poles</w:t>
      </w:r>
      <w:r w:rsidR="00E0175F">
        <w:t>, which causes delays in deploying broadband infrastructure.</w:t>
      </w:r>
    </w:p>
    <w:p w:rsidR="004E0EEB" w:rsidP="00ED36CC" w:rsidRDefault="00685E7F" w14:paraId="788DB09D" w14:textId="29391B07">
      <w:pPr>
        <w:pStyle w:val="FoF"/>
      </w:pPr>
      <w:r>
        <w:t>Some communications attachers have complained that delays in replacing overloaded utility poles may result in additional project costs, make projects infeasible, and may hinder the achievement of California</w:t>
      </w:r>
      <w:r w:rsidR="00410529">
        <w:t>’</w:t>
      </w:r>
      <w:r>
        <w:t>s broadband deployment objectives.</w:t>
      </w:r>
    </w:p>
    <w:p w:rsidR="00BA49B5" w:rsidP="00ED36CC" w:rsidRDefault="006C07D2" w14:paraId="148A731B" w14:textId="14B0FCA0">
      <w:pPr>
        <w:pStyle w:val="FoF"/>
      </w:pPr>
      <w:r>
        <w:t xml:space="preserve">For existing poles out of compliance with </w:t>
      </w:r>
      <w:r w:rsidR="005B40C8">
        <w:t>GO</w:t>
      </w:r>
      <w:r w:rsidR="0051059D">
        <w:t> </w:t>
      </w:r>
      <w:r>
        <w:t xml:space="preserve">95, </w:t>
      </w:r>
      <w:r w:rsidR="00CF7F35">
        <w:t>Rule</w:t>
      </w:r>
      <w:r w:rsidR="0051059D">
        <w:t> </w:t>
      </w:r>
      <w:r>
        <w:t>18</w:t>
      </w:r>
      <w:r w:rsidR="00E4753D">
        <w:noBreakHyphen/>
      </w:r>
      <w:r>
        <w:t>B, no new attachments to these poles may be made until the poles are repaired or replaced.</w:t>
      </w:r>
    </w:p>
    <w:p w:rsidR="006C07D2" w:rsidP="00ED36CC" w:rsidRDefault="003F7DFA" w14:paraId="4783DB0D" w14:textId="45AD57EC">
      <w:pPr>
        <w:pStyle w:val="FoF"/>
      </w:pPr>
      <w:r>
        <w:t xml:space="preserve">Public utilities are deploying competitive communications networks that offer broadband </w:t>
      </w:r>
      <w:r w:rsidR="003463E5">
        <w:t>i</w:t>
      </w:r>
      <w:r>
        <w:t>nternet access services for consumers.</w:t>
      </w:r>
    </w:p>
    <w:p w:rsidR="003F7DFA" w:rsidP="00ED36CC" w:rsidRDefault="00B10DD1" w14:paraId="6255134A" w14:textId="05BC439A">
      <w:pPr>
        <w:pStyle w:val="FoF"/>
      </w:pPr>
      <w:r>
        <w:t>There are instances where p</w:t>
      </w:r>
      <w:r w:rsidR="00AA7F72">
        <w:t xml:space="preserve">ublic </w:t>
      </w:r>
      <w:r w:rsidR="00D85E95">
        <w:t>utilities</w:t>
      </w:r>
      <w:r w:rsidR="00AA7F72">
        <w:t xml:space="preserve"> may need access to the </w:t>
      </w:r>
      <w:r w:rsidR="000A7254">
        <w:t xml:space="preserve">ROW and support structures </w:t>
      </w:r>
      <w:r w:rsidR="00AA7F72">
        <w:t>owned by t</w:t>
      </w:r>
      <w:r w:rsidR="00D85E95">
        <w:t>h</w:t>
      </w:r>
      <w:r w:rsidR="00AA7F72">
        <w:t>e IO</w:t>
      </w:r>
      <w:r w:rsidR="00D85E95">
        <w:t>Us</w:t>
      </w:r>
      <w:r w:rsidR="00AA7F72">
        <w:t xml:space="preserve"> regulated by the Commission </w:t>
      </w:r>
      <w:r w:rsidR="00D85E95">
        <w:t xml:space="preserve">to </w:t>
      </w:r>
      <w:r w:rsidR="00A54521">
        <w:t>deploy</w:t>
      </w:r>
      <w:r w:rsidR="00D85E95">
        <w:t xml:space="preserve"> their competitive communications networks.</w:t>
      </w:r>
    </w:p>
    <w:p w:rsidR="00AB6F34" w:rsidP="00ED36CC" w:rsidRDefault="00AB6F34" w14:paraId="78ABAC74" w14:textId="26C733AE">
      <w:pPr>
        <w:pStyle w:val="FoF"/>
      </w:pPr>
      <w:r>
        <w:t xml:space="preserve">Some public utilities claim </w:t>
      </w:r>
      <w:r w:rsidR="00F50327">
        <w:t>that</w:t>
      </w:r>
      <w:r>
        <w:t xml:space="preserve"> they could expand </w:t>
      </w:r>
      <w:r w:rsidR="00F50327">
        <w:t>their</w:t>
      </w:r>
      <w:r>
        <w:t xml:space="preserve"> municipal fiber network </w:t>
      </w:r>
      <w:r w:rsidR="00F50327">
        <w:t>if they had greater access to AT&amp;T</w:t>
      </w:r>
      <w:r w:rsidR="00410529">
        <w:t>’</w:t>
      </w:r>
      <w:r w:rsidR="00F50327">
        <w:t>s ROW structures.</w:t>
      </w:r>
    </w:p>
    <w:p w:rsidR="005939A5" w:rsidP="00ED36CC" w:rsidRDefault="005939A5" w14:paraId="208D1297" w14:textId="77777777">
      <w:pPr>
        <w:pStyle w:val="Dummy"/>
        <w:keepLines w:val="0"/>
      </w:pPr>
      <w:bookmarkStart w:name="_Toc8123726" w:id="86"/>
      <w:bookmarkStart w:name="_Toc133843857" w:id="87"/>
      <w:bookmarkStart w:name="_Toc229726790" w:id="88"/>
      <w:r>
        <w:t>Conclusions of Law</w:t>
      </w:r>
      <w:bookmarkEnd w:id="86"/>
      <w:bookmarkEnd w:id="87"/>
      <w:bookmarkEnd w:id="88"/>
    </w:p>
    <w:p w:rsidR="00853452" w:rsidP="00ED36CC" w:rsidRDefault="000D0198" w14:paraId="555858EB" w14:textId="56F32C49">
      <w:pPr>
        <w:pStyle w:val="CoL"/>
      </w:pPr>
      <w:r>
        <w:t xml:space="preserve">It is reasonable to conclude that existing data and enforcement requirements </w:t>
      </w:r>
      <w:r w:rsidR="00853452">
        <w:t xml:space="preserve">related to </w:t>
      </w:r>
      <w:r w:rsidR="00835EAD">
        <w:t>ROW Rules</w:t>
      </w:r>
      <w:r w:rsidR="00853452">
        <w:t xml:space="preserve"> should be modified.</w:t>
      </w:r>
    </w:p>
    <w:p w:rsidR="00D763C4" w:rsidP="00ED36CC" w:rsidRDefault="00702E65" w14:paraId="5DF3D288" w14:textId="1D9A0CC6">
      <w:pPr>
        <w:pStyle w:val="CoL"/>
      </w:pPr>
      <w:r>
        <w:lastRenderedPageBreak/>
        <w:t xml:space="preserve">It is reasonable to conclude that </w:t>
      </w:r>
      <w:r w:rsidR="00835EAD">
        <w:t>ROW Rules</w:t>
      </w:r>
      <w:r w:rsidR="00D763C4">
        <w:t xml:space="preserve"> should be modified to improve </w:t>
      </w:r>
      <w:r w:rsidR="003D5FCE">
        <w:t xml:space="preserve">the </w:t>
      </w:r>
      <w:r w:rsidR="00D763C4">
        <w:t>transparency of contractor work requirements.</w:t>
      </w:r>
    </w:p>
    <w:p w:rsidR="005F446C" w:rsidP="00ED36CC" w:rsidRDefault="005F446C" w14:paraId="3592D6E2" w14:textId="331397CE">
      <w:pPr>
        <w:pStyle w:val="CoL"/>
      </w:pPr>
      <w:r>
        <w:t xml:space="preserve">It is reasonable to conclude that </w:t>
      </w:r>
      <w:r w:rsidR="00835EAD">
        <w:t>ROW Rules</w:t>
      </w:r>
      <w:r>
        <w:t xml:space="preserve"> should be modified to enhance greater access </w:t>
      </w:r>
      <w:r w:rsidR="00F079BD">
        <w:t>to all pole attachers.</w:t>
      </w:r>
    </w:p>
    <w:p w:rsidR="00F079BD" w:rsidP="00ED36CC" w:rsidRDefault="000543CB" w14:paraId="7B1A5A31" w14:textId="2E8064B0">
      <w:pPr>
        <w:pStyle w:val="CoL"/>
      </w:pPr>
      <w:r>
        <w:t xml:space="preserve">It is reasonable to conclude that the </w:t>
      </w:r>
      <w:r w:rsidR="00835EAD">
        <w:t>ROW Rules</w:t>
      </w:r>
      <w:r>
        <w:t xml:space="preserve"> should be modified to improve</w:t>
      </w:r>
      <w:r w:rsidR="006C5D9D">
        <w:t xml:space="preserve"> the standards for pole owner</w:t>
      </w:r>
      <w:r w:rsidR="00FF78B7">
        <w:t>s</w:t>
      </w:r>
      <w:r w:rsidR="006C5D9D">
        <w:t xml:space="preserve"> to process attacher applications.</w:t>
      </w:r>
    </w:p>
    <w:p w:rsidR="00F11B89" w:rsidP="00ED36CC" w:rsidRDefault="00F11B89" w14:paraId="620CC590" w14:textId="32CDC51D">
      <w:pPr>
        <w:pStyle w:val="CoL"/>
      </w:pPr>
      <w:r>
        <w:t xml:space="preserve">It is </w:t>
      </w:r>
      <w:r w:rsidR="00FF78B7">
        <w:t>reasonable</w:t>
      </w:r>
      <w:r>
        <w:t xml:space="preserve"> to conclude that the </w:t>
      </w:r>
      <w:r w:rsidR="00835EAD">
        <w:t>ROW Rules</w:t>
      </w:r>
      <w:r>
        <w:t xml:space="preserve"> should be modified to </w:t>
      </w:r>
      <w:r w:rsidR="00186F91">
        <w:t>provide greater transparency for all internal design, construction</w:t>
      </w:r>
      <w:r w:rsidR="00FF78B7">
        <w:t>,</w:t>
      </w:r>
      <w:r w:rsidR="00186F91">
        <w:t xml:space="preserve"> and maintenance st</w:t>
      </w:r>
      <w:r w:rsidR="00FF78B7">
        <w:t>andards.</w:t>
      </w:r>
    </w:p>
    <w:p w:rsidR="00FB48F5" w:rsidP="00ED36CC" w:rsidRDefault="00FB48F5" w14:paraId="38685FF9" w14:textId="57C767DD">
      <w:pPr>
        <w:pStyle w:val="CoL"/>
      </w:pPr>
      <w:r>
        <w:t xml:space="preserve">It is reasonable to conclude that the </w:t>
      </w:r>
      <w:r w:rsidR="00835EAD">
        <w:t>ROW Rules</w:t>
      </w:r>
      <w:r>
        <w:t xml:space="preserve"> should be modified to </w:t>
      </w:r>
      <w:r w:rsidR="00D85ED1">
        <w:t xml:space="preserve">improve Major Pole Owner </w:t>
      </w:r>
      <w:r w:rsidR="00F420E2">
        <w:t>record</w:t>
      </w:r>
      <w:r w:rsidR="00E4753D">
        <w:noBreakHyphen/>
      </w:r>
      <w:r w:rsidR="00F420E2">
        <w:t>keeping</w:t>
      </w:r>
      <w:r w:rsidR="00D85ED1">
        <w:t xml:space="preserve"> and reporting requirements </w:t>
      </w:r>
      <w:r w:rsidR="00F420E2">
        <w:t>for attachment requests that are not accommodated because of the need for pole replacement.</w:t>
      </w:r>
    </w:p>
    <w:p w:rsidR="00F420E2" w:rsidP="00ED36CC" w:rsidRDefault="00B3744E" w14:paraId="766BBBD0" w14:textId="19FBE322">
      <w:pPr>
        <w:pStyle w:val="CoL"/>
      </w:pPr>
      <w:r>
        <w:t xml:space="preserve">It is reasonable to conclude that the Commission should </w:t>
      </w:r>
      <w:r w:rsidR="003D55D0">
        <w:t>not</w:t>
      </w:r>
      <w:r w:rsidR="00C42B84">
        <w:t xml:space="preserve">, as part of the </w:t>
      </w:r>
      <w:r w:rsidR="00835EAD">
        <w:t>ROW Rules</w:t>
      </w:r>
      <w:r w:rsidR="00C42B84">
        <w:t>,</w:t>
      </w:r>
      <w:r w:rsidR="003D55D0">
        <w:t xml:space="preserve"> adopt additional conduit data reporting requirements.</w:t>
      </w:r>
    </w:p>
    <w:p w:rsidR="003D55D0" w:rsidP="00ED36CC" w:rsidRDefault="0003461C" w14:paraId="0E1544EA" w14:textId="4B9A81B9">
      <w:pPr>
        <w:pStyle w:val="CoL"/>
      </w:pPr>
      <w:r>
        <w:t xml:space="preserve">It is reasonable to conclude that the </w:t>
      </w:r>
      <w:r w:rsidR="00835EAD">
        <w:t>ROW Rules</w:t>
      </w:r>
      <w:r>
        <w:t xml:space="preserve"> should be modified so that government agencies must be provided </w:t>
      </w:r>
      <w:r w:rsidR="00BC6262">
        <w:t xml:space="preserve">access to utility poles in a manner consistent with </w:t>
      </w:r>
      <w:r w:rsidR="005B40C8">
        <w:t>GO</w:t>
      </w:r>
      <w:r w:rsidR="0051059D">
        <w:t> </w:t>
      </w:r>
      <w:r w:rsidR="00BC6262">
        <w:t xml:space="preserve">95, </w:t>
      </w:r>
      <w:r w:rsidR="005B40C8">
        <w:t>GO</w:t>
      </w:r>
      <w:r w:rsidR="0051059D">
        <w:t> </w:t>
      </w:r>
      <w:r w:rsidR="00BC6262">
        <w:t>128</w:t>
      </w:r>
      <w:r w:rsidR="00704BD2">
        <w:t>, and this decision.</w:t>
      </w:r>
    </w:p>
    <w:p w:rsidR="00410529" w:rsidP="00ED36CC" w:rsidRDefault="001445A3" w14:paraId="24F74F95" w14:textId="6FC4BD3E">
      <w:pPr>
        <w:pStyle w:val="CoL"/>
      </w:pPr>
      <w:r>
        <w:t xml:space="preserve">It is reasonable to conclude that the FCC Overlashing rules should </w:t>
      </w:r>
      <w:r w:rsidR="006243AA">
        <w:t>not be included in</w:t>
      </w:r>
      <w:r>
        <w:t xml:space="preserve"> the </w:t>
      </w:r>
      <w:r w:rsidR="00835EAD">
        <w:t>ROW Rules</w:t>
      </w:r>
      <w:r>
        <w:t>.</w:t>
      </w:r>
    </w:p>
    <w:p w:rsidR="00AF7775" w:rsidP="00ED36CC" w:rsidRDefault="00AF7775" w14:paraId="51E13764" w14:textId="466E4602">
      <w:pPr>
        <w:pStyle w:val="CoL"/>
      </w:pPr>
      <w:r>
        <w:t xml:space="preserve">It is reasonable to conclude that the </w:t>
      </w:r>
      <w:r w:rsidRPr="00961B8E">
        <w:rPr>
          <w:i/>
          <w:iCs/>
        </w:rPr>
        <w:t xml:space="preserve">Petition for </w:t>
      </w:r>
      <w:r w:rsidRPr="00961B8E" w:rsidR="00961B8E">
        <w:rPr>
          <w:i/>
          <w:iCs/>
        </w:rPr>
        <w:t>Modification</w:t>
      </w:r>
      <w:r w:rsidRPr="00961B8E">
        <w:rPr>
          <w:i/>
          <w:iCs/>
        </w:rPr>
        <w:t xml:space="preserve"> of D.21</w:t>
      </w:r>
      <w:r w:rsidR="00E4753D">
        <w:rPr>
          <w:i/>
          <w:iCs/>
        </w:rPr>
        <w:noBreakHyphen/>
      </w:r>
      <w:r w:rsidRPr="00961B8E">
        <w:rPr>
          <w:i/>
          <w:iCs/>
        </w:rPr>
        <w:t>10</w:t>
      </w:r>
      <w:r w:rsidR="00E4753D">
        <w:rPr>
          <w:i/>
          <w:iCs/>
        </w:rPr>
        <w:noBreakHyphen/>
      </w:r>
      <w:r w:rsidRPr="00961B8E">
        <w:rPr>
          <w:i/>
          <w:iCs/>
        </w:rPr>
        <w:t>019</w:t>
      </w:r>
      <w:r w:rsidRPr="00961B8E" w:rsidR="00961B8E">
        <w:rPr>
          <w:i/>
          <w:iCs/>
        </w:rPr>
        <w:t xml:space="preserve"> </w:t>
      </w:r>
      <w:r w:rsidR="00961B8E">
        <w:t>should be denied</w:t>
      </w:r>
      <w:r w:rsidR="000232C9">
        <w:t>,</w:t>
      </w:r>
      <w:r w:rsidR="00961B8E">
        <w:t xml:space="preserve"> but that additional ordering paragraphs should be included to provide greater clarity.</w:t>
      </w:r>
    </w:p>
    <w:p w:rsidR="00961B8E" w:rsidP="00ED36CC" w:rsidRDefault="00961B8E" w14:paraId="4593E61B" w14:textId="1482B5CF">
      <w:pPr>
        <w:pStyle w:val="CoL"/>
      </w:pPr>
      <w:r>
        <w:t xml:space="preserve">It is </w:t>
      </w:r>
      <w:r w:rsidR="00D23672">
        <w:t xml:space="preserve">reasonable to conclude that the </w:t>
      </w:r>
      <w:r w:rsidRPr="00961B8E" w:rsidR="00D23672">
        <w:rPr>
          <w:i/>
          <w:iCs/>
        </w:rPr>
        <w:t xml:space="preserve">Petition for Modification of </w:t>
      </w:r>
      <w:r w:rsidR="00D23672">
        <w:rPr>
          <w:i/>
          <w:iCs/>
        </w:rPr>
        <w:t>Sonic Telecom, LLC</w:t>
      </w:r>
      <w:r w:rsidR="000232C9">
        <w:rPr>
          <w:i/>
          <w:iCs/>
        </w:rPr>
        <w:t xml:space="preserve"> of D.22</w:t>
      </w:r>
      <w:r w:rsidR="00E4753D">
        <w:rPr>
          <w:i/>
          <w:iCs/>
        </w:rPr>
        <w:noBreakHyphen/>
      </w:r>
      <w:r w:rsidR="000232C9">
        <w:rPr>
          <w:i/>
          <w:iCs/>
        </w:rPr>
        <w:t>10</w:t>
      </w:r>
      <w:r w:rsidR="00E4753D">
        <w:rPr>
          <w:i/>
          <w:iCs/>
        </w:rPr>
        <w:noBreakHyphen/>
      </w:r>
      <w:r w:rsidR="000232C9">
        <w:rPr>
          <w:i/>
          <w:iCs/>
        </w:rPr>
        <w:t xml:space="preserve">025 </w:t>
      </w:r>
      <w:r w:rsidRPr="000232C9" w:rsidR="000232C9">
        <w:t>should be denied</w:t>
      </w:r>
      <w:r w:rsidR="000232C9">
        <w:rPr>
          <w:i/>
          <w:iCs/>
        </w:rPr>
        <w:t>.</w:t>
      </w:r>
    </w:p>
    <w:p w:rsidR="00BB0243" w:rsidP="00ED36CC" w:rsidRDefault="005939A5" w14:paraId="54DD16DF" w14:textId="77777777">
      <w:pPr>
        <w:pStyle w:val="Mainex"/>
      </w:pPr>
      <w:bookmarkStart w:name="_Toc133843858" w:id="89"/>
      <w:bookmarkStart w:name="_Toc229726791" w:id="90"/>
      <w:r>
        <w:lastRenderedPageBreak/>
        <w:t>O</w:t>
      </w:r>
      <w:r w:rsidR="00722850">
        <w:t>RDER</w:t>
      </w:r>
      <w:bookmarkEnd w:id="89"/>
      <w:bookmarkEnd w:id="90"/>
    </w:p>
    <w:p w:rsidR="00BB0243" w:rsidP="005A289D" w:rsidRDefault="00BB0243" w14:paraId="40C35B94" w14:textId="77777777">
      <w:pPr>
        <w:pStyle w:val="Standard"/>
        <w:keepNext/>
      </w:pPr>
      <w:r w:rsidRPr="005A289D">
        <w:rPr>
          <w:b/>
          <w:bCs/>
        </w:rPr>
        <w:t>IT IS ORDERED</w:t>
      </w:r>
      <w:r>
        <w:t xml:space="preserve"> that:</w:t>
      </w:r>
    </w:p>
    <w:p w:rsidRPr="00E97D1A" w:rsidR="00FB3CB1" w:rsidP="00652D77" w:rsidRDefault="00FB3CB1" w14:paraId="5B206AEC" w14:textId="093BD546">
      <w:pPr>
        <w:pStyle w:val="OP"/>
      </w:pPr>
      <w:r w:rsidRPr="00E97D1A">
        <w:t>General Order 178: Rules Governing Rights-of-Way in California, as set forth in Attachment B, which updates and amends the “Adopted Amendments to the Rights-of-Way Rules (redline)” that the Commission adopted in Decision 22-10-025 (</w:t>
      </w:r>
      <w:r w:rsidRPr="00E97D1A">
        <w:rPr>
          <w:i/>
          <w:iCs/>
        </w:rPr>
        <w:t>Decision Adopting One-Touch Make-Ready Requirements</w:t>
      </w:r>
      <w:r w:rsidRPr="00E97D1A">
        <w:t xml:space="preserve">) is adopted. </w:t>
      </w:r>
    </w:p>
    <w:p w:rsidRPr="00F23BC1" w:rsidR="00FB3CB1" w:rsidP="00652D77" w:rsidRDefault="00FB3CB1" w14:paraId="05B2D7C6" w14:textId="5884A677">
      <w:pPr>
        <w:pStyle w:val="OP"/>
      </w:pPr>
      <w:r w:rsidRPr="00E97D1A">
        <w:t xml:space="preserve">The Major Pole Owners (Pacific Gas and Electric Company, Southern California Edison Company, San Diego Gas &amp; Electric Company, AT&amp;T Services, Inc., and Frontier) shall record and report the number of attachment requests that are not accommodated due to the need for pole </w:t>
      </w:r>
      <w:r w:rsidRPr="00F23BC1">
        <w:t xml:space="preserve">replacements. Reports shall be submitted to CDcompliance@cpuc.ca.gov annually for the next three years, with the first report submitted one year from the effective date of this decision. </w:t>
      </w:r>
    </w:p>
    <w:p w:rsidRPr="00F23BC1" w:rsidR="00FB3CB1" w:rsidP="00652D77" w:rsidRDefault="00FB3CB1" w14:paraId="390C79F5" w14:textId="28193BB2">
      <w:pPr>
        <w:pStyle w:val="OP"/>
      </w:pPr>
      <w:r w:rsidRPr="00F23BC1">
        <w:t xml:space="preserve">The Major Pole Owners (Pacific Gas and Electric Company, Southern California Edison Company, San Diego Gas &amp; Electric Company, AT&amp;T Services, Inc., and Frontier) shall hold a workshop with all interested parties </w:t>
      </w:r>
      <w:r w:rsidRPr="005444F5">
        <w:rPr>
          <w:strike/>
          <w:color w:val="EE0000"/>
          <w:highlight w:val="yellow"/>
        </w:rPr>
        <w:t>60</w:t>
      </w:r>
      <w:r w:rsidRPr="005444F5">
        <w:rPr>
          <w:color w:val="EE0000"/>
          <w:highlight w:val="yellow"/>
        </w:rPr>
        <w:t xml:space="preserve"> </w:t>
      </w:r>
      <w:r>
        <w:rPr>
          <w:color w:val="EE0000"/>
          <w:highlight w:val="yellow"/>
        </w:rPr>
        <w:t xml:space="preserve">no later than </w:t>
      </w:r>
      <w:r w:rsidRPr="005444F5">
        <w:rPr>
          <w:color w:val="EE0000"/>
          <w:highlight w:val="yellow"/>
        </w:rPr>
        <w:t>120</w:t>
      </w:r>
      <w:r w:rsidRPr="005444F5">
        <w:rPr>
          <w:color w:val="EE0000"/>
        </w:rPr>
        <w:t xml:space="preserve"> </w:t>
      </w:r>
      <w:r w:rsidRPr="00F23BC1">
        <w:t>days from the issuance date of this decision. The Major Pole Owners shall hav</w:t>
      </w:r>
      <w:r>
        <w:t>e 60</w:t>
      </w:r>
      <w:r w:rsidRPr="005444F5">
        <w:rPr>
          <w:color w:val="EE0000"/>
        </w:rPr>
        <w:t xml:space="preserve"> </w:t>
      </w:r>
      <w:r w:rsidRPr="00F23BC1">
        <w:t xml:space="preserve">days from the date of the workshop to submit Tier 3 Advice Letters setting forth the Standardized Self-Help Agreement required by Attachment A to this decision, IV.E.4. </w:t>
      </w:r>
    </w:p>
    <w:p w:rsidR="00FB3CB1" w:rsidP="00F30229" w:rsidRDefault="00FB3CB1" w14:paraId="2EAF7A3B" w14:textId="4F4D83F3">
      <w:pPr>
        <w:pStyle w:val="OP"/>
      </w:pPr>
      <w:r w:rsidRPr="00F23BC1">
        <w:t>Decision 21-10-019, Ordering Paragraph 9, is modified to permit utilities to provide specified Track 2, Phase 2 Datapoints and</w:t>
      </w:r>
      <w:r w:rsidRPr="00C4413D">
        <w:rPr>
          <w:color w:val="EE0000"/>
        </w:rPr>
        <w:t xml:space="preserve"> </w:t>
      </w:r>
      <w:r w:rsidRPr="00F23BC1">
        <w:t xml:space="preserve">a Pole Loading Calculation as follows: </w:t>
      </w:r>
    </w:p>
    <w:p w:rsidRPr="007747B7" w:rsidR="00FB3CB1" w:rsidP="00FB3CB1" w:rsidRDefault="00FB3CB1" w14:paraId="1CF0F530" w14:textId="09E1C273">
      <w:pPr>
        <w:ind w:left="1080" w:hanging="360"/>
      </w:pPr>
      <w:r w:rsidRPr="00F23BC1">
        <w:t xml:space="preserve">(a) Utilities must provide data for specified Phase 2 Datapoints: 6 (Attachment Location on Pole), </w:t>
      </w:r>
      <w:r w:rsidRPr="008C7FEE">
        <w:rPr>
          <w:strike/>
          <w:color w:val="EE0000"/>
          <w:highlight w:val="yellow"/>
        </w:rPr>
        <w:t>7 (Pole Attachment Elevation),</w:t>
      </w:r>
      <w:r w:rsidRPr="008C7FEE">
        <w:rPr>
          <w:color w:val="EE0000"/>
        </w:rPr>
        <w:t xml:space="preserve"> </w:t>
      </w:r>
      <w:r w:rsidRPr="00F23BC1">
        <w:t>8 (Attachment Description), and 11 (Grade of Construction)</w:t>
      </w:r>
      <w:r w:rsidR="00BD3CF3">
        <w:t xml:space="preserve"> </w:t>
      </w:r>
      <w:r w:rsidRPr="00F76574" w:rsidR="00BD3CF3">
        <w:rPr>
          <w:highlight w:val="yellow"/>
        </w:rPr>
        <w:t xml:space="preserve">by the general </w:t>
      </w:r>
      <w:r w:rsidRPr="00F76574" w:rsidR="00835AC1">
        <w:rPr>
          <w:highlight w:val="yellow"/>
        </w:rPr>
        <w:t xml:space="preserve">Phase 2 </w:t>
      </w:r>
      <w:r w:rsidRPr="00F76574" w:rsidR="00BD3CF3">
        <w:rPr>
          <w:highlight w:val="yellow"/>
        </w:rPr>
        <w:t>compliance deadline, as modified</w:t>
      </w:r>
      <w:r w:rsidRPr="00F23BC1">
        <w:t xml:space="preserve">. </w:t>
      </w:r>
    </w:p>
    <w:p w:rsidRPr="007747B7" w:rsidR="00FB3CB1" w:rsidP="00FB3CB1" w:rsidRDefault="00FB3CB1" w14:paraId="62FAFE6A" w14:textId="77777777">
      <w:pPr>
        <w:ind w:left="1080" w:hanging="360"/>
      </w:pPr>
      <w:r w:rsidRPr="007747B7">
        <w:lastRenderedPageBreak/>
        <w:t xml:space="preserve">(b) A Pole Loading Calculation may alternatively be used to comply with the requirement to provide specific data for Datapoints: </w:t>
      </w:r>
      <w:r w:rsidRPr="008C7FEE">
        <w:rPr>
          <w:color w:val="EE0000"/>
          <w:highlight w:val="yellow"/>
        </w:rPr>
        <w:t>7 (Pole Attachment Elevation),</w:t>
      </w:r>
      <w:r w:rsidRPr="008C7FEE">
        <w:rPr>
          <w:color w:val="EE0000"/>
        </w:rPr>
        <w:t xml:space="preserve"> </w:t>
      </w:r>
      <w:r w:rsidRPr="007747B7">
        <w:t xml:space="preserve">9 (Attachment Dimensions), 10 (Attachment Weight), 12 (Conductor Tension), 13 (Cable Tensile Strength), 14 (Cable Average Span Length), 15 (Wind Loading on the Attachment), 16 (Vertical Loading), and Data Point 17 (Bending Moment due to the Attachment). </w:t>
      </w:r>
    </w:p>
    <w:p w:rsidRPr="007747B7" w:rsidR="00FB3CB1" w:rsidP="00FB3CB1" w:rsidRDefault="00FB3CB1" w14:paraId="51FF0964" w14:textId="740F96E0">
      <w:pPr>
        <w:ind w:left="1080" w:hanging="360"/>
      </w:pPr>
      <w:r w:rsidRPr="007747B7">
        <w:t xml:space="preserve">(c) The Pole Loading Calculation must be stored and accessible in the respective pole owner attachment database and substantially include </w:t>
      </w:r>
      <w:r w:rsidR="00B53F5F">
        <w:t xml:space="preserve">Track 2, Phase 2 Datapoints </w:t>
      </w:r>
      <w:r w:rsidR="00A46AD0">
        <w:t xml:space="preserve">not </w:t>
      </w:r>
      <w:r w:rsidRPr="005A513E" w:rsidR="005A513E">
        <w:t xml:space="preserve">otherwise provided as discrete or individual data </w:t>
      </w:r>
      <w:r w:rsidR="005A513E">
        <w:t xml:space="preserve">point </w:t>
      </w:r>
      <w:r w:rsidRPr="005A513E" w:rsidR="005A513E">
        <w:t>submissions</w:t>
      </w:r>
      <w:r w:rsidRPr="007747B7">
        <w:t xml:space="preserve">. </w:t>
      </w:r>
    </w:p>
    <w:p w:rsidRPr="007747B7" w:rsidR="00FB3CB1" w:rsidP="00FB3CB1" w:rsidRDefault="00FB3CB1" w14:paraId="401815D9" w14:textId="77777777">
      <w:pPr>
        <w:ind w:left="1080" w:hanging="360"/>
      </w:pPr>
      <w:r w:rsidRPr="007747B7">
        <w:t xml:space="preserve">(d) The Pole Loading Calculation may be used to satisfy these data reporting requirements for these specific datapoints for all attachments included in the Pole Loading Calculation. </w:t>
      </w:r>
    </w:p>
    <w:p w:rsidRPr="00332AFD" w:rsidR="00FB3CB1" w:rsidP="00FB3CB1" w:rsidRDefault="00FB3CB1" w14:paraId="770AFB79" w14:textId="6F32A23C">
      <w:pPr>
        <w:ind w:left="1080" w:hanging="360"/>
      </w:pPr>
      <w:r w:rsidRPr="007747B7">
        <w:t>(e) The Pole Loading Calculation must include the date it was created</w:t>
      </w:r>
      <w:r>
        <w:t xml:space="preserve"> </w:t>
      </w:r>
      <w:r w:rsidRPr="007E56D2">
        <w:rPr>
          <w:color w:val="EE0000"/>
          <w:highlight w:val="yellow"/>
        </w:rPr>
        <w:t xml:space="preserve">and updates </w:t>
      </w:r>
      <w:r w:rsidR="00D97319">
        <w:rPr>
          <w:color w:val="EE0000"/>
          <w:highlight w:val="yellow"/>
        </w:rPr>
        <w:t>to</w:t>
      </w:r>
      <w:r w:rsidR="00CB2706">
        <w:rPr>
          <w:color w:val="EE0000"/>
          <w:highlight w:val="yellow"/>
        </w:rPr>
        <w:t xml:space="preserve"> datapoints not contained within the</w:t>
      </w:r>
      <w:r w:rsidRPr="007E56D2">
        <w:rPr>
          <w:color w:val="EE0000"/>
          <w:highlight w:val="yellow"/>
        </w:rPr>
        <w:t xml:space="preserve"> Pole Loading Calculation must </w:t>
      </w:r>
      <w:r>
        <w:rPr>
          <w:color w:val="EE0000"/>
          <w:highlight w:val="yellow"/>
        </w:rPr>
        <w:t>include</w:t>
      </w:r>
      <w:r w:rsidRPr="007E56D2">
        <w:rPr>
          <w:color w:val="EE0000"/>
          <w:highlight w:val="yellow"/>
        </w:rPr>
        <w:t xml:space="preserve"> a </w:t>
      </w:r>
      <w:r>
        <w:rPr>
          <w:color w:val="EE0000"/>
          <w:highlight w:val="yellow"/>
        </w:rPr>
        <w:t xml:space="preserve">corresponding </w:t>
      </w:r>
      <w:r w:rsidRPr="007E56D2">
        <w:rPr>
          <w:color w:val="EE0000"/>
          <w:highlight w:val="yellow"/>
        </w:rPr>
        <w:t>data modification timestamp.</w:t>
      </w:r>
    </w:p>
    <w:p w:rsidR="00FB3CB1" w:rsidP="000F66DE" w:rsidRDefault="00FB3CB1" w14:paraId="7B5E4265" w14:textId="3566C066">
      <w:pPr>
        <w:pStyle w:val="OP"/>
      </w:pPr>
      <w:r w:rsidRPr="00332AFD">
        <w:t xml:space="preserve">Decision 21-10-019, Ordering Paragraph 9, is modified to permit utilities to File a Tier 2 Advice Letter with a Compliance Plan as follows: </w:t>
      </w:r>
    </w:p>
    <w:p w:rsidR="00FB3CB1" w:rsidP="000F66DE" w:rsidRDefault="00FB3CB1" w14:paraId="6A261D31" w14:textId="279A2707">
      <w:pPr>
        <w:pStyle w:val="ListParagraph"/>
        <w:numPr>
          <w:ilvl w:val="0"/>
          <w:numId w:val="49"/>
        </w:numPr>
        <w:spacing w:after="160" w:line="278" w:lineRule="auto"/>
        <w:contextualSpacing w:val="0"/>
      </w:pPr>
      <w:r w:rsidRPr="00474098">
        <w:rPr>
          <w:color w:val="EE0000"/>
          <w:highlight w:val="yellow"/>
        </w:rPr>
        <w:t xml:space="preserve">The deadline for compliance with Decision 21-10-019, Ordering Paragraph 9, is extended to one year </w:t>
      </w:r>
      <w:r>
        <w:rPr>
          <w:color w:val="EE0000"/>
          <w:highlight w:val="yellow"/>
        </w:rPr>
        <w:t>to June 9, 2027</w:t>
      </w:r>
      <w:r w:rsidR="00050886">
        <w:rPr>
          <w:color w:val="EE0000"/>
          <w:highlight w:val="yellow"/>
        </w:rPr>
        <w:t xml:space="preserve"> unless the utility elects to </w:t>
      </w:r>
      <w:r w:rsidR="00485D2D">
        <w:rPr>
          <w:color w:val="EE0000"/>
          <w:highlight w:val="yellow"/>
        </w:rPr>
        <w:t xml:space="preserve">submit a </w:t>
      </w:r>
      <w:r w:rsidR="002D6561">
        <w:rPr>
          <w:color w:val="EE0000"/>
          <w:highlight w:val="yellow"/>
        </w:rPr>
        <w:t>Compliance Plan</w:t>
      </w:r>
      <w:r w:rsidR="00485D2D">
        <w:rPr>
          <w:color w:val="EE0000"/>
          <w:highlight w:val="yellow"/>
        </w:rPr>
        <w:t xml:space="preserve"> </w:t>
      </w:r>
      <w:r w:rsidR="002757FE">
        <w:rPr>
          <w:color w:val="EE0000"/>
          <w:highlight w:val="yellow"/>
        </w:rPr>
        <w:t>according to the provisions below</w:t>
      </w:r>
      <w:r w:rsidRPr="00474098">
        <w:rPr>
          <w:color w:val="EE0000"/>
          <w:highlight w:val="yellow"/>
        </w:rPr>
        <w:t>.</w:t>
      </w:r>
    </w:p>
    <w:p w:rsidR="00FB3CB1" w:rsidP="000F66DE" w:rsidRDefault="00FB3CB1" w14:paraId="120DD51C" w14:textId="5FD7F3DC">
      <w:pPr>
        <w:pStyle w:val="ListParagraph"/>
        <w:numPr>
          <w:ilvl w:val="0"/>
          <w:numId w:val="49"/>
        </w:numPr>
        <w:spacing w:after="160" w:line="278" w:lineRule="auto"/>
        <w:contextualSpacing w:val="0"/>
      </w:pPr>
      <w:r w:rsidRPr="00332AFD">
        <w:t xml:space="preserve">If compliance is not expected to be possible within the timeline provided, the utility must file a Tier 2 advice letter within </w:t>
      </w:r>
      <w:r w:rsidRPr="000F66DE">
        <w:rPr>
          <w:strike/>
          <w:color w:val="EE0000"/>
        </w:rPr>
        <w:t>60</w:t>
      </w:r>
      <w:r w:rsidRPr="000F66DE">
        <w:rPr>
          <w:color w:val="EE0000"/>
        </w:rPr>
        <w:t xml:space="preserve"> 90 </w:t>
      </w:r>
      <w:r w:rsidRPr="00332AFD">
        <w:t xml:space="preserve">days </w:t>
      </w:r>
      <w:r w:rsidRPr="000F66DE" w:rsidR="00E70B41">
        <w:rPr>
          <w:color w:val="EE0000"/>
          <w:highlight w:val="yellow"/>
        </w:rPr>
        <w:t xml:space="preserve">from the issuance </w:t>
      </w:r>
      <w:r w:rsidRPr="000F66DE" w:rsidR="007F3140">
        <w:rPr>
          <w:color w:val="EE0000"/>
          <w:highlight w:val="yellow"/>
        </w:rPr>
        <w:t xml:space="preserve">date </w:t>
      </w:r>
      <w:r w:rsidRPr="000F66DE" w:rsidR="00E70B41">
        <w:rPr>
          <w:color w:val="EE0000"/>
          <w:highlight w:val="yellow"/>
        </w:rPr>
        <w:t>of this Decision</w:t>
      </w:r>
      <w:r w:rsidRPr="00332AFD" w:rsidR="00E70B41">
        <w:t xml:space="preserve"> </w:t>
      </w:r>
      <w:r w:rsidRPr="00332AFD">
        <w:t xml:space="preserve">with a </w:t>
      </w:r>
      <w:r w:rsidR="002D6561">
        <w:t>Compliance Plan</w:t>
      </w:r>
      <w:r w:rsidRPr="00332AFD">
        <w:t xml:space="preserve"> </w:t>
      </w:r>
      <w:r w:rsidRPr="00332AFD">
        <w:lastRenderedPageBreak/>
        <w:t>outlining steps</w:t>
      </w:r>
      <w:r w:rsidRPr="000F66DE">
        <w:rPr>
          <w:highlight w:val="yellow"/>
        </w:rPr>
        <w:t>, strategies, costs</w:t>
      </w:r>
      <w:r w:rsidRPr="00332AFD">
        <w:t xml:space="preserve"> and time needed to comply. The plan must identify the specific number of attachments and data fields that cannot be</w:t>
      </w:r>
      <w:r>
        <w:t xml:space="preserve"> readily </w:t>
      </w:r>
      <w:r w:rsidRPr="00332AFD">
        <w:t xml:space="preserve">provided. The plan should leverage existing data sources over performing more expensive field inspections. </w:t>
      </w:r>
    </w:p>
    <w:p w:rsidRPr="008566E7" w:rsidR="00FB3CB1" w:rsidP="00BB5190" w:rsidRDefault="00FB3CB1" w14:paraId="37B55EC6" w14:textId="5C491A8B">
      <w:pPr>
        <w:pStyle w:val="ListParagraph"/>
        <w:numPr>
          <w:ilvl w:val="0"/>
          <w:numId w:val="49"/>
        </w:numPr>
        <w:spacing w:after="160" w:line="278" w:lineRule="auto"/>
        <w:contextualSpacing w:val="0"/>
        <w:rPr>
          <w:color w:val="EE0000"/>
          <w:highlight w:val="yellow"/>
        </w:rPr>
      </w:pPr>
      <w:r w:rsidRPr="001D4E50">
        <w:rPr>
          <w:color w:val="EE0000"/>
          <w:highlight w:val="yellow"/>
        </w:rPr>
        <w:t xml:space="preserve">The Compliance Plan shall address fulfillment of Phase 2 Data Points </w:t>
      </w:r>
      <w:r w:rsidRPr="00252DDA">
        <w:rPr>
          <w:color w:val="EE0000"/>
          <w:highlight w:val="yellow"/>
        </w:rPr>
        <w:t xml:space="preserve">7, 9, 10, and 12–17 (attachment elevation, dimensions, weight, conductor tension, tensile strength, average span length, wind loading, vertical loading, and bending moment) the </w:t>
      </w:r>
      <w:r w:rsidRPr="001D4E50">
        <w:rPr>
          <w:color w:val="EE0000"/>
          <w:highlight w:val="yellow"/>
        </w:rPr>
        <w:t xml:space="preserve">Compliance Plan </w:t>
      </w:r>
      <w:r w:rsidRPr="00252DDA">
        <w:rPr>
          <w:color w:val="EE0000"/>
          <w:highlight w:val="yellow"/>
        </w:rPr>
        <w:t xml:space="preserve">shall propose a prioritized </w:t>
      </w:r>
      <w:r w:rsidR="0038323A">
        <w:rPr>
          <w:color w:val="EE0000"/>
          <w:highlight w:val="yellow"/>
        </w:rPr>
        <w:t>schedule</w:t>
      </w:r>
      <w:r w:rsidRPr="00252DDA">
        <w:rPr>
          <w:color w:val="EE0000"/>
          <w:highlight w:val="yellow"/>
        </w:rPr>
        <w:t xml:space="preserve"> </w:t>
      </w:r>
      <w:r w:rsidR="0038323A">
        <w:rPr>
          <w:color w:val="EE0000"/>
          <w:highlight w:val="yellow"/>
        </w:rPr>
        <w:t>for attachments on</w:t>
      </w:r>
      <w:r w:rsidRPr="00252DDA">
        <w:rPr>
          <w:color w:val="EE0000"/>
          <w:highlight w:val="yellow"/>
        </w:rPr>
        <w:t xml:space="preserve"> poles in HFTD Tier 2 and Tier 3 areas. </w:t>
      </w:r>
    </w:p>
    <w:p w:rsidR="00FB3CB1" w:rsidP="00F377D4" w:rsidRDefault="00FB3CB1" w14:paraId="4401B655" w14:textId="2C8D112E">
      <w:pPr>
        <w:pStyle w:val="ListParagraph"/>
        <w:numPr>
          <w:ilvl w:val="0"/>
          <w:numId w:val="49"/>
        </w:numPr>
        <w:spacing w:after="160" w:line="278" w:lineRule="auto"/>
        <w:contextualSpacing w:val="0"/>
      </w:pPr>
      <w:r w:rsidRPr="00276BFE">
        <w:rPr>
          <w:color w:val="EE0000"/>
          <w:highlight w:val="yellow"/>
        </w:rPr>
        <w:t xml:space="preserve">The Compliance Plan shall include an annual reporting requirement. The </w:t>
      </w:r>
      <w:r>
        <w:rPr>
          <w:color w:val="EE0000"/>
          <w:highlight w:val="yellow"/>
        </w:rPr>
        <w:t>pole-owner</w:t>
      </w:r>
      <w:r w:rsidRPr="00276BFE">
        <w:rPr>
          <w:color w:val="EE0000"/>
          <w:highlight w:val="yellow"/>
        </w:rPr>
        <w:t xml:space="preserve"> </w:t>
      </w:r>
      <w:r>
        <w:rPr>
          <w:color w:val="EE0000"/>
          <w:highlight w:val="yellow"/>
        </w:rPr>
        <w:t>must</w:t>
      </w:r>
      <w:r w:rsidRPr="00276BFE">
        <w:rPr>
          <w:color w:val="EE0000"/>
          <w:highlight w:val="yellow"/>
        </w:rPr>
        <w:t xml:space="preserve"> submit</w:t>
      </w:r>
      <w:r>
        <w:rPr>
          <w:color w:val="EE0000"/>
          <w:highlight w:val="yellow"/>
        </w:rPr>
        <w:t xml:space="preserve"> </w:t>
      </w:r>
      <w:r w:rsidRPr="00276BFE">
        <w:rPr>
          <w:color w:val="EE0000"/>
          <w:highlight w:val="yellow"/>
        </w:rPr>
        <w:t xml:space="preserve">to Commission staff </w:t>
      </w:r>
      <w:r>
        <w:rPr>
          <w:color w:val="EE0000"/>
          <w:highlight w:val="yellow"/>
        </w:rPr>
        <w:t>(via</w:t>
      </w:r>
      <w:r w:rsidRPr="00BB6592">
        <w:rPr>
          <w:color w:val="EE0000"/>
          <w:highlight w:val="yellow"/>
        </w:rPr>
        <w:t xml:space="preserve"> </w:t>
      </w:r>
      <w:hyperlink w:history="1" r:id="rId20">
        <w:r w:rsidRPr="00BB6592">
          <w:rPr>
            <w:color w:val="EE0000"/>
            <w:highlight w:val="yellow"/>
          </w:rPr>
          <w:t>CDcompliance@cpuc.ca.gov</w:t>
        </w:r>
      </w:hyperlink>
      <w:r w:rsidRPr="00BB6592">
        <w:rPr>
          <w:color w:val="EE0000"/>
          <w:highlight w:val="yellow"/>
        </w:rPr>
        <w:t xml:space="preserve">) </w:t>
      </w:r>
      <w:r w:rsidRPr="00276BFE">
        <w:rPr>
          <w:color w:val="EE0000"/>
          <w:highlight w:val="yellow"/>
        </w:rPr>
        <w:t xml:space="preserve">an annual report tracking progress against </w:t>
      </w:r>
      <w:r>
        <w:rPr>
          <w:color w:val="EE0000"/>
          <w:highlight w:val="yellow"/>
        </w:rPr>
        <w:t>the</w:t>
      </w:r>
      <w:r w:rsidRPr="00276BFE">
        <w:rPr>
          <w:color w:val="EE0000"/>
          <w:highlight w:val="yellow"/>
        </w:rPr>
        <w:t xml:space="preserve"> targets set forth in the Compliance Plan, identifying any material deviations from those targets, and proposing corrective actions where applicable.</w:t>
      </w:r>
      <w:r w:rsidRPr="00276BFE">
        <w:rPr>
          <w:color w:val="EE0000"/>
        </w:rPr>
        <w:t xml:space="preserve"> </w:t>
      </w:r>
    </w:p>
    <w:p w:rsidRPr="00332AFD" w:rsidR="00FB3CB1" w:rsidP="00F377D4" w:rsidRDefault="00FB3CB1" w14:paraId="10BCC402" w14:textId="47876CC4">
      <w:pPr>
        <w:pStyle w:val="ListParagraph"/>
        <w:numPr>
          <w:ilvl w:val="0"/>
          <w:numId w:val="49"/>
        </w:numPr>
        <w:spacing w:after="160" w:line="278" w:lineRule="auto"/>
        <w:contextualSpacing w:val="0"/>
      </w:pPr>
      <w:r w:rsidRPr="00332AFD">
        <w:t xml:space="preserve">Commission staff shall review </w:t>
      </w:r>
      <w:r w:rsidRPr="001D4E50">
        <w:rPr>
          <w:color w:val="EE0000"/>
          <w:highlight w:val="yellow"/>
        </w:rPr>
        <w:t>the Compliance Plan</w:t>
      </w:r>
      <w:r w:rsidRPr="001D4E50">
        <w:rPr>
          <w:color w:val="EE0000"/>
        </w:rPr>
        <w:t xml:space="preserve"> </w:t>
      </w:r>
      <w:r w:rsidRPr="00332AFD">
        <w:t>for reasonableness, taking into account the number of attachments and data points at issue, the compliance strategies proposed,</w:t>
      </w:r>
      <w:r>
        <w:t xml:space="preserve"> </w:t>
      </w:r>
      <w:r w:rsidRPr="007C6573">
        <w:rPr>
          <w:highlight w:val="yellow"/>
        </w:rPr>
        <w:t>costs,</w:t>
      </w:r>
      <w:r w:rsidRPr="00332AFD">
        <w:t xml:space="preserve"> the length of time needed to comply, and the quality of existing data. </w:t>
      </w:r>
    </w:p>
    <w:p w:rsidR="00FB3CB1" w:rsidP="00F377D4" w:rsidRDefault="00FB3CB1" w14:paraId="34B82E22" w14:textId="71B66D3F">
      <w:pPr>
        <w:pStyle w:val="ListParagraph"/>
        <w:numPr>
          <w:ilvl w:val="0"/>
          <w:numId w:val="49"/>
        </w:numPr>
        <w:spacing w:after="160" w:line="278" w:lineRule="auto"/>
        <w:contextualSpacing w:val="0"/>
      </w:pPr>
      <w:r w:rsidRPr="00332AFD">
        <w:t xml:space="preserve">Commission staff may deny the advice letter proposal and instead refer to the Commission additional remedial actions </w:t>
      </w:r>
      <w:r w:rsidRPr="002F2371">
        <w:rPr>
          <w:color w:val="EE0000"/>
          <w:highlight w:val="yellow"/>
        </w:rPr>
        <w:t xml:space="preserve">or other </w:t>
      </w:r>
      <w:r>
        <w:rPr>
          <w:color w:val="EE0000"/>
          <w:highlight w:val="yellow"/>
        </w:rPr>
        <w:t xml:space="preserve">programmatic or reporting </w:t>
      </w:r>
      <w:r w:rsidRPr="002F2371">
        <w:rPr>
          <w:color w:val="EE0000"/>
          <w:highlight w:val="yellow"/>
        </w:rPr>
        <w:t>changes</w:t>
      </w:r>
      <w:r w:rsidRPr="002F2371">
        <w:rPr>
          <w:color w:val="EE0000"/>
        </w:rPr>
        <w:t xml:space="preserve"> </w:t>
      </w:r>
      <w:r w:rsidRPr="00332AFD">
        <w:t xml:space="preserve">via staff resolution, including, but not limited to, a third party auditor and compliance monitor to oversee compliance at the utility’s expense. </w:t>
      </w:r>
    </w:p>
    <w:p w:rsidRPr="007E00A7" w:rsidR="00FB3CB1" w:rsidP="00F377D4" w:rsidRDefault="00FB3CB1" w14:paraId="18CEAB0A" w14:textId="77777777">
      <w:pPr>
        <w:pStyle w:val="ListParagraph"/>
        <w:numPr>
          <w:ilvl w:val="0"/>
          <w:numId w:val="49"/>
        </w:numPr>
        <w:spacing w:after="160" w:line="278" w:lineRule="auto"/>
        <w:contextualSpacing w:val="0"/>
      </w:pPr>
      <w:r w:rsidRPr="00A63AFA">
        <w:t xml:space="preserve">The Commission authorizes staff to put forward an enforcement framework setting forth terms, conditions, and processes for hiring a 3rd party audit of utility practices and compliance monitor. The audit and compliance monitor shall be hired at the utility’s expense. The utility shall comply with audit requirements. The Commission </w:t>
      </w:r>
      <w:r w:rsidRPr="00A63AFA">
        <w:lastRenderedPageBreak/>
        <w:t xml:space="preserve">believes this will more effectively result in an enhanced and more compliant process than potentially levying sizeable fines. </w:t>
      </w:r>
    </w:p>
    <w:p w:rsidRPr="007E00A7" w:rsidR="00FB3CB1" w:rsidP="000A22F9" w:rsidRDefault="00FB3CB1" w14:paraId="4B846C8F" w14:textId="23BD4BAD">
      <w:pPr>
        <w:pStyle w:val="OP"/>
      </w:pPr>
      <w:r w:rsidRPr="007E00A7">
        <w:t xml:space="preserve">Decision 21-10-019 is modified with the inclusion of the following new Ordering Paragraphs: </w:t>
      </w:r>
    </w:p>
    <w:p w:rsidRPr="007E00A7" w:rsidR="00FB3CB1" w:rsidP="000A22F9" w:rsidRDefault="00FB3CB1" w14:paraId="32458031" w14:textId="3F3BEEDB">
      <w:pPr>
        <w:pStyle w:val="ListParagraph"/>
        <w:numPr>
          <w:ilvl w:val="0"/>
          <w:numId w:val="48"/>
        </w:numPr>
        <w:spacing w:after="160" w:line="278" w:lineRule="auto"/>
        <w:contextualSpacing w:val="0"/>
      </w:pPr>
      <w:r w:rsidRPr="007E00A7">
        <w:t xml:space="preserve">Databases shall account for stratification of data by retaining the version history of data and documents by including a timestamp for when existing data is modified </w:t>
      </w:r>
      <w:r w:rsidRPr="000554F6">
        <w:rPr>
          <w:strike/>
          <w:color w:val="EE0000"/>
          <w:highlight w:val="yellow"/>
        </w:rPr>
        <w:t xml:space="preserve">and new data is uploaded </w:t>
      </w:r>
      <w:r w:rsidRPr="000554F6">
        <w:rPr>
          <w:color w:val="EE0000"/>
          <w:highlight w:val="yellow"/>
        </w:rPr>
        <w:t>and</w:t>
      </w:r>
      <w:r>
        <w:rPr>
          <w:color w:val="EE0000"/>
          <w:highlight w:val="yellow"/>
        </w:rPr>
        <w:t xml:space="preserve">, if </w:t>
      </w:r>
      <w:r w:rsidRPr="000554F6">
        <w:rPr>
          <w:color w:val="EE0000"/>
          <w:highlight w:val="yellow"/>
        </w:rPr>
        <w:t xml:space="preserve">applicable, a timestamp for when </w:t>
      </w:r>
      <w:r>
        <w:rPr>
          <w:color w:val="EE0000"/>
          <w:highlight w:val="yellow"/>
        </w:rPr>
        <w:t>the</w:t>
      </w:r>
      <w:r w:rsidRPr="000554F6">
        <w:rPr>
          <w:color w:val="EE0000"/>
          <w:highlight w:val="yellow"/>
        </w:rPr>
        <w:t xml:space="preserve"> Pole Loading Calculation was performed</w:t>
      </w:r>
      <w:r w:rsidRPr="007E00A7">
        <w:t xml:space="preserve">. This will account for changes that will occur over time due to maintenance and One-Touch Make-Ready processes. </w:t>
      </w:r>
    </w:p>
    <w:p w:rsidRPr="007E00A7" w:rsidR="00FB3CB1" w:rsidP="000A22F9" w:rsidRDefault="00FB3CB1" w14:paraId="2F53B443" w14:textId="77777777">
      <w:pPr>
        <w:pStyle w:val="ListParagraph"/>
        <w:numPr>
          <w:ilvl w:val="0"/>
          <w:numId w:val="48"/>
        </w:numPr>
        <w:spacing w:after="160" w:line="278" w:lineRule="auto"/>
        <w:contextualSpacing w:val="0"/>
      </w:pPr>
      <w:r w:rsidRPr="007E00A7">
        <w:t xml:space="preserve">Each of the Major Pole Owners (Pacific Gas and Electric Company, Southern California Edison Company, San Diego Gas &amp; Electric Company, AT&amp;T Services, Inc., and Frontier) shall </w:t>
      </w:r>
      <w:r w:rsidRPr="001E1ECE">
        <w:rPr>
          <w:strike/>
          <w:color w:val="EE0000"/>
          <w:highlight w:val="yellow"/>
        </w:rPr>
        <w:t>use their respective pole attachment databases as their official repository and system of record for all future Pole Loading Calculations (PLC). All new PLCs performed for new installations or modifications must be stored as discrete, structured, and machine-readable data points within these databases.</w:t>
      </w:r>
      <w:r w:rsidRPr="001E1ECE">
        <w:rPr>
          <w:color w:val="EE0000"/>
          <w:highlight w:val="yellow"/>
        </w:rPr>
        <w:t xml:space="preserve"> upload each newly generated Pole Loading Calculation to their respective database within 30 days of completing the Pole Loading Calculation.</w:t>
      </w:r>
      <w:r w:rsidRPr="001E1ECE">
        <w:rPr>
          <w:color w:val="EE0000"/>
        </w:rPr>
        <w:t xml:space="preserve"> </w:t>
      </w:r>
    </w:p>
    <w:p w:rsidRPr="00A63AFA" w:rsidR="00FB3CB1" w:rsidP="003F11A0" w:rsidRDefault="00FB3CB1" w14:paraId="39374DB9" w14:textId="2EC9DA68">
      <w:pPr>
        <w:pStyle w:val="OP"/>
        <w:keepNext/>
        <w:ind w:firstLine="547"/>
      </w:pPr>
      <w:r w:rsidRPr="007E00A7">
        <w:lastRenderedPageBreak/>
        <w:t>Investigation 17-06-027 and Rulemaking 17-06-028 are closed.</w:t>
      </w:r>
    </w:p>
    <w:p w:rsidR="008F0116" w:rsidP="00ED36CC" w:rsidRDefault="008F0116" w14:paraId="38453CC6" w14:textId="154A9B60">
      <w:pPr>
        <w:pStyle w:val="Standard"/>
        <w:keepNext/>
      </w:pPr>
      <w:r>
        <w:t>This order is effective today.</w:t>
      </w:r>
    </w:p>
    <w:p w:rsidR="00714CF2" w:rsidP="00ED36CC" w:rsidRDefault="008F0116" w14:paraId="53393871" w14:textId="138E07BA">
      <w:pPr>
        <w:pStyle w:val="Standard"/>
        <w:keepNext/>
      </w:pPr>
      <w:r>
        <w:t xml:space="preserve">Dated </w:t>
      </w:r>
      <w:r w:rsidRPr="005E7EC2" w:rsidR="005E7EC2">
        <w:t>May 14, 2026</w:t>
      </w:r>
      <w:r>
        <w:t xml:space="preserve">, at </w:t>
      </w:r>
      <w:r w:rsidR="003A4B15">
        <w:t>San</w:t>
      </w:r>
      <w:r w:rsidR="0051059D">
        <w:t> </w:t>
      </w:r>
      <w:r>
        <w:t>Francisco, California</w:t>
      </w:r>
      <w:r w:rsidR="00837A93">
        <w:t>.</w:t>
      </w:r>
    </w:p>
    <w:p w:rsidRPr="00132251" w:rsidR="00252896" w:rsidP="00252896" w:rsidRDefault="00252896" w14:paraId="1488743C" w14:textId="77777777">
      <w:pPr>
        <w:pStyle w:val="SigSpaceBA"/>
      </w:pPr>
    </w:p>
    <w:p w:rsidR="00252896" w:rsidP="00252896" w:rsidRDefault="00252896" w14:paraId="51DFD92B" w14:textId="77777777">
      <w:pPr>
        <w:pStyle w:val="SigBlockBA-Cmr"/>
      </w:pPr>
      <w:r w:rsidRPr="00132251">
        <w:t>JOHN REYNOLDS</w:t>
      </w:r>
    </w:p>
    <w:p w:rsidRPr="00132251" w:rsidR="00252896" w:rsidP="00252896" w:rsidRDefault="00252896" w14:paraId="139B2961" w14:textId="77777777">
      <w:pPr>
        <w:pStyle w:val="SigBlockBA-Title"/>
      </w:pPr>
      <w:r w:rsidRPr="00132251">
        <w:t>President</w:t>
      </w:r>
    </w:p>
    <w:p w:rsidRPr="00132251" w:rsidR="00252896" w:rsidP="00252896" w:rsidRDefault="00252896" w14:paraId="428F3126" w14:textId="77777777">
      <w:pPr>
        <w:pStyle w:val="SigBlockBA-Cmr"/>
      </w:pPr>
      <w:r w:rsidRPr="00132251">
        <w:t>DARCIE L. HOUCK</w:t>
      </w:r>
    </w:p>
    <w:p w:rsidR="00252896" w:rsidP="00252896" w:rsidRDefault="00252896" w14:paraId="0A5D6084" w14:textId="77777777">
      <w:pPr>
        <w:pStyle w:val="SigBlockBA-Cmr"/>
      </w:pPr>
      <w:r w:rsidRPr="001A0FB9">
        <w:t>KAREN DOUGLAS</w:t>
      </w:r>
    </w:p>
    <w:p w:rsidRPr="00132251" w:rsidR="00252896" w:rsidP="00252896" w:rsidRDefault="00252896" w14:paraId="3B4C5609" w14:textId="77777777">
      <w:pPr>
        <w:pStyle w:val="SigBlockBA-Cmr"/>
      </w:pPr>
      <w:r>
        <w:t>CHRISTINE HARADA</w:t>
      </w:r>
    </w:p>
    <w:p w:rsidRPr="00132251" w:rsidR="00252896" w:rsidP="00252896" w:rsidRDefault="00252896" w14:paraId="7A8D65F1" w14:textId="77777777">
      <w:pPr>
        <w:pStyle w:val="SigBlockBA-Title"/>
        <w:spacing w:after="260"/>
      </w:pPr>
      <w:r w:rsidRPr="00132251">
        <w:t>Commissioners</w:t>
      </w:r>
    </w:p>
    <w:p w:rsidR="00837A93" w:rsidP="00252896" w:rsidRDefault="00252896" w14:paraId="4B3347C8" w14:textId="22CA1079">
      <w:pPr>
        <w:pStyle w:val="BakerNonIComp"/>
        <w:keepNext w:val="0"/>
      </w:pPr>
      <w:r>
        <w:t>Commissioner Matthew Baker</w:t>
      </w:r>
      <w:r>
        <w:br/>
        <w:t>recused himself and did not</w:t>
      </w:r>
      <w:r>
        <w:br/>
        <w:t>participate in the vote of this item.</w:t>
      </w:r>
    </w:p>
    <w:p w:rsidR="00275741" w:rsidP="00ED36CC" w:rsidRDefault="00275741" w14:paraId="19130EB4" w14:textId="77777777">
      <w:pPr>
        <w:pStyle w:val="Standard"/>
        <w:keepNext/>
        <w:sectPr w:rsidR="00275741" w:rsidSect="00A741FE">
          <w:footerReference w:type="default" r:id="rId21"/>
          <w:pgSz w:w="12240" w:h="15840"/>
          <w:pgMar w:top="1728" w:right="1440" w:bottom="1440" w:left="1440" w:header="720" w:footer="720" w:gutter="0"/>
          <w:pgNumType w:start="2"/>
          <w:cols w:space="720"/>
          <w:docGrid w:linePitch="360"/>
        </w:sectPr>
      </w:pPr>
    </w:p>
    <w:p w:rsidR="00275741" w:rsidP="00275741" w:rsidRDefault="00275741" w14:paraId="246F7ABD" w14:textId="77777777">
      <w:pPr>
        <w:ind w:firstLine="0"/>
      </w:pPr>
    </w:p>
    <w:p w:rsidR="00275741" w:rsidP="00275741" w:rsidRDefault="00275741" w14:paraId="63C4731C" w14:textId="77777777">
      <w:pPr>
        <w:ind w:firstLine="0"/>
      </w:pPr>
    </w:p>
    <w:p w:rsidR="00275741" w:rsidP="00275741" w:rsidRDefault="00275741" w14:paraId="0280D9D5" w14:textId="77777777">
      <w:pPr>
        <w:ind w:firstLine="0"/>
      </w:pPr>
    </w:p>
    <w:p w:rsidR="00275741" w:rsidP="00275741" w:rsidRDefault="00275741" w14:paraId="24317FFF" w14:textId="77777777">
      <w:pPr>
        <w:ind w:firstLine="0"/>
      </w:pPr>
    </w:p>
    <w:p w:rsidR="00275741" w:rsidP="00275741" w:rsidRDefault="00275741" w14:paraId="1A081549" w14:textId="77777777">
      <w:pPr>
        <w:ind w:firstLine="0"/>
      </w:pPr>
    </w:p>
    <w:p w:rsidR="00275741" w:rsidP="00275741" w:rsidRDefault="00275741" w14:paraId="43254C1D" w14:textId="77777777">
      <w:pPr>
        <w:ind w:firstLine="0"/>
      </w:pPr>
    </w:p>
    <w:p w:rsidR="00275741" w:rsidP="00275741" w:rsidRDefault="00275741" w14:paraId="08E5D007" w14:textId="77777777">
      <w:pPr>
        <w:ind w:firstLine="0"/>
      </w:pPr>
    </w:p>
    <w:p w:rsidR="00275741" w:rsidP="00275741" w:rsidRDefault="00275741" w14:paraId="736A47B3" w14:textId="77777777">
      <w:pPr>
        <w:ind w:firstLine="0"/>
        <w:jc w:val="center"/>
        <w:rPr>
          <w:b/>
          <w:bCs/>
          <w:sz w:val="50"/>
        </w:rPr>
      </w:pPr>
      <w:r>
        <w:rPr>
          <w:b/>
          <w:bCs/>
          <w:sz w:val="50"/>
        </w:rPr>
        <w:t>ATTACHMENT A</w:t>
      </w:r>
    </w:p>
    <w:p w:rsidR="00837A93" w:rsidP="00ED36CC" w:rsidRDefault="00837A93" w14:paraId="335CF042" w14:textId="77777777">
      <w:pPr>
        <w:pStyle w:val="Standard"/>
        <w:keepNext/>
      </w:pPr>
    </w:p>
    <w:p w:rsidR="00796BA0" w:rsidP="00ED36CC" w:rsidRDefault="00796BA0" w14:paraId="31C80430" w14:textId="77777777">
      <w:pPr>
        <w:pStyle w:val="Standard"/>
        <w:keepNext/>
        <w:sectPr w:rsidR="00796BA0" w:rsidSect="00A741FE">
          <w:footerReference w:type="default" r:id="rId22"/>
          <w:pgSz w:w="12240" w:h="15840"/>
          <w:pgMar w:top="1728" w:right="1440" w:bottom="1440" w:left="1440" w:header="720" w:footer="720" w:gutter="0"/>
          <w:pgNumType w:start="2"/>
          <w:cols w:space="720"/>
          <w:docGrid w:linePitch="360"/>
        </w:sectPr>
      </w:pPr>
    </w:p>
    <w:p w:rsidR="00796BA0" w:rsidP="00796BA0" w:rsidRDefault="00796BA0" w14:paraId="6AAA9E38" w14:textId="77777777">
      <w:pPr>
        <w:ind w:firstLine="0"/>
      </w:pPr>
    </w:p>
    <w:p w:rsidR="00796BA0" w:rsidP="00796BA0" w:rsidRDefault="00796BA0" w14:paraId="2E84C501" w14:textId="77777777">
      <w:pPr>
        <w:ind w:firstLine="0"/>
      </w:pPr>
    </w:p>
    <w:p w:rsidR="00796BA0" w:rsidP="00796BA0" w:rsidRDefault="00796BA0" w14:paraId="3686781A" w14:textId="77777777">
      <w:pPr>
        <w:ind w:firstLine="0"/>
      </w:pPr>
    </w:p>
    <w:p w:rsidR="00796BA0" w:rsidP="00796BA0" w:rsidRDefault="00796BA0" w14:paraId="5FBA54E3" w14:textId="77777777">
      <w:pPr>
        <w:ind w:firstLine="0"/>
      </w:pPr>
    </w:p>
    <w:p w:rsidR="00796BA0" w:rsidP="00796BA0" w:rsidRDefault="00796BA0" w14:paraId="0A576155" w14:textId="77777777">
      <w:pPr>
        <w:ind w:firstLine="0"/>
      </w:pPr>
    </w:p>
    <w:p w:rsidR="00796BA0" w:rsidP="00796BA0" w:rsidRDefault="00796BA0" w14:paraId="553DBDB0" w14:textId="77777777">
      <w:pPr>
        <w:ind w:firstLine="0"/>
      </w:pPr>
    </w:p>
    <w:p w:rsidR="00796BA0" w:rsidP="00796BA0" w:rsidRDefault="00796BA0" w14:paraId="3CA2F18A" w14:textId="77777777">
      <w:pPr>
        <w:ind w:firstLine="0"/>
      </w:pPr>
    </w:p>
    <w:p w:rsidR="00796BA0" w:rsidP="00796BA0" w:rsidRDefault="00796BA0" w14:paraId="5219047D" w14:textId="27CE715B">
      <w:pPr>
        <w:ind w:firstLine="0"/>
        <w:jc w:val="center"/>
        <w:rPr>
          <w:b/>
          <w:bCs/>
          <w:sz w:val="50"/>
        </w:rPr>
      </w:pPr>
      <w:r>
        <w:rPr>
          <w:b/>
          <w:bCs/>
          <w:sz w:val="50"/>
        </w:rPr>
        <w:t>ATTACHMENT B</w:t>
      </w:r>
    </w:p>
    <w:p w:rsidRPr="00714CF2" w:rsidR="00796BA0" w:rsidP="00ED36CC" w:rsidRDefault="00796BA0" w14:paraId="71D920B0" w14:textId="77777777">
      <w:pPr>
        <w:pStyle w:val="Standard"/>
        <w:keepNext/>
      </w:pPr>
    </w:p>
    <w:sectPr w:rsidRPr="00714CF2" w:rsidR="00796BA0" w:rsidSect="00A741FE">
      <w:pgSz w:w="12240" w:h="15840"/>
      <w:pgMar w:top="1728" w:right="1440" w:bottom="1440" w:left="1440" w:header="720" w:footer="720" w:gutter="0"/>
      <w:pgNumType w:start="2"/>
      <w:cols w:space="720"/>
      <w:docGrid w:linePitch="360"/>
    </w:sectPr>
    <w:p>
      <w:r>
        <w:t xml:space="preserve"/>
      </w:r>
    </w:p>
    <w:p>
      <w:r>
        <w:t xml:space="preserve">Attachment 1: </w:t>
      </w:r>
    </w:p>
    <w:p>
      <w:hyperlink w:history="true" r:id="Rb2a1721828ae44e4">
        <w:r w:rsidRPr="00CB1292">
          <w:rPr>
            <w:rStyle w:val="Hyperlink"/>
            <w:color w:val="2E74B5" w:themeColor="accent1" w:themeShade="BF"/>
            <w:u w:val="single"/>
          </w:rPr>
          <w:t>D2605007 Attachment A.pdf</w:t>
        </w:r>
      </w:hyperlink>
    </w:p>
    <w:p>
      <w:r>
        <w:t xml:space="preserve"/>
      </w:r>
    </w:p>
    <w:p>
      <w:r>
        <w:t xml:space="preserve">Attachment 2: </w:t>
      </w:r>
    </w:p>
    <w:p>
      <w:hyperlink w:history="true" r:id="R5029b8563b0342cb">
        <w:r w:rsidRPr="00CB1292">
          <w:rPr>
            <w:rStyle w:val="Hyperlink"/>
            <w:color w:val="2E74B5" w:themeColor="accent1" w:themeShade="BF"/>
            <w:u w:val="single"/>
          </w:rPr>
          <w:t>D2605007 Attachment B.pdf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C0E64" w14:textId="77777777" w:rsidR="00AA3A73" w:rsidRDefault="00AA3A73" w:rsidP="0098138E">
      <w:pPr>
        <w:spacing w:line="240" w:lineRule="auto"/>
      </w:pPr>
      <w:r>
        <w:separator/>
      </w:r>
    </w:p>
  </w:endnote>
  <w:endnote w:type="continuationSeparator" w:id="0">
    <w:p w14:paraId="35360CBE" w14:textId="77777777" w:rsidR="00AA3A73" w:rsidRDefault="00AA3A73"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Palatino Linotype"/>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DB67" w14:textId="3508CEA7" w:rsidR="00F92385" w:rsidRDefault="00E4753D" w:rsidP="007E0FEE">
    <w:pPr>
      <w:ind w:firstLine="0"/>
      <w:jc w:val="center"/>
    </w:pPr>
    <w:r>
      <w:noBreakHyphen/>
    </w:r>
    <w:sdt>
      <w:sdtPr>
        <w:id w:val="-1472208903"/>
        <w:docPartObj>
          <w:docPartGallery w:val="Page Numbers (Bottom of Page)"/>
          <w:docPartUnique/>
        </w:docPartObj>
      </w:sdtPr>
      <w:sdtEndPr>
        <w:rPr>
          <w:noProof/>
        </w:rPr>
      </w:sdtEndPr>
      <w:sdtContent>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Pr>
            <w:noProof/>
          </w:rPr>
          <w:noBreakHyphen/>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71D9" w14:textId="56D68136" w:rsidR="00632207" w:rsidRDefault="0013201E" w:rsidP="00E7369D">
    <w:pPr>
      <w:tabs>
        <w:tab w:val="center" w:pos="4680"/>
      </w:tabs>
      <w:spacing w:line="240" w:lineRule="auto"/>
      <w:ind w:firstLine="0"/>
      <w:rPr>
        <w:noProof/>
      </w:rPr>
    </w:pPr>
    <w:r w:rsidRPr="0013201E">
      <w:rPr>
        <w:sz w:val="16"/>
      </w:rPr>
      <w:t>606808226</w:t>
    </w:r>
    <w:sdt>
      <w:sdtPr>
        <w:rPr>
          <w:sz w:val="16"/>
        </w:rPr>
        <w:id w:val="-1352874971"/>
        <w:docPartObj>
          <w:docPartGallery w:val="Page Numbers (Bottom of Page)"/>
          <w:docPartUnique/>
        </w:docPartObj>
      </w:sdtPr>
      <w:sdtEndPr>
        <w:rPr>
          <w:noProof/>
          <w:sz w:val="26"/>
        </w:rPr>
      </w:sdtEndPr>
      <w:sdtContent>
        <w:r w:rsidR="00632207">
          <w:rPr>
            <w:rFonts w:ascii="Arial" w:hAnsi="Arial" w:cs="Arial"/>
            <w:sz w:val="16"/>
            <w:szCs w:val="16"/>
          </w:rPr>
          <w:tab/>
        </w:r>
        <w:r w:rsidR="00E4753D">
          <w:noBreakHyphen/>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E4753D">
      <w:rPr>
        <w:noProof/>
      </w:rPr>
      <w:noBreak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F2A21" w14:textId="48BBA037" w:rsidR="00E23CBB" w:rsidRDefault="00E4753D" w:rsidP="00E7369D">
    <w:pPr>
      <w:spacing w:line="240" w:lineRule="auto"/>
      <w:ind w:firstLine="0"/>
      <w:jc w:val="center"/>
    </w:pPr>
    <w:r>
      <w:noBreakHyphen/>
    </w:r>
    <w:r w:rsidR="00EE4315">
      <w:t xml:space="preserve"> </w:t>
    </w:r>
    <w:sdt>
      <w:sdtPr>
        <w:id w:val="1793169647"/>
        <w:docPartObj>
          <w:docPartGallery w:val="Page Numbers (Bottom of Page)"/>
          <w:docPartUnique/>
        </w:docPartObj>
      </w:sdtPr>
      <w:sdtEndPr>
        <w:rPr>
          <w:noProof/>
        </w:rPr>
      </w:sdtEndPr>
      <w:sdtContent>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Pr>
            <w:noProof/>
          </w:rPr>
          <w:noBreakHyphen/>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C4EA" w14:textId="0DCF604A" w:rsidR="00E23CBB" w:rsidRDefault="00E4753D" w:rsidP="00E7369D">
    <w:pPr>
      <w:spacing w:line="240" w:lineRule="auto"/>
      <w:ind w:firstLine="0"/>
      <w:jc w:val="center"/>
    </w:pPr>
    <w:r>
      <w:noBreakHyphen/>
    </w: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Pr>
            <w:noProof/>
          </w:rPr>
          <w:noBreakHyphen/>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C938" w14:textId="15612D45" w:rsidR="00275741" w:rsidRPr="00275741" w:rsidRDefault="00275741" w:rsidP="00275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C3CE5" w14:textId="77777777" w:rsidR="00AA3A73" w:rsidRDefault="00AA3A73" w:rsidP="00DF58E7">
      <w:pPr>
        <w:spacing w:line="240" w:lineRule="auto"/>
        <w:ind w:firstLine="0"/>
      </w:pPr>
      <w:r>
        <w:separator/>
      </w:r>
    </w:p>
  </w:footnote>
  <w:footnote w:type="continuationSeparator" w:id="0">
    <w:p w14:paraId="422EB839" w14:textId="77777777" w:rsidR="00AA3A73" w:rsidRDefault="00AA3A73" w:rsidP="00DF58E7">
      <w:pPr>
        <w:spacing w:line="240" w:lineRule="auto"/>
        <w:ind w:firstLine="0"/>
      </w:pPr>
      <w:r>
        <w:continuationSeparator/>
      </w:r>
    </w:p>
  </w:footnote>
  <w:footnote w:type="continuationNotice" w:id="1">
    <w:p w14:paraId="5B7F15F1" w14:textId="77777777" w:rsidR="00AA3A73" w:rsidRPr="00DF58E7" w:rsidRDefault="00AA3A73" w:rsidP="00DF58E7">
      <w:pPr>
        <w:spacing w:line="240" w:lineRule="auto"/>
        <w:ind w:firstLine="0"/>
        <w:jc w:val="right"/>
        <w:rPr>
          <w:i/>
          <w:sz w:val="22"/>
        </w:rPr>
      </w:pPr>
      <w:r w:rsidRPr="00DF58E7">
        <w:rPr>
          <w:i/>
          <w:sz w:val="22"/>
        </w:rPr>
        <w:t>Footnote continued on next page.</w:t>
      </w:r>
    </w:p>
  </w:footnote>
  <w:footnote w:id="2">
    <w:p w14:paraId="56259D66" w14:textId="16A97597" w:rsidR="00EB31CC" w:rsidRDefault="00EB31CC" w:rsidP="00524CB4">
      <w:pPr>
        <w:pStyle w:val="FootnoteText"/>
      </w:pPr>
      <w:r>
        <w:rPr>
          <w:rStyle w:val="FootnoteReference"/>
        </w:rPr>
        <w:footnoteRef/>
      </w:r>
      <w:r>
        <w:t xml:space="preserve"> </w:t>
      </w:r>
      <w:r w:rsidR="00867442">
        <w:t>OII/OIR proceeding</w:t>
      </w:r>
      <w:r w:rsidR="003D7B3E">
        <w:t xml:space="preserve"> at p.</w:t>
      </w:r>
      <w:r w:rsidR="0051059D">
        <w:t> </w:t>
      </w:r>
      <w:r w:rsidR="003D7B3E">
        <w:t>1</w:t>
      </w:r>
      <w:r w:rsidR="00867442">
        <w:t>.</w:t>
      </w:r>
    </w:p>
  </w:footnote>
  <w:footnote w:id="3">
    <w:p w14:paraId="681217E6" w14:textId="3165B9DA" w:rsidR="00867442" w:rsidRDefault="00867442" w:rsidP="00524CB4">
      <w:pPr>
        <w:pStyle w:val="FootnoteText"/>
      </w:pPr>
      <w:r>
        <w:rPr>
          <w:rStyle w:val="FootnoteReference"/>
        </w:rPr>
        <w:footnoteRef/>
      </w:r>
      <w:r>
        <w:t xml:space="preserve"> </w:t>
      </w:r>
      <w:r w:rsidRPr="00E5159D">
        <w:rPr>
          <w:i/>
          <w:iCs/>
        </w:rPr>
        <w:t>In re Protecting and Promoting an Open Internet</w:t>
      </w:r>
      <w:r>
        <w:t>, Federal Communications Commission</w:t>
      </w:r>
      <w:r w:rsidR="00E5159D">
        <w:t xml:space="preserve"> (FCC)</w:t>
      </w:r>
      <w:r w:rsidR="00386467">
        <w:t xml:space="preserve"> Report and Order, 30 FCC Rcd 5601 (March 2015) at</w:t>
      </w:r>
      <w:r w:rsidR="0051059D">
        <w:t> </w:t>
      </w:r>
      <w:r w:rsidR="005519A8">
        <w:t>478</w:t>
      </w:r>
      <w:r w:rsidR="00E4753D">
        <w:noBreakHyphen/>
      </w:r>
      <w:r w:rsidR="005519A8">
        <w:t>485.</w:t>
      </w:r>
    </w:p>
  </w:footnote>
  <w:footnote w:id="4">
    <w:p w14:paraId="4E841210" w14:textId="4EBFF6C7" w:rsidR="00932ABA" w:rsidRDefault="00932ABA" w:rsidP="00524CB4">
      <w:pPr>
        <w:pStyle w:val="FootnoteText"/>
      </w:pPr>
      <w:r>
        <w:rPr>
          <w:rStyle w:val="FootnoteReference"/>
        </w:rPr>
        <w:footnoteRef/>
      </w:r>
      <w:r>
        <w:t xml:space="preserve"> </w:t>
      </w:r>
      <w:r w:rsidR="00E5159D">
        <w:t>OII/OIR proceeding</w:t>
      </w:r>
      <w:r w:rsidR="003D7B3E">
        <w:t xml:space="preserve"> at p.</w:t>
      </w:r>
      <w:r w:rsidR="0051059D">
        <w:t> </w:t>
      </w:r>
      <w:r w:rsidR="003D7B3E">
        <w:t>1</w:t>
      </w:r>
      <w:r w:rsidR="00E5159D">
        <w:t>.</w:t>
      </w:r>
    </w:p>
  </w:footnote>
  <w:footnote w:id="5">
    <w:p w14:paraId="6134DD21" w14:textId="68BDD6F3" w:rsidR="004A3D88" w:rsidRDefault="004A3D88" w:rsidP="00524CB4">
      <w:pPr>
        <w:pStyle w:val="FootnoteText"/>
      </w:pPr>
      <w:r>
        <w:rPr>
          <w:rStyle w:val="FootnoteReference"/>
        </w:rPr>
        <w:footnoteRef/>
      </w:r>
      <w:r>
        <w:t xml:space="preserve"> Frontier</w:t>
      </w:r>
      <w:r w:rsidR="00183B6F">
        <w:t xml:space="preserve"> refers to the following companies, each of which is an Incumbent Local Exchange Carrier in California:</w:t>
      </w:r>
      <w:r w:rsidR="002D0508">
        <w:t xml:space="preserve"> Frontier California Inc. (U</w:t>
      </w:r>
      <w:r w:rsidR="00E4753D">
        <w:noBreakHyphen/>
      </w:r>
      <w:r w:rsidR="002D0508">
        <w:t>1002</w:t>
      </w:r>
      <w:r w:rsidR="00E4753D">
        <w:noBreakHyphen/>
      </w:r>
      <w:r w:rsidR="002D0508">
        <w:t>C); Frontier Communications of the Southwest Inc. (U</w:t>
      </w:r>
      <w:r w:rsidR="00E4753D">
        <w:noBreakHyphen/>
      </w:r>
      <w:r w:rsidR="002D0508">
        <w:t>102</w:t>
      </w:r>
      <w:r w:rsidR="001743C0">
        <w:t>6</w:t>
      </w:r>
      <w:r w:rsidR="00E4753D">
        <w:noBreakHyphen/>
      </w:r>
      <w:r w:rsidR="001743C0">
        <w:t>C); and Citizens Telecommunications Company of California Inc. (U</w:t>
      </w:r>
      <w:r w:rsidR="00E4753D">
        <w:noBreakHyphen/>
      </w:r>
      <w:r w:rsidR="001743C0">
        <w:t>1024</w:t>
      </w:r>
      <w:r w:rsidR="00E4753D">
        <w:noBreakHyphen/>
      </w:r>
      <w:r w:rsidR="001743C0">
        <w:t>C).</w:t>
      </w:r>
    </w:p>
  </w:footnote>
  <w:footnote w:id="6">
    <w:p w14:paraId="2C12D2FB" w14:textId="75FE8341" w:rsidR="00656D10" w:rsidRDefault="00656D10" w:rsidP="00524CB4">
      <w:pPr>
        <w:pStyle w:val="FootnoteText"/>
      </w:pPr>
      <w:r>
        <w:rPr>
          <w:rStyle w:val="FootnoteReference"/>
        </w:rPr>
        <w:footnoteRef/>
      </w:r>
      <w:r>
        <w:t xml:space="preserve"> </w:t>
      </w:r>
      <w:r w:rsidR="00B573F8">
        <w:t>AT&amp;T refers to Pacific Bell Telephone Company dba AT&amp;T California (U</w:t>
      </w:r>
      <w:r w:rsidR="00E4753D">
        <w:noBreakHyphen/>
      </w:r>
      <w:r w:rsidR="00B573F8">
        <w:t>1001</w:t>
      </w:r>
      <w:r w:rsidR="00E4753D">
        <w:noBreakHyphen/>
      </w:r>
      <w:r w:rsidR="00B573F8">
        <w:t>C)</w:t>
      </w:r>
      <w:r w:rsidR="00E42F52">
        <w:t>.</w:t>
      </w:r>
    </w:p>
  </w:footnote>
  <w:footnote w:id="7">
    <w:p w14:paraId="63BB6AE6" w14:textId="662DC597" w:rsidR="0059563C" w:rsidRDefault="0059563C" w:rsidP="00524CB4">
      <w:pPr>
        <w:pStyle w:val="FootnoteText"/>
      </w:pPr>
      <w:r>
        <w:rPr>
          <w:rStyle w:val="FootnoteReference"/>
        </w:rPr>
        <w:footnoteRef/>
      </w:r>
      <w:r>
        <w:t xml:space="preserve"> AT&amp;T Wireless refers to </w:t>
      </w:r>
      <w:r w:rsidR="00826F2F">
        <w:t>AT&amp;T Mobility Wireless Operations Holdings, Inc. (U</w:t>
      </w:r>
      <w:r w:rsidR="00E4753D">
        <w:noBreakHyphen/>
      </w:r>
      <w:r w:rsidR="00826F2F">
        <w:t>3021</w:t>
      </w:r>
      <w:r w:rsidR="00E4753D">
        <w:noBreakHyphen/>
      </w:r>
      <w:r w:rsidR="00826F2F">
        <w:t>C) and New Cingular Wireless PCS, LLC (U</w:t>
      </w:r>
      <w:r w:rsidR="00E4753D">
        <w:noBreakHyphen/>
      </w:r>
      <w:r w:rsidR="00826F2F">
        <w:t>3060</w:t>
      </w:r>
      <w:r w:rsidR="00E4753D">
        <w:noBreakHyphen/>
      </w:r>
      <w:r w:rsidR="00826F2F">
        <w:t xml:space="preserve">C) dba AT&amp;T Mobility. </w:t>
      </w:r>
      <w:r w:rsidR="00C10AA4">
        <w:t>AT&amp;T is both a pole owner and a pole attacher in the context of this OII/OIR proceeding.</w:t>
      </w:r>
    </w:p>
  </w:footnote>
  <w:footnote w:id="8">
    <w:p w14:paraId="06264D79" w14:textId="0E3F3D45" w:rsidR="001F0403" w:rsidRDefault="001F0403" w:rsidP="00524CB4">
      <w:pPr>
        <w:pStyle w:val="FootnoteText"/>
      </w:pPr>
      <w:r>
        <w:rPr>
          <w:rStyle w:val="FootnoteReference"/>
        </w:rPr>
        <w:footnoteRef/>
      </w:r>
      <w:r>
        <w:t xml:space="preserve"> Comcast refers to Comcast Phone of </w:t>
      </w:r>
      <w:r w:rsidR="009F3660">
        <w:t>California</w:t>
      </w:r>
      <w:r>
        <w:t>, LLC (U</w:t>
      </w:r>
      <w:r w:rsidR="00E4753D">
        <w:noBreakHyphen/>
      </w:r>
      <w:r>
        <w:t>5698</w:t>
      </w:r>
      <w:r w:rsidR="00E4753D">
        <w:noBreakHyphen/>
      </w:r>
      <w:r>
        <w:t xml:space="preserve">C) on behalf of itself and its </w:t>
      </w:r>
      <w:r w:rsidR="009F3660">
        <w:t>affiliates</w:t>
      </w:r>
      <w:r>
        <w:t xml:space="preserve"> that </w:t>
      </w:r>
      <w:r w:rsidR="009F3660">
        <w:t>attach</w:t>
      </w:r>
      <w:r>
        <w:t xml:space="preserve"> to utility poles in California.</w:t>
      </w:r>
    </w:p>
  </w:footnote>
  <w:footnote w:id="9">
    <w:p w14:paraId="3070CA95" w14:textId="6528DAC4" w:rsidR="00847478" w:rsidRDefault="00847478" w:rsidP="00524CB4">
      <w:pPr>
        <w:pStyle w:val="FootnoteText"/>
      </w:pPr>
      <w:r>
        <w:rPr>
          <w:rStyle w:val="FootnoteReference"/>
        </w:rPr>
        <w:footnoteRef/>
      </w:r>
      <w:r>
        <w:t xml:space="preserve"> </w:t>
      </w:r>
      <w:r w:rsidR="0095205C">
        <w:t>OII/OIR proceeding</w:t>
      </w:r>
      <w:r w:rsidR="003D7B3E">
        <w:t xml:space="preserve"> at p.</w:t>
      </w:r>
      <w:r w:rsidR="0051059D">
        <w:t> </w:t>
      </w:r>
      <w:r w:rsidR="003D7B3E">
        <w:t>2</w:t>
      </w:r>
      <w:r w:rsidR="0095205C">
        <w:t>.</w:t>
      </w:r>
    </w:p>
  </w:footnote>
  <w:footnote w:id="10">
    <w:p w14:paraId="2B2A832B" w14:textId="547FFCD1" w:rsidR="009F428A" w:rsidRDefault="009F428A" w:rsidP="00524CB4">
      <w:pPr>
        <w:pStyle w:val="FootnoteText"/>
      </w:pPr>
      <w:r>
        <w:rPr>
          <w:rStyle w:val="FootnoteReference"/>
        </w:rPr>
        <w:footnoteRef/>
      </w:r>
      <w:r>
        <w:t xml:space="preserve"> </w:t>
      </w:r>
      <w:r w:rsidR="00D2005E" w:rsidRPr="00497445">
        <w:rPr>
          <w:i/>
          <w:iCs/>
        </w:rPr>
        <w:t>Id</w:t>
      </w:r>
      <w:r w:rsidR="00D2005E">
        <w:t>.</w:t>
      </w:r>
    </w:p>
  </w:footnote>
  <w:footnote w:id="11">
    <w:p w14:paraId="3F1AF5F5" w14:textId="03370FA6" w:rsidR="00044D54" w:rsidRDefault="00044D54" w:rsidP="00524CB4">
      <w:pPr>
        <w:pStyle w:val="FootnoteText"/>
      </w:pPr>
      <w:r>
        <w:rPr>
          <w:rStyle w:val="FootnoteReference"/>
        </w:rPr>
        <w:footnoteRef/>
      </w:r>
      <w:r>
        <w:t xml:space="preserve"> </w:t>
      </w:r>
      <w:r w:rsidR="006774C5" w:rsidRPr="006774C5">
        <w:t>The parties making the extension requests are Exte</w:t>
      </w:r>
      <w:r w:rsidR="00582657">
        <w:t>n</w:t>
      </w:r>
      <w:r w:rsidR="006774C5" w:rsidRPr="006774C5">
        <w:t>et, the Major Pole Owners, and a group of pole attachers (AT&amp;T, AT&amp;T Mobility Wireless Operations Holdings, Inc. (U</w:t>
      </w:r>
      <w:r w:rsidR="00E4753D">
        <w:noBreakHyphen/>
      </w:r>
      <w:r w:rsidR="006774C5" w:rsidRPr="006774C5">
        <w:t>3021</w:t>
      </w:r>
      <w:r w:rsidR="00E4753D">
        <w:noBreakHyphen/>
      </w:r>
      <w:r w:rsidR="006774C5" w:rsidRPr="006774C5">
        <w:t>C), and New Cingular Wireless PCS, LLC (U</w:t>
      </w:r>
      <w:r w:rsidR="00E4753D">
        <w:noBreakHyphen/>
      </w:r>
      <w:r w:rsidR="006774C5" w:rsidRPr="006774C5">
        <w:t>3060</w:t>
      </w:r>
      <w:r w:rsidR="00E4753D">
        <w:noBreakHyphen/>
      </w:r>
      <w:r w:rsidR="006774C5" w:rsidRPr="006774C5">
        <w:t>C) dba AT&amp;T Mobility; Cellco Partnership dba Verizon Wireless (U</w:t>
      </w:r>
      <w:r w:rsidR="00E4753D">
        <w:noBreakHyphen/>
      </w:r>
      <w:r w:rsidR="006774C5" w:rsidRPr="006774C5">
        <w:t>3001</w:t>
      </w:r>
      <w:r w:rsidR="00E4753D">
        <w:noBreakHyphen/>
      </w:r>
      <w:r w:rsidR="006774C5" w:rsidRPr="006774C5">
        <w:t>C), MCImetro Access Transmission Services LLC (U</w:t>
      </w:r>
      <w:r w:rsidR="00E4753D">
        <w:noBreakHyphen/>
      </w:r>
      <w:r w:rsidR="006774C5" w:rsidRPr="006774C5">
        <w:t>5253</w:t>
      </w:r>
      <w:r w:rsidR="00E4753D">
        <w:noBreakHyphen/>
      </w:r>
      <w:r w:rsidR="006774C5" w:rsidRPr="006774C5">
        <w:t>C), and MCI Communications Services LLC (U</w:t>
      </w:r>
      <w:r w:rsidR="00E4753D">
        <w:noBreakHyphen/>
      </w:r>
      <w:r w:rsidR="006774C5" w:rsidRPr="006774C5">
        <w:t>5378</w:t>
      </w:r>
      <w:r w:rsidR="00E4753D">
        <w:noBreakHyphen/>
      </w:r>
      <w:r w:rsidR="006774C5" w:rsidRPr="006774C5">
        <w:t>C) [collectively, Verizon]; Comcast Phone of California, LLC (U</w:t>
      </w:r>
      <w:r w:rsidR="00E4753D">
        <w:noBreakHyphen/>
      </w:r>
      <w:r w:rsidR="006774C5" w:rsidRPr="006774C5">
        <w:t>5698</w:t>
      </w:r>
      <w:r w:rsidR="00E4753D">
        <w:noBreakHyphen/>
      </w:r>
      <w:r w:rsidR="006774C5" w:rsidRPr="006774C5">
        <w:t>C) on behalf of itself and its affiliates; T</w:t>
      </w:r>
      <w:r w:rsidR="00E4753D">
        <w:noBreakHyphen/>
      </w:r>
      <w:r w:rsidR="006774C5" w:rsidRPr="006774C5">
        <w:t>Mobile West, LLC dba T</w:t>
      </w:r>
      <w:r w:rsidR="00E4753D">
        <w:noBreakHyphen/>
      </w:r>
      <w:r w:rsidR="006774C5" w:rsidRPr="006774C5">
        <w:t>Mobile (U</w:t>
      </w:r>
      <w:r w:rsidR="00E4753D">
        <w:noBreakHyphen/>
      </w:r>
      <w:r w:rsidR="006774C5" w:rsidRPr="006774C5">
        <w:t>3056</w:t>
      </w:r>
      <w:r w:rsidR="00E4753D">
        <w:noBreakHyphen/>
      </w:r>
      <w:r w:rsidR="006774C5" w:rsidRPr="006774C5">
        <w:t>C); Crown Castle Fiber LLC (U</w:t>
      </w:r>
      <w:r w:rsidR="00E4753D">
        <w:noBreakHyphen/>
      </w:r>
      <w:r w:rsidR="006774C5" w:rsidRPr="006774C5">
        <w:t>6190</w:t>
      </w:r>
      <w:r w:rsidR="00E4753D">
        <w:noBreakHyphen/>
      </w:r>
      <w:r w:rsidR="006774C5" w:rsidRPr="006774C5">
        <w:t>C); Cox California Telcom, LLC (U</w:t>
      </w:r>
      <w:r w:rsidR="00E4753D">
        <w:noBreakHyphen/>
      </w:r>
      <w:r w:rsidR="006774C5" w:rsidRPr="006774C5">
        <w:t>5684</w:t>
      </w:r>
      <w:r w:rsidR="00E4753D">
        <w:noBreakHyphen/>
      </w:r>
      <w:r w:rsidR="006774C5" w:rsidRPr="006774C5">
        <w:t>C); and Sonic Telecom, LLC (U</w:t>
      </w:r>
      <w:r w:rsidR="00E4753D">
        <w:noBreakHyphen/>
      </w:r>
      <w:r w:rsidR="006774C5" w:rsidRPr="006774C5">
        <w:t>7002</w:t>
      </w:r>
      <w:r w:rsidR="00E4753D">
        <w:noBreakHyphen/>
      </w:r>
      <w:r w:rsidR="006774C5" w:rsidRPr="006774C5">
        <w:t>C)).</w:t>
      </w:r>
    </w:p>
  </w:footnote>
  <w:footnote w:id="12">
    <w:p w14:paraId="73DB9B12" w14:textId="76A05AC9" w:rsidR="00386F6F" w:rsidRDefault="00386F6F" w:rsidP="00524CB4">
      <w:pPr>
        <w:pStyle w:val="FootnoteText"/>
      </w:pPr>
      <w:r>
        <w:rPr>
          <w:rStyle w:val="FootnoteReference"/>
        </w:rPr>
        <w:footnoteRef/>
      </w:r>
      <w:r>
        <w:t xml:space="preserve"> </w:t>
      </w:r>
      <w:r w:rsidR="00D73130">
        <w:t>On</w:t>
      </w:r>
      <w:r w:rsidR="00612D53">
        <w:t>e</w:t>
      </w:r>
      <w:r w:rsidR="00E4753D">
        <w:noBreakHyphen/>
      </w:r>
      <w:r w:rsidR="00612D53">
        <w:t>Touch Make</w:t>
      </w:r>
      <w:r w:rsidR="00E4753D">
        <w:noBreakHyphen/>
      </w:r>
      <w:r w:rsidR="00612D53">
        <w:t>Ready (</w:t>
      </w:r>
      <w:r w:rsidR="0009328B">
        <w:t xml:space="preserve">sometimes hereinafter </w:t>
      </w:r>
      <w:r w:rsidR="00612D53">
        <w:t>OTMR) is a regulatory process that allows a single contractor to perform all necessary make</w:t>
      </w:r>
      <w:r w:rsidR="00E4753D">
        <w:noBreakHyphen/>
      </w:r>
      <w:r w:rsidR="00612D53">
        <w:t xml:space="preserve">ready work on </w:t>
      </w:r>
      <w:r w:rsidR="0020155D">
        <w:t xml:space="preserve">utility poles, thus </w:t>
      </w:r>
      <w:r w:rsidR="009468E1">
        <w:t>streamlining the</w:t>
      </w:r>
      <w:r w:rsidR="0020155D">
        <w:t xml:space="preserve"> process for installing new</w:t>
      </w:r>
      <w:r w:rsidR="009468E1">
        <w:t xml:space="preserve"> attachments.</w:t>
      </w:r>
    </w:p>
  </w:footnote>
  <w:footnote w:id="13">
    <w:p w14:paraId="4E692C48" w14:textId="45EBB1DF" w:rsidR="00125E47" w:rsidRDefault="005E005C" w:rsidP="00125E47">
      <w:pPr>
        <w:pStyle w:val="FootnoteText"/>
        <w:keepNext/>
      </w:pPr>
      <w:r>
        <w:rPr>
          <w:rStyle w:val="FootnoteReference"/>
        </w:rPr>
        <w:footnoteRef/>
      </w:r>
      <w:r>
        <w:t xml:space="preserve"> </w:t>
      </w:r>
      <w:r w:rsidR="00EE74E2" w:rsidRPr="00451175">
        <w:rPr>
          <w:i/>
          <w:iCs/>
        </w:rPr>
        <w:t>See</w:t>
      </w:r>
      <w:r w:rsidR="00EE74E2">
        <w:t xml:space="preserve"> </w:t>
      </w:r>
      <w:r w:rsidR="003C504C">
        <w:t xml:space="preserve">California Public Utilities </w:t>
      </w:r>
      <w:r w:rsidR="0007439F">
        <w:t>C</w:t>
      </w:r>
      <w:r w:rsidR="00EE74E2">
        <w:t xml:space="preserve">ode </w:t>
      </w:r>
      <w:r w:rsidR="00B64DFB">
        <w:t>Section</w:t>
      </w:r>
      <w:r w:rsidR="0051059D">
        <w:t> </w:t>
      </w:r>
      <w:r w:rsidR="00EE74E2">
        <w:t>281(b)(1)(A)</w:t>
      </w:r>
      <w:r w:rsidR="003F2CB1">
        <w:t>,</w:t>
      </w:r>
      <w:r w:rsidR="0007439F">
        <w:t xml:space="preserve"> which states:</w:t>
      </w:r>
    </w:p>
    <w:p w14:paraId="2E79A242" w14:textId="3F315759" w:rsidR="005E005C" w:rsidRDefault="0007439F" w:rsidP="00125E47">
      <w:pPr>
        <w:pStyle w:val="FootnoteText"/>
        <w:ind w:left="720" w:right="1440"/>
      </w:pPr>
      <w:r>
        <w:t>The go</w:t>
      </w:r>
      <w:r w:rsidR="00DA0795">
        <w:t>al of t</w:t>
      </w:r>
      <w:r w:rsidR="00451175">
        <w:t>h</w:t>
      </w:r>
      <w:r w:rsidR="00DA0795">
        <w:t xml:space="preserve">e Broadband Infrastructure Grant Account is, no later than </w:t>
      </w:r>
      <w:r w:rsidR="0023089B">
        <w:t>December</w:t>
      </w:r>
      <w:r w:rsidR="0051059D">
        <w:t> </w:t>
      </w:r>
      <w:r w:rsidR="00DA0795">
        <w:t>31, 2023, to approve funding for infrastructure projects that will provide broadband access to no less than 98</w:t>
      </w:r>
      <w:r w:rsidR="0051059D">
        <w:t> </w:t>
      </w:r>
      <w:r w:rsidR="004840C8">
        <w:t>percent</w:t>
      </w:r>
      <w:r w:rsidR="00DA0795">
        <w:t xml:space="preserve"> of California households in each consortia region, as identified by the commission. The commission shall be responsible for achieving the goals of the program.</w:t>
      </w:r>
    </w:p>
  </w:footnote>
  <w:footnote w:id="14">
    <w:p w14:paraId="6E749274" w14:textId="0AE65E26" w:rsidR="00C74A08" w:rsidRDefault="00C74A08" w:rsidP="00524CB4">
      <w:pPr>
        <w:pStyle w:val="FootnoteText"/>
      </w:pPr>
      <w:r>
        <w:rPr>
          <w:rStyle w:val="FootnoteReference"/>
        </w:rPr>
        <w:footnoteRef/>
      </w:r>
      <w:r>
        <w:t xml:space="preserve"> FCC 11</w:t>
      </w:r>
      <w:r w:rsidR="00E4753D">
        <w:noBreakHyphen/>
      </w:r>
      <w:r>
        <w:t>50 (rel. Apr.</w:t>
      </w:r>
      <w:r w:rsidR="0051059D">
        <w:t> </w:t>
      </w:r>
      <w:r>
        <w:t>7, 2011)</w:t>
      </w:r>
      <w:r w:rsidR="00F41922">
        <w:t xml:space="preserve"> at</w:t>
      </w:r>
      <w:r w:rsidR="007F33B7">
        <w:t> </w:t>
      </w:r>
      <w:r w:rsidR="00F41922">
        <w:t>12, 77, and 153.</w:t>
      </w:r>
    </w:p>
  </w:footnote>
  <w:footnote w:id="15">
    <w:p w14:paraId="29F552D1" w14:textId="6D3DC866" w:rsidR="00511B38" w:rsidRDefault="00511B38" w:rsidP="00524CB4">
      <w:pPr>
        <w:pStyle w:val="FootnoteText"/>
      </w:pPr>
      <w:r>
        <w:rPr>
          <w:rStyle w:val="FootnoteReference"/>
        </w:rPr>
        <w:footnoteRef/>
      </w:r>
      <w:r>
        <w:t xml:space="preserve"> D.98</w:t>
      </w:r>
      <w:r w:rsidR="00E4753D">
        <w:noBreakHyphen/>
      </w:r>
      <w:r>
        <w:t>10</w:t>
      </w:r>
      <w:r w:rsidR="00E4753D">
        <w:noBreakHyphen/>
      </w:r>
      <w:r>
        <w:t>058</w:t>
      </w:r>
      <w:r w:rsidR="00111C45">
        <w:t xml:space="preserve"> at Conclusions of Law (COL</w:t>
      </w:r>
      <w:r w:rsidR="000A564C">
        <w:t>s</w:t>
      </w:r>
      <w:r w:rsidR="001F17C5">
        <w:t>)</w:t>
      </w:r>
      <w:r w:rsidR="00193E7C">
        <w:t> </w:t>
      </w:r>
      <w:r w:rsidR="00111C45">
        <w:t>2 and 3, and D.16</w:t>
      </w:r>
      <w:r w:rsidR="00E4753D">
        <w:noBreakHyphen/>
      </w:r>
      <w:r w:rsidR="00111C45">
        <w:t>01</w:t>
      </w:r>
      <w:r w:rsidR="00E4753D">
        <w:noBreakHyphen/>
      </w:r>
      <w:r w:rsidR="00111C45">
        <w:t>046 at COLs</w:t>
      </w:r>
      <w:r w:rsidR="0051059D">
        <w:t> </w:t>
      </w:r>
      <w:r w:rsidR="00111C45">
        <w:t>2 and 21.</w:t>
      </w:r>
    </w:p>
  </w:footnote>
  <w:footnote w:id="16">
    <w:p w14:paraId="1274B0B7" w14:textId="7B467038" w:rsidR="00501111" w:rsidRDefault="00CA18AE" w:rsidP="00501111">
      <w:pPr>
        <w:pStyle w:val="FootnoteText"/>
        <w:keepNext/>
        <w:rPr>
          <w:rFonts w:ascii="Segoe UI" w:hAnsi="Segoe UI" w:cs="Segoe UI"/>
          <w:color w:val="212529"/>
          <w:sz w:val="25"/>
          <w:szCs w:val="25"/>
          <w:shd w:val="clear" w:color="auto" w:fill="FAFAFA"/>
        </w:rPr>
      </w:pPr>
      <w:r>
        <w:rPr>
          <w:rStyle w:val="FootnoteReference"/>
        </w:rPr>
        <w:footnoteRef/>
      </w:r>
      <w:r>
        <w:t xml:space="preserve"> </w:t>
      </w:r>
      <w:r w:rsidR="00EA6875">
        <w:t>Pub.</w:t>
      </w:r>
      <w:r w:rsidR="0051059D">
        <w:t> </w:t>
      </w:r>
      <w:r w:rsidR="00EA6875">
        <w:t>Util.</w:t>
      </w:r>
      <w:r>
        <w:t xml:space="preserve"> Code </w:t>
      </w:r>
      <w:r w:rsidR="00B64DFB">
        <w:t>Section</w:t>
      </w:r>
      <w:r w:rsidR="0051059D">
        <w:t> </w:t>
      </w:r>
      <w:r>
        <w:t>701 states:</w:t>
      </w:r>
    </w:p>
    <w:p w14:paraId="1976D63B" w14:textId="476AAE4A" w:rsidR="00CA18AE" w:rsidRDefault="00756805" w:rsidP="00501111">
      <w:pPr>
        <w:pStyle w:val="FootnoteText"/>
        <w:ind w:left="720" w:right="1440"/>
      </w:pPr>
      <w:r w:rsidRPr="00756805">
        <w:t>The commission may supervise and regulate every public utility in the State and may do all things, whether specifically designated in this part or in addition thereto, which are necessary and convenient in the exercise of such power and jurisdiction</w:t>
      </w:r>
      <w:r w:rsidR="006F2EAD">
        <w:t>.</w:t>
      </w:r>
    </w:p>
  </w:footnote>
  <w:footnote w:id="17">
    <w:p w14:paraId="00AE50C1" w14:textId="639F9C59" w:rsidR="007A264D" w:rsidRDefault="006F2EAD" w:rsidP="007A264D">
      <w:pPr>
        <w:pStyle w:val="FootnoteText"/>
        <w:keepNext/>
      </w:pPr>
      <w:r>
        <w:rPr>
          <w:rStyle w:val="FootnoteReference"/>
        </w:rPr>
        <w:footnoteRef/>
      </w:r>
      <w:r>
        <w:t xml:space="preserve"> </w:t>
      </w:r>
      <w:r w:rsidR="00EA6875">
        <w:t>Pub.</w:t>
      </w:r>
      <w:r w:rsidR="0051059D">
        <w:t> </w:t>
      </w:r>
      <w:r w:rsidR="00EA6875">
        <w:t>Util.</w:t>
      </w:r>
      <w:r w:rsidR="00C02E80">
        <w:t xml:space="preserve"> Code </w:t>
      </w:r>
      <w:r w:rsidR="00B64DFB">
        <w:t>Section</w:t>
      </w:r>
      <w:r w:rsidR="0051059D">
        <w:t> </w:t>
      </w:r>
      <w:r w:rsidR="00C02E80">
        <w:t>767 states:</w:t>
      </w:r>
    </w:p>
    <w:p w14:paraId="4308C6AB" w14:textId="29206875" w:rsidR="006F2EAD" w:rsidRDefault="00552467" w:rsidP="007A264D">
      <w:pPr>
        <w:pStyle w:val="FootnoteText"/>
        <w:ind w:left="720" w:right="1440"/>
      </w:pPr>
      <w:r w:rsidRPr="00552467">
        <w:t>Whenever the commission, after a hearing had upon its own motion or upon complaint of a public utility affected, finds that public convenience and necessity require the use by one public utility of all or any part of the conduits, subways, tracks, wires, poles, pipes, or other equipment, on, over, or under any street or highway, and belonging to another public utility, and that such use will not result in irreparable injury to the owner or other users of such property or equipment or in any substantial detriment to the service, and that such public utilities have failed to agree upon such use or the terms and conditions or compensation therefor, the commission may by order direct that such use be permitted, and prescribe a reasonable compensation and reasonable terms and conditions for the joint use. If such use is directed, the public utility to whom the use is permitted shall be liable to the owner or other users for such damage as may result therefrom to the property of the owner or other users thereof, and the commission may ascertain and direct the payment, prior to such use, of fair and just compensation for damage suffered, if any.</w:t>
      </w:r>
    </w:p>
  </w:footnote>
  <w:footnote w:id="18">
    <w:p w14:paraId="4D72F4C1" w14:textId="61B92626" w:rsidR="00A3325E" w:rsidRDefault="00A3325E" w:rsidP="00524CB4">
      <w:pPr>
        <w:pStyle w:val="FootnoteText"/>
      </w:pPr>
      <w:r>
        <w:rPr>
          <w:rStyle w:val="FootnoteReference"/>
        </w:rPr>
        <w:footnoteRef/>
      </w:r>
      <w:r>
        <w:t xml:space="preserve"> </w:t>
      </w:r>
      <w:r w:rsidR="00A23A72">
        <w:t>D.18</w:t>
      </w:r>
      <w:r w:rsidR="00E4753D">
        <w:noBreakHyphen/>
      </w:r>
      <w:r w:rsidR="00A23A72">
        <w:t>04</w:t>
      </w:r>
      <w:r w:rsidR="00E4753D">
        <w:noBreakHyphen/>
      </w:r>
      <w:r w:rsidR="00A23A72">
        <w:t>007 at 5.</w:t>
      </w:r>
    </w:p>
  </w:footnote>
  <w:footnote w:id="19">
    <w:p w14:paraId="6327602B" w14:textId="57AC30D7" w:rsidR="00A23A72" w:rsidRDefault="00A23A72" w:rsidP="00524CB4">
      <w:pPr>
        <w:pStyle w:val="FootnoteText"/>
      </w:pPr>
      <w:r>
        <w:rPr>
          <w:rStyle w:val="FootnoteReference"/>
        </w:rPr>
        <w:footnoteRef/>
      </w:r>
      <w:r>
        <w:t xml:space="preserve"> </w:t>
      </w:r>
      <w:r w:rsidR="00B16501" w:rsidRPr="00B16501">
        <w:rPr>
          <w:i/>
          <w:iCs/>
        </w:rPr>
        <w:t>Id.</w:t>
      </w:r>
    </w:p>
  </w:footnote>
  <w:footnote w:id="20">
    <w:p w14:paraId="73C00FAA" w14:textId="43A752C9" w:rsidR="00B16501" w:rsidRDefault="00B16501" w:rsidP="00524CB4">
      <w:pPr>
        <w:pStyle w:val="FootnoteText"/>
      </w:pPr>
      <w:r>
        <w:rPr>
          <w:rStyle w:val="FootnoteReference"/>
        </w:rPr>
        <w:footnoteRef/>
      </w:r>
      <w:r>
        <w:t xml:space="preserve"> </w:t>
      </w:r>
      <w:r w:rsidRPr="00B16501">
        <w:rPr>
          <w:i/>
          <w:iCs/>
        </w:rPr>
        <w:t>Id</w:t>
      </w:r>
      <w:r>
        <w:t>.</w:t>
      </w:r>
    </w:p>
  </w:footnote>
  <w:footnote w:id="21">
    <w:p w14:paraId="66966867" w14:textId="78834E81" w:rsidR="00330CC5" w:rsidRDefault="00330CC5" w:rsidP="00524CB4">
      <w:pPr>
        <w:pStyle w:val="FootnoteText"/>
      </w:pPr>
      <w:r>
        <w:rPr>
          <w:rStyle w:val="FootnoteReference"/>
        </w:rPr>
        <w:footnoteRef/>
      </w:r>
      <w:r>
        <w:t xml:space="preserve"> </w:t>
      </w:r>
      <w:r w:rsidRPr="00A5556B">
        <w:rPr>
          <w:i/>
          <w:iCs/>
        </w:rPr>
        <w:t>See Assigned Commissioner</w:t>
      </w:r>
      <w:r w:rsidR="00410529">
        <w:rPr>
          <w:i/>
          <w:iCs/>
        </w:rPr>
        <w:t>’</w:t>
      </w:r>
      <w:r w:rsidRPr="00A5556B">
        <w:rPr>
          <w:i/>
          <w:iCs/>
        </w:rPr>
        <w:t>s Scoping Memo and Ruling</w:t>
      </w:r>
      <w:r>
        <w:t xml:space="preserve"> (</w:t>
      </w:r>
      <w:r w:rsidR="0023089B">
        <w:t>August</w:t>
      </w:r>
      <w:r w:rsidR="0051059D">
        <w:t> </w:t>
      </w:r>
      <w:r>
        <w:t>8, 2018)</w:t>
      </w:r>
      <w:r w:rsidR="003D7B3E">
        <w:t xml:space="preserve"> at pp.</w:t>
      </w:r>
      <w:r w:rsidR="0051059D">
        <w:t> </w:t>
      </w:r>
      <w:r w:rsidR="003D7B3E">
        <w:t>1</w:t>
      </w:r>
      <w:r>
        <w:t>2</w:t>
      </w:r>
      <w:r w:rsidR="00E4753D">
        <w:noBreakHyphen/>
      </w:r>
      <w:r>
        <w:t xml:space="preserve">18; the </w:t>
      </w:r>
      <w:r w:rsidRPr="00116F66">
        <w:rPr>
          <w:i/>
          <w:iCs/>
        </w:rPr>
        <w:t>Amended Scoping and Ruling</w:t>
      </w:r>
      <w:r>
        <w:t xml:space="preserve"> (</w:t>
      </w:r>
      <w:r w:rsidR="00410529">
        <w:t>February</w:t>
      </w:r>
      <w:r w:rsidR="0051059D">
        <w:t> </w:t>
      </w:r>
      <w:r>
        <w:t>6, 202</w:t>
      </w:r>
      <w:r w:rsidR="00E2498F">
        <w:t>0</w:t>
      </w:r>
      <w:r>
        <w:t xml:space="preserve">), </w:t>
      </w:r>
      <w:r w:rsidRPr="00116F66">
        <w:rPr>
          <w:i/>
          <w:iCs/>
        </w:rPr>
        <w:t xml:space="preserve">the Second Amended Scoping </w:t>
      </w:r>
      <w:r>
        <w:rPr>
          <w:i/>
          <w:iCs/>
        </w:rPr>
        <w:t>M</w:t>
      </w:r>
      <w:r w:rsidRPr="00116F66">
        <w:rPr>
          <w:i/>
          <w:iCs/>
        </w:rPr>
        <w:t>emo and Ruling</w:t>
      </w:r>
      <w:r>
        <w:t xml:space="preserve"> (</w:t>
      </w:r>
      <w:r w:rsidR="0023089B">
        <w:t>December</w:t>
      </w:r>
      <w:r w:rsidR="0051059D">
        <w:t> </w:t>
      </w:r>
      <w:r>
        <w:t xml:space="preserve">15, 2020), and the </w:t>
      </w:r>
      <w:r w:rsidRPr="00116F66">
        <w:rPr>
          <w:i/>
          <w:iCs/>
        </w:rPr>
        <w:t xml:space="preserve">Third Amended Scoping Memo and </w:t>
      </w:r>
      <w:r>
        <w:rPr>
          <w:i/>
          <w:iCs/>
        </w:rPr>
        <w:t>Ruling</w:t>
      </w:r>
      <w:r>
        <w:t xml:space="preserve"> (</w:t>
      </w:r>
      <w:r w:rsidR="00410529">
        <w:t>June</w:t>
      </w:r>
      <w:r w:rsidR="0051059D">
        <w:t> </w:t>
      </w:r>
      <w:r>
        <w:t>15, 2022).</w:t>
      </w:r>
    </w:p>
  </w:footnote>
  <w:footnote w:id="22">
    <w:p w14:paraId="426EB720" w14:textId="03F1536B" w:rsidR="00DC181F" w:rsidRPr="00524CB4" w:rsidRDefault="00DC181F">
      <w:pPr>
        <w:pStyle w:val="FootnoteText"/>
      </w:pPr>
      <w:r w:rsidRPr="00524CB4">
        <w:rPr>
          <w:rStyle w:val="FootnoteReference"/>
        </w:rPr>
        <w:footnoteRef/>
      </w:r>
      <w:r w:rsidRPr="00524CB4">
        <w:t xml:space="preserve"> </w:t>
      </w:r>
      <w:r w:rsidR="001A6A6D">
        <w:t xml:space="preserve">AT&amp;T, </w:t>
      </w:r>
      <w:r w:rsidR="001A6A6D" w:rsidRPr="00005C91">
        <w:rPr>
          <w:i/>
          <w:iCs/>
        </w:rPr>
        <w:t>Opening Comments in Response to Administrative Law Judge’s Ruling Requesting Responses on Remaining Proceeding Issues</w:t>
      </w:r>
      <w:r w:rsidR="001A6A6D">
        <w:t>, (filed January</w:t>
      </w:r>
      <w:r w:rsidR="00D10819">
        <w:t> </w:t>
      </w:r>
      <w:r w:rsidR="001A6A6D">
        <w:t>17, 2023) at p.</w:t>
      </w:r>
      <w:r w:rsidR="00D10819">
        <w:t> </w:t>
      </w:r>
      <w:r w:rsidR="001A6A6D">
        <w:t>2.</w:t>
      </w:r>
    </w:p>
  </w:footnote>
  <w:footnote w:id="23">
    <w:p w14:paraId="08FB3186" w14:textId="1D7D37F9" w:rsidR="00DC181F" w:rsidRPr="00524CB4" w:rsidRDefault="00DC181F">
      <w:pPr>
        <w:pStyle w:val="FootnoteText"/>
      </w:pPr>
      <w:r w:rsidRPr="00524CB4">
        <w:rPr>
          <w:rStyle w:val="FootnoteReference"/>
        </w:rPr>
        <w:footnoteRef/>
      </w:r>
      <w:r w:rsidRPr="00524CB4">
        <w:t xml:space="preserve"> </w:t>
      </w:r>
      <w:r w:rsidR="001A6A6D">
        <w:t>Pacific Gas and Electric Company,</w:t>
      </w:r>
      <w:r w:rsidR="00BE1E80">
        <w:t xml:space="preserve"> Opening Comments on Administrative Law Judge’s Ruling Requesting Responses on Remaining Proceeding Issues</w:t>
      </w:r>
      <w:r w:rsidR="001A6A6D">
        <w:t xml:space="preserve"> (filed January</w:t>
      </w:r>
      <w:r w:rsidR="00E34666">
        <w:t> </w:t>
      </w:r>
      <w:r w:rsidR="001A6A6D">
        <w:t>17, 2023) at p.</w:t>
      </w:r>
      <w:r w:rsidR="00E34666">
        <w:t> </w:t>
      </w:r>
      <w:r w:rsidR="001A6A6D">
        <w:t>2</w:t>
      </w:r>
      <w:r w:rsidR="00524CB4">
        <w:t>.</w:t>
      </w:r>
    </w:p>
  </w:footnote>
  <w:footnote w:id="24">
    <w:p w14:paraId="6467E1B8" w14:textId="5367E365" w:rsidR="00DC181F" w:rsidRPr="00524CB4" w:rsidRDefault="00DC181F">
      <w:pPr>
        <w:pStyle w:val="FootnoteText"/>
      </w:pPr>
      <w:r w:rsidRPr="00524CB4">
        <w:rPr>
          <w:rStyle w:val="FootnoteReference"/>
        </w:rPr>
        <w:footnoteRef/>
      </w:r>
      <w:r w:rsidRPr="00524CB4">
        <w:t xml:space="preserve"> </w:t>
      </w:r>
      <w:r w:rsidR="001A6A6D">
        <w:t>San</w:t>
      </w:r>
      <w:r w:rsidR="0041490B">
        <w:t> </w:t>
      </w:r>
      <w:r w:rsidR="001A6A6D">
        <w:t>Diego Gas</w:t>
      </w:r>
      <w:r w:rsidR="0041490B">
        <w:t> </w:t>
      </w:r>
      <w:r w:rsidR="001A6A6D">
        <w:t xml:space="preserve">&amp; Electric Company, </w:t>
      </w:r>
      <w:r w:rsidR="00545868">
        <w:t xml:space="preserve">Opening Comments on Administrative Law Judge’s Ruling Requesting Responses on Remaining Proceeding Issues </w:t>
      </w:r>
      <w:r w:rsidR="001A6A6D">
        <w:t>(filed January</w:t>
      </w:r>
      <w:r w:rsidR="0041490B">
        <w:t> </w:t>
      </w:r>
      <w:r w:rsidR="001A6A6D">
        <w:t>13, 2023) at p.</w:t>
      </w:r>
      <w:r w:rsidR="0041490B">
        <w:t> </w:t>
      </w:r>
      <w:r w:rsidR="001A6A6D">
        <w:t>1.</w:t>
      </w:r>
    </w:p>
  </w:footnote>
  <w:footnote w:id="25">
    <w:p w14:paraId="4B797A94" w14:textId="03CFC04A" w:rsidR="00C1489F" w:rsidRDefault="00C1489F">
      <w:pPr>
        <w:pStyle w:val="FootnoteText"/>
      </w:pPr>
      <w:r w:rsidRPr="00524CB4">
        <w:rPr>
          <w:rStyle w:val="FootnoteReference"/>
        </w:rPr>
        <w:footnoteRef/>
      </w:r>
      <w:r>
        <w:t xml:space="preserve"> </w:t>
      </w:r>
      <w:r w:rsidR="001A6A6D">
        <w:t xml:space="preserve">Southern California Edison Company, </w:t>
      </w:r>
      <w:r w:rsidR="001A6A6D" w:rsidRPr="00005C91">
        <w:rPr>
          <w:i/>
          <w:iCs/>
        </w:rPr>
        <w:t>Response to Ruling on Remaining Proceeding Issues</w:t>
      </w:r>
      <w:r w:rsidR="00FC3320">
        <w:t xml:space="preserve"> (filed January</w:t>
      </w:r>
      <w:r w:rsidR="0041490B">
        <w:t> </w:t>
      </w:r>
      <w:r w:rsidR="00FC3320">
        <w:t>17, 2023) Attachment</w:t>
      </w:r>
      <w:r w:rsidR="0041490B">
        <w:t> </w:t>
      </w:r>
      <w:r w:rsidR="00FC3320">
        <w:t>A at p.</w:t>
      </w:r>
      <w:r w:rsidR="0041490B">
        <w:t> </w:t>
      </w:r>
      <w:r w:rsidR="00FC3320">
        <w:t>A</w:t>
      </w:r>
      <w:r w:rsidR="00E4753D">
        <w:noBreakHyphen/>
      </w:r>
      <w:r w:rsidR="00FC3320">
        <w:t>1.</w:t>
      </w:r>
    </w:p>
  </w:footnote>
  <w:footnote w:id="26">
    <w:p w14:paraId="535880A6" w14:textId="5D38A4F4" w:rsidR="00702B58" w:rsidRDefault="00702B58" w:rsidP="00524CB4">
      <w:pPr>
        <w:pStyle w:val="FootnoteText"/>
      </w:pPr>
      <w:r>
        <w:rPr>
          <w:rStyle w:val="FootnoteReference"/>
        </w:rPr>
        <w:footnoteRef/>
      </w:r>
      <w:r>
        <w:t xml:space="preserve"> </w:t>
      </w:r>
      <w:r w:rsidRPr="00524CB4">
        <w:t>Opening Comments of AT&amp;T,</w:t>
      </w:r>
      <w:r>
        <w:t xml:space="preserve"> </w:t>
      </w:r>
      <w:r w:rsidRPr="00524CB4">
        <w:rPr>
          <w:i/>
          <w:iCs/>
          <w:szCs w:val="18"/>
        </w:rPr>
        <w:t xml:space="preserve">Order Instituting Investigation into the Creation of a Shared Database or Statewide Census of Utility Poles and Conduit in California, </w:t>
      </w:r>
      <w:r w:rsidR="0078115B">
        <w:rPr>
          <w:i/>
          <w:iCs/>
          <w:szCs w:val="18"/>
        </w:rPr>
        <w:t>Investigation</w:t>
      </w:r>
      <w:r w:rsidR="0051059D">
        <w:rPr>
          <w:i/>
          <w:iCs/>
          <w:sz w:val="18"/>
          <w:szCs w:val="18"/>
        </w:rPr>
        <w:t> </w:t>
      </w:r>
      <w:r w:rsidRPr="00524CB4">
        <w:rPr>
          <w:i/>
          <w:iCs/>
          <w:szCs w:val="18"/>
        </w:rPr>
        <w:t>17</w:t>
      </w:r>
      <w:r w:rsidR="00E4753D">
        <w:rPr>
          <w:i/>
          <w:iCs/>
          <w:sz w:val="18"/>
          <w:szCs w:val="18"/>
        </w:rPr>
        <w:noBreakHyphen/>
      </w:r>
      <w:r w:rsidRPr="00524CB4">
        <w:rPr>
          <w:i/>
          <w:iCs/>
          <w:szCs w:val="18"/>
        </w:rPr>
        <w:t>06</w:t>
      </w:r>
      <w:r w:rsidR="00E4753D">
        <w:rPr>
          <w:i/>
          <w:iCs/>
          <w:sz w:val="18"/>
          <w:szCs w:val="18"/>
        </w:rPr>
        <w:noBreakHyphen/>
      </w:r>
      <w:r w:rsidRPr="00524CB4">
        <w:rPr>
          <w:i/>
          <w:iCs/>
          <w:szCs w:val="18"/>
        </w:rPr>
        <w:t>027</w:t>
      </w:r>
      <w:r w:rsidRPr="00524CB4">
        <w:rPr>
          <w:szCs w:val="18"/>
        </w:rPr>
        <w:t xml:space="preserve">, </w:t>
      </w:r>
      <w:r w:rsidR="00410529">
        <w:rPr>
          <w:szCs w:val="18"/>
        </w:rPr>
        <w:t>June</w:t>
      </w:r>
      <w:r w:rsidR="0051059D">
        <w:rPr>
          <w:sz w:val="18"/>
          <w:szCs w:val="18"/>
        </w:rPr>
        <w:t> </w:t>
      </w:r>
      <w:r w:rsidRPr="00524CB4">
        <w:rPr>
          <w:szCs w:val="18"/>
        </w:rPr>
        <w:t xml:space="preserve">9, 2025 </w:t>
      </w:r>
      <w:r w:rsidR="003958EA">
        <w:rPr>
          <w:szCs w:val="18"/>
        </w:rPr>
        <w:t>(“</w:t>
      </w:r>
      <w:r w:rsidRPr="00524CB4">
        <w:rPr>
          <w:szCs w:val="18"/>
        </w:rPr>
        <w:t>AT&amp;T Opening Comments</w:t>
      </w:r>
      <w:r w:rsidR="003958EA" w:rsidRPr="003958EA">
        <w:rPr>
          <w:szCs w:val="18"/>
        </w:rPr>
        <w:t>”</w:t>
      </w:r>
      <w:r w:rsidRPr="00524CB4">
        <w:rPr>
          <w:szCs w:val="18"/>
        </w:rPr>
        <w:t>)</w:t>
      </w:r>
      <w:r w:rsidR="003D7B3E">
        <w:rPr>
          <w:szCs w:val="18"/>
        </w:rPr>
        <w:t xml:space="preserve"> at pp.</w:t>
      </w:r>
      <w:r w:rsidR="0051059D">
        <w:rPr>
          <w:sz w:val="18"/>
          <w:szCs w:val="18"/>
        </w:rPr>
        <w:t> </w:t>
      </w:r>
      <w:r w:rsidR="003D7B3E">
        <w:rPr>
          <w:szCs w:val="18"/>
        </w:rPr>
        <w:t>2</w:t>
      </w:r>
      <w:r w:rsidR="00E4753D">
        <w:rPr>
          <w:sz w:val="18"/>
          <w:szCs w:val="18"/>
        </w:rPr>
        <w:noBreakHyphen/>
      </w:r>
      <w:r w:rsidRPr="00524CB4">
        <w:rPr>
          <w:szCs w:val="18"/>
        </w:rPr>
        <w:t>3.</w:t>
      </w:r>
    </w:p>
  </w:footnote>
  <w:footnote w:id="27">
    <w:p w14:paraId="054C4756" w14:textId="10BC9315" w:rsidR="00702B58" w:rsidRDefault="00702B58" w:rsidP="00524CB4">
      <w:pPr>
        <w:pStyle w:val="FootnoteText"/>
      </w:pPr>
      <w:r>
        <w:rPr>
          <w:rStyle w:val="FootnoteReference"/>
        </w:rPr>
        <w:footnoteRef/>
      </w:r>
      <w:r>
        <w:t xml:space="preserve"> </w:t>
      </w:r>
      <w:r w:rsidRPr="00524CB4">
        <w:rPr>
          <w:szCs w:val="18"/>
        </w:rPr>
        <w:t>Opening</w:t>
      </w:r>
      <w:r>
        <w:t xml:space="preserve"> </w:t>
      </w:r>
      <w:r w:rsidRPr="00524CB4">
        <w:rPr>
          <w:szCs w:val="18"/>
        </w:rPr>
        <w:t>Comments of California Broadband and Video Association,</w:t>
      </w:r>
      <w:r w:rsidRPr="00524CB4">
        <w:rPr>
          <w:i/>
          <w:iCs/>
          <w:szCs w:val="18"/>
        </w:rPr>
        <w:t xml:space="preserve"> Order Instituting Investigation into the Creation of a Shared Database or Statewide Census of Utility Poles and Conduit in California, </w:t>
      </w:r>
      <w:r w:rsidR="0078115B">
        <w:rPr>
          <w:i/>
          <w:iCs/>
          <w:szCs w:val="18"/>
        </w:rPr>
        <w:t>Investigation</w:t>
      </w:r>
      <w:r w:rsidR="0051059D">
        <w:rPr>
          <w:i/>
          <w:iCs/>
          <w:sz w:val="18"/>
          <w:szCs w:val="18"/>
        </w:rPr>
        <w:t> </w:t>
      </w:r>
      <w:r w:rsidRPr="00524CB4">
        <w:rPr>
          <w:i/>
          <w:iCs/>
          <w:szCs w:val="18"/>
        </w:rPr>
        <w:t>17</w:t>
      </w:r>
      <w:r w:rsidR="00E4753D">
        <w:rPr>
          <w:i/>
          <w:iCs/>
          <w:sz w:val="18"/>
          <w:szCs w:val="18"/>
        </w:rPr>
        <w:noBreakHyphen/>
      </w:r>
      <w:r w:rsidRPr="00524CB4">
        <w:rPr>
          <w:i/>
          <w:iCs/>
          <w:szCs w:val="18"/>
        </w:rPr>
        <w:t>06</w:t>
      </w:r>
      <w:r w:rsidR="00E4753D">
        <w:rPr>
          <w:i/>
          <w:iCs/>
          <w:sz w:val="18"/>
          <w:szCs w:val="18"/>
        </w:rPr>
        <w:noBreakHyphen/>
      </w:r>
      <w:r w:rsidRPr="00524CB4">
        <w:rPr>
          <w:i/>
          <w:iCs/>
          <w:szCs w:val="18"/>
        </w:rPr>
        <w:t>027</w:t>
      </w:r>
      <w:r w:rsidRPr="00524CB4">
        <w:rPr>
          <w:szCs w:val="18"/>
        </w:rPr>
        <w:t xml:space="preserve">, </w:t>
      </w:r>
      <w:r w:rsidR="00410529">
        <w:rPr>
          <w:szCs w:val="18"/>
        </w:rPr>
        <w:t>June</w:t>
      </w:r>
      <w:r w:rsidR="0051059D">
        <w:rPr>
          <w:sz w:val="18"/>
          <w:szCs w:val="18"/>
        </w:rPr>
        <w:t> </w:t>
      </w:r>
      <w:r w:rsidRPr="00524CB4">
        <w:rPr>
          <w:szCs w:val="18"/>
        </w:rPr>
        <w:t xml:space="preserve">9, 2025 </w:t>
      </w:r>
      <w:r w:rsidR="003958EA">
        <w:rPr>
          <w:szCs w:val="18"/>
        </w:rPr>
        <w:t>(“</w:t>
      </w:r>
      <w:r w:rsidRPr="00524CB4">
        <w:rPr>
          <w:szCs w:val="18"/>
        </w:rPr>
        <w:t>California Broadband and Video Association Opening Comments</w:t>
      </w:r>
      <w:r w:rsidR="003958EA" w:rsidRPr="003958EA">
        <w:rPr>
          <w:szCs w:val="18"/>
        </w:rPr>
        <w:t>”</w:t>
      </w:r>
      <w:r w:rsidRPr="00524CB4">
        <w:rPr>
          <w:szCs w:val="18"/>
        </w:rPr>
        <w:t>)</w:t>
      </w:r>
      <w:r w:rsidR="003D7B3E">
        <w:rPr>
          <w:szCs w:val="18"/>
        </w:rPr>
        <w:t xml:space="preserve"> at p. 1</w:t>
      </w:r>
      <w:r w:rsidRPr="00524CB4">
        <w:rPr>
          <w:szCs w:val="18"/>
        </w:rPr>
        <w:t>1.</w:t>
      </w:r>
    </w:p>
  </w:footnote>
  <w:footnote w:id="28">
    <w:p w14:paraId="5A59585A" w14:textId="7B5A273A" w:rsidR="00702B58" w:rsidRDefault="00702B58" w:rsidP="00524CB4">
      <w:pPr>
        <w:pStyle w:val="FootnoteText"/>
      </w:pPr>
      <w:r>
        <w:rPr>
          <w:rStyle w:val="FootnoteReference"/>
        </w:rPr>
        <w:footnoteRef/>
      </w:r>
      <w:r>
        <w:t xml:space="preserve"> </w:t>
      </w:r>
      <w:r w:rsidRPr="00524CB4">
        <w:rPr>
          <w:szCs w:val="18"/>
        </w:rPr>
        <w:t>Opening Comments of Extenet Systems LLC, Extenet Telecom Solutions, Inc</w:t>
      </w:r>
      <w:r>
        <w:t xml:space="preserve">., </w:t>
      </w:r>
      <w:r w:rsidRPr="00524CB4">
        <w:rPr>
          <w:i/>
          <w:iCs/>
          <w:szCs w:val="18"/>
        </w:rPr>
        <w:t xml:space="preserve">Order Instituting Investigation into the Creation of a Shared Database or Statewide Census of Utility Poles and Conduit in California, </w:t>
      </w:r>
      <w:r w:rsidR="0078115B">
        <w:rPr>
          <w:i/>
          <w:iCs/>
          <w:szCs w:val="18"/>
        </w:rPr>
        <w:t>Investigation</w:t>
      </w:r>
      <w:r w:rsidR="0051059D">
        <w:rPr>
          <w:i/>
          <w:iCs/>
          <w:sz w:val="18"/>
          <w:szCs w:val="18"/>
        </w:rPr>
        <w:t> </w:t>
      </w:r>
      <w:r w:rsidRPr="00524CB4">
        <w:rPr>
          <w:i/>
          <w:iCs/>
          <w:szCs w:val="18"/>
        </w:rPr>
        <w:t>17</w:t>
      </w:r>
      <w:r w:rsidR="00E4753D">
        <w:rPr>
          <w:i/>
          <w:iCs/>
          <w:sz w:val="18"/>
          <w:szCs w:val="18"/>
        </w:rPr>
        <w:noBreakHyphen/>
      </w:r>
      <w:r w:rsidRPr="00524CB4">
        <w:rPr>
          <w:i/>
          <w:iCs/>
          <w:szCs w:val="18"/>
        </w:rPr>
        <w:t>06</w:t>
      </w:r>
      <w:r w:rsidR="00E4753D">
        <w:rPr>
          <w:i/>
          <w:iCs/>
          <w:sz w:val="18"/>
          <w:szCs w:val="18"/>
        </w:rPr>
        <w:noBreakHyphen/>
      </w:r>
      <w:r w:rsidRPr="00524CB4">
        <w:rPr>
          <w:i/>
          <w:iCs/>
          <w:szCs w:val="18"/>
        </w:rPr>
        <w:t>027</w:t>
      </w:r>
      <w:r w:rsidRPr="00524CB4">
        <w:rPr>
          <w:szCs w:val="18"/>
        </w:rPr>
        <w:t xml:space="preserve">, </w:t>
      </w:r>
      <w:r w:rsidR="0023089B">
        <w:rPr>
          <w:szCs w:val="18"/>
        </w:rPr>
        <w:t>June</w:t>
      </w:r>
      <w:r w:rsidR="0051059D">
        <w:rPr>
          <w:sz w:val="18"/>
          <w:szCs w:val="18"/>
        </w:rPr>
        <w:t> </w:t>
      </w:r>
      <w:r w:rsidRPr="00524CB4">
        <w:rPr>
          <w:szCs w:val="18"/>
        </w:rPr>
        <w:t xml:space="preserve">9, 2025 </w:t>
      </w:r>
      <w:r w:rsidR="003958EA">
        <w:rPr>
          <w:szCs w:val="18"/>
        </w:rPr>
        <w:t>(“</w:t>
      </w:r>
      <w:r w:rsidRPr="00524CB4">
        <w:rPr>
          <w:szCs w:val="18"/>
        </w:rPr>
        <w:t>Extenet Opening Comments</w:t>
      </w:r>
      <w:r w:rsidR="003958EA" w:rsidRPr="003958EA">
        <w:rPr>
          <w:szCs w:val="18"/>
        </w:rPr>
        <w:t>”</w:t>
      </w:r>
      <w:r w:rsidR="00963B6E" w:rsidRPr="00524CB4">
        <w:rPr>
          <w:szCs w:val="18"/>
        </w:rPr>
        <w:t>)</w:t>
      </w:r>
      <w:r w:rsidR="003D7B3E">
        <w:rPr>
          <w:szCs w:val="18"/>
        </w:rPr>
        <w:t xml:space="preserve"> at pp.</w:t>
      </w:r>
      <w:r w:rsidR="0051059D">
        <w:rPr>
          <w:sz w:val="18"/>
          <w:szCs w:val="18"/>
        </w:rPr>
        <w:t> </w:t>
      </w:r>
      <w:r w:rsidR="003D7B3E">
        <w:rPr>
          <w:szCs w:val="18"/>
        </w:rPr>
        <w:t>1</w:t>
      </w:r>
      <w:r w:rsidR="00E4753D">
        <w:rPr>
          <w:sz w:val="18"/>
          <w:szCs w:val="18"/>
        </w:rPr>
        <w:noBreakHyphen/>
      </w:r>
      <w:r w:rsidRPr="00524CB4">
        <w:rPr>
          <w:szCs w:val="18"/>
        </w:rPr>
        <w:t>2.</w:t>
      </w:r>
    </w:p>
  </w:footnote>
  <w:footnote w:id="29">
    <w:p w14:paraId="309F51AF" w14:textId="24EF654B" w:rsidR="00702B58" w:rsidRDefault="00702B58" w:rsidP="00524CB4">
      <w:pPr>
        <w:pStyle w:val="FootnoteText"/>
      </w:pPr>
      <w:r>
        <w:rPr>
          <w:rStyle w:val="FootnoteReference"/>
        </w:rPr>
        <w:footnoteRef/>
      </w:r>
      <w:r>
        <w:t xml:space="preserve"> </w:t>
      </w:r>
      <w:r w:rsidRPr="00524CB4">
        <w:rPr>
          <w:szCs w:val="18"/>
        </w:rPr>
        <w:t>Opening Comments of Pacific Gas and Electric Company</w:t>
      </w:r>
      <w:r>
        <w:t xml:space="preserve">, </w:t>
      </w:r>
      <w:r w:rsidRPr="00524CB4">
        <w:rPr>
          <w:i/>
          <w:iCs/>
          <w:szCs w:val="18"/>
        </w:rPr>
        <w:t xml:space="preserve">Order Instituting Investigation into the Creation of a Shared Database or Statewide Census of Utility Poles and Conduit in California, </w:t>
      </w:r>
      <w:r w:rsidR="0078115B">
        <w:rPr>
          <w:i/>
          <w:iCs/>
          <w:szCs w:val="18"/>
        </w:rPr>
        <w:t>Investigation</w:t>
      </w:r>
      <w:r w:rsidR="0051059D">
        <w:rPr>
          <w:i/>
          <w:iCs/>
          <w:sz w:val="18"/>
          <w:szCs w:val="18"/>
        </w:rPr>
        <w:t> </w:t>
      </w:r>
      <w:r w:rsidRPr="00524CB4">
        <w:rPr>
          <w:i/>
          <w:iCs/>
          <w:szCs w:val="18"/>
        </w:rPr>
        <w:t>17</w:t>
      </w:r>
      <w:r w:rsidR="00E4753D">
        <w:rPr>
          <w:i/>
          <w:iCs/>
          <w:sz w:val="18"/>
          <w:szCs w:val="18"/>
        </w:rPr>
        <w:noBreakHyphen/>
      </w:r>
      <w:r w:rsidRPr="00524CB4">
        <w:rPr>
          <w:i/>
          <w:iCs/>
          <w:szCs w:val="18"/>
        </w:rPr>
        <w:t>06</w:t>
      </w:r>
      <w:r w:rsidR="00E4753D">
        <w:rPr>
          <w:i/>
          <w:iCs/>
          <w:sz w:val="18"/>
          <w:szCs w:val="18"/>
        </w:rPr>
        <w:noBreakHyphen/>
      </w:r>
      <w:r w:rsidRPr="00524CB4">
        <w:rPr>
          <w:i/>
          <w:iCs/>
          <w:szCs w:val="18"/>
        </w:rPr>
        <w:t>027</w:t>
      </w:r>
      <w:r w:rsidRPr="00524CB4">
        <w:rPr>
          <w:szCs w:val="18"/>
        </w:rPr>
        <w:t xml:space="preserve">, </w:t>
      </w:r>
      <w:r w:rsidR="0023089B">
        <w:rPr>
          <w:szCs w:val="18"/>
        </w:rPr>
        <w:t>June</w:t>
      </w:r>
      <w:r w:rsidR="0051059D">
        <w:rPr>
          <w:sz w:val="18"/>
          <w:szCs w:val="18"/>
        </w:rPr>
        <w:t> </w:t>
      </w:r>
      <w:r w:rsidRPr="00524CB4">
        <w:rPr>
          <w:szCs w:val="18"/>
        </w:rPr>
        <w:t xml:space="preserve">9, 2025 </w:t>
      </w:r>
      <w:r w:rsidR="003958EA">
        <w:rPr>
          <w:szCs w:val="18"/>
        </w:rPr>
        <w:t>(“</w:t>
      </w:r>
      <w:r w:rsidRPr="00524CB4">
        <w:rPr>
          <w:szCs w:val="18"/>
        </w:rPr>
        <w:t>PG&amp;E Opening Comments</w:t>
      </w:r>
      <w:r w:rsidR="003958EA" w:rsidRPr="003958EA">
        <w:rPr>
          <w:szCs w:val="18"/>
        </w:rPr>
        <w:t>”</w:t>
      </w:r>
      <w:r w:rsidR="00963B6E" w:rsidRPr="00524CB4">
        <w:rPr>
          <w:szCs w:val="18"/>
        </w:rPr>
        <w:t>)</w:t>
      </w:r>
      <w:r w:rsidR="003D7B3E">
        <w:rPr>
          <w:szCs w:val="18"/>
        </w:rPr>
        <w:t xml:space="preserve"> at p.</w:t>
      </w:r>
      <w:r w:rsidR="0051059D">
        <w:rPr>
          <w:sz w:val="18"/>
          <w:szCs w:val="18"/>
        </w:rPr>
        <w:t> </w:t>
      </w:r>
      <w:r w:rsidR="003D7B3E">
        <w:rPr>
          <w:szCs w:val="18"/>
        </w:rPr>
        <w:t>7</w:t>
      </w:r>
      <w:r w:rsidRPr="00524CB4">
        <w:rPr>
          <w:szCs w:val="18"/>
        </w:rPr>
        <w:t>.</w:t>
      </w:r>
    </w:p>
  </w:footnote>
  <w:footnote w:id="30">
    <w:p w14:paraId="6B0D6A02" w14:textId="50D7B461" w:rsidR="00702B58" w:rsidRDefault="00702B58" w:rsidP="00524CB4">
      <w:pPr>
        <w:pStyle w:val="FootnoteText"/>
      </w:pPr>
      <w:r>
        <w:rPr>
          <w:rStyle w:val="FootnoteReference"/>
        </w:rPr>
        <w:footnoteRef/>
      </w:r>
      <w:r>
        <w:t xml:space="preserve"> </w:t>
      </w:r>
      <w:r w:rsidRPr="00524CB4">
        <w:rPr>
          <w:szCs w:val="18"/>
        </w:rPr>
        <w:t>Opening Comments of Race Communications, LLC</w:t>
      </w:r>
      <w:r>
        <w:t xml:space="preserve">., </w:t>
      </w:r>
      <w:r w:rsidRPr="00524CB4">
        <w:rPr>
          <w:i/>
          <w:iCs/>
          <w:szCs w:val="18"/>
        </w:rPr>
        <w:t xml:space="preserve">Order Instituting Investigation into the Creation of a Shared Database or Statewide Census of Utility Poles and Conduit in California, </w:t>
      </w:r>
      <w:r w:rsidR="0078115B">
        <w:rPr>
          <w:i/>
          <w:iCs/>
          <w:szCs w:val="18"/>
        </w:rPr>
        <w:t>Investigation</w:t>
      </w:r>
      <w:r w:rsidR="0051059D">
        <w:rPr>
          <w:i/>
          <w:iCs/>
          <w:sz w:val="18"/>
          <w:szCs w:val="18"/>
        </w:rPr>
        <w:t> </w:t>
      </w:r>
      <w:r w:rsidRPr="00524CB4">
        <w:rPr>
          <w:i/>
          <w:iCs/>
          <w:szCs w:val="18"/>
        </w:rPr>
        <w:t>17</w:t>
      </w:r>
      <w:r w:rsidR="00E4753D">
        <w:rPr>
          <w:i/>
          <w:iCs/>
          <w:sz w:val="18"/>
          <w:szCs w:val="18"/>
        </w:rPr>
        <w:noBreakHyphen/>
      </w:r>
      <w:r w:rsidRPr="00524CB4">
        <w:rPr>
          <w:i/>
          <w:iCs/>
          <w:szCs w:val="18"/>
        </w:rPr>
        <w:t>06</w:t>
      </w:r>
      <w:r w:rsidR="00E4753D">
        <w:rPr>
          <w:i/>
          <w:iCs/>
          <w:sz w:val="18"/>
          <w:szCs w:val="18"/>
        </w:rPr>
        <w:noBreakHyphen/>
      </w:r>
      <w:r w:rsidRPr="00524CB4">
        <w:rPr>
          <w:i/>
          <w:iCs/>
          <w:szCs w:val="18"/>
        </w:rPr>
        <w:t>027</w:t>
      </w:r>
      <w:r w:rsidRPr="00524CB4">
        <w:rPr>
          <w:szCs w:val="18"/>
        </w:rPr>
        <w:t xml:space="preserve">, </w:t>
      </w:r>
      <w:r w:rsidR="0023089B">
        <w:rPr>
          <w:szCs w:val="18"/>
        </w:rPr>
        <w:t>June</w:t>
      </w:r>
      <w:r w:rsidR="0051059D">
        <w:rPr>
          <w:sz w:val="18"/>
          <w:szCs w:val="18"/>
        </w:rPr>
        <w:t> </w:t>
      </w:r>
      <w:r w:rsidRPr="00524CB4">
        <w:rPr>
          <w:szCs w:val="18"/>
        </w:rPr>
        <w:t xml:space="preserve">9, 2025 </w:t>
      </w:r>
      <w:r w:rsidR="003958EA">
        <w:rPr>
          <w:szCs w:val="18"/>
        </w:rPr>
        <w:t>(“</w:t>
      </w:r>
      <w:r w:rsidRPr="00524CB4">
        <w:rPr>
          <w:szCs w:val="18"/>
        </w:rPr>
        <w:t>Race Opening Comments</w:t>
      </w:r>
      <w:r w:rsidR="003958EA" w:rsidRPr="003958EA">
        <w:rPr>
          <w:szCs w:val="18"/>
        </w:rPr>
        <w:t>”</w:t>
      </w:r>
      <w:r w:rsidR="00963B6E" w:rsidRPr="00524CB4">
        <w:rPr>
          <w:szCs w:val="18"/>
        </w:rPr>
        <w:t>)</w:t>
      </w:r>
      <w:r w:rsidR="003D7B3E">
        <w:rPr>
          <w:szCs w:val="18"/>
        </w:rPr>
        <w:t xml:space="preserve"> at p.</w:t>
      </w:r>
      <w:r w:rsidR="0051059D">
        <w:rPr>
          <w:sz w:val="18"/>
          <w:szCs w:val="18"/>
        </w:rPr>
        <w:t> </w:t>
      </w:r>
      <w:r w:rsidR="003D7B3E">
        <w:rPr>
          <w:szCs w:val="18"/>
        </w:rPr>
        <w:t>2</w:t>
      </w:r>
      <w:r w:rsidRPr="00524CB4">
        <w:rPr>
          <w:szCs w:val="18"/>
        </w:rPr>
        <w:t>.</w:t>
      </w:r>
    </w:p>
  </w:footnote>
  <w:footnote w:id="31">
    <w:p w14:paraId="7CA8BAD8" w14:textId="5E9FB3E6" w:rsidR="00702B58" w:rsidRDefault="00702B58" w:rsidP="00524CB4">
      <w:pPr>
        <w:pStyle w:val="FootnoteText"/>
      </w:pPr>
      <w:r>
        <w:rPr>
          <w:rStyle w:val="FootnoteReference"/>
        </w:rPr>
        <w:footnoteRef/>
      </w:r>
      <w:r>
        <w:t xml:space="preserve"> </w:t>
      </w:r>
      <w:r w:rsidRPr="00524CB4">
        <w:rPr>
          <w:szCs w:val="18"/>
        </w:rPr>
        <w:t xml:space="preserve">Opening Comments of </w:t>
      </w:r>
      <w:r w:rsidR="00835EAD">
        <w:rPr>
          <w:szCs w:val="18"/>
        </w:rPr>
        <w:t>Southern California</w:t>
      </w:r>
      <w:r w:rsidRPr="00524CB4">
        <w:rPr>
          <w:szCs w:val="18"/>
        </w:rPr>
        <w:t xml:space="preserve"> Edison Company,</w:t>
      </w:r>
      <w:r w:rsidRPr="00524CB4">
        <w:rPr>
          <w:i/>
          <w:iCs/>
          <w:szCs w:val="18"/>
        </w:rPr>
        <w:t xml:space="preserve"> Order Instituting Investigation into the Creation of a Shared Database or Statewide Census of Utility Poles and Conduit in California, </w:t>
      </w:r>
      <w:r w:rsidR="0078115B">
        <w:rPr>
          <w:i/>
          <w:iCs/>
          <w:szCs w:val="18"/>
        </w:rPr>
        <w:t>Investigation</w:t>
      </w:r>
      <w:r w:rsidR="0051059D">
        <w:rPr>
          <w:i/>
          <w:iCs/>
          <w:sz w:val="18"/>
          <w:szCs w:val="18"/>
        </w:rPr>
        <w:t> </w:t>
      </w:r>
      <w:r w:rsidRPr="00524CB4">
        <w:rPr>
          <w:i/>
          <w:iCs/>
          <w:szCs w:val="18"/>
        </w:rPr>
        <w:t>17</w:t>
      </w:r>
      <w:r w:rsidR="00E4753D">
        <w:rPr>
          <w:i/>
          <w:iCs/>
          <w:sz w:val="18"/>
          <w:szCs w:val="18"/>
        </w:rPr>
        <w:noBreakHyphen/>
      </w:r>
      <w:r w:rsidRPr="00524CB4">
        <w:rPr>
          <w:i/>
          <w:iCs/>
          <w:szCs w:val="18"/>
        </w:rPr>
        <w:t>06</w:t>
      </w:r>
      <w:r w:rsidR="00E4753D">
        <w:rPr>
          <w:i/>
          <w:iCs/>
          <w:sz w:val="18"/>
          <w:szCs w:val="18"/>
        </w:rPr>
        <w:noBreakHyphen/>
      </w:r>
      <w:r w:rsidRPr="00524CB4">
        <w:rPr>
          <w:i/>
          <w:iCs/>
          <w:szCs w:val="18"/>
        </w:rPr>
        <w:t>027</w:t>
      </w:r>
      <w:r w:rsidRPr="00524CB4">
        <w:rPr>
          <w:szCs w:val="18"/>
        </w:rPr>
        <w:t xml:space="preserve">, </w:t>
      </w:r>
      <w:r w:rsidR="0023089B">
        <w:rPr>
          <w:szCs w:val="18"/>
        </w:rPr>
        <w:t>June</w:t>
      </w:r>
      <w:r w:rsidR="0051059D">
        <w:rPr>
          <w:sz w:val="18"/>
          <w:szCs w:val="18"/>
        </w:rPr>
        <w:t> </w:t>
      </w:r>
      <w:r w:rsidRPr="00524CB4">
        <w:rPr>
          <w:szCs w:val="18"/>
        </w:rPr>
        <w:t xml:space="preserve">9, 2025 </w:t>
      </w:r>
      <w:r w:rsidR="003958EA">
        <w:rPr>
          <w:szCs w:val="18"/>
        </w:rPr>
        <w:t>(“</w:t>
      </w:r>
      <w:r w:rsidRPr="00524CB4">
        <w:rPr>
          <w:szCs w:val="18"/>
        </w:rPr>
        <w:t>SCE Opening Comments</w:t>
      </w:r>
      <w:r w:rsidR="003958EA" w:rsidRPr="003958EA">
        <w:rPr>
          <w:szCs w:val="18"/>
        </w:rPr>
        <w:t>”</w:t>
      </w:r>
      <w:r w:rsidR="00963B6E" w:rsidRPr="00524CB4">
        <w:rPr>
          <w:szCs w:val="18"/>
        </w:rPr>
        <w:t>)</w:t>
      </w:r>
      <w:r w:rsidR="003D7B3E">
        <w:rPr>
          <w:szCs w:val="18"/>
        </w:rPr>
        <w:t xml:space="preserve"> at pp. 5</w:t>
      </w:r>
      <w:r w:rsidR="00E4753D">
        <w:rPr>
          <w:sz w:val="18"/>
          <w:szCs w:val="18"/>
        </w:rPr>
        <w:noBreakHyphen/>
      </w:r>
      <w:r w:rsidRPr="00524CB4">
        <w:rPr>
          <w:szCs w:val="18"/>
        </w:rPr>
        <w:t>6.</w:t>
      </w:r>
    </w:p>
  </w:footnote>
  <w:footnote w:id="32">
    <w:p w14:paraId="7014F4DD" w14:textId="7354E34E" w:rsidR="00702B58" w:rsidRDefault="00702B58" w:rsidP="00524CB4">
      <w:pPr>
        <w:pStyle w:val="FootnoteText"/>
      </w:pPr>
      <w:r>
        <w:rPr>
          <w:rStyle w:val="FootnoteReference"/>
        </w:rPr>
        <w:footnoteRef/>
      </w:r>
      <w:r>
        <w:t xml:space="preserve"> </w:t>
      </w:r>
      <w:r w:rsidR="006A7412" w:rsidRPr="00524CB4">
        <w:rPr>
          <w:szCs w:val="18"/>
        </w:rPr>
        <w:t>Reply</w:t>
      </w:r>
      <w:r>
        <w:t xml:space="preserve"> </w:t>
      </w:r>
      <w:r w:rsidRPr="00524CB4">
        <w:rPr>
          <w:szCs w:val="18"/>
        </w:rPr>
        <w:t xml:space="preserve">Comments of </w:t>
      </w:r>
      <w:r w:rsidR="00835EAD">
        <w:rPr>
          <w:szCs w:val="18"/>
        </w:rPr>
        <w:t>Southern California</w:t>
      </w:r>
      <w:r w:rsidRPr="00524CB4">
        <w:rPr>
          <w:szCs w:val="18"/>
        </w:rPr>
        <w:t xml:space="preserve"> Edison Company,</w:t>
      </w:r>
      <w:r w:rsidRPr="00524CB4">
        <w:rPr>
          <w:i/>
          <w:iCs/>
          <w:szCs w:val="18"/>
        </w:rPr>
        <w:t xml:space="preserve"> Order Instituting Investigation into the Creation of a Shared Database or Statewide Census of Utility Poles and Conduit in California, </w:t>
      </w:r>
      <w:r w:rsidR="0078115B">
        <w:rPr>
          <w:i/>
          <w:iCs/>
          <w:szCs w:val="18"/>
        </w:rPr>
        <w:t>Investigation</w:t>
      </w:r>
      <w:r w:rsidR="0051059D">
        <w:rPr>
          <w:i/>
          <w:iCs/>
          <w:sz w:val="18"/>
          <w:szCs w:val="18"/>
        </w:rPr>
        <w:t> </w:t>
      </w:r>
      <w:r w:rsidRPr="00524CB4">
        <w:rPr>
          <w:i/>
          <w:iCs/>
          <w:szCs w:val="18"/>
        </w:rPr>
        <w:t>17</w:t>
      </w:r>
      <w:r w:rsidR="00E4753D">
        <w:rPr>
          <w:i/>
          <w:iCs/>
          <w:sz w:val="18"/>
          <w:szCs w:val="18"/>
        </w:rPr>
        <w:noBreakHyphen/>
      </w:r>
      <w:r w:rsidRPr="00524CB4">
        <w:rPr>
          <w:i/>
          <w:iCs/>
          <w:szCs w:val="18"/>
        </w:rPr>
        <w:t>06</w:t>
      </w:r>
      <w:r w:rsidR="00E4753D">
        <w:rPr>
          <w:i/>
          <w:iCs/>
          <w:sz w:val="18"/>
          <w:szCs w:val="18"/>
        </w:rPr>
        <w:noBreakHyphen/>
      </w:r>
      <w:r w:rsidRPr="00524CB4">
        <w:rPr>
          <w:i/>
          <w:iCs/>
          <w:szCs w:val="18"/>
        </w:rPr>
        <w:t>027</w:t>
      </w:r>
      <w:r w:rsidRPr="00524CB4">
        <w:rPr>
          <w:szCs w:val="18"/>
        </w:rPr>
        <w:t xml:space="preserve">, </w:t>
      </w:r>
      <w:r w:rsidR="0023089B">
        <w:rPr>
          <w:szCs w:val="18"/>
        </w:rPr>
        <w:t>June</w:t>
      </w:r>
      <w:r w:rsidR="0051059D">
        <w:rPr>
          <w:sz w:val="18"/>
          <w:szCs w:val="18"/>
        </w:rPr>
        <w:t> </w:t>
      </w:r>
      <w:r w:rsidRPr="00524CB4">
        <w:rPr>
          <w:szCs w:val="18"/>
        </w:rPr>
        <w:t xml:space="preserve">23, 2025 </w:t>
      </w:r>
      <w:r w:rsidR="003958EA">
        <w:rPr>
          <w:szCs w:val="18"/>
        </w:rPr>
        <w:t>(“</w:t>
      </w:r>
      <w:r w:rsidRPr="00524CB4">
        <w:rPr>
          <w:szCs w:val="18"/>
        </w:rPr>
        <w:t>SCE Reply Comments</w:t>
      </w:r>
      <w:r w:rsidR="003958EA" w:rsidRPr="003958EA">
        <w:rPr>
          <w:szCs w:val="18"/>
        </w:rPr>
        <w:t>”</w:t>
      </w:r>
      <w:r w:rsidR="00963B6E" w:rsidRPr="00524CB4">
        <w:rPr>
          <w:szCs w:val="18"/>
        </w:rPr>
        <w:t>)</w:t>
      </w:r>
      <w:r w:rsidR="003D7B3E">
        <w:rPr>
          <w:szCs w:val="18"/>
        </w:rPr>
        <w:t xml:space="preserve"> at p.</w:t>
      </w:r>
      <w:r w:rsidR="0051059D">
        <w:rPr>
          <w:sz w:val="18"/>
          <w:szCs w:val="18"/>
        </w:rPr>
        <w:t> </w:t>
      </w:r>
      <w:r w:rsidR="003D7B3E">
        <w:rPr>
          <w:szCs w:val="18"/>
        </w:rPr>
        <w:t>5</w:t>
      </w:r>
      <w:r w:rsidR="004008E5">
        <w:rPr>
          <w:szCs w:val="18"/>
        </w:rPr>
        <w:t>.</w:t>
      </w:r>
    </w:p>
  </w:footnote>
  <w:footnote w:id="33">
    <w:p w14:paraId="6F02C0FD" w14:textId="6196FFD8" w:rsidR="00702B58" w:rsidRDefault="00702B58" w:rsidP="00524CB4">
      <w:pPr>
        <w:pStyle w:val="FootnoteText"/>
      </w:pPr>
      <w:r>
        <w:rPr>
          <w:rStyle w:val="FootnoteReference"/>
        </w:rPr>
        <w:footnoteRef/>
      </w:r>
      <w:r>
        <w:t xml:space="preserve"> </w:t>
      </w:r>
      <w:r w:rsidRPr="00524CB4">
        <w:rPr>
          <w:szCs w:val="18"/>
        </w:rPr>
        <w:t>Opening</w:t>
      </w:r>
      <w:r>
        <w:t xml:space="preserve"> </w:t>
      </w:r>
      <w:r w:rsidRPr="00524CB4">
        <w:rPr>
          <w:szCs w:val="18"/>
        </w:rPr>
        <w:t xml:space="preserve">Comments of </w:t>
      </w:r>
      <w:r w:rsidR="003A4B15">
        <w:rPr>
          <w:szCs w:val="18"/>
        </w:rPr>
        <w:t>San</w:t>
      </w:r>
      <w:r w:rsidR="0051059D">
        <w:rPr>
          <w:sz w:val="18"/>
          <w:szCs w:val="18"/>
        </w:rPr>
        <w:t> </w:t>
      </w:r>
      <w:r w:rsidRPr="00524CB4">
        <w:rPr>
          <w:szCs w:val="18"/>
        </w:rPr>
        <w:t>Diego Gas</w:t>
      </w:r>
      <w:r w:rsidR="0051059D">
        <w:rPr>
          <w:sz w:val="18"/>
          <w:szCs w:val="18"/>
        </w:rPr>
        <w:t> </w:t>
      </w:r>
      <w:r w:rsidR="003A4B15">
        <w:rPr>
          <w:szCs w:val="18"/>
        </w:rPr>
        <w:t xml:space="preserve">&amp; </w:t>
      </w:r>
      <w:r w:rsidRPr="00524CB4">
        <w:rPr>
          <w:szCs w:val="18"/>
        </w:rPr>
        <w:t xml:space="preserve">Electric Company and </w:t>
      </w:r>
      <w:r w:rsidR="00835EAD">
        <w:rPr>
          <w:szCs w:val="18"/>
        </w:rPr>
        <w:t>Southern California</w:t>
      </w:r>
      <w:r w:rsidRPr="00524CB4">
        <w:rPr>
          <w:szCs w:val="18"/>
        </w:rPr>
        <w:t xml:space="preserve"> Gas Company,</w:t>
      </w:r>
      <w:r w:rsidRPr="00524CB4">
        <w:rPr>
          <w:i/>
          <w:iCs/>
          <w:szCs w:val="18"/>
        </w:rPr>
        <w:t xml:space="preserve"> Order Instituting Investigation into the Creation of a Shared Database or Statewide Census of Utility Poles and Conduit in California, </w:t>
      </w:r>
      <w:r w:rsidR="0078115B">
        <w:rPr>
          <w:i/>
          <w:iCs/>
          <w:szCs w:val="18"/>
        </w:rPr>
        <w:t>Investigation</w:t>
      </w:r>
      <w:r w:rsidR="0051059D">
        <w:rPr>
          <w:i/>
          <w:iCs/>
          <w:sz w:val="18"/>
          <w:szCs w:val="18"/>
        </w:rPr>
        <w:t> </w:t>
      </w:r>
      <w:r w:rsidRPr="00524CB4">
        <w:rPr>
          <w:i/>
          <w:iCs/>
          <w:szCs w:val="18"/>
        </w:rPr>
        <w:t>17</w:t>
      </w:r>
      <w:r w:rsidR="00E4753D">
        <w:rPr>
          <w:i/>
          <w:iCs/>
          <w:sz w:val="18"/>
          <w:szCs w:val="18"/>
        </w:rPr>
        <w:noBreakHyphen/>
      </w:r>
      <w:r w:rsidRPr="00524CB4">
        <w:rPr>
          <w:i/>
          <w:iCs/>
          <w:szCs w:val="18"/>
        </w:rPr>
        <w:t>06</w:t>
      </w:r>
      <w:r w:rsidR="00E4753D">
        <w:rPr>
          <w:i/>
          <w:iCs/>
          <w:sz w:val="18"/>
          <w:szCs w:val="18"/>
        </w:rPr>
        <w:noBreakHyphen/>
      </w:r>
      <w:r w:rsidRPr="00524CB4">
        <w:rPr>
          <w:i/>
          <w:iCs/>
          <w:szCs w:val="18"/>
        </w:rPr>
        <w:t>027</w:t>
      </w:r>
      <w:r w:rsidRPr="00524CB4">
        <w:rPr>
          <w:szCs w:val="18"/>
        </w:rPr>
        <w:t xml:space="preserve">, </w:t>
      </w:r>
      <w:r w:rsidR="0023089B">
        <w:rPr>
          <w:szCs w:val="18"/>
        </w:rPr>
        <w:t>June</w:t>
      </w:r>
      <w:r w:rsidR="0051059D">
        <w:rPr>
          <w:sz w:val="18"/>
          <w:szCs w:val="18"/>
        </w:rPr>
        <w:t> </w:t>
      </w:r>
      <w:r w:rsidRPr="00524CB4">
        <w:rPr>
          <w:szCs w:val="18"/>
        </w:rPr>
        <w:t xml:space="preserve">9, 2025 </w:t>
      </w:r>
      <w:r w:rsidR="003958EA">
        <w:rPr>
          <w:szCs w:val="18"/>
        </w:rPr>
        <w:t>(“</w:t>
      </w:r>
      <w:r w:rsidRPr="00524CB4">
        <w:rPr>
          <w:szCs w:val="18"/>
        </w:rPr>
        <w:t>SDG&amp;E Opening Comments</w:t>
      </w:r>
      <w:r w:rsidR="003958EA" w:rsidRPr="003958EA">
        <w:rPr>
          <w:szCs w:val="18"/>
        </w:rPr>
        <w:t>”</w:t>
      </w:r>
      <w:r w:rsidR="00963B6E" w:rsidRPr="00524CB4">
        <w:rPr>
          <w:szCs w:val="18"/>
        </w:rPr>
        <w:t>)</w:t>
      </w:r>
      <w:r w:rsidR="003D7B3E">
        <w:rPr>
          <w:szCs w:val="18"/>
        </w:rPr>
        <w:t xml:space="preserve"> at pp.</w:t>
      </w:r>
      <w:r w:rsidR="0051059D">
        <w:rPr>
          <w:sz w:val="18"/>
          <w:szCs w:val="18"/>
        </w:rPr>
        <w:t> </w:t>
      </w:r>
      <w:r w:rsidR="003D7B3E">
        <w:rPr>
          <w:szCs w:val="18"/>
        </w:rPr>
        <w:t>1</w:t>
      </w:r>
      <w:r w:rsidR="00E4753D">
        <w:rPr>
          <w:sz w:val="18"/>
          <w:szCs w:val="18"/>
        </w:rPr>
        <w:noBreakHyphen/>
      </w:r>
      <w:r w:rsidRPr="00524CB4">
        <w:rPr>
          <w:szCs w:val="18"/>
        </w:rPr>
        <w:t>2.</w:t>
      </w:r>
    </w:p>
  </w:footnote>
  <w:footnote w:id="34">
    <w:p w14:paraId="57B289BE" w14:textId="4097F1FF" w:rsidR="00702B58" w:rsidRDefault="00702B58" w:rsidP="00524CB4">
      <w:pPr>
        <w:pStyle w:val="FootnoteText"/>
      </w:pPr>
      <w:r>
        <w:rPr>
          <w:rStyle w:val="FootnoteReference"/>
        </w:rPr>
        <w:footnoteRef/>
      </w:r>
      <w:r>
        <w:t xml:space="preserve"> </w:t>
      </w:r>
      <w:r w:rsidRPr="00524CB4">
        <w:rPr>
          <w:szCs w:val="18"/>
        </w:rPr>
        <w:t>Opening</w:t>
      </w:r>
      <w:r>
        <w:t xml:space="preserve"> </w:t>
      </w:r>
      <w:r w:rsidRPr="00524CB4">
        <w:rPr>
          <w:szCs w:val="18"/>
        </w:rPr>
        <w:t>Comments of Sonic Telecom, LLC,</w:t>
      </w:r>
      <w:r w:rsidRPr="00524CB4">
        <w:rPr>
          <w:i/>
          <w:iCs/>
          <w:szCs w:val="18"/>
        </w:rPr>
        <w:t xml:space="preserve"> Order Instituting Investigation into the Creation of a Shared Database or Statewide Census of Utility Poles and Conduit in California, </w:t>
      </w:r>
      <w:r w:rsidR="0078115B">
        <w:rPr>
          <w:i/>
          <w:iCs/>
          <w:szCs w:val="18"/>
        </w:rPr>
        <w:t>Investigation</w:t>
      </w:r>
      <w:r w:rsidR="0051059D">
        <w:rPr>
          <w:i/>
          <w:iCs/>
          <w:sz w:val="18"/>
          <w:szCs w:val="18"/>
        </w:rPr>
        <w:t> </w:t>
      </w:r>
      <w:r w:rsidRPr="00524CB4">
        <w:rPr>
          <w:i/>
          <w:iCs/>
          <w:szCs w:val="18"/>
        </w:rPr>
        <w:t>17</w:t>
      </w:r>
      <w:r w:rsidR="00E4753D">
        <w:rPr>
          <w:i/>
          <w:iCs/>
          <w:sz w:val="18"/>
          <w:szCs w:val="18"/>
        </w:rPr>
        <w:noBreakHyphen/>
      </w:r>
      <w:r w:rsidRPr="00524CB4">
        <w:rPr>
          <w:i/>
          <w:iCs/>
          <w:szCs w:val="18"/>
        </w:rPr>
        <w:t>06</w:t>
      </w:r>
      <w:r w:rsidR="00E4753D">
        <w:rPr>
          <w:i/>
          <w:iCs/>
          <w:sz w:val="18"/>
          <w:szCs w:val="18"/>
        </w:rPr>
        <w:noBreakHyphen/>
      </w:r>
      <w:r w:rsidRPr="00524CB4">
        <w:rPr>
          <w:i/>
          <w:iCs/>
          <w:szCs w:val="18"/>
        </w:rPr>
        <w:t>027</w:t>
      </w:r>
      <w:r w:rsidRPr="00524CB4">
        <w:rPr>
          <w:szCs w:val="18"/>
        </w:rPr>
        <w:t xml:space="preserve">, </w:t>
      </w:r>
      <w:r w:rsidR="0023089B">
        <w:rPr>
          <w:szCs w:val="18"/>
        </w:rPr>
        <w:t>June</w:t>
      </w:r>
      <w:r w:rsidR="0051059D">
        <w:rPr>
          <w:sz w:val="18"/>
          <w:szCs w:val="18"/>
        </w:rPr>
        <w:t> </w:t>
      </w:r>
      <w:r w:rsidRPr="00524CB4">
        <w:rPr>
          <w:szCs w:val="18"/>
        </w:rPr>
        <w:t xml:space="preserve">9, 2025 </w:t>
      </w:r>
      <w:r w:rsidR="003958EA">
        <w:rPr>
          <w:szCs w:val="18"/>
        </w:rPr>
        <w:t>(“</w:t>
      </w:r>
      <w:r w:rsidRPr="00524CB4">
        <w:rPr>
          <w:szCs w:val="18"/>
        </w:rPr>
        <w:t>Sonic Opening Comments</w:t>
      </w:r>
      <w:r w:rsidR="003958EA" w:rsidRPr="003958EA">
        <w:rPr>
          <w:szCs w:val="18"/>
        </w:rPr>
        <w:t>”</w:t>
      </w:r>
      <w:r w:rsidR="00963B6E" w:rsidRPr="00524CB4">
        <w:rPr>
          <w:szCs w:val="18"/>
        </w:rPr>
        <w:t>)</w:t>
      </w:r>
      <w:r w:rsidR="003D7B3E">
        <w:rPr>
          <w:szCs w:val="18"/>
        </w:rPr>
        <w:t xml:space="preserve"> at pp.</w:t>
      </w:r>
      <w:r w:rsidR="0051059D">
        <w:rPr>
          <w:sz w:val="18"/>
          <w:szCs w:val="18"/>
        </w:rPr>
        <w:t> </w:t>
      </w:r>
      <w:r w:rsidR="003D7B3E">
        <w:rPr>
          <w:szCs w:val="18"/>
        </w:rPr>
        <w:t>5</w:t>
      </w:r>
      <w:r w:rsidR="00E4753D">
        <w:rPr>
          <w:sz w:val="18"/>
          <w:szCs w:val="18"/>
        </w:rPr>
        <w:noBreakHyphen/>
      </w:r>
      <w:r w:rsidRPr="00524CB4">
        <w:rPr>
          <w:szCs w:val="18"/>
        </w:rPr>
        <w:t>6.</w:t>
      </w:r>
    </w:p>
  </w:footnote>
  <w:footnote w:id="35">
    <w:p w14:paraId="775B2426" w14:textId="16411FC7" w:rsidR="00702B58" w:rsidRDefault="00702B58" w:rsidP="00524CB4">
      <w:pPr>
        <w:pStyle w:val="FootnoteText"/>
      </w:pPr>
      <w:r>
        <w:rPr>
          <w:rStyle w:val="FootnoteReference"/>
        </w:rPr>
        <w:footnoteRef/>
      </w:r>
      <w:r>
        <w:t xml:space="preserve"> </w:t>
      </w:r>
      <w:r w:rsidRPr="00524CB4">
        <w:rPr>
          <w:szCs w:val="18"/>
        </w:rPr>
        <w:t>Opening</w:t>
      </w:r>
      <w:r>
        <w:t xml:space="preserve"> </w:t>
      </w:r>
      <w:r w:rsidRPr="00524CB4">
        <w:rPr>
          <w:szCs w:val="18"/>
        </w:rPr>
        <w:t>Comments of Surfnet Communications, Inc</w:t>
      </w:r>
      <w:r w:rsidR="00C67752">
        <w:rPr>
          <w:szCs w:val="18"/>
        </w:rPr>
        <w:t>.</w:t>
      </w:r>
      <w:r w:rsidRPr="00524CB4">
        <w:rPr>
          <w:szCs w:val="18"/>
        </w:rPr>
        <w:t>,</w:t>
      </w:r>
      <w:r w:rsidRPr="00524CB4">
        <w:rPr>
          <w:i/>
          <w:iCs/>
          <w:szCs w:val="18"/>
        </w:rPr>
        <w:t xml:space="preserve"> Order Instituting Investigation into the Creation of a Shared Database or Statewide Census of Utility Poles and Conduit in California, </w:t>
      </w:r>
      <w:r w:rsidR="0078115B">
        <w:rPr>
          <w:i/>
          <w:iCs/>
          <w:szCs w:val="18"/>
        </w:rPr>
        <w:t>Investigation</w:t>
      </w:r>
      <w:r w:rsidR="0051059D">
        <w:rPr>
          <w:i/>
          <w:iCs/>
          <w:sz w:val="18"/>
          <w:szCs w:val="18"/>
        </w:rPr>
        <w:t> </w:t>
      </w:r>
      <w:r w:rsidRPr="00524CB4">
        <w:rPr>
          <w:i/>
          <w:iCs/>
          <w:szCs w:val="18"/>
        </w:rPr>
        <w:t>17</w:t>
      </w:r>
      <w:r w:rsidR="00E4753D">
        <w:rPr>
          <w:i/>
          <w:iCs/>
          <w:sz w:val="18"/>
          <w:szCs w:val="18"/>
        </w:rPr>
        <w:noBreakHyphen/>
      </w:r>
      <w:r w:rsidRPr="00524CB4">
        <w:rPr>
          <w:i/>
          <w:iCs/>
          <w:szCs w:val="18"/>
        </w:rPr>
        <w:t>06</w:t>
      </w:r>
      <w:r w:rsidR="00E4753D">
        <w:rPr>
          <w:i/>
          <w:iCs/>
          <w:sz w:val="18"/>
          <w:szCs w:val="18"/>
        </w:rPr>
        <w:noBreakHyphen/>
      </w:r>
      <w:r w:rsidRPr="00524CB4">
        <w:rPr>
          <w:i/>
          <w:iCs/>
          <w:szCs w:val="18"/>
        </w:rPr>
        <w:t>027</w:t>
      </w:r>
      <w:r w:rsidRPr="00524CB4">
        <w:rPr>
          <w:szCs w:val="18"/>
        </w:rPr>
        <w:t xml:space="preserve">, </w:t>
      </w:r>
      <w:r w:rsidR="0023089B">
        <w:rPr>
          <w:szCs w:val="18"/>
        </w:rPr>
        <w:t>June</w:t>
      </w:r>
      <w:r w:rsidR="0051059D">
        <w:rPr>
          <w:sz w:val="18"/>
          <w:szCs w:val="18"/>
        </w:rPr>
        <w:t> </w:t>
      </w:r>
      <w:r w:rsidRPr="00524CB4">
        <w:rPr>
          <w:szCs w:val="18"/>
        </w:rPr>
        <w:t xml:space="preserve">9, 2025 </w:t>
      </w:r>
      <w:r w:rsidR="003958EA" w:rsidRPr="00524CB4">
        <w:rPr>
          <w:szCs w:val="18"/>
        </w:rPr>
        <w:t>(</w:t>
      </w:r>
      <w:r w:rsidR="003958EA" w:rsidRPr="003958EA">
        <w:rPr>
          <w:szCs w:val="18"/>
        </w:rPr>
        <w:t>“</w:t>
      </w:r>
      <w:r w:rsidRPr="00524CB4">
        <w:rPr>
          <w:szCs w:val="18"/>
        </w:rPr>
        <w:t>Surfnet Opening Comments</w:t>
      </w:r>
      <w:r w:rsidR="003958EA" w:rsidRPr="003958EA">
        <w:rPr>
          <w:szCs w:val="18"/>
        </w:rPr>
        <w:t>”</w:t>
      </w:r>
      <w:r w:rsidR="003958EA" w:rsidRPr="00524CB4">
        <w:rPr>
          <w:szCs w:val="18"/>
        </w:rPr>
        <w:t>)</w:t>
      </w:r>
      <w:r w:rsidR="003D7B3E">
        <w:rPr>
          <w:szCs w:val="18"/>
        </w:rPr>
        <w:t xml:space="preserve"> at p.</w:t>
      </w:r>
      <w:r w:rsidR="0051059D">
        <w:rPr>
          <w:sz w:val="18"/>
          <w:szCs w:val="18"/>
        </w:rPr>
        <w:t> </w:t>
      </w:r>
      <w:r w:rsidR="003D7B3E">
        <w:rPr>
          <w:szCs w:val="18"/>
        </w:rPr>
        <w:t>2</w:t>
      </w:r>
      <w:r w:rsidRPr="00524CB4">
        <w:rPr>
          <w:szCs w:val="18"/>
        </w:rPr>
        <w:t>.</w:t>
      </w:r>
    </w:p>
  </w:footnote>
  <w:footnote w:id="36">
    <w:p w14:paraId="2E53632D" w14:textId="0A3B3901" w:rsidR="00D52C93" w:rsidRDefault="00D52C93" w:rsidP="00524CB4">
      <w:pPr>
        <w:pStyle w:val="FootnoteText"/>
      </w:pPr>
      <w:r>
        <w:rPr>
          <w:rStyle w:val="FootnoteReference"/>
        </w:rPr>
        <w:footnoteRef/>
      </w:r>
      <w:r>
        <w:t xml:space="preserve"> </w:t>
      </w:r>
      <w:r w:rsidRPr="00524CB4">
        <w:rPr>
          <w:szCs w:val="18"/>
        </w:rPr>
        <w:t>AT&amp;T Opening Comments</w:t>
      </w:r>
      <w:r w:rsidR="003D7B3E">
        <w:rPr>
          <w:szCs w:val="18"/>
        </w:rPr>
        <w:t xml:space="preserve"> at p.</w:t>
      </w:r>
      <w:r w:rsidR="0051059D">
        <w:rPr>
          <w:sz w:val="18"/>
          <w:szCs w:val="18"/>
        </w:rPr>
        <w:t> </w:t>
      </w:r>
      <w:r w:rsidR="003D7B3E">
        <w:rPr>
          <w:szCs w:val="18"/>
        </w:rPr>
        <w:t>3</w:t>
      </w:r>
      <w:r w:rsidRPr="00524CB4">
        <w:rPr>
          <w:szCs w:val="18"/>
        </w:rPr>
        <w:t>.</w:t>
      </w:r>
    </w:p>
  </w:footnote>
  <w:footnote w:id="37">
    <w:p w14:paraId="50107C74" w14:textId="7A58BCF7" w:rsidR="00D52C93" w:rsidRDefault="00D52C93" w:rsidP="00524CB4">
      <w:pPr>
        <w:pStyle w:val="FootnoteText"/>
      </w:pPr>
      <w:r>
        <w:rPr>
          <w:rStyle w:val="FootnoteReference"/>
        </w:rPr>
        <w:footnoteRef/>
      </w:r>
      <w:r>
        <w:t xml:space="preserve"> </w:t>
      </w:r>
      <w:r w:rsidRPr="00524CB4">
        <w:rPr>
          <w:szCs w:val="18"/>
        </w:rPr>
        <w:t>California Broadband and Video Association Opening Comments</w:t>
      </w:r>
      <w:r w:rsidR="003D7B3E">
        <w:rPr>
          <w:szCs w:val="18"/>
        </w:rPr>
        <w:t xml:space="preserve"> at pp.</w:t>
      </w:r>
      <w:r w:rsidR="0051059D">
        <w:rPr>
          <w:sz w:val="18"/>
          <w:szCs w:val="18"/>
        </w:rPr>
        <w:t> </w:t>
      </w:r>
      <w:r w:rsidR="003D7B3E">
        <w:rPr>
          <w:szCs w:val="18"/>
        </w:rPr>
        <w:t>9</w:t>
      </w:r>
      <w:r w:rsidR="00E4753D">
        <w:rPr>
          <w:sz w:val="18"/>
          <w:szCs w:val="18"/>
        </w:rPr>
        <w:noBreakHyphen/>
      </w:r>
      <w:r w:rsidRPr="00524CB4">
        <w:rPr>
          <w:szCs w:val="18"/>
        </w:rPr>
        <w:t>10.</w:t>
      </w:r>
    </w:p>
  </w:footnote>
  <w:footnote w:id="38">
    <w:p w14:paraId="23835671" w14:textId="1BCD1FEE" w:rsidR="00D52C93" w:rsidRDefault="00D52C93" w:rsidP="00524CB4">
      <w:pPr>
        <w:pStyle w:val="FootnoteText"/>
      </w:pPr>
      <w:r>
        <w:rPr>
          <w:rStyle w:val="FootnoteReference"/>
        </w:rPr>
        <w:footnoteRef/>
      </w:r>
      <w:r>
        <w:t xml:space="preserve"> Opening </w:t>
      </w:r>
      <w:r w:rsidRPr="00524CB4">
        <w:rPr>
          <w:szCs w:val="18"/>
        </w:rPr>
        <w:t>Comments of Crown Castle Fiber LLC,</w:t>
      </w:r>
      <w:r w:rsidRPr="00524CB4">
        <w:rPr>
          <w:i/>
          <w:iCs/>
          <w:szCs w:val="18"/>
        </w:rPr>
        <w:t xml:space="preserve"> Order Instituting Investigation into the Creation of a Shared Database or Statewide Census of Utility Poles and Conduit in California, </w:t>
      </w:r>
      <w:r w:rsidR="0078115B">
        <w:rPr>
          <w:i/>
          <w:iCs/>
          <w:szCs w:val="18"/>
        </w:rPr>
        <w:t>Investigation</w:t>
      </w:r>
      <w:r w:rsidR="0051059D">
        <w:rPr>
          <w:i/>
          <w:iCs/>
          <w:sz w:val="18"/>
          <w:szCs w:val="18"/>
        </w:rPr>
        <w:t> </w:t>
      </w:r>
      <w:r w:rsidRPr="00524CB4">
        <w:rPr>
          <w:i/>
          <w:iCs/>
          <w:szCs w:val="18"/>
        </w:rPr>
        <w:t>17</w:t>
      </w:r>
      <w:r w:rsidR="00E4753D">
        <w:rPr>
          <w:i/>
          <w:iCs/>
          <w:sz w:val="18"/>
          <w:szCs w:val="18"/>
        </w:rPr>
        <w:noBreakHyphen/>
      </w:r>
      <w:r w:rsidRPr="00524CB4">
        <w:rPr>
          <w:i/>
          <w:iCs/>
          <w:szCs w:val="18"/>
        </w:rPr>
        <w:t>06</w:t>
      </w:r>
      <w:r w:rsidR="00E4753D">
        <w:rPr>
          <w:i/>
          <w:iCs/>
          <w:sz w:val="18"/>
          <w:szCs w:val="18"/>
        </w:rPr>
        <w:noBreakHyphen/>
      </w:r>
      <w:r w:rsidRPr="00524CB4">
        <w:rPr>
          <w:i/>
          <w:iCs/>
          <w:szCs w:val="18"/>
        </w:rPr>
        <w:t>027</w:t>
      </w:r>
      <w:r w:rsidRPr="00524CB4">
        <w:rPr>
          <w:szCs w:val="18"/>
        </w:rPr>
        <w:t xml:space="preserve">, </w:t>
      </w:r>
      <w:r w:rsidR="0023089B">
        <w:rPr>
          <w:szCs w:val="18"/>
        </w:rPr>
        <w:t>June</w:t>
      </w:r>
      <w:r w:rsidR="0051059D">
        <w:rPr>
          <w:sz w:val="18"/>
          <w:szCs w:val="18"/>
        </w:rPr>
        <w:t> </w:t>
      </w:r>
      <w:r w:rsidRPr="00524CB4">
        <w:rPr>
          <w:szCs w:val="18"/>
        </w:rPr>
        <w:t xml:space="preserve">9, 2025 </w:t>
      </w:r>
      <w:r w:rsidR="00A91AC3" w:rsidRPr="00524CB4">
        <w:rPr>
          <w:szCs w:val="18"/>
        </w:rPr>
        <w:t>(</w:t>
      </w:r>
      <w:r w:rsidR="003958EA" w:rsidRPr="003958EA">
        <w:rPr>
          <w:szCs w:val="18"/>
        </w:rPr>
        <w:t>“</w:t>
      </w:r>
      <w:r w:rsidRPr="00524CB4">
        <w:rPr>
          <w:szCs w:val="18"/>
        </w:rPr>
        <w:t>Crown Castle Opening Comments</w:t>
      </w:r>
      <w:r w:rsidR="00A91AC3">
        <w:rPr>
          <w:szCs w:val="18"/>
        </w:rPr>
        <w:t>”)</w:t>
      </w:r>
      <w:r w:rsidR="003D7B3E">
        <w:rPr>
          <w:szCs w:val="18"/>
        </w:rPr>
        <w:t xml:space="preserve"> at pp.</w:t>
      </w:r>
      <w:r w:rsidR="0051059D">
        <w:rPr>
          <w:sz w:val="18"/>
          <w:szCs w:val="18"/>
        </w:rPr>
        <w:t> </w:t>
      </w:r>
      <w:r w:rsidR="003D7B3E">
        <w:rPr>
          <w:szCs w:val="18"/>
        </w:rPr>
        <w:t>2</w:t>
      </w:r>
      <w:r w:rsidR="00E4753D">
        <w:rPr>
          <w:sz w:val="18"/>
          <w:szCs w:val="18"/>
        </w:rPr>
        <w:noBreakHyphen/>
      </w:r>
      <w:r w:rsidRPr="00524CB4">
        <w:rPr>
          <w:szCs w:val="18"/>
        </w:rPr>
        <w:t>5.</w:t>
      </w:r>
    </w:p>
  </w:footnote>
  <w:footnote w:id="39">
    <w:p w14:paraId="009800E6" w14:textId="086CCD2E" w:rsidR="00D52C93" w:rsidRDefault="00D52C93" w:rsidP="00524CB4">
      <w:pPr>
        <w:pStyle w:val="FootnoteText"/>
      </w:pPr>
      <w:r>
        <w:rPr>
          <w:rStyle w:val="FootnoteReference"/>
        </w:rPr>
        <w:footnoteRef/>
      </w:r>
      <w:r>
        <w:t xml:space="preserve"> Opening </w:t>
      </w:r>
      <w:r w:rsidRPr="00524CB4">
        <w:rPr>
          <w:szCs w:val="18"/>
        </w:rPr>
        <w:t>Comments of CTIA,</w:t>
      </w:r>
      <w:r w:rsidRPr="00524CB4">
        <w:rPr>
          <w:i/>
          <w:iCs/>
          <w:szCs w:val="18"/>
        </w:rPr>
        <w:t xml:space="preserve"> Order Instituting Investigation into the Creation of a Shared Database or Statewide Census of Utility Poles and Conduit in California, </w:t>
      </w:r>
      <w:r w:rsidR="0078115B">
        <w:rPr>
          <w:i/>
          <w:iCs/>
          <w:szCs w:val="18"/>
        </w:rPr>
        <w:t>Investigation</w:t>
      </w:r>
      <w:r w:rsidR="0051059D">
        <w:rPr>
          <w:i/>
          <w:iCs/>
          <w:sz w:val="18"/>
          <w:szCs w:val="18"/>
        </w:rPr>
        <w:t> </w:t>
      </w:r>
      <w:r w:rsidRPr="00524CB4">
        <w:rPr>
          <w:i/>
          <w:iCs/>
          <w:szCs w:val="18"/>
        </w:rPr>
        <w:t>17</w:t>
      </w:r>
      <w:r w:rsidR="00E4753D">
        <w:rPr>
          <w:i/>
          <w:iCs/>
          <w:sz w:val="18"/>
          <w:szCs w:val="18"/>
        </w:rPr>
        <w:noBreakHyphen/>
      </w:r>
      <w:r w:rsidRPr="00524CB4">
        <w:rPr>
          <w:i/>
          <w:iCs/>
          <w:szCs w:val="18"/>
        </w:rPr>
        <w:t>06</w:t>
      </w:r>
      <w:r w:rsidR="00E4753D">
        <w:rPr>
          <w:i/>
          <w:iCs/>
          <w:sz w:val="18"/>
          <w:szCs w:val="18"/>
        </w:rPr>
        <w:noBreakHyphen/>
      </w:r>
      <w:r w:rsidRPr="00524CB4">
        <w:rPr>
          <w:i/>
          <w:iCs/>
          <w:szCs w:val="18"/>
        </w:rPr>
        <w:t>027</w:t>
      </w:r>
      <w:r w:rsidRPr="00524CB4">
        <w:rPr>
          <w:szCs w:val="18"/>
        </w:rPr>
        <w:t xml:space="preserve">, </w:t>
      </w:r>
      <w:r w:rsidR="0023089B">
        <w:rPr>
          <w:szCs w:val="18"/>
        </w:rPr>
        <w:t>June</w:t>
      </w:r>
      <w:r w:rsidR="0051059D">
        <w:rPr>
          <w:sz w:val="18"/>
          <w:szCs w:val="18"/>
        </w:rPr>
        <w:t> </w:t>
      </w:r>
      <w:r w:rsidRPr="00524CB4">
        <w:rPr>
          <w:szCs w:val="18"/>
        </w:rPr>
        <w:t xml:space="preserve">9, 2025 </w:t>
      </w:r>
      <w:r w:rsidR="00A91AC3">
        <w:rPr>
          <w:szCs w:val="18"/>
        </w:rPr>
        <w:t>(“</w:t>
      </w:r>
      <w:r w:rsidRPr="00524CB4">
        <w:rPr>
          <w:szCs w:val="18"/>
        </w:rPr>
        <w:t>CTIA Opening Comments</w:t>
      </w:r>
      <w:r w:rsidR="00A91AC3">
        <w:rPr>
          <w:szCs w:val="18"/>
        </w:rPr>
        <w:t>”)</w:t>
      </w:r>
      <w:r w:rsidR="003D7B3E">
        <w:rPr>
          <w:szCs w:val="18"/>
        </w:rPr>
        <w:t xml:space="preserve"> at pp.</w:t>
      </w:r>
      <w:r w:rsidR="0051059D">
        <w:rPr>
          <w:sz w:val="18"/>
          <w:szCs w:val="18"/>
        </w:rPr>
        <w:t> </w:t>
      </w:r>
      <w:r w:rsidR="003D7B3E">
        <w:rPr>
          <w:szCs w:val="18"/>
        </w:rPr>
        <w:t>6</w:t>
      </w:r>
      <w:r w:rsidR="00E4753D">
        <w:rPr>
          <w:sz w:val="18"/>
          <w:szCs w:val="18"/>
        </w:rPr>
        <w:noBreakHyphen/>
      </w:r>
      <w:r w:rsidRPr="00524CB4">
        <w:rPr>
          <w:szCs w:val="18"/>
        </w:rPr>
        <w:t>8.</w:t>
      </w:r>
    </w:p>
  </w:footnote>
  <w:footnote w:id="40">
    <w:p w14:paraId="626734D8" w14:textId="76837240" w:rsidR="00D52C93" w:rsidRDefault="00D52C93" w:rsidP="00524CB4">
      <w:pPr>
        <w:pStyle w:val="FootnoteText"/>
      </w:pPr>
      <w:r>
        <w:rPr>
          <w:rStyle w:val="FootnoteReference"/>
        </w:rPr>
        <w:footnoteRef/>
      </w:r>
      <w:r>
        <w:t xml:space="preserve"> </w:t>
      </w:r>
      <w:r w:rsidRPr="00524CB4">
        <w:rPr>
          <w:szCs w:val="18"/>
        </w:rPr>
        <w:t>Extenet Opening Comments</w:t>
      </w:r>
      <w:r w:rsidR="003D7B3E">
        <w:rPr>
          <w:szCs w:val="18"/>
        </w:rPr>
        <w:t xml:space="preserve"> at p.</w:t>
      </w:r>
      <w:r w:rsidR="0051059D">
        <w:rPr>
          <w:sz w:val="18"/>
          <w:szCs w:val="18"/>
        </w:rPr>
        <w:t> </w:t>
      </w:r>
      <w:r w:rsidR="003D7B3E">
        <w:rPr>
          <w:szCs w:val="18"/>
        </w:rPr>
        <w:t>3</w:t>
      </w:r>
      <w:r w:rsidRPr="00524CB4">
        <w:rPr>
          <w:szCs w:val="18"/>
        </w:rPr>
        <w:t>.</w:t>
      </w:r>
    </w:p>
  </w:footnote>
  <w:footnote w:id="41">
    <w:p w14:paraId="2C6332A4" w14:textId="3CA51A54" w:rsidR="00D52C93" w:rsidRDefault="00D52C93" w:rsidP="00524CB4">
      <w:pPr>
        <w:pStyle w:val="FootnoteText"/>
      </w:pPr>
      <w:r>
        <w:rPr>
          <w:rStyle w:val="FootnoteReference"/>
        </w:rPr>
        <w:footnoteRef/>
      </w:r>
      <w:r>
        <w:t xml:space="preserve"> </w:t>
      </w:r>
      <w:r w:rsidRPr="00524CB4">
        <w:rPr>
          <w:szCs w:val="18"/>
        </w:rPr>
        <w:t>PG&amp;E Opening Comments</w:t>
      </w:r>
      <w:r w:rsidR="003D7B3E">
        <w:rPr>
          <w:szCs w:val="18"/>
        </w:rPr>
        <w:t xml:space="preserve"> at pp.</w:t>
      </w:r>
      <w:r w:rsidR="0051059D">
        <w:rPr>
          <w:sz w:val="18"/>
          <w:szCs w:val="18"/>
        </w:rPr>
        <w:t> </w:t>
      </w:r>
      <w:r w:rsidR="003D7B3E">
        <w:rPr>
          <w:szCs w:val="18"/>
        </w:rPr>
        <w:t>7</w:t>
      </w:r>
      <w:r w:rsidR="00E4753D">
        <w:rPr>
          <w:sz w:val="18"/>
          <w:szCs w:val="18"/>
        </w:rPr>
        <w:noBreakHyphen/>
      </w:r>
      <w:r w:rsidRPr="00524CB4">
        <w:rPr>
          <w:szCs w:val="18"/>
        </w:rPr>
        <w:t>8.</w:t>
      </w:r>
    </w:p>
  </w:footnote>
  <w:footnote w:id="42">
    <w:p w14:paraId="749A794B" w14:textId="1EC65185" w:rsidR="00D52C93" w:rsidRDefault="00D52C93" w:rsidP="00524CB4">
      <w:pPr>
        <w:pStyle w:val="FootnoteText"/>
      </w:pPr>
      <w:r>
        <w:rPr>
          <w:rStyle w:val="FootnoteReference"/>
        </w:rPr>
        <w:footnoteRef/>
      </w:r>
      <w:r>
        <w:t xml:space="preserve"> </w:t>
      </w:r>
      <w:r w:rsidRPr="00524CB4">
        <w:rPr>
          <w:szCs w:val="18"/>
        </w:rPr>
        <w:t>PG&amp;E Opening Comments</w:t>
      </w:r>
      <w:r w:rsidR="003D7B3E">
        <w:rPr>
          <w:szCs w:val="18"/>
        </w:rPr>
        <w:t xml:space="preserve"> at pp.</w:t>
      </w:r>
      <w:r w:rsidR="0051059D">
        <w:rPr>
          <w:sz w:val="18"/>
          <w:szCs w:val="18"/>
        </w:rPr>
        <w:t> </w:t>
      </w:r>
      <w:r w:rsidR="003D7B3E">
        <w:rPr>
          <w:szCs w:val="18"/>
        </w:rPr>
        <w:t>4</w:t>
      </w:r>
      <w:r w:rsidR="00E4753D">
        <w:rPr>
          <w:sz w:val="18"/>
          <w:szCs w:val="18"/>
        </w:rPr>
        <w:noBreakHyphen/>
      </w:r>
      <w:r w:rsidRPr="00524CB4">
        <w:rPr>
          <w:szCs w:val="18"/>
        </w:rPr>
        <w:t>7.</w:t>
      </w:r>
    </w:p>
  </w:footnote>
  <w:footnote w:id="43">
    <w:p w14:paraId="652C2988" w14:textId="558478D5" w:rsidR="00D52C93" w:rsidRDefault="00D52C93" w:rsidP="00524CB4">
      <w:pPr>
        <w:pStyle w:val="FootnoteText"/>
      </w:pPr>
      <w:r>
        <w:rPr>
          <w:rStyle w:val="FootnoteReference"/>
        </w:rPr>
        <w:footnoteRef/>
      </w:r>
      <w:r>
        <w:t xml:space="preserve"> </w:t>
      </w:r>
      <w:r w:rsidRPr="00524CB4">
        <w:rPr>
          <w:szCs w:val="18"/>
        </w:rPr>
        <w:t>Race Opening Comments</w:t>
      </w:r>
      <w:r w:rsidR="003D7B3E">
        <w:rPr>
          <w:szCs w:val="18"/>
        </w:rPr>
        <w:t xml:space="preserve"> at pp.</w:t>
      </w:r>
      <w:r w:rsidR="0051059D">
        <w:rPr>
          <w:sz w:val="18"/>
          <w:szCs w:val="18"/>
        </w:rPr>
        <w:t> </w:t>
      </w:r>
      <w:r w:rsidR="003D7B3E">
        <w:rPr>
          <w:szCs w:val="18"/>
        </w:rPr>
        <w:t>2</w:t>
      </w:r>
      <w:r w:rsidR="00E4753D">
        <w:rPr>
          <w:sz w:val="18"/>
          <w:szCs w:val="18"/>
        </w:rPr>
        <w:noBreakHyphen/>
      </w:r>
      <w:r w:rsidRPr="00524CB4">
        <w:rPr>
          <w:szCs w:val="18"/>
        </w:rPr>
        <w:t>3.</w:t>
      </w:r>
    </w:p>
  </w:footnote>
  <w:footnote w:id="44">
    <w:p w14:paraId="6A4226D6" w14:textId="1B11096C" w:rsidR="00D52C93" w:rsidRDefault="00D52C93" w:rsidP="00524CB4">
      <w:pPr>
        <w:pStyle w:val="FootnoteText"/>
      </w:pPr>
      <w:r>
        <w:rPr>
          <w:rStyle w:val="FootnoteReference"/>
        </w:rPr>
        <w:footnoteRef/>
      </w:r>
      <w:r>
        <w:t xml:space="preserve"> </w:t>
      </w:r>
      <w:r w:rsidRPr="00524CB4">
        <w:rPr>
          <w:szCs w:val="18"/>
        </w:rPr>
        <w:t>SCE Opening Comments</w:t>
      </w:r>
      <w:r w:rsidR="003D7B3E">
        <w:rPr>
          <w:szCs w:val="18"/>
        </w:rPr>
        <w:t xml:space="preserve"> at pp.</w:t>
      </w:r>
      <w:r w:rsidR="0051059D">
        <w:rPr>
          <w:sz w:val="18"/>
          <w:szCs w:val="18"/>
        </w:rPr>
        <w:t> </w:t>
      </w:r>
      <w:r w:rsidR="003D7B3E">
        <w:rPr>
          <w:szCs w:val="18"/>
        </w:rPr>
        <w:t>6</w:t>
      </w:r>
      <w:r w:rsidR="00E4753D">
        <w:rPr>
          <w:sz w:val="18"/>
          <w:szCs w:val="18"/>
        </w:rPr>
        <w:noBreakHyphen/>
      </w:r>
      <w:r w:rsidRPr="00524CB4">
        <w:rPr>
          <w:szCs w:val="18"/>
        </w:rPr>
        <w:t>7.</w:t>
      </w:r>
    </w:p>
  </w:footnote>
  <w:footnote w:id="45">
    <w:p w14:paraId="06D8D72F" w14:textId="497F1F8E" w:rsidR="00D52C93" w:rsidRDefault="00D52C93" w:rsidP="00524CB4">
      <w:pPr>
        <w:pStyle w:val="FootnoteText"/>
      </w:pPr>
      <w:r>
        <w:rPr>
          <w:rStyle w:val="FootnoteReference"/>
        </w:rPr>
        <w:footnoteRef/>
      </w:r>
      <w:r>
        <w:t xml:space="preserve"> </w:t>
      </w:r>
      <w:r w:rsidRPr="00524CB4">
        <w:rPr>
          <w:szCs w:val="18"/>
        </w:rPr>
        <w:t>SDG&amp;E Opening Comments</w:t>
      </w:r>
      <w:r w:rsidR="003D7B3E">
        <w:rPr>
          <w:szCs w:val="18"/>
        </w:rPr>
        <w:t xml:space="preserve"> at pp.</w:t>
      </w:r>
      <w:r w:rsidR="0051059D">
        <w:rPr>
          <w:sz w:val="18"/>
          <w:szCs w:val="18"/>
        </w:rPr>
        <w:t> </w:t>
      </w:r>
      <w:r w:rsidR="003D7B3E">
        <w:rPr>
          <w:szCs w:val="18"/>
        </w:rPr>
        <w:t>2</w:t>
      </w:r>
      <w:r w:rsidR="00E4753D">
        <w:rPr>
          <w:sz w:val="18"/>
          <w:szCs w:val="18"/>
        </w:rPr>
        <w:noBreakHyphen/>
      </w:r>
      <w:r w:rsidRPr="00524CB4">
        <w:rPr>
          <w:szCs w:val="18"/>
        </w:rPr>
        <w:t>3.</w:t>
      </w:r>
    </w:p>
  </w:footnote>
  <w:footnote w:id="46">
    <w:p w14:paraId="47C3C7B8" w14:textId="38DBE718" w:rsidR="00D52C93" w:rsidRDefault="00D52C93" w:rsidP="00524CB4">
      <w:pPr>
        <w:pStyle w:val="FootnoteText"/>
      </w:pPr>
      <w:r>
        <w:rPr>
          <w:rStyle w:val="FootnoteReference"/>
        </w:rPr>
        <w:footnoteRef/>
      </w:r>
      <w:r>
        <w:t xml:space="preserve"> </w:t>
      </w:r>
      <w:r w:rsidRPr="00524CB4">
        <w:rPr>
          <w:szCs w:val="18"/>
        </w:rPr>
        <w:t>Sonic Opening Comments</w:t>
      </w:r>
      <w:r w:rsidR="003D7B3E">
        <w:rPr>
          <w:szCs w:val="18"/>
        </w:rPr>
        <w:t xml:space="preserve"> at pp.</w:t>
      </w:r>
      <w:r w:rsidR="0051059D">
        <w:rPr>
          <w:sz w:val="18"/>
          <w:szCs w:val="18"/>
        </w:rPr>
        <w:t> </w:t>
      </w:r>
      <w:r w:rsidR="003D7B3E">
        <w:rPr>
          <w:szCs w:val="18"/>
        </w:rPr>
        <w:t>6</w:t>
      </w:r>
      <w:r w:rsidR="00E4753D">
        <w:rPr>
          <w:sz w:val="18"/>
          <w:szCs w:val="18"/>
        </w:rPr>
        <w:noBreakHyphen/>
      </w:r>
      <w:r w:rsidRPr="00524CB4">
        <w:rPr>
          <w:szCs w:val="18"/>
        </w:rPr>
        <w:t>7.</w:t>
      </w:r>
    </w:p>
  </w:footnote>
  <w:footnote w:id="47">
    <w:p w14:paraId="3CD1A6AD" w14:textId="398E395C" w:rsidR="00D52C93" w:rsidRDefault="00D52C93" w:rsidP="00524CB4">
      <w:pPr>
        <w:pStyle w:val="FootnoteText"/>
      </w:pPr>
      <w:r>
        <w:rPr>
          <w:rStyle w:val="FootnoteReference"/>
        </w:rPr>
        <w:footnoteRef/>
      </w:r>
      <w:r>
        <w:t xml:space="preserve"> </w:t>
      </w:r>
      <w:r w:rsidR="0092032D">
        <w:t xml:space="preserve">Surfnet </w:t>
      </w:r>
      <w:r>
        <w:t xml:space="preserve">Opening </w:t>
      </w:r>
      <w:r w:rsidRPr="00524CB4">
        <w:rPr>
          <w:szCs w:val="18"/>
        </w:rPr>
        <w:t>Comments</w:t>
      </w:r>
      <w:r w:rsidR="003D7B3E">
        <w:rPr>
          <w:szCs w:val="18"/>
        </w:rPr>
        <w:t xml:space="preserve"> at pp.</w:t>
      </w:r>
      <w:r w:rsidR="0051059D">
        <w:rPr>
          <w:sz w:val="18"/>
          <w:szCs w:val="18"/>
        </w:rPr>
        <w:t> </w:t>
      </w:r>
      <w:r w:rsidR="003D7B3E">
        <w:rPr>
          <w:szCs w:val="18"/>
        </w:rPr>
        <w:t>2</w:t>
      </w:r>
      <w:r w:rsidR="00E4753D">
        <w:rPr>
          <w:sz w:val="18"/>
          <w:szCs w:val="18"/>
        </w:rPr>
        <w:noBreakHyphen/>
      </w:r>
      <w:r w:rsidRPr="00524CB4">
        <w:rPr>
          <w:szCs w:val="18"/>
        </w:rPr>
        <w:t>3.</w:t>
      </w:r>
    </w:p>
  </w:footnote>
  <w:footnote w:id="48">
    <w:p w14:paraId="51F4039A" w14:textId="0991B011" w:rsidR="00D52C93" w:rsidRDefault="00D52C93" w:rsidP="00524CB4">
      <w:pPr>
        <w:pStyle w:val="FootnoteText"/>
      </w:pPr>
      <w:r>
        <w:rPr>
          <w:rStyle w:val="FootnoteReference"/>
        </w:rPr>
        <w:footnoteRef/>
      </w:r>
      <w:r>
        <w:t xml:space="preserve"> Opening </w:t>
      </w:r>
      <w:r w:rsidRPr="00524CB4">
        <w:rPr>
          <w:szCs w:val="18"/>
        </w:rPr>
        <w:t>Comments of Cellco Partnership, MCImetro Access Transmission Services LLC, and XO Communications Services LLC,</w:t>
      </w:r>
      <w:r w:rsidRPr="00524CB4">
        <w:rPr>
          <w:i/>
          <w:iCs/>
          <w:szCs w:val="18"/>
        </w:rPr>
        <w:t xml:space="preserve"> Order Instituting Investigation into the Creation of a Shared Database or Statewide Census of Utility Poles and Conduit in California, </w:t>
      </w:r>
      <w:r w:rsidR="0078115B">
        <w:rPr>
          <w:i/>
          <w:iCs/>
          <w:szCs w:val="18"/>
        </w:rPr>
        <w:t>Investigation</w:t>
      </w:r>
      <w:r w:rsidR="0051059D">
        <w:rPr>
          <w:i/>
          <w:iCs/>
          <w:sz w:val="18"/>
          <w:szCs w:val="18"/>
        </w:rPr>
        <w:t> </w:t>
      </w:r>
      <w:r w:rsidRPr="00524CB4">
        <w:rPr>
          <w:i/>
          <w:iCs/>
          <w:szCs w:val="18"/>
        </w:rPr>
        <w:t>17</w:t>
      </w:r>
      <w:r w:rsidR="00E4753D">
        <w:rPr>
          <w:i/>
          <w:iCs/>
          <w:sz w:val="18"/>
          <w:szCs w:val="18"/>
        </w:rPr>
        <w:noBreakHyphen/>
      </w:r>
      <w:r w:rsidRPr="00524CB4">
        <w:rPr>
          <w:i/>
          <w:iCs/>
          <w:szCs w:val="18"/>
        </w:rPr>
        <w:t>06</w:t>
      </w:r>
      <w:r w:rsidR="00E4753D">
        <w:rPr>
          <w:i/>
          <w:iCs/>
          <w:sz w:val="18"/>
          <w:szCs w:val="18"/>
        </w:rPr>
        <w:noBreakHyphen/>
      </w:r>
      <w:r w:rsidRPr="00524CB4">
        <w:rPr>
          <w:i/>
          <w:iCs/>
          <w:szCs w:val="18"/>
        </w:rPr>
        <w:t>027</w:t>
      </w:r>
      <w:r w:rsidRPr="00524CB4">
        <w:rPr>
          <w:szCs w:val="18"/>
        </w:rPr>
        <w:t xml:space="preserve">, </w:t>
      </w:r>
      <w:r w:rsidR="0023089B">
        <w:rPr>
          <w:szCs w:val="18"/>
        </w:rPr>
        <w:t>June</w:t>
      </w:r>
      <w:r w:rsidR="0051059D">
        <w:rPr>
          <w:sz w:val="18"/>
          <w:szCs w:val="18"/>
        </w:rPr>
        <w:t> </w:t>
      </w:r>
      <w:r w:rsidRPr="00524CB4">
        <w:rPr>
          <w:szCs w:val="18"/>
        </w:rPr>
        <w:t xml:space="preserve">18, 2025 </w:t>
      </w:r>
      <w:r w:rsidR="00A91AC3">
        <w:rPr>
          <w:szCs w:val="18"/>
        </w:rPr>
        <w:t>(“</w:t>
      </w:r>
      <w:r w:rsidRPr="00524CB4">
        <w:rPr>
          <w:szCs w:val="18"/>
        </w:rPr>
        <w:t>Verizon Opening Comments</w:t>
      </w:r>
      <w:r w:rsidR="00A91AC3">
        <w:rPr>
          <w:szCs w:val="18"/>
        </w:rPr>
        <w:t>”)</w:t>
      </w:r>
      <w:r w:rsidR="003D7B3E">
        <w:rPr>
          <w:szCs w:val="18"/>
        </w:rPr>
        <w:t xml:space="preserve"> at pp.</w:t>
      </w:r>
      <w:r w:rsidR="0051059D">
        <w:rPr>
          <w:sz w:val="18"/>
          <w:szCs w:val="18"/>
        </w:rPr>
        <w:t> </w:t>
      </w:r>
      <w:r w:rsidR="003D7B3E">
        <w:rPr>
          <w:szCs w:val="18"/>
        </w:rPr>
        <w:t>1</w:t>
      </w:r>
      <w:r w:rsidR="00E4753D">
        <w:rPr>
          <w:sz w:val="18"/>
          <w:szCs w:val="18"/>
        </w:rPr>
        <w:noBreakHyphen/>
      </w:r>
      <w:r w:rsidRPr="00524CB4">
        <w:rPr>
          <w:szCs w:val="18"/>
        </w:rPr>
        <w:t>3.</w:t>
      </w:r>
    </w:p>
  </w:footnote>
  <w:footnote w:id="49">
    <w:p w14:paraId="4F016E11" w14:textId="1C88872B" w:rsidR="00426700" w:rsidRDefault="00426700" w:rsidP="00524CB4">
      <w:pPr>
        <w:pStyle w:val="FootnoteText"/>
      </w:pPr>
      <w:r>
        <w:rPr>
          <w:rStyle w:val="FootnoteReference"/>
        </w:rPr>
        <w:footnoteRef/>
      </w:r>
      <w:r>
        <w:t xml:space="preserve"> </w:t>
      </w:r>
      <w:r w:rsidRPr="00524CB4">
        <w:rPr>
          <w:szCs w:val="18"/>
        </w:rPr>
        <w:t>AT&amp;T Opening Comments</w:t>
      </w:r>
      <w:r w:rsidR="003D7B3E">
        <w:rPr>
          <w:szCs w:val="18"/>
        </w:rPr>
        <w:t xml:space="preserve"> at p.</w:t>
      </w:r>
      <w:r w:rsidR="0051059D">
        <w:rPr>
          <w:sz w:val="18"/>
          <w:szCs w:val="18"/>
        </w:rPr>
        <w:t> </w:t>
      </w:r>
      <w:r w:rsidR="003D7B3E">
        <w:rPr>
          <w:szCs w:val="18"/>
        </w:rPr>
        <w:t>3</w:t>
      </w:r>
      <w:r w:rsidRPr="00524CB4">
        <w:rPr>
          <w:szCs w:val="18"/>
        </w:rPr>
        <w:t>.</w:t>
      </w:r>
    </w:p>
  </w:footnote>
  <w:footnote w:id="50">
    <w:p w14:paraId="04E861F0" w14:textId="15572B9A" w:rsidR="00426700" w:rsidRDefault="00426700" w:rsidP="00524CB4">
      <w:pPr>
        <w:pStyle w:val="FootnoteText"/>
      </w:pPr>
      <w:r>
        <w:rPr>
          <w:rStyle w:val="FootnoteReference"/>
        </w:rPr>
        <w:footnoteRef/>
      </w:r>
      <w:r>
        <w:t xml:space="preserve"> </w:t>
      </w:r>
      <w:r w:rsidRPr="00524CB4">
        <w:rPr>
          <w:szCs w:val="18"/>
        </w:rPr>
        <w:t>California Broadband and Video Association Opening Comments</w:t>
      </w:r>
      <w:r w:rsidR="003D7B3E">
        <w:rPr>
          <w:szCs w:val="18"/>
        </w:rPr>
        <w:t xml:space="preserve"> at pp.</w:t>
      </w:r>
      <w:r w:rsidR="0051059D">
        <w:rPr>
          <w:sz w:val="18"/>
          <w:szCs w:val="18"/>
        </w:rPr>
        <w:t> </w:t>
      </w:r>
      <w:r w:rsidR="003D7B3E">
        <w:rPr>
          <w:szCs w:val="18"/>
        </w:rPr>
        <w:t>1</w:t>
      </w:r>
      <w:r w:rsidRPr="00524CB4">
        <w:rPr>
          <w:szCs w:val="18"/>
        </w:rPr>
        <w:t>0</w:t>
      </w:r>
      <w:r w:rsidR="00E4753D">
        <w:rPr>
          <w:sz w:val="18"/>
          <w:szCs w:val="18"/>
        </w:rPr>
        <w:noBreakHyphen/>
      </w:r>
      <w:r w:rsidRPr="00524CB4">
        <w:rPr>
          <w:szCs w:val="18"/>
        </w:rPr>
        <w:t>11.</w:t>
      </w:r>
    </w:p>
  </w:footnote>
  <w:footnote w:id="51">
    <w:p w14:paraId="6201ECE8" w14:textId="79010174" w:rsidR="00426700" w:rsidRDefault="00426700" w:rsidP="00524CB4">
      <w:pPr>
        <w:pStyle w:val="FootnoteText"/>
      </w:pPr>
      <w:r>
        <w:rPr>
          <w:rStyle w:val="FootnoteReference"/>
        </w:rPr>
        <w:footnoteRef/>
      </w:r>
      <w:r>
        <w:t xml:space="preserve"> </w:t>
      </w:r>
      <w:r w:rsidRPr="00524CB4">
        <w:rPr>
          <w:szCs w:val="18"/>
        </w:rPr>
        <w:t>Crown Castle Opening Comments</w:t>
      </w:r>
      <w:r w:rsidR="003D7B3E">
        <w:rPr>
          <w:szCs w:val="18"/>
        </w:rPr>
        <w:t xml:space="preserve"> at pp.</w:t>
      </w:r>
      <w:r w:rsidR="0051059D">
        <w:rPr>
          <w:sz w:val="18"/>
          <w:szCs w:val="18"/>
        </w:rPr>
        <w:t> </w:t>
      </w:r>
      <w:r w:rsidR="003D7B3E">
        <w:rPr>
          <w:szCs w:val="18"/>
        </w:rPr>
        <w:t>5</w:t>
      </w:r>
      <w:r w:rsidR="00E4753D">
        <w:rPr>
          <w:sz w:val="18"/>
          <w:szCs w:val="18"/>
        </w:rPr>
        <w:noBreakHyphen/>
      </w:r>
      <w:r w:rsidRPr="00524CB4">
        <w:rPr>
          <w:szCs w:val="18"/>
        </w:rPr>
        <w:t>6.</w:t>
      </w:r>
    </w:p>
  </w:footnote>
  <w:footnote w:id="52">
    <w:p w14:paraId="7EEA6D60" w14:textId="752830DF" w:rsidR="00426700" w:rsidRDefault="00426700" w:rsidP="00524CB4">
      <w:pPr>
        <w:pStyle w:val="FootnoteText"/>
      </w:pPr>
      <w:r>
        <w:rPr>
          <w:rStyle w:val="FootnoteReference"/>
        </w:rPr>
        <w:footnoteRef/>
      </w:r>
      <w:r>
        <w:t xml:space="preserve"> </w:t>
      </w:r>
      <w:r w:rsidRPr="00524CB4">
        <w:rPr>
          <w:szCs w:val="18"/>
        </w:rPr>
        <w:t>Extenet Opening Comments</w:t>
      </w:r>
      <w:r w:rsidR="003D7B3E">
        <w:rPr>
          <w:szCs w:val="18"/>
        </w:rPr>
        <w:t xml:space="preserve"> at pp.</w:t>
      </w:r>
      <w:r w:rsidR="0051059D">
        <w:rPr>
          <w:sz w:val="18"/>
          <w:szCs w:val="18"/>
        </w:rPr>
        <w:t> </w:t>
      </w:r>
      <w:r w:rsidR="003D7B3E">
        <w:rPr>
          <w:szCs w:val="18"/>
        </w:rPr>
        <w:t>3</w:t>
      </w:r>
      <w:r w:rsidR="00E4753D">
        <w:rPr>
          <w:sz w:val="18"/>
          <w:szCs w:val="18"/>
        </w:rPr>
        <w:noBreakHyphen/>
      </w:r>
      <w:r w:rsidRPr="00524CB4">
        <w:rPr>
          <w:szCs w:val="18"/>
        </w:rPr>
        <w:t>4.</w:t>
      </w:r>
    </w:p>
  </w:footnote>
  <w:footnote w:id="53">
    <w:p w14:paraId="0272E7B3" w14:textId="6E944901" w:rsidR="00426700" w:rsidRDefault="00426700" w:rsidP="00524CB4">
      <w:pPr>
        <w:pStyle w:val="FootnoteText"/>
      </w:pPr>
      <w:r>
        <w:rPr>
          <w:rStyle w:val="FootnoteReference"/>
        </w:rPr>
        <w:footnoteRef/>
      </w:r>
      <w:r>
        <w:t xml:space="preserve">Reply Comments of Pacific Gas and Electric Company, </w:t>
      </w:r>
      <w:r w:rsidRPr="00524CB4">
        <w:rPr>
          <w:i/>
          <w:iCs/>
          <w:szCs w:val="18"/>
        </w:rPr>
        <w:t xml:space="preserve">Order Instituting Investigation into the Creation of a Shared Database or Statewide Census of Utility Poles and Conduit in California, </w:t>
      </w:r>
      <w:r w:rsidR="0078115B">
        <w:rPr>
          <w:i/>
          <w:iCs/>
          <w:szCs w:val="18"/>
        </w:rPr>
        <w:t>Investigation</w:t>
      </w:r>
      <w:r w:rsidR="0051059D">
        <w:rPr>
          <w:i/>
          <w:iCs/>
          <w:sz w:val="18"/>
          <w:szCs w:val="18"/>
        </w:rPr>
        <w:t> </w:t>
      </w:r>
      <w:r w:rsidRPr="00524CB4">
        <w:rPr>
          <w:i/>
          <w:iCs/>
          <w:szCs w:val="18"/>
        </w:rPr>
        <w:t>17</w:t>
      </w:r>
      <w:r w:rsidR="00E4753D">
        <w:rPr>
          <w:i/>
          <w:iCs/>
          <w:sz w:val="18"/>
          <w:szCs w:val="18"/>
        </w:rPr>
        <w:noBreakHyphen/>
      </w:r>
      <w:r w:rsidRPr="00524CB4">
        <w:rPr>
          <w:i/>
          <w:iCs/>
          <w:szCs w:val="18"/>
        </w:rPr>
        <w:t>06</w:t>
      </w:r>
      <w:r w:rsidR="00E4753D">
        <w:rPr>
          <w:i/>
          <w:iCs/>
          <w:sz w:val="18"/>
          <w:szCs w:val="18"/>
        </w:rPr>
        <w:noBreakHyphen/>
      </w:r>
      <w:r w:rsidRPr="00524CB4">
        <w:rPr>
          <w:i/>
          <w:iCs/>
          <w:szCs w:val="18"/>
        </w:rPr>
        <w:t>027</w:t>
      </w:r>
      <w:r w:rsidRPr="00524CB4">
        <w:rPr>
          <w:szCs w:val="18"/>
        </w:rPr>
        <w:t xml:space="preserve">, </w:t>
      </w:r>
      <w:r w:rsidR="0023089B">
        <w:rPr>
          <w:szCs w:val="18"/>
        </w:rPr>
        <w:t>June</w:t>
      </w:r>
      <w:r w:rsidR="0051059D">
        <w:rPr>
          <w:sz w:val="18"/>
          <w:szCs w:val="18"/>
        </w:rPr>
        <w:t> </w:t>
      </w:r>
      <w:r w:rsidRPr="00524CB4">
        <w:rPr>
          <w:szCs w:val="18"/>
        </w:rPr>
        <w:t xml:space="preserve">9, 2025 </w:t>
      </w:r>
      <w:r w:rsidR="00A91AC3">
        <w:rPr>
          <w:szCs w:val="18"/>
        </w:rPr>
        <w:t>(“</w:t>
      </w:r>
      <w:r w:rsidRPr="00524CB4">
        <w:rPr>
          <w:szCs w:val="18"/>
        </w:rPr>
        <w:t>PG&amp;E Reply Comments</w:t>
      </w:r>
      <w:r w:rsidR="00A91AC3">
        <w:rPr>
          <w:szCs w:val="18"/>
        </w:rPr>
        <w:t>”)</w:t>
      </w:r>
      <w:r w:rsidR="003D7B3E">
        <w:rPr>
          <w:szCs w:val="18"/>
        </w:rPr>
        <w:t xml:space="preserve"> at pp.</w:t>
      </w:r>
      <w:r w:rsidR="0051059D">
        <w:rPr>
          <w:sz w:val="18"/>
          <w:szCs w:val="18"/>
        </w:rPr>
        <w:t> </w:t>
      </w:r>
      <w:r w:rsidR="003D7B3E">
        <w:rPr>
          <w:szCs w:val="18"/>
        </w:rPr>
        <w:t>8</w:t>
      </w:r>
      <w:r w:rsidR="00E4753D">
        <w:rPr>
          <w:sz w:val="18"/>
          <w:szCs w:val="18"/>
        </w:rPr>
        <w:noBreakHyphen/>
      </w:r>
      <w:r w:rsidRPr="00524CB4">
        <w:rPr>
          <w:szCs w:val="18"/>
        </w:rPr>
        <w:t>9.</w:t>
      </w:r>
    </w:p>
  </w:footnote>
  <w:footnote w:id="54">
    <w:p w14:paraId="0D2F8031" w14:textId="2524D3E8" w:rsidR="00426700" w:rsidRDefault="00426700" w:rsidP="00524CB4">
      <w:pPr>
        <w:pStyle w:val="FootnoteText"/>
      </w:pPr>
      <w:r>
        <w:rPr>
          <w:rStyle w:val="FootnoteReference"/>
        </w:rPr>
        <w:footnoteRef/>
      </w:r>
      <w:r>
        <w:t xml:space="preserve"> </w:t>
      </w:r>
      <w:r w:rsidRPr="00524CB4">
        <w:rPr>
          <w:szCs w:val="18"/>
        </w:rPr>
        <w:t>Race Opening Comments</w:t>
      </w:r>
      <w:r w:rsidR="003D7B3E">
        <w:rPr>
          <w:szCs w:val="18"/>
        </w:rPr>
        <w:t xml:space="preserve"> at pp.</w:t>
      </w:r>
      <w:r w:rsidR="0051059D">
        <w:rPr>
          <w:sz w:val="18"/>
          <w:szCs w:val="18"/>
        </w:rPr>
        <w:t> </w:t>
      </w:r>
      <w:r w:rsidR="003D7B3E">
        <w:rPr>
          <w:szCs w:val="18"/>
        </w:rPr>
        <w:t>3</w:t>
      </w:r>
      <w:r w:rsidR="00E4753D">
        <w:rPr>
          <w:sz w:val="18"/>
          <w:szCs w:val="18"/>
        </w:rPr>
        <w:noBreakHyphen/>
      </w:r>
      <w:r w:rsidRPr="00524CB4">
        <w:rPr>
          <w:szCs w:val="18"/>
        </w:rPr>
        <w:t>4.</w:t>
      </w:r>
    </w:p>
  </w:footnote>
  <w:footnote w:id="55">
    <w:p w14:paraId="72559A30" w14:textId="4FAE5408" w:rsidR="00426700" w:rsidRDefault="00426700" w:rsidP="00524CB4">
      <w:pPr>
        <w:pStyle w:val="FootnoteText"/>
      </w:pPr>
      <w:r>
        <w:rPr>
          <w:rStyle w:val="FootnoteReference"/>
        </w:rPr>
        <w:footnoteRef/>
      </w:r>
      <w:r>
        <w:t xml:space="preserve"> </w:t>
      </w:r>
      <w:r w:rsidRPr="00524CB4">
        <w:rPr>
          <w:szCs w:val="18"/>
        </w:rPr>
        <w:t>SCE Opening Comments</w:t>
      </w:r>
      <w:r w:rsidR="003D7B3E">
        <w:rPr>
          <w:szCs w:val="18"/>
        </w:rPr>
        <w:t xml:space="preserve"> at pp.</w:t>
      </w:r>
      <w:r w:rsidR="0051059D">
        <w:rPr>
          <w:sz w:val="18"/>
          <w:szCs w:val="18"/>
        </w:rPr>
        <w:t> </w:t>
      </w:r>
      <w:r w:rsidR="003D7B3E">
        <w:rPr>
          <w:szCs w:val="18"/>
        </w:rPr>
        <w:t>7</w:t>
      </w:r>
      <w:r w:rsidR="00E4753D">
        <w:rPr>
          <w:sz w:val="18"/>
          <w:szCs w:val="18"/>
        </w:rPr>
        <w:noBreakHyphen/>
      </w:r>
      <w:r w:rsidRPr="00524CB4">
        <w:rPr>
          <w:szCs w:val="18"/>
        </w:rPr>
        <w:t>8.</w:t>
      </w:r>
    </w:p>
  </w:footnote>
  <w:footnote w:id="56">
    <w:p w14:paraId="590911B9" w14:textId="787EF80F" w:rsidR="00426700" w:rsidRDefault="00426700" w:rsidP="00524CB4">
      <w:pPr>
        <w:pStyle w:val="FootnoteText"/>
      </w:pPr>
      <w:r>
        <w:rPr>
          <w:rStyle w:val="FootnoteReference"/>
        </w:rPr>
        <w:footnoteRef/>
      </w:r>
      <w:r>
        <w:t xml:space="preserve"> </w:t>
      </w:r>
      <w:r w:rsidRPr="00524CB4">
        <w:rPr>
          <w:szCs w:val="18"/>
        </w:rPr>
        <w:t>SDG&amp;E Opening Comments</w:t>
      </w:r>
      <w:r w:rsidR="003D7B3E">
        <w:rPr>
          <w:szCs w:val="18"/>
        </w:rPr>
        <w:t xml:space="preserve"> at pp.</w:t>
      </w:r>
      <w:r w:rsidR="0051059D">
        <w:rPr>
          <w:sz w:val="18"/>
          <w:szCs w:val="18"/>
        </w:rPr>
        <w:t> </w:t>
      </w:r>
      <w:r w:rsidR="003D7B3E">
        <w:rPr>
          <w:szCs w:val="18"/>
        </w:rPr>
        <w:t>3</w:t>
      </w:r>
      <w:r w:rsidR="00E4753D">
        <w:rPr>
          <w:sz w:val="18"/>
          <w:szCs w:val="18"/>
        </w:rPr>
        <w:noBreakHyphen/>
      </w:r>
      <w:r w:rsidRPr="00524CB4">
        <w:rPr>
          <w:szCs w:val="18"/>
        </w:rPr>
        <w:t>4.</w:t>
      </w:r>
    </w:p>
  </w:footnote>
  <w:footnote w:id="57">
    <w:p w14:paraId="4BF9BF4C" w14:textId="5B8D806C" w:rsidR="00426700" w:rsidRDefault="00426700" w:rsidP="00524CB4">
      <w:pPr>
        <w:pStyle w:val="FootnoteText"/>
      </w:pPr>
      <w:r>
        <w:rPr>
          <w:rStyle w:val="FootnoteReference"/>
        </w:rPr>
        <w:footnoteRef/>
      </w:r>
      <w:r>
        <w:t xml:space="preserve"> </w:t>
      </w:r>
      <w:r w:rsidRPr="00524CB4">
        <w:rPr>
          <w:szCs w:val="18"/>
        </w:rPr>
        <w:t>Sonic Opening Comments</w:t>
      </w:r>
      <w:r w:rsidR="003D7B3E">
        <w:rPr>
          <w:szCs w:val="18"/>
        </w:rPr>
        <w:t xml:space="preserve"> at p.</w:t>
      </w:r>
      <w:r w:rsidR="0051059D">
        <w:rPr>
          <w:sz w:val="18"/>
          <w:szCs w:val="18"/>
        </w:rPr>
        <w:t> </w:t>
      </w:r>
      <w:r w:rsidR="003D7B3E">
        <w:rPr>
          <w:szCs w:val="18"/>
        </w:rPr>
        <w:t>7</w:t>
      </w:r>
      <w:r w:rsidRPr="00524CB4">
        <w:rPr>
          <w:szCs w:val="18"/>
        </w:rPr>
        <w:t>.</w:t>
      </w:r>
    </w:p>
  </w:footnote>
  <w:footnote w:id="58">
    <w:p w14:paraId="472C9F53" w14:textId="1AD5A6B6" w:rsidR="00426700" w:rsidRDefault="00426700" w:rsidP="00524CB4">
      <w:pPr>
        <w:pStyle w:val="FootnoteText"/>
      </w:pPr>
      <w:r>
        <w:rPr>
          <w:rStyle w:val="FootnoteReference"/>
        </w:rPr>
        <w:footnoteRef/>
      </w:r>
      <w:r>
        <w:t xml:space="preserve"> </w:t>
      </w:r>
      <w:r w:rsidR="00AF2488">
        <w:t xml:space="preserve">Surfnet </w:t>
      </w:r>
      <w:r>
        <w:t xml:space="preserve">Opening </w:t>
      </w:r>
      <w:r w:rsidRPr="00524CB4">
        <w:rPr>
          <w:szCs w:val="18"/>
        </w:rPr>
        <w:t xml:space="preserve">Comments </w:t>
      </w:r>
      <w:r w:rsidR="003D7B3E">
        <w:rPr>
          <w:szCs w:val="18"/>
        </w:rPr>
        <w:t>at p.</w:t>
      </w:r>
      <w:r w:rsidR="0051059D">
        <w:rPr>
          <w:sz w:val="18"/>
          <w:szCs w:val="18"/>
        </w:rPr>
        <w:t> </w:t>
      </w:r>
      <w:r w:rsidR="003D7B3E">
        <w:rPr>
          <w:szCs w:val="18"/>
        </w:rPr>
        <w:t>3</w:t>
      </w:r>
      <w:r w:rsidRPr="00524CB4">
        <w:rPr>
          <w:szCs w:val="18"/>
        </w:rPr>
        <w:t>.</w:t>
      </w:r>
    </w:p>
  </w:footnote>
  <w:footnote w:id="59">
    <w:p w14:paraId="7B10D6DE" w14:textId="0DD35FCC" w:rsidR="004C1287" w:rsidRDefault="004C1287" w:rsidP="00524CB4">
      <w:pPr>
        <w:pStyle w:val="FootnoteText"/>
      </w:pPr>
      <w:r>
        <w:rPr>
          <w:rStyle w:val="FootnoteReference"/>
        </w:rPr>
        <w:footnoteRef/>
      </w:r>
      <w:r>
        <w:t xml:space="preserve"> </w:t>
      </w:r>
      <w:r w:rsidRPr="00524CB4">
        <w:rPr>
          <w:szCs w:val="18"/>
        </w:rPr>
        <w:t>California Broadband and Video Association Opening Comments</w:t>
      </w:r>
      <w:r w:rsidR="003D7B3E">
        <w:rPr>
          <w:szCs w:val="18"/>
        </w:rPr>
        <w:t xml:space="preserve"> at p.</w:t>
      </w:r>
      <w:r w:rsidR="0051059D">
        <w:rPr>
          <w:sz w:val="18"/>
          <w:szCs w:val="18"/>
        </w:rPr>
        <w:t> </w:t>
      </w:r>
      <w:r w:rsidR="003D7B3E">
        <w:rPr>
          <w:szCs w:val="18"/>
        </w:rPr>
        <w:t>3</w:t>
      </w:r>
      <w:r w:rsidRPr="00524CB4">
        <w:rPr>
          <w:szCs w:val="18"/>
        </w:rPr>
        <w:t>.</w:t>
      </w:r>
    </w:p>
  </w:footnote>
  <w:footnote w:id="60">
    <w:p w14:paraId="501002C6" w14:textId="1376778E" w:rsidR="004C1287" w:rsidRDefault="004C1287" w:rsidP="00524CB4">
      <w:pPr>
        <w:pStyle w:val="FootnoteText"/>
      </w:pPr>
      <w:r>
        <w:rPr>
          <w:rStyle w:val="FootnoteReference"/>
        </w:rPr>
        <w:footnoteRef/>
      </w:r>
      <w:r>
        <w:t xml:space="preserve"> </w:t>
      </w:r>
      <w:r w:rsidRPr="00524CB4">
        <w:rPr>
          <w:szCs w:val="18"/>
        </w:rPr>
        <w:t>Crown Castle Opening Comments</w:t>
      </w:r>
      <w:r w:rsidR="003D7B3E">
        <w:rPr>
          <w:szCs w:val="18"/>
        </w:rPr>
        <w:t xml:space="preserve"> at pp.</w:t>
      </w:r>
      <w:r w:rsidR="0051059D">
        <w:rPr>
          <w:sz w:val="18"/>
          <w:szCs w:val="18"/>
        </w:rPr>
        <w:t> </w:t>
      </w:r>
      <w:r w:rsidR="003D7B3E">
        <w:rPr>
          <w:szCs w:val="18"/>
        </w:rPr>
        <w:t>6</w:t>
      </w:r>
      <w:r w:rsidR="00E4753D">
        <w:rPr>
          <w:sz w:val="18"/>
          <w:szCs w:val="18"/>
        </w:rPr>
        <w:noBreakHyphen/>
      </w:r>
      <w:r w:rsidRPr="00524CB4">
        <w:rPr>
          <w:szCs w:val="18"/>
        </w:rPr>
        <w:t>7.</w:t>
      </w:r>
    </w:p>
  </w:footnote>
  <w:footnote w:id="61">
    <w:p w14:paraId="11475726" w14:textId="655BFD36" w:rsidR="004C1287" w:rsidRDefault="004C1287" w:rsidP="00524CB4">
      <w:pPr>
        <w:pStyle w:val="FootnoteText"/>
      </w:pPr>
      <w:r>
        <w:rPr>
          <w:rStyle w:val="FootnoteReference"/>
        </w:rPr>
        <w:footnoteRef/>
      </w:r>
      <w:r>
        <w:t xml:space="preserve"> </w:t>
      </w:r>
      <w:r w:rsidRPr="00524CB4">
        <w:rPr>
          <w:szCs w:val="18"/>
        </w:rPr>
        <w:t>Extenet Opening Comments</w:t>
      </w:r>
      <w:r w:rsidR="003D7B3E">
        <w:rPr>
          <w:szCs w:val="18"/>
        </w:rPr>
        <w:t xml:space="preserve"> at p.</w:t>
      </w:r>
      <w:r w:rsidR="0051059D">
        <w:rPr>
          <w:sz w:val="18"/>
          <w:szCs w:val="18"/>
        </w:rPr>
        <w:t> </w:t>
      </w:r>
      <w:r w:rsidR="003D7B3E">
        <w:rPr>
          <w:szCs w:val="18"/>
        </w:rPr>
        <w:t>4</w:t>
      </w:r>
      <w:r w:rsidRPr="00524CB4">
        <w:rPr>
          <w:szCs w:val="18"/>
        </w:rPr>
        <w:t>.</w:t>
      </w:r>
    </w:p>
  </w:footnote>
  <w:footnote w:id="62">
    <w:p w14:paraId="78E711E3" w14:textId="4FE5B7AD" w:rsidR="004C1287" w:rsidRDefault="004C1287" w:rsidP="00524CB4">
      <w:pPr>
        <w:pStyle w:val="FootnoteText"/>
      </w:pPr>
      <w:r>
        <w:rPr>
          <w:rStyle w:val="FootnoteReference"/>
        </w:rPr>
        <w:footnoteRef/>
      </w:r>
      <w:r w:rsidRPr="00524CB4">
        <w:rPr>
          <w:szCs w:val="18"/>
        </w:rPr>
        <w:t xml:space="preserve"> PG&amp;E Reply Comments</w:t>
      </w:r>
      <w:r w:rsidR="003D7B3E">
        <w:rPr>
          <w:szCs w:val="18"/>
        </w:rPr>
        <w:t xml:space="preserve"> at p.</w:t>
      </w:r>
      <w:r w:rsidR="0051059D">
        <w:rPr>
          <w:sz w:val="18"/>
          <w:szCs w:val="18"/>
        </w:rPr>
        <w:t> </w:t>
      </w:r>
      <w:r w:rsidR="003D7B3E">
        <w:rPr>
          <w:szCs w:val="18"/>
        </w:rPr>
        <w:t>9</w:t>
      </w:r>
      <w:r w:rsidRPr="00524CB4">
        <w:rPr>
          <w:szCs w:val="18"/>
        </w:rPr>
        <w:t>.</w:t>
      </w:r>
    </w:p>
  </w:footnote>
  <w:footnote w:id="63">
    <w:p w14:paraId="53A61D70" w14:textId="0C05CD44" w:rsidR="004C1287" w:rsidRDefault="004C1287" w:rsidP="00524CB4">
      <w:pPr>
        <w:pStyle w:val="FootnoteText"/>
      </w:pPr>
      <w:r>
        <w:rPr>
          <w:rStyle w:val="FootnoteReference"/>
        </w:rPr>
        <w:footnoteRef/>
      </w:r>
      <w:r>
        <w:t xml:space="preserve"> </w:t>
      </w:r>
      <w:r w:rsidRPr="00524CB4">
        <w:rPr>
          <w:szCs w:val="18"/>
        </w:rPr>
        <w:t>SCE Opening Comments</w:t>
      </w:r>
      <w:r w:rsidR="003D7B3E">
        <w:rPr>
          <w:szCs w:val="18"/>
        </w:rPr>
        <w:t xml:space="preserve"> at pp.</w:t>
      </w:r>
      <w:r w:rsidR="0051059D">
        <w:rPr>
          <w:sz w:val="18"/>
          <w:szCs w:val="18"/>
        </w:rPr>
        <w:t> </w:t>
      </w:r>
      <w:r w:rsidR="003D7B3E">
        <w:rPr>
          <w:szCs w:val="18"/>
        </w:rPr>
        <w:t>3</w:t>
      </w:r>
      <w:r w:rsidR="00E4753D">
        <w:rPr>
          <w:sz w:val="18"/>
          <w:szCs w:val="18"/>
        </w:rPr>
        <w:noBreakHyphen/>
      </w:r>
      <w:r w:rsidRPr="00524CB4">
        <w:rPr>
          <w:szCs w:val="18"/>
        </w:rPr>
        <w:t>5.</w:t>
      </w:r>
    </w:p>
  </w:footnote>
  <w:footnote w:id="64">
    <w:p w14:paraId="26C421CA" w14:textId="769AB7E8" w:rsidR="004C1287" w:rsidRDefault="004C1287" w:rsidP="00524CB4">
      <w:pPr>
        <w:pStyle w:val="FootnoteText"/>
      </w:pPr>
      <w:r>
        <w:rPr>
          <w:rStyle w:val="FootnoteReference"/>
        </w:rPr>
        <w:footnoteRef/>
      </w:r>
      <w:r>
        <w:t xml:space="preserve"> </w:t>
      </w:r>
      <w:r w:rsidRPr="00524CB4">
        <w:rPr>
          <w:szCs w:val="18"/>
        </w:rPr>
        <w:t>Sonic Opening Comments</w:t>
      </w:r>
      <w:r w:rsidR="003D7B3E">
        <w:rPr>
          <w:szCs w:val="18"/>
        </w:rPr>
        <w:t xml:space="preserve"> at p.</w:t>
      </w:r>
      <w:r w:rsidR="0051059D">
        <w:rPr>
          <w:sz w:val="18"/>
          <w:szCs w:val="18"/>
        </w:rPr>
        <w:t> </w:t>
      </w:r>
      <w:r w:rsidR="003D7B3E">
        <w:rPr>
          <w:szCs w:val="18"/>
        </w:rPr>
        <w:t>7</w:t>
      </w:r>
      <w:r w:rsidRPr="00524CB4">
        <w:rPr>
          <w:szCs w:val="18"/>
        </w:rPr>
        <w:t>.</w:t>
      </w:r>
    </w:p>
  </w:footnote>
  <w:footnote w:id="65">
    <w:p w14:paraId="542E4A38" w14:textId="1BC96C61" w:rsidR="00251D8E" w:rsidRDefault="00251D8E">
      <w:pPr>
        <w:pStyle w:val="FootnoteText"/>
      </w:pPr>
      <w:r>
        <w:rPr>
          <w:rStyle w:val="FootnoteReference"/>
        </w:rPr>
        <w:footnoteRef/>
      </w:r>
      <w:r>
        <w:t xml:space="preserve"> </w:t>
      </w:r>
      <w:r w:rsidR="0086728E" w:rsidRPr="0086728E">
        <w:t xml:space="preserve">For ease of reference, an Edit Key has been provided on the front of </w:t>
      </w:r>
      <w:r w:rsidR="00AE3B9A">
        <w:t>Attachment</w:t>
      </w:r>
      <w:r w:rsidR="0051059D">
        <w:t> </w:t>
      </w:r>
      <w:r w:rsidR="0086728E" w:rsidRPr="0086728E">
        <w:t>A to distinguish between the edits proposed to the Right</w:t>
      </w:r>
      <w:r w:rsidR="00532ECE">
        <w:t>s</w:t>
      </w:r>
      <w:r w:rsidR="00E4753D">
        <w:noBreakHyphen/>
      </w:r>
      <w:r w:rsidR="0086728E" w:rsidRPr="0086728E">
        <w:t>of</w:t>
      </w:r>
      <w:r w:rsidR="00E4753D">
        <w:noBreakHyphen/>
      </w:r>
      <w:r w:rsidR="0086728E" w:rsidRPr="0086728E">
        <w:t xml:space="preserve">Way Rules adopted in </w:t>
      </w:r>
      <w:r w:rsidR="00413DEC">
        <w:t>D.</w:t>
      </w:r>
      <w:r w:rsidR="0086728E" w:rsidRPr="0086728E">
        <w:t>22</w:t>
      </w:r>
      <w:r w:rsidR="00E4753D">
        <w:noBreakHyphen/>
      </w:r>
      <w:r w:rsidR="0086728E" w:rsidRPr="0086728E">
        <w:t>10</w:t>
      </w:r>
      <w:r w:rsidR="00E4753D">
        <w:noBreakHyphen/>
      </w:r>
      <w:r w:rsidR="0086728E" w:rsidRPr="0086728E">
        <w:t>025 (additions in blue italics or deletions not highlighted), and additional edits proposed to the Right</w:t>
      </w:r>
      <w:r w:rsidR="00532ECE">
        <w:t>s</w:t>
      </w:r>
      <w:r w:rsidR="00E4753D">
        <w:noBreakHyphen/>
      </w:r>
      <w:r w:rsidR="0086728E" w:rsidRPr="0086728E">
        <w:t>of</w:t>
      </w:r>
      <w:r w:rsidR="00E4753D">
        <w:noBreakHyphen/>
      </w:r>
      <w:r w:rsidR="0086728E" w:rsidRPr="0086728E">
        <w:t xml:space="preserve">Way Rules that were issued for comment by the assigned </w:t>
      </w:r>
      <w:r w:rsidR="00EC3176">
        <w:t>ALJ</w:t>
      </w:r>
      <w:r w:rsidR="00410529">
        <w:t>’</w:t>
      </w:r>
      <w:r w:rsidR="0086728E" w:rsidRPr="0086728E">
        <w:t xml:space="preserve">s Ruling of </w:t>
      </w:r>
      <w:r w:rsidR="00410529">
        <w:t>May</w:t>
      </w:r>
      <w:r w:rsidR="0051059D">
        <w:t> </w:t>
      </w:r>
      <w:r w:rsidR="0086728E" w:rsidRPr="0086728E">
        <w:t>12, 2025 (additions in blue italics or deletions that are highlighted).</w:t>
      </w:r>
      <w:r w:rsidR="008A1AF4">
        <w:t xml:space="preserve"> That same Edit Key will be utilized as we quote </w:t>
      </w:r>
      <w:r w:rsidR="00E17CC6">
        <w:t xml:space="preserve">the relevant sections from </w:t>
      </w:r>
      <w:r w:rsidR="00AE3B9A">
        <w:t>Attachment</w:t>
      </w:r>
      <w:r w:rsidR="0051059D">
        <w:t> </w:t>
      </w:r>
      <w:r w:rsidR="00E17CC6">
        <w:t>A</w:t>
      </w:r>
      <w:r w:rsidR="008F0B0E">
        <w:t xml:space="preserve"> so that the edits can be differentiated</w:t>
      </w:r>
      <w:r w:rsidR="00E17CC6">
        <w:t>.</w:t>
      </w:r>
    </w:p>
  </w:footnote>
  <w:footnote w:id="66">
    <w:p w14:paraId="0E105DE3" w14:textId="7B7376C2" w:rsidR="001125A6" w:rsidRDefault="001125A6" w:rsidP="00524CB4">
      <w:pPr>
        <w:pStyle w:val="FootnoteText"/>
      </w:pPr>
      <w:r>
        <w:rPr>
          <w:rStyle w:val="FootnoteReference"/>
        </w:rPr>
        <w:footnoteRef/>
      </w:r>
      <w:r>
        <w:t xml:space="preserve"> </w:t>
      </w:r>
      <w:r w:rsidRPr="00524CB4">
        <w:rPr>
          <w:szCs w:val="18"/>
        </w:rPr>
        <w:t>AT&amp;T Opening Comments</w:t>
      </w:r>
      <w:r w:rsidR="003D7B3E">
        <w:rPr>
          <w:szCs w:val="18"/>
        </w:rPr>
        <w:t xml:space="preserve"> at p.</w:t>
      </w:r>
      <w:r w:rsidR="0051059D">
        <w:rPr>
          <w:sz w:val="18"/>
          <w:szCs w:val="18"/>
        </w:rPr>
        <w:t> </w:t>
      </w:r>
      <w:r w:rsidR="003D7B3E">
        <w:rPr>
          <w:szCs w:val="18"/>
        </w:rPr>
        <w:t>4</w:t>
      </w:r>
      <w:r w:rsidRPr="00524CB4">
        <w:rPr>
          <w:szCs w:val="18"/>
        </w:rPr>
        <w:t>.</w:t>
      </w:r>
    </w:p>
  </w:footnote>
  <w:footnote w:id="67">
    <w:p w14:paraId="24EE82BE" w14:textId="6E17B293" w:rsidR="001125A6" w:rsidRDefault="001125A6" w:rsidP="00524CB4">
      <w:pPr>
        <w:pStyle w:val="FootnoteText"/>
      </w:pPr>
      <w:r>
        <w:rPr>
          <w:rStyle w:val="FootnoteReference"/>
        </w:rPr>
        <w:footnoteRef/>
      </w:r>
      <w:r>
        <w:t xml:space="preserve"> </w:t>
      </w:r>
      <w:r w:rsidRPr="00524CB4">
        <w:rPr>
          <w:szCs w:val="18"/>
        </w:rPr>
        <w:t>California Broadband and Video Association Opening Comments</w:t>
      </w:r>
      <w:r w:rsidR="003D7B3E">
        <w:rPr>
          <w:szCs w:val="18"/>
        </w:rPr>
        <w:t xml:space="preserve"> at p.</w:t>
      </w:r>
      <w:r w:rsidR="0051059D">
        <w:rPr>
          <w:sz w:val="18"/>
          <w:szCs w:val="18"/>
        </w:rPr>
        <w:t> </w:t>
      </w:r>
      <w:r w:rsidR="003D7B3E">
        <w:rPr>
          <w:szCs w:val="18"/>
        </w:rPr>
        <w:t>1</w:t>
      </w:r>
      <w:r w:rsidRPr="00524CB4">
        <w:rPr>
          <w:szCs w:val="18"/>
        </w:rPr>
        <w:t>2.</w:t>
      </w:r>
    </w:p>
  </w:footnote>
  <w:footnote w:id="68">
    <w:p w14:paraId="6D1A6C1E" w14:textId="62F5A6C8" w:rsidR="001125A6" w:rsidRDefault="001125A6" w:rsidP="00524CB4">
      <w:pPr>
        <w:pStyle w:val="FootnoteText"/>
      </w:pPr>
      <w:r>
        <w:rPr>
          <w:rStyle w:val="FootnoteReference"/>
        </w:rPr>
        <w:footnoteRef/>
      </w:r>
      <w:r>
        <w:t xml:space="preserve"> </w:t>
      </w:r>
      <w:r w:rsidRPr="00524CB4">
        <w:rPr>
          <w:szCs w:val="18"/>
        </w:rPr>
        <w:t>Crown Castle Opening Comments</w:t>
      </w:r>
      <w:r w:rsidR="003D7B3E">
        <w:rPr>
          <w:szCs w:val="18"/>
        </w:rPr>
        <w:t xml:space="preserve"> at p.</w:t>
      </w:r>
      <w:r w:rsidR="0051059D">
        <w:rPr>
          <w:sz w:val="18"/>
          <w:szCs w:val="18"/>
        </w:rPr>
        <w:t> </w:t>
      </w:r>
      <w:r w:rsidR="003D7B3E">
        <w:rPr>
          <w:szCs w:val="18"/>
        </w:rPr>
        <w:t>1</w:t>
      </w:r>
      <w:r w:rsidRPr="00524CB4">
        <w:rPr>
          <w:szCs w:val="18"/>
        </w:rPr>
        <w:t>2.</w:t>
      </w:r>
    </w:p>
  </w:footnote>
  <w:footnote w:id="69">
    <w:p w14:paraId="29B2A479" w14:textId="1CC7C8C3" w:rsidR="001125A6" w:rsidRDefault="001125A6" w:rsidP="00524CB4">
      <w:pPr>
        <w:pStyle w:val="FootnoteText"/>
      </w:pPr>
      <w:r>
        <w:rPr>
          <w:rStyle w:val="FootnoteReference"/>
        </w:rPr>
        <w:footnoteRef/>
      </w:r>
      <w:r>
        <w:t xml:space="preserve"> </w:t>
      </w:r>
      <w:r w:rsidRPr="00524CB4">
        <w:rPr>
          <w:szCs w:val="18"/>
        </w:rPr>
        <w:t>CTIA Opening Comments</w:t>
      </w:r>
      <w:r w:rsidR="003D7B3E">
        <w:rPr>
          <w:szCs w:val="18"/>
        </w:rPr>
        <w:t xml:space="preserve"> at pp.</w:t>
      </w:r>
      <w:r w:rsidR="0051059D">
        <w:rPr>
          <w:sz w:val="18"/>
          <w:szCs w:val="18"/>
        </w:rPr>
        <w:t> </w:t>
      </w:r>
      <w:r w:rsidR="003D7B3E">
        <w:rPr>
          <w:szCs w:val="18"/>
        </w:rPr>
        <w:t>8</w:t>
      </w:r>
      <w:r w:rsidR="00E4753D">
        <w:rPr>
          <w:sz w:val="18"/>
          <w:szCs w:val="18"/>
        </w:rPr>
        <w:noBreakHyphen/>
      </w:r>
      <w:r w:rsidRPr="00524CB4">
        <w:rPr>
          <w:szCs w:val="18"/>
        </w:rPr>
        <w:t>9.</w:t>
      </w:r>
    </w:p>
  </w:footnote>
  <w:footnote w:id="70">
    <w:p w14:paraId="455C8D40" w14:textId="6FE9A243" w:rsidR="001125A6" w:rsidRDefault="001125A6" w:rsidP="00524CB4">
      <w:pPr>
        <w:pStyle w:val="FootnoteText"/>
      </w:pPr>
      <w:r>
        <w:rPr>
          <w:rStyle w:val="FootnoteReference"/>
        </w:rPr>
        <w:footnoteRef/>
      </w:r>
      <w:r>
        <w:t xml:space="preserve"> </w:t>
      </w:r>
      <w:r w:rsidRPr="00524CB4">
        <w:rPr>
          <w:szCs w:val="18"/>
        </w:rPr>
        <w:t>Extenet Opening Comments</w:t>
      </w:r>
      <w:r w:rsidR="003D7B3E">
        <w:rPr>
          <w:szCs w:val="18"/>
        </w:rPr>
        <w:t xml:space="preserve"> at p.</w:t>
      </w:r>
      <w:r w:rsidR="0051059D">
        <w:rPr>
          <w:sz w:val="18"/>
          <w:szCs w:val="18"/>
        </w:rPr>
        <w:t> </w:t>
      </w:r>
      <w:r w:rsidR="003D7B3E">
        <w:rPr>
          <w:szCs w:val="18"/>
        </w:rPr>
        <w:t>4</w:t>
      </w:r>
      <w:r w:rsidRPr="00524CB4">
        <w:rPr>
          <w:szCs w:val="18"/>
        </w:rPr>
        <w:t>.</w:t>
      </w:r>
    </w:p>
  </w:footnote>
  <w:footnote w:id="71">
    <w:p w14:paraId="04B54F49" w14:textId="10F999BE" w:rsidR="009975CB" w:rsidRDefault="009975CB" w:rsidP="009975CB">
      <w:pPr>
        <w:pStyle w:val="FootnoteText"/>
      </w:pPr>
      <w:r>
        <w:rPr>
          <w:rStyle w:val="FootnoteReference"/>
        </w:rPr>
        <w:footnoteRef/>
      </w:r>
      <w:r>
        <w:t xml:space="preserve"> </w:t>
      </w:r>
      <w:r w:rsidR="000E3A82" w:rsidRPr="00524CB4">
        <w:rPr>
          <w:szCs w:val="18"/>
        </w:rPr>
        <w:t>Surfnet</w:t>
      </w:r>
      <w:r w:rsidR="000E3A82">
        <w:rPr>
          <w:szCs w:val="18"/>
        </w:rPr>
        <w:t xml:space="preserve"> </w:t>
      </w:r>
      <w:r>
        <w:t xml:space="preserve">Opening </w:t>
      </w:r>
      <w:r w:rsidRPr="00524CB4">
        <w:rPr>
          <w:szCs w:val="18"/>
        </w:rPr>
        <w:t xml:space="preserve">Comments </w:t>
      </w:r>
      <w:r>
        <w:rPr>
          <w:szCs w:val="18"/>
        </w:rPr>
        <w:t>at p.</w:t>
      </w:r>
      <w:r>
        <w:rPr>
          <w:sz w:val="18"/>
          <w:szCs w:val="18"/>
        </w:rPr>
        <w:t> </w:t>
      </w:r>
      <w:r>
        <w:rPr>
          <w:szCs w:val="18"/>
        </w:rPr>
        <w:t>4</w:t>
      </w:r>
      <w:r w:rsidRPr="00524CB4">
        <w:rPr>
          <w:szCs w:val="18"/>
        </w:rPr>
        <w:t>.</w:t>
      </w:r>
    </w:p>
  </w:footnote>
  <w:footnote w:id="72">
    <w:p w14:paraId="0AA39B2F" w14:textId="164BA2BA" w:rsidR="001125A6" w:rsidRDefault="001125A6" w:rsidP="00524CB4">
      <w:pPr>
        <w:pStyle w:val="FootnoteText"/>
      </w:pPr>
      <w:r>
        <w:rPr>
          <w:rStyle w:val="FootnoteReference"/>
        </w:rPr>
        <w:footnoteRef/>
      </w:r>
      <w:r>
        <w:t xml:space="preserve"> </w:t>
      </w:r>
      <w:r w:rsidRPr="00524CB4">
        <w:rPr>
          <w:szCs w:val="18"/>
        </w:rPr>
        <w:t>PG&amp;E Opening Comments</w:t>
      </w:r>
      <w:r w:rsidR="003D7B3E">
        <w:rPr>
          <w:szCs w:val="18"/>
        </w:rPr>
        <w:t xml:space="preserve"> at p.</w:t>
      </w:r>
      <w:r w:rsidR="0051059D">
        <w:rPr>
          <w:sz w:val="18"/>
          <w:szCs w:val="18"/>
        </w:rPr>
        <w:t> </w:t>
      </w:r>
      <w:r w:rsidR="003D7B3E">
        <w:rPr>
          <w:szCs w:val="18"/>
        </w:rPr>
        <w:t>9</w:t>
      </w:r>
      <w:r w:rsidRPr="00524CB4">
        <w:rPr>
          <w:szCs w:val="18"/>
        </w:rPr>
        <w:t>.</w:t>
      </w:r>
    </w:p>
  </w:footnote>
  <w:footnote w:id="73">
    <w:p w14:paraId="4184FFC3" w14:textId="3688A0CA" w:rsidR="001125A6" w:rsidRDefault="001125A6" w:rsidP="00524CB4">
      <w:pPr>
        <w:pStyle w:val="FootnoteText"/>
      </w:pPr>
      <w:r>
        <w:rPr>
          <w:rStyle w:val="FootnoteReference"/>
        </w:rPr>
        <w:footnoteRef/>
      </w:r>
      <w:r>
        <w:t xml:space="preserve"> </w:t>
      </w:r>
      <w:r w:rsidRPr="00524CB4">
        <w:rPr>
          <w:szCs w:val="18"/>
        </w:rPr>
        <w:t>PG&amp;E Reply Comments</w:t>
      </w:r>
      <w:r w:rsidR="003D7B3E">
        <w:rPr>
          <w:szCs w:val="18"/>
        </w:rPr>
        <w:t xml:space="preserve"> at p.</w:t>
      </w:r>
      <w:r w:rsidR="0051059D">
        <w:rPr>
          <w:sz w:val="18"/>
          <w:szCs w:val="18"/>
        </w:rPr>
        <w:t> </w:t>
      </w:r>
      <w:r w:rsidR="003D7B3E">
        <w:rPr>
          <w:szCs w:val="18"/>
        </w:rPr>
        <w:t>3</w:t>
      </w:r>
      <w:r w:rsidRPr="00524CB4">
        <w:rPr>
          <w:szCs w:val="18"/>
        </w:rPr>
        <w:t>.</w:t>
      </w:r>
    </w:p>
  </w:footnote>
  <w:footnote w:id="74">
    <w:p w14:paraId="2654C3B1" w14:textId="6CF65F73" w:rsidR="001125A6" w:rsidRDefault="001125A6" w:rsidP="00524CB4">
      <w:pPr>
        <w:pStyle w:val="FootnoteText"/>
      </w:pPr>
      <w:r>
        <w:rPr>
          <w:rStyle w:val="FootnoteReference"/>
        </w:rPr>
        <w:footnoteRef/>
      </w:r>
      <w:r>
        <w:t xml:space="preserve"> </w:t>
      </w:r>
      <w:r w:rsidRPr="00524CB4">
        <w:rPr>
          <w:szCs w:val="18"/>
        </w:rPr>
        <w:t>Race Opening Comments</w:t>
      </w:r>
      <w:r w:rsidR="003D7B3E">
        <w:rPr>
          <w:szCs w:val="18"/>
        </w:rPr>
        <w:t xml:space="preserve"> at p.</w:t>
      </w:r>
      <w:r w:rsidR="0051059D">
        <w:rPr>
          <w:sz w:val="18"/>
          <w:szCs w:val="18"/>
        </w:rPr>
        <w:t> </w:t>
      </w:r>
      <w:r w:rsidR="003D7B3E">
        <w:rPr>
          <w:szCs w:val="18"/>
        </w:rPr>
        <w:t>4</w:t>
      </w:r>
      <w:r w:rsidRPr="00524CB4">
        <w:rPr>
          <w:szCs w:val="18"/>
        </w:rPr>
        <w:t>.</w:t>
      </w:r>
    </w:p>
  </w:footnote>
  <w:footnote w:id="75">
    <w:p w14:paraId="1CE42DB4" w14:textId="03808659" w:rsidR="001125A6" w:rsidRDefault="001125A6" w:rsidP="00524CB4">
      <w:pPr>
        <w:pStyle w:val="FootnoteText"/>
      </w:pPr>
      <w:r>
        <w:rPr>
          <w:rStyle w:val="FootnoteReference"/>
        </w:rPr>
        <w:footnoteRef/>
      </w:r>
      <w:r>
        <w:t xml:space="preserve"> </w:t>
      </w:r>
      <w:r w:rsidRPr="00524CB4">
        <w:rPr>
          <w:szCs w:val="18"/>
        </w:rPr>
        <w:t>SCE Opening Comments</w:t>
      </w:r>
      <w:r w:rsidR="003D7B3E">
        <w:rPr>
          <w:szCs w:val="18"/>
        </w:rPr>
        <w:t xml:space="preserve"> at pp.</w:t>
      </w:r>
      <w:r w:rsidR="0051059D">
        <w:rPr>
          <w:sz w:val="18"/>
          <w:szCs w:val="18"/>
        </w:rPr>
        <w:t> </w:t>
      </w:r>
      <w:r w:rsidR="003D7B3E">
        <w:rPr>
          <w:szCs w:val="18"/>
        </w:rPr>
        <w:t>9</w:t>
      </w:r>
      <w:r w:rsidR="00E4753D">
        <w:rPr>
          <w:sz w:val="18"/>
          <w:szCs w:val="18"/>
        </w:rPr>
        <w:noBreakHyphen/>
      </w:r>
      <w:r w:rsidRPr="00524CB4">
        <w:rPr>
          <w:szCs w:val="18"/>
        </w:rPr>
        <w:t>10.</w:t>
      </w:r>
    </w:p>
  </w:footnote>
  <w:footnote w:id="76">
    <w:p w14:paraId="78BA020B" w14:textId="2180F1DF" w:rsidR="001125A6" w:rsidRDefault="001125A6" w:rsidP="00524CB4">
      <w:pPr>
        <w:pStyle w:val="FootnoteText"/>
      </w:pPr>
      <w:r>
        <w:rPr>
          <w:rStyle w:val="FootnoteReference"/>
        </w:rPr>
        <w:footnoteRef/>
      </w:r>
      <w:r>
        <w:t xml:space="preserve"> </w:t>
      </w:r>
      <w:r w:rsidRPr="00524CB4">
        <w:rPr>
          <w:szCs w:val="18"/>
        </w:rPr>
        <w:t>SCE Reply Comments</w:t>
      </w:r>
      <w:r w:rsidR="003D7B3E">
        <w:rPr>
          <w:szCs w:val="18"/>
        </w:rPr>
        <w:t xml:space="preserve"> at p.</w:t>
      </w:r>
      <w:r w:rsidR="0051059D">
        <w:rPr>
          <w:sz w:val="18"/>
          <w:szCs w:val="18"/>
        </w:rPr>
        <w:t> </w:t>
      </w:r>
      <w:r w:rsidR="003D7B3E">
        <w:rPr>
          <w:szCs w:val="18"/>
        </w:rPr>
        <w:t>7</w:t>
      </w:r>
      <w:r w:rsidRPr="00524CB4">
        <w:rPr>
          <w:szCs w:val="18"/>
        </w:rPr>
        <w:t>.</w:t>
      </w:r>
    </w:p>
  </w:footnote>
  <w:footnote w:id="77">
    <w:p w14:paraId="12ED4DEB" w14:textId="702CD695" w:rsidR="001125A6" w:rsidRDefault="001125A6" w:rsidP="00524CB4">
      <w:pPr>
        <w:pStyle w:val="FootnoteText"/>
      </w:pPr>
      <w:r>
        <w:rPr>
          <w:rStyle w:val="FootnoteReference"/>
        </w:rPr>
        <w:footnoteRef/>
      </w:r>
      <w:r>
        <w:t xml:space="preserve"> </w:t>
      </w:r>
      <w:r w:rsidRPr="00524CB4">
        <w:rPr>
          <w:szCs w:val="18"/>
        </w:rPr>
        <w:t>SDG&amp;E Opening Comments</w:t>
      </w:r>
      <w:r w:rsidR="003D7B3E">
        <w:rPr>
          <w:szCs w:val="18"/>
        </w:rPr>
        <w:t xml:space="preserve"> at pp.</w:t>
      </w:r>
      <w:r w:rsidR="0051059D">
        <w:rPr>
          <w:sz w:val="18"/>
          <w:szCs w:val="18"/>
        </w:rPr>
        <w:t> </w:t>
      </w:r>
      <w:r w:rsidR="003D7B3E">
        <w:rPr>
          <w:szCs w:val="18"/>
        </w:rPr>
        <w:t>4</w:t>
      </w:r>
      <w:r w:rsidR="00E4753D">
        <w:rPr>
          <w:sz w:val="18"/>
          <w:szCs w:val="18"/>
        </w:rPr>
        <w:noBreakHyphen/>
      </w:r>
      <w:r w:rsidRPr="00524CB4">
        <w:rPr>
          <w:szCs w:val="18"/>
        </w:rPr>
        <w:t>6.</w:t>
      </w:r>
    </w:p>
  </w:footnote>
  <w:footnote w:id="78">
    <w:p w14:paraId="34D2F5D5" w14:textId="4317DEAF" w:rsidR="001125A6" w:rsidRDefault="001125A6" w:rsidP="00524CB4">
      <w:pPr>
        <w:pStyle w:val="FootnoteText"/>
      </w:pPr>
      <w:r>
        <w:rPr>
          <w:rStyle w:val="FootnoteReference"/>
        </w:rPr>
        <w:footnoteRef/>
      </w:r>
      <w:r>
        <w:t xml:space="preserve"> Reply </w:t>
      </w:r>
      <w:r w:rsidRPr="00524CB4">
        <w:rPr>
          <w:szCs w:val="18"/>
        </w:rPr>
        <w:t xml:space="preserve">Comments of </w:t>
      </w:r>
      <w:r w:rsidR="00040B21">
        <w:rPr>
          <w:szCs w:val="18"/>
        </w:rPr>
        <w:t>SDG&amp;E</w:t>
      </w:r>
      <w:r w:rsidRPr="00524CB4">
        <w:rPr>
          <w:szCs w:val="18"/>
        </w:rPr>
        <w:t xml:space="preserve"> and </w:t>
      </w:r>
      <w:r w:rsidR="00040B21">
        <w:rPr>
          <w:szCs w:val="18"/>
        </w:rPr>
        <w:t>SoCalGas</w:t>
      </w:r>
      <w:r w:rsidRPr="00524CB4">
        <w:rPr>
          <w:szCs w:val="18"/>
        </w:rPr>
        <w:t>,</w:t>
      </w:r>
      <w:r w:rsidRPr="00524CB4">
        <w:rPr>
          <w:i/>
          <w:iCs/>
          <w:szCs w:val="18"/>
        </w:rPr>
        <w:t xml:space="preserve"> Order Instituting Investigation into the Creation of a Shared Database or Statewide Census of Utility Poles and Conduit in California, </w:t>
      </w:r>
      <w:r w:rsidR="0078115B">
        <w:rPr>
          <w:i/>
          <w:iCs/>
          <w:szCs w:val="18"/>
        </w:rPr>
        <w:t>Investigation</w:t>
      </w:r>
      <w:r w:rsidR="0051059D">
        <w:rPr>
          <w:i/>
          <w:iCs/>
          <w:sz w:val="18"/>
          <w:szCs w:val="18"/>
        </w:rPr>
        <w:t> </w:t>
      </w:r>
      <w:r w:rsidRPr="00524CB4">
        <w:rPr>
          <w:i/>
          <w:iCs/>
          <w:szCs w:val="18"/>
        </w:rPr>
        <w:t>17</w:t>
      </w:r>
      <w:r w:rsidR="00E4753D">
        <w:rPr>
          <w:i/>
          <w:iCs/>
          <w:sz w:val="18"/>
          <w:szCs w:val="18"/>
        </w:rPr>
        <w:noBreakHyphen/>
      </w:r>
      <w:r w:rsidRPr="00524CB4">
        <w:rPr>
          <w:i/>
          <w:iCs/>
          <w:szCs w:val="18"/>
        </w:rPr>
        <w:t>06</w:t>
      </w:r>
      <w:r w:rsidR="00E4753D">
        <w:rPr>
          <w:i/>
          <w:iCs/>
          <w:sz w:val="18"/>
          <w:szCs w:val="18"/>
        </w:rPr>
        <w:noBreakHyphen/>
      </w:r>
      <w:r w:rsidRPr="00524CB4">
        <w:rPr>
          <w:i/>
          <w:iCs/>
          <w:szCs w:val="18"/>
        </w:rPr>
        <w:t>027</w:t>
      </w:r>
      <w:r w:rsidRPr="00524CB4">
        <w:rPr>
          <w:szCs w:val="18"/>
        </w:rPr>
        <w:t xml:space="preserve">, </w:t>
      </w:r>
      <w:r w:rsidR="0023089B">
        <w:rPr>
          <w:szCs w:val="18"/>
        </w:rPr>
        <w:t>June</w:t>
      </w:r>
      <w:r w:rsidR="0051059D">
        <w:rPr>
          <w:sz w:val="18"/>
          <w:szCs w:val="18"/>
        </w:rPr>
        <w:t> </w:t>
      </w:r>
      <w:r w:rsidRPr="00524CB4">
        <w:rPr>
          <w:szCs w:val="18"/>
        </w:rPr>
        <w:t xml:space="preserve">23, 2025 </w:t>
      </w:r>
      <w:r w:rsidR="00A91AC3">
        <w:rPr>
          <w:szCs w:val="18"/>
        </w:rPr>
        <w:t>(“</w:t>
      </w:r>
      <w:r w:rsidRPr="00524CB4">
        <w:rPr>
          <w:szCs w:val="18"/>
        </w:rPr>
        <w:t>SDG&amp;E Reply Comments</w:t>
      </w:r>
      <w:r w:rsidR="00A91AC3">
        <w:rPr>
          <w:szCs w:val="18"/>
        </w:rPr>
        <w:t>”)</w:t>
      </w:r>
      <w:r w:rsidR="003D7B3E">
        <w:rPr>
          <w:szCs w:val="18"/>
        </w:rPr>
        <w:t xml:space="preserve"> at pp.</w:t>
      </w:r>
      <w:r w:rsidR="0051059D">
        <w:rPr>
          <w:sz w:val="18"/>
          <w:szCs w:val="18"/>
        </w:rPr>
        <w:t> </w:t>
      </w:r>
      <w:r w:rsidR="003D7B3E">
        <w:rPr>
          <w:szCs w:val="18"/>
        </w:rPr>
        <w:t>1</w:t>
      </w:r>
      <w:r w:rsidR="00E4753D">
        <w:rPr>
          <w:sz w:val="18"/>
          <w:szCs w:val="18"/>
        </w:rPr>
        <w:noBreakHyphen/>
      </w:r>
      <w:r w:rsidRPr="00524CB4">
        <w:rPr>
          <w:szCs w:val="18"/>
        </w:rPr>
        <w:t>2.</w:t>
      </w:r>
    </w:p>
  </w:footnote>
  <w:footnote w:id="79">
    <w:p w14:paraId="1C2DAE78" w14:textId="7296F969" w:rsidR="001125A6" w:rsidRDefault="001125A6" w:rsidP="00524CB4">
      <w:pPr>
        <w:pStyle w:val="FootnoteText"/>
      </w:pPr>
      <w:r>
        <w:rPr>
          <w:rStyle w:val="FootnoteReference"/>
        </w:rPr>
        <w:footnoteRef/>
      </w:r>
      <w:r>
        <w:t xml:space="preserve"> </w:t>
      </w:r>
      <w:r w:rsidRPr="00524CB4">
        <w:rPr>
          <w:szCs w:val="18"/>
        </w:rPr>
        <w:t>Sonic Opening Comments</w:t>
      </w:r>
      <w:r w:rsidR="003D7B3E">
        <w:rPr>
          <w:szCs w:val="18"/>
        </w:rPr>
        <w:t xml:space="preserve"> at p.</w:t>
      </w:r>
      <w:r w:rsidR="0051059D">
        <w:rPr>
          <w:sz w:val="18"/>
          <w:szCs w:val="18"/>
        </w:rPr>
        <w:t> </w:t>
      </w:r>
      <w:r w:rsidR="003D7B3E">
        <w:rPr>
          <w:szCs w:val="18"/>
        </w:rPr>
        <w:t>8</w:t>
      </w:r>
      <w:r w:rsidRPr="00524CB4">
        <w:rPr>
          <w:szCs w:val="18"/>
        </w:rPr>
        <w:t>.</w:t>
      </w:r>
    </w:p>
  </w:footnote>
  <w:footnote w:id="80">
    <w:p w14:paraId="45FC5BF2" w14:textId="31D57F6D" w:rsidR="00882054" w:rsidRDefault="00882054" w:rsidP="00524CB4">
      <w:pPr>
        <w:pStyle w:val="FootnoteText"/>
      </w:pPr>
      <w:r>
        <w:rPr>
          <w:rStyle w:val="FootnoteReference"/>
        </w:rPr>
        <w:footnoteRef/>
      </w:r>
      <w:r>
        <w:t xml:space="preserve"> </w:t>
      </w:r>
      <w:r w:rsidRPr="00524CB4">
        <w:rPr>
          <w:szCs w:val="18"/>
        </w:rPr>
        <w:t>AT&amp;T Opening Comments</w:t>
      </w:r>
      <w:r w:rsidR="003D7B3E">
        <w:rPr>
          <w:szCs w:val="18"/>
        </w:rPr>
        <w:t xml:space="preserve"> at pp.</w:t>
      </w:r>
      <w:r w:rsidR="0051059D">
        <w:rPr>
          <w:sz w:val="18"/>
          <w:szCs w:val="18"/>
        </w:rPr>
        <w:t> </w:t>
      </w:r>
      <w:r w:rsidR="003D7B3E">
        <w:rPr>
          <w:szCs w:val="18"/>
        </w:rPr>
        <w:t>5</w:t>
      </w:r>
      <w:r w:rsidR="00E4753D">
        <w:rPr>
          <w:sz w:val="18"/>
          <w:szCs w:val="18"/>
        </w:rPr>
        <w:noBreakHyphen/>
      </w:r>
      <w:r w:rsidRPr="00524CB4">
        <w:rPr>
          <w:szCs w:val="18"/>
        </w:rPr>
        <w:t>6.</w:t>
      </w:r>
    </w:p>
  </w:footnote>
  <w:footnote w:id="81">
    <w:p w14:paraId="7D603E5C" w14:textId="0189A3CE" w:rsidR="00882054" w:rsidRDefault="00882054" w:rsidP="00524CB4">
      <w:pPr>
        <w:pStyle w:val="FootnoteText"/>
      </w:pPr>
      <w:r>
        <w:rPr>
          <w:rStyle w:val="FootnoteReference"/>
        </w:rPr>
        <w:footnoteRef/>
      </w:r>
      <w:r>
        <w:t xml:space="preserve"> </w:t>
      </w:r>
      <w:r w:rsidRPr="00524CB4">
        <w:rPr>
          <w:szCs w:val="18"/>
        </w:rPr>
        <w:t>California Broadband and Video Association Opening Comments</w:t>
      </w:r>
      <w:r w:rsidR="003D7B3E">
        <w:rPr>
          <w:szCs w:val="18"/>
        </w:rPr>
        <w:t xml:space="preserve"> at p.</w:t>
      </w:r>
      <w:r w:rsidR="0051059D">
        <w:rPr>
          <w:sz w:val="18"/>
          <w:szCs w:val="18"/>
        </w:rPr>
        <w:t> </w:t>
      </w:r>
      <w:r w:rsidR="003D7B3E">
        <w:rPr>
          <w:szCs w:val="18"/>
        </w:rPr>
        <w:t>1</w:t>
      </w:r>
      <w:r w:rsidRPr="00524CB4">
        <w:rPr>
          <w:szCs w:val="18"/>
        </w:rPr>
        <w:t>3.</w:t>
      </w:r>
    </w:p>
  </w:footnote>
  <w:footnote w:id="82">
    <w:p w14:paraId="70453B64" w14:textId="0903371A" w:rsidR="00882054" w:rsidRDefault="00882054" w:rsidP="00524CB4">
      <w:pPr>
        <w:pStyle w:val="FootnoteText"/>
      </w:pPr>
      <w:r>
        <w:rPr>
          <w:rStyle w:val="FootnoteReference"/>
        </w:rPr>
        <w:footnoteRef/>
      </w:r>
      <w:r>
        <w:t xml:space="preserve"> </w:t>
      </w:r>
      <w:r w:rsidRPr="00524CB4">
        <w:rPr>
          <w:szCs w:val="18"/>
        </w:rPr>
        <w:t>CTIA Opening Comments</w:t>
      </w:r>
      <w:r w:rsidR="003D7B3E">
        <w:rPr>
          <w:szCs w:val="18"/>
        </w:rPr>
        <w:t xml:space="preserve"> at p. 9</w:t>
      </w:r>
      <w:r w:rsidRPr="00524CB4">
        <w:rPr>
          <w:szCs w:val="18"/>
        </w:rPr>
        <w:t>.</w:t>
      </w:r>
    </w:p>
  </w:footnote>
  <w:footnote w:id="83">
    <w:p w14:paraId="2B0461CB" w14:textId="71D6803A" w:rsidR="00882054" w:rsidRDefault="00882054" w:rsidP="00524CB4">
      <w:pPr>
        <w:pStyle w:val="FootnoteText"/>
      </w:pPr>
      <w:r>
        <w:rPr>
          <w:rStyle w:val="FootnoteReference"/>
        </w:rPr>
        <w:footnoteRef/>
      </w:r>
      <w:r>
        <w:t xml:space="preserve"> Reply </w:t>
      </w:r>
      <w:r w:rsidRPr="00524CB4">
        <w:rPr>
          <w:szCs w:val="18"/>
        </w:rPr>
        <w:t>Comments of CTIA,</w:t>
      </w:r>
      <w:r w:rsidRPr="00524CB4">
        <w:rPr>
          <w:i/>
          <w:iCs/>
          <w:szCs w:val="18"/>
        </w:rPr>
        <w:t xml:space="preserve"> Order Instituting Investigation into the Creation of a Shared Database or Statewide Census of Utility Poles and Conduit in California, </w:t>
      </w:r>
      <w:r w:rsidR="0078115B">
        <w:rPr>
          <w:i/>
          <w:iCs/>
          <w:szCs w:val="18"/>
        </w:rPr>
        <w:t>Investigation</w:t>
      </w:r>
      <w:r w:rsidR="0051059D">
        <w:rPr>
          <w:i/>
          <w:iCs/>
          <w:sz w:val="18"/>
          <w:szCs w:val="18"/>
        </w:rPr>
        <w:t> </w:t>
      </w:r>
      <w:r w:rsidRPr="00524CB4">
        <w:rPr>
          <w:i/>
          <w:iCs/>
          <w:szCs w:val="18"/>
        </w:rPr>
        <w:t>17</w:t>
      </w:r>
      <w:r w:rsidR="00E4753D">
        <w:rPr>
          <w:i/>
          <w:iCs/>
          <w:sz w:val="18"/>
          <w:szCs w:val="18"/>
        </w:rPr>
        <w:noBreakHyphen/>
      </w:r>
      <w:r w:rsidRPr="00524CB4">
        <w:rPr>
          <w:i/>
          <w:iCs/>
          <w:szCs w:val="18"/>
        </w:rPr>
        <w:t>06</w:t>
      </w:r>
      <w:r w:rsidR="00E4753D">
        <w:rPr>
          <w:i/>
          <w:iCs/>
          <w:sz w:val="18"/>
          <w:szCs w:val="18"/>
        </w:rPr>
        <w:noBreakHyphen/>
      </w:r>
      <w:r w:rsidRPr="00524CB4">
        <w:rPr>
          <w:i/>
          <w:iCs/>
          <w:szCs w:val="18"/>
        </w:rPr>
        <w:t>027</w:t>
      </w:r>
      <w:r w:rsidRPr="00524CB4">
        <w:rPr>
          <w:szCs w:val="18"/>
        </w:rPr>
        <w:t xml:space="preserve">, </w:t>
      </w:r>
      <w:r w:rsidR="0023089B">
        <w:rPr>
          <w:szCs w:val="18"/>
        </w:rPr>
        <w:t>June</w:t>
      </w:r>
      <w:r w:rsidR="0051059D">
        <w:rPr>
          <w:sz w:val="18"/>
          <w:szCs w:val="18"/>
        </w:rPr>
        <w:t> </w:t>
      </w:r>
      <w:r w:rsidRPr="00524CB4">
        <w:rPr>
          <w:szCs w:val="18"/>
        </w:rPr>
        <w:t xml:space="preserve">9, 2025 </w:t>
      </w:r>
      <w:r w:rsidR="00A91AC3">
        <w:rPr>
          <w:szCs w:val="18"/>
        </w:rPr>
        <w:t>(“</w:t>
      </w:r>
      <w:r w:rsidRPr="00524CB4">
        <w:rPr>
          <w:szCs w:val="18"/>
        </w:rPr>
        <w:t>CTIA Reply Comments</w:t>
      </w:r>
      <w:r w:rsidR="00A91AC3">
        <w:rPr>
          <w:szCs w:val="18"/>
        </w:rPr>
        <w:t>”)</w:t>
      </w:r>
      <w:r w:rsidR="003D7B3E">
        <w:rPr>
          <w:szCs w:val="18"/>
        </w:rPr>
        <w:t xml:space="preserve"> at p. 9</w:t>
      </w:r>
      <w:r w:rsidRPr="00524CB4">
        <w:rPr>
          <w:szCs w:val="18"/>
        </w:rPr>
        <w:t>.</w:t>
      </w:r>
    </w:p>
  </w:footnote>
  <w:footnote w:id="84">
    <w:p w14:paraId="622862F7" w14:textId="1D6E15D0" w:rsidR="00882054" w:rsidRDefault="00882054" w:rsidP="00524CB4">
      <w:pPr>
        <w:pStyle w:val="FootnoteText"/>
      </w:pPr>
      <w:r>
        <w:rPr>
          <w:rStyle w:val="FootnoteReference"/>
        </w:rPr>
        <w:footnoteRef/>
      </w:r>
      <w:r>
        <w:t xml:space="preserve"> </w:t>
      </w:r>
      <w:r w:rsidRPr="00524CB4">
        <w:rPr>
          <w:szCs w:val="18"/>
        </w:rPr>
        <w:t>Extenet Opening Comments</w:t>
      </w:r>
      <w:r w:rsidR="003D7B3E">
        <w:rPr>
          <w:szCs w:val="18"/>
        </w:rPr>
        <w:t xml:space="preserve"> at p.</w:t>
      </w:r>
      <w:r w:rsidR="0051059D">
        <w:rPr>
          <w:sz w:val="18"/>
          <w:szCs w:val="18"/>
        </w:rPr>
        <w:t> </w:t>
      </w:r>
      <w:r w:rsidR="003D7B3E">
        <w:rPr>
          <w:szCs w:val="18"/>
        </w:rPr>
        <w:t>5</w:t>
      </w:r>
      <w:r w:rsidRPr="00524CB4">
        <w:rPr>
          <w:szCs w:val="18"/>
        </w:rPr>
        <w:t>.</w:t>
      </w:r>
    </w:p>
  </w:footnote>
  <w:footnote w:id="85">
    <w:p w14:paraId="42697CBD" w14:textId="66ECEA66" w:rsidR="00882054" w:rsidRDefault="00882054" w:rsidP="00524CB4">
      <w:pPr>
        <w:pStyle w:val="FootnoteText"/>
      </w:pPr>
      <w:r>
        <w:rPr>
          <w:rStyle w:val="FootnoteReference"/>
        </w:rPr>
        <w:footnoteRef/>
      </w:r>
      <w:r>
        <w:t xml:space="preserve"> </w:t>
      </w:r>
      <w:r w:rsidRPr="00524CB4">
        <w:rPr>
          <w:szCs w:val="18"/>
        </w:rPr>
        <w:t>PG&amp;E Opening Comments</w:t>
      </w:r>
      <w:r w:rsidR="003D7B3E">
        <w:rPr>
          <w:szCs w:val="18"/>
        </w:rPr>
        <w:t xml:space="preserve"> at pp.</w:t>
      </w:r>
      <w:r w:rsidR="0051059D">
        <w:rPr>
          <w:sz w:val="18"/>
          <w:szCs w:val="18"/>
        </w:rPr>
        <w:t> </w:t>
      </w:r>
      <w:r w:rsidR="003D7B3E">
        <w:rPr>
          <w:szCs w:val="18"/>
        </w:rPr>
        <w:t>9</w:t>
      </w:r>
      <w:r w:rsidR="00E4753D">
        <w:rPr>
          <w:sz w:val="18"/>
          <w:szCs w:val="18"/>
        </w:rPr>
        <w:noBreakHyphen/>
      </w:r>
      <w:r w:rsidRPr="00524CB4">
        <w:rPr>
          <w:szCs w:val="18"/>
        </w:rPr>
        <w:t>11.</w:t>
      </w:r>
    </w:p>
  </w:footnote>
  <w:footnote w:id="86">
    <w:p w14:paraId="63E344C9" w14:textId="5D805B34" w:rsidR="00882054" w:rsidRDefault="00882054" w:rsidP="00524CB4">
      <w:pPr>
        <w:pStyle w:val="FootnoteText"/>
      </w:pPr>
      <w:r>
        <w:rPr>
          <w:rStyle w:val="FootnoteReference"/>
        </w:rPr>
        <w:footnoteRef/>
      </w:r>
      <w:r>
        <w:t xml:space="preserve"> </w:t>
      </w:r>
      <w:r w:rsidRPr="00524CB4">
        <w:rPr>
          <w:szCs w:val="18"/>
        </w:rPr>
        <w:t>PG&amp;E Reply Comments</w:t>
      </w:r>
      <w:r w:rsidR="003D7B3E">
        <w:rPr>
          <w:szCs w:val="18"/>
        </w:rPr>
        <w:t xml:space="preserve"> at p.</w:t>
      </w:r>
      <w:r w:rsidR="0051059D">
        <w:rPr>
          <w:sz w:val="18"/>
          <w:szCs w:val="18"/>
        </w:rPr>
        <w:t> </w:t>
      </w:r>
      <w:r w:rsidR="003D7B3E">
        <w:rPr>
          <w:szCs w:val="18"/>
        </w:rPr>
        <w:t>5</w:t>
      </w:r>
      <w:r w:rsidRPr="00524CB4">
        <w:rPr>
          <w:szCs w:val="18"/>
        </w:rPr>
        <w:t>.</w:t>
      </w:r>
    </w:p>
  </w:footnote>
  <w:footnote w:id="87">
    <w:p w14:paraId="20D2C2F7" w14:textId="17BCB328" w:rsidR="00882054" w:rsidRDefault="00882054" w:rsidP="00524CB4">
      <w:pPr>
        <w:pStyle w:val="FootnoteText"/>
      </w:pPr>
      <w:r>
        <w:rPr>
          <w:rStyle w:val="FootnoteReference"/>
        </w:rPr>
        <w:footnoteRef/>
      </w:r>
      <w:r>
        <w:t xml:space="preserve"> </w:t>
      </w:r>
      <w:r w:rsidRPr="00524CB4">
        <w:rPr>
          <w:szCs w:val="18"/>
        </w:rPr>
        <w:t>Race Opening Comments</w:t>
      </w:r>
      <w:r w:rsidR="003D7B3E">
        <w:rPr>
          <w:szCs w:val="18"/>
        </w:rPr>
        <w:t xml:space="preserve"> at p.</w:t>
      </w:r>
      <w:r w:rsidR="0051059D">
        <w:rPr>
          <w:sz w:val="18"/>
          <w:szCs w:val="18"/>
        </w:rPr>
        <w:t> </w:t>
      </w:r>
      <w:r w:rsidR="003D7B3E">
        <w:rPr>
          <w:szCs w:val="18"/>
        </w:rPr>
        <w:t>5</w:t>
      </w:r>
      <w:r w:rsidRPr="00524CB4">
        <w:rPr>
          <w:szCs w:val="18"/>
        </w:rPr>
        <w:t>.</w:t>
      </w:r>
    </w:p>
  </w:footnote>
  <w:footnote w:id="88">
    <w:p w14:paraId="508E3F71" w14:textId="36F81A62" w:rsidR="00882054" w:rsidRDefault="00882054" w:rsidP="00524CB4">
      <w:pPr>
        <w:pStyle w:val="FootnoteText"/>
      </w:pPr>
      <w:r>
        <w:rPr>
          <w:rStyle w:val="FootnoteReference"/>
        </w:rPr>
        <w:footnoteRef/>
      </w:r>
      <w:r>
        <w:t xml:space="preserve"> </w:t>
      </w:r>
      <w:r w:rsidRPr="00524CB4">
        <w:rPr>
          <w:szCs w:val="18"/>
        </w:rPr>
        <w:t>SCE Opening Comments</w:t>
      </w:r>
      <w:r w:rsidR="003D7B3E">
        <w:rPr>
          <w:szCs w:val="18"/>
        </w:rPr>
        <w:t xml:space="preserve"> at p.</w:t>
      </w:r>
      <w:r w:rsidR="0051059D">
        <w:rPr>
          <w:sz w:val="18"/>
          <w:szCs w:val="18"/>
        </w:rPr>
        <w:t> </w:t>
      </w:r>
      <w:r w:rsidR="003D7B3E">
        <w:rPr>
          <w:szCs w:val="18"/>
        </w:rPr>
        <w:t>1</w:t>
      </w:r>
      <w:r w:rsidRPr="00524CB4">
        <w:rPr>
          <w:szCs w:val="18"/>
        </w:rPr>
        <w:t>1.</w:t>
      </w:r>
    </w:p>
  </w:footnote>
  <w:footnote w:id="89">
    <w:p w14:paraId="7C24B75A" w14:textId="433C7DB1" w:rsidR="00882054" w:rsidRDefault="00882054" w:rsidP="00524CB4">
      <w:pPr>
        <w:pStyle w:val="FootnoteText"/>
      </w:pPr>
      <w:r>
        <w:rPr>
          <w:rStyle w:val="FootnoteReference"/>
        </w:rPr>
        <w:footnoteRef/>
      </w:r>
      <w:r>
        <w:t xml:space="preserve"> </w:t>
      </w:r>
      <w:r w:rsidRPr="00524CB4">
        <w:rPr>
          <w:szCs w:val="18"/>
        </w:rPr>
        <w:t>SCE Reply Comments</w:t>
      </w:r>
      <w:r w:rsidR="003D7B3E">
        <w:rPr>
          <w:szCs w:val="18"/>
        </w:rPr>
        <w:t xml:space="preserve"> at p.</w:t>
      </w:r>
      <w:r w:rsidR="0051059D">
        <w:rPr>
          <w:sz w:val="18"/>
          <w:szCs w:val="18"/>
        </w:rPr>
        <w:t> </w:t>
      </w:r>
      <w:r w:rsidR="003D7B3E">
        <w:rPr>
          <w:szCs w:val="18"/>
        </w:rPr>
        <w:t>8</w:t>
      </w:r>
      <w:r w:rsidRPr="00524CB4">
        <w:rPr>
          <w:szCs w:val="18"/>
        </w:rPr>
        <w:t>.</w:t>
      </w:r>
    </w:p>
  </w:footnote>
  <w:footnote w:id="90">
    <w:p w14:paraId="279AE7B7" w14:textId="75E4D58D" w:rsidR="00882054" w:rsidRDefault="00882054" w:rsidP="00524CB4">
      <w:pPr>
        <w:pStyle w:val="FootnoteText"/>
      </w:pPr>
      <w:r>
        <w:rPr>
          <w:rStyle w:val="FootnoteReference"/>
        </w:rPr>
        <w:footnoteRef/>
      </w:r>
      <w:r>
        <w:t xml:space="preserve"> </w:t>
      </w:r>
      <w:r w:rsidRPr="00524CB4">
        <w:rPr>
          <w:szCs w:val="18"/>
        </w:rPr>
        <w:t>SDG&amp;E Opening Comments</w:t>
      </w:r>
      <w:r w:rsidR="003D7B3E">
        <w:rPr>
          <w:szCs w:val="18"/>
        </w:rPr>
        <w:t xml:space="preserve"> at pp.</w:t>
      </w:r>
      <w:r w:rsidR="0051059D">
        <w:rPr>
          <w:sz w:val="18"/>
          <w:szCs w:val="18"/>
        </w:rPr>
        <w:t> </w:t>
      </w:r>
      <w:r w:rsidR="003D7B3E">
        <w:rPr>
          <w:szCs w:val="18"/>
        </w:rPr>
        <w:t>6</w:t>
      </w:r>
      <w:r w:rsidR="00E4753D">
        <w:rPr>
          <w:sz w:val="18"/>
          <w:szCs w:val="18"/>
        </w:rPr>
        <w:noBreakHyphen/>
      </w:r>
      <w:r w:rsidRPr="00524CB4">
        <w:rPr>
          <w:szCs w:val="18"/>
        </w:rPr>
        <w:t>7.</w:t>
      </w:r>
    </w:p>
  </w:footnote>
  <w:footnote w:id="91">
    <w:p w14:paraId="7CB8203C" w14:textId="72D7129E" w:rsidR="00882054" w:rsidRDefault="00882054" w:rsidP="00524CB4">
      <w:pPr>
        <w:pStyle w:val="FootnoteText"/>
      </w:pPr>
      <w:r>
        <w:rPr>
          <w:rStyle w:val="FootnoteReference"/>
        </w:rPr>
        <w:footnoteRef/>
      </w:r>
      <w:r>
        <w:t xml:space="preserve"> </w:t>
      </w:r>
      <w:r w:rsidRPr="00524CB4">
        <w:rPr>
          <w:szCs w:val="18"/>
        </w:rPr>
        <w:t>Sonic Opening Comments</w:t>
      </w:r>
      <w:r w:rsidR="003D7B3E">
        <w:rPr>
          <w:szCs w:val="18"/>
        </w:rPr>
        <w:t xml:space="preserve"> at pp.</w:t>
      </w:r>
      <w:r w:rsidR="0051059D">
        <w:rPr>
          <w:sz w:val="18"/>
          <w:szCs w:val="18"/>
        </w:rPr>
        <w:t> </w:t>
      </w:r>
      <w:r w:rsidR="003D7B3E">
        <w:rPr>
          <w:szCs w:val="18"/>
        </w:rPr>
        <w:t>8</w:t>
      </w:r>
      <w:r w:rsidR="00E4753D">
        <w:rPr>
          <w:sz w:val="18"/>
          <w:szCs w:val="18"/>
        </w:rPr>
        <w:noBreakHyphen/>
      </w:r>
      <w:r w:rsidRPr="00524CB4">
        <w:rPr>
          <w:szCs w:val="18"/>
        </w:rPr>
        <w:t>9.</w:t>
      </w:r>
    </w:p>
  </w:footnote>
  <w:footnote w:id="92">
    <w:p w14:paraId="3EB985F3" w14:textId="5C1ED439" w:rsidR="00882054" w:rsidRDefault="00882054" w:rsidP="00524CB4">
      <w:pPr>
        <w:pStyle w:val="FootnoteText"/>
      </w:pPr>
      <w:r>
        <w:rPr>
          <w:rStyle w:val="FootnoteReference"/>
        </w:rPr>
        <w:footnoteRef/>
      </w:r>
      <w:r>
        <w:t xml:space="preserve"> Opening </w:t>
      </w:r>
      <w:r w:rsidRPr="00524CB4">
        <w:rPr>
          <w:szCs w:val="18"/>
        </w:rPr>
        <w:t>Comments of Surfnet</w:t>
      </w:r>
      <w:r w:rsidR="003D7B3E">
        <w:rPr>
          <w:szCs w:val="18"/>
        </w:rPr>
        <w:t xml:space="preserve"> at p.</w:t>
      </w:r>
      <w:r w:rsidR="0051059D">
        <w:rPr>
          <w:sz w:val="18"/>
          <w:szCs w:val="18"/>
        </w:rPr>
        <w:t> </w:t>
      </w:r>
      <w:r w:rsidR="003D7B3E">
        <w:rPr>
          <w:szCs w:val="18"/>
        </w:rPr>
        <w:t>4</w:t>
      </w:r>
      <w:r w:rsidRPr="00524CB4">
        <w:rPr>
          <w:szCs w:val="18"/>
        </w:rPr>
        <w:t>.</w:t>
      </w:r>
    </w:p>
  </w:footnote>
  <w:footnote w:id="93">
    <w:p w14:paraId="6E548155" w14:textId="21604FFB" w:rsidR="00882054" w:rsidRDefault="00882054" w:rsidP="00524CB4">
      <w:pPr>
        <w:pStyle w:val="FootnoteText"/>
      </w:pPr>
      <w:r>
        <w:rPr>
          <w:rStyle w:val="FootnoteReference"/>
        </w:rPr>
        <w:footnoteRef/>
      </w:r>
      <w:r>
        <w:t xml:space="preserve"> </w:t>
      </w:r>
      <w:r w:rsidRPr="00524CB4">
        <w:rPr>
          <w:szCs w:val="18"/>
        </w:rPr>
        <w:t>Verizon Opening Comments</w:t>
      </w:r>
      <w:r w:rsidR="003D7B3E">
        <w:rPr>
          <w:szCs w:val="18"/>
        </w:rPr>
        <w:t xml:space="preserve"> at p. 4</w:t>
      </w:r>
      <w:r w:rsidRPr="00524CB4">
        <w:rPr>
          <w:szCs w:val="18"/>
        </w:rPr>
        <w:t>.</w:t>
      </w:r>
    </w:p>
  </w:footnote>
  <w:footnote w:id="94">
    <w:p w14:paraId="249F558D" w14:textId="483818B1" w:rsidR="00F57838" w:rsidRDefault="00F57838" w:rsidP="00524CB4">
      <w:pPr>
        <w:pStyle w:val="FootnoteText"/>
      </w:pPr>
      <w:r>
        <w:rPr>
          <w:rStyle w:val="FootnoteReference"/>
        </w:rPr>
        <w:footnoteRef/>
      </w:r>
      <w:r>
        <w:t xml:space="preserve"> </w:t>
      </w:r>
      <w:r w:rsidRPr="00524CB4">
        <w:rPr>
          <w:szCs w:val="18"/>
        </w:rPr>
        <w:t>AT&amp;T Opening Comments</w:t>
      </w:r>
      <w:r w:rsidR="003D7B3E">
        <w:rPr>
          <w:szCs w:val="18"/>
        </w:rPr>
        <w:t xml:space="preserve"> at pp.</w:t>
      </w:r>
      <w:r w:rsidR="0051059D">
        <w:rPr>
          <w:sz w:val="18"/>
          <w:szCs w:val="18"/>
        </w:rPr>
        <w:t> </w:t>
      </w:r>
      <w:r w:rsidR="003D7B3E">
        <w:rPr>
          <w:szCs w:val="18"/>
        </w:rPr>
        <w:t>6</w:t>
      </w:r>
      <w:r w:rsidR="00E4753D">
        <w:rPr>
          <w:sz w:val="18"/>
          <w:szCs w:val="18"/>
        </w:rPr>
        <w:noBreakHyphen/>
      </w:r>
      <w:r w:rsidRPr="00524CB4">
        <w:rPr>
          <w:szCs w:val="18"/>
        </w:rPr>
        <w:t>7.</w:t>
      </w:r>
    </w:p>
  </w:footnote>
  <w:footnote w:id="95">
    <w:p w14:paraId="0FA1C86F" w14:textId="57AD7FE0" w:rsidR="00F57838" w:rsidRDefault="00F57838" w:rsidP="00524CB4">
      <w:pPr>
        <w:pStyle w:val="FootnoteText"/>
      </w:pPr>
      <w:r>
        <w:rPr>
          <w:rStyle w:val="FootnoteReference"/>
        </w:rPr>
        <w:footnoteRef/>
      </w:r>
      <w:r>
        <w:t xml:space="preserve"> </w:t>
      </w:r>
      <w:r w:rsidRPr="00524CB4">
        <w:rPr>
          <w:szCs w:val="18"/>
        </w:rPr>
        <w:t>California Broadband and Video Association Opening Comments</w:t>
      </w:r>
      <w:r w:rsidR="003D7B3E">
        <w:rPr>
          <w:szCs w:val="18"/>
        </w:rPr>
        <w:t xml:space="preserve"> at pp.</w:t>
      </w:r>
      <w:r w:rsidR="0051059D">
        <w:rPr>
          <w:sz w:val="18"/>
          <w:szCs w:val="18"/>
        </w:rPr>
        <w:t> </w:t>
      </w:r>
      <w:r w:rsidR="003D7B3E">
        <w:rPr>
          <w:szCs w:val="18"/>
        </w:rPr>
        <w:t>1</w:t>
      </w:r>
      <w:r w:rsidRPr="00524CB4">
        <w:rPr>
          <w:szCs w:val="18"/>
        </w:rPr>
        <w:t>4</w:t>
      </w:r>
      <w:r w:rsidR="00E4753D">
        <w:rPr>
          <w:sz w:val="18"/>
          <w:szCs w:val="18"/>
        </w:rPr>
        <w:noBreakHyphen/>
      </w:r>
      <w:r w:rsidRPr="00524CB4">
        <w:rPr>
          <w:szCs w:val="18"/>
        </w:rPr>
        <w:t>15.</w:t>
      </w:r>
    </w:p>
  </w:footnote>
  <w:footnote w:id="96">
    <w:p w14:paraId="4C93055E" w14:textId="1175DBA0" w:rsidR="00F57838" w:rsidRDefault="00F57838" w:rsidP="00524CB4">
      <w:pPr>
        <w:pStyle w:val="FootnoteText"/>
      </w:pPr>
      <w:r>
        <w:rPr>
          <w:rStyle w:val="FootnoteReference"/>
        </w:rPr>
        <w:footnoteRef/>
      </w:r>
      <w:r>
        <w:t xml:space="preserve"> </w:t>
      </w:r>
      <w:r w:rsidRPr="00524CB4">
        <w:rPr>
          <w:szCs w:val="18"/>
        </w:rPr>
        <w:t>Extenet Opening Comments</w:t>
      </w:r>
      <w:r w:rsidR="003D7B3E">
        <w:rPr>
          <w:szCs w:val="18"/>
        </w:rPr>
        <w:t xml:space="preserve"> at pp.</w:t>
      </w:r>
      <w:r w:rsidR="0051059D">
        <w:rPr>
          <w:sz w:val="18"/>
          <w:szCs w:val="18"/>
        </w:rPr>
        <w:t> </w:t>
      </w:r>
      <w:r w:rsidR="003D7B3E">
        <w:rPr>
          <w:szCs w:val="18"/>
        </w:rPr>
        <w:t>5</w:t>
      </w:r>
      <w:r w:rsidR="00E4753D">
        <w:rPr>
          <w:sz w:val="18"/>
          <w:szCs w:val="18"/>
        </w:rPr>
        <w:noBreakHyphen/>
      </w:r>
      <w:r w:rsidRPr="00524CB4">
        <w:rPr>
          <w:szCs w:val="18"/>
        </w:rPr>
        <w:t>6.</w:t>
      </w:r>
    </w:p>
  </w:footnote>
  <w:footnote w:id="97">
    <w:p w14:paraId="3F41C615" w14:textId="06CCCC94" w:rsidR="00F57838" w:rsidRDefault="00F57838" w:rsidP="00524CB4">
      <w:pPr>
        <w:pStyle w:val="FootnoteText"/>
      </w:pPr>
      <w:r>
        <w:rPr>
          <w:rStyle w:val="FootnoteReference"/>
        </w:rPr>
        <w:footnoteRef/>
      </w:r>
      <w:r w:rsidRPr="00524CB4">
        <w:rPr>
          <w:szCs w:val="18"/>
        </w:rPr>
        <w:t xml:space="preserve"> PG&amp;E Reply Comments</w:t>
      </w:r>
      <w:r w:rsidR="003D7B3E">
        <w:rPr>
          <w:szCs w:val="18"/>
        </w:rPr>
        <w:t xml:space="preserve"> at pp.</w:t>
      </w:r>
      <w:r w:rsidR="0051059D">
        <w:rPr>
          <w:sz w:val="18"/>
          <w:szCs w:val="18"/>
        </w:rPr>
        <w:t> </w:t>
      </w:r>
      <w:r w:rsidR="003D7B3E">
        <w:rPr>
          <w:szCs w:val="18"/>
        </w:rPr>
        <w:t>1</w:t>
      </w:r>
      <w:r w:rsidRPr="00524CB4">
        <w:rPr>
          <w:szCs w:val="18"/>
        </w:rPr>
        <w:t>1</w:t>
      </w:r>
      <w:r w:rsidR="00E4753D">
        <w:rPr>
          <w:sz w:val="18"/>
          <w:szCs w:val="18"/>
        </w:rPr>
        <w:noBreakHyphen/>
      </w:r>
      <w:r w:rsidRPr="00524CB4">
        <w:rPr>
          <w:szCs w:val="18"/>
        </w:rPr>
        <w:t>13.</w:t>
      </w:r>
    </w:p>
  </w:footnote>
  <w:footnote w:id="98">
    <w:p w14:paraId="5958F2C9" w14:textId="606AD263" w:rsidR="00F57838" w:rsidRDefault="00F57838" w:rsidP="00524CB4">
      <w:pPr>
        <w:pStyle w:val="FootnoteText"/>
      </w:pPr>
      <w:r>
        <w:rPr>
          <w:rStyle w:val="FootnoteReference"/>
        </w:rPr>
        <w:footnoteRef/>
      </w:r>
      <w:r>
        <w:t xml:space="preserve"> </w:t>
      </w:r>
      <w:r w:rsidRPr="00524CB4">
        <w:rPr>
          <w:szCs w:val="18"/>
        </w:rPr>
        <w:t>Race Opening Comments</w:t>
      </w:r>
      <w:r w:rsidR="003D7B3E">
        <w:rPr>
          <w:szCs w:val="18"/>
        </w:rPr>
        <w:t xml:space="preserve"> at pp.</w:t>
      </w:r>
      <w:r w:rsidR="0051059D">
        <w:rPr>
          <w:sz w:val="18"/>
          <w:szCs w:val="18"/>
        </w:rPr>
        <w:t> </w:t>
      </w:r>
      <w:r w:rsidR="003D7B3E">
        <w:rPr>
          <w:szCs w:val="18"/>
        </w:rPr>
        <w:t>5</w:t>
      </w:r>
      <w:r w:rsidR="00E4753D">
        <w:rPr>
          <w:sz w:val="18"/>
          <w:szCs w:val="18"/>
        </w:rPr>
        <w:noBreakHyphen/>
      </w:r>
      <w:r w:rsidRPr="00524CB4">
        <w:rPr>
          <w:szCs w:val="18"/>
        </w:rPr>
        <w:t>6.</w:t>
      </w:r>
    </w:p>
  </w:footnote>
  <w:footnote w:id="99">
    <w:p w14:paraId="4466FD15" w14:textId="4ECCA921" w:rsidR="00F57838" w:rsidRDefault="00F57838" w:rsidP="00524CB4">
      <w:pPr>
        <w:pStyle w:val="FootnoteText"/>
      </w:pPr>
      <w:r>
        <w:rPr>
          <w:rStyle w:val="FootnoteReference"/>
        </w:rPr>
        <w:footnoteRef/>
      </w:r>
      <w:r>
        <w:t xml:space="preserve"> </w:t>
      </w:r>
      <w:r w:rsidRPr="00524CB4">
        <w:rPr>
          <w:szCs w:val="18"/>
        </w:rPr>
        <w:t>SCE Opening Comments</w:t>
      </w:r>
      <w:r w:rsidR="003D7B3E">
        <w:rPr>
          <w:szCs w:val="18"/>
        </w:rPr>
        <w:t xml:space="preserve"> at pp.</w:t>
      </w:r>
      <w:r w:rsidR="0051059D">
        <w:rPr>
          <w:sz w:val="18"/>
          <w:szCs w:val="18"/>
        </w:rPr>
        <w:t> </w:t>
      </w:r>
      <w:r w:rsidR="003D7B3E">
        <w:rPr>
          <w:szCs w:val="18"/>
        </w:rPr>
        <w:t>1</w:t>
      </w:r>
      <w:r w:rsidRPr="00524CB4">
        <w:rPr>
          <w:szCs w:val="18"/>
        </w:rPr>
        <w:t>6</w:t>
      </w:r>
      <w:r w:rsidR="00E4753D">
        <w:rPr>
          <w:sz w:val="18"/>
          <w:szCs w:val="18"/>
        </w:rPr>
        <w:noBreakHyphen/>
      </w:r>
      <w:r w:rsidRPr="00524CB4">
        <w:rPr>
          <w:szCs w:val="18"/>
        </w:rPr>
        <w:t>17.</w:t>
      </w:r>
    </w:p>
  </w:footnote>
  <w:footnote w:id="100">
    <w:p w14:paraId="3E07F655" w14:textId="233B06B1" w:rsidR="00F57838" w:rsidRDefault="00F57838" w:rsidP="00524CB4">
      <w:pPr>
        <w:pStyle w:val="FootnoteText"/>
      </w:pPr>
      <w:r>
        <w:rPr>
          <w:rStyle w:val="FootnoteReference"/>
        </w:rPr>
        <w:footnoteRef/>
      </w:r>
      <w:r>
        <w:t xml:space="preserve"> </w:t>
      </w:r>
      <w:r w:rsidRPr="00524CB4">
        <w:rPr>
          <w:szCs w:val="18"/>
        </w:rPr>
        <w:t>SCE Reply Comments</w:t>
      </w:r>
      <w:r w:rsidR="003D7B3E">
        <w:rPr>
          <w:szCs w:val="18"/>
        </w:rPr>
        <w:t xml:space="preserve"> at pp.</w:t>
      </w:r>
      <w:r w:rsidR="0051059D">
        <w:rPr>
          <w:sz w:val="18"/>
          <w:szCs w:val="18"/>
        </w:rPr>
        <w:t> </w:t>
      </w:r>
      <w:r w:rsidR="003D7B3E">
        <w:rPr>
          <w:szCs w:val="18"/>
        </w:rPr>
        <w:t>1</w:t>
      </w:r>
      <w:r w:rsidRPr="00524CB4">
        <w:rPr>
          <w:szCs w:val="18"/>
        </w:rPr>
        <w:t>5</w:t>
      </w:r>
      <w:r w:rsidR="00E4753D">
        <w:rPr>
          <w:sz w:val="18"/>
          <w:szCs w:val="18"/>
        </w:rPr>
        <w:noBreakHyphen/>
      </w:r>
      <w:r w:rsidRPr="00524CB4">
        <w:rPr>
          <w:szCs w:val="18"/>
        </w:rPr>
        <w:t>16.</w:t>
      </w:r>
    </w:p>
  </w:footnote>
  <w:footnote w:id="101">
    <w:p w14:paraId="5281DD57" w14:textId="0194CFBF" w:rsidR="00F57838" w:rsidRDefault="00F57838" w:rsidP="00524CB4">
      <w:pPr>
        <w:pStyle w:val="FootnoteText"/>
      </w:pPr>
      <w:r>
        <w:rPr>
          <w:rStyle w:val="FootnoteReference"/>
        </w:rPr>
        <w:footnoteRef/>
      </w:r>
      <w:r>
        <w:t xml:space="preserve"> </w:t>
      </w:r>
      <w:r w:rsidRPr="00524CB4">
        <w:rPr>
          <w:szCs w:val="18"/>
        </w:rPr>
        <w:t>SDG&amp;E Opening Comments</w:t>
      </w:r>
      <w:r w:rsidR="003D7B3E">
        <w:rPr>
          <w:szCs w:val="18"/>
        </w:rPr>
        <w:t xml:space="preserve"> at pp.</w:t>
      </w:r>
      <w:r w:rsidR="0051059D">
        <w:rPr>
          <w:sz w:val="18"/>
          <w:szCs w:val="18"/>
        </w:rPr>
        <w:t> </w:t>
      </w:r>
      <w:r w:rsidR="003D7B3E">
        <w:rPr>
          <w:szCs w:val="18"/>
        </w:rPr>
        <w:t>7</w:t>
      </w:r>
      <w:r w:rsidR="00E4753D">
        <w:rPr>
          <w:sz w:val="18"/>
          <w:szCs w:val="18"/>
        </w:rPr>
        <w:noBreakHyphen/>
      </w:r>
      <w:r w:rsidRPr="00524CB4">
        <w:rPr>
          <w:szCs w:val="18"/>
        </w:rPr>
        <w:t>8.</w:t>
      </w:r>
    </w:p>
  </w:footnote>
  <w:footnote w:id="102">
    <w:p w14:paraId="5B1530DD" w14:textId="24E9D946" w:rsidR="00F57838" w:rsidRDefault="00F57838" w:rsidP="00524CB4">
      <w:pPr>
        <w:pStyle w:val="FootnoteText"/>
      </w:pPr>
      <w:r>
        <w:rPr>
          <w:rStyle w:val="FootnoteReference"/>
        </w:rPr>
        <w:footnoteRef/>
      </w:r>
      <w:r>
        <w:t xml:space="preserve"> </w:t>
      </w:r>
      <w:r w:rsidRPr="00524CB4">
        <w:rPr>
          <w:szCs w:val="18"/>
        </w:rPr>
        <w:t>Sonic Opening Comments</w:t>
      </w:r>
      <w:r w:rsidR="003D7B3E">
        <w:rPr>
          <w:szCs w:val="18"/>
        </w:rPr>
        <w:t xml:space="preserve"> at pp.</w:t>
      </w:r>
      <w:r w:rsidR="0051059D">
        <w:rPr>
          <w:sz w:val="18"/>
          <w:szCs w:val="18"/>
        </w:rPr>
        <w:t> </w:t>
      </w:r>
      <w:r w:rsidR="003D7B3E">
        <w:rPr>
          <w:szCs w:val="18"/>
        </w:rPr>
        <w:t>9</w:t>
      </w:r>
      <w:r w:rsidR="00E4753D">
        <w:rPr>
          <w:sz w:val="18"/>
          <w:szCs w:val="18"/>
        </w:rPr>
        <w:noBreakHyphen/>
      </w:r>
      <w:r w:rsidRPr="00524CB4">
        <w:rPr>
          <w:szCs w:val="18"/>
        </w:rPr>
        <w:t>10.</w:t>
      </w:r>
    </w:p>
  </w:footnote>
  <w:footnote w:id="103">
    <w:p w14:paraId="57007B74" w14:textId="6E526702" w:rsidR="00F57838" w:rsidRDefault="00F57838" w:rsidP="00524CB4">
      <w:pPr>
        <w:pStyle w:val="FootnoteText"/>
      </w:pPr>
      <w:r>
        <w:rPr>
          <w:rStyle w:val="FootnoteReference"/>
        </w:rPr>
        <w:footnoteRef/>
      </w:r>
      <w:r>
        <w:t xml:space="preserve"> </w:t>
      </w:r>
      <w:r w:rsidR="008C74C3">
        <w:t xml:space="preserve">Surfnet </w:t>
      </w:r>
      <w:r>
        <w:t xml:space="preserve">Opening </w:t>
      </w:r>
      <w:r w:rsidRPr="00524CB4">
        <w:rPr>
          <w:szCs w:val="18"/>
        </w:rPr>
        <w:t>Comments</w:t>
      </w:r>
      <w:r w:rsidR="008C74C3">
        <w:rPr>
          <w:szCs w:val="18"/>
        </w:rPr>
        <w:t xml:space="preserve"> </w:t>
      </w:r>
      <w:r w:rsidR="003D7B3E">
        <w:rPr>
          <w:szCs w:val="18"/>
        </w:rPr>
        <w:t>at pp.</w:t>
      </w:r>
      <w:r w:rsidR="0051059D">
        <w:rPr>
          <w:sz w:val="18"/>
          <w:szCs w:val="18"/>
        </w:rPr>
        <w:t> </w:t>
      </w:r>
      <w:r w:rsidR="003D7B3E">
        <w:rPr>
          <w:szCs w:val="18"/>
        </w:rPr>
        <w:t>4</w:t>
      </w:r>
      <w:r w:rsidR="00E4753D">
        <w:rPr>
          <w:sz w:val="18"/>
          <w:szCs w:val="18"/>
        </w:rPr>
        <w:noBreakHyphen/>
      </w:r>
      <w:r w:rsidRPr="00524CB4">
        <w:rPr>
          <w:szCs w:val="18"/>
        </w:rPr>
        <w:t>5.</w:t>
      </w:r>
    </w:p>
  </w:footnote>
  <w:footnote w:id="104">
    <w:p w14:paraId="1C558F99" w14:textId="32E8FB37" w:rsidR="00DD5E24" w:rsidRDefault="00DD5E24" w:rsidP="00524CB4">
      <w:pPr>
        <w:pStyle w:val="FootnoteText"/>
      </w:pPr>
      <w:r>
        <w:rPr>
          <w:rStyle w:val="FootnoteReference"/>
        </w:rPr>
        <w:footnoteRef/>
      </w:r>
      <w:r>
        <w:t xml:space="preserve"> </w:t>
      </w:r>
      <w:r w:rsidRPr="00524CB4">
        <w:rPr>
          <w:szCs w:val="18"/>
        </w:rPr>
        <w:t>AT&amp;T Opening Comments</w:t>
      </w:r>
      <w:r w:rsidR="003D7B3E">
        <w:rPr>
          <w:szCs w:val="18"/>
        </w:rPr>
        <w:t xml:space="preserve"> at pp.</w:t>
      </w:r>
      <w:r w:rsidR="0051059D">
        <w:rPr>
          <w:sz w:val="18"/>
          <w:szCs w:val="18"/>
        </w:rPr>
        <w:t> </w:t>
      </w:r>
      <w:r w:rsidR="003D7B3E">
        <w:rPr>
          <w:szCs w:val="18"/>
        </w:rPr>
        <w:t>7</w:t>
      </w:r>
      <w:r w:rsidR="00E4753D">
        <w:rPr>
          <w:sz w:val="18"/>
          <w:szCs w:val="18"/>
        </w:rPr>
        <w:noBreakHyphen/>
      </w:r>
      <w:r w:rsidRPr="00524CB4">
        <w:rPr>
          <w:szCs w:val="18"/>
        </w:rPr>
        <w:t>8.</w:t>
      </w:r>
    </w:p>
  </w:footnote>
  <w:footnote w:id="105">
    <w:p w14:paraId="1972B388" w14:textId="12C41F6B" w:rsidR="00DD5E24" w:rsidRDefault="00DD5E24" w:rsidP="00524CB4">
      <w:pPr>
        <w:pStyle w:val="FootnoteText"/>
      </w:pPr>
      <w:r>
        <w:rPr>
          <w:rStyle w:val="FootnoteReference"/>
        </w:rPr>
        <w:footnoteRef/>
      </w:r>
      <w:r>
        <w:t xml:space="preserve"> </w:t>
      </w:r>
      <w:r w:rsidRPr="00524CB4">
        <w:rPr>
          <w:szCs w:val="18"/>
        </w:rPr>
        <w:t>California Broadband and Video Association Opening Comments</w:t>
      </w:r>
      <w:r w:rsidR="003D7B3E">
        <w:rPr>
          <w:szCs w:val="18"/>
        </w:rPr>
        <w:t xml:space="preserve"> at p.</w:t>
      </w:r>
      <w:r w:rsidR="0051059D">
        <w:rPr>
          <w:sz w:val="18"/>
          <w:szCs w:val="18"/>
        </w:rPr>
        <w:t> </w:t>
      </w:r>
      <w:r w:rsidR="003D7B3E">
        <w:rPr>
          <w:szCs w:val="18"/>
        </w:rPr>
        <w:t>1</w:t>
      </w:r>
      <w:r w:rsidRPr="00524CB4">
        <w:rPr>
          <w:szCs w:val="18"/>
        </w:rPr>
        <w:t>5.</w:t>
      </w:r>
    </w:p>
  </w:footnote>
  <w:footnote w:id="106">
    <w:p w14:paraId="605E1ECD" w14:textId="2B6A4063" w:rsidR="00DD5E24" w:rsidRDefault="00DD5E24" w:rsidP="00524CB4">
      <w:pPr>
        <w:pStyle w:val="FootnoteText"/>
      </w:pPr>
      <w:r>
        <w:rPr>
          <w:rStyle w:val="FootnoteReference"/>
        </w:rPr>
        <w:footnoteRef/>
      </w:r>
      <w:r>
        <w:t xml:space="preserve"> Opening </w:t>
      </w:r>
      <w:r w:rsidRPr="00524CB4">
        <w:rPr>
          <w:szCs w:val="18"/>
        </w:rPr>
        <w:t>Comments of Coalition of California Utility Employees,</w:t>
      </w:r>
      <w:r w:rsidRPr="00524CB4">
        <w:rPr>
          <w:i/>
          <w:iCs/>
          <w:szCs w:val="18"/>
        </w:rPr>
        <w:t xml:space="preserve"> Order Instituting Investigation into the Creation of a Shared Database or Statewide Census of Utility Poles and Conduit in California, </w:t>
      </w:r>
      <w:r w:rsidR="0078115B">
        <w:rPr>
          <w:i/>
          <w:iCs/>
          <w:szCs w:val="18"/>
        </w:rPr>
        <w:t>Investigation</w:t>
      </w:r>
      <w:r w:rsidR="0051059D">
        <w:rPr>
          <w:i/>
          <w:iCs/>
          <w:sz w:val="18"/>
          <w:szCs w:val="18"/>
        </w:rPr>
        <w:t> </w:t>
      </w:r>
      <w:r w:rsidRPr="00524CB4">
        <w:rPr>
          <w:i/>
          <w:iCs/>
          <w:szCs w:val="18"/>
        </w:rPr>
        <w:t>17</w:t>
      </w:r>
      <w:r w:rsidR="00E4753D">
        <w:rPr>
          <w:i/>
          <w:iCs/>
          <w:sz w:val="18"/>
          <w:szCs w:val="18"/>
        </w:rPr>
        <w:noBreakHyphen/>
      </w:r>
      <w:r w:rsidRPr="00524CB4">
        <w:rPr>
          <w:i/>
          <w:iCs/>
          <w:szCs w:val="18"/>
        </w:rPr>
        <w:t>06</w:t>
      </w:r>
      <w:r w:rsidR="00E4753D">
        <w:rPr>
          <w:i/>
          <w:iCs/>
          <w:sz w:val="18"/>
          <w:szCs w:val="18"/>
        </w:rPr>
        <w:noBreakHyphen/>
      </w:r>
      <w:r w:rsidRPr="00524CB4">
        <w:rPr>
          <w:i/>
          <w:iCs/>
          <w:szCs w:val="18"/>
        </w:rPr>
        <w:t>027</w:t>
      </w:r>
      <w:r w:rsidRPr="00524CB4">
        <w:rPr>
          <w:szCs w:val="18"/>
        </w:rPr>
        <w:t xml:space="preserve">, </w:t>
      </w:r>
      <w:r w:rsidR="0023089B">
        <w:rPr>
          <w:szCs w:val="18"/>
        </w:rPr>
        <w:t>June</w:t>
      </w:r>
      <w:r w:rsidR="0051059D">
        <w:rPr>
          <w:sz w:val="18"/>
          <w:szCs w:val="18"/>
        </w:rPr>
        <w:t> </w:t>
      </w:r>
      <w:r w:rsidRPr="00524CB4">
        <w:rPr>
          <w:szCs w:val="18"/>
        </w:rPr>
        <w:t xml:space="preserve">9, 2025 </w:t>
      </w:r>
      <w:r w:rsidR="00A91AC3">
        <w:rPr>
          <w:szCs w:val="18"/>
        </w:rPr>
        <w:t>(“</w:t>
      </w:r>
      <w:r w:rsidRPr="00524CB4">
        <w:rPr>
          <w:szCs w:val="18"/>
        </w:rPr>
        <w:t>CUE Opening Comments</w:t>
      </w:r>
      <w:r w:rsidR="00A91AC3">
        <w:rPr>
          <w:szCs w:val="18"/>
        </w:rPr>
        <w:t>”)</w:t>
      </w:r>
      <w:r w:rsidR="003D7B3E">
        <w:rPr>
          <w:szCs w:val="18"/>
        </w:rPr>
        <w:t xml:space="preserve"> at pp.</w:t>
      </w:r>
      <w:r w:rsidR="0051059D">
        <w:rPr>
          <w:sz w:val="18"/>
          <w:szCs w:val="18"/>
        </w:rPr>
        <w:t> </w:t>
      </w:r>
      <w:r w:rsidR="003D7B3E">
        <w:rPr>
          <w:szCs w:val="18"/>
        </w:rPr>
        <w:t>1</w:t>
      </w:r>
      <w:r w:rsidR="00E4753D">
        <w:rPr>
          <w:sz w:val="18"/>
          <w:szCs w:val="18"/>
        </w:rPr>
        <w:noBreakHyphen/>
      </w:r>
      <w:r w:rsidRPr="00524CB4">
        <w:rPr>
          <w:szCs w:val="18"/>
        </w:rPr>
        <w:t>2.</w:t>
      </w:r>
    </w:p>
  </w:footnote>
  <w:footnote w:id="107">
    <w:p w14:paraId="15D099BC" w14:textId="04529A0B" w:rsidR="00DD5E24" w:rsidRDefault="00DD5E24" w:rsidP="00DD5E24">
      <w:pPr>
        <w:pStyle w:val="FootnoteText"/>
      </w:pPr>
      <w:r>
        <w:rPr>
          <w:rStyle w:val="FootnoteReference"/>
        </w:rPr>
        <w:footnoteRef/>
      </w:r>
      <w:r>
        <w:t xml:space="preserve"> </w:t>
      </w:r>
      <w:r w:rsidRPr="00986056">
        <w:rPr>
          <w:i/>
          <w:iCs/>
        </w:rPr>
        <w:t>In re FCC Seeks to Make Pole Attachment Process Faster, More Transparent, and more Cost</w:t>
      </w:r>
      <w:r w:rsidR="00E4753D">
        <w:rPr>
          <w:i/>
          <w:iCs/>
        </w:rPr>
        <w:noBreakHyphen/>
      </w:r>
      <w:r w:rsidRPr="00986056">
        <w:rPr>
          <w:i/>
          <w:iCs/>
        </w:rPr>
        <w:t>Effective</w:t>
      </w:r>
      <w:r>
        <w:t xml:space="preserve">, WC Docket </w:t>
      </w:r>
      <w:r w:rsidR="00C51E70">
        <w:t>No. </w:t>
      </w:r>
      <w:r>
        <w:t>17</w:t>
      </w:r>
      <w:r w:rsidR="00E4753D">
        <w:noBreakHyphen/>
      </w:r>
      <w:r>
        <w:t xml:space="preserve">84 at </w:t>
      </w:r>
      <w:r w:rsidR="00043486">
        <w:t>para</w:t>
      </w:r>
      <w:r w:rsidR="0051059D">
        <w:t> </w:t>
      </w:r>
      <w:r>
        <w:t>39</w:t>
      </w:r>
      <w:r w:rsidR="00E4753D">
        <w:noBreakHyphen/>
      </w:r>
      <w:r>
        <w:t xml:space="preserve">48 (rel. </w:t>
      </w:r>
      <w:r w:rsidR="008B6E20">
        <w:t>Dec.</w:t>
      </w:r>
      <w:r w:rsidR="0051059D">
        <w:t> </w:t>
      </w:r>
      <w:r>
        <w:t>15, 2023).</w:t>
      </w:r>
    </w:p>
  </w:footnote>
  <w:footnote w:id="108">
    <w:p w14:paraId="7EA66D0D" w14:textId="01936B22" w:rsidR="00DD5E24" w:rsidRDefault="00DD5E24" w:rsidP="00524CB4">
      <w:pPr>
        <w:pStyle w:val="FootnoteText"/>
      </w:pPr>
      <w:r>
        <w:rPr>
          <w:rStyle w:val="FootnoteReference"/>
        </w:rPr>
        <w:footnoteRef/>
      </w:r>
      <w:r>
        <w:t xml:space="preserve"> </w:t>
      </w:r>
      <w:r w:rsidRPr="00524CB4">
        <w:rPr>
          <w:szCs w:val="18"/>
        </w:rPr>
        <w:t>Extenet Opening Comments</w:t>
      </w:r>
      <w:r w:rsidR="003D7B3E">
        <w:rPr>
          <w:szCs w:val="18"/>
        </w:rPr>
        <w:t xml:space="preserve"> at p.</w:t>
      </w:r>
      <w:r w:rsidR="0051059D">
        <w:rPr>
          <w:sz w:val="18"/>
          <w:szCs w:val="18"/>
        </w:rPr>
        <w:t> </w:t>
      </w:r>
      <w:r w:rsidR="003D7B3E">
        <w:rPr>
          <w:szCs w:val="18"/>
        </w:rPr>
        <w:t>6</w:t>
      </w:r>
      <w:r w:rsidRPr="00524CB4">
        <w:rPr>
          <w:szCs w:val="18"/>
        </w:rPr>
        <w:t>.</w:t>
      </w:r>
    </w:p>
  </w:footnote>
  <w:footnote w:id="109">
    <w:p w14:paraId="51B28EEC" w14:textId="57E44972" w:rsidR="00DD5E24" w:rsidRDefault="00DD5E24" w:rsidP="00524CB4">
      <w:pPr>
        <w:pStyle w:val="FootnoteText"/>
      </w:pPr>
      <w:r>
        <w:rPr>
          <w:rStyle w:val="FootnoteReference"/>
        </w:rPr>
        <w:footnoteRef/>
      </w:r>
      <w:r>
        <w:t xml:space="preserve"> </w:t>
      </w:r>
      <w:r w:rsidRPr="00524CB4">
        <w:rPr>
          <w:szCs w:val="18"/>
        </w:rPr>
        <w:t>PG&amp;E Reply Comments</w:t>
      </w:r>
      <w:r w:rsidR="003D7B3E">
        <w:rPr>
          <w:szCs w:val="18"/>
        </w:rPr>
        <w:t xml:space="preserve"> at pp.</w:t>
      </w:r>
      <w:r w:rsidR="0051059D">
        <w:rPr>
          <w:sz w:val="18"/>
          <w:szCs w:val="18"/>
        </w:rPr>
        <w:t> </w:t>
      </w:r>
      <w:r w:rsidR="003D7B3E">
        <w:rPr>
          <w:szCs w:val="18"/>
        </w:rPr>
        <w:t>1</w:t>
      </w:r>
      <w:r w:rsidRPr="00524CB4">
        <w:rPr>
          <w:szCs w:val="18"/>
        </w:rPr>
        <w:t>3</w:t>
      </w:r>
      <w:r w:rsidR="00E4753D">
        <w:rPr>
          <w:sz w:val="18"/>
          <w:szCs w:val="18"/>
        </w:rPr>
        <w:noBreakHyphen/>
      </w:r>
      <w:r w:rsidRPr="00524CB4">
        <w:rPr>
          <w:szCs w:val="18"/>
        </w:rPr>
        <w:t>19.</w:t>
      </w:r>
    </w:p>
  </w:footnote>
  <w:footnote w:id="110">
    <w:p w14:paraId="4A21CFAC" w14:textId="06E922FC" w:rsidR="00DD5E24" w:rsidRPr="00FD101E" w:rsidRDefault="00DD5E24" w:rsidP="00524CB4">
      <w:pPr>
        <w:pStyle w:val="FootnoteText"/>
      </w:pPr>
      <w:r>
        <w:rPr>
          <w:rStyle w:val="FootnoteReference"/>
        </w:rPr>
        <w:footnoteRef/>
      </w:r>
      <w:r>
        <w:t xml:space="preserve"> </w:t>
      </w:r>
      <w:r w:rsidRPr="00524CB4">
        <w:rPr>
          <w:szCs w:val="18"/>
        </w:rPr>
        <w:t>Race Opening Comments</w:t>
      </w:r>
      <w:r w:rsidR="003D7B3E">
        <w:rPr>
          <w:szCs w:val="18"/>
        </w:rPr>
        <w:t xml:space="preserve"> at p</w:t>
      </w:r>
      <w:r w:rsidRPr="00FD101E">
        <w:rPr>
          <w:sz w:val="18"/>
          <w:szCs w:val="18"/>
        </w:rPr>
        <w:t>.</w:t>
      </w:r>
      <w:r w:rsidR="003D7B3E">
        <w:rPr>
          <w:szCs w:val="18"/>
        </w:rPr>
        <w:t> 6</w:t>
      </w:r>
      <w:r w:rsidRPr="00524CB4">
        <w:rPr>
          <w:szCs w:val="18"/>
        </w:rPr>
        <w:t>.</w:t>
      </w:r>
    </w:p>
  </w:footnote>
  <w:footnote w:id="111">
    <w:p w14:paraId="0E28CE75" w14:textId="1F718EA9" w:rsidR="00DD5E24" w:rsidRPr="00FD101E" w:rsidRDefault="00DD5E24" w:rsidP="00524CB4">
      <w:pPr>
        <w:pStyle w:val="FootnoteText"/>
        <w:rPr>
          <w:highlight w:val="yellow"/>
        </w:rPr>
      </w:pPr>
      <w:r w:rsidRPr="00FD101E">
        <w:rPr>
          <w:rStyle w:val="FootnoteReference"/>
        </w:rPr>
        <w:footnoteRef/>
      </w:r>
      <w:r w:rsidRPr="00FD101E">
        <w:t xml:space="preserve"> </w:t>
      </w:r>
      <w:r w:rsidRPr="00524CB4">
        <w:rPr>
          <w:szCs w:val="18"/>
        </w:rPr>
        <w:t>SCE Opening Comments</w:t>
      </w:r>
      <w:r w:rsidR="003D7B3E">
        <w:rPr>
          <w:szCs w:val="18"/>
        </w:rPr>
        <w:t xml:space="preserve"> at pp.</w:t>
      </w:r>
      <w:r w:rsidR="0051059D">
        <w:rPr>
          <w:sz w:val="18"/>
          <w:szCs w:val="18"/>
        </w:rPr>
        <w:t> </w:t>
      </w:r>
      <w:r w:rsidR="003D7B3E">
        <w:rPr>
          <w:szCs w:val="18"/>
        </w:rPr>
        <w:t>1</w:t>
      </w:r>
      <w:r w:rsidRPr="00524CB4">
        <w:rPr>
          <w:szCs w:val="18"/>
        </w:rPr>
        <w:t>3</w:t>
      </w:r>
      <w:r w:rsidR="00E4753D">
        <w:rPr>
          <w:sz w:val="18"/>
          <w:szCs w:val="18"/>
        </w:rPr>
        <w:noBreakHyphen/>
      </w:r>
      <w:r w:rsidRPr="00524CB4">
        <w:rPr>
          <w:szCs w:val="18"/>
        </w:rPr>
        <w:t>14, 17</w:t>
      </w:r>
      <w:r w:rsidR="00E4753D">
        <w:rPr>
          <w:sz w:val="18"/>
          <w:szCs w:val="18"/>
        </w:rPr>
        <w:noBreakHyphen/>
      </w:r>
      <w:r w:rsidRPr="00524CB4">
        <w:rPr>
          <w:szCs w:val="18"/>
        </w:rPr>
        <w:t>18.</w:t>
      </w:r>
    </w:p>
  </w:footnote>
  <w:footnote w:id="112">
    <w:p w14:paraId="4E85113B" w14:textId="192257AC" w:rsidR="00DD5E24" w:rsidRDefault="00DD5E24" w:rsidP="00524CB4">
      <w:pPr>
        <w:pStyle w:val="FootnoteText"/>
      </w:pPr>
      <w:r>
        <w:rPr>
          <w:rStyle w:val="FootnoteReference"/>
        </w:rPr>
        <w:footnoteRef/>
      </w:r>
      <w:r>
        <w:t xml:space="preserve"> </w:t>
      </w:r>
      <w:r w:rsidRPr="00524CB4">
        <w:rPr>
          <w:szCs w:val="18"/>
        </w:rPr>
        <w:t>SDG&amp;E Opening Comments</w:t>
      </w:r>
      <w:r w:rsidR="003D7B3E">
        <w:rPr>
          <w:szCs w:val="18"/>
        </w:rPr>
        <w:t xml:space="preserve"> at pp.</w:t>
      </w:r>
      <w:r w:rsidR="0051059D">
        <w:rPr>
          <w:sz w:val="18"/>
          <w:szCs w:val="18"/>
        </w:rPr>
        <w:t> </w:t>
      </w:r>
      <w:r w:rsidR="003D7B3E">
        <w:rPr>
          <w:szCs w:val="18"/>
        </w:rPr>
        <w:t>8</w:t>
      </w:r>
      <w:r w:rsidR="00E4753D">
        <w:rPr>
          <w:sz w:val="18"/>
          <w:szCs w:val="18"/>
        </w:rPr>
        <w:noBreakHyphen/>
      </w:r>
      <w:r w:rsidRPr="00524CB4">
        <w:rPr>
          <w:szCs w:val="18"/>
        </w:rPr>
        <w:t>11.</w:t>
      </w:r>
    </w:p>
  </w:footnote>
  <w:footnote w:id="113">
    <w:p w14:paraId="61F2DD26" w14:textId="2EE840CE" w:rsidR="00DD5E24" w:rsidRDefault="00DD5E24" w:rsidP="00524CB4">
      <w:pPr>
        <w:pStyle w:val="FootnoteText"/>
      </w:pPr>
      <w:r>
        <w:rPr>
          <w:rStyle w:val="FootnoteReference"/>
        </w:rPr>
        <w:footnoteRef/>
      </w:r>
      <w:r>
        <w:t xml:space="preserve"> </w:t>
      </w:r>
      <w:r w:rsidRPr="00524CB4">
        <w:rPr>
          <w:szCs w:val="18"/>
        </w:rPr>
        <w:t>Sonic Opening Comments</w:t>
      </w:r>
      <w:r w:rsidR="003D7B3E">
        <w:rPr>
          <w:szCs w:val="18"/>
        </w:rPr>
        <w:t xml:space="preserve"> at pp.</w:t>
      </w:r>
      <w:r w:rsidR="0051059D">
        <w:rPr>
          <w:sz w:val="18"/>
          <w:szCs w:val="18"/>
        </w:rPr>
        <w:t> </w:t>
      </w:r>
      <w:r w:rsidR="003D7B3E">
        <w:rPr>
          <w:szCs w:val="18"/>
        </w:rPr>
        <w:t>1</w:t>
      </w:r>
      <w:r w:rsidRPr="00524CB4">
        <w:rPr>
          <w:szCs w:val="18"/>
        </w:rPr>
        <w:t>0</w:t>
      </w:r>
      <w:r w:rsidR="00E4753D">
        <w:rPr>
          <w:sz w:val="18"/>
          <w:szCs w:val="18"/>
        </w:rPr>
        <w:noBreakHyphen/>
      </w:r>
      <w:r w:rsidRPr="00524CB4">
        <w:rPr>
          <w:szCs w:val="18"/>
        </w:rPr>
        <w:t>11.</w:t>
      </w:r>
    </w:p>
  </w:footnote>
  <w:footnote w:id="114">
    <w:p w14:paraId="3D1AD70B" w14:textId="020A0100" w:rsidR="00DD5E24" w:rsidRDefault="00DD5E24" w:rsidP="00524CB4">
      <w:pPr>
        <w:pStyle w:val="FootnoteText"/>
      </w:pPr>
      <w:r>
        <w:rPr>
          <w:rStyle w:val="FootnoteReference"/>
        </w:rPr>
        <w:footnoteRef/>
      </w:r>
      <w:r>
        <w:t xml:space="preserve"> </w:t>
      </w:r>
      <w:r w:rsidR="00322C07">
        <w:t xml:space="preserve">Surfnet </w:t>
      </w:r>
      <w:r>
        <w:t xml:space="preserve">Opening </w:t>
      </w:r>
      <w:r w:rsidRPr="00524CB4">
        <w:rPr>
          <w:szCs w:val="18"/>
        </w:rPr>
        <w:t xml:space="preserve">Comments </w:t>
      </w:r>
      <w:r w:rsidR="003D7B3E">
        <w:rPr>
          <w:szCs w:val="18"/>
        </w:rPr>
        <w:t>at pp.</w:t>
      </w:r>
      <w:r w:rsidR="0051059D">
        <w:rPr>
          <w:sz w:val="18"/>
          <w:szCs w:val="18"/>
        </w:rPr>
        <w:t> </w:t>
      </w:r>
      <w:r w:rsidR="003D7B3E">
        <w:rPr>
          <w:szCs w:val="18"/>
        </w:rPr>
        <w:t>5</w:t>
      </w:r>
      <w:r w:rsidR="00E4753D">
        <w:rPr>
          <w:sz w:val="18"/>
          <w:szCs w:val="18"/>
        </w:rPr>
        <w:noBreakHyphen/>
      </w:r>
      <w:r w:rsidRPr="00524CB4">
        <w:rPr>
          <w:szCs w:val="18"/>
        </w:rPr>
        <w:t>6.</w:t>
      </w:r>
    </w:p>
  </w:footnote>
  <w:footnote w:id="115">
    <w:p w14:paraId="2676F912" w14:textId="013A7D8F" w:rsidR="000E5F47" w:rsidRDefault="000E5F47" w:rsidP="00524CB4">
      <w:pPr>
        <w:pStyle w:val="FootnoteText"/>
      </w:pPr>
      <w:r>
        <w:rPr>
          <w:rStyle w:val="FootnoteReference"/>
        </w:rPr>
        <w:footnoteRef/>
      </w:r>
      <w:r>
        <w:t xml:space="preserve"> </w:t>
      </w:r>
      <w:r w:rsidRPr="00524CB4">
        <w:rPr>
          <w:szCs w:val="18"/>
        </w:rPr>
        <w:t>AT&amp;T Opening Comments</w:t>
      </w:r>
      <w:r w:rsidR="003D7B3E">
        <w:rPr>
          <w:szCs w:val="18"/>
        </w:rPr>
        <w:t xml:space="preserve"> at p.</w:t>
      </w:r>
      <w:r w:rsidR="0051059D">
        <w:rPr>
          <w:sz w:val="18"/>
          <w:szCs w:val="18"/>
        </w:rPr>
        <w:t> </w:t>
      </w:r>
      <w:r w:rsidR="003D7B3E">
        <w:rPr>
          <w:szCs w:val="18"/>
        </w:rPr>
        <w:t>8</w:t>
      </w:r>
      <w:r w:rsidRPr="00524CB4">
        <w:rPr>
          <w:szCs w:val="18"/>
        </w:rPr>
        <w:t>.</w:t>
      </w:r>
    </w:p>
  </w:footnote>
  <w:footnote w:id="116">
    <w:p w14:paraId="3D3DF95C" w14:textId="0B1CDE90" w:rsidR="000E5F47" w:rsidRDefault="000E5F47" w:rsidP="00524CB4">
      <w:pPr>
        <w:pStyle w:val="FootnoteText"/>
      </w:pPr>
      <w:r>
        <w:rPr>
          <w:rStyle w:val="FootnoteReference"/>
        </w:rPr>
        <w:footnoteRef/>
      </w:r>
      <w:r>
        <w:t xml:space="preserve"> </w:t>
      </w:r>
      <w:r w:rsidRPr="00524CB4">
        <w:rPr>
          <w:szCs w:val="18"/>
        </w:rPr>
        <w:t>California Broadband and Video Association Opening Comments</w:t>
      </w:r>
      <w:r w:rsidR="003D7B3E">
        <w:rPr>
          <w:szCs w:val="18"/>
        </w:rPr>
        <w:t xml:space="preserve"> at pp. 1</w:t>
      </w:r>
      <w:r w:rsidRPr="00524CB4">
        <w:rPr>
          <w:szCs w:val="18"/>
        </w:rPr>
        <w:t>5</w:t>
      </w:r>
      <w:r w:rsidR="00E4753D">
        <w:rPr>
          <w:sz w:val="18"/>
          <w:szCs w:val="18"/>
        </w:rPr>
        <w:noBreakHyphen/>
      </w:r>
      <w:r w:rsidRPr="00524CB4">
        <w:rPr>
          <w:szCs w:val="18"/>
        </w:rPr>
        <w:t>16.</w:t>
      </w:r>
    </w:p>
  </w:footnote>
  <w:footnote w:id="117">
    <w:p w14:paraId="0D9425C0" w14:textId="36D0860A" w:rsidR="000E5F47" w:rsidRDefault="000E5F47" w:rsidP="00524CB4">
      <w:pPr>
        <w:pStyle w:val="FootnoteText"/>
      </w:pPr>
      <w:r>
        <w:rPr>
          <w:rStyle w:val="FootnoteReference"/>
        </w:rPr>
        <w:footnoteRef/>
      </w:r>
      <w:r>
        <w:t xml:space="preserve"> </w:t>
      </w:r>
      <w:r w:rsidRPr="00524CB4">
        <w:rPr>
          <w:szCs w:val="18"/>
        </w:rPr>
        <w:t>Crown Castle Opening Comments</w:t>
      </w:r>
      <w:r w:rsidR="003D7B3E">
        <w:rPr>
          <w:szCs w:val="18"/>
        </w:rPr>
        <w:t xml:space="preserve"> at pp.</w:t>
      </w:r>
      <w:r w:rsidR="0051059D">
        <w:rPr>
          <w:sz w:val="18"/>
          <w:szCs w:val="18"/>
        </w:rPr>
        <w:t> </w:t>
      </w:r>
      <w:r w:rsidR="003D7B3E">
        <w:rPr>
          <w:szCs w:val="18"/>
        </w:rPr>
        <w:t>7</w:t>
      </w:r>
      <w:r w:rsidR="00E4753D">
        <w:rPr>
          <w:sz w:val="18"/>
          <w:szCs w:val="18"/>
        </w:rPr>
        <w:noBreakHyphen/>
      </w:r>
      <w:r w:rsidRPr="00524CB4">
        <w:rPr>
          <w:szCs w:val="18"/>
        </w:rPr>
        <w:t>9.</w:t>
      </w:r>
    </w:p>
  </w:footnote>
  <w:footnote w:id="118">
    <w:p w14:paraId="0778FCBD" w14:textId="6DED1CAD" w:rsidR="000E5F47" w:rsidRDefault="000E5F47" w:rsidP="00524CB4">
      <w:pPr>
        <w:pStyle w:val="FootnoteText"/>
      </w:pPr>
      <w:r>
        <w:rPr>
          <w:rStyle w:val="FootnoteReference"/>
        </w:rPr>
        <w:footnoteRef/>
      </w:r>
      <w:r>
        <w:t xml:space="preserve"> </w:t>
      </w:r>
      <w:r w:rsidRPr="00524CB4">
        <w:rPr>
          <w:szCs w:val="18"/>
        </w:rPr>
        <w:t>Crown Castle Opening Comments</w:t>
      </w:r>
      <w:r w:rsidR="003D7B3E">
        <w:rPr>
          <w:szCs w:val="18"/>
        </w:rPr>
        <w:t xml:space="preserve"> at p.</w:t>
      </w:r>
      <w:r w:rsidR="0051059D">
        <w:rPr>
          <w:sz w:val="18"/>
          <w:szCs w:val="18"/>
        </w:rPr>
        <w:t> </w:t>
      </w:r>
      <w:r w:rsidR="003D7B3E">
        <w:rPr>
          <w:szCs w:val="18"/>
        </w:rPr>
        <w:t>8</w:t>
      </w:r>
      <w:r w:rsidRPr="00524CB4">
        <w:rPr>
          <w:szCs w:val="18"/>
        </w:rPr>
        <w:t>.</w:t>
      </w:r>
    </w:p>
  </w:footnote>
  <w:footnote w:id="119">
    <w:p w14:paraId="478484CC" w14:textId="1B8ED075" w:rsidR="000E5F47" w:rsidRDefault="000E5F47" w:rsidP="000E5F47">
      <w:pPr>
        <w:pStyle w:val="FootnoteText"/>
      </w:pPr>
      <w:r>
        <w:rPr>
          <w:rStyle w:val="FootnoteReference"/>
        </w:rPr>
        <w:footnoteRef/>
      </w:r>
      <w:r>
        <w:t xml:space="preserve"> </w:t>
      </w:r>
      <w:r w:rsidRPr="00600473">
        <w:rPr>
          <w:i/>
          <w:iCs/>
        </w:rPr>
        <w:t>Broadband Deployment by Removing Barriers to Infrastructure Investment; Accelerating Wireless Broadband Deployment by Removing Barriers to Infrastructure Investment</w:t>
      </w:r>
      <w:r>
        <w:t xml:space="preserve">, WC Docket </w:t>
      </w:r>
      <w:r w:rsidR="00C51E70">
        <w:t>No.</w:t>
      </w:r>
      <w:r w:rsidR="0051059D">
        <w:t> </w:t>
      </w:r>
      <w:r>
        <w:t>17</w:t>
      </w:r>
      <w:r w:rsidR="00E4753D">
        <w:noBreakHyphen/>
      </w:r>
      <w:r>
        <w:t xml:space="preserve">84, WT Docket </w:t>
      </w:r>
      <w:r w:rsidR="00C51E70">
        <w:t>No.</w:t>
      </w:r>
      <w:r w:rsidR="0051059D">
        <w:t> </w:t>
      </w:r>
      <w:r>
        <w:t>17</w:t>
      </w:r>
      <w:r w:rsidR="00E4753D">
        <w:noBreakHyphen/>
      </w:r>
      <w:r>
        <w:t>79, Third Report and Order Declaring Ruling, FCC 18</w:t>
      </w:r>
      <w:r w:rsidR="00E4753D">
        <w:noBreakHyphen/>
      </w:r>
      <w:r>
        <w:t>111 (rel. Aug.</w:t>
      </w:r>
      <w:r w:rsidR="0051059D">
        <w:t> </w:t>
      </w:r>
      <w:r>
        <w:t>3, 2018).</w:t>
      </w:r>
    </w:p>
  </w:footnote>
  <w:footnote w:id="120">
    <w:p w14:paraId="41E77168" w14:textId="4B19470E" w:rsidR="000E5F47" w:rsidRDefault="000E5F47" w:rsidP="00524CB4">
      <w:pPr>
        <w:pStyle w:val="FootnoteText"/>
      </w:pPr>
      <w:r>
        <w:rPr>
          <w:rStyle w:val="FootnoteReference"/>
        </w:rPr>
        <w:footnoteRef/>
      </w:r>
      <w:r>
        <w:t xml:space="preserve"> </w:t>
      </w:r>
      <w:r w:rsidRPr="00524CB4">
        <w:rPr>
          <w:szCs w:val="18"/>
        </w:rPr>
        <w:t>Extenet Opening Comments</w:t>
      </w:r>
      <w:r w:rsidR="003D7B3E">
        <w:rPr>
          <w:szCs w:val="18"/>
        </w:rPr>
        <w:t xml:space="preserve"> at p.</w:t>
      </w:r>
      <w:r w:rsidR="0051059D">
        <w:rPr>
          <w:sz w:val="18"/>
          <w:szCs w:val="18"/>
        </w:rPr>
        <w:t> </w:t>
      </w:r>
      <w:r w:rsidR="003D7B3E">
        <w:rPr>
          <w:szCs w:val="18"/>
        </w:rPr>
        <w:t>7</w:t>
      </w:r>
      <w:r w:rsidRPr="00524CB4">
        <w:rPr>
          <w:szCs w:val="18"/>
        </w:rPr>
        <w:t>.</w:t>
      </w:r>
    </w:p>
  </w:footnote>
  <w:footnote w:id="121">
    <w:p w14:paraId="66F680D0" w14:textId="36111D4D" w:rsidR="000E5F47" w:rsidRDefault="000E5F47" w:rsidP="00524CB4">
      <w:pPr>
        <w:pStyle w:val="FootnoteText"/>
      </w:pPr>
      <w:r>
        <w:rPr>
          <w:rStyle w:val="FootnoteReference"/>
        </w:rPr>
        <w:footnoteRef/>
      </w:r>
      <w:r w:rsidRPr="00524CB4">
        <w:rPr>
          <w:szCs w:val="18"/>
        </w:rPr>
        <w:t xml:space="preserve"> PG&amp;E Reply Comments</w:t>
      </w:r>
      <w:r w:rsidR="003D7B3E">
        <w:rPr>
          <w:szCs w:val="18"/>
        </w:rPr>
        <w:t xml:space="preserve"> at pp.</w:t>
      </w:r>
      <w:r w:rsidR="0051059D">
        <w:rPr>
          <w:sz w:val="18"/>
          <w:szCs w:val="18"/>
        </w:rPr>
        <w:t> </w:t>
      </w:r>
      <w:r w:rsidR="003D7B3E">
        <w:rPr>
          <w:szCs w:val="18"/>
        </w:rPr>
        <w:t>1</w:t>
      </w:r>
      <w:r w:rsidRPr="00524CB4">
        <w:rPr>
          <w:szCs w:val="18"/>
        </w:rPr>
        <w:t>9</w:t>
      </w:r>
      <w:r w:rsidR="00E4753D">
        <w:rPr>
          <w:sz w:val="18"/>
          <w:szCs w:val="18"/>
        </w:rPr>
        <w:noBreakHyphen/>
      </w:r>
      <w:r w:rsidRPr="00524CB4">
        <w:rPr>
          <w:szCs w:val="18"/>
        </w:rPr>
        <w:t>30.</w:t>
      </w:r>
    </w:p>
  </w:footnote>
  <w:footnote w:id="122">
    <w:p w14:paraId="19B8AA32" w14:textId="4BF16975" w:rsidR="000E5F47" w:rsidRDefault="000E5F47" w:rsidP="00524CB4">
      <w:pPr>
        <w:pStyle w:val="FootnoteText"/>
      </w:pPr>
      <w:r>
        <w:rPr>
          <w:rStyle w:val="FootnoteReference"/>
        </w:rPr>
        <w:footnoteRef/>
      </w:r>
      <w:r>
        <w:t xml:space="preserve"> </w:t>
      </w:r>
      <w:r w:rsidRPr="00524CB4">
        <w:rPr>
          <w:szCs w:val="18"/>
        </w:rPr>
        <w:t>Race Opening Comments</w:t>
      </w:r>
      <w:r w:rsidR="003D7B3E">
        <w:rPr>
          <w:szCs w:val="18"/>
        </w:rPr>
        <w:t xml:space="preserve"> at pp.</w:t>
      </w:r>
      <w:r w:rsidR="0051059D">
        <w:rPr>
          <w:sz w:val="18"/>
          <w:szCs w:val="18"/>
        </w:rPr>
        <w:t> </w:t>
      </w:r>
      <w:r w:rsidR="003D7B3E">
        <w:rPr>
          <w:szCs w:val="18"/>
        </w:rPr>
        <w:t>6</w:t>
      </w:r>
      <w:r w:rsidR="00E4753D">
        <w:rPr>
          <w:sz w:val="18"/>
          <w:szCs w:val="18"/>
        </w:rPr>
        <w:noBreakHyphen/>
      </w:r>
      <w:r w:rsidRPr="00524CB4">
        <w:rPr>
          <w:szCs w:val="18"/>
        </w:rPr>
        <w:t>7.</w:t>
      </w:r>
    </w:p>
  </w:footnote>
  <w:footnote w:id="123">
    <w:p w14:paraId="5C65F297" w14:textId="29139467" w:rsidR="000E5F47" w:rsidRDefault="000E5F47" w:rsidP="00524CB4">
      <w:pPr>
        <w:pStyle w:val="FootnoteText"/>
      </w:pPr>
      <w:r>
        <w:rPr>
          <w:rStyle w:val="FootnoteReference"/>
        </w:rPr>
        <w:footnoteRef/>
      </w:r>
      <w:r>
        <w:t xml:space="preserve"> </w:t>
      </w:r>
      <w:r w:rsidRPr="00524CB4">
        <w:rPr>
          <w:szCs w:val="18"/>
        </w:rPr>
        <w:t>SCE Opening Comments</w:t>
      </w:r>
      <w:r w:rsidR="003D7B3E">
        <w:rPr>
          <w:szCs w:val="18"/>
        </w:rPr>
        <w:t xml:space="preserve"> at pp.</w:t>
      </w:r>
      <w:r w:rsidR="0051059D">
        <w:rPr>
          <w:sz w:val="18"/>
          <w:szCs w:val="18"/>
        </w:rPr>
        <w:t> </w:t>
      </w:r>
      <w:r w:rsidR="003D7B3E">
        <w:rPr>
          <w:szCs w:val="18"/>
        </w:rPr>
        <w:t>1</w:t>
      </w:r>
      <w:r w:rsidRPr="00524CB4">
        <w:rPr>
          <w:szCs w:val="18"/>
        </w:rPr>
        <w:t>3</w:t>
      </w:r>
      <w:r w:rsidR="00E4753D">
        <w:rPr>
          <w:sz w:val="18"/>
          <w:szCs w:val="18"/>
        </w:rPr>
        <w:noBreakHyphen/>
      </w:r>
      <w:r w:rsidRPr="00524CB4">
        <w:rPr>
          <w:szCs w:val="18"/>
        </w:rPr>
        <w:t>14.</w:t>
      </w:r>
    </w:p>
  </w:footnote>
  <w:footnote w:id="124">
    <w:p w14:paraId="4E186E0F" w14:textId="02715059" w:rsidR="000E5F47" w:rsidRDefault="000E5F47" w:rsidP="00524CB4">
      <w:pPr>
        <w:pStyle w:val="FootnoteText"/>
      </w:pPr>
      <w:r>
        <w:rPr>
          <w:rStyle w:val="FootnoteReference"/>
        </w:rPr>
        <w:footnoteRef/>
      </w:r>
      <w:r>
        <w:t xml:space="preserve"> </w:t>
      </w:r>
      <w:r w:rsidRPr="00524CB4">
        <w:rPr>
          <w:szCs w:val="18"/>
        </w:rPr>
        <w:t>SDG&amp;E Opening Comments</w:t>
      </w:r>
      <w:r w:rsidR="003D7B3E">
        <w:rPr>
          <w:szCs w:val="18"/>
        </w:rPr>
        <w:t xml:space="preserve"> at p.</w:t>
      </w:r>
      <w:r w:rsidR="0051059D">
        <w:rPr>
          <w:sz w:val="18"/>
          <w:szCs w:val="18"/>
        </w:rPr>
        <w:t> </w:t>
      </w:r>
      <w:r w:rsidR="003D7B3E">
        <w:rPr>
          <w:szCs w:val="18"/>
        </w:rPr>
        <w:t>1</w:t>
      </w:r>
      <w:r w:rsidRPr="00524CB4">
        <w:rPr>
          <w:szCs w:val="18"/>
        </w:rPr>
        <w:t>1.</w:t>
      </w:r>
    </w:p>
  </w:footnote>
  <w:footnote w:id="125">
    <w:p w14:paraId="1A43222C" w14:textId="4494D427" w:rsidR="000E5F47" w:rsidRDefault="000E5F47" w:rsidP="00524CB4">
      <w:pPr>
        <w:pStyle w:val="FootnoteText"/>
      </w:pPr>
      <w:r>
        <w:rPr>
          <w:rStyle w:val="FootnoteReference"/>
        </w:rPr>
        <w:footnoteRef/>
      </w:r>
      <w:r>
        <w:t xml:space="preserve"> </w:t>
      </w:r>
      <w:r w:rsidRPr="00524CB4">
        <w:rPr>
          <w:szCs w:val="18"/>
        </w:rPr>
        <w:t>SDG&amp;E Reply Comments</w:t>
      </w:r>
      <w:r w:rsidR="003D7B3E">
        <w:rPr>
          <w:szCs w:val="18"/>
        </w:rPr>
        <w:t xml:space="preserve"> at pp.</w:t>
      </w:r>
      <w:r w:rsidR="0051059D">
        <w:rPr>
          <w:sz w:val="18"/>
          <w:szCs w:val="18"/>
        </w:rPr>
        <w:t> </w:t>
      </w:r>
      <w:r w:rsidR="003D7B3E">
        <w:rPr>
          <w:szCs w:val="18"/>
        </w:rPr>
        <w:t>2</w:t>
      </w:r>
      <w:r w:rsidR="00E4753D">
        <w:rPr>
          <w:sz w:val="18"/>
          <w:szCs w:val="18"/>
        </w:rPr>
        <w:noBreakHyphen/>
      </w:r>
      <w:r w:rsidRPr="00524CB4">
        <w:rPr>
          <w:szCs w:val="18"/>
        </w:rPr>
        <w:t>3.</w:t>
      </w:r>
    </w:p>
  </w:footnote>
  <w:footnote w:id="126">
    <w:p w14:paraId="1C82BAF8" w14:textId="1D713317" w:rsidR="000E5F47" w:rsidRDefault="000E5F47" w:rsidP="00524CB4">
      <w:pPr>
        <w:pStyle w:val="FootnoteText"/>
      </w:pPr>
      <w:r>
        <w:rPr>
          <w:rStyle w:val="FootnoteReference"/>
        </w:rPr>
        <w:footnoteRef/>
      </w:r>
      <w:r>
        <w:t xml:space="preserve"> </w:t>
      </w:r>
      <w:r w:rsidRPr="00524CB4">
        <w:rPr>
          <w:szCs w:val="18"/>
        </w:rPr>
        <w:t>Sonic Opening Comments</w:t>
      </w:r>
      <w:r w:rsidR="003D7B3E">
        <w:rPr>
          <w:szCs w:val="18"/>
        </w:rPr>
        <w:t xml:space="preserve"> at pp.</w:t>
      </w:r>
      <w:r w:rsidR="0051059D">
        <w:rPr>
          <w:sz w:val="18"/>
          <w:szCs w:val="18"/>
        </w:rPr>
        <w:t> </w:t>
      </w:r>
      <w:r w:rsidR="003D7B3E">
        <w:rPr>
          <w:szCs w:val="18"/>
        </w:rPr>
        <w:t>1</w:t>
      </w:r>
      <w:r w:rsidRPr="00524CB4">
        <w:rPr>
          <w:szCs w:val="18"/>
        </w:rPr>
        <w:t>1</w:t>
      </w:r>
      <w:r w:rsidR="00E4753D">
        <w:rPr>
          <w:sz w:val="18"/>
          <w:szCs w:val="18"/>
        </w:rPr>
        <w:noBreakHyphen/>
      </w:r>
      <w:r w:rsidRPr="00524CB4">
        <w:rPr>
          <w:szCs w:val="18"/>
        </w:rPr>
        <w:t>12.</w:t>
      </w:r>
    </w:p>
  </w:footnote>
  <w:footnote w:id="127">
    <w:p w14:paraId="5E4B6C6C" w14:textId="1485E83E" w:rsidR="000E5F47" w:rsidRDefault="000E5F47" w:rsidP="00524CB4">
      <w:pPr>
        <w:pStyle w:val="FootnoteText"/>
      </w:pPr>
      <w:r>
        <w:rPr>
          <w:rStyle w:val="FootnoteReference"/>
        </w:rPr>
        <w:footnoteRef/>
      </w:r>
      <w:r>
        <w:t xml:space="preserve"> Opening </w:t>
      </w:r>
      <w:r w:rsidRPr="00524CB4">
        <w:rPr>
          <w:szCs w:val="18"/>
        </w:rPr>
        <w:t>Comments of Surfnet</w:t>
      </w:r>
      <w:r w:rsidR="003D7B3E">
        <w:rPr>
          <w:szCs w:val="18"/>
        </w:rPr>
        <w:t xml:space="preserve"> at pp.</w:t>
      </w:r>
      <w:r w:rsidR="0051059D">
        <w:rPr>
          <w:sz w:val="18"/>
          <w:szCs w:val="18"/>
        </w:rPr>
        <w:t> </w:t>
      </w:r>
      <w:r w:rsidR="003D7B3E">
        <w:rPr>
          <w:szCs w:val="18"/>
        </w:rPr>
        <w:t>6</w:t>
      </w:r>
      <w:r w:rsidR="00E4753D">
        <w:rPr>
          <w:sz w:val="18"/>
          <w:szCs w:val="18"/>
        </w:rPr>
        <w:noBreakHyphen/>
      </w:r>
      <w:r w:rsidRPr="00524CB4">
        <w:rPr>
          <w:szCs w:val="18"/>
        </w:rPr>
        <w:t>7.</w:t>
      </w:r>
    </w:p>
  </w:footnote>
  <w:footnote w:id="128">
    <w:p w14:paraId="47D8E462" w14:textId="0B4DB00D" w:rsidR="000E19B4" w:rsidRDefault="000E19B4" w:rsidP="00524CB4">
      <w:pPr>
        <w:pStyle w:val="FootnoteText"/>
      </w:pPr>
      <w:r>
        <w:rPr>
          <w:rStyle w:val="FootnoteReference"/>
        </w:rPr>
        <w:footnoteRef/>
      </w:r>
      <w:r>
        <w:t xml:space="preserve"> </w:t>
      </w:r>
      <w:r w:rsidRPr="00524CB4">
        <w:rPr>
          <w:szCs w:val="18"/>
        </w:rPr>
        <w:t>AT&amp;T Opening Comments</w:t>
      </w:r>
      <w:r w:rsidR="003D7B3E">
        <w:rPr>
          <w:szCs w:val="18"/>
        </w:rPr>
        <w:t xml:space="preserve"> at p.</w:t>
      </w:r>
      <w:r w:rsidR="0051059D">
        <w:rPr>
          <w:sz w:val="18"/>
          <w:szCs w:val="18"/>
        </w:rPr>
        <w:t> </w:t>
      </w:r>
      <w:r w:rsidR="003D7B3E">
        <w:rPr>
          <w:szCs w:val="18"/>
        </w:rPr>
        <w:t>9</w:t>
      </w:r>
      <w:r w:rsidRPr="00524CB4">
        <w:rPr>
          <w:szCs w:val="18"/>
        </w:rPr>
        <w:t>.</w:t>
      </w:r>
    </w:p>
  </w:footnote>
  <w:footnote w:id="129">
    <w:p w14:paraId="66BE5559" w14:textId="273EF119" w:rsidR="000E19B4" w:rsidRDefault="000E19B4" w:rsidP="00524CB4">
      <w:pPr>
        <w:pStyle w:val="FootnoteText"/>
      </w:pPr>
      <w:r>
        <w:rPr>
          <w:rStyle w:val="FootnoteReference"/>
        </w:rPr>
        <w:footnoteRef/>
      </w:r>
      <w:r>
        <w:t xml:space="preserve"> </w:t>
      </w:r>
      <w:r w:rsidRPr="00524CB4">
        <w:rPr>
          <w:szCs w:val="18"/>
        </w:rPr>
        <w:t>California Broadband and Video Association Opening Comments</w:t>
      </w:r>
      <w:r w:rsidR="003D7B3E">
        <w:rPr>
          <w:szCs w:val="18"/>
        </w:rPr>
        <w:t xml:space="preserve"> at p.</w:t>
      </w:r>
      <w:r w:rsidR="0051059D">
        <w:rPr>
          <w:sz w:val="18"/>
          <w:szCs w:val="18"/>
        </w:rPr>
        <w:t> </w:t>
      </w:r>
      <w:r w:rsidR="003D7B3E">
        <w:rPr>
          <w:szCs w:val="18"/>
        </w:rPr>
        <w:t>1</w:t>
      </w:r>
      <w:r w:rsidRPr="00524CB4">
        <w:rPr>
          <w:szCs w:val="18"/>
        </w:rPr>
        <w:t>7.</w:t>
      </w:r>
    </w:p>
  </w:footnote>
  <w:footnote w:id="130">
    <w:p w14:paraId="2EDD17B1" w14:textId="7C378649" w:rsidR="000E19B4" w:rsidRDefault="000E19B4" w:rsidP="00524CB4">
      <w:pPr>
        <w:pStyle w:val="FootnoteText"/>
      </w:pPr>
      <w:r>
        <w:rPr>
          <w:rStyle w:val="FootnoteReference"/>
        </w:rPr>
        <w:footnoteRef/>
      </w:r>
      <w:r>
        <w:t xml:space="preserve"> Reply </w:t>
      </w:r>
      <w:r w:rsidRPr="00524CB4">
        <w:rPr>
          <w:szCs w:val="18"/>
        </w:rPr>
        <w:t>Comments of Crown Castle Fiber LLC,</w:t>
      </w:r>
      <w:r w:rsidRPr="00524CB4">
        <w:rPr>
          <w:i/>
          <w:iCs/>
          <w:szCs w:val="18"/>
        </w:rPr>
        <w:t xml:space="preserve"> Order Instituting Investigation into the Creation of a Shared Database or Statewide Census of Utility Poles and Conduit in California, </w:t>
      </w:r>
      <w:r w:rsidR="0078115B">
        <w:rPr>
          <w:i/>
          <w:iCs/>
          <w:szCs w:val="18"/>
        </w:rPr>
        <w:t>Investigation</w:t>
      </w:r>
      <w:r w:rsidR="0051059D">
        <w:rPr>
          <w:i/>
          <w:iCs/>
          <w:sz w:val="18"/>
          <w:szCs w:val="18"/>
        </w:rPr>
        <w:t> </w:t>
      </w:r>
      <w:r w:rsidRPr="00524CB4">
        <w:rPr>
          <w:i/>
          <w:iCs/>
          <w:szCs w:val="18"/>
        </w:rPr>
        <w:t>17</w:t>
      </w:r>
      <w:r w:rsidR="00E4753D">
        <w:rPr>
          <w:i/>
          <w:iCs/>
          <w:sz w:val="18"/>
          <w:szCs w:val="18"/>
        </w:rPr>
        <w:noBreakHyphen/>
      </w:r>
      <w:r w:rsidRPr="00524CB4">
        <w:rPr>
          <w:i/>
          <w:iCs/>
          <w:szCs w:val="18"/>
        </w:rPr>
        <w:t>06</w:t>
      </w:r>
      <w:r w:rsidR="00E4753D">
        <w:rPr>
          <w:i/>
          <w:iCs/>
          <w:sz w:val="18"/>
          <w:szCs w:val="18"/>
        </w:rPr>
        <w:noBreakHyphen/>
      </w:r>
      <w:r w:rsidRPr="00524CB4">
        <w:rPr>
          <w:i/>
          <w:iCs/>
          <w:szCs w:val="18"/>
        </w:rPr>
        <w:t>027</w:t>
      </w:r>
      <w:r w:rsidRPr="00524CB4">
        <w:rPr>
          <w:szCs w:val="18"/>
        </w:rPr>
        <w:t xml:space="preserve">, </w:t>
      </w:r>
      <w:r w:rsidR="0023089B">
        <w:rPr>
          <w:szCs w:val="18"/>
        </w:rPr>
        <w:t>June</w:t>
      </w:r>
      <w:r w:rsidR="0051059D">
        <w:rPr>
          <w:sz w:val="18"/>
          <w:szCs w:val="18"/>
        </w:rPr>
        <w:t> </w:t>
      </w:r>
      <w:r w:rsidRPr="00524CB4">
        <w:rPr>
          <w:szCs w:val="18"/>
        </w:rPr>
        <w:t xml:space="preserve">23, 2025 </w:t>
      </w:r>
      <w:r w:rsidR="00A91AC3">
        <w:rPr>
          <w:szCs w:val="18"/>
        </w:rPr>
        <w:t>(“</w:t>
      </w:r>
      <w:r w:rsidRPr="00524CB4">
        <w:rPr>
          <w:szCs w:val="18"/>
        </w:rPr>
        <w:t>Crown Castle Reply Comments</w:t>
      </w:r>
      <w:r w:rsidR="00A91AC3">
        <w:rPr>
          <w:szCs w:val="18"/>
        </w:rPr>
        <w:t>”)</w:t>
      </w:r>
      <w:r w:rsidR="003D7B3E">
        <w:rPr>
          <w:szCs w:val="18"/>
        </w:rPr>
        <w:t xml:space="preserve"> at pp.</w:t>
      </w:r>
      <w:r w:rsidR="0051059D">
        <w:rPr>
          <w:sz w:val="18"/>
          <w:szCs w:val="18"/>
        </w:rPr>
        <w:t> </w:t>
      </w:r>
      <w:r w:rsidR="003D7B3E">
        <w:rPr>
          <w:szCs w:val="18"/>
        </w:rPr>
        <w:t>9</w:t>
      </w:r>
      <w:r w:rsidR="00E4753D">
        <w:rPr>
          <w:sz w:val="18"/>
          <w:szCs w:val="18"/>
        </w:rPr>
        <w:noBreakHyphen/>
      </w:r>
      <w:r w:rsidRPr="00524CB4">
        <w:rPr>
          <w:szCs w:val="18"/>
        </w:rPr>
        <w:t>10.</w:t>
      </w:r>
    </w:p>
  </w:footnote>
  <w:footnote w:id="131">
    <w:p w14:paraId="72E2AB67" w14:textId="008DF65C" w:rsidR="000E19B4" w:rsidRDefault="000E19B4" w:rsidP="00524CB4">
      <w:pPr>
        <w:pStyle w:val="FootnoteText"/>
      </w:pPr>
      <w:r>
        <w:rPr>
          <w:rStyle w:val="FootnoteReference"/>
        </w:rPr>
        <w:footnoteRef/>
      </w:r>
      <w:r>
        <w:t xml:space="preserve"> </w:t>
      </w:r>
      <w:r w:rsidRPr="00524CB4">
        <w:rPr>
          <w:szCs w:val="18"/>
        </w:rPr>
        <w:t>Extenet Opening Comments</w:t>
      </w:r>
      <w:r w:rsidR="003D7B3E">
        <w:rPr>
          <w:szCs w:val="18"/>
        </w:rPr>
        <w:t xml:space="preserve"> at p.</w:t>
      </w:r>
      <w:r w:rsidR="0051059D">
        <w:rPr>
          <w:sz w:val="18"/>
          <w:szCs w:val="18"/>
        </w:rPr>
        <w:t> </w:t>
      </w:r>
      <w:r w:rsidR="003D7B3E">
        <w:rPr>
          <w:szCs w:val="18"/>
        </w:rPr>
        <w:t>8</w:t>
      </w:r>
      <w:r w:rsidRPr="00524CB4">
        <w:rPr>
          <w:szCs w:val="18"/>
        </w:rPr>
        <w:t>.</w:t>
      </w:r>
    </w:p>
  </w:footnote>
  <w:footnote w:id="132">
    <w:p w14:paraId="7CD680E8" w14:textId="7D9F8C5E" w:rsidR="000E19B4" w:rsidRDefault="000E19B4" w:rsidP="00524CB4">
      <w:pPr>
        <w:pStyle w:val="FootnoteText"/>
      </w:pPr>
      <w:r>
        <w:rPr>
          <w:rStyle w:val="FootnoteReference"/>
        </w:rPr>
        <w:footnoteRef/>
      </w:r>
      <w:r>
        <w:t xml:space="preserve"> </w:t>
      </w:r>
      <w:r w:rsidRPr="00524CB4">
        <w:rPr>
          <w:szCs w:val="18"/>
        </w:rPr>
        <w:t>PG&amp;E Reply Comments</w:t>
      </w:r>
      <w:r w:rsidR="003D7B3E">
        <w:rPr>
          <w:szCs w:val="18"/>
        </w:rPr>
        <w:t xml:space="preserve"> at pp.</w:t>
      </w:r>
      <w:r w:rsidR="0051059D">
        <w:rPr>
          <w:sz w:val="18"/>
          <w:szCs w:val="18"/>
        </w:rPr>
        <w:t> </w:t>
      </w:r>
      <w:r w:rsidR="003D7B3E">
        <w:rPr>
          <w:szCs w:val="18"/>
        </w:rPr>
        <w:t>2</w:t>
      </w:r>
      <w:r w:rsidRPr="00524CB4">
        <w:rPr>
          <w:szCs w:val="18"/>
        </w:rPr>
        <w:t>8</w:t>
      </w:r>
      <w:r w:rsidR="00E4753D">
        <w:rPr>
          <w:sz w:val="18"/>
          <w:szCs w:val="18"/>
        </w:rPr>
        <w:noBreakHyphen/>
      </w:r>
      <w:r w:rsidRPr="00524CB4">
        <w:rPr>
          <w:szCs w:val="18"/>
        </w:rPr>
        <w:t>30.</w:t>
      </w:r>
    </w:p>
  </w:footnote>
  <w:footnote w:id="133">
    <w:p w14:paraId="4C1C331A" w14:textId="5985BC10" w:rsidR="000E19B4" w:rsidRDefault="000E19B4" w:rsidP="00524CB4">
      <w:pPr>
        <w:pStyle w:val="FootnoteText"/>
      </w:pPr>
      <w:r>
        <w:rPr>
          <w:rStyle w:val="FootnoteReference"/>
        </w:rPr>
        <w:footnoteRef/>
      </w:r>
      <w:r>
        <w:t xml:space="preserve"> </w:t>
      </w:r>
      <w:r w:rsidRPr="00524CB4">
        <w:rPr>
          <w:szCs w:val="18"/>
        </w:rPr>
        <w:t>Race Opening Comments</w:t>
      </w:r>
      <w:r w:rsidR="003D7B3E">
        <w:rPr>
          <w:szCs w:val="18"/>
        </w:rPr>
        <w:t xml:space="preserve"> at pp.</w:t>
      </w:r>
      <w:r w:rsidR="0051059D">
        <w:rPr>
          <w:sz w:val="18"/>
          <w:szCs w:val="18"/>
        </w:rPr>
        <w:t> </w:t>
      </w:r>
      <w:r w:rsidR="003D7B3E">
        <w:rPr>
          <w:szCs w:val="18"/>
        </w:rPr>
        <w:t>5</w:t>
      </w:r>
      <w:r w:rsidR="00E4753D">
        <w:rPr>
          <w:sz w:val="18"/>
          <w:szCs w:val="18"/>
        </w:rPr>
        <w:noBreakHyphen/>
      </w:r>
      <w:r w:rsidRPr="00524CB4">
        <w:rPr>
          <w:szCs w:val="18"/>
        </w:rPr>
        <w:t>6.</w:t>
      </w:r>
    </w:p>
  </w:footnote>
  <w:footnote w:id="134">
    <w:p w14:paraId="70E138CB" w14:textId="26C57557" w:rsidR="000E19B4" w:rsidRDefault="000E19B4" w:rsidP="00524CB4">
      <w:pPr>
        <w:pStyle w:val="FootnoteText"/>
      </w:pPr>
      <w:r>
        <w:rPr>
          <w:rStyle w:val="FootnoteReference"/>
        </w:rPr>
        <w:footnoteRef/>
      </w:r>
      <w:r>
        <w:t xml:space="preserve"> </w:t>
      </w:r>
      <w:r w:rsidRPr="00524CB4">
        <w:rPr>
          <w:szCs w:val="18"/>
        </w:rPr>
        <w:t>SCE Opening Comments</w:t>
      </w:r>
      <w:r w:rsidR="003D7B3E">
        <w:rPr>
          <w:szCs w:val="18"/>
        </w:rPr>
        <w:t xml:space="preserve"> at p.</w:t>
      </w:r>
      <w:r w:rsidR="0051059D">
        <w:rPr>
          <w:sz w:val="18"/>
          <w:szCs w:val="18"/>
        </w:rPr>
        <w:t> </w:t>
      </w:r>
      <w:r w:rsidR="003D7B3E">
        <w:rPr>
          <w:szCs w:val="18"/>
        </w:rPr>
        <w:t>1</w:t>
      </w:r>
      <w:r w:rsidRPr="00524CB4">
        <w:rPr>
          <w:szCs w:val="18"/>
        </w:rPr>
        <w:t>9.</w:t>
      </w:r>
    </w:p>
  </w:footnote>
  <w:footnote w:id="135">
    <w:p w14:paraId="0B4CC779" w14:textId="4DCC84A8" w:rsidR="000E19B4" w:rsidRDefault="000E19B4" w:rsidP="00524CB4">
      <w:pPr>
        <w:pStyle w:val="FootnoteText"/>
      </w:pPr>
      <w:r>
        <w:rPr>
          <w:rStyle w:val="FootnoteReference"/>
        </w:rPr>
        <w:footnoteRef/>
      </w:r>
      <w:r>
        <w:t xml:space="preserve"> </w:t>
      </w:r>
      <w:r w:rsidRPr="00524CB4">
        <w:rPr>
          <w:szCs w:val="18"/>
        </w:rPr>
        <w:t>SDG&amp;E Opening Comments</w:t>
      </w:r>
      <w:r w:rsidR="003D7B3E">
        <w:rPr>
          <w:szCs w:val="18"/>
        </w:rPr>
        <w:t xml:space="preserve"> at p.</w:t>
      </w:r>
      <w:r w:rsidR="0051059D">
        <w:rPr>
          <w:sz w:val="18"/>
          <w:szCs w:val="18"/>
        </w:rPr>
        <w:t> </w:t>
      </w:r>
      <w:r w:rsidR="003D7B3E">
        <w:rPr>
          <w:szCs w:val="18"/>
        </w:rPr>
        <w:t>1</w:t>
      </w:r>
      <w:r w:rsidRPr="00524CB4">
        <w:rPr>
          <w:szCs w:val="18"/>
        </w:rPr>
        <w:t>2.</w:t>
      </w:r>
    </w:p>
  </w:footnote>
  <w:footnote w:id="136">
    <w:p w14:paraId="1B8D2D06" w14:textId="7DDECB70" w:rsidR="000E19B4" w:rsidRDefault="000E19B4" w:rsidP="00524CB4">
      <w:pPr>
        <w:pStyle w:val="FootnoteText"/>
      </w:pPr>
      <w:r>
        <w:rPr>
          <w:rStyle w:val="FootnoteReference"/>
        </w:rPr>
        <w:footnoteRef/>
      </w:r>
      <w:r>
        <w:t xml:space="preserve"> </w:t>
      </w:r>
      <w:r w:rsidRPr="00524CB4">
        <w:rPr>
          <w:szCs w:val="18"/>
        </w:rPr>
        <w:t>Sonic Opening Comments</w:t>
      </w:r>
      <w:r w:rsidR="003D7B3E">
        <w:rPr>
          <w:szCs w:val="18"/>
        </w:rPr>
        <w:t xml:space="preserve"> at pp.</w:t>
      </w:r>
      <w:r w:rsidR="0051059D">
        <w:rPr>
          <w:sz w:val="18"/>
          <w:szCs w:val="18"/>
        </w:rPr>
        <w:t> </w:t>
      </w:r>
      <w:r w:rsidR="003D7B3E">
        <w:rPr>
          <w:szCs w:val="18"/>
        </w:rPr>
        <w:t>1</w:t>
      </w:r>
      <w:r w:rsidRPr="00524CB4">
        <w:rPr>
          <w:szCs w:val="18"/>
        </w:rPr>
        <w:t>1</w:t>
      </w:r>
      <w:r w:rsidR="00E4753D">
        <w:rPr>
          <w:sz w:val="18"/>
          <w:szCs w:val="18"/>
        </w:rPr>
        <w:noBreakHyphen/>
      </w:r>
      <w:r w:rsidRPr="00524CB4">
        <w:rPr>
          <w:szCs w:val="18"/>
        </w:rPr>
        <w:t>12.</w:t>
      </w:r>
    </w:p>
  </w:footnote>
  <w:footnote w:id="137">
    <w:p w14:paraId="1204FE46" w14:textId="496FBE79" w:rsidR="000E19B4" w:rsidRDefault="000E19B4" w:rsidP="00524CB4">
      <w:pPr>
        <w:pStyle w:val="FootnoteText"/>
      </w:pPr>
      <w:r>
        <w:rPr>
          <w:rStyle w:val="FootnoteReference"/>
        </w:rPr>
        <w:footnoteRef/>
      </w:r>
      <w:r>
        <w:t xml:space="preserve"> Opening </w:t>
      </w:r>
      <w:r w:rsidRPr="00524CB4">
        <w:rPr>
          <w:szCs w:val="18"/>
        </w:rPr>
        <w:t>Comments of Surfnet</w:t>
      </w:r>
      <w:r w:rsidR="003D7B3E">
        <w:rPr>
          <w:szCs w:val="18"/>
        </w:rPr>
        <w:t xml:space="preserve"> at p.</w:t>
      </w:r>
      <w:r w:rsidR="0051059D">
        <w:rPr>
          <w:sz w:val="18"/>
          <w:szCs w:val="18"/>
        </w:rPr>
        <w:t> </w:t>
      </w:r>
      <w:r w:rsidR="003D7B3E">
        <w:rPr>
          <w:szCs w:val="18"/>
        </w:rPr>
        <w:t>7</w:t>
      </w:r>
      <w:r w:rsidRPr="00524CB4">
        <w:rPr>
          <w:szCs w:val="18"/>
        </w:rPr>
        <w:t>.</w:t>
      </w:r>
    </w:p>
  </w:footnote>
  <w:footnote w:id="138">
    <w:p w14:paraId="63437C8D" w14:textId="7B40234B" w:rsidR="005F56E2" w:rsidRDefault="005F56E2" w:rsidP="00524CB4">
      <w:pPr>
        <w:pStyle w:val="FootnoteText"/>
      </w:pPr>
      <w:r>
        <w:rPr>
          <w:rStyle w:val="FootnoteReference"/>
        </w:rPr>
        <w:footnoteRef/>
      </w:r>
      <w:r>
        <w:t xml:space="preserve"> </w:t>
      </w:r>
      <w:r w:rsidRPr="00524CB4">
        <w:rPr>
          <w:szCs w:val="18"/>
        </w:rPr>
        <w:t>Extenet Opening Comments</w:t>
      </w:r>
      <w:r w:rsidR="003D7B3E">
        <w:rPr>
          <w:szCs w:val="18"/>
        </w:rPr>
        <w:t xml:space="preserve"> at p.</w:t>
      </w:r>
      <w:r w:rsidR="0051059D">
        <w:rPr>
          <w:sz w:val="18"/>
          <w:szCs w:val="18"/>
        </w:rPr>
        <w:t> </w:t>
      </w:r>
      <w:r w:rsidR="003D7B3E">
        <w:rPr>
          <w:szCs w:val="18"/>
        </w:rPr>
        <w:t>8</w:t>
      </w:r>
      <w:r w:rsidRPr="00524CB4">
        <w:rPr>
          <w:szCs w:val="18"/>
        </w:rPr>
        <w:t>.</w:t>
      </w:r>
    </w:p>
  </w:footnote>
  <w:footnote w:id="139">
    <w:p w14:paraId="2F0E2256" w14:textId="454712E4" w:rsidR="005F56E2" w:rsidRDefault="005F56E2" w:rsidP="00524CB4">
      <w:pPr>
        <w:pStyle w:val="FootnoteText"/>
      </w:pPr>
      <w:r>
        <w:rPr>
          <w:rStyle w:val="FootnoteReference"/>
        </w:rPr>
        <w:footnoteRef/>
      </w:r>
      <w:r>
        <w:t xml:space="preserve"> </w:t>
      </w:r>
      <w:r w:rsidRPr="00524CB4">
        <w:rPr>
          <w:szCs w:val="18"/>
        </w:rPr>
        <w:t>PG&amp;E Reply Comments</w:t>
      </w:r>
      <w:r w:rsidR="003D7B3E">
        <w:rPr>
          <w:szCs w:val="18"/>
        </w:rPr>
        <w:t xml:space="preserve"> at p.</w:t>
      </w:r>
      <w:r w:rsidR="0051059D">
        <w:rPr>
          <w:sz w:val="18"/>
          <w:szCs w:val="18"/>
        </w:rPr>
        <w:t> </w:t>
      </w:r>
      <w:r w:rsidR="003D7B3E">
        <w:rPr>
          <w:szCs w:val="18"/>
        </w:rPr>
        <w:t>3</w:t>
      </w:r>
      <w:r w:rsidRPr="00524CB4">
        <w:rPr>
          <w:szCs w:val="18"/>
        </w:rPr>
        <w:t>0.</w:t>
      </w:r>
    </w:p>
  </w:footnote>
  <w:footnote w:id="140">
    <w:p w14:paraId="4C481369" w14:textId="40406F6C" w:rsidR="005F56E2" w:rsidRDefault="005F56E2" w:rsidP="00524CB4">
      <w:pPr>
        <w:pStyle w:val="FootnoteText"/>
      </w:pPr>
      <w:r>
        <w:rPr>
          <w:rStyle w:val="FootnoteReference"/>
        </w:rPr>
        <w:footnoteRef/>
      </w:r>
      <w:r>
        <w:t xml:space="preserve"> </w:t>
      </w:r>
      <w:r w:rsidRPr="00524CB4">
        <w:rPr>
          <w:szCs w:val="18"/>
        </w:rPr>
        <w:t>SCE Opening Comments</w:t>
      </w:r>
      <w:r w:rsidR="003D7B3E">
        <w:rPr>
          <w:szCs w:val="18"/>
        </w:rPr>
        <w:t xml:space="preserve"> at p.</w:t>
      </w:r>
      <w:r w:rsidR="0051059D">
        <w:rPr>
          <w:sz w:val="18"/>
          <w:szCs w:val="18"/>
        </w:rPr>
        <w:t> </w:t>
      </w:r>
      <w:r w:rsidR="003D7B3E">
        <w:rPr>
          <w:szCs w:val="18"/>
        </w:rPr>
        <w:t>2</w:t>
      </w:r>
      <w:r w:rsidRPr="00524CB4">
        <w:rPr>
          <w:szCs w:val="18"/>
        </w:rPr>
        <w:t>0.</w:t>
      </w:r>
    </w:p>
  </w:footnote>
  <w:footnote w:id="141">
    <w:p w14:paraId="041D78A4" w14:textId="1B5C20FB" w:rsidR="005F56E2" w:rsidRDefault="005F56E2" w:rsidP="00524CB4">
      <w:pPr>
        <w:pStyle w:val="FootnoteText"/>
      </w:pPr>
      <w:r>
        <w:rPr>
          <w:rStyle w:val="FootnoteReference"/>
        </w:rPr>
        <w:footnoteRef/>
      </w:r>
      <w:r>
        <w:t xml:space="preserve"> </w:t>
      </w:r>
      <w:r w:rsidRPr="00524CB4">
        <w:rPr>
          <w:szCs w:val="18"/>
        </w:rPr>
        <w:t>SDG&amp;E Opening Comments</w:t>
      </w:r>
      <w:r w:rsidR="003D7B3E">
        <w:rPr>
          <w:szCs w:val="18"/>
        </w:rPr>
        <w:t xml:space="preserve"> at p.</w:t>
      </w:r>
      <w:r w:rsidR="0051059D">
        <w:rPr>
          <w:sz w:val="18"/>
          <w:szCs w:val="18"/>
        </w:rPr>
        <w:t> </w:t>
      </w:r>
      <w:r w:rsidR="003D7B3E">
        <w:rPr>
          <w:szCs w:val="18"/>
        </w:rPr>
        <w:t>1</w:t>
      </w:r>
      <w:r w:rsidRPr="00524CB4">
        <w:rPr>
          <w:szCs w:val="18"/>
        </w:rPr>
        <w:t>2.</w:t>
      </w:r>
    </w:p>
  </w:footnote>
  <w:footnote w:id="142">
    <w:p w14:paraId="1B6A8C9B" w14:textId="538A48D6" w:rsidR="006D3EB3" w:rsidRDefault="006D3EB3" w:rsidP="00524CB4">
      <w:pPr>
        <w:pStyle w:val="FootnoteText"/>
      </w:pPr>
      <w:r>
        <w:rPr>
          <w:rStyle w:val="FootnoteReference"/>
        </w:rPr>
        <w:footnoteRef/>
      </w:r>
      <w:r>
        <w:t xml:space="preserve"> </w:t>
      </w:r>
      <w:r w:rsidRPr="00524CB4">
        <w:rPr>
          <w:szCs w:val="18"/>
        </w:rPr>
        <w:t>AT&amp;T Opening Comments</w:t>
      </w:r>
      <w:r w:rsidR="003D7B3E">
        <w:rPr>
          <w:szCs w:val="18"/>
        </w:rPr>
        <w:t xml:space="preserve"> at p.</w:t>
      </w:r>
      <w:r w:rsidR="0051059D">
        <w:rPr>
          <w:sz w:val="18"/>
          <w:szCs w:val="18"/>
        </w:rPr>
        <w:t> </w:t>
      </w:r>
      <w:r w:rsidR="003D7B3E">
        <w:rPr>
          <w:szCs w:val="18"/>
        </w:rPr>
        <w:t>1</w:t>
      </w:r>
      <w:r w:rsidRPr="00524CB4">
        <w:rPr>
          <w:szCs w:val="18"/>
        </w:rPr>
        <w:t>0.</w:t>
      </w:r>
    </w:p>
  </w:footnote>
  <w:footnote w:id="143">
    <w:p w14:paraId="61A0E342" w14:textId="0C72C868" w:rsidR="006D3EB3" w:rsidRDefault="006D3EB3" w:rsidP="00524CB4">
      <w:pPr>
        <w:pStyle w:val="FootnoteText"/>
      </w:pPr>
      <w:r>
        <w:rPr>
          <w:rStyle w:val="FootnoteReference"/>
        </w:rPr>
        <w:footnoteRef/>
      </w:r>
      <w:r>
        <w:t xml:space="preserve"> </w:t>
      </w:r>
      <w:r w:rsidRPr="00524CB4">
        <w:rPr>
          <w:szCs w:val="18"/>
        </w:rPr>
        <w:t>California Broadband and Video Association Opening Comments</w:t>
      </w:r>
      <w:r w:rsidR="003D7B3E">
        <w:rPr>
          <w:szCs w:val="18"/>
        </w:rPr>
        <w:t xml:space="preserve"> at p.</w:t>
      </w:r>
      <w:r w:rsidR="0051059D">
        <w:rPr>
          <w:sz w:val="18"/>
          <w:szCs w:val="18"/>
        </w:rPr>
        <w:t> </w:t>
      </w:r>
      <w:r w:rsidR="003D7B3E">
        <w:rPr>
          <w:szCs w:val="18"/>
        </w:rPr>
        <w:t>1</w:t>
      </w:r>
      <w:r w:rsidRPr="00524CB4">
        <w:rPr>
          <w:szCs w:val="18"/>
        </w:rPr>
        <w:t>8.</w:t>
      </w:r>
    </w:p>
  </w:footnote>
  <w:footnote w:id="144">
    <w:p w14:paraId="743B49B8" w14:textId="261E0056" w:rsidR="006D3EB3" w:rsidRDefault="006D3EB3" w:rsidP="00524CB4">
      <w:pPr>
        <w:pStyle w:val="FootnoteText"/>
      </w:pPr>
      <w:r>
        <w:rPr>
          <w:rStyle w:val="FootnoteReference"/>
        </w:rPr>
        <w:footnoteRef/>
      </w:r>
      <w:r>
        <w:t xml:space="preserve"> </w:t>
      </w:r>
      <w:r w:rsidRPr="00524CB4">
        <w:rPr>
          <w:szCs w:val="18"/>
        </w:rPr>
        <w:t>Extenet Opening Comments</w:t>
      </w:r>
      <w:r w:rsidR="003D7B3E">
        <w:rPr>
          <w:szCs w:val="18"/>
        </w:rPr>
        <w:t xml:space="preserve"> at pp.</w:t>
      </w:r>
      <w:r w:rsidR="0051059D">
        <w:rPr>
          <w:sz w:val="18"/>
          <w:szCs w:val="18"/>
        </w:rPr>
        <w:t> </w:t>
      </w:r>
      <w:r w:rsidR="003D7B3E">
        <w:rPr>
          <w:szCs w:val="18"/>
        </w:rPr>
        <w:t>8</w:t>
      </w:r>
      <w:r w:rsidR="00E4753D">
        <w:rPr>
          <w:sz w:val="18"/>
          <w:szCs w:val="18"/>
        </w:rPr>
        <w:noBreakHyphen/>
      </w:r>
      <w:r w:rsidRPr="00524CB4">
        <w:rPr>
          <w:szCs w:val="18"/>
        </w:rPr>
        <w:t>9.</w:t>
      </w:r>
    </w:p>
  </w:footnote>
  <w:footnote w:id="145">
    <w:p w14:paraId="21880385" w14:textId="5428F84C" w:rsidR="006D3EB3" w:rsidRDefault="006D3EB3" w:rsidP="00524CB4">
      <w:pPr>
        <w:pStyle w:val="FootnoteText"/>
      </w:pPr>
      <w:r>
        <w:rPr>
          <w:rStyle w:val="FootnoteReference"/>
        </w:rPr>
        <w:footnoteRef/>
      </w:r>
      <w:r>
        <w:t xml:space="preserve"> </w:t>
      </w:r>
      <w:r w:rsidRPr="00524CB4">
        <w:rPr>
          <w:szCs w:val="18"/>
        </w:rPr>
        <w:t>PG&amp;E Reply Comments</w:t>
      </w:r>
      <w:r w:rsidR="003D7B3E">
        <w:rPr>
          <w:szCs w:val="18"/>
        </w:rPr>
        <w:t xml:space="preserve"> at pp.</w:t>
      </w:r>
      <w:r w:rsidR="0051059D">
        <w:rPr>
          <w:sz w:val="18"/>
          <w:szCs w:val="18"/>
        </w:rPr>
        <w:t> </w:t>
      </w:r>
      <w:r w:rsidR="003D7B3E">
        <w:rPr>
          <w:szCs w:val="18"/>
        </w:rPr>
        <w:t>3</w:t>
      </w:r>
      <w:r w:rsidRPr="00524CB4">
        <w:rPr>
          <w:szCs w:val="18"/>
        </w:rPr>
        <w:t>0</w:t>
      </w:r>
      <w:r w:rsidR="00E4753D">
        <w:rPr>
          <w:sz w:val="18"/>
          <w:szCs w:val="18"/>
        </w:rPr>
        <w:noBreakHyphen/>
      </w:r>
      <w:r w:rsidRPr="00524CB4">
        <w:rPr>
          <w:szCs w:val="18"/>
        </w:rPr>
        <w:t>31.</w:t>
      </w:r>
    </w:p>
  </w:footnote>
  <w:footnote w:id="146">
    <w:p w14:paraId="79FBB98A" w14:textId="4F9EBB17" w:rsidR="006D3EB3" w:rsidRDefault="006D3EB3" w:rsidP="00524CB4">
      <w:pPr>
        <w:pStyle w:val="FootnoteText"/>
      </w:pPr>
      <w:r>
        <w:rPr>
          <w:rStyle w:val="FootnoteReference"/>
        </w:rPr>
        <w:footnoteRef/>
      </w:r>
      <w:r>
        <w:t xml:space="preserve"> </w:t>
      </w:r>
      <w:r w:rsidRPr="00524CB4">
        <w:rPr>
          <w:szCs w:val="18"/>
        </w:rPr>
        <w:t>Race Opening Comments</w:t>
      </w:r>
      <w:r w:rsidR="003D7B3E">
        <w:rPr>
          <w:szCs w:val="18"/>
        </w:rPr>
        <w:t xml:space="preserve"> at p.</w:t>
      </w:r>
      <w:r w:rsidR="0051059D">
        <w:rPr>
          <w:sz w:val="18"/>
          <w:szCs w:val="18"/>
        </w:rPr>
        <w:t> </w:t>
      </w:r>
      <w:r w:rsidR="003D7B3E">
        <w:rPr>
          <w:szCs w:val="18"/>
        </w:rPr>
        <w:t>7</w:t>
      </w:r>
      <w:r w:rsidRPr="00524CB4">
        <w:rPr>
          <w:szCs w:val="18"/>
        </w:rPr>
        <w:t>.</w:t>
      </w:r>
    </w:p>
  </w:footnote>
  <w:footnote w:id="147">
    <w:p w14:paraId="4909D420" w14:textId="129BEE7D" w:rsidR="006D3EB3" w:rsidRDefault="006D3EB3" w:rsidP="00524CB4">
      <w:pPr>
        <w:pStyle w:val="FootnoteText"/>
      </w:pPr>
      <w:r>
        <w:rPr>
          <w:rStyle w:val="FootnoteReference"/>
        </w:rPr>
        <w:footnoteRef/>
      </w:r>
      <w:r>
        <w:t xml:space="preserve"> </w:t>
      </w:r>
      <w:r w:rsidRPr="00524CB4">
        <w:rPr>
          <w:szCs w:val="18"/>
        </w:rPr>
        <w:t>SCE Opening Comments</w:t>
      </w:r>
      <w:r w:rsidR="003D7B3E">
        <w:rPr>
          <w:szCs w:val="18"/>
        </w:rPr>
        <w:t xml:space="preserve"> at p.</w:t>
      </w:r>
      <w:r w:rsidR="0051059D">
        <w:rPr>
          <w:sz w:val="18"/>
          <w:szCs w:val="18"/>
        </w:rPr>
        <w:t> </w:t>
      </w:r>
      <w:r w:rsidR="003D7B3E">
        <w:rPr>
          <w:szCs w:val="18"/>
        </w:rPr>
        <w:t>2</w:t>
      </w:r>
      <w:r w:rsidRPr="00524CB4">
        <w:rPr>
          <w:szCs w:val="18"/>
        </w:rPr>
        <w:t>0.</w:t>
      </w:r>
    </w:p>
  </w:footnote>
  <w:footnote w:id="148">
    <w:p w14:paraId="191BA62B" w14:textId="6A1FAD36" w:rsidR="006D3EB3" w:rsidRDefault="006D3EB3" w:rsidP="00524CB4">
      <w:pPr>
        <w:pStyle w:val="FootnoteText"/>
      </w:pPr>
      <w:r>
        <w:rPr>
          <w:rStyle w:val="FootnoteReference"/>
        </w:rPr>
        <w:footnoteRef/>
      </w:r>
      <w:r>
        <w:t xml:space="preserve"> </w:t>
      </w:r>
      <w:r w:rsidRPr="00524CB4">
        <w:rPr>
          <w:szCs w:val="18"/>
        </w:rPr>
        <w:t>SDG&amp;E Opening Comments</w:t>
      </w:r>
      <w:r w:rsidR="003D7B3E">
        <w:rPr>
          <w:szCs w:val="18"/>
        </w:rPr>
        <w:t xml:space="preserve"> at pp.</w:t>
      </w:r>
      <w:r w:rsidR="0051059D">
        <w:rPr>
          <w:sz w:val="18"/>
          <w:szCs w:val="18"/>
        </w:rPr>
        <w:t> </w:t>
      </w:r>
      <w:r w:rsidR="003D7B3E">
        <w:rPr>
          <w:szCs w:val="18"/>
        </w:rPr>
        <w:t>1</w:t>
      </w:r>
      <w:r w:rsidRPr="00524CB4">
        <w:rPr>
          <w:szCs w:val="18"/>
        </w:rPr>
        <w:t>3</w:t>
      </w:r>
      <w:r w:rsidR="00E4753D">
        <w:rPr>
          <w:sz w:val="18"/>
          <w:szCs w:val="18"/>
        </w:rPr>
        <w:noBreakHyphen/>
      </w:r>
      <w:r w:rsidRPr="00524CB4">
        <w:rPr>
          <w:szCs w:val="18"/>
        </w:rPr>
        <w:t>14.</w:t>
      </w:r>
    </w:p>
  </w:footnote>
  <w:footnote w:id="149">
    <w:p w14:paraId="465333B9" w14:textId="584842F5" w:rsidR="00584FC7" w:rsidRDefault="00584FC7" w:rsidP="00524CB4">
      <w:pPr>
        <w:pStyle w:val="FootnoteText"/>
      </w:pPr>
      <w:r>
        <w:rPr>
          <w:rStyle w:val="FootnoteReference"/>
        </w:rPr>
        <w:footnoteRef/>
      </w:r>
      <w:r>
        <w:t xml:space="preserve"> </w:t>
      </w:r>
      <w:r w:rsidRPr="00524CB4">
        <w:rPr>
          <w:szCs w:val="18"/>
        </w:rPr>
        <w:t>California Broadband and Video Association Opening Comments</w:t>
      </w:r>
      <w:r w:rsidR="003D7B3E">
        <w:rPr>
          <w:szCs w:val="18"/>
        </w:rPr>
        <w:t xml:space="preserve"> at pp.</w:t>
      </w:r>
      <w:r w:rsidR="0051059D">
        <w:rPr>
          <w:sz w:val="18"/>
          <w:szCs w:val="18"/>
        </w:rPr>
        <w:t> </w:t>
      </w:r>
      <w:r w:rsidR="003D7B3E">
        <w:rPr>
          <w:szCs w:val="18"/>
        </w:rPr>
        <w:t>1</w:t>
      </w:r>
      <w:r w:rsidRPr="00524CB4">
        <w:rPr>
          <w:szCs w:val="18"/>
        </w:rPr>
        <w:t>3</w:t>
      </w:r>
      <w:r w:rsidR="00E4753D">
        <w:rPr>
          <w:sz w:val="18"/>
          <w:szCs w:val="18"/>
        </w:rPr>
        <w:noBreakHyphen/>
      </w:r>
      <w:r w:rsidRPr="00524CB4">
        <w:rPr>
          <w:szCs w:val="18"/>
        </w:rPr>
        <w:t>14.</w:t>
      </w:r>
    </w:p>
  </w:footnote>
  <w:footnote w:id="150">
    <w:p w14:paraId="00F426F0" w14:textId="3F40AF6D" w:rsidR="00584FC7" w:rsidRDefault="00584FC7" w:rsidP="00524CB4">
      <w:pPr>
        <w:pStyle w:val="FootnoteText"/>
      </w:pPr>
      <w:r>
        <w:rPr>
          <w:rStyle w:val="FootnoteReference"/>
        </w:rPr>
        <w:footnoteRef/>
      </w:r>
      <w:r>
        <w:t xml:space="preserve"> </w:t>
      </w:r>
      <w:r w:rsidRPr="00524CB4">
        <w:rPr>
          <w:szCs w:val="18"/>
        </w:rPr>
        <w:t>Crown Castle Opening Comments</w:t>
      </w:r>
      <w:r w:rsidR="003D7B3E">
        <w:rPr>
          <w:szCs w:val="18"/>
        </w:rPr>
        <w:t xml:space="preserve"> at pp.</w:t>
      </w:r>
      <w:r w:rsidR="0051059D">
        <w:rPr>
          <w:sz w:val="18"/>
          <w:szCs w:val="18"/>
        </w:rPr>
        <w:t> </w:t>
      </w:r>
      <w:r w:rsidR="003D7B3E">
        <w:rPr>
          <w:szCs w:val="18"/>
        </w:rPr>
        <w:t>9</w:t>
      </w:r>
      <w:r w:rsidR="00E4753D">
        <w:rPr>
          <w:sz w:val="18"/>
          <w:szCs w:val="18"/>
        </w:rPr>
        <w:noBreakHyphen/>
      </w:r>
      <w:r w:rsidRPr="00524CB4">
        <w:rPr>
          <w:szCs w:val="18"/>
        </w:rPr>
        <w:t>10.</w:t>
      </w:r>
    </w:p>
  </w:footnote>
  <w:footnote w:id="151">
    <w:p w14:paraId="318679CA" w14:textId="02326438" w:rsidR="00584FC7" w:rsidRDefault="00584FC7" w:rsidP="00524CB4">
      <w:pPr>
        <w:pStyle w:val="FootnoteText"/>
      </w:pPr>
      <w:r>
        <w:rPr>
          <w:rStyle w:val="FootnoteReference"/>
        </w:rPr>
        <w:footnoteRef/>
      </w:r>
      <w:r>
        <w:t xml:space="preserve"> </w:t>
      </w:r>
      <w:r w:rsidRPr="00524CB4">
        <w:rPr>
          <w:szCs w:val="18"/>
        </w:rPr>
        <w:t>Extenet Opening Comments</w:t>
      </w:r>
      <w:r w:rsidR="003D7B3E">
        <w:rPr>
          <w:szCs w:val="18"/>
        </w:rPr>
        <w:t xml:space="preserve"> at p.</w:t>
      </w:r>
      <w:r w:rsidR="0051059D">
        <w:rPr>
          <w:sz w:val="18"/>
          <w:szCs w:val="18"/>
        </w:rPr>
        <w:t> </w:t>
      </w:r>
      <w:r w:rsidR="003D7B3E">
        <w:rPr>
          <w:szCs w:val="18"/>
        </w:rPr>
        <w:t>9</w:t>
      </w:r>
      <w:r w:rsidRPr="00524CB4">
        <w:rPr>
          <w:szCs w:val="18"/>
        </w:rPr>
        <w:t>.</w:t>
      </w:r>
    </w:p>
  </w:footnote>
  <w:footnote w:id="152">
    <w:p w14:paraId="0EFB017F" w14:textId="1E2277C4" w:rsidR="00584FC7" w:rsidRDefault="00584FC7" w:rsidP="00524CB4">
      <w:pPr>
        <w:pStyle w:val="FootnoteText"/>
      </w:pPr>
      <w:r>
        <w:rPr>
          <w:rStyle w:val="FootnoteReference"/>
        </w:rPr>
        <w:footnoteRef/>
      </w:r>
      <w:r>
        <w:t xml:space="preserve"> </w:t>
      </w:r>
      <w:r w:rsidRPr="00524CB4">
        <w:rPr>
          <w:szCs w:val="18"/>
        </w:rPr>
        <w:t>PG&amp;E Reply Comments</w:t>
      </w:r>
      <w:r w:rsidR="003D7B3E">
        <w:rPr>
          <w:szCs w:val="18"/>
        </w:rPr>
        <w:t xml:space="preserve"> at p.</w:t>
      </w:r>
      <w:r w:rsidR="0051059D">
        <w:rPr>
          <w:sz w:val="18"/>
          <w:szCs w:val="18"/>
        </w:rPr>
        <w:t> </w:t>
      </w:r>
      <w:r w:rsidR="003D7B3E">
        <w:rPr>
          <w:szCs w:val="18"/>
        </w:rPr>
        <w:t>3</w:t>
      </w:r>
      <w:r w:rsidRPr="00524CB4">
        <w:rPr>
          <w:szCs w:val="18"/>
        </w:rPr>
        <w:t>0.</w:t>
      </w:r>
    </w:p>
  </w:footnote>
  <w:footnote w:id="153">
    <w:p w14:paraId="4E750C36" w14:textId="1DC089F8" w:rsidR="00584FC7" w:rsidRDefault="00584FC7" w:rsidP="00524CB4">
      <w:pPr>
        <w:pStyle w:val="FootnoteText"/>
      </w:pPr>
      <w:r>
        <w:rPr>
          <w:rStyle w:val="FootnoteReference"/>
        </w:rPr>
        <w:footnoteRef/>
      </w:r>
      <w:r>
        <w:t xml:space="preserve"> </w:t>
      </w:r>
      <w:r w:rsidRPr="00524CB4">
        <w:rPr>
          <w:szCs w:val="18"/>
        </w:rPr>
        <w:t>Race Opening Comments</w:t>
      </w:r>
      <w:r w:rsidR="003D7B3E">
        <w:rPr>
          <w:szCs w:val="18"/>
        </w:rPr>
        <w:t xml:space="preserve"> at p.</w:t>
      </w:r>
      <w:r w:rsidR="0051059D">
        <w:rPr>
          <w:sz w:val="18"/>
          <w:szCs w:val="18"/>
        </w:rPr>
        <w:t> </w:t>
      </w:r>
      <w:r w:rsidR="003D7B3E">
        <w:rPr>
          <w:szCs w:val="18"/>
        </w:rPr>
        <w:t>7</w:t>
      </w:r>
      <w:r w:rsidRPr="00524CB4">
        <w:rPr>
          <w:szCs w:val="18"/>
        </w:rPr>
        <w:t>.</w:t>
      </w:r>
    </w:p>
  </w:footnote>
  <w:footnote w:id="154">
    <w:p w14:paraId="7B62561B" w14:textId="1DEDEF3A" w:rsidR="00584FC7" w:rsidRDefault="00584FC7" w:rsidP="00524CB4">
      <w:pPr>
        <w:pStyle w:val="FootnoteText"/>
      </w:pPr>
      <w:r>
        <w:rPr>
          <w:rStyle w:val="FootnoteReference"/>
        </w:rPr>
        <w:footnoteRef/>
      </w:r>
      <w:r>
        <w:t xml:space="preserve"> </w:t>
      </w:r>
      <w:r w:rsidRPr="00524CB4">
        <w:rPr>
          <w:szCs w:val="18"/>
        </w:rPr>
        <w:t>SCE Opening Comments</w:t>
      </w:r>
      <w:r w:rsidR="003D7B3E">
        <w:rPr>
          <w:szCs w:val="18"/>
        </w:rPr>
        <w:t xml:space="preserve"> at p.</w:t>
      </w:r>
      <w:r w:rsidR="0051059D">
        <w:rPr>
          <w:sz w:val="18"/>
          <w:szCs w:val="18"/>
        </w:rPr>
        <w:t> </w:t>
      </w:r>
      <w:r w:rsidR="003D7B3E">
        <w:rPr>
          <w:szCs w:val="18"/>
        </w:rPr>
        <w:t>2</w:t>
      </w:r>
      <w:r w:rsidRPr="00524CB4">
        <w:rPr>
          <w:szCs w:val="18"/>
        </w:rPr>
        <w:t>0.</w:t>
      </w:r>
    </w:p>
  </w:footnote>
  <w:footnote w:id="155">
    <w:p w14:paraId="068E5448" w14:textId="1BE2A66D" w:rsidR="00584FC7" w:rsidRDefault="00584FC7" w:rsidP="00524CB4">
      <w:pPr>
        <w:pStyle w:val="FootnoteText"/>
      </w:pPr>
      <w:r>
        <w:rPr>
          <w:rStyle w:val="FootnoteReference"/>
        </w:rPr>
        <w:footnoteRef/>
      </w:r>
      <w:r>
        <w:t xml:space="preserve"> </w:t>
      </w:r>
      <w:r w:rsidRPr="00524CB4">
        <w:rPr>
          <w:szCs w:val="18"/>
        </w:rPr>
        <w:t>SDG&amp;E Opening Comments</w:t>
      </w:r>
      <w:r w:rsidR="003D7B3E">
        <w:rPr>
          <w:szCs w:val="18"/>
        </w:rPr>
        <w:t xml:space="preserve"> at p.</w:t>
      </w:r>
      <w:r w:rsidR="0051059D">
        <w:rPr>
          <w:sz w:val="18"/>
          <w:szCs w:val="18"/>
        </w:rPr>
        <w:t> </w:t>
      </w:r>
      <w:r w:rsidR="003D7B3E">
        <w:rPr>
          <w:szCs w:val="18"/>
        </w:rPr>
        <w:t>1</w:t>
      </w:r>
      <w:r w:rsidRPr="00524CB4">
        <w:rPr>
          <w:szCs w:val="18"/>
        </w:rPr>
        <w:t>4.</w:t>
      </w:r>
    </w:p>
  </w:footnote>
  <w:footnote w:id="156">
    <w:p w14:paraId="1D43F50C" w14:textId="5A42E53E" w:rsidR="00584FC7" w:rsidRDefault="00584FC7" w:rsidP="00524CB4">
      <w:pPr>
        <w:pStyle w:val="FootnoteText"/>
      </w:pPr>
      <w:r>
        <w:rPr>
          <w:rStyle w:val="FootnoteReference"/>
        </w:rPr>
        <w:footnoteRef/>
      </w:r>
      <w:r>
        <w:t xml:space="preserve"> </w:t>
      </w:r>
      <w:r w:rsidRPr="00524CB4">
        <w:rPr>
          <w:szCs w:val="18"/>
        </w:rPr>
        <w:t>Sonic Opening Comments</w:t>
      </w:r>
      <w:r w:rsidR="003D7B3E">
        <w:rPr>
          <w:szCs w:val="18"/>
        </w:rPr>
        <w:t xml:space="preserve"> at p.</w:t>
      </w:r>
      <w:r w:rsidR="0051059D">
        <w:rPr>
          <w:sz w:val="18"/>
          <w:szCs w:val="18"/>
        </w:rPr>
        <w:t> </w:t>
      </w:r>
      <w:r w:rsidR="003D7B3E">
        <w:rPr>
          <w:szCs w:val="18"/>
        </w:rPr>
        <w:t>1</w:t>
      </w:r>
      <w:r w:rsidRPr="00524CB4">
        <w:rPr>
          <w:szCs w:val="18"/>
        </w:rPr>
        <w:t>4.</w:t>
      </w:r>
    </w:p>
  </w:footnote>
  <w:footnote w:id="157">
    <w:p w14:paraId="531C8B40" w14:textId="0321CD2F" w:rsidR="00584FC7" w:rsidRDefault="00584FC7" w:rsidP="00524CB4">
      <w:pPr>
        <w:pStyle w:val="FootnoteText"/>
      </w:pPr>
      <w:r>
        <w:rPr>
          <w:rStyle w:val="FootnoteReference"/>
        </w:rPr>
        <w:footnoteRef/>
      </w:r>
      <w:r>
        <w:t xml:space="preserve"> </w:t>
      </w:r>
      <w:r w:rsidR="00BD4FC3">
        <w:t xml:space="preserve">Surfnet </w:t>
      </w:r>
      <w:r>
        <w:t xml:space="preserve">Opening </w:t>
      </w:r>
      <w:r w:rsidRPr="00524CB4">
        <w:rPr>
          <w:szCs w:val="18"/>
        </w:rPr>
        <w:t>Comments</w:t>
      </w:r>
      <w:r w:rsidR="003D7B3E">
        <w:rPr>
          <w:szCs w:val="18"/>
        </w:rPr>
        <w:t xml:space="preserve"> at p.</w:t>
      </w:r>
      <w:r w:rsidR="0051059D">
        <w:rPr>
          <w:sz w:val="18"/>
          <w:szCs w:val="18"/>
        </w:rPr>
        <w:t> </w:t>
      </w:r>
      <w:r w:rsidR="003D7B3E">
        <w:rPr>
          <w:szCs w:val="18"/>
        </w:rPr>
        <w:t>7</w:t>
      </w:r>
      <w:r w:rsidRPr="00524CB4">
        <w:rPr>
          <w:szCs w:val="18"/>
        </w:rPr>
        <w:t>.</w:t>
      </w:r>
    </w:p>
  </w:footnote>
  <w:footnote w:id="158">
    <w:p w14:paraId="72778904" w14:textId="19B0DC35" w:rsidR="0092433B" w:rsidRDefault="0092433B" w:rsidP="00524CB4">
      <w:pPr>
        <w:pStyle w:val="FootnoteText"/>
      </w:pPr>
      <w:r>
        <w:rPr>
          <w:rStyle w:val="FootnoteReference"/>
        </w:rPr>
        <w:footnoteRef/>
      </w:r>
      <w:r>
        <w:t xml:space="preserve"> </w:t>
      </w:r>
      <w:r w:rsidRPr="00524CB4">
        <w:rPr>
          <w:szCs w:val="18"/>
        </w:rPr>
        <w:t>AT&amp;T Opening Comments</w:t>
      </w:r>
      <w:r w:rsidR="003D7B3E">
        <w:rPr>
          <w:szCs w:val="18"/>
        </w:rPr>
        <w:t xml:space="preserve"> at p.</w:t>
      </w:r>
      <w:r w:rsidR="0051059D">
        <w:rPr>
          <w:sz w:val="18"/>
          <w:szCs w:val="18"/>
        </w:rPr>
        <w:t> </w:t>
      </w:r>
      <w:r w:rsidR="003D7B3E">
        <w:rPr>
          <w:szCs w:val="18"/>
        </w:rPr>
        <w:t>1</w:t>
      </w:r>
      <w:r w:rsidRPr="00524CB4">
        <w:rPr>
          <w:szCs w:val="18"/>
        </w:rPr>
        <w:t>1.</w:t>
      </w:r>
    </w:p>
  </w:footnote>
  <w:footnote w:id="159">
    <w:p w14:paraId="6ED0482D" w14:textId="66880DBD" w:rsidR="0092433B" w:rsidRDefault="0092433B" w:rsidP="00524CB4">
      <w:pPr>
        <w:pStyle w:val="FootnoteText"/>
      </w:pPr>
      <w:r>
        <w:rPr>
          <w:rStyle w:val="FootnoteReference"/>
        </w:rPr>
        <w:footnoteRef/>
      </w:r>
      <w:r>
        <w:t xml:space="preserve"> </w:t>
      </w:r>
      <w:r w:rsidRPr="00524CB4">
        <w:rPr>
          <w:szCs w:val="18"/>
        </w:rPr>
        <w:t>Race Opening Comments</w:t>
      </w:r>
      <w:r w:rsidR="003D7B3E">
        <w:rPr>
          <w:szCs w:val="18"/>
        </w:rPr>
        <w:t xml:space="preserve"> at p.</w:t>
      </w:r>
      <w:r w:rsidR="0051059D">
        <w:rPr>
          <w:sz w:val="18"/>
          <w:szCs w:val="18"/>
        </w:rPr>
        <w:t> </w:t>
      </w:r>
      <w:r w:rsidR="003D7B3E">
        <w:rPr>
          <w:szCs w:val="18"/>
        </w:rPr>
        <w:t>7</w:t>
      </w:r>
      <w:r w:rsidRPr="00524CB4">
        <w:rPr>
          <w:szCs w:val="18"/>
        </w:rPr>
        <w:t>.</w:t>
      </w:r>
    </w:p>
  </w:footnote>
  <w:footnote w:id="160">
    <w:p w14:paraId="476DCB93" w14:textId="3DEDCFCE" w:rsidR="0092433B" w:rsidRDefault="0092433B" w:rsidP="00524CB4">
      <w:pPr>
        <w:pStyle w:val="FootnoteText"/>
      </w:pPr>
      <w:r>
        <w:rPr>
          <w:rStyle w:val="FootnoteReference"/>
        </w:rPr>
        <w:footnoteRef/>
      </w:r>
      <w:r>
        <w:t xml:space="preserve"> </w:t>
      </w:r>
      <w:r w:rsidRPr="00524CB4">
        <w:rPr>
          <w:szCs w:val="18"/>
        </w:rPr>
        <w:t>SCE Opening Comments</w:t>
      </w:r>
      <w:r w:rsidR="003D7B3E">
        <w:rPr>
          <w:szCs w:val="18"/>
        </w:rPr>
        <w:t xml:space="preserve"> at p.</w:t>
      </w:r>
      <w:r w:rsidR="0051059D">
        <w:rPr>
          <w:sz w:val="18"/>
          <w:szCs w:val="18"/>
        </w:rPr>
        <w:t> </w:t>
      </w:r>
      <w:r w:rsidR="003D7B3E">
        <w:rPr>
          <w:szCs w:val="18"/>
        </w:rPr>
        <w:t>2</w:t>
      </w:r>
      <w:r w:rsidRPr="00524CB4">
        <w:rPr>
          <w:szCs w:val="18"/>
        </w:rPr>
        <w:t>1.</w:t>
      </w:r>
    </w:p>
  </w:footnote>
  <w:footnote w:id="161">
    <w:p w14:paraId="5A27AF87" w14:textId="1B758B6B" w:rsidR="0092433B" w:rsidRDefault="0092433B" w:rsidP="00524CB4">
      <w:pPr>
        <w:pStyle w:val="FootnoteText"/>
      </w:pPr>
      <w:r>
        <w:rPr>
          <w:rStyle w:val="FootnoteReference"/>
        </w:rPr>
        <w:footnoteRef/>
      </w:r>
      <w:r>
        <w:t xml:space="preserve"> </w:t>
      </w:r>
      <w:r w:rsidRPr="00524CB4">
        <w:rPr>
          <w:szCs w:val="18"/>
        </w:rPr>
        <w:t>SDG&amp;E Opening Comments</w:t>
      </w:r>
      <w:r w:rsidR="003D7B3E">
        <w:rPr>
          <w:szCs w:val="18"/>
        </w:rPr>
        <w:t xml:space="preserve"> at p.</w:t>
      </w:r>
      <w:r w:rsidR="0051059D">
        <w:rPr>
          <w:sz w:val="18"/>
          <w:szCs w:val="18"/>
        </w:rPr>
        <w:t> </w:t>
      </w:r>
      <w:r w:rsidR="003D7B3E">
        <w:rPr>
          <w:szCs w:val="18"/>
        </w:rPr>
        <w:t>1</w:t>
      </w:r>
      <w:r w:rsidRPr="00524CB4">
        <w:rPr>
          <w:szCs w:val="18"/>
        </w:rPr>
        <w:t>5.</w:t>
      </w:r>
    </w:p>
  </w:footnote>
  <w:footnote w:id="162">
    <w:p w14:paraId="3F85A1D0" w14:textId="4410DA5E" w:rsidR="0092433B" w:rsidRDefault="0092433B" w:rsidP="00524CB4">
      <w:pPr>
        <w:pStyle w:val="FootnoteText"/>
      </w:pPr>
      <w:r>
        <w:rPr>
          <w:rStyle w:val="FootnoteReference"/>
        </w:rPr>
        <w:footnoteRef/>
      </w:r>
      <w:r>
        <w:t xml:space="preserve"> </w:t>
      </w:r>
      <w:r w:rsidRPr="00524CB4">
        <w:rPr>
          <w:szCs w:val="18"/>
        </w:rPr>
        <w:t>California Broadband and Video Association Opening Comments</w:t>
      </w:r>
      <w:r w:rsidR="003D7B3E">
        <w:rPr>
          <w:szCs w:val="18"/>
        </w:rPr>
        <w:t xml:space="preserve"> at p.</w:t>
      </w:r>
      <w:r w:rsidR="0051059D">
        <w:rPr>
          <w:sz w:val="18"/>
          <w:szCs w:val="18"/>
        </w:rPr>
        <w:t> </w:t>
      </w:r>
      <w:r w:rsidR="003D7B3E">
        <w:rPr>
          <w:szCs w:val="18"/>
        </w:rPr>
        <w:t>1</w:t>
      </w:r>
      <w:r w:rsidRPr="00524CB4">
        <w:rPr>
          <w:szCs w:val="18"/>
        </w:rPr>
        <w:t>8.</w:t>
      </w:r>
    </w:p>
  </w:footnote>
  <w:footnote w:id="163">
    <w:p w14:paraId="049D8541" w14:textId="7A60C710" w:rsidR="0092433B" w:rsidRDefault="0092433B" w:rsidP="00524CB4">
      <w:pPr>
        <w:pStyle w:val="FootnoteText"/>
      </w:pPr>
      <w:r>
        <w:rPr>
          <w:rStyle w:val="FootnoteReference"/>
        </w:rPr>
        <w:footnoteRef/>
      </w:r>
      <w:r>
        <w:t xml:space="preserve"> </w:t>
      </w:r>
      <w:r w:rsidRPr="00524CB4">
        <w:rPr>
          <w:szCs w:val="18"/>
        </w:rPr>
        <w:t>Extenet Opening Comments</w:t>
      </w:r>
      <w:r w:rsidR="003D7B3E">
        <w:rPr>
          <w:szCs w:val="18"/>
        </w:rPr>
        <w:t xml:space="preserve"> at p.</w:t>
      </w:r>
      <w:r w:rsidR="0051059D">
        <w:rPr>
          <w:sz w:val="18"/>
          <w:szCs w:val="18"/>
        </w:rPr>
        <w:t> </w:t>
      </w:r>
      <w:r w:rsidR="003D7B3E">
        <w:rPr>
          <w:szCs w:val="18"/>
        </w:rPr>
        <w:t>9</w:t>
      </w:r>
      <w:r w:rsidRPr="00524CB4">
        <w:rPr>
          <w:szCs w:val="18"/>
        </w:rPr>
        <w:t>.</w:t>
      </w:r>
    </w:p>
  </w:footnote>
  <w:footnote w:id="164">
    <w:p w14:paraId="2A0DB62D" w14:textId="3ACD76E8" w:rsidR="0092433B" w:rsidRDefault="0092433B" w:rsidP="00524CB4">
      <w:pPr>
        <w:pStyle w:val="FootnoteText"/>
      </w:pPr>
      <w:r>
        <w:rPr>
          <w:rStyle w:val="FootnoteReference"/>
        </w:rPr>
        <w:footnoteRef/>
      </w:r>
      <w:r>
        <w:t xml:space="preserve"> </w:t>
      </w:r>
      <w:r w:rsidRPr="00524CB4">
        <w:rPr>
          <w:szCs w:val="18"/>
        </w:rPr>
        <w:t>PG&amp;E Reply Comments</w:t>
      </w:r>
      <w:r w:rsidR="003D7B3E">
        <w:rPr>
          <w:szCs w:val="18"/>
        </w:rPr>
        <w:t xml:space="preserve"> at p.</w:t>
      </w:r>
      <w:r w:rsidR="0051059D">
        <w:rPr>
          <w:sz w:val="18"/>
          <w:szCs w:val="18"/>
        </w:rPr>
        <w:t> </w:t>
      </w:r>
      <w:r w:rsidR="003D7B3E">
        <w:rPr>
          <w:szCs w:val="18"/>
        </w:rPr>
        <w:t>3</w:t>
      </w:r>
      <w:r w:rsidRPr="00524CB4">
        <w:rPr>
          <w:szCs w:val="18"/>
        </w:rPr>
        <w:t>1.</w:t>
      </w:r>
    </w:p>
  </w:footnote>
  <w:footnote w:id="165">
    <w:p w14:paraId="6B12B296" w14:textId="44244614" w:rsidR="0092433B" w:rsidRDefault="0092433B" w:rsidP="00524CB4">
      <w:pPr>
        <w:pStyle w:val="FootnoteText"/>
      </w:pPr>
      <w:r>
        <w:rPr>
          <w:rStyle w:val="FootnoteReference"/>
        </w:rPr>
        <w:footnoteRef/>
      </w:r>
      <w:r>
        <w:t xml:space="preserve"> </w:t>
      </w:r>
      <w:r w:rsidRPr="00524CB4">
        <w:rPr>
          <w:szCs w:val="18"/>
        </w:rPr>
        <w:t>Sonic Opening Comments</w:t>
      </w:r>
      <w:r w:rsidR="003D7B3E">
        <w:rPr>
          <w:szCs w:val="18"/>
        </w:rPr>
        <w:t xml:space="preserve"> at pp.</w:t>
      </w:r>
      <w:r w:rsidR="0051059D">
        <w:rPr>
          <w:sz w:val="18"/>
          <w:szCs w:val="18"/>
        </w:rPr>
        <w:t> </w:t>
      </w:r>
      <w:r w:rsidR="003D7B3E">
        <w:rPr>
          <w:szCs w:val="18"/>
        </w:rPr>
        <w:t>1</w:t>
      </w:r>
      <w:r w:rsidRPr="00524CB4">
        <w:rPr>
          <w:szCs w:val="18"/>
        </w:rPr>
        <w:t>4</w:t>
      </w:r>
      <w:r w:rsidR="00E4753D">
        <w:rPr>
          <w:sz w:val="18"/>
          <w:szCs w:val="18"/>
        </w:rPr>
        <w:noBreakHyphen/>
      </w:r>
      <w:r w:rsidRPr="00524CB4">
        <w:rPr>
          <w:szCs w:val="18"/>
        </w:rPr>
        <w:t>16.</w:t>
      </w:r>
    </w:p>
  </w:footnote>
  <w:footnote w:id="166">
    <w:p w14:paraId="475A2751" w14:textId="6A4F8A6B" w:rsidR="0092433B" w:rsidRDefault="0092433B" w:rsidP="00524CB4">
      <w:pPr>
        <w:pStyle w:val="FootnoteText"/>
      </w:pPr>
      <w:r>
        <w:rPr>
          <w:rStyle w:val="FootnoteReference"/>
        </w:rPr>
        <w:footnoteRef/>
      </w:r>
      <w:r>
        <w:t xml:space="preserve"> Opening </w:t>
      </w:r>
      <w:r w:rsidRPr="00524CB4">
        <w:rPr>
          <w:szCs w:val="18"/>
        </w:rPr>
        <w:t>Comments of Surfnet</w:t>
      </w:r>
      <w:r w:rsidR="003D7B3E">
        <w:rPr>
          <w:szCs w:val="18"/>
        </w:rPr>
        <w:t xml:space="preserve"> at p.</w:t>
      </w:r>
      <w:r w:rsidR="0051059D">
        <w:rPr>
          <w:sz w:val="18"/>
          <w:szCs w:val="18"/>
        </w:rPr>
        <w:t> </w:t>
      </w:r>
      <w:r w:rsidR="003D7B3E">
        <w:rPr>
          <w:szCs w:val="18"/>
        </w:rPr>
        <w:t>7</w:t>
      </w:r>
      <w:r w:rsidRPr="00524CB4">
        <w:rPr>
          <w:szCs w:val="18"/>
        </w:rPr>
        <w:t>.</w:t>
      </w:r>
    </w:p>
  </w:footnote>
  <w:footnote w:id="167">
    <w:p w14:paraId="1FDFC334" w14:textId="4A7F9C02" w:rsidR="006B798A" w:rsidRDefault="006B798A" w:rsidP="00524CB4">
      <w:pPr>
        <w:pStyle w:val="FootnoteText"/>
      </w:pPr>
      <w:r>
        <w:rPr>
          <w:rStyle w:val="FootnoteReference"/>
        </w:rPr>
        <w:footnoteRef/>
      </w:r>
      <w:r>
        <w:t xml:space="preserve"> </w:t>
      </w:r>
      <w:r w:rsidRPr="00524CB4">
        <w:rPr>
          <w:szCs w:val="18"/>
        </w:rPr>
        <w:t>AT&amp;T Opening Comments</w:t>
      </w:r>
      <w:r w:rsidR="003D7B3E">
        <w:rPr>
          <w:szCs w:val="18"/>
        </w:rPr>
        <w:t xml:space="preserve"> at pp.</w:t>
      </w:r>
      <w:r w:rsidR="0051059D">
        <w:rPr>
          <w:sz w:val="18"/>
          <w:szCs w:val="18"/>
        </w:rPr>
        <w:t> </w:t>
      </w:r>
      <w:r w:rsidR="003D7B3E">
        <w:rPr>
          <w:szCs w:val="18"/>
        </w:rPr>
        <w:t>1</w:t>
      </w:r>
      <w:r w:rsidRPr="00524CB4">
        <w:rPr>
          <w:szCs w:val="18"/>
        </w:rPr>
        <w:t>0</w:t>
      </w:r>
      <w:r w:rsidR="00E4753D">
        <w:rPr>
          <w:sz w:val="18"/>
          <w:szCs w:val="18"/>
        </w:rPr>
        <w:noBreakHyphen/>
      </w:r>
      <w:r w:rsidRPr="00524CB4">
        <w:rPr>
          <w:szCs w:val="18"/>
        </w:rPr>
        <w:t>11.</w:t>
      </w:r>
    </w:p>
  </w:footnote>
  <w:footnote w:id="168">
    <w:p w14:paraId="66505C42" w14:textId="599B8A79" w:rsidR="006B798A" w:rsidRDefault="006B798A" w:rsidP="00524CB4">
      <w:pPr>
        <w:pStyle w:val="FootnoteText"/>
      </w:pPr>
      <w:r>
        <w:rPr>
          <w:rStyle w:val="FootnoteReference"/>
        </w:rPr>
        <w:footnoteRef/>
      </w:r>
      <w:r>
        <w:t xml:space="preserve"> </w:t>
      </w:r>
      <w:r w:rsidRPr="00524CB4">
        <w:rPr>
          <w:szCs w:val="18"/>
        </w:rPr>
        <w:t>CTIA Opening Comments</w:t>
      </w:r>
      <w:r w:rsidR="003D7B3E">
        <w:rPr>
          <w:szCs w:val="18"/>
        </w:rPr>
        <w:t xml:space="preserve"> at p.</w:t>
      </w:r>
      <w:r w:rsidR="0051059D">
        <w:rPr>
          <w:sz w:val="18"/>
          <w:szCs w:val="18"/>
        </w:rPr>
        <w:t> </w:t>
      </w:r>
      <w:r w:rsidR="003D7B3E">
        <w:rPr>
          <w:szCs w:val="18"/>
        </w:rPr>
        <w:t>1</w:t>
      </w:r>
      <w:r w:rsidRPr="00524CB4">
        <w:rPr>
          <w:szCs w:val="18"/>
        </w:rPr>
        <w:t>0.</w:t>
      </w:r>
    </w:p>
  </w:footnote>
  <w:footnote w:id="169">
    <w:p w14:paraId="33F03CEC" w14:textId="352007BD" w:rsidR="006B798A" w:rsidRDefault="006B798A" w:rsidP="00524CB4">
      <w:pPr>
        <w:pStyle w:val="FootnoteText"/>
      </w:pPr>
      <w:r>
        <w:rPr>
          <w:rStyle w:val="FootnoteReference"/>
        </w:rPr>
        <w:footnoteRef/>
      </w:r>
      <w:r>
        <w:t xml:space="preserve"> </w:t>
      </w:r>
      <w:r w:rsidRPr="00524CB4">
        <w:rPr>
          <w:szCs w:val="18"/>
        </w:rPr>
        <w:t>PG&amp;E Reply Comments</w:t>
      </w:r>
      <w:r w:rsidR="003D7B3E">
        <w:rPr>
          <w:szCs w:val="18"/>
        </w:rPr>
        <w:t xml:space="preserve"> at p.</w:t>
      </w:r>
      <w:r w:rsidR="0051059D">
        <w:rPr>
          <w:sz w:val="18"/>
          <w:szCs w:val="18"/>
        </w:rPr>
        <w:t> </w:t>
      </w:r>
      <w:r w:rsidR="003D7B3E">
        <w:rPr>
          <w:szCs w:val="18"/>
        </w:rPr>
        <w:t>3</w:t>
      </w:r>
      <w:r w:rsidRPr="00524CB4">
        <w:rPr>
          <w:szCs w:val="18"/>
        </w:rPr>
        <w:t>1.</w:t>
      </w:r>
    </w:p>
  </w:footnote>
  <w:footnote w:id="170">
    <w:p w14:paraId="225E079F" w14:textId="28C5687F" w:rsidR="006B798A" w:rsidRDefault="006B798A" w:rsidP="00524CB4">
      <w:pPr>
        <w:pStyle w:val="FootnoteText"/>
      </w:pPr>
      <w:r>
        <w:rPr>
          <w:rStyle w:val="FootnoteReference"/>
        </w:rPr>
        <w:footnoteRef/>
      </w:r>
      <w:r>
        <w:t xml:space="preserve"> </w:t>
      </w:r>
      <w:r w:rsidRPr="00524CB4">
        <w:rPr>
          <w:szCs w:val="18"/>
        </w:rPr>
        <w:t>SCE Opening Comments</w:t>
      </w:r>
      <w:r w:rsidR="003D7B3E">
        <w:rPr>
          <w:szCs w:val="18"/>
        </w:rPr>
        <w:t xml:space="preserve"> at p.</w:t>
      </w:r>
      <w:r w:rsidR="0051059D">
        <w:rPr>
          <w:sz w:val="18"/>
          <w:szCs w:val="18"/>
        </w:rPr>
        <w:t> </w:t>
      </w:r>
      <w:r w:rsidR="003D7B3E">
        <w:rPr>
          <w:szCs w:val="18"/>
        </w:rPr>
        <w:t>2</w:t>
      </w:r>
      <w:r w:rsidRPr="00524CB4">
        <w:rPr>
          <w:szCs w:val="18"/>
        </w:rPr>
        <w:t>1.</w:t>
      </w:r>
    </w:p>
  </w:footnote>
  <w:footnote w:id="171">
    <w:p w14:paraId="0C572918" w14:textId="04818C38" w:rsidR="006B798A" w:rsidRDefault="006B798A" w:rsidP="00524CB4">
      <w:pPr>
        <w:pStyle w:val="FootnoteText"/>
      </w:pPr>
      <w:r>
        <w:rPr>
          <w:rStyle w:val="FootnoteReference"/>
        </w:rPr>
        <w:footnoteRef/>
      </w:r>
      <w:r>
        <w:t xml:space="preserve"> </w:t>
      </w:r>
      <w:r w:rsidRPr="00524CB4">
        <w:rPr>
          <w:szCs w:val="18"/>
        </w:rPr>
        <w:t>Sonic Opening Comments</w:t>
      </w:r>
      <w:r w:rsidR="003D7B3E">
        <w:rPr>
          <w:szCs w:val="18"/>
        </w:rPr>
        <w:t xml:space="preserve"> at p.</w:t>
      </w:r>
      <w:r w:rsidR="0051059D">
        <w:rPr>
          <w:sz w:val="18"/>
          <w:szCs w:val="18"/>
        </w:rPr>
        <w:t> </w:t>
      </w:r>
      <w:r w:rsidR="003D7B3E">
        <w:rPr>
          <w:szCs w:val="18"/>
        </w:rPr>
        <w:t>1</w:t>
      </w:r>
      <w:r w:rsidRPr="00524CB4">
        <w:rPr>
          <w:szCs w:val="18"/>
        </w:rPr>
        <w:t>6.</w:t>
      </w:r>
    </w:p>
  </w:footnote>
  <w:footnote w:id="172">
    <w:p w14:paraId="06D03864" w14:textId="35D3EB24" w:rsidR="006B798A" w:rsidRDefault="006B798A" w:rsidP="00524CB4">
      <w:pPr>
        <w:pStyle w:val="FootnoteText"/>
      </w:pPr>
      <w:r>
        <w:rPr>
          <w:rStyle w:val="FootnoteReference"/>
        </w:rPr>
        <w:footnoteRef/>
      </w:r>
      <w:r>
        <w:t xml:space="preserve"> </w:t>
      </w:r>
      <w:r w:rsidRPr="00524CB4">
        <w:rPr>
          <w:szCs w:val="18"/>
        </w:rPr>
        <w:t>Opening</w:t>
      </w:r>
      <w:r>
        <w:t xml:space="preserve"> </w:t>
      </w:r>
      <w:r w:rsidRPr="00524CB4">
        <w:rPr>
          <w:szCs w:val="18"/>
        </w:rPr>
        <w:t>Comments of Surfnet</w:t>
      </w:r>
      <w:r w:rsidR="003D7B3E">
        <w:rPr>
          <w:szCs w:val="18"/>
        </w:rPr>
        <w:t xml:space="preserve"> at p.</w:t>
      </w:r>
      <w:r w:rsidR="0051059D">
        <w:rPr>
          <w:sz w:val="18"/>
          <w:szCs w:val="18"/>
        </w:rPr>
        <w:t> </w:t>
      </w:r>
      <w:r w:rsidR="003D7B3E">
        <w:rPr>
          <w:szCs w:val="18"/>
        </w:rPr>
        <w:t>7</w:t>
      </w:r>
      <w:r w:rsidRPr="00524CB4">
        <w:rPr>
          <w:szCs w:val="18"/>
        </w:rPr>
        <w:t>.</w:t>
      </w:r>
    </w:p>
  </w:footnote>
  <w:footnote w:id="173">
    <w:p w14:paraId="6D92661D" w14:textId="43EB2621" w:rsidR="000A5EF7" w:rsidRDefault="000A5EF7" w:rsidP="00524CB4">
      <w:pPr>
        <w:pStyle w:val="FootnoteText"/>
      </w:pPr>
      <w:r>
        <w:rPr>
          <w:rStyle w:val="FootnoteReference"/>
        </w:rPr>
        <w:footnoteRef/>
      </w:r>
      <w:r w:rsidR="00855196">
        <w:t xml:space="preserve"> </w:t>
      </w:r>
      <w:r w:rsidRPr="00524CB4">
        <w:rPr>
          <w:szCs w:val="18"/>
        </w:rPr>
        <w:t>D.98</w:t>
      </w:r>
      <w:r w:rsidR="00E4753D">
        <w:rPr>
          <w:szCs w:val="18"/>
        </w:rPr>
        <w:noBreakHyphen/>
      </w:r>
      <w:r w:rsidRPr="00524CB4">
        <w:rPr>
          <w:szCs w:val="18"/>
        </w:rPr>
        <w:t>10</w:t>
      </w:r>
      <w:r w:rsidR="00E4753D">
        <w:rPr>
          <w:szCs w:val="18"/>
        </w:rPr>
        <w:noBreakHyphen/>
      </w:r>
      <w:r w:rsidRPr="00524CB4">
        <w:rPr>
          <w:szCs w:val="18"/>
        </w:rPr>
        <w:t xml:space="preserve">058, </w:t>
      </w:r>
      <w:r w:rsidR="004A359C">
        <w:rPr>
          <w:szCs w:val="18"/>
        </w:rPr>
        <w:t>COL </w:t>
      </w:r>
      <w:r w:rsidRPr="00524CB4">
        <w:rPr>
          <w:szCs w:val="18"/>
        </w:rPr>
        <w:t>10</w:t>
      </w:r>
      <w:r>
        <w:t>.</w:t>
      </w:r>
    </w:p>
  </w:footnote>
  <w:footnote w:id="174">
    <w:p w14:paraId="24645FB2" w14:textId="5C5D583B" w:rsidR="000A5EF7" w:rsidRDefault="000A5EF7" w:rsidP="000A5EF7">
      <w:pPr>
        <w:pStyle w:val="FootnoteText"/>
      </w:pPr>
      <w:r w:rsidRPr="00B305B3">
        <w:rPr>
          <w:rStyle w:val="FootnoteReference"/>
        </w:rPr>
        <w:footnoteRef/>
      </w:r>
      <w:r w:rsidR="00855196">
        <w:t xml:space="preserve"> </w:t>
      </w:r>
      <w:r w:rsidRPr="00B305B3">
        <w:rPr>
          <w:i/>
          <w:iCs/>
        </w:rPr>
        <w:t>Id</w:t>
      </w:r>
      <w:r w:rsidRPr="00B305B3">
        <w:t>. (</w:t>
      </w:r>
      <w:r w:rsidRPr="00B305B3">
        <w:rPr>
          <w:i/>
          <w:iCs/>
        </w:rPr>
        <w:t>See</w:t>
      </w:r>
      <w:r w:rsidRPr="00B305B3">
        <w:t xml:space="preserve"> Section III.A. Utility Categories Covered Under </w:t>
      </w:r>
      <w:r w:rsidR="00835EAD">
        <w:t>ROW Rules</w:t>
      </w:r>
      <w:r w:rsidR="003D7B3E">
        <w:t xml:space="preserve"> at pp. 1</w:t>
      </w:r>
      <w:r w:rsidRPr="00B305B3">
        <w:t>4</w:t>
      </w:r>
      <w:r w:rsidR="00E4753D">
        <w:noBreakHyphen/>
      </w:r>
      <w:r w:rsidRPr="00B305B3">
        <w:t>16.)</w:t>
      </w:r>
    </w:p>
  </w:footnote>
  <w:footnote w:id="175">
    <w:p w14:paraId="39B7FE90" w14:textId="6B3EBECE" w:rsidR="000A5EF7" w:rsidRDefault="000A5EF7" w:rsidP="000A5EF7">
      <w:pPr>
        <w:pStyle w:val="FootnoteText"/>
      </w:pPr>
      <w:r>
        <w:rPr>
          <w:rStyle w:val="FootnoteReference"/>
        </w:rPr>
        <w:footnoteRef/>
      </w:r>
      <w:r>
        <w:t xml:space="preserve"> </w:t>
      </w:r>
      <w:r w:rsidRPr="005A0C0F">
        <w:rPr>
          <w:i/>
          <w:iCs/>
        </w:rPr>
        <w:t>Id</w:t>
      </w:r>
      <w:r>
        <w:t xml:space="preserve">., 34 and </w:t>
      </w:r>
      <w:r w:rsidR="004A359C">
        <w:t>COL </w:t>
      </w:r>
      <w:r>
        <w:t>10.</w:t>
      </w:r>
    </w:p>
  </w:footnote>
  <w:footnote w:id="176">
    <w:p w14:paraId="03E5E3B4" w14:textId="33CD07B3" w:rsidR="00A66257" w:rsidRDefault="00A66257" w:rsidP="00524CB4">
      <w:pPr>
        <w:pStyle w:val="FootnoteText"/>
      </w:pPr>
      <w:r>
        <w:rPr>
          <w:rStyle w:val="FootnoteReference"/>
        </w:rPr>
        <w:footnoteRef/>
      </w:r>
      <w:r>
        <w:t xml:space="preserve"> </w:t>
      </w:r>
      <w:r w:rsidRPr="00524CB4">
        <w:rPr>
          <w:szCs w:val="18"/>
        </w:rPr>
        <w:t>Extenet Opening Comments</w:t>
      </w:r>
      <w:r w:rsidR="003D7B3E">
        <w:rPr>
          <w:szCs w:val="18"/>
        </w:rPr>
        <w:t xml:space="preserve"> at p.</w:t>
      </w:r>
      <w:r w:rsidR="0051059D">
        <w:rPr>
          <w:sz w:val="18"/>
          <w:szCs w:val="18"/>
        </w:rPr>
        <w:t> </w:t>
      </w:r>
      <w:r w:rsidR="003D7B3E">
        <w:rPr>
          <w:szCs w:val="18"/>
        </w:rPr>
        <w:t>1</w:t>
      </w:r>
      <w:r w:rsidRPr="00524CB4">
        <w:rPr>
          <w:szCs w:val="18"/>
        </w:rPr>
        <w:t>0.</w:t>
      </w:r>
    </w:p>
  </w:footnote>
  <w:footnote w:id="177">
    <w:p w14:paraId="255D2D9C" w14:textId="43D97913" w:rsidR="00A66257" w:rsidRDefault="00A66257" w:rsidP="00524CB4">
      <w:pPr>
        <w:pStyle w:val="FootnoteText"/>
      </w:pPr>
      <w:r>
        <w:rPr>
          <w:rStyle w:val="FootnoteReference"/>
        </w:rPr>
        <w:footnoteRef/>
      </w:r>
      <w:r>
        <w:t xml:space="preserve"> </w:t>
      </w:r>
      <w:r w:rsidRPr="00524CB4">
        <w:rPr>
          <w:szCs w:val="18"/>
        </w:rPr>
        <w:t>PG&amp;E Opening Comments</w:t>
      </w:r>
      <w:r w:rsidR="003D7B3E">
        <w:rPr>
          <w:szCs w:val="18"/>
        </w:rPr>
        <w:t xml:space="preserve"> at pp.</w:t>
      </w:r>
      <w:r w:rsidR="0051059D">
        <w:rPr>
          <w:sz w:val="18"/>
          <w:szCs w:val="18"/>
        </w:rPr>
        <w:t> </w:t>
      </w:r>
      <w:r w:rsidR="003D7B3E">
        <w:rPr>
          <w:szCs w:val="18"/>
        </w:rPr>
        <w:t>3</w:t>
      </w:r>
      <w:r w:rsidRPr="00524CB4">
        <w:rPr>
          <w:szCs w:val="18"/>
        </w:rPr>
        <w:t>1</w:t>
      </w:r>
      <w:r w:rsidR="00E4753D">
        <w:rPr>
          <w:sz w:val="18"/>
          <w:szCs w:val="18"/>
        </w:rPr>
        <w:noBreakHyphen/>
      </w:r>
      <w:r w:rsidRPr="00524CB4">
        <w:rPr>
          <w:szCs w:val="18"/>
        </w:rPr>
        <w:t>32.</w:t>
      </w:r>
    </w:p>
  </w:footnote>
  <w:footnote w:id="178">
    <w:p w14:paraId="02AB7C83" w14:textId="69C5A414" w:rsidR="00A66257" w:rsidRDefault="00A66257" w:rsidP="00524CB4">
      <w:pPr>
        <w:pStyle w:val="FootnoteText"/>
      </w:pPr>
      <w:r>
        <w:rPr>
          <w:rStyle w:val="FootnoteReference"/>
        </w:rPr>
        <w:footnoteRef/>
      </w:r>
      <w:r>
        <w:t xml:space="preserve"> </w:t>
      </w:r>
      <w:r w:rsidRPr="00524CB4">
        <w:rPr>
          <w:szCs w:val="18"/>
        </w:rPr>
        <w:t>Race Opening Comments</w:t>
      </w:r>
      <w:r w:rsidR="003D7B3E">
        <w:rPr>
          <w:szCs w:val="18"/>
        </w:rPr>
        <w:t xml:space="preserve"> at p.</w:t>
      </w:r>
      <w:r w:rsidR="0051059D">
        <w:rPr>
          <w:sz w:val="18"/>
          <w:szCs w:val="18"/>
        </w:rPr>
        <w:t> </w:t>
      </w:r>
      <w:r w:rsidR="003D7B3E">
        <w:rPr>
          <w:szCs w:val="18"/>
        </w:rPr>
        <w:t>8</w:t>
      </w:r>
      <w:r w:rsidRPr="00524CB4">
        <w:rPr>
          <w:szCs w:val="18"/>
        </w:rPr>
        <w:t>.</w:t>
      </w:r>
    </w:p>
  </w:footnote>
  <w:footnote w:id="179">
    <w:p w14:paraId="07D461F8" w14:textId="1CCEB089" w:rsidR="00A66257" w:rsidRDefault="00A66257" w:rsidP="00524CB4">
      <w:pPr>
        <w:pStyle w:val="FootnoteText"/>
      </w:pPr>
      <w:r>
        <w:rPr>
          <w:rStyle w:val="FootnoteReference"/>
        </w:rPr>
        <w:footnoteRef/>
      </w:r>
      <w:r>
        <w:t xml:space="preserve"> </w:t>
      </w:r>
      <w:r w:rsidRPr="00524CB4">
        <w:rPr>
          <w:szCs w:val="18"/>
        </w:rPr>
        <w:t>SDG&amp;E Opening Comments</w:t>
      </w:r>
      <w:r w:rsidR="003D7B3E">
        <w:rPr>
          <w:szCs w:val="18"/>
        </w:rPr>
        <w:t xml:space="preserve"> at p.</w:t>
      </w:r>
      <w:r w:rsidR="0051059D">
        <w:rPr>
          <w:sz w:val="18"/>
          <w:szCs w:val="18"/>
        </w:rPr>
        <w:t> </w:t>
      </w:r>
      <w:r w:rsidR="003D7B3E">
        <w:rPr>
          <w:szCs w:val="18"/>
        </w:rPr>
        <w:t>1</w:t>
      </w:r>
      <w:r w:rsidRPr="00524CB4">
        <w:rPr>
          <w:szCs w:val="18"/>
        </w:rPr>
        <w:t>5.</w:t>
      </w:r>
    </w:p>
  </w:footnote>
  <w:footnote w:id="180">
    <w:p w14:paraId="71E8A2D0" w14:textId="5CB4B458" w:rsidR="003C327A" w:rsidRDefault="003C327A" w:rsidP="00524CB4">
      <w:pPr>
        <w:pStyle w:val="FootnoteText"/>
      </w:pPr>
      <w:r>
        <w:rPr>
          <w:rStyle w:val="FootnoteReference"/>
        </w:rPr>
        <w:footnoteRef/>
      </w:r>
      <w:r>
        <w:t xml:space="preserve"> </w:t>
      </w:r>
      <w:r w:rsidRPr="00524CB4">
        <w:rPr>
          <w:szCs w:val="18"/>
        </w:rPr>
        <w:t>AT&amp;T Opening Comments</w:t>
      </w:r>
      <w:r w:rsidR="003D7B3E">
        <w:rPr>
          <w:szCs w:val="18"/>
        </w:rPr>
        <w:t xml:space="preserve"> at pp.</w:t>
      </w:r>
      <w:r w:rsidR="0051059D">
        <w:rPr>
          <w:sz w:val="18"/>
          <w:szCs w:val="18"/>
        </w:rPr>
        <w:t> </w:t>
      </w:r>
      <w:r w:rsidR="003D7B3E">
        <w:rPr>
          <w:szCs w:val="18"/>
        </w:rPr>
        <w:t>1</w:t>
      </w:r>
      <w:r w:rsidRPr="00524CB4">
        <w:rPr>
          <w:szCs w:val="18"/>
        </w:rPr>
        <w:t>1</w:t>
      </w:r>
      <w:r w:rsidR="00E4753D">
        <w:rPr>
          <w:sz w:val="18"/>
          <w:szCs w:val="18"/>
        </w:rPr>
        <w:noBreakHyphen/>
      </w:r>
      <w:r w:rsidRPr="00524CB4">
        <w:rPr>
          <w:szCs w:val="18"/>
        </w:rPr>
        <w:t>12.</w:t>
      </w:r>
    </w:p>
  </w:footnote>
  <w:footnote w:id="181">
    <w:p w14:paraId="04BAE999" w14:textId="19BED0C6" w:rsidR="003C327A" w:rsidRDefault="003C327A" w:rsidP="00524CB4">
      <w:pPr>
        <w:pStyle w:val="FootnoteText"/>
      </w:pPr>
      <w:r>
        <w:rPr>
          <w:rStyle w:val="FootnoteReference"/>
        </w:rPr>
        <w:footnoteRef/>
      </w:r>
      <w:r>
        <w:t xml:space="preserve"> </w:t>
      </w:r>
      <w:r w:rsidRPr="00524CB4">
        <w:rPr>
          <w:szCs w:val="18"/>
        </w:rPr>
        <w:t>PG&amp;E Opening Comments</w:t>
      </w:r>
      <w:r w:rsidR="003D7B3E">
        <w:rPr>
          <w:szCs w:val="18"/>
        </w:rPr>
        <w:t xml:space="preserve"> at p.</w:t>
      </w:r>
      <w:r w:rsidR="0051059D">
        <w:rPr>
          <w:sz w:val="18"/>
          <w:szCs w:val="18"/>
        </w:rPr>
        <w:t> </w:t>
      </w:r>
      <w:r w:rsidR="003D7B3E">
        <w:rPr>
          <w:szCs w:val="18"/>
        </w:rPr>
        <w:t>3</w:t>
      </w:r>
      <w:r w:rsidRPr="00524CB4">
        <w:rPr>
          <w:szCs w:val="18"/>
        </w:rPr>
        <w:t>3.</w:t>
      </w:r>
    </w:p>
  </w:footnote>
  <w:footnote w:id="182">
    <w:p w14:paraId="11A03294" w14:textId="0D7FF1FA" w:rsidR="003C327A" w:rsidRDefault="003C327A" w:rsidP="00524CB4">
      <w:pPr>
        <w:pStyle w:val="FootnoteText"/>
      </w:pPr>
      <w:r>
        <w:rPr>
          <w:rStyle w:val="FootnoteReference"/>
        </w:rPr>
        <w:footnoteRef/>
      </w:r>
      <w:r>
        <w:t xml:space="preserve"> </w:t>
      </w:r>
      <w:r w:rsidRPr="00524CB4">
        <w:rPr>
          <w:szCs w:val="18"/>
        </w:rPr>
        <w:t>PG&amp;E Reply Comments</w:t>
      </w:r>
      <w:r w:rsidR="003D7B3E">
        <w:rPr>
          <w:szCs w:val="18"/>
        </w:rPr>
        <w:t xml:space="preserve"> at p.</w:t>
      </w:r>
      <w:r w:rsidR="0051059D">
        <w:rPr>
          <w:sz w:val="18"/>
          <w:szCs w:val="18"/>
        </w:rPr>
        <w:t> </w:t>
      </w:r>
      <w:r w:rsidR="003D7B3E">
        <w:rPr>
          <w:szCs w:val="18"/>
        </w:rPr>
        <w:t>1</w:t>
      </w:r>
      <w:r w:rsidRPr="00524CB4">
        <w:rPr>
          <w:szCs w:val="18"/>
        </w:rPr>
        <w:t>1.</w:t>
      </w:r>
    </w:p>
  </w:footnote>
  <w:footnote w:id="183">
    <w:p w14:paraId="49C120BF" w14:textId="524EB241" w:rsidR="003C327A" w:rsidRDefault="003C327A" w:rsidP="00524CB4">
      <w:pPr>
        <w:pStyle w:val="FootnoteText"/>
      </w:pPr>
      <w:r>
        <w:rPr>
          <w:rStyle w:val="FootnoteReference"/>
        </w:rPr>
        <w:footnoteRef/>
      </w:r>
      <w:r>
        <w:t xml:space="preserve"> </w:t>
      </w:r>
      <w:r w:rsidRPr="00524CB4">
        <w:rPr>
          <w:szCs w:val="18"/>
        </w:rPr>
        <w:t>SDG&amp;E Opening Comments</w:t>
      </w:r>
      <w:r w:rsidR="003D7B3E">
        <w:rPr>
          <w:szCs w:val="18"/>
        </w:rPr>
        <w:t xml:space="preserve"> at pp.</w:t>
      </w:r>
      <w:r w:rsidR="0051059D">
        <w:rPr>
          <w:sz w:val="18"/>
          <w:szCs w:val="18"/>
        </w:rPr>
        <w:t> </w:t>
      </w:r>
      <w:r w:rsidR="003D7B3E">
        <w:rPr>
          <w:szCs w:val="18"/>
        </w:rPr>
        <w:t>1</w:t>
      </w:r>
      <w:r w:rsidRPr="00524CB4">
        <w:rPr>
          <w:szCs w:val="18"/>
        </w:rPr>
        <w:t>5</w:t>
      </w:r>
      <w:r w:rsidR="00E4753D">
        <w:rPr>
          <w:sz w:val="18"/>
          <w:szCs w:val="18"/>
        </w:rPr>
        <w:noBreakHyphen/>
      </w:r>
      <w:r w:rsidRPr="00524CB4">
        <w:rPr>
          <w:szCs w:val="18"/>
        </w:rPr>
        <w:t>16.</w:t>
      </w:r>
    </w:p>
  </w:footnote>
  <w:footnote w:id="184">
    <w:p w14:paraId="03FB76BE" w14:textId="562CD713" w:rsidR="00CD63BB" w:rsidRDefault="00CD63BB" w:rsidP="00524CB4">
      <w:pPr>
        <w:pStyle w:val="FootnoteText"/>
      </w:pPr>
      <w:r>
        <w:rPr>
          <w:rStyle w:val="FootnoteReference"/>
        </w:rPr>
        <w:footnoteRef/>
      </w:r>
      <w:r>
        <w:t xml:space="preserve"> </w:t>
      </w:r>
      <w:r w:rsidRPr="00524CB4">
        <w:rPr>
          <w:szCs w:val="18"/>
        </w:rPr>
        <w:t>AT&amp;T Opening Comments</w:t>
      </w:r>
      <w:r w:rsidR="003D7B3E">
        <w:rPr>
          <w:szCs w:val="18"/>
        </w:rPr>
        <w:t xml:space="preserve"> at pp.</w:t>
      </w:r>
      <w:r w:rsidR="0051059D">
        <w:rPr>
          <w:sz w:val="18"/>
          <w:szCs w:val="18"/>
        </w:rPr>
        <w:t> </w:t>
      </w:r>
      <w:r w:rsidR="003D7B3E">
        <w:rPr>
          <w:szCs w:val="18"/>
        </w:rPr>
        <w:t>1</w:t>
      </w:r>
      <w:r w:rsidRPr="00524CB4">
        <w:rPr>
          <w:szCs w:val="18"/>
        </w:rPr>
        <w:t>1</w:t>
      </w:r>
      <w:r w:rsidR="00E4753D">
        <w:rPr>
          <w:sz w:val="18"/>
          <w:szCs w:val="18"/>
        </w:rPr>
        <w:noBreakHyphen/>
      </w:r>
      <w:r w:rsidRPr="00524CB4">
        <w:rPr>
          <w:szCs w:val="18"/>
        </w:rPr>
        <w:t>12.</w:t>
      </w:r>
    </w:p>
  </w:footnote>
  <w:footnote w:id="185">
    <w:p w14:paraId="610706AD" w14:textId="1AF47746" w:rsidR="00CD63BB" w:rsidRDefault="00CD63BB" w:rsidP="00524CB4">
      <w:pPr>
        <w:pStyle w:val="FootnoteText"/>
      </w:pPr>
      <w:r>
        <w:rPr>
          <w:rStyle w:val="FootnoteReference"/>
        </w:rPr>
        <w:footnoteRef/>
      </w:r>
      <w:r>
        <w:t xml:space="preserve"> </w:t>
      </w:r>
      <w:r w:rsidRPr="00524CB4">
        <w:rPr>
          <w:szCs w:val="18"/>
        </w:rPr>
        <w:t>Bear Valley Electric Service</w:t>
      </w:r>
      <w:r w:rsidR="00DB3D44">
        <w:rPr>
          <w:szCs w:val="18"/>
        </w:rPr>
        <w:t>,</w:t>
      </w:r>
      <w:r w:rsidRPr="00524CB4">
        <w:rPr>
          <w:szCs w:val="18"/>
        </w:rPr>
        <w:t xml:space="preserve"> Inc., Liberty Utilities LLC, and Pacificorp</w:t>
      </w:r>
      <w:r w:rsidR="005C5C64">
        <w:rPr>
          <w:i/>
          <w:iCs/>
          <w:szCs w:val="18"/>
        </w:rPr>
        <w:t xml:space="preserve"> </w:t>
      </w:r>
      <w:r w:rsidR="005C5C64" w:rsidRPr="00005C91">
        <w:rPr>
          <w:szCs w:val="18"/>
        </w:rPr>
        <w:t>Opening Comments</w:t>
      </w:r>
      <w:r w:rsidR="005C5C64">
        <w:rPr>
          <w:i/>
          <w:iCs/>
          <w:szCs w:val="18"/>
        </w:rPr>
        <w:t xml:space="preserve">, </w:t>
      </w:r>
      <w:r w:rsidRPr="00524CB4">
        <w:rPr>
          <w:i/>
          <w:iCs/>
          <w:szCs w:val="18"/>
        </w:rPr>
        <w:t xml:space="preserve">Order Instituting Investigation into the Creation of a Shared Database or Statewide Census of Utility Poles and Conduit in California, </w:t>
      </w:r>
      <w:r w:rsidR="0078115B">
        <w:rPr>
          <w:i/>
          <w:iCs/>
          <w:szCs w:val="18"/>
        </w:rPr>
        <w:t>Investigation</w:t>
      </w:r>
      <w:r w:rsidR="0051059D">
        <w:rPr>
          <w:i/>
          <w:iCs/>
          <w:sz w:val="18"/>
          <w:szCs w:val="18"/>
        </w:rPr>
        <w:t> </w:t>
      </w:r>
      <w:r w:rsidRPr="00524CB4">
        <w:rPr>
          <w:i/>
          <w:iCs/>
          <w:szCs w:val="18"/>
        </w:rPr>
        <w:t>17</w:t>
      </w:r>
      <w:r w:rsidR="00E4753D">
        <w:rPr>
          <w:i/>
          <w:iCs/>
          <w:sz w:val="18"/>
          <w:szCs w:val="18"/>
        </w:rPr>
        <w:noBreakHyphen/>
      </w:r>
      <w:r w:rsidRPr="00524CB4">
        <w:rPr>
          <w:i/>
          <w:iCs/>
          <w:szCs w:val="18"/>
        </w:rPr>
        <w:t>06</w:t>
      </w:r>
      <w:r w:rsidR="00E4753D">
        <w:rPr>
          <w:i/>
          <w:iCs/>
          <w:sz w:val="18"/>
          <w:szCs w:val="18"/>
        </w:rPr>
        <w:noBreakHyphen/>
      </w:r>
      <w:r w:rsidRPr="00524CB4">
        <w:rPr>
          <w:i/>
          <w:iCs/>
          <w:szCs w:val="18"/>
        </w:rPr>
        <w:t>027</w:t>
      </w:r>
      <w:r w:rsidRPr="00524CB4">
        <w:rPr>
          <w:szCs w:val="18"/>
        </w:rPr>
        <w:t xml:space="preserve">, </w:t>
      </w:r>
      <w:r w:rsidR="0023089B">
        <w:rPr>
          <w:szCs w:val="18"/>
        </w:rPr>
        <w:t>June</w:t>
      </w:r>
      <w:r w:rsidR="0051059D">
        <w:rPr>
          <w:sz w:val="18"/>
          <w:szCs w:val="18"/>
        </w:rPr>
        <w:t> </w:t>
      </w:r>
      <w:r w:rsidRPr="00524CB4">
        <w:rPr>
          <w:szCs w:val="18"/>
        </w:rPr>
        <w:t>9, 2025</w:t>
      </w:r>
      <w:r w:rsidR="003D7B3E">
        <w:rPr>
          <w:szCs w:val="18"/>
        </w:rPr>
        <w:t xml:space="preserve"> at pp.</w:t>
      </w:r>
      <w:r w:rsidR="0051059D">
        <w:rPr>
          <w:sz w:val="18"/>
          <w:szCs w:val="18"/>
        </w:rPr>
        <w:t> </w:t>
      </w:r>
      <w:r w:rsidR="003D7B3E">
        <w:rPr>
          <w:szCs w:val="18"/>
        </w:rPr>
        <w:t>7</w:t>
      </w:r>
      <w:r w:rsidR="00E4753D">
        <w:rPr>
          <w:sz w:val="18"/>
          <w:szCs w:val="18"/>
        </w:rPr>
        <w:noBreakHyphen/>
      </w:r>
      <w:r w:rsidRPr="00524CB4">
        <w:rPr>
          <w:szCs w:val="18"/>
        </w:rPr>
        <w:t>10.</w:t>
      </w:r>
    </w:p>
  </w:footnote>
  <w:footnote w:id="186">
    <w:p w14:paraId="659808C4" w14:textId="54B632DE" w:rsidR="00CD63BB" w:rsidRDefault="00CD63BB" w:rsidP="00524CB4">
      <w:pPr>
        <w:pStyle w:val="FootnoteText"/>
      </w:pPr>
      <w:r>
        <w:rPr>
          <w:rStyle w:val="FootnoteReference"/>
        </w:rPr>
        <w:footnoteRef/>
      </w:r>
      <w:r>
        <w:t xml:space="preserve"> </w:t>
      </w:r>
      <w:r w:rsidRPr="00524CB4">
        <w:rPr>
          <w:szCs w:val="18"/>
        </w:rPr>
        <w:t>California Broadband and Video Association Opening Comments</w:t>
      </w:r>
      <w:r w:rsidR="003D7B3E">
        <w:rPr>
          <w:szCs w:val="18"/>
        </w:rPr>
        <w:t xml:space="preserve"> at pp.</w:t>
      </w:r>
      <w:r w:rsidR="0051059D">
        <w:rPr>
          <w:sz w:val="18"/>
          <w:szCs w:val="18"/>
        </w:rPr>
        <w:t> </w:t>
      </w:r>
      <w:r w:rsidR="003D7B3E">
        <w:rPr>
          <w:szCs w:val="18"/>
        </w:rPr>
        <w:t>1</w:t>
      </w:r>
      <w:r w:rsidRPr="00524CB4">
        <w:rPr>
          <w:szCs w:val="18"/>
        </w:rPr>
        <w:t>9</w:t>
      </w:r>
      <w:r w:rsidR="00E4753D">
        <w:rPr>
          <w:sz w:val="18"/>
          <w:szCs w:val="18"/>
        </w:rPr>
        <w:noBreakHyphen/>
      </w:r>
      <w:r w:rsidRPr="00524CB4">
        <w:rPr>
          <w:szCs w:val="18"/>
        </w:rPr>
        <w:t>20.</w:t>
      </w:r>
    </w:p>
  </w:footnote>
  <w:footnote w:id="187">
    <w:p w14:paraId="149532F4" w14:textId="26CA5AE7" w:rsidR="00CD63BB" w:rsidRDefault="00CD63BB" w:rsidP="00524CB4">
      <w:pPr>
        <w:pStyle w:val="FootnoteText"/>
      </w:pPr>
      <w:r>
        <w:rPr>
          <w:rStyle w:val="FootnoteReference"/>
        </w:rPr>
        <w:footnoteRef/>
      </w:r>
      <w:r>
        <w:t xml:space="preserve"> </w:t>
      </w:r>
      <w:r w:rsidRPr="00524CB4">
        <w:rPr>
          <w:szCs w:val="18"/>
        </w:rPr>
        <w:t>Crown Castle Opening Comments</w:t>
      </w:r>
      <w:r w:rsidR="003D7B3E">
        <w:rPr>
          <w:szCs w:val="18"/>
        </w:rPr>
        <w:t xml:space="preserve"> at pp.</w:t>
      </w:r>
      <w:r w:rsidR="0051059D">
        <w:rPr>
          <w:sz w:val="18"/>
          <w:szCs w:val="18"/>
        </w:rPr>
        <w:t> </w:t>
      </w:r>
      <w:r w:rsidR="003D7B3E">
        <w:rPr>
          <w:szCs w:val="18"/>
        </w:rPr>
        <w:t>1</w:t>
      </w:r>
      <w:r w:rsidRPr="00524CB4">
        <w:rPr>
          <w:szCs w:val="18"/>
        </w:rPr>
        <w:t>0</w:t>
      </w:r>
      <w:r w:rsidR="00E4753D">
        <w:rPr>
          <w:sz w:val="18"/>
          <w:szCs w:val="18"/>
        </w:rPr>
        <w:noBreakHyphen/>
      </w:r>
      <w:r w:rsidRPr="00524CB4">
        <w:rPr>
          <w:szCs w:val="18"/>
        </w:rPr>
        <w:t>11.</w:t>
      </w:r>
    </w:p>
  </w:footnote>
  <w:footnote w:id="188">
    <w:p w14:paraId="3AD075C2" w14:textId="056214CB" w:rsidR="00CD63BB" w:rsidRDefault="00CD63BB" w:rsidP="00524CB4">
      <w:pPr>
        <w:pStyle w:val="FootnoteText"/>
      </w:pPr>
      <w:r>
        <w:rPr>
          <w:rStyle w:val="FootnoteReference"/>
        </w:rPr>
        <w:footnoteRef/>
      </w:r>
      <w:r>
        <w:t xml:space="preserve"> </w:t>
      </w:r>
      <w:r w:rsidRPr="00524CB4">
        <w:rPr>
          <w:szCs w:val="18"/>
        </w:rPr>
        <w:t>PG&amp;E Opening Comments</w:t>
      </w:r>
      <w:r w:rsidR="003D7B3E">
        <w:rPr>
          <w:szCs w:val="18"/>
        </w:rPr>
        <w:t xml:space="preserve"> at pp.</w:t>
      </w:r>
      <w:r w:rsidR="0051059D">
        <w:rPr>
          <w:sz w:val="18"/>
          <w:szCs w:val="18"/>
        </w:rPr>
        <w:t> </w:t>
      </w:r>
      <w:r w:rsidR="003D7B3E">
        <w:rPr>
          <w:szCs w:val="18"/>
        </w:rPr>
        <w:t>3</w:t>
      </w:r>
      <w:r w:rsidRPr="00524CB4">
        <w:rPr>
          <w:szCs w:val="18"/>
        </w:rPr>
        <w:t>3</w:t>
      </w:r>
      <w:r w:rsidR="00E4753D">
        <w:rPr>
          <w:sz w:val="18"/>
          <w:szCs w:val="18"/>
        </w:rPr>
        <w:noBreakHyphen/>
      </w:r>
      <w:r w:rsidRPr="00524CB4">
        <w:rPr>
          <w:szCs w:val="18"/>
        </w:rPr>
        <w:t>35.</w:t>
      </w:r>
    </w:p>
  </w:footnote>
  <w:footnote w:id="189">
    <w:p w14:paraId="6A427960" w14:textId="384E9081" w:rsidR="00CD63BB" w:rsidRDefault="00CD63BB" w:rsidP="00524CB4">
      <w:pPr>
        <w:pStyle w:val="FootnoteText"/>
      </w:pPr>
      <w:r>
        <w:rPr>
          <w:rStyle w:val="FootnoteReference"/>
        </w:rPr>
        <w:footnoteRef/>
      </w:r>
      <w:r>
        <w:t xml:space="preserve"> </w:t>
      </w:r>
      <w:r w:rsidRPr="00524CB4">
        <w:rPr>
          <w:szCs w:val="18"/>
        </w:rPr>
        <w:t>Race Opening Comments</w:t>
      </w:r>
      <w:r w:rsidR="003D7B3E">
        <w:rPr>
          <w:szCs w:val="18"/>
        </w:rPr>
        <w:t xml:space="preserve"> at p.</w:t>
      </w:r>
      <w:r w:rsidR="0051059D">
        <w:rPr>
          <w:sz w:val="18"/>
          <w:szCs w:val="18"/>
        </w:rPr>
        <w:t> </w:t>
      </w:r>
      <w:r w:rsidR="003D7B3E">
        <w:rPr>
          <w:szCs w:val="18"/>
        </w:rPr>
        <w:t>8</w:t>
      </w:r>
      <w:r w:rsidRPr="00524CB4">
        <w:rPr>
          <w:szCs w:val="18"/>
        </w:rPr>
        <w:t>.</w:t>
      </w:r>
    </w:p>
  </w:footnote>
  <w:footnote w:id="190">
    <w:p w14:paraId="13375947" w14:textId="6D256A23" w:rsidR="00CD63BB" w:rsidRDefault="00CD63BB" w:rsidP="00524CB4">
      <w:pPr>
        <w:pStyle w:val="FootnoteText"/>
      </w:pPr>
      <w:r>
        <w:rPr>
          <w:rStyle w:val="FootnoteReference"/>
        </w:rPr>
        <w:footnoteRef/>
      </w:r>
      <w:r>
        <w:t xml:space="preserve"> </w:t>
      </w:r>
      <w:r w:rsidRPr="00524CB4">
        <w:rPr>
          <w:szCs w:val="18"/>
        </w:rPr>
        <w:t>Sonic Opening Comments</w:t>
      </w:r>
      <w:r w:rsidR="003D7B3E">
        <w:rPr>
          <w:szCs w:val="18"/>
        </w:rPr>
        <w:t xml:space="preserve"> at pp.</w:t>
      </w:r>
      <w:r w:rsidR="0051059D">
        <w:rPr>
          <w:sz w:val="18"/>
          <w:szCs w:val="18"/>
        </w:rPr>
        <w:t> </w:t>
      </w:r>
      <w:r w:rsidR="003D7B3E">
        <w:rPr>
          <w:szCs w:val="18"/>
        </w:rPr>
        <w:t>1</w:t>
      </w:r>
      <w:r w:rsidRPr="00524CB4">
        <w:rPr>
          <w:szCs w:val="18"/>
        </w:rPr>
        <w:t>6</w:t>
      </w:r>
      <w:r w:rsidR="00E4753D">
        <w:rPr>
          <w:sz w:val="18"/>
          <w:szCs w:val="18"/>
        </w:rPr>
        <w:noBreakHyphen/>
      </w:r>
      <w:r w:rsidRPr="00524CB4">
        <w:rPr>
          <w:szCs w:val="18"/>
        </w:rPr>
        <w:t>17.</w:t>
      </w:r>
    </w:p>
  </w:footnote>
  <w:footnote w:id="191">
    <w:p w14:paraId="4A97776F" w14:textId="0D0B901B" w:rsidR="009555B1" w:rsidRDefault="009555B1" w:rsidP="00524CB4">
      <w:pPr>
        <w:pStyle w:val="FootnoteText"/>
      </w:pPr>
      <w:r>
        <w:rPr>
          <w:rStyle w:val="FootnoteReference"/>
        </w:rPr>
        <w:footnoteRef/>
      </w:r>
      <w:r>
        <w:t xml:space="preserve"> </w:t>
      </w:r>
      <w:r w:rsidRPr="00524CB4">
        <w:rPr>
          <w:szCs w:val="18"/>
        </w:rPr>
        <w:t>California Broadband and Video Association Opening Comments</w:t>
      </w:r>
      <w:r w:rsidR="003D7B3E">
        <w:rPr>
          <w:szCs w:val="18"/>
        </w:rPr>
        <w:t xml:space="preserve"> at pp.</w:t>
      </w:r>
      <w:r w:rsidR="0051059D">
        <w:rPr>
          <w:sz w:val="18"/>
          <w:szCs w:val="18"/>
        </w:rPr>
        <w:t> </w:t>
      </w:r>
      <w:r w:rsidR="003D7B3E">
        <w:rPr>
          <w:szCs w:val="18"/>
        </w:rPr>
        <w:t>2</w:t>
      </w:r>
      <w:r w:rsidRPr="00524CB4">
        <w:rPr>
          <w:szCs w:val="18"/>
        </w:rPr>
        <w:t>0</w:t>
      </w:r>
      <w:r w:rsidR="00E4753D">
        <w:rPr>
          <w:sz w:val="18"/>
          <w:szCs w:val="18"/>
        </w:rPr>
        <w:noBreakHyphen/>
      </w:r>
      <w:r w:rsidRPr="00524CB4">
        <w:rPr>
          <w:szCs w:val="18"/>
        </w:rPr>
        <w:t>21.</w:t>
      </w:r>
    </w:p>
  </w:footnote>
  <w:footnote w:id="192">
    <w:p w14:paraId="2FCDACC0" w14:textId="1CBADD99" w:rsidR="009555B1" w:rsidRDefault="009555B1" w:rsidP="00524CB4">
      <w:pPr>
        <w:pStyle w:val="FootnoteText"/>
      </w:pPr>
      <w:r>
        <w:rPr>
          <w:rStyle w:val="FootnoteReference"/>
        </w:rPr>
        <w:footnoteRef/>
      </w:r>
      <w:r>
        <w:t xml:space="preserve"> Crown Castle Opening Comments</w:t>
      </w:r>
      <w:r w:rsidR="003D7B3E">
        <w:t xml:space="preserve"> at p.</w:t>
      </w:r>
      <w:r w:rsidR="0051059D">
        <w:rPr>
          <w:sz w:val="18"/>
          <w:szCs w:val="18"/>
        </w:rPr>
        <w:t> </w:t>
      </w:r>
      <w:r w:rsidR="003D7B3E">
        <w:t>1</w:t>
      </w:r>
      <w:r w:rsidRPr="00524CB4">
        <w:rPr>
          <w:szCs w:val="18"/>
        </w:rPr>
        <w:t>0.</w:t>
      </w:r>
    </w:p>
  </w:footnote>
  <w:footnote w:id="193">
    <w:p w14:paraId="006909E9" w14:textId="23C01722" w:rsidR="009555B1" w:rsidRDefault="009555B1" w:rsidP="00524CB4">
      <w:pPr>
        <w:pStyle w:val="FootnoteText"/>
      </w:pPr>
      <w:r>
        <w:rPr>
          <w:rStyle w:val="FootnoteReference"/>
        </w:rPr>
        <w:footnoteRef/>
      </w:r>
      <w:r>
        <w:t xml:space="preserve"> </w:t>
      </w:r>
      <w:r w:rsidRPr="00524CB4">
        <w:rPr>
          <w:szCs w:val="18"/>
        </w:rPr>
        <w:t>PG&amp;E Opening Comments</w:t>
      </w:r>
      <w:r w:rsidR="003D7B3E">
        <w:rPr>
          <w:szCs w:val="18"/>
        </w:rPr>
        <w:t xml:space="preserve"> at pp.</w:t>
      </w:r>
      <w:r w:rsidR="0051059D">
        <w:rPr>
          <w:sz w:val="18"/>
          <w:szCs w:val="18"/>
        </w:rPr>
        <w:t> </w:t>
      </w:r>
      <w:r w:rsidR="003D7B3E">
        <w:rPr>
          <w:szCs w:val="18"/>
        </w:rPr>
        <w:t>3</w:t>
      </w:r>
      <w:r w:rsidRPr="00524CB4">
        <w:rPr>
          <w:szCs w:val="18"/>
        </w:rPr>
        <w:t>5</w:t>
      </w:r>
      <w:r w:rsidR="00E4753D">
        <w:rPr>
          <w:sz w:val="18"/>
          <w:szCs w:val="18"/>
        </w:rPr>
        <w:noBreakHyphen/>
      </w:r>
      <w:r w:rsidRPr="00524CB4">
        <w:rPr>
          <w:szCs w:val="18"/>
        </w:rPr>
        <w:t>37.</w:t>
      </w:r>
    </w:p>
  </w:footnote>
  <w:footnote w:id="194">
    <w:p w14:paraId="58ADE00C" w14:textId="2404DCFD" w:rsidR="009555B1" w:rsidRDefault="009555B1" w:rsidP="00524CB4">
      <w:pPr>
        <w:pStyle w:val="FootnoteText"/>
      </w:pPr>
      <w:r>
        <w:rPr>
          <w:rStyle w:val="FootnoteReference"/>
        </w:rPr>
        <w:footnoteRef/>
      </w:r>
      <w:r>
        <w:t xml:space="preserve"> </w:t>
      </w:r>
      <w:r w:rsidRPr="00524CB4">
        <w:rPr>
          <w:szCs w:val="18"/>
        </w:rPr>
        <w:t>PG&amp;E Reply Comments</w:t>
      </w:r>
      <w:r w:rsidR="003D7B3E">
        <w:rPr>
          <w:szCs w:val="18"/>
        </w:rPr>
        <w:t xml:space="preserve"> at pp.</w:t>
      </w:r>
      <w:r w:rsidR="0051059D">
        <w:rPr>
          <w:sz w:val="18"/>
          <w:szCs w:val="18"/>
        </w:rPr>
        <w:t> </w:t>
      </w:r>
      <w:r w:rsidR="003D7B3E">
        <w:rPr>
          <w:szCs w:val="18"/>
        </w:rPr>
        <w:t>1</w:t>
      </w:r>
      <w:r w:rsidRPr="00524CB4">
        <w:rPr>
          <w:szCs w:val="18"/>
        </w:rPr>
        <w:t>1</w:t>
      </w:r>
      <w:r w:rsidR="00E4753D">
        <w:rPr>
          <w:sz w:val="18"/>
          <w:szCs w:val="18"/>
        </w:rPr>
        <w:noBreakHyphen/>
      </w:r>
      <w:r w:rsidRPr="00524CB4">
        <w:rPr>
          <w:szCs w:val="18"/>
        </w:rPr>
        <w:t>12.</w:t>
      </w:r>
    </w:p>
  </w:footnote>
  <w:footnote w:id="195">
    <w:p w14:paraId="681A1F05" w14:textId="10021187" w:rsidR="009819F0" w:rsidRDefault="009819F0" w:rsidP="00524CB4">
      <w:pPr>
        <w:pStyle w:val="FootnoteText"/>
      </w:pPr>
      <w:r>
        <w:rPr>
          <w:rStyle w:val="FootnoteReference"/>
        </w:rPr>
        <w:footnoteRef/>
      </w:r>
      <w:r>
        <w:t xml:space="preserve"> </w:t>
      </w:r>
      <w:r w:rsidRPr="00524CB4">
        <w:rPr>
          <w:szCs w:val="18"/>
        </w:rPr>
        <w:t>AT&amp;T Opening Comments</w:t>
      </w:r>
      <w:r w:rsidR="003D7B3E">
        <w:rPr>
          <w:szCs w:val="18"/>
        </w:rPr>
        <w:t xml:space="preserve"> at p.</w:t>
      </w:r>
      <w:r w:rsidR="0051059D">
        <w:rPr>
          <w:sz w:val="18"/>
          <w:szCs w:val="18"/>
        </w:rPr>
        <w:t> </w:t>
      </w:r>
      <w:r w:rsidR="003D7B3E">
        <w:rPr>
          <w:szCs w:val="18"/>
        </w:rPr>
        <w:t>1</w:t>
      </w:r>
      <w:r w:rsidRPr="00524CB4">
        <w:rPr>
          <w:szCs w:val="18"/>
        </w:rPr>
        <w:t>2.</w:t>
      </w:r>
    </w:p>
  </w:footnote>
  <w:footnote w:id="196">
    <w:p w14:paraId="4D24F621" w14:textId="204152DF" w:rsidR="009819F0" w:rsidRDefault="009819F0" w:rsidP="00524CB4">
      <w:pPr>
        <w:pStyle w:val="FootnoteText"/>
      </w:pPr>
      <w:r>
        <w:rPr>
          <w:rStyle w:val="FootnoteReference"/>
        </w:rPr>
        <w:footnoteRef/>
      </w:r>
      <w:r>
        <w:t xml:space="preserve"> </w:t>
      </w:r>
      <w:r w:rsidRPr="00524CB4">
        <w:rPr>
          <w:szCs w:val="18"/>
        </w:rPr>
        <w:t>Extenet Opening Comments</w:t>
      </w:r>
      <w:r w:rsidR="003D7B3E">
        <w:rPr>
          <w:szCs w:val="18"/>
        </w:rPr>
        <w:t xml:space="preserve"> at p.</w:t>
      </w:r>
      <w:r w:rsidR="0051059D">
        <w:rPr>
          <w:sz w:val="18"/>
          <w:szCs w:val="18"/>
        </w:rPr>
        <w:t> </w:t>
      </w:r>
      <w:r w:rsidR="003D7B3E">
        <w:rPr>
          <w:szCs w:val="18"/>
        </w:rPr>
        <w:t>1</w:t>
      </w:r>
      <w:r w:rsidRPr="00524CB4">
        <w:rPr>
          <w:szCs w:val="18"/>
        </w:rPr>
        <w:t>1.</w:t>
      </w:r>
    </w:p>
  </w:footnote>
  <w:footnote w:id="197">
    <w:p w14:paraId="1E033EBC" w14:textId="0F5E471E" w:rsidR="009819F0" w:rsidRDefault="009819F0" w:rsidP="00524CB4">
      <w:pPr>
        <w:pStyle w:val="FootnoteText"/>
      </w:pPr>
      <w:r>
        <w:rPr>
          <w:rStyle w:val="FootnoteReference"/>
        </w:rPr>
        <w:footnoteRef/>
      </w:r>
      <w:r>
        <w:t xml:space="preserve"> </w:t>
      </w:r>
      <w:r w:rsidRPr="00524CB4">
        <w:rPr>
          <w:szCs w:val="18"/>
        </w:rPr>
        <w:t>PG&amp;E Opening Comments</w:t>
      </w:r>
      <w:r w:rsidR="003D7B3E">
        <w:rPr>
          <w:szCs w:val="18"/>
        </w:rPr>
        <w:t xml:space="preserve"> at p.</w:t>
      </w:r>
      <w:r w:rsidR="0051059D">
        <w:rPr>
          <w:sz w:val="18"/>
          <w:szCs w:val="18"/>
        </w:rPr>
        <w:t> </w:t>
      </w:r>
      <w:r w:rsidR="003D7B3E">
        <w:rPr>
          <w:szCs w:val="18"/>
        </w:rPr>
        <w:t>3</w:t>
      </w:r>
      <w:r w:rsidRPr="00524CB4">
        <w:rPr>
          <w:szCs w:val="18"/>
        </w:rPr>
        <w:t>7.</w:t>
      </w:r>
    </w:p>
  </w:footnote>
  <w:footnote w:id="198">
    <w:p w14:paraId="7D8A779A" w14:textId="0217CBFF" w:rsidR="009819F0" w:rsidRDefault="009819F0" w:rsidP="00524CB4">
      <w:pPr>
        <w:pStyle w:val="FootnoteText"/>
      </w:pPr>
      <w:r>
        <w:rPr>
          <w:rStyle w:val="FootnoteReference"/>
        </w:rPr>
        <w:footnoteRef/>
      </w:r>
      <w:r>
        <w:t xml:space="preserve"> </w:t>
      </w:r>
      <w:r w:rsidRPr="00524CB4">
        <w:rPr>
          <w:szCs w:val="18"/>
        </w:rPr>
        <w:t>SDG&amp;E Opening Comments</w:t>
      </w:r>
      <w:r w:rsidR="003D7B3E">
        <w:rPr>
          <w:szCs w:val="18"/>
        </w:rPr>
        <w:t xml:space="preserve"> at pp.</w:t>
      </w:r>
      <w:r w:rsidR="0051059D">
        <w:rPr>
          <w:sz w:val="18"/>
          <w:szCs w:val="18"/>
        </w:rPr>
        <w:t> </w:t>
      </w:r>
      <w:r w:rsidR="003D7B3E">
        <w:rPr>
          <w:szCs w:val="18"/>
        </w:rPr>
        <w:t>1</w:t>
      </w:r>
      <w:r w:rsidRPr="00524CB4">
        <w:rPr>
          <w:szCs w:val="18"/>
        </w:rPr>
        <w:t>6</w:t>
      </w:r>
      <w:r w:rsidR="00E4753D">
        <w:rPr>
          <w:sz w:val="18"/>
          <w:szCs w:val="18"/>
        </w:rPr>
        <w:noBreakHyphen/>
      </w:r>
      <w:r w:rsidRPr="00524CB4">
        <w:rPr>
          <w:szCs w:val="18"/>
        </w:rPr>
        <w:t>18.</w:t>
      </w:r>
    </w:p>
  </w:footnote>
  <w:footnote w:id="199">
    <w:p w14:paraId="441B4FD2" w14:textId="32B1D38D" w:rsidR="009819F0" w:rsidRDefault="009819F0" w:rsidP="00524CB4">
      <w:pPr>
        <w:pStyle w:val="FootnoteText"/>
      </w:pPr>
      <w:r>
        <w:rPr>
          <w:rStyle w:val="FootnoteReference"/>
        </w:rPr>
        <w:footnoteRef/>
      </w:r>
      <w:r>
        <w:t xml:space="preserve"> </w:t>
      </w:r>
      <w:r w:rsidRPr="00524CB4">
        <w:rPr>
          <w:szCs w:val="18"/>
        </w:rPr>
        <w:t>Sonic Opening Comments</w:t>
      </w:r>
      <w:r w:rsidR="003D7B3E">
        <w:rPr>
          <w:szCs w:val="18"/>
        </w:rPr>
        <w:t xml:space="preserve"> at pp.</w:t>
      </w:r>
      <w:r w:rsidR="0051059D">
        <w:rPr>
          <w:sz w:val="18"/>
          <w:szCs w:val="18"/>
        </w:rPr>
        <w:t> </w:t>
      </w:r>
      <w:r w:rsidR="003D7B3E">
        <w:rPr>
          <w:szCs w:val="18"/>
        </w:rPr>
        <w:t>1</w:t>
      </w:r>
      <w:r w:rsidRPr="00524CB4">
        <w:rPr>
          <w:szCs w:val="18"/>
        </w:rPr>
        <w:t>7</w:t>
      </w:r>
      <w:r w:rsidR="00E4753D">
        <w:rPr>
          <w:sz w:val="18"/>
          <w:szCs w:val="18"/>
        </w:rPr>
        <w:noBreakHyphen/>
      </w:r>
      <w:r w:rsidRPr="00524CB4">
        <w:rPr>
          <w:szCs w:val="18"/>
        </w:rPr>
        <w:t>18.</w:t>
      </w:r>
    </w:p>
  </w:footnote>
  <w:footnote w:id="200">
    <w:p w14:paraId="295C74B6" w14:textId="2682DD5C" w:rsidR="004A6ED9" w:rsidRDefault="004A6ED9" w:rsidP="00524CB4">
      <w:pPr>
        <w:pStyle w:val="FootnoteText"/>
      </w:pPr>
      <w:r>
        <w:rPr>
          <w:rStyle w:val="FootnoteReference"/>
        </w:rPr>
        <w:footnoteRef/>
      </w:r>
      <w:r>
        <w:t xml:space="preserve"> </w:t>
      </w:r>
      <w:r w:rsidRPr="00524CB4">
        <w:rPr>
          <w:szCs w:val="18"/>
        </w:rPr>
        <w:t>AT&amp;T Opening Comments</w:t>
      </w:r>
      <w:r w:rsidR="003D7B3E">
        <w:rPr>
          <w:szCs w:val="18"/>
        </w:rPr>
        <w:t xml:space="preserve"> at p.</w:t>
      </w:r>
      <w:r w:rsidR="0051059D">
        <w:rPr>
          <w:sz w:val="18"/>
          <w:szCs w:val="18"/>
        </w:rPr>
        <w:t> </w:t>
      </w:r>
      <w:r w:rsidR="003D7B3E">
        <w:rPr>
          <w:szCs w:val="18"/>
        </w:rPr>
        <w:t>1</w:t>
      </w:r>
      <w:r w:rsidRPr="00524CB4">
        <w:rPr>
          <w:szCs w:val="18"/>
        </w:rPr>
        <w:t>2.</w:t>
      </w:r>
    </w:p>
  </w:footnote>
  <w:footnote w:id="201">
    <w:p w14:paraId="5AF635CB" w14:textId="5B18A10C" w:rsidR="004A6ED9" w:rsidRDefault="004A6ED9" w:rsidP="00524CB4">
      <w:pPr>
        <w:pStyle w:val="FootnoteText"/>
      </w:pPr>
      <w:r>
        <w:rPr>
          <w:rStyle w:val="FootnoteReference"/>
        </w:rPr>
        <w:footnoteRef/>
      </w:r>
      <w:r>
        <w:t xml:space="preserve"> </w:t>
      </w:r>
      <w:r w:rsidR="001D4198">
        <w:t>Surfnet O</w:t>
      </w:r>
      <w:r>
        <w:t xml:space="preserve">pening </w:t>
      </w:r>
      <w:r w:rsidRPr="00524CB4">
        <w:rPr>
          <w:szCs w:val="18"/>
        </w:rPr>
        <w:t>Comments</w:t>
      </w:r>
      <w:r w:rsidR="003D7B3E">
        <w:rPr>
          <w:szCs w:val="18"/>
        </w:rPr>
        <w:t xml:space="preserve"> at p.</w:t>
      </w:r>
      <w:r w:rsidR="0051059D">
        <w:rPr>
          <w:sz w:val="18"/>
          <w:szCs w:val="18"/>
        </w:rPr>
        <w:t> </w:t>
      </w:r>
      <w:r w:rsidR="003D7B3E">
        <w:rPr>
          <w:szCs w:val="18"/>
        </w:rPr>
        <w:t>8</w:t>
      </w:r>
      <w:r w:rsidRPr="00524CB4">
        <w:rPr>
          <w:szCs w:val="18"/>
        </w:rPr>
        <w:t>.</w:t>
      </w:r>
    </w:p>
  </w:footnote>
  <w:footnote w:id="202">
    <w:p w14:paraId="38606350" w14:textId="6456DC58" w:rsidR="008F52A7" w:rsidRDefault="008F52A7">
      <w:pPr>
        <w:pStyle w:val="FootnoteText"/>
      </w:pPr>
      <w:r>
        <w:rPr>
          <w:rStyle w:val="FootnoteReference"/>
        </w:rPr>
        <w:footnoteRef/>
      </w:r>
      <w:r>
        <w:t xml:space="preserve"> </w:t>
      </w:r>
      <w:r w:rsidR="001D4A72">
        <w:t>Crown Castle Opening Comments at</w:t>
      </w:r>
      <w:r w:rsidR="008E1D80">
        <w:t xml:space="preserve"> p.</w:t>
      </w:r>
      <w:r w:rsidR="000A25FD">
        <w:t> </w:t>
      </w:r>
      <w:r w:rsidR="008E1D80">
        <w:t>13.</w:t>
      </w:r>
    </w:p>
  </w:footnote>
  <w:footnote w:id="203">
    <w:p w14:paraId="4CFDECC7" w14:textId="03C1A07D" w:rsidR="00FC4F24" w:rsidRDefault="00FC4F24">
      <w:pPr>
        <w:pStyle w:val="FootnoteText"/>
      </w:pPr>
      <w:r>
        <w:rPr>
          <w:rStyle w:val="FootnoteReference"/>
        </w:rPr>
        <w:footnoteRef/>
      </w:r>
      <w:r>
        <w:t xml:space="preserve"> </w:t>
      </w:r>
      <w:r w:rsidR="00894A75" w:rsidRPr="00894A75">
        <w:rPr>
          <w:i/>
          <w:iCs/>
        </w:rPr>
        <w:t>Sonic</w:t>
      </w:r>
      <w:r w:rsidR="00894A75">
        <w:t xml:space="preserve"> </w:t>
      </w:r>
      <w:r w:rsidR="00F716D7" w:rsidRPr="007F4553">
        <w:rPr>
          <w:i/>
          <w:iCs/>
        </w:rPr>
        <w:t>Petition</w:t>
      </w:r>
      <w:r w:rsidR="003D7B3E">
        <w:t xml:space="preserve"> at pp.</w:t>
      </w:r>
      <w:r w:rsidR="0051059D">
        <w:t> </w:t>
      </w:r>
      <w:r w:rsidR="003D7B3E">
        <w:t>1</w:t>
      </w:r>
      <w:r w:rsidR="00F716D7">
        <w:t>5</w:t>
      </w:r>
      <w:r w:rsidR="00E4753D">
        <w:noBreakHyphen/>
      </w:r>
      <w:r w:rsidR="00F716D7">
        <w:t>16</w:t>
      </w:r>
    </w:p>
  </w:footnote>
  <w:footnote w:id="204">
    <w:p w14:paraId="79146DF2" w14:textId="7880A95E" w:rsidR="00671DC6" w:rsidRDefault="00671DC6">
      <w:pPr>
        <w:pStyle w:val="FootnoteText"/>
      </w:pPr>
      <w:r>
        <w:rPr>
          <w:rStyle w:val="FootnoteReference"/>
        </w:rPr>
        <w:footnoteRef/>
      </w:r>
      <w:r>
        <w:t xml:space="preserve"> </w:t>
      </w:r>
      <w:r w:rsidR="007F4553" w:rsidRPr="007F4553">
        <w:rPr>
          <w:i/>
          <w:iCs/>
        </w:rPr>
        <w:t>Id</w:t>
      </w:r>
      <w:r w:rsidR="007F4553">
        <w:t>.,</w:t>
      </w:r>
      <w:r w:rsidR="003D7B3E">
        <w:t xml:space="preserve"> at p.</w:t>
      </w:r>
      <w:r w:rsidR="0051059D">
        <w:t> </w:t>
      </w:r>
      <w:r w:rsidR="003D7B3E">
        <w:t>1</w:t>
      </w:r>
      <w:r>
        <w:t>4.</w:t>
      </w:r>
    </w:p>
  </w:footnote>
  <w:footnote w:id="205">
    <w:p w14:paraId="3B9DFC2A" w14:textId="51A535F9" w:rsidR="00E139E5" w:rsidRDefault="00E139E5">
      <w:pPr>
        <w:pStyle w:val="FootnoteText"/>
      </w:pPr>
      <w:r>
        <w:rPr>
          <w:rStyle w:val="FootnoteReference"/>
        </w:rPr>
        <w:footnoteRef/>
      </w:r>
      <w:r>
        <w:t xml:space="preserve"> </w:t>
      </w:r>
      <w:r w:rsidR="00451BB8">
        <w:t xml:space="preserve">SDG&amp;E </w:t>
      </w:r>
      <w:r w:rsidR="00A23404" w:rsidRPr="00005C91">
        <w:t>Response</w:t>
      </w:r>
      <w:r w:rsidR="00A23404">
        <w:t xml:space="preserve">, </w:t>
      </w:r>
      <w:r w:rsidR="0023089B">
        <w:t>June</w:t>
      </w:r>
      <w:r w:rsidR="0051059D">
        <w:t> </w:t>
      </w:r>
      <w:r w:rsidR="00A23404">
        <w:t xml:space="preserve">30, </w:t>
      </w:r>
      <w:r w:rsidR="003D7B3E">
        <w:t>2025, at p.</w:t>
      </w:r>
      <w:r w:rsidR="0051059D">
        <w:t> </w:t>
      </w:r>
      <w:r w:rsidR="003D7B3E">
        <w:t>1</w:t>
      </w:r>
      <w:r w:rsidR="00A23404">
        <w:t>.</w:t>
      </w:r>
    </w:p>
  </w:footnote>
  <w:footnote w:id="206">
    <w:p w14:paraId="7B168636" w14:textId="53EC5613" w:rsidR="00993092" w:rsidRDefault="00993092">
      <w:pPr>
        <w:pStyle w:val="FootnoteText"/>
      </w:pPr>
      <w:r>
        <w:rPr>
          <w:rStyle w:val="FootnoteReference"/>
        </w:rPr>
        <w:footnoteRef/>
      </w:r>
      <w:r>
        <w:t xml:space="preserve"> </w:t>
      </w:r>
      <w:r w:rsidR="002C736C">
        <w:t xml:space="preserve">PG&amp;E </w:t>
      </w:r>
      <w:r w:rsidR="002C736C" w:rsidRPr="00005C91">
        <w:t>Response</w:t>
      </w:r>
      <w:r w:rsidR="00155038">
        <w:rPr>
          <w:i/>
          <w:iCs/>
        </w:rPr>
        <w:t xml:space="preserve">, </w:t>
      </w:r>
      <w:r w:rsidR="0023089B">
        <w:t>June</w:t>
      </w:r>
      <w:r w:rsidR="0051059D">
        <w:t> </w:t>
      </w:r>
      <w:r w:rsidR="00155038">
        <w:t xml:space="preserve">30, </w:t>
      </w:r>
      <w:r w:rsidR="003D7B3E">
        <w:t>2025, at p.</w:t>
      </w:r>
      <w:r w:rsidR="0051059D">
        <w:t> </w:t>
      </w:r>
      <w:r w:rsidR="003D7B3E">
        <w:t>1</w:t>
      </w:r>
      <w:r w:rsidR="00155038">
        <w:t>4</w:t>
      </w:r>
      <w:r w:rsidR="002C736C">
        <w:t>.</w:t>
      </w:r>
    </w:p>
  </w:footnote>
  <w:footnote w:id="207">
    <w:p w14:paraId="5F25F287" w14:textId="68AF4E22" w:rsidR="000377B1" w:rsidRDefault="000377B1">
      <w:pPr>
        <w:pStyle w:val="FootnoteText"/>
      </w:pPr>
      <w:r>
        <w:rPr>
          <w:rStyle w:val="FootnoteReference"/>
        </w:rPr>
        <w:footnoteRef/>
      </w:r>
      <w:r>
        <w:t xml:space="preserve"> SCE </w:t>
      </w:r>
      <w:r w:rsidRPr="00005C91">
        <w:t>Response</w:t>
      </w:r>
      <w:r w:rsidR="0085109C">
        <w:t xml:space="preserve">, </w:t>
      </w:r>
      <w:r w:rsidR="0023089B">
        <w:t>June</w:t>
      </w:r>
      <w:r w:rsidR="0051059D">
        <w:t> </w:t>
      </w:r>
      <w:r w:rsidR="0085109C">
        <w:t xml:space="preserve">30, </w:t>
      </w:r>
      <w:r w:rsidR="003D7B3E">
        <w:t>2025, at pp.</w:t>
      </w:r>
      <w:r w:rsidR="0051059D">
        <w:t> </w:t>
      </w:r>
      <w:r w:rsidR="003D7B3E">
        <w:t>7</w:t>
      </w:r>
      <w:r w:rsidR="00E4753D">
        <w:noBreakHyphen/>
      </w:r>
      <w:r w:rsidR="0085109C">
        <w:t>10.</w:t>
      </w:r>
    </w:p>
  </w:footnote>
  <w:footnote w:id="208">
    <w:p w14:paraId="793DE01E" w14:textId="6B210D13" w:rsidR="00805DEA" w:rsidRDefault="00805DEA">
      <w:pPr>
        <w:pStyle w:val="FootnoteText"/>
      </w:pPr>
      <w:r>
        <w:rPr>
          <w:rStyle w:val="FootnoteReference"/>
        </w:rPr>
        <w:footnoteRef/>
      </w:r>
      <w:r>
        <w:t xml:space="preserve"> AT&amp;T </w:t>
      </w:r>
      <w:r w:rsidRPr="00005C91">
        <w:t>Response</w:t>
      </w:r>
      <w:r w:rsidR="004D6F6F">
        <w:t xml:space="preserve">, </w:t>
      </w:r>
      <w:r w:rsidR="0023089B">
        <w:t>June</w:t>
      </w:r>
      <w:r w:rsidR="0051059D">
        <w:t> </w:t>
      </w:r>
      <w:r w:rsidR="004D6F6F">
        <w:t xml:space="preserve">30, </w:t>
      </w:r>
      <w:r w:rsidR="003D7B3E">
        <w:t>2025, at pp.</w:t>
      </w:r>
      <w:r w:rsidR="0051059D">
        <w:t> </w:t>
      </w:r>
      <w:r w:rsidR="003D7B3E">
        <w:t>2</w:t>
      </w:r>
      <w:r w:rsidR="00E4753D">
        <w:noBreakHyphen/>
      </w:r>
      <w:r w:rsidR="002C7B82">
        <w:t>4</w:t>
      </w:r>
      <w:r>
        <w:t>.</w:t>
      </w:r>
    </w:p>
  </w:footnote>
  <w:footnote w:id="209">
    <w:p w14:paraId="0571F0A6" w14:textId="637FF305" w:rsidR="00531534" w:rsidRDefault="00531534">
      <w:pPr>
        <w:pStyle w:val="FootnoteText"/>
      </w:pPr>
      <w:r>
        <w:rPr>
          <w:rStyle w:val="FootnoteReference"/>
        </w:rPr>
        <w:footnoteRef/>
      </w:r>
      <w:r>
        <w:t xml:space="preserve"> </w:t>
      </w:r>
      <w:r w:rsidR="00733CEC">
        <w:t>D.22</w:t>
      </w:r>
      <w:r w:rsidR="00E4753D">
        <w:noBreakHyphen/>
      </w:r>
      <w:r w:rsidR="00733CEC">
        <w:t>10</w:t>
      </w:r>
      <w:r w:rsidR="00E4753D">
        <w:noBreakHyphen/>
      </w:r>
      <w:r w:rsidR="00733CEC">
        <w:t>025</w:t>
      </w:r>
      <w:r w:rsidR="003D7B3E">
        <w:t xml:space="preserve"> at p.</w:t>
      </w:r>
      <w:r w:rsidR="0051059D">
        <w:t> </w:t>
      </w:r>
      <w:r w:rsidR="003D7B3E">
        <w:t>2</w:t>
      </w:r>
      <w:r w:rsidR="00924472">
        <w:t>.</w:t>
      </w:r>
    </w:p>
  </w:footnote>
  <w:footnote w:id="210">
    <w:p w14:paraId="0563B403" w14:textId="5C01A125" w:rsidR="00733CEC" w:rsidRDefault="00733CEC">
      <w:pPr>
        <w:pStyle w:val="FootnoteText"/>
      </w:pPr>
      <w:r>
        <w:rPr>
          <w:rStyle w:val="FootnoteReference"/>
        </w:rPr>
        <w:footnoteRef/>
      </w:r>
      <w:r>
        <w:t xml:space="preserve"> </w:t>
      </w:r>
      <w:r w:rsidR="003C51C3" w:rsidRPr="002A0237">
        <w:rPr>
          <w:i/>
          <w:iCs/>
        </w:rPr>
        <w:t>Id.</w:t>
      </w:r>
      <w:r w:rsidR="003C51C3">
        <w:t xml:space="preserve">, </w:t>
      </w:r>
      <w:r w:rsidR="00AE3B9A">
        <w:t>Attachment</w:t>
      </w:r>
      <w:r w:rsidR="0051059D">
        <w:t> </w:t>
      </w:r>
      <w:r w:rsidR="00C553A1">
        <w:t>A</w:t>
      </w:r>
      <w:r w:rsidR="006405D9">
        <w:t xml:space="preserve"> at</w:t>
      </w:r>
      <w:r w:rsidR="003C51C3">
        <w:t xml:space="preserve"> p.</w:t>
      </w:r>
      <w:r w:rsidR="0051059D">
        <w:t> </w:t>
      </w:r>
      <w:r w:rsidR="00342389">
        <w:t>A</w:t>
      </w:r>
      <w:r w:rsidR="00E4753D">
        <w:noBreakHyphen/>
      </w:r>
      <w:r w:rsidR="00342389">
        <w:t>7.</w:t>
      </w:r>
    </w:p>
  </w:footnote>
  <w:footnote w:id="211">
    <w:p w14:paraId="1E497918" w14:textId="3B13FF66" w:rsidR="003C51C3" w:rsidRDefault="003C51C3">
      <w:pPr>
        <w:pStyle w:val="FootnoteText"/>
      </w:pPr>
      <w:r>
        <w:rPr>
          <w:rStyle w:val="FootnoteReference"/>
        </w:rPr>
        <w:footnoteRef/>
      </w:r>
      <w:r>
        <w:t xml:space="preserve"> </w:t>
      </w:r>
      <w:r w:rsidRPr="002A0237">
        <w:rPr>
          <w:i/>
          <w:iCs/>
        </w:rPr>
        <w:t>Id.</w:t>
      </w:r>
      <w:r>
        <w:t xml:space="preserve">, </w:t>
      </w:r>
      <w:r w:rsidR="00AE3B9A">
        <w:t>Attachment</w:t>
      </w:r>
      <w:r w:rsidR="0051059D">
        <w:t> </w:t>
      </w:r>
      <w:r w:rsidR="00342389">
        <w:t>A</w:t>
      </w:r>
      <w:r w:rsidR="006405D9">
        <w:t xml:space="preserve"> at</w:t>
      </w:r>
      <w:r>
        <w:t xml:space="preserve"> p.</w:t>
      </w:r>
      <w:r w:rsidR="0051059D">
        <w:t> </w:t>
      </w:r>
      <w:r w:rsidR="00342389">
        <w:t>A</w:t>
      </w:r>
      <w:r w:rsidR="00E4753D">
        <w:noBreakHyphen/>
      </w:r>
      <w:r w:rsidR="00342389">
        <w:t>8</w:t>
      </w:r>
      <w:r>
        <w:t>.</w:t>
      </w:r>
    </w:p>
  </w:footnote>
  <w:footnote w:id="212">
    <w:p w14:paraId="1DFE8C4F" w14:textId="080DB801" w:rsidR="006A23FE" w:rsidRDefault="006A23FE">
      <w:pPr>
        <w:pStyle w:val="FootnoteText"/>
      </w:pPr>
      <w:r>
        <w:rPr>
          <w:rStyle w:val="FootnoteReference"/>
        </w:rPr>
        <w:footnoteRef/>
      </w:r>
      <w:r>
        <w:t xml:space="preserve"> </w:t>
      </w:r>
      <w:r w:rsidRPr="002A0237">
        <w:rPr>
          <w:i/>
          <w:iCs/>
        </w:rPr>
        <w:t>Id.</w:t>
      </w:r>
      <w:r>
        <w:t xml:space="preserve">, </w:t>
      </w:r>
      <w:r w:rsidR="00AE3B9A">
        <w:t>Attachment</w:t>
      </w:r>
      <w:r w:rsidR="0051059D">
        <w:t> </w:t>
      </w:r>
      <w:r w:rsidR="00342389">
        <w:t>A</w:t>
      </w:r>
      <w:r w:rsidR="006405D9">
        <w:t xml:space="preserve"> at</w:t>
      </w:r>
      <w:r>
        <w:t xml:space="preserve"> p.</w:t>
      </w:r>
      <w:r w:rsidR="0051059D">
        <w:t> </w:t>
      </w:r>
      <w:r w:rsidR="00465DAF">
        <w:t>A</w:t>
      </w:r>
      <w:r w:rsidR="00E4753D">
        <w:noBreakHyphen/>
      </w:r>
      <w:r w:rsidR="00AC0141">
        <w:t>17</w:t>
      </w:r>
      <w:r>
        <w:t>.</w:t>
      </w:r>
    </w:p>
  </w:footnote>
  <w:footnote w:id="213">
    <w:p w14:paraId="5A85D207" w14:textId="151DFA96" w:rsidR="002A0237" w:rsidRDefault="002A0237">
      <w:pPr>
        <w:pStyle w:val="FootnoteText"/>
      </w:pPr>
      <w:r>
        <w:rPr>
          <w:rStyle w:val="FootnoteReference"/>
        </w:rPr>
        <w:footnoteRef/>
      </w:r>
      <w:r>
        <w:t xml:space="preserve"> </w:t>
      </w:r>
      <w:r w:rsidRPr="002A0237">
        <w:rPr>
          <w:i/>
          <w:iCs/>
        </w:rPr>
        <w:t>Id</w:t>
      </w:r>
      <w:r>
        <w:t xml:space="preserve">., </w:t>
      </w:r>
      <w:r w:rsidR="00AE3B9A">
        <w:t>Attachment</w:t>
      </w:r>
      <w:r w:rsidR="0051059D">
        <w:t> </w:t>
      </w:r>
      <w:r w:rsidR="00AC0141">
        <w:t>A</w:t>
      </w:r>
      <w:r w:rsidR="006405D9">
        <w:t xml:space="preserve"> at</w:t>
      </w:r>
      <w:r>
        <w:t xml:space="preserve"> p.</w:t>
      </w:r>
      <w:r w:rsidR="0051059D">
        <w:t> </w:t>
      </w:r>
      <w:r w:rsidR="00AC0141">
        <w:t>A</w:t>
      </w:r>
      <w:r w:rsidR="00E4753D">
        <w:noBreakHyphen/>
      </w:r>
      <w:r w:rsidR="00AC0141">
        <w:t>7</w:t>
      </w:r>
      <w:r>
        <w:t>.</w:t>
      </w:r>
    </w:p>
  </w:footnote>
  <w:footnote w:id="214">
    <w:p w14:paraId="1B3CE60E" w14:textId="77777777" w:rsidR="00685757" w:rsidRDefault="00685757" w:rsidP="00685757">
      <w:pPr>
        <w:pStyle w:val="FootnoteText"/>
      </w:pPr>
      <w:r>
        <w:rPr>
          <w:rStyle w:val="FootnoteReference"/>
        </w:rPr>
        <w:footnoteRef/>
      </w:r>
      <w:r>
        <w:t xml:space="preserve"> Joint IOU Opening Comments, April 30, 2026, at p. 4.</w:t>
      </w:r>
    </w:p>
  </w:footnote>
  <w:footnote w:id="215">
    <w:p w14:paraId="0A525672" w14:textId="77777777" w:rsidR="00685757" w:rsidRDefault="00685757" w:rsidP="00685757">
      <w:pPr>
        <w:pStyle w:val="FootnoteText"/>
      </w:pPr>
      <w:r>
        <w:rPr>
          <w:rStyle w:val="FootnoteReference"/>
        </w:rPr>
        <w:footnoteRef/>
      </w:r>
      <w:r>
        <w:t xml:space="preserve"> </w:t>
      </w:r>
      <w:r w:rsidRPr="00796E46">
        <w:rPr>
          <w:i/>
          <w:iCs/>
        </w:rPr>
        <w:t>Ibid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1336" w14:textId="47DF49B0" w:rsidR="00E57194" w:rsidRPr="00B82089" w:rsidRDefault="00E57194" w:rsidP="00E57194">
    <w:pPr>
      <w:pStyle w:val="Header"/>
      <w:tabs>
        <w:tab w:val="clear" w:pos="4680"/>
      </w:tabs>
      <w:ind w:firstLine="0"/>
      <w:rPr>
        <w:bCs/>
      </w:rPr>
    </w:pPr>
    <w:r w:rsidRPr="00B82089">
      <w:t>I</w:t>
    </w:r>
    <w:r>
      <w:t>.</w:t>
    </w:r>
    <w:r w:rsidRPr="00B82089">
      <w:t>17</w:t>
    </w:r>
    <w:r w:rsidR="00E4753D">
      <w:noBreakHyphen/>
    </w:r>
    <w:r w:rsidRPr="00B82089">
      <w:t>06</w:t>
    </w:r>
    <w:r w:rsidR="00E4753D">
      <w:noBreakHyphen/>
    </w:r>
    <w:r w:rsidRPr="00B82089">
      <w:t xml:space="preserve">027, et al. </w:t>
    </w:r>
    <w:r>
      <w:t xml:space="preserve"> COM/JR5/nd3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7988" w14:textId="77777777" w:rsidR="00436F91" w:rsidRPr="00796BA0" w:rsidRDefault="00436F91" w:rsidP="00796BA0">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71A8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7854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4D81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DD4D48"/>
    <w:multiLevelType w:val="multilevel"/>
    <w:tmpl w:val="12BE6854"/>
    <w:lvl w:ilvl="0">
      <w:start w:val="2"/>
      <w:numFmt w:val="lowerLetter"/>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08FA13B5"/>
    <w:multiLevelType w:val="hybridMultilevel"/>
    <w:tmpl w:val="948088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0AF80538"/>
    <w:multiLevelType w:val="hybridMultilevel"/>
    <w:tmpl w:val="F03E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C103A"/>
    <w:multiLevelType w:val="hybridMultilevel"/>
    <w:tmpl w:val="FFFFFFFF"/>
    <w:lvl w:ilvl="0" w:tplc="C15A0F98">
      <w:start w:val="1"/>
      <w:numFmt w:val="decimal"/>
      <w:lvlText w:val="%1."/>
      <w:lvlJc w:val="left"/>
      <w:pPr>
        <w:ind w:left="720" w:hanging="360"/>
      </w:pPr>
    </w:lvl>
    <w:lvl w:ilvl="1" w:tplc="BFC472E2">
      <w:start w:val="1"/>
      <w:numFmt w:val="lowerLetter"/>
      <w:lvlText w:val="%2."/>
      <w:lvlJc w:val="left"/>
      <w:pPr>
        <w:ind w:left="1440" w:hanging="360"/>
      </w:pPr>
    </w:lvl>
    <w:lvl w:ilvl="2" w:tplc="D15C2FB4">
      <w:start w:val="1"/>
      <w:numFmt w:val="lowerRoman"/>
      <w:lvlText w:val="%3."/>
      <w:lvlJc w:val="right"/>
      <w:pPr>
        <w:ind w:left="2160" w:hanging="180"/>
      </w:pPr>
    </w:lvl>
    <w:lvl w:ilvl="3" w:tplc="54525A6C">
      <w:start w:val="1"/>
      <w:numFmt w:val="decimal"/>
      <w:lvlText w:val="%4."/>
      <w:lvlJc w:val="left"/>
      <w:pPr>
        <w:ind w:left="2880" w:hanging="360"/>
      </w:pPr>
    </w:lvl>
    <w:lvl w:ilvl="4" w:tplc="7C983FDA">
      <w:start w:val="1"/>
      <w:numFmt w:val="lowerLetter"/>
      <w:lvlText w:val="%5."/>
      <w:lvlJc w:val="left"/>
      <w:pPr>
        <w:ind w:left="3600" w:hanging="360"/>
      </w:pPr>
    </w:lvl>
    <w:lvl w:ilvl="5" w:tplc="0840F962">
      <w:start w:val="1"/>
      <w:numFmt w:val="lowerRoman"/>
      <w:lvlText w:val="%6."/>
      <w:lvlJc w:val="right"/>
      <w:pPr>
        <w:ind w:left="4320" w:hanging="180"/>
      </w:pPr>
    </w:lvl>
    <w:lvl w:ilvl="6" w:tplc="BA9A4E38">
      <w:start w:val="1"/>
      <w:numFmt w:val="decimal"/>
      <w:lvlText w:val="%7."/>
      <w:lvlJc w:val="left"/>
      <w:pPr>
        <w:ind w:left="5040" w:hanging="360"/>
      </w:pPr>
    </w:lvl>
    <w:lvl w:ilvl="7" w:tplc="431CEA0E">
      <w:start w:val="1"/>
      <w:numFmt w:val="lowerLetter"/>
      <w:lvlText w:val="%8."/>
      <w:lvlJc w:val="left"/>
      <w:pPr>
        <w:ind w:left="5760" w:hanging="360"/>
      </w:pPr>
    </w:lvl>
    <w:lvl w:ilvl="8" w:tplc="9F5AED04">
      <w:start w:val="1"/>
      <w:numFmt w:val="lowerRoman"/>
      <w:lvlText w:val="%9."/>
      <w:lvlJc w:val="right"/>
      <w:pPr>
        <w:ind w:left="6480" w:hanging="180"/>
      </w:pPr>
    </w:lvl>
  </w:abstractNum>
  <w:abstractNum w:abstractNumId="8" w15:restartNumberingAfterBreak="0">
    <w:nsid w:val="0FE86C85"/>
    <w:multiLevelType w:val="hybridMultilevel"/>
    <w:tmpl w:val="94B4647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0" w15:restartNumberingAfterBreak="0">
    <w:nsid w:val="14D1A98D"/>
    <w:multiLevelType w:val="hybridMultilevel"/>
    <w:tmpl w:val="57DC2DFC"/>
    <w:lvl w:ilvl="0" w:tplc="674AF072">
      <w:start w:val="1"/>
      <w:numFmt w:val="bullet"/>
      <w:lvlText w:val=""/>
      <w:lvlJc w:val="left"/>
      <w:pPr>
        <w:ind w:left="720" w:hanging="360"/>
      </w:pPr>
      <w:rPr>
        <w:rFonts w:ascii="Symbol" w:hAnsi="Symbol" w:hint="default"/>
      </w:rPr>
    </w:lvl>
    <w:lvl w:ilvl="1" w:tplc="C93A5D0E">
      <w:start w:val="1"/>
      <w:numFmt w:val="bullet"/>
      <w:lvlText w:val="o"/>
      <w:lvlJc w:val="left"/>
      <w:pPr>
        <w:ind w:left="1440" w:hanging="360"/>
      </w:pPr>
      <w:rPr>
        <w:rFonts w:ascii="Courier New" w:hAnsi="Courier New" w:hint="default"/>
      </w:rPr>
    </w:lvl>
    <w:lvl w:ilvl="2" w:tplc="6C72C5BC">
      <w:start w:val="1"/>
      <w:numFmt w:val="bullet"/>
      <w:lvlText w:val=""/>
      <w:lvlJc w:val="left"/>
      <w:pPr>
        <w:ind w:left="2160" w:hanging="360"/>
      </w:pPr>
      <w:rPr>
        <w:rFonts w:ascii="Wingdings" w:hAnsi="Wingdings" w:hint="default"/>
      </w:rPr>
    </w:lvl>
    <w:lvl w:ilvl="3" w:tplc="3E7A456A">
      <w:start w:val="1"/>
      <w:numFmt w:val="bullet"/>
      <w:lvlText w:val=""/>
      <w:lvlJc w:val="left"/>
      <w:pPr>
        <w:ind w:left="2880" w:hanging="360"/>
      </w:pPr>
      <w:rPr>
        <w:rFonts w:ascii="Symbol" w:hAnsi="Symbol" w:hint="default"/>
      </w:rPr>
    </w:lvl>
    <w:lvl w:ilvl="4" w:tplc="60229494">
      <w:start w:val="1"/>
      <w:numFmt w:val="bullet"/>
      <w:lvlText w:val="o"/>
      <w:lvlJc w:val="left"/>
      <w:pPr>
        <w:ind w:left="3600" w:hanging="360"/>
      </w:pPr>
      <w:rPr>
        <w:rFonts w:ascii="Courier New" w:hAnsi="Courier New" w:hint="default"/>
      </w:rPr>
    </w:lvl>
    <w:lvl w:ilvl="5" w:tplc="5F0A5842">
      <w:start w:val="1"/>
      <w:numFmt w:val="bullet"/>
      <w:lvlText w:val=""/>
      <w:lvlJc w:val="left"/>
      <w:pPr>
        <w:ind w:left="4320" w:hanging="360"/>
      </w:pPr>
      <w:rPr>
        <w:rFonts w:ascii="Wingdings" w:hAnsi="Wingdings" w:hint="default"/>
      </w:rPr>
    </w:lvl>
    <w:lvl w:ilvl="6" w:tplc="4F6EA59E">
      <w:start w:val="1"/>
      <w:numFmt w:val="bullet"/>
      <w:lvlText w:val=""/>
      <w:lvlJc w:val="left"/>
      <w:pPr>
        <w:ind w:left="5040" w:hanging="360"/>
      </w:pPr>
      <w:rPr>
        <w:rFonts w:ascii="Symbol" w:hAnsi="Symbol" w:hint="default"/>
      </w:rPr>
    </w:lvl>
    <w:lvl w:ilvl="7" w:tplc="4AFACC2A">
      <w:start w:val="1"/>
      <w:numFmt w:val="bullet"/>
      <w:lvlText w:val="o"/>
      <w:lvlJc w:val="left"/>
      <w:pPr>
        <w:ind w:left="5760" w:hanging="360"/>
      </w:pPr>
      <w:rPr>
        <w:rFonts w:ascii="Courier New" w:hAnsi="Courier New" w:hint="default"/>
      </w:rPr>
    </w:lvl>
    <w:lvl w:ilvl="8" w:tplc="E1B8F8D6">
      <w:start w:val="1"/>
      <w:numFmt w:val="bullet"/>
      <w:lvlText w:val=""/>
      <w:lvlJc w:val="left"/>
      <w:pPr>
        <w:ind w:left="6480" w:hanging="360"/>
      </w:pPr>
      <w:rPr>
        <w:rFonts w:ascii="Wingdings" w:hAnsi="Wingdings" w:hint="default"/>
      </w:rPr>
    </w:lvl>
  </w:abstractNum>
  <w:abstractNum w:abstractNumId="11" w15:restartNumberingAfterBreak="0">
    <w:nsid w:val="15F056CB"/>
    <w:multiLevelType w:val="multilevel"/>
    <w:tmpl w:val="18F4A5AC"/>
    <w:numStyleLink w:val="FoFCoLOP"/>
  </w:abstractNum>
  <w:abstractNum w:abstractNumId="12" w15:restartNumberingAfterBreak="0">
    <w:nsid w:val="17374F0B"/>
    <w:multiLevelType w:val="hybridMultilevel"/>
    <w:tmpl w:val="48066554"/>
    <w:lvl w:ilvl="0" w:tplc="E58A93CA">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F94602"/>
    <w:multiLevelType w:val="hybridMultilevel"/>
    <w:tmpl w:val="1AB8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62B4F"/>
    <w:multiLevelType w:val="hybridMultilevel"/>
    <w:tmpl w:val="FFFFFFFF"/>
    <w:lvl w:ilvl="0" w:tplc="6EA2C19C">
      <w:start w:val="1"/>
      <w:numFmt w:val="bullet"/>
      <w:lvlText w:val=""/>
      <w:lvlJc w:val="left"/>
      <w:pPr>
        <w:ind w:left="720" w:hanging="360"/>
      </w:pPr>
      <w:rPr>
        <w:rFonts w:ascii="Symbol" w:hAnsi="Symbol" w:hint="default"/>
      </w:rPr>
    </w:lvl>
    <w:lvl w:ilvl="1" w:tplc="F0F20374">
      <w:start w:val="1"/>
      <w:numFmt w:val="bullet"/>
      <w:lvlText w:val="o"/>
      <w:lvlJc w:val="left"/>
      <w:pPr>
        <w:ind w:left="1440" w:hanging="360"/>
      </w:pPr>
      <w:rPr>
        <w:rFonts w:ascii="Courier New" w:hAnsi="Courier New" w:hint="default"/>
      </w:rPr>
    </w:lvl>
    <w:lvl w:ilvl="2" w:tplc="F6C6CAD8">
      <w:start w:val="1"/>
      <w:numFmt w:val="bullet"/>
      <w:lvlText w:val=""/>
      <w:lvlJc w:val="left"/>
      <w:pPr>
        <w:ind w:left="2160" w:hanging="360"/>
      </w:pPr>
      <w:rPr>
        <w:rFonts w:ascii="Wingdings" w:hAnsi="Wingdings" w:hint="default"/>
      </w:rPr>
    </w:lvl>
    <w:lvl w:ilvl="3" w:tplc="7EE488DC">
      <w:start w:val="1"/>
      <w:numFmt w:val="bullet"/>
      <w:lvlText w:val=""/>
      <w:lvlJc w:val="left"/>
      <w:pPr>
        <w:ind w:left="2880" w:hanging="360"/>
      </w:pPr>
      <w:rPr>
        <w:rFonts w:ascii="Symbol" w:hAnsi="Symbol" w:hint="default"/>
      </w:rPr>
    </w:lvl>
    <w:lvl w:ilvl="4" w:tplc="F7424440">
      <w:start w:val="1"/>
      <w:numFmt w:val="bullet"/>
      <w:lvlText w:val="o"/>
      <w:lvlJc w:val="left"/>
      <w:pPr>
        <w:ind w:left="3600" w:hanging="360"/>
      </w:pPr>
      <w:rPr>
        <w:rFonts w:ascii="Courier New" w:hAnsi="Courier New" w:hint="default"/>
      </w:rPr>
    </w:lvl>
    <w:lvl w:ilvl="5" w:tplc="C46AB198">
      <w:start w:val="1"/>
      <w:numFmt w:val="bullet"/>
      <w:lvlText w:val=""/>
      <w:lvlJc w:val="left"/>
      <w:pPr>
        <w:ind w:left="4320" w:hanging="360"/>
      </w:pPr>
      <w:rPr>
        <w:rFonts w:ascii="Wingdings" w:hAnsi="Wingdings" w:hint="default"/>
      </w:rPr>
    </w:lvl>
    <w:lvl w:ilvl="6" w:tplc="B582EDEA">
      <w:start w:val="1"/>
      <w:numFmt w:val="bullet"/>
      <w:lvlText w:val=""/>
      <w:lvlJc w:val="left"/>
      <w:pPr>
        <w:ind w:left="5040" w:hanging="360"/>
      </w:pPr>
      <w:rPr>
        <w:rFonts w:ascii="Symbol" w:hAnsi="Symbol" w:hint="default"/>
      </w:rPr>
    </w:lvl>
    <w:lvl w:ilvl="7" w:tplc="F3EE7F38">
      <w:start w:val="1"/>
      <w:numFmt w:val="bullet"/>
      <w:lvlText w:val="o"/>
      <w:lvlJc w:val="left"/>
      <w:pPr>
        <w:ind w:left="5760" w:hanging="360"/>
      </w:pPr>
      <w:rPr>
        <w:rFonts w:ascii="Courier New" w:hAnsi="Courier New" w:hint="default"/>
      </w:rPr>
    </w:lvl>
    <w:lvl w:ilvl="8" w:tplc="EA3C7DDC">
      <w:start w:val="1"/>
      <w:numFmt w:val="bullet"/>
      <w:lvlText w:val=""/>
      <w:lvlJc w:val="left"/>
      <w:pPr>
        <w:ind w:left="6480" w:hanging="360"/>
      </w:pPr>
      <w:rPr>
        <w:rFonts w:ascii="Wingdings" w:hAnsi="Wingdings" w:hint="default"/>
      </w:rPr>
    </w:lvl>
  </w:abstractNum>
  <w:abstractNum w:abstractNumId="15" w15:restartNumberingAfterBreak="0">
    <w:nsid w:val="2B077258"/>
    <w:multiLevelType w:val="hybridMultilevel"/>
    <w:tmpl w:val="BF7EFA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E2F6AF8"/>
    <w:multiLevelType w:val="hybridMultilevel"/>
    <w:tmpl w:val="E8CA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9256A"/>
    <w:multiLevelType w:val="multilevel"/>
    <w:tmpl w:val="2048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F6D42"/>
    <w:multiLevelType w:val="multilevel"/>
    <w:tmpl w:val="2C08BD94"/>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9" w15:restartNumberingAfterBreak="0">
    <w:nsid w:val="33987AED"/>
    <w:multiLevelType w:val="hybridMultilevel"/>
    <w:tmpl w:val="06265880"/>
    <w:lvl w:ilvl="0" w:tplc="04090001">
      <w:start w:val="1"/>
      <w:numFmt w:val="bullet"/>
      <w:lvlText w:val=""/>
      <w:lvlJc w:val="left"/>
      <w:pPr>
        <w:ind w:left="1080" w:hanging="360"/>
      </w:pPr>
      <w:rPr>
        <w:rFonts w:ascii="Symbol" w:hAnsi="Symbol" w:hint="default"/>
      </w:rPr>
    </w:lvl>
    <w:lvl w:ilvl="1" w:tplc="27DC7ECC">
      <w:numFmt w:val="bullet"/>
      <w:lvlText w:val="•"/>
      <w:lvlJc w:val="left"/>
      <w:pPr>
        <w:ind w:left="1800" w:hanging="360"/>
      </w:pPr>
      <w:rPr>
        <w:rFonts w:ascii="Aptos" w:eastAsiaTheme="minorHAnsi" w:hAnsi="Aptos"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123351"/>
    <w:multiLevelType w:val="hybridMultilevel"/>
    <w:tmpl w:val="F45C1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30563"/>
    <w:multiLevelType w:val="hybridMultilevel"/>
    <w:tmpl w:val="8AFC5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30E9A"/>
    <w:multiLevelType w:val="hybridMultilevel"/>
    <w:tmpl w:val="A4DC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0747D"/>
    <w:multiLevelType w:val="hybridMultilevel"/>
    <w:tmpl w:val="B77A5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656F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B541E0B"/>
    <w:multiLevelType w:val="hybridMultilevel"/>
    <w:tmpl w:val="9D0E8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35299"/>
    <w:multiLevelType w:val="hybridMultilevel"/>
    <w:tmpl w:val="1F7C4E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05C11F7"/>
    <w:multiLevelType w:val="hybridMultilevel"/>
    <w:tmpl w:val="4D04F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361E0A"/>
    <w:multiLevelType w:val="hybridMultilevel"/>
    <w:tmpl w:val="99B4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042D7"/>
    <w:multiLevelType w:val="multilevel"/>
    <w:tmpl w:val="18F4A5AC"/>
    <w:numStyleLink w:val="FoFCoLOP"/>
  </w:abstractNum>
  <w:abstractNum w:abstractNumId="30" w15:restartNumberingAfterBreak="0">
    <w:nsid w:val="5A6F0E70"/>
    <w:multiLevelType w:val="hybridMultilevel"/>
    <w:tmpl w:val="FF564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9E2171"/>
    <w:multiLevelType w:val="multilevel"/>
    <w:tmpl w:val="04B02B26"/>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584" w:hanging="864"/>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ind w:left="2592" w:hanging="1008"/>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Question %1.%2.%3.%4."/>
      <w:lvlJc w:val="right"/>
      <w:pPr>
        <w:ind w:left="2592" w:hanging="360"/>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32" w15:restartNumberingAfterBreak="0">
    <w:nsid w:val="61A25780"/>
    <w:multiLevelType w:val="multilevel"/>
    <w:tmpl w:val="2C08BD94"/>
    <w:numStyleLink w:val="Headings"/>
  </w:abstractNum>
  <w:abstractNum w:abstractNumId="33" w15:restartNumberingAfterBreak="0">
    <w:nsid w:val="62802073"/>
    <w:multiLevelType w:val="multilevel"/>
    <w:tmpl w:val="171C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8026D0"/>
    <w:multiLevelType w:val="hybridMultilevel"/>
    <w:tmpl w:val="E5A6BED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5FC2F84"/>
    <w:multiLevelType w:val="hybridMultilevel"/>
    <w:tmpl w:val="C30A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614D46"/>
    <w:multiLevelType w:val="hybridMultilevel"/>
    <w:tmpl w:val="7F2C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A16AD"/>
    <w:multiLevelType w:val="hybridMultilevel"/>
    <w:tmpl w:val="5D7CD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9105B45"/>
    <w:multiLevelType w:val="hybridMultilevel"/>
    <w:tmpl w:val="716E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422868"/>
    <w:multiLevelType w:val="hybridMultilevel"/>
    <w:tmpl w:val="D62A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11A14"/>
    <w:multiLevelType w:val="hybridMultilevel"/>
    <w:tmpl w:val="69985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6C72EB"/>
    <w:multiLevelType w:val="hybridMultilevel"/>
    <w:tmpl w:val="12FCBA0C"/>
    <w:lvl w:ilvl="0" w:tplc="172A1B0E">
      <w:start w:val="1"/>
      <w:numFmt w:val="bullet"/>
      <w:pStyle w:val="Issue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EC7C0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00F90A1"/>
    <w:multiLevelType w:val="hybridMultilevel"/>
    <w:tmpl w:val="FFFFFFFF"/>
    <w:lvl w:ilvl="0" w:tplc="4DB45CEA">
      <w:start w:val="1"/>
      <w:numFmt w:val="bullet"/>
      <w:lvlText w:val=""/>
      <w:lvlJc w:val="left"/>
      <w:pPr>
        <w:ind w:left="720" w:hanging="360"/>
      </w:pPr>
      <w:rPr>
        <w:rFonts w:ascii="Symbol" w:hAnsi="Symbol" w:hint="default"/>
      </w:rPr>
    </w:lvl>
    <w:lvl w:ilvl="1" w:tplc="0868C83E">
      <w:start w:val="1"/>
      <w:numFmt w:val="bullet"/>
      <w:lvlText w:val="o"/>
      <w:lvlJc w:val="left"/>
      <w:pPr>
        <w:ind w:left="1440" w:hanging="360"/>
      </w:pPr>
      <w:rPr>
        <w:rFonts w:ascii="Courier New" w:hAnsi="Courier New" w:hint="default"/>
      </w:rPr>
    </w:lvl>
    <w:lvl w:ilvl="2" w:tplc="912E19AC">
      <w:start w:val="1"/>
      <w:numFmt w:val="bullet"/>
      <w:lvlText w:val=""/>
      <w:lvlJc w:val="left"/>
      <w:pPr>
        <w:ind w:left="2160" w:hanging="360"/>
      </w:pPr>
      <w:rPr>
        <w:rFonts w:ascii="Wingdings" w:hAnsi="Wingdings" w:hint="default"/>
      </w:rPr>
    </w:lvl>
    <w:lvl w:ilvl="3" w:tplc="1D2C9A12">
      <w:start w:val="1"/>
      <w:numFmt w:val="bullet"/>
      <w:lvlText w:val=""/>
      <w:lvlJc w:val="left"/>
      <w:pPr>
        <w:ind w:left="2880" w:hanging="360"/>
      </w:pPr>
      <w:rPr>
        <w:rFonts w:ascii="Symbol" w:hAnsi="Symbol" w:hint="default"/>
      </w:rPr>
    </w:lvl>
    <w:lvl w:ilvl="4" w:tplc="53D8DE46">
      <w:start w:val="1"/>
      <w:numFmt w:val="bullet"/>
      <w:lvlText w:val="o"/>
      <w:lvlJc w:val="left"/>
      <w:pPr>
        <w:ind w:left="3600" w:hanging="360"/>
      </w:pPr>
      <w:rPr>
        <w:rFonts w:ascii="Courier New" w:hAnsi="Courier New" w:hint="default"/>
      </w:rPr>
    </w:lvl>
    <w:lvl w:ilvl="5" w:tplc="D57C7546">
      <w:start w:val="1"/>
      <w:numFmt w:val="bullet"/>
      <w:lvlText w:val=""/>
      <w:lvlJc w:val="left"/>
      <w:pPr>
        <w:ind w:left="4320" w:hanging="360"/>
      </w:pPr>
      <w:rPr>
        <w:rFonts w:ascii="Wingdings" w:hAnsi="Wingdings" w:hint="default"/>
      </w:rPr>
    </w:lvl>
    <w:lvl w:ilvl="6" w:tplc="7D8AA5C8">
      <w:start w:val="1"/>
      <w:numFmt w:val="bullet"/>
      <w:lvlText w:val=""/>
      <w:lvlJc w:val="left"/>
      <w:pPr>
        <w:ind w:left="5040" w:hanging="360"/>
      </w:pPr>
      <w:rPr>
        <w:rFonts w:ascii="Symbol" w:hAnsi="Symbol" w:hint="default"/>
      </w:rPr>
    </w:lvl>
    <w:lvl w:ilvl="7" w:tplc="84FE92F2">
      <w:start w:val="1"/>
      <w:numFmt w:val="bullet"/>
      <w:lvlText w:val="o"/>
      <w:lvlJc w:val="left"/>
      <w:pPr>
        <w:ind w:left="5760" w:hanging="360"/>
      </w:pPr>
      <w:rPr>
        <w:rFonts w:ascii="Courier New" w:hAnsi="Courier New" w:hint="default"/>
      </w:rPr>
    </w:lvl>
    <w:lvl w:ilvl="8" w:tplc="D46A784E">
      <w:start w:val="1"/>
      <w:numFmt w:val="bullet"/>
      <w:lvlText w:val=""/>
      <w:lvlJc w:val="left"/>
      <w:pPr>
        <w:ind w:left="6480" w:hanging="360"/>
      </w:pPr>
      <w:rPr>
        <w:rFonts w:ascii="Wingdings" w:hAnsi="Wingdings" w:hint="default"/>
      </w:rPr>
    </w:lvl>
  </w:abstractNum>
  <w:abstractNum w:abstractNumId="44" w15:restartNumberingAfterBreak="0">
    <w:nsid w:val="70884E52"/>
    <w:multiLevelType w:val="hybridMultilevel"/>
    <w:tmpl w:val="DCE86D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89A0AFE"/>
    <w:multiLevelType w:val="multilevel"/>
    <w:tmpl w:val="B7FA8FE4"/>
    <w:lvl w:ilvl="0">
      <w:start w:val="1"/>
      <w:numFmt w:val="decimal"/>
      <w:pStyle w:val="OP"/>
      <w:lvlText w:val="%1."/>
      <w:lvlJc w:val="right"/>
      <w:pPr>
        <w:ind w:left="0" w:firstLine="540"/>
      </w:pPr>
      <w:rPr>
        <w:rFonts w:hint="default"/>
      </w:rPr>
    </w:lvl>
    <w:lvl w:ilvl="1">
      <w:start w:val="1"/>
      <w:numFmt w:val="lowerLetter"/>
      <w:pStyle w:val="BlockQuoteH033subH033-OP"/>
      <w:lvlText w:val="(%2)"/>
      <w:lvlJc w:val="left"/>
      <w:pPr>
        <w:ind w:left="1195" w:hanging="475"/>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6" w15:restartNumberingAfterBreak="0">
    <w:nsid w:val="7B664C1F"/>
    <w:multiLevelType w:val="hybridMultilevel"/>
    <w:tmpl w:val="F340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C3704E"/>
    <w:multiLevelType w:val="hybridMultilevel"/>
    <w:tmpl w:val="B05AE84A"/>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7E346B45"/>
    <w:multiLevelType w:val="hybridMultilevel"/>
    <w:tmpl w:val="F636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2D2F20"/>
    <w:multiLevelType w:val="hybridMultilevel"/>
    <w:tmpl w:val="4CAC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526949">
    <w:abstractNumId w:val="31"/>
  </w:num>
  <w:num w:numId="2" w16cid:durableId="140774137">
    <w:abstractNumId w:val="9"/>
  </w:num>
  <w:num w:numId="3" w16cid:durableId="1898543446">
    <w:abstractNumId w:val="29"/>
  </w:num>
  <w:num w:numId="4" w16cid:durableId="701521005">
    <w:abstractNumId w:val="11"/>
  </w:num>
  <w:num w:numId="5" w16cid:durableId="2017029027">
    <w:abstractNumId w:val="45"/>
  </w:num>
  <w:num w:numId="6" w16cid:durableId="973756952">
    <w:abstractNumId w:val="18"/>
  </w:num>
  <w:num w:numId="7" w16cid:durableId="816924040">
    <w:abstractNumId w:val="3"/>
  </w:num>
  <w:num w:numId="8" w16cid:durableId="1714382259">
    <w:abstractNumId w:val="32"/>
  </w:num>
  <w:num w:numId="9" w16cid:durableId="1944338459">
    <w:abstractNumId w:val="46"/>
  </w:num>
  <w:num w:numId="10" w16cid:durableId="1911426750">
    <w:abstractNumId w:val="27"/>
  </w:num>
  <w:num w:numId="11" w16cid:durableId="2104062635">
    <w:abstractNumId w:val="25"/>
  </w:num>
  <w:num w:numId="12" w16cid:durableId="1417752134">
    <w:abstractNumId w:val="4"/>
  </w:num>
  <w:num w:numId="13" w16cid:durableId="2134057249">
    <w:abstractNumId w:val="15"/>
  </w:num>
  <w:num w:numId="14" w16cid:durableId="693650561">
    <w:abstractNumId w:val="26"/>
  </w:num>
  <w:num w:numId="15" w16cid:durableId="693268225">
    <w:abstractNumId w:val="21"/>
  </w:num>
  <w:num w:numId="16" w16cid:durableId="1279871189">
    <w:abstractNumId w:val="10"/>
  </w:num>
  <w:num w:numId="17" w16cid:durableId="19934540">
    <w:abstractNumId w:val="5"/>
  </w:num>
  <w:num w:numId="18" w16cid:durableId="1823809008">
    <w:abstractNumId w:val="8"/>
  </w:num>
  <w:num w:numId="19" w16cid:durableId="143939103">
    <w:abstractNumId w:val="19"/>
  </w:num>
  <w:num w:numId="20" w16cid:durableId="1730420004">
    <w:abstractNumId w:val="0"/>
  </w:num>
  <w:num w:numId="21" w16cid:durableId="385299131">
    <w:abstractNumId w:val="24"/>
  </w:num>
  <w:num w:numId="22" w16cid:durableId="2078431700">
    <w:abstractNumId w:val="2"/>
  </w:num>
  <w:num w:numId="23" w16cid:durableId="1690521002">
    <w:abstractNumId w:val="1"/>
  </w:num>
  <w:num w:numId="24" w16cid:durableId="882014166">
    <w:abstractNumId w:val="42"/>
  </w:num>
  <w:num w:numId="25" w16cid:durableId="929579476">
    <w:abstractNumId w:val="7"/>
  </w:num>
  <w:num w:numId="26" w16cid:durableId="714156400">
    <w:abstractNumId w:val="34"/>
  </w:num>
  <w:num w:numId="27" w16cid:durableId="1176920184">
    <w:abstractNumId w:val="33"/>
  </w:num>
  <w:num w:numId="28" w16cid:durableId="390271329">
    <w:abstractNumId w:val="17"/>
  </w:num>
  <w:num w:numId="29" w16cid:durableId="142744787">
    <w:abstractNumId w:val="43"/>
  </w:num>
  <w:num w:numId="30" w16cid:durableId="874925115">
    <w:abstractNumId w:val="14"/>
  </w:num>
  <w:num w:numId="31" w16cid:durableId="678892754">
    <w:abstractNumId w:val="35"/>
  </w:num>
  <w:num w:numId="32" w16cid:durableId="632517585">
    <w:abstractNumId w:val="36"/>
  </w:num>
  <w:num w:numId="33" w16cid:durableId="65804822">
    <w:abstractNumId w:val="49"/>
  </w:num>
  <w:num w:numId="34" w16cid:durableId="1079249532">
    <w:abstractNumId w:val="39"/>
  </w:num>
  <w:num w:numId="35" w16cid:durableId="1362631495">
    <w:abstractNumId w:val="16"/>
  </w:num>
  <w:num w:numId="36" w16cid:durableId="1839879175">
    <w:abstractNumId w:val="28"/>
  </w:num>
  <w:num w:numId="37" w16cid:durableId="1490707468">
    <w:abstractNumId w:val="48"/>
  </w:num>
  <w:num w:numId="38" w16cid:durableId="2092465815">
    <w:abstractNumId w:val="20"/>
  </w:num>
  <w:num w:numId="39" w16cid:durableId="538859561">
    <w:abstractNumId w:val="37"/>
  </w:num>
  <w:num w:numId="40" w16cid:durableId="1708213258">
    <w:abstractNumId w:val="40"/>
  </w:num>
  <w:num w:numId="41" w16cid:durableId="429785701">
    <w:abstractNumId w:val="6"/>
  </w:num>
  <w:num w:numId="42" w16cid:durableId="1091583450">
    <w:abstractNumId w:val="13"/>
  </w:num>
  <w:num w:numId="43" w16cid:durableId="1964458219">
    <w:abstractNumId w:val="22"/>
  </w:num>
  <w:num w:numId="44" w16cid:durableId="1771661771">
    <w:abstractNumId w:val="38"/>
  </w:num>
  <w:num w:numId="45" w16cid:durableId="736049164">
    <w:abstractNumId w:val="30"/>
  </w:num>
  <w:num w:numId="46" w16cid:durableId="2124225256">
    <w:abstractNumId w:val="41"/>
  </w:num>
  <w:num w:numId="47" w16cid:durableId="2142770759">
    <w:abstractNumId w:val="23"/>
  </w:num>
  <w:num w:numId="48" w16cid:durableId="213547515">
    <w:abstractNumId w:val="12"/>
  </w:num>
  <w:num w:numId="49" w16cid:durableId="1985235882">
    <w:abstractNumId w:val="44"/>
  </w:num>
  <w:num w:numId="50" w16cid:durableId="498077268">
    <w:abstractNumId w:val="47"/>
  </w:num>
  <w:num w:numId="51" w16cid:durableId="1823547049">
    <w:abstractNumId w:val="41"/>
  </w:num>
  <w:num w:numId="52" w16cid:durableId="2024285050">
    <w:abstractNumId w:val="41"/>
  </w:num>
  <w:num w:numId="53" w16cid:durableId="1049649268">
    <w:abstractNumId w:val="41"/>
  </w:num>
  <w:num w:numId="54" w16cid:durableId="862060754">
    <w:abstractNumId w:val="41"/>
  </w:num>
  <w:num w:numId="55" w16cid:durableId="1783112370">
    <w:abstractNumId w:val="41"/>
  </w:num>
  <w:num w:numId="56" w16cid:durableId="751001860">
    <w:abstractNumId w:val="41"/>
  </w:num>
  <w:num w:numId="57" w16cid:durableId="564609910">
    <w:abstractNumId w:val="41"/>
  </w:num>
  <w:num w:numId="58" w16cid:durableId="1162429734">
    <w:abstractNumId w:val="41"/>
  </w:num>
  <w:num w:numId="59" w16cid:durableId="657996870">
    <w:abstractNumId w:val="41"/>
  </w:num>
  <w:num w:numId="60" w16cid:durableId="353923724">
    <w:abstractNumId w:val="41"/>
  </w:num>
  <w:num w:numId="61" w16cid:durableId="628165350">
    <w:abstractNumId w:val="41"/>
  </w:num>
  <w:num w:numId="62" w16cid:durableId="1489905049">
    <w:abstractNumId w:val="41"/>
  </w:num>
  <w:num w:numId="63" w16cid:durableId="1658650957">
    <w:abstractNumId w:val="45"/>
  </w:num>
  <w:num w:numId="64" w16cid:durableId="2020616958">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96"/>
    <w:rsid w:val="0000066A"/>
    <w:rsid w:val="00000F6A"/>
    <w:rsid w:val="00001E66"/>
    <w:rsid w:val="00001E7D"/>
    <w:rsid w:val="0000251B"/>
    <w:rsid w:val="00002916"/>
    <w:rsid w:val="00002924"/>
    <w:rsid w:val="00002B94"/>
    <w:rsid w:val="00003257"/>
    <w:rsid w:val="000036E3"/>
    <w:rsid w:val="000048FA"/>
    <w:rsid w:val="000050BD"/>
    <w:rsid w:val="00005C91"/>
    <w:rsid w:val="000060B6"/>
    <w:rsid w:val="000066DC"/>
    <w:rsid w:val="00007BBA"/>
    <w:rsid w:val="00010B12"/>
    <w:rsid w:val="0001210E"/>
    <w:rsid w:val="0001275C"/>
    <w:rsid w:val="00012DAF"/>
    <w:rsid w:val="00013960"/>
    <w:rsid w:val="00014770"/>
    <w:rsid w:val="000148EA"/>
    <w:rsid w:val="00015417"/>
    <w:rsid w:val="00015E47"/>
    <w:rsid w:val="00016131"/>
    <w:rsid w:val="00017499"/>
    <w:rsid w:val="00017E2E"/>
    <w:rsid w:val="000202BF"/>
    <w:rsid w:val="000203FF"/>
    <w:rsid w:val="00020634"/>
    <w:rsid w:val="00021169"/>
    <w:rsid w:val="00021568"/>
    <w:rsid w:val="000215E4"/>
    <w:rsid w:val="000217F2"/>
    <w:rsid w:val="000232C9"/>
    <w:rsid w:val="000239E9"/>
    <w:rsid w:val="00025F53"/>
    <w:rsid w:val="0002670E"/>
    <w:rsid w:val="000316D5"/>
    <w:rsid w:val="000335CB"/>
    <w:rsid w:val="00033ED8"/>
    <w:rsid w:val="0003461C"/>
    <w:rsid w:val="00034F25"/>
    <w:rsid w:val="00035000"/>
    <w:rsid w:val="00035117"/>
    <w:rsid w:val="00036811"/>
    <w:rsid w:val="00036D89"/>
    <w:rsid w:val="00036D8A"/>
    <w:rsid w:val="000377B1"/>
    <w:rsid w:val="00040302"/>
    <w:rsid w:val="00040B21"/>
    <w:rsid w:val="000420E9"/>
    <w:rsid w:val="00042D39"/>
    <w:rsid w:val="00043388"/>
    <w:rsid w:val="00043486"/>
    <w:rsid w:val="000434CD"/>
    <w:rsid w:val="0004350E"/>
    <w:rsid w:val="00044D54"/>
    <w:rsid w:val="00045EE5"/>
    <w:rsid w:val="000466A3"/>
    <w:rsid w:val="00047099"/>
    <w:rsid w:val="00047E8D"/>
    <w:rsid w:val="000504DF"/>
    <w:rsid w:val="00050886"/>
    <w:rsid w:val="00051890"/>
    <w:rsid w:val="00051ED9"/>
    <w:rsid w:val="000525A9"/>
    <w:rsid w:val="00053F49"/>
    <w:rsid w:val="000542E1"/>
    <w:rsid w:val="000543CB"/>
    <w:rsid w:val="00054F1C"/>
    <w:rsid w:val="00055028"/>
    <w:rsid w:val="0005569B"/>
    <w:rsid w:val="00055A43"/>
    <w:rsid w:val="00055D41"/>
    <w:rsid w:val="00055F7A"/>
    <w:rsid w:val="0005691F"/>
    <w:rsid w:val="0005695F"/>
    <w:rsid w:val="0005742B"/>
    <w:rsid w:val="00057AA2"/>
    <w:rsid w:val="00057E41"/>
    <w:rsid w:val="00060099"/>
    <w:rsid w:val="000626C0"/>
    <w:rsid w:val="00063092"/>
    <w:rsid w:val="00064920"/>
    <w:rsid w:val="0006524F"/>
    <w:rsid w:val="00065E47"/>
    <w:rsid w:val="000664D5"/>
    <w:rsid w:val="0006669C"/>
    <w:rsid w:val="000669A7"/>
    <w:rsid w:val="000700D4"/>
    <w:rsid w:val="00070487"/>
    <w:rsid w:val="0007115A"/>
    <w:rsid w:val="00071A1F"/>
    <w:rsid w:val="00072225"/>
    <w:rsid w:val="00073AF6"/>
    <w:rsid w:val="0007439F"/>
    <w:rsid w:val="00075AE9"/>
    <w:rsid w:val="00075EEA"/>
    <w:rsid w:val="00077350"/>
    <w:rsid w:val="00081383"/>
    <w:rsid w:val="000814CE"/>
    <w:rsid w:val="00082219"/>
    <w:rsid w:val="000829C0"/>
    <w:rsid w:val="00083EA2"/>
    <w:rsid w:val="00084A35"/>
    <w:rsid w:val="000854C8"/>
    <w:rsid w:val="00085708"/>
    <w:rsid w:val="00085FFD"/>
    <w:rsid w:val="00087F82"/>
    <w:rsid w:val="000909C5"/>
    <w:rsid w:val="00090F71"/>
    <w:rsid w:val="00091961"/>
    <w:rsid w:val="00093197"/>
    <w:rsid w:val="000931D1"/>
    <w:rsid w:val="0009328B"/>
    <w:rsid w:val="000950BB"/>
    <w:rsid w:val="00096C28"/>
    <w:rsid w:val="000971FE"/>
    <w:rsid w:val="000973C8"/>
    <w:rsid w:val="000A04F7"/>
    <w:rsid w:val="000A141B"/>
    <w:rsid w:val="000A18DB"/>
    <w:rsid w:val="000A22F9"/>
    <w:rsid w:val="000A25FD"/>
    <w:rsid w:val="000A2AA9"/>
    <w:rsid w:val="000A2AB5"/>
    <w:rsid w:val="000A2C0C"/>
    <w:rsid w:val="000A564C"/>
    <w:rsid w:val="000A56F2"/>
    <w:rsid w:val="000A5702"/>
    <w:rsid w:val="000A5EF7"/>
    <w:rsid w:val="000A602D"/>
    <w:rsid w:val="000A6E05"/>
    <w:rsid w:val="000A7098"/>
    <w:rsid w:val="000A7125"/>
    <w:rsid w:val="000A7254"/>
    <w:rsid w:val="000B0229"/>
    <w:rsid w:val="000B12FA"/>
    <w:rsid w:val="000B13F3"/>
    <w:rsid w:val="000B1D87"/>
    <w:rsid w:val="000B2190"/>
    <w:rsid w:val="000B2F1D"/>
    <w:rsid w:val="000B4F76"/>
    <w:rsid w:val="000B62F9"/>
    <w:rsid w:val="000B6529"/>
    <w:rsid w:val="000B6AA6"/>
    <w:rsid w:val="000B6FF2"/>
    <w:rsid w:val="000C08BF"/>
    <w:rsid w:val="000C260D"/>
    <w:rsid w:val="000C2AB8"/>
    <w:rsid w:val="000C2ACA"/>
    <w:rsid w:val="000C3AD4"/>
    <w:rsid w:val="000C3B9A"/>
    <w:rsid w:val="000C45BF"/>
    <w:rsid w:val="000C4F65"/>
    <w:rsid w:val="000C63F3"/>
    <w:rsid w:val="000D0198"/>
    <w:rsid w:val="000D130D"/>
    <w:rsid w:val="000D1648"/>
    <w:rsid w:val="000D1995"/>
    <w:rsid w:val="000D1B7F"/>
    <w:rsid w:val="000D25A8"/>
    <w:rsid w:val="000D32B9"/>
    <w:rsid w:val="000D542D"/>
    <w:rsid w:val="000D58CA"/>
    <w:rsid w:val="000D6135"/>
    <w:rsid w:val="000D6535"/>
    <w:rsid w:val="000D6667"/>
    <w:rsid w:val="000D6BC6"/>
    <w:rsid w:val="000D6FFF"/>
    <w:rsid w:val="000E049A"/>
    <w:rsid w:val="000E0728"/>
    <w:rsid w:val="000E0AE9"/>
    <w:rsid w:val="000E18BD"/>
    <w:rsid w:val="000E19B4"/>
    <w:rsid w:val="000E1C68"/>
    <w:rsid w:val="000E270A"/>
    <w:rsid w:val="000E32D6"/>
    <w:rsid w:val="000E3A82"/>
    <w:rsid w:val="000E3CBE"/>
    <w:rsid w:val="000E4548"/>
    <w:rsid w:val="000E4C4A"/>
    <w:rsid w:val="000E4C53"/>
    <w:rsid w:val="000E4C79"/>
    <w:rsid w:val="000E5DB7"/>
    <w:rsid w:val="000E5F47"/>
    <w:rsid w:val="000E6CF2"/>
    <w:rsid w:val="000E7B5A"/>
    <w:rsid w:val="000E7DD4"/>
    <w:rsid w:val="000E7F98"/>
    <w:rsid w:val="000F005F"/>
    <w:rsid w:val="000F041F"/>
    <w:rsid w:val="000F06C5"/>
    <w:rsid w:val="000F0870"/>
    <w:rsid w:val="000F308B"/>
    <w:rsid w:val="000F3603"/>
    <w:rsid w:val="000F447C"/>
    <w:rsid w:val="000F4606"/>
    <w:rsid w:val="000F48C6"/>
    <w:rsid w:val="000F4FF9"/>
    <w:rsid w:val="000F524A"/>
    <w:rsid w:val="000F6331"/>
    <w:rsid w:val="000F66DE"/>
    <w:rsid w:val="000F6D3F"/>
    <w:rsid w:val="000F7336"/>
    <w:rsid w:val="000F783D"/>
    <w:rsid w:val="000F7B88"/>
    <w:rsid w:val="00100990"/>
    <w:rsid w:val="00100D48"/>
    <w:rsid w:val="001012B2"/>
    <w:rsid w:val="0010232D"/>
    <w:rsid w:val="00102A33"/>
    <w:rsid w:val="00103D84"/>
    <w:rsid w:val="00103F24"/>
    <w:rsid w:val="00104D53"/>
    <w:rsid w:val="0010578E"/>
    <w:rsid w:val="00110E58"/>
    <w:rsid w:val="001112B3"/>
    <w:rsid w:val="001119E9"/>
    <w:rsid w:val="00111C45"/>
    <w:rsid w:val="001120E8"/>
    <w:rsid w:val="00112239"/>
    <w:rsid w:val="00112400"/>
    <w:rsid w:val="001125A6"/>
    <w:rsid w:val="00112CFA"/>
    <w:rsid w:val="00113400"/>
    <w:rsid w:val="00113483"/>
    <w:rsid w:val="001134A7"/>
    <w:rsid w:val="00113570"/>
    <w:rsid w:val="00113845"/>
    <w:rsid w:val="001138FB"/>
    <w:rsid w:val="00114349"/>
    <w:rsid w:val="001145D7"/>
    <w:rsid w:val="00114DA2"/>
    <w:rsid w:val="00114FB8"/>
    <w:rsid w:val="0011597C"/>
    <w:rsid w:val="001162B2"/>
    <w:rsid w:val="0011694D"/>
    <w:rsid w:val="00116A25"/>
    <w:rsid w:val="00116F66"/>
    <w:rsid w:val="001172FE"/>
    <w:rsid w:val="00117B53"/>
    <w:rsid w:val="00120BC6"/>
    <w:rsid w:val="00121089"/>
    <w:rsid w:val="00121269"/>
    <w:rsid w:val="00121E60"/>
    <w:rsid w:val="00123232"/>
    <w:rsid w:val="00123ABB"/>
    <w:rsid w:val="00123B10"/>
    <w:rsid w:val="00124330"/>
    <w:rsid w:val="00125167"/>
    <w:rsid w:val="0012584E"/>
    <w:rsid w:val="00125E47"/>
    <w:rsid w:val="001260ED"/>
    <w:rsid w:val="00126385"/>
    <w:rsid w:val="00126613"/>
    <w:rsid w:val="00126F35"/>
    <w:rsid w:val="0013061E"/>
    <w:rsid w:val="00130F27"/>
    <w:rsid w:val="00131040"/>
    <w:rsid w:val="0013199E"/>
    <w:rsid w:val="0013201E"/>
    <w:rsid w:val="00132834"/>
    <w:rsid w:val="00132CC4"/>
    <w:rsid w:val="00133915"/>
    <w:rsid w:val="00133F5A"/>
    <w:rsid w:val="0013450D"/>
    <w:rsid w:val="0013459D"/>
    <w:rsid w:val="001349EB"/>
    <w:rsid w:val="00135581"/>
    <w:rsid w:val="00135C3C"/>
    <w:rsid w:val="00135F58"/>
    <w:rsid w:val="00137A6F"/>
    <w:rsid w:val="00137BE0"/>
    <w:rsid w:val="00137DA2"/>
    <w:rsid w:val="0014105C"/>
    <w:rsid w:val="00141A53"/>
    <w:rsid w:val="00141FE1"/>
    <w:rsid w:val="00142B27"/>
    <w:rsid w:val="00142E75"/>
    <w:rsid w:val="00143976"/>
    <w:rsid w:val="0014412A"/>
    <w:rsid w:val="00144173"/>
    <w:rsid w:val="001445A3"/>
    <w:rsid w:val="001445B0"/>
    <w:rsid w:val="0014505D"/>
    <w:rsid w:val="001452DA"/>
    <w:rsid w:val="0014564F"/>
    <w:rsid w:val="00146A04"/>
    <w:rsid w:val="001470EC"/>
    <w:rsid w:val="00147447"/>
    <w:rsid w:val="001500F2"/>
    <w:rsid w:val="00150541"/>
    <w:rsid w:val="00151C98"/>
    <w:rsid w:val="0015308B"/>
    <w:rsid w:val="00153432"/>
    <w:rsid w:val="00153AA1"/>
    <w:rsid w:val="00154312"/>
    <w:rsid w:val="00155038"/>
    <w:rsid w:val="00155FA6"/>
    <w:rsid w:val="00156083"/>
    <w:rsid w:val="00156477"/>
    <w:rsid w:val="001565D3"/>
    <w:rsid w:val="00156764"/>
    <w:rsid w:val="00156B7E"/>
    <w:rsid w:val="00157D28"/>
    <w:rsid w:val="00157D59"/>
    <w:rsid w:val="00157D66"/>
    <w:rsid w:val="00157E83"/>
    <w:rsid w:val="0016065C"/>
    <w:rsid w:val="00160B10"/>
    <w:rsid w:val="00162067"/>
    <w:rsid w:val="0016213C"/>
    <w:rsid w:val="00162B7D"/>
    <w:rsid w:val="00163F9A"/>
    <w:rsid w:val="0016455A"/>
    <w:rsid w:val="00164BCC"/>
    <w:rsid w:val="001660BF"/>
    <w:rsid w:val="00170211"/>
    <w:rsid w:val="00170B59"/>
    <w:rsid w:val="00171B09"/>
    <w:rsid w:val="0017201E"/>
    <w:rsid w:val="001739C5"/>
    <w:rsid w:val="001743C0"/>
    <w:rsid w:val="00176378"/>
    <w:rsid w:val="00177FDA"/>
    <w:rsid w:val="001809BE"/>
    <w:rsid w:val="00181857"/>
    <w:rsid w:val="001820CB"/>
    <w:rsid w:val="00182144"/>
    <w:rsid w:val="00182CDF"/>
    <w:rsid w:val="00183039"/>
    <w:rsid w:val="00183B6F"/>
    <w:rsid w:val="00184A8F"/>
    <w:rsid w:val="00185061"/>
    <w:rsid w:val="001857CA"/>
    <w:rsid w:val="001869F7"/>
    <w:rsid w:val="00186F91"/>
    <w:rsid w:val="0018779D"/>
    <w:rsid w:val="00187D3E"/>
    <w:rsid w:val="00190200"/>
    <w:rsid w:val="001905AD"/>
    <w:rsid w:val="00190D79"/>
    <w:rsid w:val="00191147"/>
    <w:rsid w:val="00192A70"/>
    <w:rsid w:val="00193517"/>
    <w:rsid w:val="00193837"/>
    <w:rsid w:val="00193E7C"/>
    <w:rsid w:val="00196E24"/>
    <w:rsid w:val="00197B4B"/>
    <w:rsid w:val="001A07F0"/>
    <w:rsid w:val="001A1A38"/>
    <w:rsid w:val="001A1E8D"/>
    <w:rsid w:val="001A3841"/>
    <w:rsid w:val="001A3CC8"/>
    <w:rsid w:val="001A3FEE"/>
    <w:rsid w:val="001A5201"/>
    <w:rsid w:val="001A5F0B"/>
    <w:rsid w:val="001A6A6D"/>
    <w:rsid w:val="001A6AE0"/>
    <w:rsid w:val="001A7C49"/>
    <w:rsid w:val="001B040D"/>
    <w:rsid w:val="001B14BA"/>
    <w:rsid w:val="001B212F"/>
    <w:rsid w:val="001B4127"/>
    <w:rsid w:val="001B5153"/>
    <w:rsid w:val="001B6B28"/>
    <w:rsid w:val="001B6F6C"/>
    <w:rsid w:val="001B785E"/>
    <w:rsid w:val="001C0309"/>
    <w:rsid w:val="001C2C78"/>
    <w:rsid w:val="001C2D66"/>
    <w:rsid w:val="001C363F"/>
    <w:rsid w:val="001C38BC"/>
    <w:rsid w:val="001C3EB4"/>
    <w:rsid w:val="001C431A"/>
    <w:rsid w:val="001C5672"/>
    <w:rsid w:val="001C7A8E"/>
    <w:rsid w:val="001D0EE8"/>
    <w:rsid w:val="001D313B"/>
    <w:rsid w:val="001D33CA"/>
    <w:rsid w:val="001D4198"/>
    <w:rsid w:val="001D4762"/>
    <w:rsid w:val="001D4A72"/>
    <w:rsid w:val="001D6E94"/>
    <w:rsid w:val="001D7651"/>
    <w:rsid w:val="001E01BD"/>
    <w:rsid w:val="001E14AA"/>
    <w:rsid w:val="001E21C3"/>
    <w:rsid w:val="001E2A62"/>
    <w:rsid w:val="001E2B29"/>
    <w:rsid w:val="001E2D15"/>
    <w:rsid w:val="001E34AF"/>
    <w:rsid w:val="001E3842"/>
    <w:rsid w:val="001E3A90"/>
    <w:rsid w:val="001E4596"/>
    <w:rsid w:val="001E478D"/>
    <w:rsid w:val="001E4B70"/>
    <w:rsid w:val="001E4F2B"/>
    <w:rsid w:val="001E560D"/>
    <w:rsid w:val="001E569F"/>
    <w:rsid w:val="001E59E0"/>
    <w:rsid w:val="001E6EA5"/>
    <w:rsid w:val="001E7FDA"/>
    <w:rsid w:val="001E7FF4"/>
    <w:rsid w:val="001F0113"/>
    <w:rsid w:val="001F0403"/>
    <w:rsid w:val="001F0A5A"/>
    <w:rsid w:val="001F0AA5"/>
    <w:rsid w:val="001F0F9A"/>
    <w:rsid w:val="001F17C5"/>
    <w:rsid w:val="001F2819"/>
    <w:rsid w:val="001F2BE1"/>
    <w:rsid w:val="001F310D"/>
    <w:rsid w:val="001F3699"/>
    <w:rsid w:val="001F5D1A"/>
    <w:rsid w:val="001F5ECB"/>
    <w:rsid w:val="001F61D4"/>
    <w:rsid w:val="001F6391"/>
    <w:rsid w:val="001F6542"/>
    <w:rsid w:val="001F6D67"/>
    <w:rsid w:val="001F73DD"/>
    <w:rsid w:val="001F7A82"/>
    <w:rsid w:val="001F7CB0"/>
    <w:rsid w:val="001F7DF4"/>
    <w:rsid w:val="00201470"/>
    <w:rsid w:val="0020155D"/>
    <w:rsid w:val="00202AF3"/>
    <w:rsid w:val="00202F13"/>
    <w:rsid w:val="00203875"/>
    <w:rsid w:val="00203876"/>
    <w:rsid w:val="00203BB0"/>
    <w:rsid w:val="00203E41"/>
    <w:rsid w:val="002043EC"/>
    <w:rsid w:val="0020454A"/>
    <w:rsid w:val="0020509E"/>
    <w:rsid w:val="0020597B"/>
    <w:rsid w:val="00205EC7"/>
    <w:rsid w:val="00206056"/>
    <w:rsid w:val="00206260"/>
    <w:rsid w:val="0020709E"/>
    <w:rsid w:val="00207888"/>
    <w:rsid w:val="00210469"/>
    <w:rsid w:val="0021065E"/>
    <w:rsid w:val="00211F8D"/>
    <w:rsid w:val="002129ED"/>
    <w:rsid w:val="00212D4A"/>
    <w:rsid w:val="00212E8E"/>
    <w:rsid w:val="00212F1B"/>
    <w:rsid w:val="00214308"/>
    <w:rsid w:val="00214642"/>
    <w:rsid w:val="00214E0F"/>
    <w:rsid w:val="0021536A"/>
    <w:rsid w:val="00215822"/>
    <w:rsid w:val="00215B0E"/>
    <w:rsid w:val="00216BE7"/>
    <w:rsid w:val="00217643"/>
    <w:rsid w:val="00221A2E"/>
    <w:rsid w:val="00222CC9"/>
    <w:rsid w:val="00222EAE"/>
    <w:rsid w:val="00222EF2"/>
    <w:rsid w:val="00223D5E"/>
    <w:rsid w:val="00225082"/>
    <w:rsid w:val="00225F7C"/>
    <w:rsid w:val="0022607A"/>
    <w:rsid w:val="00226595"/>
    <w:rsid w:val="00226955"/>
    <w:rsid w:val="0023089B"/>
    <w:rsid w:val="00231727"/>
    <w:rsid w:val="0023419B"/>
    <w:rsid w:val="00234674"/>
    <w:rsid w:val="00234AB8"/>
    <w:rsid w:val="00237CA6"/>
    <w:rsid w:val="00240E9D"/>
    <w:rsid w:val="00241557"/>
    <w:rsid w:val="00242D4B"/>
    <w:rsid w:val="00242D7E"/>
    <w:rsid w:val="00242EAB"/>
    <w:rsid w:val="002435B4"/>
    <w:rsid w:val="00243750"/>
    <w:rsid w:val="00243DC0"/>
    <w:rsid w:val="002440E0"/>
    <w:rsid w:val="0024483E"/>
    <w:rsid w:val="002449CD"/>
    <w:rsid w:val="002450CE"/>
    <w:rsid w:val="00245C0C"/>
    <w:rsid w:val="00247477"/>
    <w:rsid w:val="00250CFB"/>
    <w:rsid w:val="00251012"/>
    <w:rsid w:val="00251514"/>
    <w:rsid w:val="00251D8E"/>
    <w:rsid w:val="00252896"/>
    <w:rsid w:val="00252EA9"/>
    <w:rsid w:val="00253216"/>
    <w:rsid w:val="00254194"/>
    <w:rsid w:val="002543D8"/>
    <w:rsid w:val="00255D82"/>
    <w:rsid w:val="002566A2"/>
    <w:rsid w:val="0025746A"/>
    <w:rsid w:val="00257A55"/>
    <w:rsid w:val="00260AB3"/>
    <w:rsid w:val="00261EAB"/>
    <w:rsid w:val="00262D3D"/>
    <w:rsid w:val="00262D9B"/>
    <w:rsid w:val="002632A6"/>
    <w:rsid w:val="002645CE"/>
    <w:rsid w:val="002649EE"/>
    <w:rsid w:val="002678DF"/>
    <w:rsid w:val="00267A94"/>
    <w:rsid w:val="00270440"/>
    <w:rsid w:val="00270E83"/>
    <w:rsid w:val="00271089"/>
    <w:rsid w:val="002715B3"/>
    <w:rsid w:val="0027267D"/>
    <w:rsid w:val="0027295B"/>
    <w:rsid w:val="002739A5"/>
    <w:rsid w:val="00273F08"/>
    <w:rsid w:val="00275741"/>
    <w:rsid w:val="002757FE"/>
    <w:rsid w:val="00276E83"/>
    <w:rsid w:val="00277978"/>
    <w:rsid w:val="00277E71"/>
    <w:rsid w:val="00281C77"/>
    <w:rsid w:val="00281FBE"/>
    <w:rsid w:val="00282285"/>
    <w:rsid w:val="0028308A"/>
    <w:rsid w:val="00283489"/>
    <w:rsid w:val="00284D8D"/>
    <w:rsid w:val="0028578A"/>
    <w:rsid w:val="002857CF"/>
    <w:rsid w:val="00286FBE"/>
    <w:rsid w:val="00287BC5"/>
    <w:rsid w:val="00287EF1"/>
    <w:rsid w:val="00287F49"/>
    <w:rsid w:val="00287F9F"/>
    <w:rsid w:val="002904A1"/>
    <w:rsid w:val="00290572"/>
    <w:rsid w:val="002907BA"/>
    <w:rsid w:val="00291648"/>
    <w:rsid w:val="00291B8A"/>
    <w:rsid w:val="00291F62"/>
    <w:rsid w:val="00292313"/>
    <w:rsid w:val="00292F0C"/>
    <w:rsid w:val="0029374A"/>
    <w:rsid w:val="0029394C"/>
    <w:rsid w:val="00293DEE"/>
    <w:rsid w:val="002940EE"/>
    <w:rsid w:val="00295AB1"/>
    <w:rsid w:val="00295EEB"/>
    <w:rsid w:val="002963E8"/>
    <w:rsid w:val="00296983"/>
    <w:rsid w:val="00296A45"/>
    <w:rsid w:val="002970E8"/>
    <w:rsid w:val="002A01D0"/>
    <w:rsid w:val="002A0237"/>
    <w:rsid w:val="002A06E2"/>
    <w:rsid w:val="002A0A5F"/>
    <w:rsid w:val="002A0B5D"/>
    <w:rsid w:val="002A167C"/>
    <w:rsid w:val="002A2C86"/>
    <w:rsid w:val="002A2EC0"/>
    <w:rsid w:val="002A347D"/>
    <w:rsid w:val="002A37CC"/>
    <w:rsid w:val="002A5061"/>
    <w:rsid w:val="002A5638"/>
    <w:rsid w:val="002A599E"/>
    <w:rsid w:val="002A5A93"/>
    <w:rsid w:val="002A5EF6"/>
    <w:rsid w:val="002A6676"/>
    <w:rsid w:val="002A68EC"/>
    <w:rsid w:val="002A69CF"/>
    <w:rsid w:val="002A6CCE"/>
    <w:rsid w:val="002A7704"/>
    <w:rsid w:val="002A7753"/>
    <w:rsid w:val="002A7892"/>
    <w:rsid w:val="002A7D34"/>
    <w:rsid w:val="002B072E"/>
    <w:rsid w:val="002B146D"/>
    <w:rsid w:val="002B1540"/>
    <w:rsid w:val="002B1FFD"/>
    <w:rsid w:val="002B2AB2"/>
    <w:rsid w:val="002B30F7"/>
    <w:rsid w:val="002B4085"/>
    <w:rsid w:val="002B5E6E"/>
    <w:rsid w:val="002C1220"/>
    <w:rsid w:val="002C1485"/>
    <w:rsid w:val="002C1E9C"/>
    <w:rsid w:val="002C25A7"/>
    <w:rsid w:val="002C31DA"/>
    <w:rsid w:val="002C3711"/>
    <w:rsid w:val="002C394F"/>
    <w:rsid w:val="002C3B79"/>
    <w:rsid w:val="002C4634"/>
    <w:rsid w:val="002C50A6"/>
    <w:rsid w:val="002C5534"/>
    <w:rsid w:val="002C5C49"/>
    <w:rsid w:val="002C6C07"/>
    <w:rsid w:val="002C71B6"/>
    <w:rsid w:val="002C736C"/>
    <w:rsid w:val="002C7B3F"/>
    <w:rsid w:val="002C7B82"/>
    <w:rsid w:val="002C7FE9"/>
    <w:rsid w:val="002D0508"/>
    <w:rsid w:val="002D05ED"/>
    <w:rsid w:val="002D0DC5"/>
    <w:rsid w:val="002D1FCE"/>
    <w:rsid w:val="002D223B"/>
    <w:rsid w:val="002D273B"/>
    <w:rsid w:val="002D279A"/>
    <w:rsid w:val="002D2D66"/>
    <w:rsid w:val="002D359F"/>
    <w:rsid w:val="002D37CD"/>
    <w:rsid w:val="002D4EFD"/>
    <w:rsid w:val="002D5B96"/>
    <w:rsid w:val="002D608E"/>
    <w:rsid w:val="002D619C"/>
    <w:rsid w:val="002D6561"/>
    <w:rsid w:val="002D7EC0"/>
    <w:rsid w:val="002E00DF"/>
    <w:rsid w:val="002E0242"/>
    <w:rsid w:val="002E0949"/>
    <w:rsid w:val="002E1225"/>
    <w:rsid w:val="002E2D6C"/>
    <w:rsid w:val="002E3527"/>
    <w:rsid w:val="002E3D86"/>
    <w:rsid w:val="002E4752"/>
    <w:rsid w:val="002E4A97"/>
    <w:rsid w:val="002E5807"/>
    <w:rsid w:val="002E5CC8"/>
    <w:rsid w:val="002E64C1"/>
    <w:rsid w:val="002E6C2F"/>
    <w:rsid w:val="002E7405"/>
    <w:rsid w:val="002F06E6"/>
    <w:rsid w:val="002F0A4C"/>
    <w:rsid w:val="002F136C"/>
    <w:rsid w:val="002F1890"/>
    <w:rsid w:val="002F198B"/>
    <w:rsid w:val="002F2563"/>
    <w:rsid w:val="002F39C6"/>
    <w:rsid w:val="002F4556"/>
    <w:rsid w:val="002F6556"/>
    <w:rsid w:val="002F70F2"/>
    <w:rsid w:val="002F7567"/>
    <w:rsid w:val="002F7749"/>
    <w:rsid w:val="00300635"/>
    <w:rsid w:val="0030076B"/>
    <w:rsid w:val="0030152C"/>
    <w:rsid w:val="00301D3A"/>
    <w:rsid w:val="00301DF0"/>
    <w:rsid w:val="00302483"/>
    <w:rsid w:val="00302721"/>
    <w:rsid w:val="00303094"/>
    <w:rsid w:val="003036DF"/>
    <w:rsid w:val="00304448"/>
    <w:rsid w:val="00304C31"/>
    <w:rsid w:val="00306725"/>
    <w:rsid w:val="00306836"/>
    <w:rsid w:val="00307431"/>
    <w:rsid w:val="0030755B"/>
    <w:rsid w:val="00307ED6"/>
    <w:rsid w:val="003112DB"/>
    <w:rsid w:val="00311622"/>
    <w:rsid w:val="0031188E"/>
    <w:rsid w:val="003132E5"/>
    <w:rsid w:val="00313DCD"/>
    <w:rsid w:val="003149AB"/>
    <w:rsid w:val="00314A4B"/>
    <w:rsid w:val="00315146"/>
    <w:rsid w:val="00315A97"/>
    <w:rsid w:val="00316071"/>
    <w:rsid w:val="00317D45"/>
    <w:rsid w:val="00321C92"/>
    <w:rsid w:val="00321D18"/>
    <w:rsid w:val="0032217B"/>
    <w:rsid w:val="003226B1"/>
    <w:rsid w:val="00322907"/>
    <w:rsid w:val="00322C07"/>
    <w:rsid w:val="00322EDE"/>
    <w:rsid w:val="003234AA"/>
    <w:rsid w:val="00323F59"/>
    <w:rsid w:val="0032402B"/>
    <w:rsid w:val="003241D8"/>
    <w:rsid w:val="003246A7"/>
    <w:rsid w:val="00324E49"/>
    <w:rsid w:val="00325789"/>
    <w:rsid w:val="00325C60"/>
    <w:rsid w:val="00325DFE"/>
    <w:rsid w:val="00325E68"/>
    <w:rsid w:val="00326400"/>
    <w:rsid w:val="003269DE"/>
    <w:rsid w:val="00326B5C"/>
    <w:rsid w:val="00327214"/>
    <w:rsid w:val="00327FC1"/>
    <w:rsid w:val="0033098D"/>
    <w:rsid w:val="00330CC5"/>
    <w:rsid w:val="00330E9A"/>
    <w:rsid w:val="00332521"/>
    <w:rsid w:val="00332D2F"/>
    <w:rsid w:val="00333101"/>
    <w:rsid w:val="00333F9A"/>
    <w:rsid w:val="00334787"/>
    <w:rsid w:val="00334B33"/>
    <w:rsid w:val="00334D1B"/>
    <w:rsid w:val="00334D1F"/>
    <w:rsid w:val="003367BB"/>
    <w:rsid w:val="003379A9"/>
    <w:rsid w:val="00342389"/>
    <w:rsid w:val="003426E6"/>
    <w:rsid w:val="00342C9B"/>
    <w:rsid w:val="00343E5C"/>
    <w:rsid w:val="003445AA"/>
    <w:rsid w:val="00344DED"/>
    <w:rsid w:val="00344FB8"/>
    <w:rsid w:val="003450D8"/>
    <w:rsid w:val="003463E5"/>
    <w:rsid w:val="00347BBF"/>
    <w:rsid w:val="00350C6F"/>
    <w:rsid w:val="00352594"/>
    <w:rsid w:val="00352BF0"/>
    <w:rsid w:val="00353465"/>
    <w:rsid w:val="003547C1"/>
    <w:rsid w:val="00354AE4"/>
    <w:rsid w:val="00355422"/>
    <w:rsid w:val="00355CE1"/>
    <w:rsid w:val="003572ED"/>
    <w:rsid w:val="00357602"/>
    <w:rsid w:val="00357D1F"/>
    <w:rsid w:val="0036017B"/>
    <w:rsid w:val="00362755"/>
    <w:rsid w:val="003631EC"/>
    <w:rsid w:val="00363BFC"/>
    <w:rsid w:val="00363E54"/>
    <w:rsid w:val="00364811"/>
    <w:rsid w:val="0036697F"/>
    <w:rsid w:val="00367382"/>
    <w:rsid w:val="00367D96"/>
    <w:rsid w:val="003702AE"/>
    <w:rsid w:val="003707C5"/>
    <w:rsid w:val="00371F40"/>
    <w:rsid w:val="003731B3"/>
    <w:rsid w:val="003738FC"/>
    <w:rsid w:val="00373B93"/>
    <w:rsid w:val="00373C36"/>
    <w:rsid w:val="00373F93"/>
    <w:rsid w:val="00374B62"/>
    <w:rsid w:val="00374E02"/>
    <w:rsid w:val="00375EB0"/>
    <w:rsid w:val="00375F67"/>
    <w:rsid w:val="00377248"/>
    <w:rsid w:val="003800E9"/>
    <w:rsid w:val="003805A9"/>
    <w:rsid w:val="00380A97"/>
    <w:rsid w:val="00380CD1"/>
    <w:rsid w:val="003812DC"/>
    <w:rsid w:val="00381913"/>
    <w:rsid w:val="003829D0"/>
    <w:rsid w:val="0038307A"/>
    <w:rsid w:val="0038323A"/>
    <w:rsid w:val="00384A2A"/>
    <w:rsid w:val="00384DA8"/>
    <w:rsid w:val="00384DF8"/>
    <w:rsid w:val="00384DFE"/>
    <w:rsid w:val="003856E7"/>
    <w:rsid w:val="00386467"/>
    <w:rsid w:val="00386F6F"/>
    <w:rsid w:val="003875EE"/>
    <w:rsid w:val="0038775C"/>
    <w:rsid w:val="00390629"/>
    <w:rsid w:val="00390D47"/>
    <w:rsid w:val="003919DC"/>
    <w:rsid w:val="00391B29"/>
    <w:rsid w:val="00391D2E"/>
    <w:rsid w:val="00392AAD"/>
    <w:rsid w:val="003953F7"/>
    <w:rsid w:val="003958EA"/>
    <w:rsid w:val="00396339"/>
    <w:rsid w:val="003A02CA"/>
    <w:rsid w:val="003A10AA"/>
    <w:rsid w:val="003A2842"/>
    <w:rsid w:val="003A38F0"/>
    <w:rsid w:val="003A4739"/>
    <w:rsid w:val="003A494A"/>
    <w:rsid w:val="003A4B15"/>
    <w:rsid w:val="003A4C81"/>
    <w:rsid w:val="003A5B14"/>
    <w:rsid w:val="003A6B63"/>
    <w:rsid w:val="003B07CF"/>
    <w:rsid w:val="003B0A06"/>
    <w:rsid w:val="003B159B"/>
    <w:rsid w:val="003B18E2"/>
    <w:rsid w:val="003B24A6"/>
    <w:rsid w:val="003B2B05"/>
    <w:rsid w:val="003B3E45"/>
    <w:rsid w:val="003B3F1F"/>
    <w:rsid w:val="003B55B5"/>
    <w:rsid w:val="003B6BC3"/>
    <w:rsid w:val="003B7256"/>
    <w:rsid w:val="003B7540"/>
    <w:rsid w:val="003B7CEE"/>
    <w:rsid w:val="003C0273"/>
    <w:rsid w:val="003C039C"/>
    <w:rsid w:val="003C05DA"/>
    <w:rsid w:val="003C1185"/>
    <w:rsid w:val="003C1760"/>
    <w:rsid w:val="003C1D53"/>
    <w:rsid w:val="003C1FEE"/>
    <w:rsid w:val="003C2488"/>
    <w:rsid w:val="003C2527"/>
    <w:rsid w:val="003C2BF1"/>
    <w:rsid w:val="003C327A"/>
    <w:rsid w:val="003C3740"/>
    <w:rsid w:val="003C3915"/>
    <w:rsid w:val="003C3C53"/>
    <w:rsid w:val="003C47A4"/>
    <w:rsid w:val="003C504C"/>
    <w:rsid w:val="003C51C3"/>
    <w:rsid w:val="003C5D93"/>
    <w:rsid w:val="003C6294"/>
    <w:rsid w:val="003C6718"/>
    <w:rsid w:val="003C671E"/>
    <w:rsid w:val="003C7E90"/>
    <w:rsid w:val="003D0C81"/>
    <w:rsid w:val="003D1484"/>
    <w:rsid w:val="003D181B"/>
    <w:rsid w:val="003D2079"/>
    <w:rsid w:val="003D2207"/>
    <w:rsid w:val="003D2568"/>
    <w:rsid w:val="003D27BB"/>
    <w:rsid w:val="003D3763"/>
    <w:rsid w:val="003D3AC7"/>
    <w:rsid w:val="003D407F"/>
    <w:rsid w:val="003D4083"/>
    <w:rsid w:val="003D473F"/>
    <w:rsid w:val="003D4CF2"/>
    <w:rsid w:val="003D4D2C"/>
    <w:rsid w:val="003D5543"/>
    <w:rsid w:val="003D55D0"/>
    <w:rsid w:val="003D5AD3"/>
    <w:rsid w:val="003D5CC4"/>
    <w:rsid w:val="003D5FCE"/>
    <w:rsid w:val="003D6578"/>
    <w:rsid w:val="003D6795"/>
    <w:rsid w:val="003D6946"/>
    <w:rsid w:val="003D6DDE"/>
    <w:rsid w:val="003D6E6D"/>
    <w:rsid w:val="003D72C8"/>
    <w:rsid w:val="003D7A9B"/>
    <w:rsid w:val="003D7B3E"/>
    <w:rsid w:val="003E2339"/>
    <w:rsid w:val="003E33EB"/>
    <w:rsid w:val="003E3486"/>
    <w:rsid w:val="003E38DA"/>
    <w:rsid w:val="003E3BD4"/>
    <w:rsid w:val="003E4192"/>
    <w:rsid w:val="003E545B"/>
    <w:rsid w:val="003E63DE"/>
    <w:rsid w:val="003E6D12"/>
    <w:rsid w:val="003E7976"/>
    <w:rsid w:val="003F00AC"/>
    <w:rsid w:val="003F069A"/>
    <w:rsid w:val="003F0C50"/>
    <w:rsid w:val="003F0DEA"/>
    <w:rsid w:val="003F11A0"/>
    <w:rsid w:val="003F14B2"/>
    <w:rsid w:val="003F219C"/>
    <w:rsid w:val="003F2CB1"/>
    <w:rsid w:val="003F2E5D"/>
    <w:rsid w:val="003F2ECB"/>
    <w:rsid w:val="003F3493"/>
    <w:rsid w:val="003F39C8"/>
    <w:rsid w:val="003F4145"/>
    <w:rsid w:val="003F4329"/>
    <w:rsid w:val="003F4911"/>
    <w:rsid w:val="003F502A"/>
    <w:rsid w:val="003F5944"/>
    <w:rsid w:val="003F5C96"/>
    <w:rsid w:val="003F77D0"/>
    <w:rsid w:val="003F7DFA"/>
    <w:rsid w:val="0040051B"/>
    <w:rsid w:val="004008E5"/>
    <w:rsid w:val="00400CB2"/>
    <w:rsid w:val="00400F9E"/>
    <w:rsid w:val="00401BCB"/>
    <w:rsid w:val="00401BEB"/>
    <w:rsid w:val="00402079"/>
    <w:rsid w:val="00402143"/>
    <w:rsid w:val="00402F0F"/>
    <w:rsid w:val="00403555"/>
    <w:rsid w:val="00403E1B"/>
    <w:rsid w:val="00404BCE"/>
    <w:rsid w:val="00405D0C"/>
    <w:rsid w:val="00406DD7"/>
    <w:rsid w:val="00407687"/>
    <w:rsid w:val="00407E9D"/>
    <w:rsid w:val="00410529"/>
    <w:rsid w:val="0041065A"/>
    <w:rsid w:val="00411863"/>
    <w:rsid w:val="00412534"/>
    <w:rsid w:val="00412648"/>
    <w:rsid w:val="00412C83"/>
    <w:rsid w:val="00413DEC"/>
    <w:rsid w:val="0041490B"/>
    <w:rsid w:val="00414D0D"/>
    <w:rsid w:val="004156A7"/>
    <w:rsid w:val="00416342"/>
    <w:rsid w:val="00416A8E"/>
    <w:rsid w:val="00417EE5"/>
    <w:rsid w:val="004203AD"/>
    <w:rsid w:val="00420C37"/>
    <w:rsid w:val="004214A1"/>
    <w:rsid w:val="00422D26"/>
    <w:rsid w:val="00422DE8"/>
    <w:rsid w:val="00423367"/>
    <w:rsid w:val="004239D5"/>
    <w:rsid w:val="0042475E"/>
    <w:rsid w:val="00426014"/>
    <w:rsid w:val="0042654D"/>
    <w:rsid w:val="00426700"/>
    <w:rsid w:val="00426F9A"/>
    <w:rsid w:val="004271CD"/>
    <w:rsid w:val="00427A74"/>
    <w:rsid w:val="004306FF"/>
    <w:rsid w:val="0043089F"/>
    <w:rsid w:val="00430C6F"/>
    <w:rsid w:val="00430D47"/>
    <w:rsid w:val="00431AE2"/>
    <w:rsid w:val="00432871"/>
    <w:rsid w:val="0043382A"/>
    <w:rsid w:val="00433BEF"/>
    <w:rsid w:val="004345F0"/>
    <w:rsid w:val="00434E4E"/>
    <w:rsid w:val="004350F8"/>
    <w:rsid w:val="0043524C"/>
    <w:rsid w:val="004354CD"/>
    <w:rsid w:val="00435F17"/>
    <w:rsid w:val="00435FCD"/>
    <w:rsid w:val="00436F91"/>
    <w:rsid w:val="00437831"/>
    <w:rsid w:val="00440B16"/>
    <w:rsid w:val="0044126F"/>
    <w:rsid w:val="004434E7"/>
    <w:rsid w:val="004439B4"/>
    <w:rsid w:val="004449A5"/>
    <w:rsid w:val="0044617E"/>
    <w:rsid w:val="00446D27"/>
    <w:rsid w:val="0045011D"/>
    <w:rsid w:val="00450BD1"/>
    <w:rsid w:val="00450C6E"/>
    <w:rsid w:val="00451175"/>
    <w:rsid w:val="00451BB8"/>
    <w:rsid w:val="00451EB1"/>
    <w:rsid w:val="00452148"/>
    <w:rsid w:val="0045214F"/>
    <w:rsid w:val="004528B5"/>
    <w:rsid w:val="00453672"/>
    <w:rsid w:val="00454179"/>
    <w:rsid w:val="00454A07"/>
    <w:rsid w:val="00455504"/>
    <w:rsid w:val="0045617E"/>
    <w:rsid w:val="0045682C"/>
    <w:rsid w:val="00456A89"/>
    <w:rsid w:val="00457C4B"/>
    <w:rsid w:val="004601DC"/>
    <w:rsid w:val="004603FB"/>
    <w:rsid w:val="00460412"/>
    <w:rsid w:val="0046078B"/>
    <w:rsid w:val="00460B7D"/>
    <w:rsid w:val="0046210A"/>
    <w:rsid w:val="0046245C"/>
    <w:rsid w:val="00462860"/>
    <w:rsid w:val="00462977"/>
    <w:rsid w:val="00463B64"/>
    <w:rsid w:val="00464A7C"/>
    <w:rsid w:val="00464D8F"/>
    <w:rsid w:val="00465C26"/>
    <w:rsid w:val="00465DAF"/>
    <w:rsid w:val="004663FE"/>
    <w:rsid w:val="00466FED"/>
    <w:rsid w:val="004704DD"/>
    <w:rsid w:val="00470650"/>
    <w:rsid w:val="00470ADC"/>
    <w:rsid w:val="00472A49"/>
    <w:rsid w:val="00472B91"/>
    <w:rsid w:val="004736A3"/>
    <w:rsid w:val="00473DB6"/>
    <w:rsid w:val="00474162"/>
    <w:rsid w:val="00480281"/>
    <w:rsid w:val="00480CB0"/>
    <w:rsid w:val="00480D2B"/>
    <w:rsid w:val="00482302"/>
    <w:rsid w:val="0048259B"/>
    <w:rsid w:val="004825B1"/>
    <w:rsid w:val="00482E30"/>
    <w:rsid w:val="00483603"/>
    <w:rsid w:val="0048361F"/>
    <w:rsid w:val="00483ABC"/>
    <w:rsid w:val="004840C8"/>
    <w:rsid w:val="00484659"/>
    <w:rsid w:val="00484937"/>
    <w:rsid w:val="00484D82"/>
    <w:rsid w:val="0048506A"/>
    <w:rsid w:val="00485D2D"/>
    <w:rsid w:val="00486C52"/>
    <w:rsid w:val="00490D03"/>
    <w:rsid w:val="00491105"/>
    <w:rsid w:val="00491629"/>
    <w:rsid w:val="00491FFF"/>
    <w:rsid w:val="00492CF4"/>
    <w:rsid w:val="004932F2"/>
    <w:rsid w:val="004938C9"/>
    <w:rsid w:val="00493C9B"/>
    <w:rsid w:val="004957F7"/>
    <w:rsid w:val="00496425"/>
    <w:rsid w:val="004964DF"/>
    <w:rsid w:val="00496CA0"/>
    <w:rsid w:val="00496CBE"/>
    <w:rsid w:val="00497445"/>
    <w:rsid w:val="004978D6"/>
    <w:rsid w:val="00497BE9"/>
    <w:rsid w:val="004A16BC"/>
    <w:rsid w:val="004A1EAD"/>
    <w:rsid w:val="004A359C"/>
    <w:rsid w:val="004A3D88"/>
    <w:rsid w:val="004A4554"/>
    <w:rsid w:val="004A47BE"/>
    <w:rsid w:val="004A4E04"/>
    <w:rsid w:val="004A57C1"/>
    <w:rsid w:val="004A5F3D"/>
    <w:rsid w:val="004A6000"/>
    <w:rsid w:val="004A62EB"/>
    <w:rsid w:val="004A6ED9"/>
    <w:rsid w:val="004A770E"/>
    <w:rsid w:val="004B0C22"/>
    <w:rsid w:val="004B1E36"/>
    <w:rsid w:val="004B2B29"/>
    <w:rsid w:val="004B3047"/>
    <w:rsid w:val="004B32E5"/>
    <w:rsid w:val="004B34EA"/>
    <w:rsid w:val="004B435F"/>
    <w:rsid w:val="004B4BC2"/>
    <w:rsid w:val="004B4D4F"/>
    <w:rsid w:val="004B52A4"/>
    <w:rsid w:val="004B5494"/>
    <w:rsid w:val="004B5838"/>
    <w:rsid w:val="004B5949"/>
    <w:rsid w:val="004B6D63"/>
    <w:rsid w:val="004B6F7E"/>
    <w:rsid w:val="004B72AE"/>
    <w:rsid w:val="004B74D4"/>
    <w:rsid w:val="004B7801"/>
    <w:rsid w:val="004C0656"/>
    <w:rsid w:val="004C0913"/>
    <w:rsid w:val="004C0C10"/>
    <w:rsid w:val="004C1287"/>
    <w:rsid w:val="004C1C4F"/>
    <w:rsid w:val="004C1CE4"/>
    <w:rsid w:val="004C1F30"/>
    <w:rsid w:val="004C3184"/>
    <w:rsid w:val="004C376F"/>
    <w:rsid w:val="004C3A0D"/>
    <w:rsid w:val="004C4819"/>
    <w:rsid w:val="004C4EF7"/>
    <w:rsid w:val="004C58B1"/>
    <w:rsid w:val="004C5CB7"/>
    <w:rsid w:val="004C61F1"/>
    <w:rsid w:val="004C6A7B"/>
    <w:rsid w:val="004C7A2B"/>
    <w:rsid w:val="004C7D3A"/>
    <w:rsid w:val="004D0755"/>
    <w:rsid w:val="004D0AFC"/>
    <w:rsid w:val="004D1442"/>
    <w:rsid w:val="004D2E51"/>
    <w:rsid w:val="004D3D5D"/>
    <w:rsid w:val="004D3F1F"/>
    <w:rsid w:val="004D54AB"/>
    <w:rsid w:val="004D6133"/>
    <w:rsid w:val="004D64C1"/>
    <w:rsid w:val="004D6F6F"/>
    <w:rsid w:val="004D722D"/>
    <w:rsid w:val="004D7604"/>
    <w:rsid w:val="004D7AB6"/>
    <w:rsid w:val="004E00EC"/>
    <w:rsid w:val="004E0BBB"/>
    <w:rsid w:val="004E0EEB"/>
    <w:rsid w:val="004E1EAD"/>
    <w:rsid w:val="004E2389"/>
    <w:rsid w:val="004E2C55"/>
    <w:rsid w:val="004E3513"/>
    <w:rsid w:val="004E4210"/>
    <w:rsid w:val="004E4525"/>
    <w:rsid w:val="004E4D77"/>
    <w:rsid w:val="004E66F1"/>
    <w:rsid w:val="004E6CB4"/>
    <w:rsid w:val="004E7F11"/>
    <w:rsid w:val="004F0455"/>
    <w:rsid w:val="004F05D7"/>
    <w:rsid w:val="004F08AF"/>
    <w:rsid w:val="004F1E8E"/>
    <w:rsid w:val="004F28A3"/>
    <w:rsid w:val="004F3322"/>
    <w:rsid w:val="004F3928"/>
    <w:rsid w:val="004F3C33"/>
    <w:rsid w:val="004F3E9B"/>
    <w:rsid w:val="004F4131"/>
    <w:rsid w:val="004F5161"/>
    <w:rsid w:val="004F5260"/>
    <w:rsid w:val="004F53CE"/>
    <w:rsid w:val="004F5681"/>
    <w:rsid w:val="004F5A0A"/>
    <w:rsid w:val="004F6203"/>
    <w:rsid w:val="004F66FC"/>
    <w:rsid w:val="00500B86"/>
    <w:rsid w:val="00501111"/>
    <w:rsid w:val="0050141C"/>
    <w:rsid w:val="005018A8"/>
    <w:rsid w:val="00501963"/>
    <w:rsid w:val="00502C76"/>
    <w:rsid w:val="005031A3"/>
    <w:rsid w:val="005032EF"/>
    <w:rsid w:val="005038FF"/>
    <w:rsid w:val="00504BA3"/>
    <w:rsid w:val="0050538F"/>
    <w:rsid w:val="00505A39"/>
    <w:rsid w:val="005060B1"/>
    <w:rsid w:val="00506696"/>
    <w:rsid w:val="0050701D"/>
    <w:rsid w:val="00507030"/>
    <w:rsid w:val="0051059D"/>
    <w:rsid w:val="005115A4"/>
    <w:rsid w:val="00511B38"/>
    <w:rsid w:val="0051288D"/>
    <w:rsid w:val="00514F76"/>
    <w:rsid w:val="00515402"/>
    <w:rsid w:val="00516E01"/>
    <w:rsid w:val="00517096"/>
    <w:rsid w:val="005176F3"/>
    <w:rsid w:val="00517A50"/>
    <w:rsid w:val="00517AF7"/>
    <w:rsid w:val="00520A61"/>
    <w:rsid w:val="00522B3B"/>
    <w:rsid w:val="00522D81"/>
    <w:rsid w:val="0052386F"/>
    <w:rsid w:val="00523ED7"/>
    <w:rsid w:val="005240BF"/>
    <w:rsid w:val="00524135"/>
    <w:rsid w:val="00524AC8"/>
    <w:rsid w:val="00524CB4"/>
    <w:rsid w:val="00525238"/>
    <w:rsid w:val="0052585E"/>
    <w:rsid w:val="005264BB"/>
    <w:rsid w:val="00526506"/>
    <w:rsid w:val="0052772B"/>
    <w:rsid w:val="00530097"/>
    <w:rsid w:val="00530B2F"/>
    <w:rsid w:val="00531534"/>
    <w:rsid w:val="00531951"/>
    <w:rsid w:val="00532D1D"/>
    <w:rsid w:val="00532ECE"/>
    <w:rsid w:val="00533E41"/>
    <w:rsid w:val="0053495B"/>
    <w:rsid w:val="00534BBA"/>
    <w:rsid w:val="00534C35"/>
    <w:rsid w:val="00535604"/>
    <w:rsid w:val="0053588C"/>
    <w:rsid w:val="005359E4"/>
    <w:rsid w:val="0053606A"/>
    <w:rsid w:val="005374C0"/>
    <w:rsid w:val="00537692"/>
    <w:rsid w:val="00542AC2"/>
    <w:rsid w:val="00543816"/>
    <w:rsid w:val="00543DEA"/>
    <w:rsid w:val="00543FCE"/>
    <w:rsid w:val="005447EC"/>
    <w:rsid w:val="00545043"/>
    <w:rsid w:val="00545487"/>
    <w:rsid w:val="005454AD"/>
    <w:rsid w:val="0054577F"/>
    <w:rsid w:val="00545868"/>
    <w:rsid w:val="00545B11"/>
    <w:rsid w:val="00545D18"/>
    <w:rsid w:val="00545FBE"/>
    <w:rsid w:val="005460C8"/>
    <w:rsid w:val="00546232"/>
    <w:rsid w:val="00546FAA"/>
    <w:rsid w:val="005511C7"/>
    <w:rsid w:val="005519A8"/>
    <w:rsid w:val="00552467"/>
    <w:rsid w:val="0055484D"/>
    <w:rsid w:val="00554DFA"/>
    <w:rsid w:val="005603B3"/>
    <w:rsid w:val="0056078E"/>
    <w:rsid w:val="0056138C"/>
    <w:rsid w:val="00561E42"/>
    <w:rsid w:val="00562C84"/>
    <w:rsid w:val="00563636"/>
    <w:rsid w:val="00563846"/>
    <w:rsid w:val="00563D3F"/>
    <w:rsid w:val="00565B14"/>
    <w:rsid w:val="00565BEE"/>
    <w:rsid w:val="00565C80"/>
    <w:rsid w:val="00566F20"/>
    <w:rsid w:val="005671BF"/>
    <w:rsid w:val="00572DE4"/>
    <w:rsid w:val="00574521"/>
    <w:rsid w:val="00574834"/>
    <w:rsid w:val="00574953"/>
    <w:rsid w:val="005752A6"/>
    <w:rsid w:val="00576ECC"/>
    <w:rsid w:val="00577951"/>
    <w:rsid w:val="005800B5"/>
    <w:rsid w:val="00581239"/>
    <w:rsid w:val="005818BD"/>
    <w:rsid w:val="00582108"/>
    <w:rsid w:val="00582128"/>
    <w:rsid w:val="00582657"/>
    <w:rsid w:val="00582996"/>
    <w:rsid w:val="00582A7C"/>
    <w:rsid w:val="00582CCB"/>
    <w:rsid w:val="0058427A"/>
    <w:rsid w:val="00584FC7"/>
    <w:rsid w:val="00585390"/>
    <w:rsid w:val="0058664D"/>
    <w:rsid w:val="00586F96"/>
    <w:rsid w:val="0059086A"/>
    <w:rsid w:val="0059115E"/>
    <w:rsid w:val="00591AED"/>
    <w:rsid w:val="00591D86"/>
    <w:rsid w:val="00591ECE"/>
    <w:rsid w:val="005934B0"/>
    <w:rsid w:val="005939A5"/>
    <w:rsid w:val="0059443C"/>
    <w:rsid w:val="0059543F"/>
    <w:rsid w:val="0059563C"/>
    <w:rsid w:val="005958D8"/>
    <w:rsid w:val="00595AEF"/>
    <w:rsid w:val="00595CD3"/>
    <w:rsid w:val="00595D1E"/>
    <w:rsid w:val="00595F2F"/>
    <w:rsid w:val="00597374"/>
    <w:rsid w:val="0059770C"/>
    <w:rsid w:val="005A148C"/>
    <w:rsid w:val="005A18A6"/>
    <w:rsid w:val="005A23AC"/>
    <w:rsid w:val="005A289D"/>
    <w:rsid w:val="005A2A5A"/>
    <w:rsid w:val="005A406A"/>
    <w:rsid w:val="005A44D0"/>
    <w:rsid w:val="005A513E"/>
    <w:rsid w:val="005A5C19"/>
    <w:rsid w:val="005A61BD"/>
    <w:rsid w:val="005A67D2"/>
    <w:rsid w:val="005A6E57"/>
    <w:rsid w:val="005B2490"/>
    <w:rsid w:val="005B3031"/>
    <w:rsid w:val="005B313B"/>
    <w:rsid w:val="005B3300"/>
    <w:rsid w:val="005B3374"/>
    <w:rsid w:val="005B3D8C"/>
    <w:rsid w:val="005B40C8"/>
    <w:rsid w:val="005B687E"/>
    <w:rsid w:val="005B7246"/>
    <w:rsid w:val="005C101B"/>
    <w:rsid w:val="005C1C13"/>
    <w:rsid w:val="005C2B25"/>
    <w:rsid w:val="005C2C64"/>
    <w:rsid w:val="005C34CD"/>
    <w:rsid w:val="005C58FA"/>
    <w:rsid w:val="005C5C64"/>
    <w:rsid w:val="005C676D"/>
    <w:rsid w:val="005C6A03"/>
    <w:rsid w:val="005C6C47"/>
    <w:rsid w:val="005C79E6"/>
    <w:rsid w:val="005D173A"/>
    <w:rsid w:val="005D25D1"/>
    <w:rsid w:val="005D387C"/>
    <w:rsid w:val="005D5062"/>
    <w:rsid w:val="005D5833"/>
    <w:rsid w:val="005D5CF1"/>
    <w:rsid w:val="005D6B3E"/>
    <w:rsid w:val="005E005C"/>
    <w:rsid w:val="005E1AD0"/>
    <w:rsid w:val="005E2686"/>
    <w:rsid w:val="005E2BDE"/>
    <w:rsid w:val="005E2D61"/>
    <w:rsid w:val="005E3625"/>
    <w:rsid w:val="005E4F4F"/>
    <w:rsid w:val="005E557C"/>
    <w:rsid w:val="005E5D6A"/>
    <w:rsid w:val="005E5FA3"/>
    <w:rsid w:val="005E6E5B"/>
    <w:rsid w:val="005E7BA2"/>
    <w:rsid w:val="005E7D7D"/>
    <w:rsid w:val="005E7EC2"/>
    <w:rsid w:val="005F26EA"/>
    <w:rsid w:val="005F2779"/>
    <w:rsid w:val="005F28EF"/>
    <w:rsid w:val="005F2A9B"/>
    <w:rsid w:val="005F2AF1"/>
    <w:rsid w:val="005F2C25"/>
    <w:rsid w:val="005F2DC5"/>
    <w:rsid w:val="005F3936"/>
    <w:rsid w:val="005F39F7"/>
    <w:rsid w:val="005F40A5"/>
    <w:rsid w:val="005F446C"/>
    <w:rsid w:val="005F452B"/>
    <w:rsid w:val="005F4821"/>
    <w:rsid w:val="005F5393"/>
    <w:rsid w:val="005F56E2"/>
    <w:rsid w:val="005F6436"/>
    <w:rsid w:val="005F6AAA"/>
    <w:rsid w:val="005F7F16"/>
    <w:rsid w:val="005F7F48"/>
    <w:rsid w:val="00600856"/>
    <w:rsid w:val="00602C5C"/>
    <w:rsid w:val="00603238"/>
    <w:rsid w:val="00603A6B"/>
    <w:rsid w:val="00603E61"/>
    <w:rsid w:val="00604833"/>
    <w:rsid w:val="00604AB9"/>
    <w:rsid w:val="00606D64"/>
    <w:rsid w:val="00607062"/>
    <w:rsid w:val="0061163F"/>
    <w:rsid w:val="006117B0"/>
    <w:rsid w:val="006127CB"/>
    <w:rsid w:val="006129E3"/>
    <w:rsid w:val="00612D53"/>
    <w:rsid w:val="006136CC"/>
    <w:rsid w:val="00613EE6"/>
    <w:rsid w:val="00614841"/>
    <w:rsid w:val="00615F41"/>
    <w:rsid w:val="006160DD"/>
    <w:rsid w:val="00616398"/>
    <w:rsid w:val="006166F1"/>
    <w:rsid w:val="006167A7"/>
    <w:rsid w:val="00616EF5"/>
    <w:rsid w:val="0061775C"/>
    <w:rsid w:val="006178CB"/>
    <w:rsid w:val="00617C6A"/>
    <w:rsid w:val="00620872"/>
    <w:rsid w:val="00620C29"/>
    <w:rsid w:val="006216A0"/>
    <w:rsid w:val="006231F7"/>
    <w:rsid w:val="00623FF7"/>
    <w:rsid w:val="006242E8"/>
    <w:rsid w:val="006243AA"/>
    <w:rsid w:val="00625C2A"/>
    <w:rsid w:val="00626516"/>
    <w:rsid w:val="0062742B"/>
    <w:rsid w:val="00631963"/>
    <w:rsid w:val="00631C23"/>
    <w:rsid w:val="00632207"/>
    <w:rsid w:val="00633661"/>
    <w:rsid w:val="00633F49"/>
    <w:rsid w:val="00634099"/>
    <w:rsid w:val="0063491C"/>
    <w:rsid w:val="00634FE2"/>
    <w:rsid w:val="00635C7B"/>
    <w:rsid w:val="0063607B"/>
    <w:rsid w:val="0063621B"/>
    <w:rsid w:val="006374C9"/>
    <w:rsid w:val="006379E5"/>
    <w:rsid w:val="0064001D"/>
    <w:rsid w:val="006405D9"/>
    <w:rsid w:val="00641A5C"/>
    <w:rsid w:val="00643726"/>
    <w:rsid w:val="00643DB3"/>
    <w:rsid w:val="00644FAC"/>
    <w:rsid w:val="0064554A"/>
    <w:rsid w:val="0064656D"/>
    <w:rsid w:val="00646760"/>
    <w:rsid w:val="00646D11"/>
    <w:rsid w:val="0064700D"/>
    <w:rsid w:val="00647066"/>
    <w:rsid w:val="00647774"/>
    <w:rsid w:val="006501A3"/>
    <w:rsid w:val="00651071"/>
    <w:rsid w:val="00651BFB"/>
    <w:rsid w:val="00651F96"/>
    <w:rsid w:val="00652670"/>
    <w:rsid w:val="006528F3"/>
    <w:rsid w:val="00652D77"/>
    <w:rsid w:val="00653210"/>
    <w:rsid w:val="00653C33"/>
    <w:rsid w:val="0065564F"/>
    <w:rsid w:val="006556F4"/>
    <w:rsid w:val="00656D10"/>
    <w:rsid w:val="00657C6E"/>
    <w:rsid w:val="00657DFA"/>
    <w:rsid w:val="00660E46"/>
    <w:rsid w:val="00661156"/>
    <w:rsid w:val="006619EB"/>
    <w:rsid w:val="00661AFE"/>
    <w:rsid w:val="006638EA"/>
    <w:rsid w:val="00663D37"/>
    <w:rsid w:val="00663ECA"/>
    <w:rsid w:val="0066463D"/>
    <w:rsid w:val="00664CFF"/>
    <w:rsid w:val="0066502A"/>
    <w:rsid w:val="00665A1A"/>
    <w:rsid w:val="006668ED"/>
    <w:rsid w:val="00666966"/>
    <w:rsid w:val="00666969"/>
    <w:rsid w:val="006679A5"/>
    <w:rsid w:val="00667EA8"/>
    <w:rsid w:val="0067057E"/>
    <w:rsid w:val="006705F5"/>
    <w:rsid w:val="00671DC6"/>
    <w:rsid w:val="00672163"/>
    <w:rsid w:val="00672FC2"/>
    <w:rsid w:val="0067382E"/>
    <w:rsid w:val="00673A43"/>
    <w:rsid w:val="006763C4"/>
    <w:rsid w:val="00676E20"/>
    <w:rsid w:val="006770D3"/>
    <w:rsid w:val="006774C5"/>
    <w:rsid w:val="00677653"/>
    <w:rsid w:val="00677CCE"/>
    <w:rsid w:val="0068059C"/>
    <w:rsid w:val="0068070C"/>
    <w:rsid w:val="0068075E"/>
    <w:rsid w:val="00680DD2"/>
    <w:rsid w:val="00680F19"/>
    <w:rsid w:val="00681391"/>
    <w:rsid w:val="00681972"/>
    <w:rsid w:val="0068239E"/>
    <w:rsid w:val="006831C8"/>
    <w:rsid w:val="006839A4"/>
    <w:rsid w:val="00683B2C"/>
    <w:rsid w:val="00684BFC"/>
    <w:rsid w:val="00684FF3"/>
    <w:rsid w:val="00685503"/>
    <w:rsid w:val="00685757"/>
    <w:rsid w:val="00685E7F"/>
    <w:rsid w:val="0068760B"/>
    <w:rsid w:val="00687CBC"/>
    <w:rsid w:val="006911F6"/>
    <w:rsid w:val="006916E2"/>
    <w:rsid w:val="00691A29"/>
    <w:rsid w:val="006922C2"/>
    <w:rsid w:val="00692300"/>
    <w:rsid w:val="00692348"/>
    <w:rsid w:val="0069296C"/>
    <w:rsid w:val="00692DC1"/>
    <w:rsid w:val="0069339D"/>
    <w:rsid w:val="006964C5"/>
    <w:rsid w:val="00696E19"/>
    <w:rsid w:val="006A047A"/>
    <w:rsid w:val="006A0495"/>
    <w:rsid w:val="006A0B28"/>
    <w:rsid w:val="006A0B6A"/>
    <w:rsid w:val="006A0D7A"/>
    <w:rsid w:val="006A0FBB"/>
    <w:rsid w:val="006A1262"/>
    <w:rsid w:val="006A1AF4"/>
    <w:rsid w:val="006A1BEE"/>
    <w:rsid w:val="006A23D4"/>
    <w:rsid w:val="006A23FE"/>
    <w:rsid w:val="006A279A"/>
    <w:rsid w:val="006A4AE6"/>
    <w:rsid w:val="006A7412"/>
    <w:rsid w:val="006B045D"/>
    <w:rsid w:val="006B0768"/>
    <w:rsid w:val="006B10B1"/>
    <w:rsid w:val="006B187D"/>
    <w:rsid w:val="006B1A23"/>
    <w:rsid w:val="006B203B"/>
    <w:rsid w:val="006B2463"/>
    <w:rsid w:val="006B49A3"/>
    <w:rsid w:val="006B51AF"/>
    <w:rsid w:val="006B5C22"/>
    <w:rsid w:val="006B65B5"/>
    <w:rsid w:val="006B798A"/>
    <w:rsid w:val="006B7A8B"/>
    <w:rsid w:val="006B7AC7"/>
    <w:rsid w:val="006C005D"/>
    <w:rsid w:val="006C0724"/>
    <w:rsid w:val="006C07D2"/>
    <w:rsid w:val="006C0E6A"/>
    <w:rsid w:val="006C0F12"/>
    <w:rsid w:val="006C1CD1"/>
    <w:rsid w:val="006C1F10"/>
    <w:rsid w:val="006C2431"/>
    <w:rsid w:val="006C312F"/>
    <w:rsid w:val="006C3B00"/>
    <w:rsid w:val="006C43F3"/>
    <w:rsid w:val="006C4515"/>
    <w:rsid w:val="006C5552"/>
    <w:rsid w:val="006C5D9D"/>
    <w:rsid w:val="006C7676"/>
    <w:rsid w:val="006C7CC8"/>
    <w:rsid w:val="006D0865"/>
    <w:rsid w:val="006D08A8"/>
    <w:rsid w:val="006D1689"/>
    <w:rsid w:val="006D2425"/>
    <w:rsid w:val="006D2B27"/>
    <w:rsid w:val="006D2E07"/>
    <w:rsid w:val="006D361A"/>
    <w:rsid w:val="006D3EB3"/>
    <w:rsid w:val="006D43D1"/>
    <w:rsid w:val="006D4F4C"/>
    <w:rsid w:val="006D5863"/>
    <w:rsid w:val="006D58E6"/>
    <w:rsid w:val="006E09D6"/>
    <w:rsid w:val="006E2348"/>
    <w:rsid w:val="006E292A"/>
    <w:rsid w:val="006E315F"/>
    <w:rsid w:val="006E4664"/>
    <w:rsid w:val="006E5073"/>
    <w:rsid w:val="006E5872"/>
    <w:rsid w:val="006E5E28"/>
    <w:rsid w:val="006E6574"/>
    <w:rsid w:val="006F0B95"/>
    <w:rsid w:val="006F0C22"/>
    <w:rsid w:val="006F135F"/>
    <w:rsid w:val="006F28D1"/>
    <w:rsid w:val="006F2EAD"/>
    <w:rsid w:val="006F363E"/>
    <w:rsid w:val="006F4D80"/>
    <w:rsid w:val="006F52A2"/>
    <w:rsid w:val="00700049"/>
    <w:rsid w:val="0070090E"/>
    <w:rsid w:val="007016B0"/>
    <w:rsid w:val="00702727"/>
    <w:rsid w:val="00702B58"/>
    <w:rsid w:val="00702E65"/>
    <w:rsid w:val="00704BD2"/>
    <w:rsid w:val="00706D3A"/>
    <w:rsid w:val="00710015"/>
    <w:rsid w:val="00710056"/>
    <w:rsid w:val="0071024A"/>
    <w:rsid w:val="00710339"/>
    <w:rsid w:val="00711234"/>
    <w:rsid w:val="007112E5"/>
    <w:rsid w:val="00712590"/>
    <w:rsid w:val="00713340"/>
    <w:rsid w:val="00713FCB"/>
    <w:rsid w:val="007146EB"/>
    <w:rsid w:val="00714850"/>
    <w:rsid w:val="00714A0A"/>
    <w:rsid w:val="00714CF2"/>
    <w:rsid w:val="00715360"/>
    <w:rsid w:val="007156B9"/>
    <w:rsid w:val="00715DCB"/>
    <w:rsid w:val="00716D34"/>
    <w:rsid w:val="00716F4F"/>
    <w:rsid w:val="0071701B"/>
    <w:rsid w:val="007179FC"/>
    <w:rsid w:val="00717F31"/>
    <w:rsid w:val="00717F3B"/>
    <w:rsid w:val="00720550"/>
    <w:rsid w:val="00720817"/>
    <w:rsid w:val="00720BB4"/>
    <w:rsid w:val="00722850"/>
    <w:rsid w:val="00722A1E"/>
    <w:rsid w:val="0072399B"/>
    <w:rsid w:val="007244D8"/>
    <w:rsid w:val="007247C8"/>
    <w:rsid w:val="007248E1"/>
    <w:rsid w:val="00725219"/>
    <w:rsid w:val="00725696"/>
    <w:rsid w:val="0072643B"/>
    <w:rsid w:val="007266CD"/>
    <w:rsid w:val="00727998"/>
    <w:rsid w:val="00727F42"/>
    <w:rsid w:val="007305D3"/>
    <w:rsid w:val="007310F7"/>
    <w:rsid w:val="007315C3"/>
    <w:rsid w:val="0073353F"/>
    <w:rsid w:val="00733CEC"/>
    <w:rsid w:val="00733F04"/>
    <w:rsid w:val="00735A91"/>
    <w:rsid w:val="00735ED0"/>
    <w:rsid w:val="00736C7C"/>
    <w:rsid w:val="0074033A"/>
    <w:rsid w:val="00741424"/>
    <w:rsid w:val="0074176D"/>
    <w:rsid w:val="00741FF1"/>
    <w:rsid w:val="0074286E"/>
    <w:rsid w:val="00742E45"/>
    <w:rsid w:val="007442FE"/>
    <w:rsid w:val="007447AF"/>
    <w:rsid w:val="007458AD"/>
    <w:rsid w:val="00745D0A"/>
    <w:rsid w:val="00750816"/>
    <w:rsid w:val="007509E1"/>
    <w:rsid w:val="00750FD5"/>
    <w:rsid w:val="0075122A"/>
    <w:rsid w:val="007519B5"/>
    <w:rsid w:val="00751E00"/>
    <w:rsid w:val="00752553"/>
    <w:rsid w:val="00752828"/>
    <w:rsid w:val="00752BF0"/>
    <w:rsid w:val="00753E71"/>
    <w:rsid w:val="007556E9"/>
    <w:rsid w:val="00756805"/>
    <w:rsid w:val="0075726F"/>
    <w:rsid w:val="00761D51"/>
    <w:rsid w:val="00761F29"/>
    <w:rsid w:val="007630AE"/>
    <w:rsid w:val="0076439F"/>
    <w:rsid w:val="007648BB"/>
    <w:rsid w:val="007648BE"/>
    <w:rsid w:val="00764B87"/>
    <w:rsid w:val="0076505E"/>
    <w:rsid w:val="007657C1"/>
    <w:rsid w:val="00765A3D"/>
    <w:rsid w:val="00765CAC"/>
    <w:rsid w:val="007670D2"/>
    <w:rsid w:val="00770642"/>
    <w:rsid w:val="00770780"/>
    <w:rsid w:val="00771086"/>
    <w:rsid w:val="0077222F"/>
    <w:rsid w:val="007729AA"/>
    <w:rsid w:val="00772E57"/>
    <w:rsid w:val="007732F2"/>
    <w:rsid w:val="00773BC8"/>
    <w:rsid w:val="00773E3F"/>
    <w:rsid w:val="007751DE"/>
    <w:rsid w:val="00775831"/>
    <w:rsid w:val="00776444"/>
    <w:rsid w:val="00777233"/>
    <w:rsid w:val="007774B1"/>
    <w:rsid w:val="0077755F"/>
    <w:rsid w:val="0078115B"/>
    <w:rsid w:val="00782EC7"/>
    <w:rsid w:val="0078348B"/>
    <w:rsid w:val="00783814"/>
    <w:rsid w:val="00783822"/>
    <w:rsid w:val="00784F76"/>
    <w:rsid w:val="0078766A"/>
    <w:rsid w:val="00787852"/>
    <w:rsid w:val="007920AE"/>
    <w:rsid w:val="00792559"/>
    <w:rsid w:val="0079281E"/>
    <w:rsid w:val="00793906"/>
    <w:rsid w:val="00794353"/>
    <w:rsid w:val="007945D8"/>
    <w:rsid w:val="00794D3A"/>
    <w:rsid w:val="0079542D"/>
    <w:rsid w:val="00796BA0"/>
    <w:rsid w:val="00797EB6"/>
    <w:rsid w:val="007A1372"/>
    <w:rsid w:val="007A1E36"/>
    <w:rsid w:val="007A2015"/>
    <w:rsid w:val="007A264D"/>
    <w:rsid w:val="007A2DF6"/>
    <w:rsid w:val="007A2E39"/>
    <w:rsid w:val="007A30FE"/>
    <w:rsid w:val="007A310D"/>
    <w:rsid w:val="007A36AA"/>
    <w:rsid w:val="007A3ECB"/>
    <w:rsid w:val="007A406D"/>
    <w:rsid w:val="007A4639"/>
    <w:rsid w:val="007A4AA1"/>
    <w:rsid w:val="007A4BE1"/>
    <w:rsid w:val="007A59C7"/>
    <w:rsid w:val="007A62B0"/>
    <w:rsid w:val="007A66EC"/>
    <w:rsid w:val="007A6A77"/>
    <w:rsid w:val="007A7E80"/>
    <w:rsid w:val="007B1BBA"/>
    <w:rsid w:val="007B21A6"/>
    <w:rsid w:val="007B41DB"/>
    <w:rsid w:val="007B4D1B"/>
    <w:rsid w:val="007B4FEB"/>
    <w:rsid w:val="007B50AE"/>
    <w:rsid w:val="007B5DA6"/>
    <w:rsid w:val="007B7004"/>
    <w:rsid w:val="007B75E9"/>
    <w:rsid w:val="007C1561"/>
    <w:rsid w:val="007C1786"/>
    <w:rsid w:val="007C3751"/>
    <w:rsid w:val="007C384B"/>
    <w:rsid w:val="007C38C1"/>
    <w:rsid w:val="007C3A9C"/>
    <w:rsid w:val="007C3ABD"/>
    <w:rsid w:val="007C3C26"/>
    <w:rsid w:val="007C4382"/>
    <w:rsid w:val="007C4AE4"/>
    <w:rsid w:val="007C5A0C"/>
    <w:rsid w:val="007C62A1"/>
    <w:rsid w:val="007C6452"/>
    <w:rsid w:val="007C7BA8"/>
    <w:rsid w:val="007D04D0"/>
    <w:rsid w:val="007D07DC"/>
    <w:rsid w:val="007D1D41"/>
    <w:rsid w:val="007D23A4"/>
    <w:rsid w:val="007D458F"/>
    <w:rsid w:val="007D4F5B"/>
    <w:rsid w:val="007D516B"/>
    <w:rsid w:val="007D6314"/>
    <w:rsid w:val="007D6600"/>
    <w:rsid w:val="007D7A16"/>
    <w:rsid w:val="007D7F58"/>
    <w:rsid w:val="007E00A2"/>
    <w:rsid w:val="007E02F0"/>
    <w:rsid w:val="007E0FEE"/>
    <w:rsid w:val="007E1177"/>
    <w:rsid w:val="007E1F97"/>
    <w:rsid w:val="007E2625"/>
    <w:rsid w:val="007E2931"/>
    <w:rsid w:val="007E2EDB"/>
    <w:rsid w:val="007E397A"/>
    <w:rsid w:val="007E455B"/>
    <w:rsid w:val="007E5D0A"/>
    <w:rsid w:val="007E6565"/>
    <w:rsid w:val="007E7293"/>
    <w:rsid w:val="007E778C"/>
    <w:rsid w:val="007E7CDE"/>
    <w:rsid w:val="007E7D19"/>
    <w:rsid w:val="007F0761"/>
    <w:rsid w:val="007F176E"/>
    <w:rsid w:val="007F2017"/>
    <w:rsid w:val="007F24A4"/>
    <w:rsid w:val="007F29F1"/>
    <w:rsid w:val="007F2AE8"/>
    <w:rsid w:val="007F2B53"/>
    <w:rsid w:val="007F3140"/>
    <w:rsid w:val="007F33B7"/>
    <w:rsid w:val="007F4553"/>
    <w:rsid w:val="007F4DAE"/>
    <w:rsid w:val="007F51E5"/>
    <w:rsid w:val="007F6DD8"/>
    <w:rsid w:val="007F7FE0"/>
    <w:rsid w:val="008002A8"/>
    <w:rsid w:val="0080174E"/>
    <w:rsid w:val="00801F3E"/>
    <w:rsid w:val="00802647"/>
    <w:rsid w:val="00802B29"/>
    <w:rsid w:val="00802C04"/>
    <w:rsid w:val="00802DE4"/>
    <w:rsid w:val="00802FA4"/>
    <w:rsid w:val="008033C3"/>
    <w:rsid w:val="008038D3"/>
    <w:rsid w:val="0080390E"/>
    <w:rsid w:val="008054EA"/>
    <w:rsid w:val="00805DEA"/>
    <w:rsid w:val="0080613F"/>
    <w:rsid w:val="00806C79"/>
    <w:rsid w:val="00810185"/>
    <w:rsid w:val="008103E2"/>
    <w:rsid w:val="00810B95"/>
    <w:rsid w:val="00810F1E"/>
    <w:rsid w:val="00811773"/>
    <w:rsid w:val="00811A38"/>
    <w:rsid w:val="00811E68"/>
    <w:rsid w:val="0081229D"/>
    <w:rsid w:val="008129A1"/>
    <w:rsid w:val="00812FE1"/>
    <w:rsid w:val="00813B1A"/>
    <w:rsid w:val="00813E2E"/>
    <w:rsid w:val="0081526D"/>
    <w:rsid w:val="008156A3"/>
    <w:rsid w:val="008159CF"/>
    <w:rsid w:val="00816BEB"/>
    <w:rsid w:val="00816E05"/>
    <w:rsid w:val="0081775F"/>
    <w:rsid w:val="0082050E"/>
    <w:rsid w:val="00820D69"/>
    <w:rsid w:val="00821467"/>
    <w:rsid w:val="00822CB8"/>
    <w:rsid w:val="00822DB9"/>
    <w:rsid w:val="00822E14"/>
    <w:rsid w:val="008231A8"/>
    <w:rsid w:val="008242D0"/>
    <w:rsid w:val="008246E2"/>
    <w:rsid w:val="00826424"/>
    <w:rsid w:val="00826E90"/>
    <w:rsid w:val="00826F2F"/>
    <w:rsid w:val="00827AD4"/>
    <w:rsid w:val="008313A4"/>
    <w:rsid w:val="008320DA"/>
    <w:rsid w:val="00833295"/>
    <w:rsid w:val="008339BB"/>
    <w:rsid w:val="0083427C"/>
    <w:rsid w:val="00835AC1"/>
    <w:rsid w:val="00835EAD"/>
    <w:rsid w:val="00836818"/>
    <w:rsid w:val="00836875"/>
    <w:rsid w:val="008368F6"/>
    <w:rsid w:val="00837A44"/>
    <w:rsid w:val="00837A93"/>
    <w:rsid w:val="00837ACE"/>
    <w:rsid w:val="00837D60"/>
    <w:rsid w:val="00837EA1"/>
    <w:rsid w:val="00840411"/>
    <w:rsid w:val="00842822"/>
    <w:rsid w:val="00843015"/>
    <w:rsid w:val="00843056"/>
    <w:rsid w:val="0084338E"/>
    <w:rsid w:val="008434C5"/>
    <w:rsid w:val="00843C74"/>
    <w:rsid w:val="008441A3"/>
    <w:rsid w:val="00846772"/>
    <w:rsid w:val="00846E7C"/>
    <w:rsid w:val="00847478"/>
    <w:rsid w:val="00847910"/>
    <w:rsid w:val="008502F1"/>
    <w:rsid w:val="00850C46"/>
    <w:rsid w:val="0085109C"/>
    <w:rsid w:val="008512B2"/>
    <w:rsid w:val="00853452"/>
    <w:rsid w:val="0085366A"/>
    <w:rsid w:val="008537DE"/>
    <w:rsid w:val="00853D18"/>
    <w:rsid w:val="0085505F"/>
    <w:rsid w:val="00855166"/>
    <w:rsid w:val="00855196"/>
    <w:rsid w:val="0085549A"/>
    <w:rsid w:val="00856B49"/>
    <w:rsid w:val="0085748F"/>
    <w:rsid w:val="00857660"/>
    <w:rsid w:val="008602F0"/>
    <w:rsid w:val="0086094A"/>
    <w:rsid w:val="008609AB"/>
    <w:rsid w:val="00860B18"/>
    <w:rsid w:val="00862670"/>
    <w:rsid w:val="00863763"/>
    <w:rsid w:val="008639ED"/>
    <w:rsid w:val="0086419A"/>
    <w:rsid w:val="008643F6"/>
    <w:rsid w:val="00864A96"/>
    <w:rsid w:val="008656D8"/>
    <w:rsid w:val="00866036"/>
    <w:rsid w:val="00866428"/>
    <w:rsid w:val="00866B58"/>
    <w:rsid w:val="00866F27"/>
    <w:rsid w:val="0086728E"/>
    <w:rsid w:val="00867442"/>
    <w:rsid w:val="0086754F"/>
    <w:rsid w:val="00867A46"/>
    <w:rsid w:val="0087023B"/>
    <w:rsid w:val="00870285"/>
    <w:rsid w:val="00871796"/>
    <w:rsid w:val="00871E3E"/>
    <w:rsid w:val="008724D6"/>
    <w:rsid w:val="008725EC"/>
    <w:rsid w:val="00872DD4"/>
    <w:rsid w:val="008735F6"/>
    <w:rsid w:val="00873660"/>
    <w:rsid w:val="0087450D"/>
    <w:rsid w:val="0087489C"/>
    <w:rsid w:val="008755B5"/>
    <w:rsid w:val="00875928"/>
    <w:rsid w:val="00876EB7"/>
    <w:rsid w:val="008775D0"/>
    <w:rsid w:val="0088077F"/>
    <w:rsid w:val="008811B3"/>
    <w:rsid w:val="00882054"/>
    <w:rsid w:val="00884B2C"/>
    <w:rsid w:val="00884CE2"/>
    <w:rsid w:val="00884E75"/>
    <w:rsid w:val="008856A9"/>
    <w:rsid w:val="00885F57"/>
    <w:rsid w:val="00885F69"/>
    <w:rsid w:val="00886C53"/>
    <w:rsid w:val="008870C7"/>
    <w:rsid w:val="00891310"/>
    <w:rsid w:val="0089167E"/>
    <w:rsid w:val="00892269"/>
    <w:rsid w:val="008926FD"/>
    <w:rsid w:val="00892EE7"/>
    <w:rsid w:val="00894A75"/>
    <w:rsid w:val="008950E9"/>
    <w:rsid w:val="00895201"/>
    <w:rsid w:val="00895371"/>
    <w:rsid w:val="008953AD"/>
    <w:rsid w:val="00897087"/>
    <w:rsid w:val="00897E98"/>
    <w:rsid w:val="008A08BF"/>
    <w:rsid w:val="008A0D06"/>
    <w:rsid w:val="008A179F"/>
    <w:rsid w:val="008A184A"/>
    <w:rsid w:val="008A1AD1"/>
    <w:rsid w:val="008A1AF4"/>
    <w:rsid w:val="008A2425"/>
    <w:rsid w:val="008A2C35"/>
    <w:rsid w:val="008A2E6A"/>
    <w:rsid w:val="008A364E"/>
    <w:rsid w:val="008A6A50"/>
    <w:rsid w:val="008A7609"/>
    <w:rsid w:val="008A7922"/>
    <w:rsid w:val="008B0482"/>
    <w:rsid w:val="008B0864"/>
    <w:rsid w:val="008B0B72"/>
    <w:rsid w:val="008B175A"/>
    <w:rsid w:val="008B2678"/>
    <w:rsid w:val="008B345E"/>
    <w:rsid w:val="008B41DF"/>
    <w:rsid w:val="008B4736"/>
    <w:rsid w:val="008B6E20"/>
    <w:rsid w:val="008B7D66"/>
    <w:rsid w:val="008C01A0"/>
    <w:rsid w:val="008C15E2"/>
    <w:rsid w:val="008C1E62"/>
    <w:rsid w:val="008C2387"/>
    <w:rsid w:val="008C2BA4"/>
    <w:rsid w:val="008C30E1"/>
    <w:rsid w:val="008C3CB7"/>
    <w:rsid w:val="008C478B"/>
    <w:rsid w:val="008C4C47"/>
    <w:rsid w:val="008C5077"/>
    <w:rsid w:val="008C63AA"/>
    <w:rsid w:val="008C653B"/>
    <w:rsid w:val="008C7413"/>
    <w:rsid w:val="008C74C3"/>
    <w:rsid w:val="008C7DE0"/>
    <w:rsid w:val="008C7E8E"/>
    <w:rsid w:val="008D16B7"/>
    <w:rsid w:val="008D1DDD"/>
    <w:rsid w:val="008D2C1E"/>
    <w:rsid w:val="008D3ED6"/>
    <w:rsid w:val="008D3EF0"/>
    <w:rsid w:val="008D5744"/>
    <w:rsid w:val="008D6B89"/>
    <w:rsid w:val="008D7BA9"/>
    <w:rsid w:val="008D7C46"/>
    <w:rsid w:val="008E0201"/>
    <w:rsid w:val="008E1D80"/>
    <w:rsid w:val="008E1DD9"/>
    <w:rsid w:val="008E284F"/>
    <w:rsid w:val="008E2FB6"/>
    <w:rsid w:val="008E36B1"/>
    <w:rsid w:val="008E44EB"/>
    <w:rsid w:val="008E4E30"/>
    <w:rsid w:val="008E503A"/>
    <w:rsid w:val="008E54A4"/>
    <w:rsid w:val="008E5B9A"/>
    <w:rsid w:val="008E6AE6"/>
    <w:rsid w:val="008E73BB"/>
    <w:rsid w:val="008E7953"/>
    <w:rsid w:val="008F0116"/>
    <w:rsid w:val="008F0547"/>
    <w:rsid w:val="008F0736"/>
    <w:rsid w:val="008F0B0E"/>
    <w:rsid w:val="008F11F4"/>
    <w:rsid w:val="008F143D"/>
    <w:rsid w:val="008F16E5"/>
    <w:rsid w:val="008F2101"/>
    <w:rsid w:val="008F3E27"/>
    <w:rsid w:val="008F40EA"/>
    <w:rsid w:val="008F4267"/>
    <w:rsid w:val="008F464D"/>
    <w:rsid w:val="008F4E21"/>
    <w:rsid w:val="008F52A7"/>
    <w:rsid w:val="008F68C1"/>
    <w:rsid w:val="00900636"/>
    <w:rsid w:val="00900B0F"/>
    <w:rsid w:val="00900BD6"/>
    <w:rsid w:val="00901CFB"/>
    <w:rsid w:val="00903199"/>
    <w:rsid w:val="00903C18"/>
    <w:rsid w:val="00904068"/>
    <w:rsid w:val="00904C9E"/>
    <w:rsid w:val="009051C3"/>
    <w:rsid w:val="00905742"/>
    <w:rsid w:val="00906361"/>
    <w:rsid w:val="009068CB"/>
    <w:rsid w:val="009068D1"/>
    <w:rsid w:val="00907699"/>
    <w:rsid w:val="009114D7"/>
    <w:rsid w:val="0091158C"/>
    <w:rsid w:val="0091229C"/>
    <w:rsid w:val="00912F3E"/>
    <w:rsid w:val="009130E3"/>
    <w:rsid w:val="0091465F"/>
    <w:rsid w:val="00915817"/>
    <w:rsid w:val="00915882"/>
    <w:rsid w:val="009158AB"/>
    <w:rsid w:val="0092032D"/>
    <w:rsid w:val="00921002"/>
    <w:rsid w:val="0092259C"/>
    <w:rsid w:val="00922D3A"/>
    <w:rsid w:val="0092373B"/>
    <w:rsid w:val="0092414E"/>
    <w:rsid w:val="0092433B"/>
    <w:rsid w:val="009243E9"/>
    <w:rsid w:val="00924472"/>
    <w:rsid w:val="00926C40"/>
    <w:rsid w:val="00926F35"/>
    <w:rsid w:val="009273F5"/>
    <w:rsid w:val="009276BB"/>
    <w:rsid w:val="00930B79"/>
    <w:rsid w:val="00930FCE"/>
    <w:rsid w:val="00931D24"/>
    <w:rsid w:val="00932865"/>
    <w:rsid w:val="00932ABA"/>
    <w:rsid w:val="009337E8"/>
    <w:rsid w:val="00933D4B"/>
    <w:rsid w:val="009345BA"/>
    <w:rsid w:val="00934FB1"/>
    <w:rsid w:val="00935381"/>
    <w:rsid w:val="00935C54"/>
    <w:rsid w:val="009360DD"/>
    <w:rsid w:val="00936CE6"/>
    <w:rsid w:val="00940BE9"/>
    <w:rsid w:val="00940C26"/>
    <w:rsid w:val="00944A6F"/>
    <w:rsid w:val="009455E2"/>
    <w:rsid w:val="0094616B"/>
    <w:rsid w:val="00946186"/>
    <w:rsid w:val="009468E1"/>
    <w:rsid w:val="009469E7"/>
    <w:rsid w:val="00947D35"/>
    <w:rsid w:val="009501BA"/>
    <w:rsid w:val="00950509"/>
    <w:rsid w:val="0095057B"/>
    <w:rsid w:val="00950B20"/>
    <w:rsid w:val="0095205C"/>
    <w:rsid w:val="0095248C"/>
    <w:rsid w:val="009532AD"/>
    <w:rsid w:val="00954CE9"/>
    <w:rsid w:val="00955036"/>
    <w:rsid w:val="009555B1"/>
    <w:rsid w:val="00957931"/>
    <w:rsid w:val="00960062"/>
    <w:rsid w:val="00960AFA"/>
    <w:rsid w:val="00961B8E"/>
    <w:rsid w:val="00962E61"/>
    <w:rsid w:val="0096317E"/>
    <w:rsid w:val="0096340E"/>
    <w:rsid w:val="00963B6E"/>
    <w:rsid w:val="00964AF2"/>
    <w:rsid w:val="00964C1D"/>
    <w:rsid w:val="0096537C"/>
    <w:rsid w:val="00965774"/>
    <w:rsid w:val="0096619A"/>
    <w:rsid w:val="0096665E"/>
    <w:rsid w:val="00967B35"/>
    <w:rsid w:val="009701F5"/>
    <w:rsid w:val="00971AB7"/>
    <w:rsid w:val="00971C62"/>
    <w:rsid w:val="00972329"/>
    <w:rsid w:val="009743CE"/>
    <w:rsid w:val="00974724"/>
    <w:rsid w:val="00976C2E"/>
    <w:rsid w:val="00976C49"/>
    <w:rsid w:val="00980026"/>
    <w:rsid w:val="0098087D"/>
    <w:rsid w:val="0098138E"/>
    <w:rsid w:val="009815FB"/>
    <w:rsid w:val="009819F0"/>
    <w:rsid w:val="00984DB1"/>
    <w:rsid w:val="00984FC6"/>
    <w:rsid w:val="0098655A"/>
    <w:rsid w:val="00986E02"/>
    <w:rsid w:val="0098755D"/>
    <w:rsid w:val="00987967"/>
    <w:rsid w:val="009879A7"/>
    <w:rsid w:val="00987C3D"/>
    <w:rsid w:val="00990236"/>
    <w:rsid w:val="00990FF9"/>
    <w:rsid w:val="00992F7B"/>
    <w:rsid w:val="00993092"/>
    <w:rsid w:val="0099389E"/>
    <w:rsid w:val="00993A01"/>
    <w:rsid w:val="00993EDC"/>
    <w:rsid w:val="0099431F"/>
    <w:rsid w:val="00994D67"/>
    <w:rsid w:val="00995C9D"/>
    <w:rsid w:val="00995EF6"/>
    <w:rsid w:val="00996248"/>
    <w:rsid w:val="00996C77"/>
    <w:rsid w:val="009975CB"/>
    <w:rsid w:val="00997A41"/>
    <w:rsid w:val="009A049A"/>
    <w:rsid w:val="009A0C42"/>
    <w:rsid w:val="009A20B4"/>
    <w:rsid w:val="009A2AAD"/>
    <w:rsid w:val="009A399B"/>
    <w:rsid w:val="009A47F2"/>
    <w:rsid w:val="009A5CF6"/>
    <w:rsid w:val="009A6046"/>
    <w:rsid w:val="009A60A9"/>
    <w:rsid w:val="009A6649"/>
    <w:rsid w:val="009A6E36"/>
    <w:rsid w:val="009A7ECF"/>
    <w:rsid w:val="009A7F3F"/>
    <w:rsid w:val="009B17CF"/>
    <w:rsid w:val="009B2DDF"/>
    <w:rsid w:val="009B3CDC"/>
    <w:rsid w:val="009B5E3C"/>
    <w:rsid w:val="009B6C86"/>
    <w:rsid w:val="009B7DA0"/>
    <w:rsid w:val="009B7F67"/>
    <w:rsid w:val="009C1243"/>
    <w:rsid w:val="009C1951"/>
    <w:rsid w:val="009C1EA5"/>
    <w:rsid w:val="009C22CB"/>
    <w:rsid w:val="009C2732"/>
    <w:rsid w:val="009C3650"/>
    <w:rsid w:val="009C3F2D"/>
    <w:rsid w:val="009C511F"/>
    <w:rsid w:val="009C589B"/>
    <w:rsid w:val="009C60CF"/>
    <w:rsid w:val="009C77FD"/>
    <w:rsid w:val="009D1017"/>
    <w:rsid w:val="009D2502"/>
    <w:rsid w:val="009D2DBD"/>
    <w:rsid w:val="009D4430"/>
    <w:rsid w:val="009D46A1"/>
    <w:rsid w:val="009D57B6"/>
    <w:rsid w:val="009E1270"/>
    <w:rsid w:val="009E1935"/>
    <w:rsid w:val="009E2AB7"/>
    <w:rsid w:val="009E4A4E"/>
    <w:rsid w:val="009E4B4F"/>
    <w:rsid w:val="009E4FB6"/>
    <w:rsid w:val="009E527E"/>
    <w:rsid w:val="009E53C8"/>
    <w:rsid w:val="009E5DA3"/>
    <w:rsid w:val="009E6052"/>
    <w:rsid w:val="009E60D7"/>
    <w:rsid w:val="009E690A"/>
    <w:rsid w:val="009E69E4"/>
    <w:rsid w:val="009E6B3D"/>
    <w:rsid w:val="009E6B51"/>
    <w:rsid w:val="009E7C7F"/>
    <w:rsid w:val="009F117C"/>
    <w:rsid w:val="009F1705"/>
    <w:rsid w:val="009F1814"/>
    <w:rsid w:val="009F1D55"/>
    <w:rsid w:val="009F3660"/>
    <w:rsid w:val="009F428A"/>
    <w:rsid w:val="009F44A0"/>
    <w:rsid w:val="009F4E20"/>
    <w:rsid w:val="009F5052"/>
    <w:rsid w:val="009F6323"/>
    <w:rsid w:val="009F68A6"/>
    <w:rsid w:val="009F68DB"/>
    <w:rsid w:val="009F69E6"/>
    <w:rsid w:val="009F6D0A"/>
    <w:rsid w:val="00A001F2"/>
    <w:rsid w:val="00A00E15"/>
    <w:rsid w:val="00A01078"/>
    <w:rsid w:val="00A01FA8"/>
    <w:rsid w:val="00A023A7"/>
    <w:rsid w:val="00A02529"/>
    <w:rsid w:val="00A03DBE"/>
    <w:rsid w:val="00A044AB"/>
    <w:rsid w:val="00A07CA9"/>
    <w:rsid w:val="00A07D71"/>
    <w:rsid w:val="00A10041"/>
    <w:rsid w:val="00A10451"/>
    <w:rsid w:val="00A10616"/>
    <w:rsid w:val="00A11647"/>
    <w:rsid w:val="00A11D0C"/>
    <w:rsid w:val="00A1230A"/>
    <w:rsid w:val="00A131CE"/>
    <w:rsid w:val="00A13262"/>
    <w:rsid w:val="00A1346B"/>
    <w:rsid w:val="00A13871"/>
    <w:rsid w:val="00A15ED2"/>
    <w:rsid w:val="00A1683A"/>
    <w:rsid w:val="00A175B7"/>
    <w:rsid w:val="00A17CE0"/>
    <w:rsid w:val="00A20095"/>
    <w:rsid w:val="00A209AA"/>
    <w:rsid w:val="00A20BAF"/>
    <w:rsid w:val="00A20BDA"/>
    <w:rsid w:val="00A21A07"/>
    <w:rsid w:val="00A22CA1"/>
    <w:rsid w:val="00A22D57"/>
    <w:rsid w:val="00A23404"/>
    <w:rsid w:val="00A23A72"/>
    <w:rsid w:val="00A23AE0"/>
    <w:rsid w:val="00A23D48"/>
    <w:rsid w:val="00A260CB"/>
    <w:rsid w:val="00A30BDD"/>
    <w:rsid w:val="00A322BF"/>
    <w:rsid w:val="00A32A47"/>
    <w:rsid w:val="00A3325E"/>
    <w:rsid w:val="00A3454E"/>
    <w:rsid w:val="00A34A75"/>
    <w:rsid w:val="00A34BAC"/>
    <w:rsid w:val="00A34DFF"/>
    <w:rsid w:val="00A3519F"/>
    <w:rsid w:val="00A35247"/>
    <w:rsid w:val="00A35DA4"/>
    <w:rsid w:val="00A36F41"/>
    <w:rsid w:val="00A3740D"/>
    <w:rsid w:val="00A37ED4"/>
    <w:rsid w:val="00A40672"/>
    <w:rsid w:val="00A40BDC"/>
    <w:rsid w:val="00A40D26"/>
    <w:rsid w:val="00A40FED"/>
    <w:rsid w:val="00A41379"/>
    <w:rsid w:val="00A41CFA"/>
    <w:rsid w:val="00A42306"/>
    <w:rsid w:val="00A42F39"/>
    <w:rsid w:val="00A43687"/>
    <w:rsid w:val="00A44E0D"/>
    <w:rsid w:val="00A44E8D"/>
    <w:rsid w:val="00A4557D"/>
    <w:rsid w:val="00A4570E"/>
    <w:rsid w:val="00A46AD0"/>
    <w:rsid w:val="00A46EA8"/>
    <w:rsid w:val="00A4709E"/>
    <w:rsid w:val="00A47B51"/>
    <w:rsid w:val="00A503D9"/>
    <w:rsid w:val="00A512FE"/>
    <w:rsid w:val="00A52F84"/>
    <w:rsid w:val="00A53C69"/>
    <w:rsid w:val="00A53E91"/>
    <w:rsid w:val="00A54521"/>
    <w:rsid w:val="00A548EA"/>
    <w:rsid w:val="00A54934"/>
    <w:rsid w:val="00A5556B"/>
    <w:rsid w:val="00A55976"/>
    <w:rsid w:val="00A55ACD"/>
    <w:rsid w:val="00A56DBA"/>
    <w:rsid w:val="00A56F18"/>
    <w:rsid w:val="00A57F2C"/>
    <w:rsid w:val="00A60E86"/>
    <w:rsid w:val="00A60F89"/>
    <w:rsid w:val="00A63A58"/>
    <w:rsid w:val="00A64833"/>
    <w:rsid w:val="00A64CB6"/>
    <w:rsid w:val="00A65B6B"/>
    <w:rsid w:val="00A66257"/>
    <w:rsid w:val="00A66464"/>
    <w:rsid w:val="00A668E1"/>
    <w:rsid w:val="00A66C58"/>
    <w:rsid w:val="00A670EB"/>
    <w:rsid w:val="00A671B8"/>
    <w:rsid w:val="00A67AAD"/>
    <w:rsid w:val="00A67FB5"/>
    <w:rsid w:val="00A70755"/>
    <w:rsid w:val="00A70C9B"/>
    <w:rsid w:val="00A711E0"/>
    <w:rsid w:val="00A72389"/>
    <w:rsid w:val="00A7242C"/>
    <w:rsid w:val="00A72DF1"/>
    <w:rsid w:val="00A732A1"/>
    <w:rsid w:val="00A73415"/>
    <w:rsid w:val="00A73512"/>
    <w:rsid w:val="00A7368F"/>
    <w:rsid w:val="00A7402C"/>
    <w:rsid w:val="00A741FE"/>
    <w:rsid w:val="00A75244"/>
    <w:rsid w:val="00A75C50"/>
    <w:rsid w:val="00A760D5"/>
    <w:rsid w:val="00A77541"/>
    <w:rsid w:val="00A810B8"/>
    <w:rsid w:val="00A811E1"/>
    <w:rsid w:val="00A81C37"/>
    <w:rsid w:val="00A83CEC"/>
    <w:rsid w:val="00A84883"/>
    <w:rsid w:val="00A8489A"/>
    <w:rsid w:val="00A85D27"/>
    <w:rsid w:val="00A8624A"/>
    <w:rsid w:val="00A90584"/>
    <w:rsid w:val="00A90885"/>
    <w:rsid w:val="00A90987"/>
    <w:rsid w:val="00A90F6C"/>
    <w:rsid w:val="00A91AC3"/>
    <w:rsid w:val="00A91B00"/>
    <w:rsid w:val="00A9242A"/>
    <w:rsid w:val="00A929DC"/>
    <w:rsid w:val="00A93C26"/>
    <w:rsid w:val="00A9405B"/>
    <w:rsid w:val="00A9435E"/>
    <w:rsid w:val="00A94D1C"/>
    <w:rsid w:val="00A94EFD"/>
    <w:rsid w:val="00A950BC"/>
    <w:rsid w:val="00A96CD7"/>
    <w:rsid w:val="00A97719"/>
    <w:rsid w:val="00AA1428"/>
    <w:rsid w:val="00AA2A86"/>
    <w:rsid w:val="00AA30A9"/>
    <w:rsid w:val="00AA3A73"/>
    <w:rsid w:val="00AA4AF0"/>
    <w:rsid w:val="00AA583C"/>
    <w:rsid w:val="00AA761F"/>
    <w:rsid w:val="00AA7F72"/>
    <w:rsid w:val="00AB000A"/>
    <w:rsid w:val="00AB0301"/>
    <w:rsid w:val="00AB0480"/>
    <w:rsid w:val="00AB1997"/>
    <w:rsid w:val="00AB1B4F"/>
    <w:rsid w:val="00AB1F99"/>
    <w:rsid w:val="00AB4005"/>
    <w:rsid w:val="00AB509E"/>
    <w:rsid w:val="00AB541A"/>
    <w:rsid w:val="00AB5585"/>
    <w:rsid w:val="00AB58B4"/>
    <w:rsid w:val="00AB62CF"/>
    <w:rsid w:val="00AB6CC5"/>
    <w:rsid w:val="00AB6F34"/>
    <w:rsid w:val="00AB70E8"/>
    <w:rsid w:val="00AB7875"/>
    <w:rsid w:val="00AC0141"/>
    <w:rsid w:val="00AC06AD"/>
    <w:rsid w:val="00AC08AC"/>
    <w:rsid w:val="00AC2107"/>
    <w:rsid w:val="00AC44DB"/>
    <w:rsid w:val="00AC45CE"/>
    <w:rsid w:val="00AC51AF"/>
    <w:rsid w:val="00AC51F6"/>
    <w:rsid w:val="00AC56C2"/>
    <w:rsid w:val="00AC5909"/>
    <w:rsid w:val="00AC607A"/>
    <w:rsid w:val="00AC66E9"/>
    <w:rsid w:val="00AC68EE"/>
    <w:rsid w:val="00AC6D4A"/>
    <w:rsid w:val="00AC739A"/>
    <w:rsid w:val="00AC749D"/>
    <w:rsid w:val="00AD02E0"/>
    <w:rsid w:val="00AD04B3"/>
    <w:rsid w:val="00AD0D0E"/>
    <w:rsid w:val="00AD1001"/>
    <w:rsid w:val="00AD18CD"/>
    <w:rsid w:val="00AD21CD"/>
    <w:rsid w:val="00AD230B"/>
    <w:rsid w:val="00AD2783"/>
    <w:rsid w:val="00AD2ECF"/>
    <w:rsid w:val="00AD3084"/>
    <w:rsid w:val="00AD4545"/>
    <w:rsid w:val="00AD5766"/>
    <w:rsid w:val="00AD5939"/>
    <w:rsid w:val="00AD7F23"/>
    <w:rsid w:val="00AE121B"/>
    <w:rsid w:val="00AE1CCD"/>
    <w:rsid w:val="00AE2A8E"/>
    <w:rsid w:val="00AE2EA5"/>
    <w:rsid w:val="00AE396E"/>
    <w:rsid w:val="00AE3B9A"/>
    <w:rsid w:val="00AE4DCA"/>
    <w:rsid w:val="00AE5F57"/>
    <w:rsid w:val="00AE5F81"/>
    <w:rsid w:val="00AE615C"/>
    <w:rsid w:val="00AE6929"/>
    <w:rsid w:val="00AE7309"/>
    <w:rsid w:val="00AE7BF4"/>
    <w:rsid w:val="00AF0307"/>
    <w:rsid w:val="00AF0614"/>
    <w:rsid w:val="00AF0D60"/>
    <w:rsid w:val="00AF1CCE"/>
    <w:rsid w:val="00AF2488"/>
    <w:rsid w:val="00AF3B33"/>
    <w:rsid w:val="00AF3BE3"/>
    <w:rsid w:val="00AF4E3E"/>
    <w:rsid w:val="00AF5693"/>
    <w:rsid w:val="00AF57B1"/>
    <w:rsid w:val="00AF71F0"/>
    <w:rsid w:val="00AF7399"/>
    <w:rsid w:val="00AF73AC"/>
    <w:rsid w:val="00AF7775"/>
    <w:rsid w:val="00B0021C"/>
    <w:rsid w:val="00B00253"/>
    <w:rsid w:val="00B00513"/>
    <w:rsid w:val="00B00D9A"/>
    <w:rsid w:val="00B01269"/>
    <w:rsid w:val="00B01466"/>
    <w:rsid w:val="00B01F7E"/>
    <w:rsid w:val="00B02BEE"/>
    <w:rsid w:val="00B02FFA"/>
    <w:rsid w:val="00B0369E"/>
    <w:rsid w:val="00B03B06"/>
    <w:rsid w:val="00B03B88"/>
    <w:rsid w:val="00B047D1"/>
    <w:rsid w:val="00B0663E"/>
    <w:rsid w:val="00B07594"/>
    <w:rsid w:val="00B0789F"/>
    <w:rsid w:val="00B07A86"/>
    <w:rsid w:val="00B10DD1"/>
    <w:rsid w:val="00B10ED0"/>
    <w:rsid w:val="00B1117C"/>
    <w:rsid w:val="00B1259E"/>
    <w:rsid w:val="00B13330"/>
    <w:rsid w:val="00B13B27"/>
    <w:rsid w:val="00B13D3C"/>
    <w:rsid w:val="00B14E27"/>
    <w:rsid w:val="00B15BF5"/>
    <w:rsid w:val="00B16501"/>
    <w:rsid w:val="00B168FE"/>
    <w:rsid w:val="00B16954"/>
    <w:rsid w:val="00B16C2A"/>
    <w:rsid w:val="00B17308"/>
    <w:rsid w:val="00B206AA"/>
    <w:rsid w:val="00B20774"/>
    <w:rsid w:val="00B21140"/>
    <w:rsid w:val="00B224C5"/>
    <w:rsid w:val="00B22C2B"/>
    <w:rsid w:val="00B22F07"/>
    <w:rsid w:val="00B231D6"/>
    <w:rsid w:val="00B23FBA"/>
    <w:rsid w:val="00B247A3"/>
    <w:rsid w:val="00B256EE"/>
    <w:rsid w:val="00B25FF0"/>
    <w:rsid w:val="00B27CDF"/>
    <w:rsid w:val="00B30144"/>
    <w:rsid w:val="00B3087D"/>
    <w:rsid w:val="00B3094F"/>
    <w:rsid w:val="00B30D62"/>
    <w:rsid w:val="00B31162"/>
    <w:rsid w:val="00B320E2"/>
    <w:rsid w:val="00B3273A"/>
    <w:rsid w:val="00B33933"/>
    <w:rsid w:val="00B33C4B"/>
    <w:rsid w:val="00B33FB9"/>
    <w:rsid w:val="00B34794"/>
    <w:rsid w:val="00B3488E"/>
    <w:rsid w:val="00B356C2"/>
    <w:rsid w:val="00B359D9"/>
    <w:rsid w:val="00B35AD8"/>
    <w:rsid w:val="00B36641"/>
    <w:rsid w:val="00B3744E"/>
    <w:rsid w:val="00B375F5"/>
    <w:rsid w:val="00B37B8B"/>
    <w:rsid w:val="00B400CE"/>
    <w:rsid w:val="00B4098B"/>
    <w:rsid w:val="00B41172"/>
    <w:rsid w:val="00B42E21"/>
    <w:rsid w:val="00B43695"/>
    <w:rsid w:val="00B441B5"/>
    <w:rsid w:val="00B4429E"/>
    <w:rsid w:val="00B44C22"/>
    <w:rsid w:val="00B44F86"/>
    <w:rsid w:val="00B47BA5"/>
    <w:rsid w:val="00B47EFD"/>
    <w:rsid w:val="00B5010D"/>
    <w:rsid w:val="00B507D7"/>
    <w:rsid w:val="00B524EA"/>
    <w:rsid w:val="00B52B32"/>
    <w:rsid w:val="00B53F5F"/>
    <w:rsid w:val="00B5414F"/>
    <w:rsid w:val="00B547F3"/>
    <w:rsid w:val="00B54CAB"/>
    <w:rsid w:val="00B54DE6"/>
    <w:rsid w:val="00B573F8"/>
    <w:rsid w:val="00B57BC8"/>
    <w:rsid w:val="00B60421"/>
    <w:rsid w:val="00B63D26"/>
    <w:rsid w:val="00B64082"/>
    <w:rsid w:val="00B64DFB"/>
    <w:rsid w:val="00B65C0C"/>
    <w:rsid w:val="00B66369"/>
    <w:rsid w:val="00B66AA8"/>
    <w:rsid w:val="00B67242"/>
    <w:rsid w:val="00B67FAA"/>
    <w:rsid w:val="00B70DB7"/>
    <w:rsid w:val="00B728F6"/>
    <w:rsid w:val="00B7305A"/>
    <w:rsid w:val="00B74A9F"/>
    <w:rsid w:val="00B75B1F"/>
    <w:rsid w:val="00B77301"/>
    <w:rsid w:val="00B7741C"/>
    <w:rsid w:val="00B779F5"/>
    <w:rsid w:val="00B806D3"/>
    <w:rsid w:val="00B80DEA"/>
    <w:rsid w:val="00B81B1B"/>
    <w:rsid w:val="00B81DD2"/>
    <w:rsid w:val="00B81EB6"/>
    <w:rsid w:val="00B82089"/>
    <w:rsid w:val="00B82A84"/>
    <w:rsid w:val="00B85DFE"/>
    <w:rsid w:val="00B863FD"/>
    <w:rsid w:val="00B867AC"/>
    <w:rsid w:val="00B86D6C"/>
    <w:rsid w:val="00B86E7C"/>
    <w:rsid w:val="00B877E2"/>
    <w:rsid w:val="00B903E1"/>
    <w:rsid w:val="00B90575"/>
    <w:rsid w:val="00B90B9E"/>
    <w:rsid w:val="00B91892"/>
    <w:rsid w:val="00B9212A"/>
    <w:rsid w:val="00B922E9"/>
    <w:rsid w:val="00B93C5A"/>
    <w:rsid w:val="00B94323"/>
    <w:rsid w:val="00B945AA"/>
    <w:rsid w:val="00B947DA"/>
    <w:rsid w:val="00B94953"/>
    <w:rsid w:val="00B94C89"/>
    <w:rsid w:val="00B94D31"/>
    <w:rsid w:val="00B96B17"/>
    <w:rsid w:val="00B9714A"/>
    <w:rsid w:val="00BA0652"/>
    <w:rsid w:val="00BA0BBE"/>
    <w:rsid w:val="00BA1872"/>
    <w:rsid w:val="00BA38A4"/>
    <w:rsid w:val="00BA49B5"/>
    <w:rsid w:val="00BA4E01"/>
    <w:rsid w:val="00BA4F1B"/>
    <w:rsid w:val="00BA53E6"/>
    <w:rsid w:val="00BA5E32"/>
    <w:rsid w:val="00BA6626"/>
    <w:rsid w:val="00BA76DA"/>
    <w:rsid w:val="00BB0120"/>
    <w:rsid w:val="00BB0243"/>
    <w:rsid w:val="00BB0EE3"/>
    <w:rsid w:val="00BB1A12"/>
    <w:rsid w:val="00BB1C8B"/>
    <w:rsid w:val="00BB2707"/>
    <w:rsid w:val="00BB2E8C"/>
    <w:rsid w:val="00BB30C4"/>
    <w:rsid w:val="00BB3A51"/>
    <w:rsid w:val="00BB4476"/>
    <w:rsid w:val="00BB4754"/>
    <w:rsid w:val="00BB4E2B"/>
    <w:rsid w:val="00BB5040"/>
    <w:rsid w:val="00BB5190"/>
    <w:rsid w:val="00BB577F"/>
    <w:rsid w:val="00BB5B55"/>
    <w:rsid w:val="00BB5EBA"/>
    <w:rsid w:val="00BC00BB"/>
    <w:rsid w:val="00BC0EB7"/>
    <w:rsid w:val="00BC16B9"/>
    <w:rsid w:val="00BC1CD6"/>
    <w:rsid w:val="00BC2055"/>
    <w:rsid w:val="00BC2C15"/>
    <w:rsid w:val="00BC2F9A"/>
    <w:rsid w:val="00BC3173"/>
    <w:rsid w:val="00BC3A3A"/>
    <w:rsid w:val="00BC46C7"/>
    <w:rsid w:val="00BC505C"/>
    <w:rsid w:val="00BC6262"/>
    <w:rsid w:val="00BC6530"/>
    <w:rsid w:val="00BC722E"/>
    <w:rsid w:val="00BC7824"/>
    <w:rsid w:val="00BC7F75"/>
    <w:rsid w:val="00BD0435"/>
    <w:rsid w:val="00BD079A"/>
    <w:rsid w:val="00BD0A35"/>
    <w:rsid w:val="00BD0D27"/>
    <w:rsid w:val="00BD16FD"/>
    <w:rsid w:val="00BD2313"/>
    <w:rsid w:val="00BD2669"/>
    <w:rsid w:val="00BD3CF3"/>
    <w:rsid w:val="00BD4684"/>
    <w:rsid w:val="00BD4A3A"/>
    <w:rsid w:val="00BD4FA4"/>
    <w:rsid w:val="00BD4FC3"/>
    <w:rsid w:val="00BD5BC9"/>
    <w:rsid w:val="00BD609C"/>
    <w:rsid w:val="00BE028D"/>
    <w:rsid w:val="00BE1257"/>
    <w:rsid w:val="00BE1315"/>
    <w:rsid w:val="00BE17E7"/>
    <w:rsid w:val="00BE189A"/>
    <w:rsid w:val="00BE1D8E"/>
    <w:rsid w:val="00BE1E80"/>
    <w:rsid w:val="00BE21A8"/>
    <w:rsid w:val="00BE2D1F"/>
    <w:rsid w:val="00BE3617"/>
    <w:rsid w:val="00BE4506"/>
    <w:rsid w:val="00BE52DD"/>
    <w:rsid w:val="00BE5DE8"/>
    <w:rsid w:val="00BE5F09"/>
    <w:rsid w:val="00BE5FA7"/>
    <w:rsid w:val="00BE67BE"/>
    <w:rsid w:val="00BE74D5"/>
    <w:rsid w:val="00BE7C88"/>
    <w:rsid w:val="00BE7CC9"/>
    <w:rsid w:val="00BE7F08"/>
    <w:rsid w:val="00BF0124"/>
    <w:rsid w:val="00BF0394"/>
    <w:rsid w:val="00BF03D5"/>
    <w:rsid w:val="00BF03FB"/>
    <w:rsid w:val="00BF0871"/>
    <w:rsid w:val="00BF2854"/>
    <w:rsid w:val="00BF2A4E"/>
    <w:rsid w:val="00BF3773"/>
    <w:rsid w:val="00BF4814"/>
    <w:rsid w:val="00BF540F"/>
    <w:rsid w:val="00BF697B"/>
    <w:rsid w:val="00BF773D"/>
    <w:rsid w:val="00BF78D0"/>
    <w:rsid w:val="00C007FE"/>
    <w:rsid w:val="00C00848"/>
    <w:rsid w:val="00C008B8"/>
    <w:rsid w:val="00C01532"/>
    <w:rsid w:val="00C02E80"/>
    <w:rsid w:val="00C04E11"/>
    <w:rsid w:val="00C04E81"/>
    <w:rsid w:val="00C057A2"/>
    <w:rsid w:val="00C06016"/>
    <w:rsid w:val="00C06C22"/>
    <w:rsid w:val="00C0791E"/>
    <w:rsid w:val="00C10A66"/>
    <w:rsid w:val="00C10AA4"/>
    <w:rsid w:val="00C10B5F"/>
    <w:rsid w:val="00C1155C"/>
    <w:rsid w:val="00C115A5"/>
    <w:rsid w:val="00C122C4"/>
    <w:rsid w:val="00C127C2"/>
    <w:rsid w:val="00C13FBE"/>
    <w:rsid w:val="00C146FA"/>
    <w:rsid w:val="00C1489F"/>
    <w:rsid w:val="00C14981"/>
    <w:rsid w:val="00C14994"/>
    <w:rsid w:val="00C1522C"/>
    <w:rsid w:val="00C1667D"/>
    <w:rsid w:val="00C1719A"/>
    <w:rsid w:val="00C17AE0"/>
    <w:rsid w:val="00C20276"/>
    <w:rsid w:val="00C2039C"/>
    <w:rsid w:val="00C20D33"/>
    <w:rsid w:val="00C210A4"/>
    <w:rsid w:val="00C21D2B"/>
    <w:rsid w:val="00C2260B"/>
    <w:rsid w:val="00C23F3D"/>
    <w:rsid w:val="00C25ABC"/>
    <w:rsid w:val="00C31DCB"/>
    <w:rsid w:val="00C327DA"/>
    <w:rsid w:val="00C35072"/>
    <w:rsid w:val="00C353B1"/>
    <w:rsid w:val="00C35CAA"/>
    <w:rsid w:val="00C3600E"/>
    <w:rsid w:val="00C3632B"/>
    <w:rsid w:val="00C37139"/>
    <w:rsid w:val="00C3738E"/>
    <w:rsid w:val="00C377D1"/>
    <w:rsid w:val="00C3792D"/>
    <w:rsid w:val="00C40842"/>
    <w:rsid w:val="00C419A4"/>
    <w:rsid w:val="00C42B84"/>
    <w:rsid w:val="00C43982"/>
    <w:rsid w:val="00C4539E"/>
    <w:rsid w:val="00C45B12"/>
    <w:rsid w:val="00C461F0"/>
    <w:rsid w:val="00C46238"/>
    <w:rsid w:val="00C4629A"/>
    <w:rsid w:val="00C46742"/>
    <w:rsid w:val="00C46B92"/>
    <w:rsid w:val="00C47430"/>
    <w:rsid w:val="00C475E7"/>
    <w:rsid w:val="00C47975"/>
    <w:rsid w:val="00C47E51"/>
    <w:rsid w:val="00C50407"/>
    <w:rsid w:val="00C51C88"/>
    <w:rsid w:val="00C51E70"/>
    <w:rsid w:val="00C523E3"/>
    <w:rsid w:val="00C5285D"/>
    <w:rsid w:val="00C538E7"/>
    <w:rsid w:val="00C5457C"/>
    <w:rsid w:val="00C54697"/>
    <w:rsid w:val="00C55159"/>
    <w:rsid w:val="00C553A1"/>
    <w:rsid w:val="00C56157"/>
    <w:rsid w:val="00C563EB"/>
    <w:rsid w:val="00C57381"/>
    <w:rsid w:val="00C5757D"/>
    <w:rsid w:val="00C616CE"/>
    <w:rsid w:val="00C62569"/>
    <w:rsid w:val="00C62C0E"/>
    <w:rsid w:val="00C65112"/>
    <w:rsid w:val="00C652D9"/>
    <w:rsid w:val="00C660D9"/>
    <w:rsid w:val="00C66265"/>
    <w:rsid w:val="00C66B79"/>
    <w:rsid w:val="00C66FA2"/>
    <w:rsid w:val="00C67752"/>
    <w:rsid w:val="00C67C0B"/>
    <w:rsid w:val="00C67D86"/>
    <w:rsid w:val="00C7195D"/>
    <w:rsid w:val="00C71DFF"/>
    <w:rsid w:val="00C71EAE"/>
    <w:rsid w:val="00C7201F"/>
    <w:rsid w:val="00C722ED"/>
    <w:rsid w:val="00C73BA8"/>
    <w:rsid w:val="00C73F88"/>
    <w:rsid w:val="00C74267"/>
    <w:rsid w:val="00C74A08"/>
    <w:rsid w:val="00C7574F"/>
    <w:rsid w:val="00C761ED"/>
    <w:rsid w:val="00C77241"/>
    <w:rsid w:val="00C77586"/>
    <w:rsid w:val="00C77AB4"/>
    <w:rsid w:val="00C80153"/>
    <w:rsid w:val="00C810A4"/>
    <w:rsid w:val="00C81442"/>
    <w:rsid w:val="00C81694"/>
    <w:rsid w:val="00C8196C"/>
    <w:rsid w:val="00C81F2C"/>
    <w:rsid w:val="00C82BD3"/>
    <w:rsid w:val="00C841F1"/>
    <w:rsid w:val="00C85598"/>
    <w:rsid w:val="00C8598F"/>
    <w:rsid w:val="00C860F3"/>
    <w:rsid w:val="00C86BB5"/>
    <w:rsid w:val="00C86D73"/>
    <w:rsid w:val="00C87115"/>
    <w:rsid w:val="00C878D5"/>
    <w:rsid w:val="00C9033B"/>
    <w:rsid w:val="00C90A09"/>
    <w:rsid w:val="00C913A1"/>
    <w:rsid w:val="00C91F0A"/>
    <w:rsid w:val="00C93539"/>
    <w:rsid w:val="00C95648"/>
    <w:rsid w:val="00C95BDA"/>
    <w:rsid w:val="00CA18AE"/>
    <w:rsid w:val="00CA20E0"/>
    <w:rsid w:val="00CA2F7D"/>
    <w:rsid w:val="00CA32F8"/>
    <w:rsid w:val="00CA3CAA"/>
    <w:rsid w:val="00CA4053"/>
    <w:rsid w:val="00CA431C"/>
    <w:rsid w:val="00CA4C66"/>
    <w:rsid w:val="00CA5E08"/>
    <w:rsid w:val="00CA5FD6"/>
    <w:rsid w:val="00CA76CD"/>
    <w:rsid w:val="00CA78FD"/>
    <w:rsid w:val="00CB16C8"/>
    <w:rsid w:val="00CB19BA"/>
    <w:rsid w:val="00CB2706"/>
    <w:rsid w:val="00CB3F5F"/>
    <w:rsid w:val="00CB42AC"/>
    <w:rsid w:val="00CB56BA"/>
    <w:rsid w:val="00CB5B76"/>
    <w:rsid w:val="00CB5FAB"/>
    <w:rsid w:val="00CB6076"/>
    <w:rsid w:val="00CB66D8"/>
    <w:rsid w:val="00CB6753"/>
    <w:rsid w:val="00CB725C"/>
    <w:rsid w:val="00CB7606"/>
    <w:rsid w:val="00CC083E"/>
    <w:rsid w:val="00CC0935"/>
    <w:rsid w:val="00CC0B7C"/>
    <w:rsid w:val="00CC1624"/>
    <w:rsid w:val="00CC18DD"/>
    <w:rsid w:val="00CC4609"/>
    <w:rsid w:val="00CC5351"/>
    <w:rsid w:val="00CC58F6"/>
    <w:rsid w:val="00CC6A99"/>
    <w:rsid w:val="00CC70CB"/>
    <w:rsid w:val="00CD0676"/>
    <w:rsid w:val="00CD0FAB"/>
    <w:rsid w:val="00CD11B4"/>
    <w:rsid w:val="00CD140E"/>
    <w:rsid w:val="00CD227F"/>
    <w:rsid w:val="00CD2A30"/>
    <w:rsid w:val="00CD359C"/>
    <w:rsid w:val="00CD3920"/>
    <w:rsid w:val="00CD3A6A"/>
    <w:rsid w:val="00CD4149"/>
    <w:rsid w:val="00CD4FA6"/>
    <w:rsid w:val="00CD63BB"/>
    <w:rsid w:val="00CD7CA4"/>
    <w:rsid w:val="00CD7D2C"/>
    <w:rsid w:val="00CE06FC"/>
    <w:rsid w:val="00CE080D"/>
    <w:rsid w:val="00CE2F14"/>
    <w:rsid w:val="00CE378A"/>
    <w:rsid w:val="00CE430F"/>
    <w:rsid w:val="00CE4D7F"/>
    <w:rsid w:val="00CE4E1D"/>
    <w:rsid w:val="00CE5515"/>
    <w:rsid w:val="00CE5DB2"/>
    <w:rsid w:val="00CE5F85"/>
    <w:rsid w:val="00CE770F"/>
    <w:rsid w:val="00CE7856"/>
    <w:rsid w:val="00CF059D"/>
    <w:rsid w:val="00CF069E"/>
    <w:rsid w:val="00CF10DF"/>
    <w:rsid w:val="00CF23DF"/>
    <w:rsid w:val="00CF26FA"/>
    <w:rsid w:val="00CF414F"/>
    <w:rsid w:val="00CF47A2"/>
    <w:rsid w:val="00CF4DDE"/>
    <w:rsid w:val="00CF76EF"/>
    <w:rsid w:val="00CF7F35"/>
    <w:rsid w:val="00D00AA3"/>
    <w:rsid w:val="00D00D39"/>
    <w:rsid w:val="00D00DEE"/>
    <w:rsid w:val="00D01B14"/>
    <w:rsid w:val="00D029EB"/>
    <w:rsid w:val="00D02B9C"/>
    <w:rsid w:val="00D037A7"/>
    <w:rsid w:val="00D0504E"/>
    <w:rsid w:val="00D052EF"/>
    <w:rsid w:val="00D05617"/>
    <w:rsid w:val="00D05791"/>
    <w:rsid w:val="00D0603D"/>
    <w:rsid w:val="00D060EC"/>
    <w:rsid w:val="00D06516"/>
    <w:rsid w:val="00D07310"/>
    <w:rsid w:val="00D07864"/>
    <w:rsid w:val="00D07F73"/>
    <w:rsid w:val="00D10819"/>
    <w:rsid w:val="00D110B8"/>
    <w:rsid w:val="00D11E56"/>
    <w:rsid w:val="00D1211C"/>
    <w:rsid w:val="00D136B4"/>
    <w:rsid w:val="00D139C3"/>
    <w:rsid w:val="00D14844"/>
    <w:rsid w:val="00D15E26"/>
    <w:rsid w:val="00D17B3B"/>
    <w:rsid w:val="00D17C4A"/>
    <w:rsid w:val="00D2005E"/>
    <w:rsid w:val="00D2041C"/>
    <w:rsid w:val="00D21C35"/>
    <w:rsid w:val="00D22C61"/>
    <w:rsid w:val="00D22D3B"/>
    <w:rsid w:val="00D23027"/>
    <w:rsid w:val="00D23672"/>
    <w:rsid w:val="00D2522F"/>
    <w:rsid w:val="00D25ADE"/>
    <w:rsid w:val="00D25DE0"/>
    <w:rsid w:val="00D26E85"/>
    <w:rsid w:val="00D273BD"/>
    <w:rsid w:val="00D27F8E"/>
    <w:rsid w:val="00D27F92"/>
    <w:rsid w:val="00D307B3"/>
    <w:rsid w:val="00D31228"/>
    <w:rsid w:val="00D31999"/>
    <w:rsid w:val="00D324E4"/>
    <w:rsid w:val="00D32534"/>
    <w:rsid w:val="00D32A6C"/>
    <w:rsid w:val="00D33D70"/>
    <w:rsid w:val="00D33FDA"/>
    <w:rsid w:val="00D34640"/>
    <w:rsid w:val="00D34D8F"/>
    <w:rsid w:val="00D34EEA"/>
    <w:rsid w:val="00D367EE"/>
    <w:rsid w:val="00D37363"/>
    <w:rsid w:val="00D37402"/>
    <w:rsid w:val="00D40682"/>
    <w:rsid w:val="00D416D9"/>
    <w:rsid w:val="00D41F8A"/>
    <w:rsid w:val="00D42EAA"/>
    <w:rsid w:val="00D43297"/>
    <w:rsid w:val="00D44642"/>
    <w:rsid w:val="00D44BDE"/>
    <w:rsid w:val="00D44DB6"/>
    <w:rsid w:val="00D45107"/>
    <w:rsid w:val="00D45A17"/>
    <w:rsid w:val="00D463D6"/>
    <w:rsid w:val="00D46782"/>
    <w:rsid w:val="00D50119"/>
    <w:rsid w:val="00D50345"/>
    <w:rsid w:val="00D50ACD"/>
    <w:rsid w:val="00D512E6"/>
    <w:rsid w:val="00D5142B"/>
    <w:rsid w:val="00D52C93"/>
    <w:rsid w:val="00D53573"/>
    <w:rsid w:val="00D5538A"/>
    <w:rsid w:val="00D55C6B"/>
    <w:rsid w:val="00D55CEB"/>
    <w:rsid w:val="00D56976"/>
    <w:rsid w:val="00D56CE5"/>
    <w:rsid w:val="00D5751E"/>
    <w:rsid w:val="00D57E26"/>
    <w:rsid w:val="00D57E90"/>
    <w:rsid w:val="00D6203A"/>
    <w:rsid w:val="00D636FB"/>
    <w:rsid w:val="00D6624D"/>
    <w:rsid w:val="00D70E58"/>
    <w:rsid w:val="00D71085"/>
    <w:rsid w:val="00D71747"/>
    <w:rsid w:val="00D72859"/>
    <w:rsid w:val="00D73130"/>
    <w:rsid w:val="00D748BE"/>
    <w:rsid w:val="00D74993"/>
    <w:rsid w:val="00D74A98"/>
    <w:rsid w:val="00D75C91"/>
    <w:rsid w:val="00D75F21"/>
    <w:rsid w:val="00D763C4"/>
    <w:rsid w:val="00D77847"/>
    <w:rsid w:val="00D77E62"/>
    <w:rsid w:val="00D8004F"/>
    <w:rsid w:val="00D8031E"/>
    <w:rsid w:val="00D80DE9"/>
    <w:rsid w:val="00D81EEC"/>
    <w:rsid w:val="00D82A43"/>
    <w:rsid w:val="00D832CC"/>
    <w:rsid w:val="00D83514"/>
    <w:rsid w:val="00D835BB"/>
    <w:rsid w:val="00D85542"/>
    <w:rsid w:val="00D85B81"/>
    <w:rsid w:val="00D85E95"/>
    <w:rsid w:val="00D85ED1"/>
    <w:rsid w:val="00D903ED"/>
    <w:rsid w:val="00D908F9"/>
    <w:rsid w:val="00D92717"/>
    <w:rsid w:val="00D937CC"/>
    <w:rsid w:val="00D93DB4"/>
    <w:rsid w:val="00D962A5"/>
    <w:rsid w:val="00D9635F"/>
    <w:rsid w:val="00D96F69"/>
    <w:rsid w:val="00D97319"/>
    <w:rsid w:val="00D97E6F"/>
    <w:rsid w:val="00DA0558"/>
    <w:rsid w:val="00DA0795"/>
    <w:rsid w:val="00DA07A4"/>
    <w:rsid w:val="00DA0CD5"/>
    <w:rsid w:val="00DA134B"/>
    <w:rsid w:val="00DA13F6"/>
    <w:rsid w:val="00DA18C9"/>
    <w:rsid w:val="00DA1C13"/>
    <w:rsid w:val="00DA25BC"/>
    <w:rsid w:val="00DA264B"/>
    <w:rsid w:val="00DA35AB"/>
    <w:rsid w:val="00DA4727"/>
    <w:rsid w:val="00DA541F"/>
    <w:rsid w:val="00DA5465"/>
    <w:rsid w:val="00DA7A3E"/>
    <w:rsid w:val="00DA7B5D"/>
    <w:rsid w:val="00DB08AB"/>
    <w:rsid w:val="00DB0FCC"/>
    <w:rsid w:val="00DB2242"/>
    <w:rsid w:val="00DB23A5"/>
    <w:rsid w:val="00DB2430"/>
    <w:rsid w:val="00DB2B91"/>
    <w:rsid w:val="00DB3CF9"/>
    <w:rsid w:val="00DB3D44"/>
    <w:rsid w:val="00DB4AA2"/>
    <w:rsid w:val="00DB5202"/>
    <w:rsid w:val="00DB54C0"/>
    <w:rsid w:val="00DB577F"/>
    <w:rsid w:val="00DB5ABA"/>
    <w:rsid w:val="00DB6B5B"/>
    <w:rsid w:val="00DB6EE4"/>
    <w:rsid w:val="00DB6F53"/>
    <w:rsid w:val="00DB7D15"/>
    <w:rsid w:val="00DC150D"/>
    <w:rsid w:val="00DC181F"/>
    <w:rsid w:val="00DC2902"/>
    <w:rsid w:val="00DC47FE"/>
    <w:rsid w:val="00DC5C1D"/>
    <w:rsid w:val="00DC5FA6"/>
    <w:rsid w:val="00DC5FC2"/>
    <w:rsid w:val="00DC7211"/>
    <w:rsid w:val="00DC7531"/>
    <w:rsid w:val="00DC7CDD"/>
    <w:rsid w:val="00DD2BB2"/>
    <w:rsid w:val="00DD4398"/>
    <w:rsid w:val="00DD4B61"/>
    <w:rsid w:val="00DD4F5D"/>
    <w:rsid w:val="00DD5E24"/>
    <w:rsid w:val="00DD690C"/>
    <w:rsid w:val="00DD73E1"/>
    <w:rsid w:val="00DD76EF"/>
    <w:rsid w:val="00DE0244"/>
    <w:rsid w:val="00DE0832"/>
    <w:rsid w:val="00DE128B"/>
    <w:rsid w:val="00DE12F9"/>
    <w:rsid w:val="00DE14B2"/>
    <w:rsid w:val="00DE18D8"/>
    <w:rsid w:val="00DE1C3B"/>
    <w:rsid w:val="00DE1FA2"/>
    <w:rsid w:val="00DE3BFD"/>
    <w:rsid w:val="00DE428B"/>
    <w:rsid w:val="00DE42D6"/>
    <w:rsid w:val="00DE4379"/>
    <w:rsid w:val="00DE502D"/>
    <w:rsid w:val="00DE5852"/>
    <w:rsid w:val="00DE6DC4"/>
    <w:rsid w:val="00DE76C2"/>
    <w:rsid w:val="00DF1A4D"/>
    <w:rsid w:val="00DF27A9"/>
    <w:rsid w:val="00DF373B"/>
    <w:rsid w:val="00DF3856"/>
    <w:rsid w:val="00DF38CA"/>
    <w:rsid w:val="00DF450D"/>
    <w:rsid w:val="00DF4A7A"/>
    <w:rsid w:val="00DF56D4"/>
    <w:rsid w:val="00DF58E7"/>
    <w:rsid w:val="00DF5A14"/>
    <w:rsid w:val="00DF607C"/>
    <w:rsid w:val="00DF6694"/>
    <w:rsid w:val="00DF6E30"/>
    <w:rsid w:val="00DF7A4D"/>
    <w:rsid w:val="00E0041C"/>
    <w:rsid w:val="00E00447"/>
    <w:rsid w:val="00E00BCD"/>
    <w:rsid w:val="00E0175F"/>
    <w:rsid w:val="00E023AD"/>
    <w:rsid w:val="00E02453"/>
    <w:rsid w:val="00E04436"/>
    <w:rsid w:val="00E0467B"/>
    <w:rsid w:val="00E055CB"/>
    <w:rsid w:val="00E114CA"/>
    <w:rsid w:val="00E1159C"/>
    <w:rsid w:val="00E11876"/>
    <w:rsid w:val="00E12786"/>
    <w:rsid w:val="00E139E5"/>
    <w:rsid w:val="00E13DDD"/>
    <w:rsid w:val="00E1410B"/>
    <w:rsid w:val="00E14B25"/>
    <w:rsid w:val="00E1531D"/>
    <w:rsid w:val="00E16A49"/>
    <w:rsid w:val="00E17C78"/>
    <w:rsid w:val="00E17CC6"/>
    <w:rsid w:val="00E215CF"/>
    <w:rsid w:val="00E22B08"/>
    <w:rsid w:val="00E23402"/>
    <w:rsid w:val="00E23CBB"/>
    <w:rsid w:val="00E2498F"/>
    <w:rsid w:val="00E24C55"/>
    <w:rsid w:val="00E2522A"/>
    <w:rsid w:val="00E25B71"/>
    <w:rsid w:val="00E26F1D"/>
    <w:rsid w:val="00E27085"/>
    <w:rsid w:val="00E271A7"/>
    <w:rsid w:val="00E34666"/>
    <w:rsid w:val="00E3514E"/>
    <w:rsid w:val="00E35843"/>
    <w:rsid w:val="00E360BC"/>
    <w:rsid w:val="00E37546"/>
    <w:rsid w:val="00E37B59"/>
    <w:rsid w:val="00E420C0"/>
    <w:rsid w:val="00E424E6"/>
    <w:rsid w:val="00E42F52"/>
    <w:rsid w:val="00E430F9"/>
    <w:rsid w:val="00E4328C"/>
    <w:rsid w:val="00E43849"/>
    <w:rsid w:val="00E44493"/>
    <w:rsid w:val="00E4489D"/>
    <w:rsid w:val="00E4753D"/>
    <w:rsid w:val="00E47681"/>
    <w:rsid w:val="00E47FF5"/>
    <w:rsid w:val="00E50346"/>
    <w:rsid w:val="00E510BB"/>
    <w:rsid w:val="00E5159D"/>
    <w:rsid w:val="00E52216"/>
    <w:rsid w:val="00E52228"/>
    <w:rsid w:val="00E524C9"/>
    <w:rsid w:val="00E53438"/>
    <w:rsid w:val="00E5493A"/>
    <w:rsid w:val="00E55EC6"/>
    <w:rsid w:val="00E56771"/>
    <w:rsid w:val="00E569B7"/>
    <w:rsid w:val="00E57194"/>
    <w:rsid w:val="00E578F7"/>
    <w:rsid w:val="00E61012"/>
    <w:rsid w:val="00E614AF"/>
    <w:rsid w:val="00E61763"/>
    <w:rsid w:val="00E61F54"/>
    <w:rsid w:val="00E626FA"/>
    <w:rsid w:val="00E63497"/>
    <w:rsid w:val="00E637E8"/>
    <w:rsid w:val="00E65842"/>
    <w:rsid w:val="00E6647A"/>
    <w:rsid w:val="00E6662A"/>
    <w:rsid w:val="00E67D30"/>
    <w:rsid w:val="00E700CC"/>
    <w:rsid w:val="00E7021B"/>
    <w:rsid w:val="00E70B41"/>
    <w:rsid w:val="00E70C30"/>
    <w:rsid w:val="00E7221C"/>
    <w:rsid w:val="00E723A2"/>
    <w:rsid w:val="00E725FC"/>
    <w:rsid w:val="00E726AD"/>
    <w:rsid w:val="00E729F7"/>
    <w:rsid w:val="00E734B8"/>
    <w:rsid w:val="00E73535"/>
    <w:rsid w:val="00E7369D"/>
    <w:rsid w:val="00E7371F"/>
    <w:rsid w:val="00E73E1C"/>
    <w:rsid w:val="00E73E69"/>
    <w:rsid w:val="00E7585C"/>
    <w:rsid w:val="00E7591C"/>
    <w:rsid w:val="00E75B42"/>
    <w:rsid w:val="00E76958"/>
    <w:rsid w:val="00E76EAD"/>
    <w:rsid w:val="00E774FD"/>
    <w:rsid w:val="00E778EB"/>
    <w:rsid w:val="00E804FB"/>
    <w:rsid w:val="00E81A53"/>
    <w:rsid w:val="00E82E8E"/>
    <w:rsid w:val="00E83DCC"/>
    <w:rsid w:val="00E84484"/>
    <w:rsid w:val="00E850DC"/>
    <w:rsid w:val="00E857A9"/>
    <w:rsid w:val="00E8589A"/>
    <w:rsid w:val="00E86981"/>
    <w:rsid w:val="00E87E09"/>
    <w:rsid w:val="00E9014C"/>
    <w:rsid w:val="00E90737"/>
    <w:rsid w:val="00E91528"/>
    <w:rsid w:val="00E92F55"/>
    <w:rsid w:val="00E937FA"/>
    <w:rsid w:val="00E93D11"/>
    <w:rsid w:val="00E93DE9"/>
    <w:rsid w:val="00E95A46"/>
    <w:rsid w:val="00E961C0"/>
    <w:rsid w:val="00E96B4F"/>
    <w:rsid w:val="00E96B57"/>
    <w:rsid w:val="00E974EF"/>
    <w:rsid w:val="00E975D5"/>
    <w:rsid w:val="00EA07CD"/>
    <w:rsid w:val="00EA07EB"/>
    <w:rsid w:val="00EA08AC"/>
    <w:rsid w:val="00EA1E53"/>
    <w:rsid w:val="00EA1FBF"/>
    <w:rsid w:val="00EA36C6"/>
    <w:rsid w:val="00EA3C1B"/>
    <w:rsid w:val="00EA538E"/>
    <w:rsid w:val="00EA5CE2"/>
    <w:rsid w:val="00EA60BC"/>
    <w:rsid w:val="00EA6875"/>
    <w:rsid w:val="00EA6B03"/>
    <w:rsid w:val="00EA7212"/>
    <w:rsid w:val="00EB01C2"/>
    <w:rsid w:val="00EB0439"/>
    <w:rsid w:val="00EB04C5"/>
    <w:rsid w:val="00EB0513"/>
    <w:rsid w:val="00EB15E1"/>
    <w:rsid w:val="00EB1885"/>
    <w:rsid w:val="00EB31CC"/>
    <w:rsid w:val="00EB4848"/>
    <w:rsid w:val="00EB637D"/>
    <w:rsid w:val="00EB72CC"/>
    <w:rsid w:val="00EC09DB"/>
    <w:rsid w:val="00EC101D"/>
    <w:rsid w:val="00EC30F9"/>
    <w:rsid w:val="00EC3176"/>
    <w:rsid w:val="00EC371B"/>
    <w:rsid w:val="00EC4559"/>
    <w:rsid w:val="00EC590B"/>
    <w:rsid w:val="00EC6924"/>
    <w:rsid w:val="00EC6F3D"/>
    <w:rsid w:val="00ED1771"/>
    <w:rsid w:val="00ED335E"/>
    <w:rsid w:val="00ED36CC"/>
    <w:rsid w:val="00ED470A"/>
    <w:rsid w:val="00ED4AEF"/>
    <w:rsid w:val="00ED4B15"/>
    <w:rsid w:val="00ED4DA9"/>
    <w:rsid w:val="00ED5211"/>
    <w:rsid w:val="00ED5725"/>
    <w:rsid w:val="00ED5836"/>
    <w:rsid w:val="00ED61AC"/>
    <w:rsid w:val="00ED7031"/>
    <w:rsid w:val="00ED7162"/>
    <w:rsid w:val="00ED73D0"/>
    <w:rsid w:val="00ED776B"/>
    <w:rsid w:val="00EE0C4D"/>
    <w:rsid w:val="00EE0DE6"/>
    <w:rsid w:val="00EE12CB"/>
    <w:rsid w:val="00EE3060"/>
    <w:rsid w:val="00EE4315"/>
    <w:rsid w:val="00EE4942"/>
    <w:rsid w:val="00EE5D6B"/>
    <w:rsid w:val="00EE6904"/>
    <w:rsid w:val="00EE7378"/>
    <w:rsid w:val="00EE745A"/>
    <w:rsid w:val="00EE74E2"/>
    <w:rsid w:val="00EF07E0"/>
    <w:rsid w:val="00EF0EBC"/>
    <w:rsid w:val="00EF3D60"/>
    <w:rsid w:val="00EF4543"/>
    <w:rsid w:val="00EF4DFF"/>
    <w:rsid w:val="00EF6925"/>
    <w:rsid w:val="00EF6BB9"/>
    <w:rsid w:val="00EF6FF4"/>
    <w:rsid w:val="00F00822"/>
    <w:rsid w:val="00F00B1E"/>
    <w:rsid w:val="00F00F19"/>
    <w:rsid w:val="00F01042"/>
    <w:rsid w:val="00F012AE"/>
    <w:rsid w:val="00F023A0"/>
    <w:rsid w:val="00F02627"/>
    <w:rsid w:val="00F031D2"/>
    <w:rsid w:val="00F04859"/>
    <w:rsid w:val="00F0502E"/>
    <w:rsid w:val="00F0565F"/>
    <w:rsid w:val="00F0589F"/>
    <w:rsid w:val="00F0635E"/>
    <w:rsid w:val="00F079BD"/>
    <w:rsid w:val="00F10957"/>
    <w:rsid w:val="00F10C80"/>
    <w:rsid w:val="00F1109E"/>
    <w:rsid w:val="00F11B89"/>
    <w:rsid w:val="00F11DA7"/>
    <w:rsid w:val="00F120FB"/>
    <w:rsid w:val="00F12118"/>
    <w:rsid w:val="00F1273A"/>
    <w:rsid w:val="00F12EFE"/>
    <w:rsid w:val="00F1372B"/>
    <w:rsid w:val="00F13F93"/>
    <w:rsid w:val="00F1477F"/>
    <w:rsid w:val="00F1539B"/>
    <w:rsid w:val="00F15B00"/>
    <w:rsid w:val="00F1659A"/>
    <w:rsid w:val="00F16A38"/>
    <w:rsid w:val="00F16D58"/>
    <w:rsid w:val="00F170A8"/>
    <w:rsid w:val="00F17C44"/>
    <w:rsid w:val="00F2011B"/>
    <w:rsid w:val="00F20E33"/>
    <w:rsid w:val="00F21348"/>
    <w:rsid w:val="00F21672"/>
    <w:rsid w:val="00F2284D"/>
    <w:rsid w:val="00F228D8"/>
    <w:rsid w:val="00F232F2"/>
    <w:rsid w:val="00F2348A"/>
    <w:rsid w:val="00F23970"/>
    <w:rsid w:val="00F243EE"/>
    <w:rsid w:val="00F2665C"/>
    <w:rsid w:val="00F26ED3"/>
    <w:rsid w:val="00F275EE"/>
    <w:rsid w:val="00F30229"/>
    <w:rsid w:val="00F30599"/>
    <w:rsid w:val="00F309FC"/>
    <w:rsid w:val="00F30DE4"/>
    <w:rsid w:val="00F316D1"/>
    <w:rsid w:val="00F31D9C"/>
    <w:rsid w:val="00F32BA0"/>
    <w:rsid w:val="00F32FBB"/>
    <w:rsid w:val="00F32FEB"/>
    <w:rsid w:val="00F35ED1"/>
    <w:rsid w:val="00F368ED"/>
    <w:rsid w:val="00F370AB"/>
    <w:rsid w:val="00F370F2"/>
    <w:rsid w:val="00F37757"/>
    <w:rsid w:val="00F377D4"/>
    <w:rsid w:val="00F40253"/>
    <w:rsid w:val="00F4056B"/>
    <w:rsid w:val="00F406ED"/>
    <w:rsid w:val="00F4082D"/>
    <w:rsid w:val="00F41922"/>
    <w:rsid w:val="00F420E2"/>
    <w:rsid w:val="00F4212D"/>
    <w:rsid w:val="00F4254B"/>
    <w:rsid w:val="00F4416D"/>
    <w:rsid w:val="00F44CF1"/>
    <w:rsid w:val="00F455F6"/>
    <w:rsid w:val="00F4572E"/>
    <w:rsid w:val="00F458E8"/>
    <w:rsid w:val="00F45CC0"/>
    <w:rsid w:val="00F463CC"/>
    <w:rsid w:val="00F50327"/>
    <w:rsid w:val="00F5036C"/>
    <w:rsid w:val="00F51225"/>
    <w:rsid w:val="00F51395"/>
    <w:rsid w:val="00F522CF"/>
    <w:rsid w:val="00F53691"/>
    <w:rsid w:val="00F53D42"/>
    <w:rsid w:val="00F54BFE"/>
    <w:rsid w:val="00F55935"/>
    <w:rsid w:val="00F55D89"/>
    <w:rsid w:val="00F561D4"/>
    <w:rsid w:val="00F5639A"/>
    <w:rsid w:val="00F56C9E"/>
    <w:rsid w:val="00F56DFA"/>
    <w:rsid w:val="00F57000"/>
    <w:rsid w:val="00F57501"/>
    <w:rsid w:val="00F57838"/>
    <w:rsid w:val="00F6006B"/>
    <w:rsid w:val="00F606C3"/>
    <w:rsid w:val="00F60EE4"/>
    <w:rsid w:val="00F610E5"/>
    <w:rsid w:val="00F616E8"/>
    <w:rsid w:val="00F61E17"/>
    <w:rsid w:val="00F6233F"/>
    <w:rsid w:val="00F6263D"/>
    <w:rsid w:val="00F62673"/>
    <w:rsid w:val="00F6273C"/>
    <w:rsid w:val="00F62B0C"/>
    <w:rsid w:val="00F62B7A"/>
    <w:rsid w:val="00F6397D"/>
    <w:rsid w:val="00F63B2C"/>
    <w:rsid w:val="00F6480C"/>
    <w:rsid w:val="00F6682A"/>
    <w:rsid w:val="00F670E4"/>
    <w:rsid w:val="00F71122"/>
    <w:rsid w:val="00F716D7"/>
    <w:rsid w:val="00F71D40"/>
    <w:rsid w:val="00F7242F"/>
    <w:rsid w:val="00F727B7"/>
    <w:rsid w:val="00F7293E"/>
    <w:rsid w:val="00F75197"/>
    <w:rsid w:val="00F763AC"/>
    <w:rsid w:val="00F76574"/>
    <w:rsid w:val="00F76650"/>
    <w:rsid w:val="00F76747"/>
    <w:rsid w:val="00F76A44"/>
    <w:rsid w:val="00F773BD"/>
    <w:rsid w:val="00F777FE"/>
    <w:rsid w:val="00F779F5"/>
    <w:rsid w:val="00F8035C"/>
    <w:rsid w:val="00F8122A"/>
    <w:rsid w:val="00F81464"/>
    <w:rsid w:val="00F830C5"/>
    <w:rsid w:val="00F83636"/>
    <w:rsid w:val="00F84033"/>
    <w:rsid w:val="00F847A0"/>
    <w:rsid w:val="00F84D18"/>
    <w:rsid w:val="00F85AC7"/>
    <w:rsid w:val="00F86B99"/>
    <w:rsid w:val="00F87323"/>
    <w:rsid w:val="00F87404"/>
    <w:rsid w:val="00F90403"/>
    <w:rsid w:val="00F9105C"/>
    <w:rsid w:val="00F917B5"/>
    <w:rsid w:val="00F9187B"/>
    <w:rsid w:val="00F91DA5"/>
    <w:rsid w:val="00F92385"/>
    <w:rsid w:val="00F93247"/>
    <w:rsid w:val="00F93BC3"/>
    <w:rsid w:val="00F93C1E"/>
    <w:rsid w:val="00F94E74"/>
    <w:rsid w:val="00F96663"/>
    <w:rsid w:val="00F96972"/>
    <w:rsid w:val="00F96C69"/>
    <w:rsid w:val="00F973E4"/>
    <w:rsid w:val="00F97BA3"/>
    <w:rsid w:val="00FA0DE6"/>
    <w:rsid w:val="00FA1B4F"/>
    <w:rsid w:val="00FA2669"/>
    <w:rsid w:val="00FA3346"/>
    <w:rsid w:val="00FA4ED6"/>
    <w:rsid w:val="00FA5E12"/>
    <w:rsid w:val="00FA6A1C"/>
    <w:rsid w:val="00FA7301"/>
    <w:rsid w:val="00FA7385"/>
    <w:rsid w:val="00FA77B3"/>
    <w:rsid w:val="00FB0113"/>
    <w:rsid w:val="00FB0118"/>
    <w:rsid w:val="00FB10AA"/>
    <w:rsid w:val="00FB2BDE"/>
    <w:rsid w:val="00FB3CB1"/>
    <w:rsid w:val="00FB3D71"/>
    <w:rsid w:val="00FB3E6F"/>
    <w:rsid w:val="00FB3FF5"/>
    <w:rsid w:val="00FB42E0"/>
    <w:rsid w:val="00FB431A"/>
    <w:rsid w:val="00FB48F5"/>
    <w:rsid w:val="00FB672F"/>
    <w:rsid w:val="00FB7C2F"/>
    <w:rsid w:val="00FC0FAE"/>
    <w:rsid w:val="00FC1674"/>
    <w:rsid w:val="00FC1AC8"/>
    <w:rsid w:val="00FC2391"/>
    <w:rsid w:val="00FC2464"/>
    <w:rsid w:val="00FC3320"/>
    <w:rsid w:val="00FC3660"/>
    <w:rsid w:val="00FC47F9"/>
    <w:rsid w:val="00FC47FF"/>
    <w:rsid w:val="00FC4835"/>
    <w:rsid w:val="00FC4F24"/>
    <w:rsid w:val="00FC5A5A"/>
    <w:rsid w:val="00FC5A7D"/>
    <w:rsid w:val="00FC7523"/>
    <w:rsid w:val="00FD02D3"/>
    <w:rsid w:val="00FD166E"/>
    <w:rsid w:val="00FD29A3"/>
    <w:rsid w:val="00FD4943"/>
    <w:rsid w:val="00FD6AC3"/>
    <w:rsid w:val="00FD6D71"/>
    <w:rsid w:val="00FD7378"/>
    <w:rsid w:val="00FD7477"/>
    <w:rsid w:val="00FD7D15"/>
    <w:rsid w:val="00FE0CF8"/>
    <w:rsid w:val="00FE0D46"/>
    <w:rsid w:val="00FE10AB"/>
    <w:rsid w:val="00FE1809"/>
    <w:rsid w:val="00FE19CA"/>
    <w:rsid w:val="00FE2351"/>
    <w:rsid w:val="00FE2652"/>
    <w:rsid w:val="00FE2FEF"/>
    <w:rsid w:val="00FE337D"/>
    <w:rsid w:val="00FE4A2A"/>
    <w:rsid w:val="00FE4F68"/>
    <w:rsid w:val="00FE52FF"/>
    <w:rsid w:val="00FE5580"/>
    <w:rsid w:val="00FE6B7D"/>
    <w:rsid w:val="00FE717B"/>
    <w:rsid w:val="00FE7315"/>
    <w:rsid w:val="00FE7B39"/>
    <w:rsid w:val="00FE7FC3"/>
    <w:rsid w:val="00FF00DD"/>
    <w:rsid w:val="00FF0478"/>
    <w:rsid w:val="00FF0D7F"/>
    <w:rsid w:val="00FF0FEB"/>
    <w:rsid w:val="00FF110C"/>
    <w:rsid w:val="00FF115F"/>
    <w:rsid w:val="00FF209B"/>
    <w:rsid w:val="00FF34EE"/>
    <w:rsid w:val="00FF3504"/>
    <w:rsid w:val="00FF470C"/>
    <w:rsid w:val="00FF515A"/>
    <w:rsid w:val="00FF521F"/>
    <w:rsid w:val="00FF5721"/>
    <w:rsid w:val="00FF58E3"/>
    <w:rsid w:val="00FF5B4D"/>
    <w:rsid w:val="00FF6E49"/>
    <w:rsid w:val="00FF6E66"/>
    <w:rsid w:val="00FF7639"/>
    <w:rsid w:val="00FF773A"/>
    <w:rsid w:val="00FF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EAA40"/>
  <w15:chartTrackingRefBased/>
  <w15:docId w15:val="{53EAD916-C9AB-43F0-9B82-5D8150A13B2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
      </w:numPr>
      <w:ind w:right="2160"/>
    </w:pPr>
    <w:rPr>
      <w:rFonts w:eastAsiaTheme="majorEastAsia" w:cstheme="majorBidi"/>
      <w:szCs w:val="32"/>
    </w:rPr>
  </w:style>
  <w:style w:type="paragraph" w:styleId="Heading2">
    <w:name w:val="heading 2"/>
    <w:basedOn w:val="Dummy"/>
    <w:next w:val="Standard"/>
    <w:link w:val="Heading2Char"/>
    <w:uiPriority w:val="4"/>
    <w:qFormat/>
    <w:rsid w:val="00304C31"/>
    <w:pPr>
      <w:numPr>
        <w:ilvl w:val="1"/>
        <w:numId w:val="1"/>
      </w:numPr>
      <w:ind w:right="2160"/>
      <w:outlineLvl w:val="1"/>
    </w:pPr>
  </w:style>
  <w:style w:type="paragraph" w:styleId="Heading3">
    <w:name w:val="heading 3"/>
    <w:basedOn w:val="Dummy"/>
    <w:next w:val="Standard"/>
    <w:link w:val="Heading3Char"/>
    <w:uiPriority w:val="4"/>
    <w:qFormat/>
    <w:rsid w:val="00AB1B4F"/>
    <w:pPr>
      <w:numPr>
        <w:ilvl w:val="2"/>
        <w:numId w:val="1"/>
      </w:numPr>
      <w:ind w:right="1728"/>
      <w:outlineLvl w:val="2"/>
    </w:pPr>
    <w:rPr>
      <w:rFonts w:eastAsiaTheme="majorEastAsia" w:cstheme="majorBidi"/>
      <w:szCs w:val="24"/>
    </w:rPr>
  </w:style>
  <w:style w:type="paragraph" w:styleId="Heading4">
    <w:name w:val="heading 4"/>
    <w:basedOn w:val="Dummy"/>
    <w:next w:val="Standard"/>
    <w:link w:val="Heading4Char"/>
    <w:uiPriority w:val="4"/>
    <w:rsid w:val="00440B16"/>
    <w:pPr>
      <w:numPr>
        <w:ilvl w:val="3"/>
        <w:numId w:val="1"/>
      </w:numPr>
      <w:ind w:right="72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8"/>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8"/>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F94E74"/>
    <w:pPr>
      <w:spacing w:line="240" w:lineRule="auto"/>
      <w:jc w:val="center"/>
    </w:pPr>
    <w:rPr>
      <w:rFonts w:ascii="Book Antiqua" w:eastAsiaTheme="majorEastAsia" w:hAnsi="Book Antiqua"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304C31"/>
    <w:rPr>
      <w:rFonts w:ascii="Arial" w:hAnsi="Arial" w:cs="Arial"/>
      <w:b/>
      <w:sz w:val="26"/>
      <w:szCs w:val="26"/>
    </w:rPr>
  </w:style>
  <w:style w:type="character" w:customStyle="1" w:styleId="Heading3Char">
    <w:name w:val="Heading 3 Char"/>
    <w:basedOn w:val="DefaultParagraphFont"/>
    <w:link w:val="Heading3"/>
    <w:uiPriority w:val="4"/>
    <w:rsid w:val="00AB1B4F"/>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440B16"/>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837A93"/>
    <w:pPr>
      <w:keepNext/>
      <w:spacing w:before="180" w:line="360" w:lineRule="auto"/>
      <w:outlineLvl w:val="0"/>
    </w:pPr>
    <w:rPr>
      <w:spacing w:val="120"/>
    </w:rPr>
  </w:style>
  <w:style w:type="paragraph" w:styleId="TOC2">
    <w:name w:val="toc 2"/>
    <w:basedOn w:val="Normal"/>
    <w:next w:val="Normal"/>
    <w:uiPriority w:val="39"/>
    <w:unhideWhenUsed/>
    <w:rsid w:val="00A671B8"/>
    <w:pPr>
      <w:spacing w:line="240" w:lineRule="auto"/>
      <w:ind w:left="1123" w:right="720" w:hanging="648"/>
    </w:pPr>
    <w:rPr>
      <w:rFonts w:eastAsiaTheme="minorEastAsia" w:cs="Times New Roman"/>
    </w:rPr>
  </w:style>
  <w:style w:type="paragraph" w:styleId="TOC1">
    <w:name w:val="toc 1"/>
    <w:basedOn w:val="Normal"/>
    <w:next w:val="Normal"/>
    <w:uiPriority w:val="39"/>
    <w:unhideWhenUsed/>
    <w:rsid w:val="00A671B8"/>
    <w:pPr>
      <w:spacing w:line="240" w:lineRule="auto"/>
      <w:ind w:left="475" w:right="720" w:hanging="475"/>
    </w:pPr>
    <w:rPr>
      <w:rFonts w:eastAsiaTheme="minorEastAsia" w:cs="Times New Roman"/>
    </w:rPr>
  </w:style>
  <w:style w:type="paragraph" w:styleId="TOC3">
    <w:name w:val="toc 3"/>
    <w:basedOn w:val="Normal"/>
    <w:next w:val="Normal"/>
    <w:uiPriority w:val="39"/>
    <w:unhideWhenUsed/>
    <w:rsid w:val="00A671B8"/>
    <w:pPr>
      <w:spacing w:line="240" w:lineRule="auto"/>
      <w:ind w:left="1987" w:right="720"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99"/>
    <w:rsid w:val="007657C1"/>
    <w:rPr>
      <w:rFonts w:ascii="Book Antiqua" w:hAnsi="Book Antiqua"/>
      <w:szCs w:val="20"/>
    </w:rPr>
  </w:style>
  <w:style w:type="character" w:styleId="FootnoteReference">
    <w:name w:val="footnote reference"/>
    <w:basedOn w:val="DefaultParagraphFont"/>
    <w:uiPriority w:val="99"/>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8"/>
      </w:numPr>
      <w:spacing w:after="120" w:line="240" w:lineRule="auto"/>
    </w:pPr>
  </w:style>
  <w:style w:type="paragraph" w:styleId="ListBullet">
    <w:name w:val="List Bullet"/>
    <w:basedOn w:val="Standard"/>
    <w:uiPriority w:val="4"/>
    <w:qFormat/>
    <w:rsid w:val="001F2819"/>
    <w:pPr>
      <w:numPr>
        <w:numId w:val="7"/>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A671B8"/>
    <w:pPr>
      <w:tabs>
        <w:tab w:val="left" w:pos="1728"/>
        <w:tab w:val="right" w:leader="dot" w:pos="9350"/>
      </w:tabs>
      <w:spacing w:line="240" w:lineRule="auto"/>
      <w:ind w:left="2995" w:right="720" w:hanging="1008"/>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8"/>
      </w:numPr>
      <w:spacing w:after="120" w:line="240" w:lineRule="auto"/>
    </w:pPr>
  </w:style>
  <w:style w:type="paragraph" w:styleId="ListParagraph">
    <w:name w:val="List Paragraph"/>
    <w:basedOn w:val="Normal"/>
    <w:uiPriority w:val="34"/>
    <w:qFormat/>
    <w:rsid w:val="00BA53E6"/>
    <w:pPr>
      <w:ind w:left="720"/>
      <w:contextualSpacing/>
    </w:pPr>
  </w:style>
  <w:style w:type="character" w:styleId="CommentReference">
    <w:name w:val="annotation reference"/>
    <w:basedOn w:val="DefaultParagraphFont"/>
    <w:uiPriority w:val="99"/>
    <w:semiHidden/>
    <w:unhideWhenUsed/>
    <w:rsid w:val="00450C6E"/>
    <w:rPr>
      <w:sz w:val="16"/>
      <w:szCs w:val="16"/>
    </w:rPr>
  </w:style>
  <w:style w:type="paragraph" w:styleId="CommentText">
    <w:name w:val="annotation text"/>
    <w:basedOn w:val="Normal"/>
    <w:link w:val="CommentTextChar"/>
    <w:uiPriority w:val="99"/>
    <w:unhideWhenUsed/>
    <w:rsid w:val="00450C6E"/>
    <w:pPr>
      <w:spacing w:line="240" w:lineRule="auto"/>
    </w:pPr>
    <w:rPr>
      <w:sz w:val="20"/>
      <w:szCs w:val="20"/>
    </w:rPr>
  </w:style>
  <w:style w:type="character" w:customStyle="1" w:styleId="CommentTextChar">
    <w:name w:val="Comment Text Char"/>
    <w:basedOn w:val="DefaultParagraphFont"/>
    <w:link w:val="CommentText"/>
    <w:uiPriority w:val="99"/>
    <w:rsid w:val="00450C6E"/>
    <w:rPr>
      <w:rFonts w:ascii="Book Antiqua" w:hAnsi="Book Antiqua"/>
      <w:sz w:val="20"/>
      <w:szCs w:val="20"/>
    </w:rPr>
  </w:style>
  <w:style w:type="character" w:styleId="UnresolvedMention">
    <w:name w:val="Unresolved Mention"/>
    <w:basedOn w:val="DefaultParagraphFont"/>
    <w:uiPriority w:val="99"/>
    <w:semiHidden/>
    <w:unhideWhenUsed/>
    <w:rsid w:val="00DE12F9"/>
    <w:rPr>
      <w:color w:val="605E5C"/>
      <w:shd w:val="clear" w:color="auto" w:fill="E1DFDD"/>
    </w:rPr>
  </w:style>
  <w:style w:type="paragraph" w:customStyle="1" w:styleId="BlockQuoteBullet1">
    <w:name w:val="BlockQuoteBullet1"/>
    <w:basedOn w:val="Normal"/>
    <w:qFormat/>
    <w:rsid w:val="00BF78D0"/>
    <w:pPr>
      <w:spacing w:after="120" w:line="240" w:lineRule="auto"/>
      <w:ind w:left="1080" w:right="1440" w:hanging="360"/>
    </w:pPr>
  </w:style>
  <w:style w:type="paragraph" w:customStyle="1" w:styleId="BlockQuoteH033">
    <w:name w:val="BlockQuoteH033"/>
    <w:basedOn w:val="Normal"/>
    <w:qFormat/>
    <w:rsid w:val="00AF4E3E"/>
    <w:pPr>
      <w:spacing w:after="120" w:line="240" w:lineRule="auto"/>
      <w:ind w:left="1195" w:right="1440" w:hanging="475"/>
    </w:pPr>
  </w:style>
  <w:style w:type="paragraph" w:customStyle="1" w:styleId="BlockQuoteH033subH033">
    <w:name w:val="BlockQuoteH033subH033"/>
    <w:basedOn w:val="Normal"/>
    <w:qFormat/>
    <w:rsid w:val="00170B59"/>
    <w:pPr>
      <w:spacing w:after="120" w:line="240" w:lineRule="auto"/>
      <w:ind w:left="1670" w:right="1440" w:hanging="475"/>
    </w:pPr>
  </w:style>
  <w:style w:type="paragraph" w:customStyle="1" w:styleId="BlockQuoteH033subH033subH025">
    <w:name w:val="BlockQuoteH033subH033subH025"/>
    <w:basedOn w:val="Normal"/>
    <w:qFormat/>
    <w:rsid w:val="00017499"/>
    <w:pPr>
      <w:spacing w:after="120" w:line="240" w:lineRule="auto"/>
      <w:ind w:left="2030" w:right="1440" w:hanging="360"/>
    </w:pPr>
  </w:style>
  <w:style w:type="paragraph" w:customStyle="1" w:styleId="BlockQuoteH025">
    <w:name w:val="BlockQuoteH025"/>
    <w:basedOn w:val="BlockQuoteH033"/>
    <w:qFormat/>
    <w:rsid w:val="00295AB1"/>
    <w:pPr>
      <w:ind w:left="1080" w:hanging="360"/>
    </w:pPr>
  </w:style>
  <w:style w:type="paragraph" w:customStyle="1" w:styleId="BlockQuoteBullet2">
    <w:name w:val="BlockQuoteBullet2"/>
    <w:basedOn w:val="BlockQuoteBullet1"/>
    <w:qFormat/>
    <w:rsid w:val="00B867AC"/>
    <w:pPr>
      <w:ind w:left="0" w:firstLine="0"/>
    </w:pPr>
  </w:style>
  <w:style w:type="paragraph" w:customStyle="1" w:styleId="BlockQuoteBullet3">
    <w:name w:val="BlockQuoteBullet3"/>
    <w:basedOn w:val="BlockQuoteBullet2"/>
    <w:qFormat/>
    <w:rsid w:val="00B867AC"/>
  </w:style>
  <w:style w:type="paragraph" w:styleId="Revision">
    <w:name w:val="Revision"/>
    <w:hidden/>
    <w:uiPriority w:val="99"/>
    <w:semiHidden/>
    <w:rsid w:val="000335CB"/>
    <w:pPr>
      <w:spacing w:after="0" w:line="240" w:lineRule="auto"/>
    </w:pPr>
    <w:rPr>
      <w:rFonts w:ascii="Book Antiqua" w:hAnsi="Book Antiqua"/>
      <w:sz w:val="26"/>
    </w:rPr>
  </w:style>
  <w:style w:type="paragraph" w:styleId="CommentSubject">
    <w:name w:val="annotation subject"/>
    <w:basedOn w:val="CommentText"/>
    <w:next w:val="CommentText"/>
    <w:link w:val="CommentSubjectChar"/>
    <w:uiPriority w:val="99"/>
    <w:semiHidden/>
    <w:unhideWhenUsed/>
    <w:rsid w:val="004F1E8E"/>
    <w:rPr>
      <w:b/>
      <w:bCs/>
    </w:rPr>
  </w:style>
  <w:style w:type="character" w:customStyle="1" w:styleId="CommentSubjectChar">
    <w:name w:val="Comment Subject Char"/>
    <w:basedOn w:val="CommentTextChar"/>
    <w:link w:val="CommentSubject"/>
    <w:uiPriority w:val="99"/>
    <w:semiHidden/>
    <w:rsid w:val="004F1E8E"/>
    <w:rPr>
      <w:rFonts w:ascii="Book Antiqua" w:hAnsi="Book Antiqua"/>
      <w:b/>
      <w:bCs/>
      <w:sz w:val="20"/>
      <w:szCs w:val="20"/>
    </w:rPr>
  </w:style>
  <w:style w:type="paragraph" w:customStyle="1" w:styleId="BlockQuoteH033subH033-OP">
    <w:name w:val="BlockQuoteH033subH033-OP"/>
    <w:basedOn w:val="BlockQuoteH033subH033"/>
    <w:rsid w:val="001A7C49"/>
    <w:pPr>
      <w:numPr>
        <w:ilvl w:val="1"/>
        <w:numId w:val="5"/>
      </w:numPr>
    </w:pPr>
  </w:style>
  <w:style w:type="character" w:styleId="Mention">
    <w:name w:val="Mention"/>
    <w:basedOn w:val="DefaultParagraphFont"/>
    <w:uiPriority w:val="99"/>
    <w:unhideWhenUsed/>
    <w:rsid w:val="00FB3CB1"/>
    <w:rPr>
      <w:color w:val="2B579A"/>
      <w:shd w:val="clear" w:color="auto" w:fill="E1DFDD"/>
    </w:rPr>
  </w:style>
  <w:style w:type="paragraph" w:customStyle="1" w:styleId="SectionCommentSub">
    <w:name w:val="SectionCommentSub"/>
    <w:basedOn w:val="Standard"/>
    <w:rsid w:val="00E9014C"/>
    <w:pPr>
      <w:keepNext/>
    </w:pPr>
    <w:rPr>
      <w:u w:val="single"/>
    </w:rPr>
  </w:style>
  <w:style w:type="paragraph" w:customStyle="1" w:styleId="SectionSub">
    <w:name w:val="SectionSub"/>
    <w:basedOn w:val="Standard"/>
    <w:rsid w:val="00333F9A"/>
    <w:pPr>
      <w:keepNext/>
    </w:pPr>
    <w:rPr>
      <w:b/>
      <w:bCs/>
    </w:rPr>
  </w:style>
  <w:style w:type="paragraph" w:customStyle="1" w:styleId="IssueBullet">
    <w:name w:val="IssueBullet"/>
    <w:basedOn w:val="Standard"/>
    <w:rsid w:val="003D3763"/>
    <w:pPr>
      <w:keepNext/>
      <w:numPr>
        <w:numId w:val="46"/>
      </w:numPr>
    </w:pPr>
  </w:style>
  <w:style w:type="paragraph" w:customStyle="1" w:styleId="SigBlockBA-Cmr">
    <w:name w:val="SigBlockBA-Cmr"/>
    <w:basedOn w:val="Normal"/>
    <w:qFormat/>
    <w:rsid w:val="00252896"/>
    <w:pPr>
      <w:keepNext/>
      <w:autoSpaceDE w:val="0"/>
      <w:autoSpaceDN w:val="0"/>
      <w:adjustRightInd w:val="0"/>
      <w:spacing w:line="240" w:lineRule="auto"/>
      <w:ind w:left="4320" w:firstLine="0"/>
    </w:pPr>
    <w:rPr>
      <w:rFonts w:eastAsia="Times New Roman" w:cs="Times New Roman"/>
      <w:szCs w:val="20"/>
    </w:rPr>
  </w:style>
  <w:style w:type="paragraph" w:customStyle="1" w:styleId="SigBlockBA-Title">
    <w:name w:val="SigBlockBA-Title"/>
    <w:basedOn w:val="Normal"/>
    <w:qFormat/>
    <w:rsid w:val="00252896"/>
    <w:pPr>
      <w:keepNext/>
      <w:autoSpaceDE w:val="0"/>
      <w:autoSpaceDN w:val="0"/>
      <w:adjustRightInd w:val="0"/>
      <w:spacing w:line="240" w:lineRule="auto"/>
      <w:ind w:left="5400" w:firstLine="0"/>
    </w:pPr>
    <w:rPr>
      <w:rFonts w:eastAsia="Times New Roman" w:cs="Times New Roman"/>
      <w:szCs w:val="20"/>
    </w:rPr>
  </w:style>
  <w:style w:type="paragraph" w:customStyle="1" w:styleId="SigSpaceBA">
    <w:name w:val="SigSpaceBA"/>
    <w:basedOn w:val="Normal"/>
    <w:qFormat/>
    <w:rsid w:val="00252896"/>
    <w:pPr>
      <w:keepNext/>
      <w:autoSpaceDE w:val="0"/>
      <w:autoSpaceDN w:val="0"/>
      <w:adjustRightInd w:val="0"/>
      <w:ind w:left="4320" w:firstLine="0"/>
    </w:pPr>
    <w:rPr>
      <w:rFonts w:eastAsia="Times New Roman" w:cs="Times New Roman"/>
      <w:szCs w:val="20"/>
    </w:rPr>
  </w:style>
  <w:style w:type="paragraph" w:customStyle="1" w:styleId="BakerNonIComp">
    <w:name w:val="BakerNonIComp"/>
    <w:basedOn w:val="SigBlockBA-Cmr"/>
    <w:qFormat/>
    <w:rsid w:val="00252896"/>
    <w:pPr>
      <w:ind w:righ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www.law.cornell.edu/definitions/index.php?width=840&amp;height=800&amp;iframe=true&amp;def_id=0e782132a8d7d277869181421f484c3c&amp;term_occur=999&amp;term_src=Title:47:Chapter:I:Subchapter:A:Part:1:Subpart:J:1.1411" TargetMode="External" Id="rId18"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mailto:CDcompliance@cpuc.ca.gov" TargetMode="External" Id="rId17" /><Relationship Type="http://schemas.openxmlformats.org/officeDocument/2006/relationships/customXml" Target="../customXml/item2.xml" Id="rId2" /><Relationship Type="http://schemas.openxmlformats.org/officeDocument/2006/relationships/hyperlink" Target="https://cs.cpuc.ca.gov/otcsdav/nodes/603306230/CDcompliance%40cpuc.ca.gov" TargetMode="External" Id="rId16" /><Relationship Type="http://schemas.openxmlformats.org/officeDocument/2006/relationships/hyperlink" Target="mailto:CDcompliance@cpuc.ca.gov"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mailto:CDcompliance@cpuc.ca.gov"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5.xml" Id="rId22" /><Relationship Type="http://schemas.openxmlformats.org/officeDocument/2006/relationships/hyperlink" Target="https://docs.cpuc.ca.gov/PublishedDocs/Published/G000/M606/K808/606808227.pdf" TargetMode="External" Id="Rb2a1721828ae44e4" /><Relationship Type="http://schemas.openxmlformats.org/officeDocument/2006/relationships/hyperlink" Target="https://docs.cpuc.ca.gov/PublishedDocs/Published/G000/M606/K799/606799272.pdf" TargetMode="External" Id="R5029b8563b0342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130</ap:Pages>
  <ap:Words>30237</ap:Words>
  <ap:Characters>172354</ap:Characters>
  <ap:Application>Microsoft Office Word</ap:Application>
  <ap:DocSecurity>0</ap:DocSecurity>
  <ap:Lines>1436</ap:Lines>
  <ap:Paragraphs>404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202187</ap:CharactersWithSpaces>
  <ap:SharedDoc>false</ap:SharedDoc>
  <ap:HLinks>
    <vt:vector baseType="variant" size="354">
      <vt:variant>
        <vt:i4>1048685</vt:i4>
      </vt:variant>
      <vt:variant>
        <vt:i4>333</vt:i4>
      </vt:variant>
      <vt:variant>
        <vt:i4>0</vt:i4>
      </vt:variant>
      <vt:variant>
        <vt:i4>5</vt:i4>
      </vt:variant>
      <vt:variant>
        <vt:lpwstr>mailto:CDcompliance@cpuc.ca.gov</vt:lpwstr>
      </vt:variant>
      <vt:variant>
        <vt:lpwstr/>
      </vt:variant>
      <vt:variant>
        <vt:i4>2228242</vt:i4>
      </vt:variant>
      <vt:variant>
        <vt:i4>330</vt:i4>
      </vt:variant>
      <vt:variant>
        <vt:i4>0</vt:i4>
      </vt:variant>
      <vt:variant>
        <vt:i4>5</vt:i4>
      </vt:variant>
      <vt:variant>
        <vt:lpwstr>https://capuc-my.sharepoint.com/:b:/g/personal/adam_clark_cpuc_ca_gov/IQCVpptY5yfOQ62ZSvdWD0vzASOsT7rhn90Ux_G1ClvPOqk?e=PcbK1i</vt:lpwstr>
      </vt:variant>
      <vt:variant>
        <vt:lpwstr/>
      </vt:variant>
      <vt:variant>
        <vt:i4>2162730</vt:i4>
      </vt:variant>
      <vt:variant>
        <vt:i4>327</vt:i4>
      </vt:variant>
      <vt:variant>
        <vt:i4>0</vt:i4>
      </vt:variant>
      <vt:variant>
        <vt:i4>5</vt:i4>
      </vt:variant>
      <vt:variant>
        <vt:lpwstr>https://capuc-my.sharepoint.com/:b:/g/personal/adam_clark_cpuc_ca_gov/IQBsB6_ekzEmSp802_omZLVhAQMDy6cfJbS4fTgoP9g0oNE?e=C3suyt</vt:lpwstr>
      </vt:variant>
      <vt:variant>
        <vt:lpwstr/>
      </vt:variant>
      <vt:variant>
        <vt:i4>4587588</vt:i4>
      </vt:variant>
      <vt:variant>
        <vt:i4>324</vt:i4>
      </vt:variant>
      <vt:variant>
        <vt:i4>0</vt:i4>
      </vt:variant>
      <vt:variant>
        <vt:i4>5</vt:i4>
      </vt:variant>
      <vt:variant>
        <vt:lpwstr>https://capuc-my.sharepoint.com/:b:/g/personal/adam_clark_cpuc_ca_gov/IQB8H1uLx4jUT6sg9iKWUwTSASgOBJ5kGgP5w6SshuKgvVw?e=swBH7E</vt:lpwstr>
      </vt:variant>
      <vt:variant>
        <vt:lpwstr/>
      </vt:variant>
      <vt:variant>
        <vt:i4>1048685</vt:i4>
      </vt:variant>
      <vt:variant>
        <vt:i4>321</vt:i4>
      </vt:variant>
      <vt:variant>
        <vt:i4>0</vt:i4>
      </vt:variant>
      <vt:variant>
        <vt:i4>5</vt:i4>
      </vt:variant>
      <vt:variant>
        <vt:lpwstr>mailto:CDcompliance@cpuc.ca.gov</vt:lpwstr>
      </vt:variant>
      <vt:variant>
        <vt:lpwstr/>
      </vt:variant>
      <vt:variant>
        <vt:i4>5570659</vt:i4>
      </vt:variant>
      <vt:variant>
        <vt:i4>318</vt:i4>
      </vt:variant>
      <vt:variant>
        <vt:i4>0</vt:i4>
      </vt:variant>
      <vt:variant>
        <vt:i4>5</vt:i4>
      </vt:variant>
      <vt:variant>
        <vt:lpwstr>https://www.law.cornell.edu/definitions/index.php?width=840&amp;height=800&amp;iframe=true&amp;def_id=0e782132a8d7d277869181421f484c3c&amp;term_occur=999&amp;term_src=Title:47:Chapter:I:Subchapter:A:Part:1:Subpart:J:1.1411</vt:lpwstr>
      </vt:variant>
      <vt:variant>
        <vt:lpwstr/>
      </vt:variant>
      <vt:variant>
        <vt:i4>1048685</vt:i4>
      </vt:variant>
      <vt:variant>
        <vt:i4>315</vt:i4>
      </vt:variant>
      <vt:variant>
        <vt:i4>0</vt:i4>
      </vt:variant>
      <vt:variant>
        <vt:i4>5</vt:i4>
      </vt:variant>
      <vt:variant>
        <vt:lpwstr>mailto:CDcompliance@cpuc.ca.gov</vt:lpwstr>
      </vt:variant>
      <vt:variant>
        <vt:lpwstr/>
      </vt:variant>
      <vt:variant>
        <vt:i4>6094917</vt:i4>
      </vt:variant>
      <vt:variant>
        <vt:i4>312</vt:i4>
      </vt:variant>
      <vt:variant>
        <vt:i4>0</vt:i4>
      </vt:variant>
      <vt:variant>
        <vt:i4>5</vt:i4>
      </vt:variant>
      <vt:variant>
        <vt:lpwstr>https://cs.cpuc.ca.gov/otcsdav/nodes/603306230/CDcompliance%40cpuc.ca.gov</vt:lpwstr>
      </vt:variant>
      <vt:variant>
        <vt:lpwstr/>
      </vt:variant>
      <vt:variant>
        <vt:i4>1835065</vt:i4>
      </vt:variant>
      <vt:variant>
        <vt:i4>305</vt:i4>
      </vt:variant>
      <vt:variant>
        <vt:i4>0</vt:i4>
      </vt:variant>
      <vt:variant>
        <vt:i4>5</vt:i4>
      </vt:variant>
      <vt:variant>
        <vt:lpwstr/>
      </vt:variant>
      <vt:variant>
        <vt:lpwstr>_Toc226698471</vt:lpwstr>
      </vt:variant>
      <vt:variant>
        <vt:i4>1835065</vt:i4>
      </vt:variant>
      <vt:variant>
        <vt:i4>299</vt:i4>
      </vt:variant>
      <vt:variant>
        <vt:i4>0</vt:i4>
      </vt:variant>
      <vt:variant>
        <vt:i4>5</vt:i4>
      </vt:variant>
      <vt:variant>
        <vt:lpwstr/>
      </vt:variant>
      <vt:variant>
        <vt:lpwstr>_Toc226698470</vt:lpwstr>
      </vt:variant>
      <vt:variant>
        <vt:i4>1900601</vt:i4>
      </vt:variant>
      <vt:variant>
        <vt:i4>293</vt:i4>
      </vt:variant>
      <vt:variant>
        <vt:i4>0</vt:i4>
      </vt:variant>
      <vt:variant>
        <vt:i4>5</vt:i4>
      </vt:variant>
      <vt:variant>
        <vt:lpwstr/>
      </vt:variant>
      <vt:variant>
        <vt:lpwstr>_Toc226698469</vt:lpwstr>
      </vt:variant>
      <vt:variant>
        <vt:i4>1900601</vt:i4>
      </vt:variant>
      <vt:variant>
        <vt:i4>287</vt:i4>
      </vt:variant>
      <vt:variant>
        <vt:i4>0</vt:i4>
      </vt:variant>
      <vt:variant>
        <vt:i4>5</vt:i4>
      </vt:variant>
      <vt:variant>
        <vt:lpwstr/>
      </vt:variant>
      <vt:variant>
        <vt:lpwstr>_Toc226698468</vt:lpwstr>
      </vt:variant>
      <vt:variant>
        <vt:i4>1900601</vt:i4>
      </vt:variant>
      <vt:variant>
        <vt:i4>281</vt:i4>
      </vt:variant>
      <vt:variant>
        <vt:i4>0</vt:i4>
      </vt:variant>
      <vt:variant>
        <vt:i4>5</vt:i4>
      </vt:variant>
      <vt:variant>
        <vt:lpwstr/>
      </vt:variant>
      <vt:variant>
        <vt:lpwstr>_Toc226698467</vt:lpwstr>
      </vt:variant>
      <vt:variant>
        <vt:i4>1900601</vt:i4>
      </vt:variant>
      <vt:variant>
        <vt:i4>275</vt:i4>
      </vt:variant>
      <vt:variant>
        <vt:i4>0</vt:i4>
      </vt:variant>
      <vt:variant>
        <vt:i4>5</vt:i4>
      </vt:variant>
      <vt:variant>
        <vt:lpwstr/>
      </vt:variant>
      <vt:variant>
        <vt:lpwstr>_Toc226698466</vt:lpwstr>
      </vt:variant>
      <vt:variant>
        <vt:i4>1900601</vt:i4>
      </vt:variant>
      <vt:variant>
        <vt:i4>269</vt:i4>
      </vt:variant>
      <vt:variant>
        <vt:i4>0</vt:i4>
      </vt:variant>
      <vt:variant>
        <vt:i4>5</vt:i4>
      </vt:variant>
      <vt:variant>
        <vt:lpwstr/>
      </vt:variant>
      <vt:variant>
        <vt:lpwstr>_Toc226698465</vt:lpwstr>
      </vt:variant>
      <vt:variant>
        <vt:i4>1900601</vt:i4>
      </vt:variant>
      <vt:variant>
        <vt:i4>263</vt:i4>
      </vt:variant>
      <vt:variant>
        <vt:i4>0</vt:i4>
      </vt:variant>
      <vt:variant>
        <vt:i4>5</vt:i4>
      </vt:variant>
      <vt:variant>
        <vt:lpwstr/>
      </vt:variant>
      <vt:variant>
        <vt:lpwstr>_Toc226698464</vt:lpwstr>
      </vt:variant>
      <vt:variant>
        <vt:i4>1900601</vt:i4>
      </vt:variant>
      <vt:variant>
        <vt:i4>257</vt:i4>
      </vt:variant>
      <vt:variant>
        <vt:i4>0</vt:i4>
      </vt:variant>
      <vt:variant>
        <vt:i4>5</vt:i4>
      </vt:variant>
      <vt:variant>
        <vt:lpwstr/>
      </vt:variant>
      <vt:variant>
        <vt:lpwstr>_Toc226698463</vt:lpwstr>
      </vt:variant>
      <vt:variant>
        <vt:i4>1900601</vt:i4>
      </vt:variant>
      <vt:variant>
        <vt:i4>251</vt:i4>
      </vt:variant>
      <vt:variant>
        <vt:i4>0</vt:i4>
      </vt:variant>
      <vt:variant>
        <vt:i4>5</vt:i4>
      </vt:variant>
      <vt:variant>
        <vt:lpwstr/>
      </vt:variant>
      <vt:variant>
        <vt:lpwstr>_Toc226698462</vt:lpwstr>
      </vt:variant>
      <vt:variant>
        <vt:i4>1900601</vt:i4>
      </vt:variant>
      <vt:variant>
        <vt:i4>245</vt:i4>
      </vt:variant>
      <vt:variant>
        <vt:i4>0</vt:i4>
      </vt:variant>
      <vt:variant>
        <vt:i4>5</vt:i4>
      </vt:variant>
      <vt:variant>
        <vt:lpwstr/>
      </vt:variant>
      <vt:variant>
        <vt:lpwstr>_Toc226698461</vt:lpwstr>
      </vt:variant>
      <vt:variant>
        <vt:i4>1900601</vt:i4>
      </vt:variant>
      <vt:variant>
        <vt:i4>239</vt:i4>
      </vt:variant>
      <vt:variant>
        <vt:i4>0</vt:i4>
      </vt:variant>
      <vt:variant>
        <vt:i4>5</vt:i4>
      </vt:variant>
      <vt:variant>
        <vt:lpwstr/>
      </vt:variant>
      <vt:variant>
        <vt:lpwstr>_Toc226698460</vt:lpwstr>
      </vt:variant>
      <vt:variant>
        <vt:i4>1966137</vt:i4>
      </vt:variant>
      <vt:variant>
        <vt:i4>233</vt:i4>
      </vt:variant>
      <vt:variant>
        <vt:i4>0</vt:i4>
      </vt:variant>
      <vt:variant>
        <vt:i4>5</vt:i4>
      </vt:variant>
      <vt:variant>
        <vt:lpwstr/>
      </vt:variant>
      <vt:variant>
        <vt:lpwstr>_Toc226698459</vt:lpwstr>
      </vt:variant>
      <vt:variant>
        <vt:i4>1966137</vt:i4>
      </vt:variant>
      <vt:variant>
        <vt:i4>227</vt:i4>
      </vt:variant>
      <vt:variant>
        <vt:i4>0</vt:i4>
      </vt:variant>
      <vt:variant>
        <vt:i4>5</vt:i4>
      </vt:variant>
      <vt:variant>
        <vt:lpwstr/>
      </vt:variant>
      <vt:variant>
        <vt:lpwstr>_Toc226698458</vt:lpwstr>
      </vt:variant>
      <vt:variant>
        <vt:i4>1966137</vt:i4>
      </vt:variant>
      <vt:variant>
        <vt:i4>221</vt:i4>
      </vt:variant>
      <vt:variant>
        <vt:i4>0</vt:i4>
      </vt:variant>
      <vt:variant>
        <vt:i4>5</vt:i4>
      </vt:variant>
      <vt:variant>
        <vt:lpwstr/>
      </vt:variant>
      <vt:variant>
        <vt:lpwstr>_Toc226698457</vt:lpwstr>
      </vt:variant>
      <vt:variant>
        <vt:i4>1966137</vt:i4>
      </vt:variant>
      <vt:variant>
        <vt:i4>215</vt:i4>
      </vt:variant>
      <vt:variant>
        <vt:i4>0</vt:i4>
      </vt:variant>
      <vt:variant>
        <vt:i4>5</vt:i4>
      </vt:variant>
      <vt:variant>
        <vt:lpwstr/>
      </vt:variant>
      <vt:variant>
        <vt:lpwstr>_Toc226698456</vt:lpwstr>
      </vt:variant>
      <vt:variant>
        <vt:i4>1966137</vt:i4>
      </vt:variant>
      <vt:variant>
        <vt:i4>209</vt:i4>
      </vt:variant>
      <vt:variant>
        <vt:i4>0</vt:i4>
      </vt:variant>
      <vt:variant>
        <vt:i4>5</vt:i4>
      </vt:variant>
      <vt:variant>
        <vt:lpwstr/>
      </vt:variant>
      <vt:variant>
        <vt:lpwstr>_Toc226698455</vt:lpwstr>
      </vt:variant>
      <vt:variant>
        <vt:i4>1966137</vt:i4>
      </vt:variant>
      <vt:variant>
        <vt:i4>203</vt:i4>
      </vt:variant>
      <vt:variant>
        <vt:i4>0</vt:i4>
      </vt:variant>
      <vt:variant>
        <vt:i4>5</vt:i4>
      </vt:variant>
      <vt:variant>
        <vt:lpwstr/>
      </vt:variant>
      <vt:variant>
        <vt:lpwstr>_Toc226698454</vt:lpwstr>
      </vt:variant>
      <vt:variant>
        <vt:i4>1966137</vt:i4>
      </vt:variant>
      <vt:variant>
        <vt:i4>197</vt:i4>
      </vt:variant>
      <vt:variant>
        <vt:i4>0</vt:i4>
      </vt:variant>
      <vt:variant>
        <vt:i4>5</vt:i4>
      </vt:variant>
      <vt:variant>
        <vt:lpwstr/>
      </vt:variant>
      <vt:variant>
        <vt:lpwstr>_Toc226698453</vt:lpwstr>
      </vt:variant>
      <vt:variant>
        <vt:i4>1966137</vt:i4>
      </vt:variant>
      <vt:variant>
        <vt:i4>191</vt:i4>
      </vt:variant>
      <vt:variant>
        <vt:i4>0</vt:i4>
      </vt:variant>
      <vt:variant>
        <vt:i4>5</vt:i4>
      </vt:variant>
      <vt:variant>
        <vt:lpwstr/>
      </vt:variant>
      <vt:variant>
        <vt:lpwstr>_Toc226698452</vt:lpwstr>
      </vt:variant>
      <vt:variant>
        <vt:i4>1966137</vt:i4>
      </vt:variant>
      <vt:variant>
        <vt:i4>185</vt:i4>
      </vt:variant>
      <vt:variant>
        <vt:i4>0</vt:i4>
      </vt:variant>
      <vt:variant>
        <vt:i4>5</vt:i4>
      </vt:variant>
      <vt:variant>
        <vt:lpwstr/>
      </vt:variant>
      <vt:variant>
        <vt:lpwstr>_Toc226698451</vt:lpwstr>
      </vt:variant>
      <vt:variant>
        <vt:i4>1966137</vt:i4>
      </vt:variant>
      <vt:variant>
        <vt:i4>179</vt:i4>
      </vt:variant>
      <vt:variant>
        <vt:i4>0</vt:i4>
      </vt:variant>
      <vt:variant>
        <vt:i4>5</vt:i4>
      </vt:variant>
      <vt:variant>
        <vt:lpwstr/>
      </vt:variant>
      <vt:variant>
        <vt:lpwstr>_Toc226698450</vt:lpwstr>
      </vt:variant>
      <vt:variant>
        <vt:i4>2031673</vt:i4>
      </vt:variant>
      <vt:variant>
        <vt:i4>173</vt:i4>
      </vt:variant>
      <vt:variant>
        <vt:i4>0</vt:i4>
      </vt:variant>
      <vt:variant>
        <vt:i4>5</vt:i4>
      </vt:variant>
      <vt:variant>
        <vt:lpwstr/>
      </vt:variant>
      <vt:variant>
        <vt:lpwstr>_Toc226698449</vt:lpwstr>
      </vt:variant>
      <vt:variant>
        <vt:i4>2031673</vt:i4>
      </vt:variant>
      <vt:variant>
        <vt:i4>167</vt:i4>
      </vt:variant>
      <vt:variant>
        <vt:i4>0</vt:i4>
      </vt:variant>
      <vt:variant>
        <vt:i4>5</vt:i4>
      </vt:variant>
      <vt:variant>
        <vt:lpwstr/>
      </vt:variant>
      <vt:variant>
        <vt:lpwstr>_Toc226698448</vt:lpwstr>
      </vt:variant>
      <vt:variant>
        <vt:i4>2031673</vt:i4>
      </vt:variant>
      <vt:variant>
        <vt:i4>161</vt:i4>
      </vt:variant>
      <vt:variant>
        <vt:i4>0</vt:i4>
      </vt:variant>
      <vt:variant>
        <vt:i4>5</vt:i4>
      </vt:variant>
      <vt:variant>
        <vt:lpwstr/>
      </vt:variant>
      <vt:variant>
        <vt:lpwstr>_Toc226698447</vt:lpwstr>
      </vt:variant>
      <vt:variant>
        <vt:i4>2031673</vt:i4>
      </vt:variant>
      <vt:variant>
        <vt:i4>155</vt:i4>
      </vt:variant>
      <vt:variant>
        <vt:i4>0</vt:i4>
      </vt:variant>
      <vt:variant>
        <vt:i4>5</vt:i4>
      </vt:variant>
      <vt:variant>
        <vt:lpwstr/>
      </vt:variant>
      <vt:variant>
        <vt:lpwstr>_Toc226698446</vt:lpwstr>
      </vt:variant>
      <vt:variant>
        <vt:i4>2031673</vt:i4>
      </vt:variant>
      <vt:variant>
        <vt:i4>149</vt:i4>
      </vt:variant>
      <vt:variant>
        <vt:i4>0</vt:i4>
      </vt:variant>
      <vt:variant>
        <vt:i4>5</vt:i4>
      </vt:variant>
      <vt:variant>
        <vt:lpwstr/>
      </vt:variant>
      <vt:variant>
        <vt:lpwstr>_Toc226698445</vt:lpwstr>
      </vt:variant>
      <vt:variant>
        <vt:i4>2031673</vt:i4>
      </vt:variant>
      <vt:variant>
        <vt:i4>143</vt:i4>
      </vt:variant>
      <vt:variant>
        <vt:i4>0</vt:i4>
      </vt:variant>
      <vt:variant>
        <vt:i4>5</vt:i4>
      </vt:variant>
      <vt:variant>
        <vt:lpwstr/>
      </vt:variant>
      <vt:variant>
        <vt:lpwstr>_Toc226698444</vt:lpwstr>
      </vt:variant>
      <vt:variant>
        <vt:i4>2031673</vt:i4>
      </vt:variant>
      <vt:variant>
        <vt:i4>137</vt:i4>
      </vt:variant>
      <vt:variant>
        <vt:i4>0</vt:i4>
      </vt:variant>
      <vt:variant>
        <vt:i4>5</vt:i4>
      </vt:variant>
      <vt:variant>
        <vt:lpwstr/>
      </vt:variant>
      <vt:variant>
        <vt:lpwstr>_Toc226698443</vt:lpwstr>
      </vt:variant>
      <vt:variant>
        <vt:i4>2031673</vt:i4>
      </vt:variant>
      <vt:variant>
        <vt:i4>131</vt:i4>
      </vt:variant>
      <vt:variant>
        <vt:i4>0</vt:i4>
      </vt:variant>
      <vt:variant>
        <vt:i4>5</vt:i4>
      </vt:variant>
      <vt:variant>
        <vt:lpwstr/>
      </vt:variant>
      <vt:variant>
        <vt:lpwstr>_Toc226698442</vt:lpwstr>
      </vt:variant>
      <vt:variant>
        <vt:i4>2031673</vt:i4>
      </vt:variant>
      <vt:variant>
        <vt:i4>125</vt:i4>
      </vt:variant>
      <vt:variant>
        <vt:i4>0</vt:i4>
      </vt:variant>
      <vt:variant>
        <vt:i4>5</vt:i4>
      </vt:variant>
      <vt:variant>
        <vt:lpwstr/>
      </vt:variant>
      <vt:variant>
        <vt:lpwstr>_Toc226698441</vt:lpwstr>
      </vt:variant>
      <vt:variant>
        <vt:i4>2031673</vt:i4>
      </vt:variant>
      <vt:variant>
        <vt:i4>119</vt:i4>
      </vt:variant>
      <vt:variant>
        <vt:i4>0</vt:i4>
      </vt:variant>
      <vt:variant>
        <vt:i4>5</vt:i4>
      </vt:variant>
      <vt:variant>
        <vt:lpwstr/>
      </vt:variant>
      <vt:variant>
        <vt:lpwstr>_Toc226698440</vt:lpwstr>
      </vt:variant>
      <vt:variant>
        <vt:i4>1572921</vt:i4>
      </vt:variant>
      <vt:variant>
        <vt:i4>113</vt:i4>
      </vt:variant>
      <vt:variant>
        <vt:i4>0</vt:i4>
      </vt:variant>
      <vt:variant>
        <vt:i4>5</vt:i4>
      </vt:variant>
      <vt:variant>
        <vt:lpwstr/>
      </vt:variant>
      <vt:variant>
        <vt:lpwstr>_Toc226698439</vt:lpwstr>
      </vt:variant>
      <vt:variant>
        <vt:i4>1572921</vt:i4>
      </vt:variant>
      <vt:variant>
        <vt:i4>107</vt:i4>
      </vt:variant>
      <vt:variant>
        <vt:i4>0</vt:i4>
      </vt:variant>
      <vt:variant>
        <vt:i4>5</vt:i4>
      </vt:variant>
      <vt:variant>
        <vt:lpwstr/>
      </vt:variant>
      <vt:variant>
        <vt:lpwstr>_Toc226698438</vt:lpwstr>
      </vt:variant>
      <vt:variant>
        <vt:i4>1572921</vt:i4>
      </vt:variant>
      <vt:variant>
        <vt:i4>101</vt:i4>
      </vt:variant>
      <vt:variant>
        <vt:i4>0</vt:i4>
      </vt:variant>
      <vt:variant>
        <vt:i4>5</vt:i4>
      </vt:variant>
      <vt:variant>
        <vt:lpwstr/>
      </vt:variant>
      <vt:variant>
        <vt:lpwstr>_Toc226698437</vt:lpwstr>
      </vt:variant>
      <vt:variant>
        <vt:i4>1572921</vt:i4>
      </vt:variant>
      <vt:variant>
        <vt:i4>95</vt:i4>
      </vt:variant>
      <vt:variant>
        <vt:i4>0</vt:i4>
      </vt:variant>
      <vt:variant>
        <vt:i4>5</vt:i4>
      </vt:variant>
      <vt:variant>
        <vt:lpwstr/>
      </vt:variant>
      <vt:variant>
        <vt:lpwstr>_Toc226698436</vt:lpwstr>
      </vt:variant>
      <vt:variant>
        <vt:i4>1572921</vt:i4>
      </vt:variant>
      <vt:variant>
        <vt:i4>89</vt:i4>
      </vt:variant>
      <vt:variant>
        <vt:i4>0</vt:i4>
      </vt:variant>
      <vt:variant>
        <vt:i4>5</vt:i4>
      </vt:variant>
      <vt:variant>
        <vt:lpwstr/>
      </vt:variant>
      <vt:variant>
        <vt:lpwstr>_Toc226698435</vt:lpwstr>
      </vt:variant>
      <vt:variant>
        <vt:i4>1572921</vt:i4>
      </vt:variant>
      <vt:variant>
        <vt:i4>83</vt:i4>
      </vt:variant>
      <vt:variant>
        <vt:i4>0</vt:i4>
      </vt:variant>
      <vt:variant>
        <vt:i4>5</vt:i4>
      </vt:variant>
      <vt:variant>
        <vt:lpwstr/>
      </vt:variant>
      <vt:variant>
        <vt:lpwstr>_Toc226698434</vt:lpwstr>
      </vt:variant>
      <vt:variant>
        <vt:i4>1572921</vt:i4>
      </vt:variant>
      <vt:variant>
        <vt:i4>77</vt:i4>
      </vt:variant>
      <vt:variant>
        <vt:i4>0</vt:i4>
      </vt:variant>
      <vt:variant>
        <vt:i4>5</vt:i4>
      </vt:variant>
      <vt:variant>
        <vt:lpwstr/>
      </vt:variant>
      <vt:variant>
        <vt:lpwstr>_Toc226698433</vt:lpwstr>
      </vt:variant>
      <vt:variant>
        <vt:i4>1572921</vt:i4>
      </vt:variant>
      <vt:variant>
        <vt:i4>71</vt:i4>
      </vt:variant>
      <vt:variant>
        <vt:i4>0</vt:i4>
      </vt:variant>
      <vt:variant>
        <vt:i4>5</vt:i4>
      </vt:variant>
      <vt:variant>
        <vt:lpwstr/>
      </vt:variant>
      <vt:variant>
        <vt:lpwstr>_Toc226698432</vt:lpwstr>
      </vt:variant>
      <vt:variant>
        <vt:i4>1572921</vt:i4>
      </vt:variant>
      <vt:variant>
        <vt:i4>65</vt:i4>
      </vt:variant>
      <vt:variant>
        <vt:i4>0</vt:i4>
      </vt:variant>
      <vt:variant>
        <vt:i4>5</vt:i4>
      </vt:variant>
      <vt:variant>
        <vt:lpwstr/>
      </vt:variant>
      <vt:variant>
        <vt:lpwstr>_Toc226698431</vt:lpwstr>
      </vt:variant>
      <vt:variant>
        <vt:i4>1572921</vt:i4>
      </vt:variant>
      <vt:variant>
        <vt:i4>59</vt:i4>
      </vt:variant>
      <vt:variant>
        <vt:i4>0</vt:i4>
      </vt:variant>
      <vt:variant>
        <vt:i4>5</vt:i4>
      </vt:variant>
      <vt:variant>
        <vt:lpwstr/>
      </vt:variant>
      <vt:variant>
        <vt:lpwstr>_Toc226698430</vt:lpwstr>
      </vt:variant>
      <vt:variant>
        <vt:i4>1638457</vt:i4>
      </vt:variant>
      <vt:variant>
        <vt:i4>53</vt:i4>
      </vt:variant>
      <vt:variant>
        <vt:i4>0</vt:i4>
      </vt:variant>
      <vt:variant>
        <vt:i4>5</vt:i4>
      </vt:variant>
      <vt:variant>
        <vt:lpwstr/>
      </vt:variant>
      <vt:variant>
        <vt:lpwstr>_Toc226698429</vt:lpwstr>
      </vt:variant>
      <vt:variant>
        <vt:i4>1638457</vt:i4>
      </vt:variant>
      <vt:variant>
        <vt:i4>47</vt:i4>
      </vt:variant>
      <vt:variant>
        <vt:i4>0</vt:i4>
      </vt:variant>
      <vt:variant>
        <vt:i4>5</vt:i4>
      </vt:variant>
      <vt:variant>
        <vt:lpwstr/>
      </vt:variant>
      <vt:variant>
        <vt:lpwstr>_Toc226698428</vt:lpwstr>
      </vt:variant>
      <vt:variant>
        <vt:i4>1638457</vt:i4>
      </vt:variant>
      <vt:variant>
        <vt:i4>41</vt:i4>
      </vt:variant>
      <vt:variant>
        <vt:i4>0</vt:i4>
      </vt:variant>
      <vt:variant>
        <vt:i4>5</vt:i4>
      </vt:variant>
      <vt:variant>
        <vt:lpwstr/>
      </vt:variant>
      <vt:variant>
        <vt:lpwstr>_Toc226698427</vt:lpwstr>
      </vt:variant>
      <vt:variant>
        <vt:i4>1638457</vt:i4>
      </vt:variant>
      <vt:variant>
        <vt:i4>35</vt:i4>
      </vt:variant>
      <vt:variant>
        <vt:i4>0</vt:i4>
      </vt:variant>
      <vt:variant>
        <vt:i4>5</vt:i4>
      </vt:variant>
      <vt:variant>
        <vt:lpwstr/>
      </vt:variant>
      <vt:variant>
        <vt:lpwstr>_Toc226698426</vt:lpwstr>
      </vt:variant>
      <vt:variant>
        <vt:i4>1638457</vt:i4>
      </vt:variant>
      <vt:variant>
        <vt:i4>29</vt:i4>
      </vt:variant>
      <vt:variant>
        <vt:i4>0</vt:i4>
      </vt:variant>
      <vt:variant>
        <vt:i4>5</vt:i4>
      </vt:variant>
      <vt:variant>
        <vt:lpwstr/>
      </vt:variant>
      <vt:variant>
        <vt:lpwstr>_Toc226698425</vt:lpwstr>
      </vt:variant>
      <vt:variant>
        <vt:i4>1638457</vt:i4>
      </vt:variant>
      <vt:variant>
        <vt:i4>23</vt:i4>
      </vt:variant>
      <vt:variant>
        <vt:i4>0</vt:i4>
      </vt:variant>
      <vt:variant>
        <vt:i4>5</vt:i4>
      </vt:variant>
      <vt:variant>
        <vt:lpwstr/>
      </vt:variant>
      <vt:variant>
        <vt:lpwstr>_Toc226698424</vt:lpwstr>
      </vt:variant>
      <vt:variant>
        <vt:i4>1638457</vt:i4>
      </vt:variant>
      <vt:variant>
        <vt:i4>17</vt:i4>
      </vt:variant>
      <vt:variant>
        <vt:i4>0</vt:i4>
      </vt:variant>
      <vt:variant>
        <vt:i4>5</vt:i4>
      </vt:variant>
      <vt:variant>
        <vt:lpwstr/>
      </vt:variant>
      <vt:variant>
        <vt:lpwstr>_Toc226698423</vt:lpwstr>
      </vt:variant>
      <vt:variant>
        <vt:i4>1638457</vt:i4>
      </vt:variant>
      <vt:variant>
        <vt:i4>11</vt:i4>
      </vt:variant>
      <vt:variant>
        <vt:i4>0</vt:i4>
      </vt:variant>
      <vt:variant>
        <vt:i4>5</vt:i4>
      </vt:variant>
      <vt:variant>
        <vt:lpwstr/>
      </vt:variant>
      <vt:variant>
        <vt:lpwstr>_Toc226698422</vt:lpwstr>
      </vt:variant>
      <vt:variant>
        <vt:i4>1638457</vt:i4>
      </vt:variant>
      <vt:variant>
        <vt:i4>5</vt:i4>
      </vt:variant>
      <vt:variant>
        <vt:i4>0</vt:i4>
      </vt:variant>
      <vt:variant>
        <vt:i4>5</vt:i4>
      </vt:variant>
      <vt:variant>
        <vt:lpwstr/>
      </vt:variant>
      <vt:variant>
        <vt:lpwstr>_Toc226698421</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2026-03-30T21:55:00Z</cp:lastPrinted>
  <dcterms:created xsi:type="dcterms:W3CDTF">2026-05-15T09:08:12Z</dcterms:created>
  <dcterms:modified xsi:type="dcterms:W3CDTF">2026-05-15T09:08:12Z</dcterms:modified>
</cp:coreProperties>
</file>