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0CC0" w:rsidR="00B01EC7" w:rsidP="4A529F21" w:rsidRDefault="2F33EBFD" w14:paraId="683CE620" w14:textId="0E1F981D">
      <w:pPr>
        <w:pStyle w:val="titlebar"/>
        <w:rPr>
          <w:rFonts w:eastAsia="Helvetica" w:cs="Helvetica"/>
          <w:color w:val="000000" w:themeColor="text1"/>
        </w:rPr>
      </w:pPr>
      <w:r w:rsidRPr="00060CC0">
        <w:rPr>
          <w:rFonts w:eastAsia="Helvetica" w:cs="Helvetica"/>
          <w:color w:val="000000" w:themeColor="text1"/>
        </w:rPr>
        <w:t>PUBLIC UTILITIES COMMISSION OF THE STATE OF CALIFORNIA</w:t>
      </w:r>
    </w:p>
    <w:p w:rsidR="00634CDF" w:rsidP="00060CC0" w:rsidRDefault="00634CDF" w14:paraId="05A21693" w14:textId="77777777">
      <w:pPr>
        <w:tabs>
          <w:tab w:val="right" w:pos="8910"/>
        </w:tabs>
        <w:spacing w:after="0" w:line="240" w:lineRule="auto"/>
        <w:ind w:left="360"/>
        <w:rPr>
          <w:rFonts w:ascii="Palatino Linotype" w:hAnsi="Palatino Linotype" w:eastAsia="Palatino" w:cs="Palatino"/>
          <w:b/>
          <w:bCs/>
          <w:color w:val="000000" w:themeColor="text1"/>
          <w:sz w:val="24"/>
          <w:szCs w:val="24"/>
        </w:rPr>
      </w:pPr>
    </w:p>
    <w:p w:rsidRPr="00C54AEE" w:rsidR="00060CC0" w:rsidP="00060CC0" w:rsidRDefault="00060CC0" w14:paraId="3AC05FAE" w14:textId="18260532">
      <w:pPr>
        <w:tabs>
          <w:tab w:val="right" w:pos="8910"/>
        </w:tabs>
        <w:spacing w:after="0" w:line="240" w:lineRule="auto"/>
        <w:ind w:left="360"/>
        <w:rPr>
          <w:rFonts w:ascii="Palatino Linotype" w:hAnsi="Palatino Linotype" w:eastAsia="Palatino" w:cs="Palatino"/>
          <w:b/>
          <w:bCs/>
          <w:color w:val="000000" w:themeColor="text1"/>
          <w:sz w:val="24"/>
          <w:szCs w:val="24"/>
        </w:rPr>
      </w:pPr>
      <w:r w:rsidRPr="00C54AEE">
        <w:rPr>
          <w:rFonts w:ascii="Palatino Linotype" w:hAnsi="Palatino Linotype" w:eastAsia="Palatino" w:cs="Palatino"/>
          <w:b/>
          <w:bCs/>
          <w:color w:val="000000" w:themeColor="text1"/>
          <w:sz w:val="24"/>
          <w:szCs w:val="24"/>
        </w:rPr>
        <w:t>ENERGY DIVISION</w:t>
      </w:r>
      <w:r w:rsidRPr="00C54AEE">
        <w:rPr>
          <w:rFonts w:ascii="Palatino Linotype" w:hAnsi="Palatino Linotype"/>
          <w:sz w:val="24"/>
          <w:szCs w:val="24"/>
        </w:rPr>
        <w:tab/>
      </w:r>
      <w:r w:rsidRPr="00C54AEE">
        <w:rPr>
          <w:rFonts w:ascii="Palatino Linotype" w:hAnsi="Palatino Linotype" w:eastAsia="Palatino" w:cs="Palatino"/>
          <w:b/>
          <w:bCs/>
          <w:color w:val="000000" w:themeColor="text1"/>
          <w:sz w:val="24"/>
          <w:szCs w:val="24"/>
        </w:rPr>
        <w:t>RESOLUTION E-5388</w:t>
      </w:r>
    </w:p>
    <w:p w:rsidRPr="00C54AEE" w:rsidR="00060CC0" w:rsidP="00060CC0" w:rsidRDefault="00060CC0" w14:paraId="01236531" w14:textId="77777777">
      <w:pPr>
        <w:tabs>
          <w:tab w:val="right" w:pos="8910"/>
        </w:tabs>
        <w:spacing w:after="0" w:line="240" w:lineRule="auto"/>
        <w:rPr>
          <w:rFonts w:ascii="Palatino Linotype" w:hAnsi="Palatino Linotype" w:eastAsia="Palatino" w:cs="Palatino"/>
          <w:color w:val="000000" w:themeColor="text1"/>
          <w:sz w:val="24"/>
          <w:szCs w:val="24"/>
        </w:rPr>
      </w:pPr>
      <w:r w:rsidRPr="00C54AEE">
        <w:rPr>
          <w:rFonts w:ascii="Palatino Linotype" w:hAnsi="Palatino Linotype" w:eastAsia="Palatino" w:cs="Palatino"/>
          <w:b/>
          <w:bCs/>
          <w:color w:val="000000" w:themeColor="text1"/>
          <w:sz w:val="24"/>
          <w:szCs w:val="24"/>
        </w:rPr>
        <w:tab/>
        <w:t>May 14, 2026</w:t>
      </w:r>
    </w:p>
    <w:p w:rsidRPr="00C54AEE" w:rsidR="00060CC0" w:rsidP="00060CC0" w:rsidRDefault="00060CC0" w14:paraId="45EDA726" w14:textId="77777777">
      <w:pPr>
        <w:tabs>
          <w:tab w:val="right" w:pos="8910"/>
        </w:tabs>
        <w:spacing w:after="0" w:line="240" w:lineRule="auto"/>
        <w:rPr>
          <w:rFonts w:ascii="Palatino Linotype" w:hAnsi="Palatino Linotype" w:eastAsia="Palatino" w:cs="Palatino"/>
          <w:color w:val="000000" w:themeColor="text1"/>
          <w:sz w:val="24"/>
          <w:szCs w:val="24"/>
        </w:rPr>
      </w:pPr>
    </w:p>
    <w:p w:rsidRPr="00C54AEE" w:rsidR="00060CC0" w:rsidP="00060CC0" w:rsidRDefault="00060CC0" w14:paraId="493225F0" w14:textId="77777777">
      <w:pPr>
        <w:tabs>
          <w:tab w:val="right" w:pos="8910"/>
        </w:tabs>
        <w:spacing w:after="0" w:line="240" w:lineRule="auto"/>
        <w:ind w:left="1440" w:firstLine="720"/>
        <w:rPr>
          <w:rFonts w:ascii="Palatino Linotype" w:hAnsi="Palatino Linotype" w:eastAsia="Palatino" w:cs="Palatino"/>
          <w:color w:val="000000" w:themeColor="text1"/>
          <w:sz w:val="24"/>
          <w:szCs w:val="24"/>
        </w:rPr>
      </w:pPr>
    </w:p>
    <w:p w:rsidRPr="00060CC0" w:rsidR="00060CC0" w:rsidP="00060CC0" w:rsidRDefault="00060CC0" w14:paraId="45D56787" w14:textId="26F19311">
      <w:pPr>
        <w:pStyle w:val="Res-Caption"/>
        <w:jc w:val="center"/>
        <w:rPr>
          <w:rFonts w:ascii="Helvetica" w:hAnsi="Helvetica" w:eastAsia="Palatino" w:cs="Helvetica"/>
          <w:b/>
          <w:bCs/>
          <w:color w:val="000000" w:themeColor="text1"/>
          <w:sz w:val="24"/>
          <w:szCs w:val="24"/>
        </w:rPr>
      </w:pPr>
      <w:r w:rsidRPr="00060CC0">
        <w:rPr>
          <w:rFonts w:ascii="Helvetica" w:hAnsi="Helvetica" w:eastAsia="Helvetica" w:cs="Helvetica"/>
          <w:b/>
          <w:bCs/>
          <w:color w:val="000000" w:themeColor="text1"/>
          <w:spacing w:val="90"/>
          <w:u w:val="single"/>
        </w:rPr>
        <w:t>RESOLUTION</w:t>
      </w:r>
    </w:p>
    <w:p w:rsidRPr="00060CC0" w:rsidR="00B01EC7" w:rsidP="00060CC0" w:rsidRDefault="2F33EBFD" w14:paraId="74B12C7B" w14:textId="4EBD0E2B">
      <w:pPr>
        <w:pStyle w:val="Res-Caption"/>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Resolution E-</w:t>
      </w:r>
      <w:r w:rsidRPr="00060CC0" w:rsidR="4E16CEB7">
        <w:rPr>
          <w:rFonts w:ascii="Palatino Linotype" w:hAnsi="Palatino Linotype" w:eastAsia="Palatino" w:cs="Palatino"/>
          <w:color w:val="000000" w:themeColor="text1"/>
          <w:sz w:val="24"/>
          <w:szCs w:val="24"/>
        </w:rPr>
        <w:t>5388</w:t>
      </w:r>
      <w:r w:rsidRPr="00060CC0">
        <w:rPr>
          <w:rFonts w:ascii="Palatino Linotype" w:hAnsi="Palatino Linotype" w:eastAsia="Palatino" w:cs="Palatino"/>
          <w:color w:val="000000" w:themeColor="text1"/>
          <w:sz w:val="24"/>
          <w:szCs w:val="24"/>
        </w:rPr>
        <w:t>.  Southern California Edison Request for Deviation from S</w:t>
      </w:r>
      <w:r w:rsidRPr="00060CC0" w:rsidR="20D35456">
        <w:rPr>
          <w:rFonts w:ascii="Palatino Linotype" w:hAnsi="Palatino Linotype" w:eastAsia="Palatino" w:cs="Palatino"/>
          <w:color w:val="000000" w:themeColor="text1"/>
          <w:sz w:val="24"/>
          <w:szCs w:val="24"/>
        </w:rPr>
        <w:t>chedule EDR-A, Economic Development Rate – Attraction to Extend Customer Start Date</w:t>
      </w:r>
      <w:r w:rsidRPr="00060CC0">
        <w:rPr>
          <w:rFonts w:ascii="Palatino Linotype" w:hAnsi="Palatino Linotype" w:eastAsia="Palatino" w:cs="Palatino"/>
          <w:color w:val="000000" w:themeColor="text1"/>
          <w:sz w:val="24"/>
          <w:szCs w:val="24"/>
        </w:rPr>
        <w:t xml:space="preserve"> </w:t>
      </w:r>
    </w:p>
    <w:p w:rsidRPr="00060CC0" w:rsidR="00B01EC7" w:rsidP="00522C03" w:rsidRDefault="00B01EC7" w14:paraId="6D1BCF9F" w14:textId="1B1C7DB6">
      <w:pPr>
        <w:pStyle w:val="Res-Caption"/>
        <w:spacing w:after="0"/>
        <w:rPr>
          <w:rFonts w:ascii="Palatino Linotype" w:hAnsi="Palatino Linotype" w:eastAsia="Palatino" w:cs="Palatino"/>
          <w:color w:val="000000" w:themeColor="text1"/>
          <w:sz w:val="24"/>
          <w:szCs w:val="24"/>
        </w:rPr>
      </w:pPr>
    </w:p>
    <w:p w:rsidRPr="00060CC0" w:rsidR="00B01EC7" w:rsidP="4A529F21" w:rsidRDefault="2F33EBFD" w14:paraId="0D0542F2" w14:textId="59641D51">
      <w:pPr>
        <w:pStyle w:val="Res-Caption"/>
        <w:rPr>
          <w:rFonts w:ascii="Palatino Linotype" w:hAnsi="Palatino Linotype" w:eastAsia="Palatino Linotype" w:cs="Palatino Linotype"/>
          <w:color w:val="000000" w:themeColor="text1"/>
          <w:sz w:val="24"/>
          <w:szCs w:val="24"/>
        </w:rPr>
      </w:pPr>
      <w:r w:rsidRPr="00060CC0">
        <w:rPr>
          <w:rFonts w:ascii="Palatino Linotype" w:hAnsi="Palatino Linotype" w:eastAsia="Palatino" w:cs="Palatino"/>
          <w:color w:val="000000" w:themeColor="text1"/>
          <w:sz w:val="24"/>
          <w:szCs w:val="24"/>
        </w:rPr>
        <w:t>PROPOSED OUTCOME</w:t>
      </w:r>
      <w:r w:rsidRPr="00060CC0">
        <w:rPr>
          <w:rFonts w:ascii="Palatino Linotype" w:hAnsi="Palatino Linotype" w:eastAsia="Palatino Linotype" w:cs="Palatino Linotype"/>
          <w:color w:val="000000" w:themeColor="text1"/>
          <w:sz w:val="24"/>
          <w:szCs w:val="24"/>
        </w:rPr>
        <w:t xml:space="preserve">: </w:t>
      </w:r>
    </w:p>
    <w:p w:rsidRPr="00060CC0" w:rsidR="00B01EC7" w:rsidP="4A529F21" w:rsidRDefault="1221F5DE" w14:paraId="6B15AAEC" w14:textId="2AEA4172">
      <w:pPr>
        <w:pStyle w:val="Res-Caption"/>
        <w:numPr>
          <w:ilvl w:val="1"/>
          <w:numId w:val="6"/>
        </w:numPr>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Approves</w:t>
      </w:r>
      <w:r w:rsidRPr="00060CC0" w:rsidR="30F07B93">
        <w:rPr>
          <w:rFonts w:ascii="Palatino Linotype" w:hAnsi="Palatino Linotype" w:eastAsia="Palatino Linotype" w:cs="Palatino Linotype"/>
          <w:color w:val="000000" w:themeColor="text1"/>
          <w:sz w:val="24"/>
          <w:szCs w:val="24"/>
        </w:rPr>
        <w:t xml:space="preserve"> </w:t>
      </w:r>
      <w:r w:rsidRPr="00060CC0" w:rsidR="182607F2">
        <w:rPr>
          <w:rFonts w:ascii="Palatino Linotype" w:hAnsi="Palatino Linotype" w:eastAsia="Palatino Linotype" w:cs="Palatino Linotype"/>
          <w:color w:val="000000" w:themeColor="text1"/>
          <w:sz w:val="24"/>
          <w:szCs w:val="24"/>
        </w:rPr>
        <w:t>AL 5365-E,</w:t>
      </w:r>
      <w:r w:rsidRPr="00060CC0">
        <w:rPr>
          <w:rFonts w:ascii="Palatino Linotype" w:hAnsi="Palatino Linotype" w:eastAsia="Palatino Linotype" w:cs="Palatino Linotype"/>
          <w:color w:val="000000" w:themeColor="text1"/>
          <w:sz w:val="24"/>
          <w:szCs w:val="24"/>
        </w:rPr>
        <w:t xml:space="preserve"> Southern California Edison Company’s (SCE) request to deviate from Special Condition 4</w:t>
      </w:r>
      <w:r w:rsidRPr="00060CC0" w:rsidR="66AB854F">
        <w:rPr>
          <w:rFonts w:ascii="Palatino Linotype" w:hAnsi="Palatino Linotype" w:eastAsia="Palatino Linotype" w:cs="Palatino Linotype"/>
          <w:color w:val="000000" w:themeColor="text1"/>
          <w:sz w:val="24"/>
          <w:szCs w:val="24"/>
        </w:rPr>
        <w:t xml:space="preserve"> of Schedule EDR-A (Economic Development Rate – Attraction) for Pacific Steel Group (Pacific Steel).</w:t>
      </w:r>
    </w:p>
    <w:p w:rsidRPr="00060CC0" w:rsidR="00B01EC7" w:rsidP="4A529F21" w:rsidRDefault="2F33EBFD" w14:paraId="2C661BB9" w14:textId="307501FB">
      <w:pPr>
        <w:pStyle w:val="Res-Caption"/>
        <w:numPr>
          <w:ilvl w:val="1"/>
          <w:numId w:val="6"/>
        </w:numPr>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 xml:space="preserve">Approves Southern California Edison’s (SCE) </w:t>
      </w:r>
      <w:r w:rsidRPr="00060CC0" w:rsidR="52100269">
        <w:rPr>
          <w:rFonts w:ascii="Palatino Linotype" w:hAnsi="Palatino Linotype" w:eastAsia="Palatino Linotype" w:cs="Palatino Linotype"/>
          <w:color w:val="000000" w:themeColor="text1"/>
          <w:sz w:val="24"/>
          <w:szCs w:val="24"/>
        </w:rPr>
        <w:t xml:space="preserve">request to extend the start date for the discount rate under Schedule EDR-A to </w:t>
      </w:r>
      <w:r w:rsidRPr="00060CC0" w:rsidR="39CA1077">
        <w:rPr>
          <w:rFonts w:ascii="Palatino Linotype" w:hAnsi="Palatino Linotype" w:eastAsia="Palatino Linotype" w:cs="Palatino Linotype"/>
          <w:color w:val="000000" w:themeColor="text1"/>
          <w:sz w:val="24"/>
          <w:szCs w:val="24"/>
        </w:rPr>
        <w:t>up to 60 months from the date of execution of the Agreement and Affidavit.</w:t>
      </w:r>
      <w:r w:rsidRPr="00060CC0" w:rsidR="1716636F">
        <w:rPr>
          <w:rFonts w:ascii="Palatino Linotype" w:hAnsi="Palatino Linotype" w:eastAsia="Palatino Linotype" w:cs="Palatino Linotype"/>
          <w:color w:val="000000" w:themeColor="text1"/>
          <w:sz w:val="24"/>
          <w:szCs w:val="24"/>
        </w:rPr>
        <w:t xml:space="preserve"> </w:t>
      </w:r>
      <w:r w:rsidRPr="00060CC0" w:rsidR="3353E583">
        <w:rPr>
          <w:rFonts w:ascii="Palatino Linotype" w:hAnsi="Palatino Linotype" w:eastAsia="Palatino Linotype" w:cs="Palatino Linotype"/>
          <w:color w:val="000000" w:themeColor="text1"/>
          <w:sz w:val="24"/>
          <w:szCs w:val="24"/>
        </w:rPr>
        <w:t>This constitutes a 24-month extension to the 36</w:t>
      </w:r>
      <w:r w:rsidRPr="00060CC0" w:rsidR="00F275FC">
        <w:rPr>
          <w:rFonts w:ascii="Palatino Linotype" w:hAnsi="Palatino Linotype" w:eastAsia="Palatino Linotype" w:cs="Palatino Linotype"/>
          <w:color w:val="000000" w:themeColor="text1"/>
          <w:sz w:val="24"/>
          <w:szCs w:val="24"/>
        </w:rPr>
        <w:t>-</w:t>
      </w:r>
      <w:r w:rsidRPr="00060CC0" w:rsidR="3353E583">
        <w:rPr>
          <w:rFonts w:ascii="Palatino Linotype" w:hAnsi="Palatino Linotype" w:eastAsia="Palatino Linotype" w:cs="Palatino Linotype"/>
          <w:color w:val="000000" w:themeColor="text1"/>
          <w:sz w:val="24"/>
          <w:szCs w:val="24"/>
        </w:rPr>
        <w:t>month</w:t>
      </w:r>
      <w:r w:rsidRPr="00060CC0" w:rsidR="16D06CA7">
        <w:rPr>
          <w:rFonts w:ascii="Palatino Linotype" w:hAnsi="Palatino Linotype" w:eastAsia="Palatino Linotype" w:cs="Palatino Linotype"/>
          <w:color w:val="000000" w:themeColor="text1"/>
          <w:sz w:val="24"/>
          <w:szCs w:val="24"/>
        </w:rPr>
        <w:t xml:space="preserve"> window for compliance</w:t>
      </w:r>
      <w:r w:rsidRPr="00060CC0" w:rsidR="3353E583">
        <w:rPr>
          <w:rFonts w:ascii="Palatino Linotype" w:hAnsi="Palatino Linotype" w:eastAsia="Palatino Linotype" w:cs="Palatino Linotype"/>
          <w:color w:val="000000" w:themeColor="text1"/>
          <w:sz w:val="24"/>
          <w:szCs w:val="24"/>
        </w:rPr>
        <w:t xml:space="preserve"> currently provided in Special Condition 4 of EDR-A.</w:t>
      </w:r>
    </w:p>
    <w:p w:rsidRPr="00060CC0" w:rsidR="00B01EC7" w:rsidP="00522C03" w:rsidRDefault="00B01EC7" w14:paraId="35ACAD69" w14:textId="0B74BE00">
      <w:pPr>
        <w:spacing w:after="0"/>
        <w:ind w:left="720" w:right="720"/>
        <w:rPr>
          <w:rFonts w:ascii="Palatino Linotype" w:hAnsi="Palatino Linotype" w:eastAsia="Palatino Linotype" w:cs="Palatino Linotype"/>
          <w:color w:val="000000" w:themeColor="text1"/>
          <w:sz w:val="24"/>
          <w:szCs w:val="24"/>
        </w:rPr>
      </w:pPr>
    </w:p>
    <w:p w:rsidRPr="00060CC0" w:rsidR="00B01EC7" w:rsidP="79DBD68B" w:rsidRDefault="2F33EBFD" w14:paraId="7D4FF4C7" w14:textId="4D3A3380">
      <w:pPr>
        <w:pStyle w:val="Res-Caption"/>
        <w:jc w:val="both"/>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SAFETY CONSIDERATIONS:</w:t>
      </w:r>
    </w:p>
    <w:p w:rsidRPr="00060CC0" w:rsidR="00B01EC7" w:rsidP="4A529F21" w:rsidRDefault="2F33EBFD" w14:paraId="7AE04626" w14:textId="50D3FBBE">
      <w:pPr>
        <w:pStyle w:val="Res-Caption"/>
        <w:numPr>
          <w:ilvl w:val="1"/>
          <w:numId w:val="5"/>
        </w:numPr>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 xml:space="preserve">There </w:t>
      </w:r>
      <w:proofErr w:type="gramStart"/>
      <w:r w:rsidRPr="00060CC0">
        <w:rPr>
          <w:rFonts w:ascii="Palatino Linotype" w:hAnsi="Palatino Linotype" w:eastAsia="Palatino Linotype" w:cs="Palatino Linotype"/>
          <w:color w:val="000000" w:themeColor="text1"/>
          <w:sz w:val="24"/>
          <w:szCs w:val="24"/>
        </w:rPr>
        <w:t>are</w:t>
      </w:r>
      <w:proofErr w:type="gramEnd"/>
      <w:r w:rsidRPr="00060CC0">
        <w:rPr>
          <w:rFonts w:ascii="Palatino Linotype" w:hAnsi="Palatino Linotype" w:eastAsia="Palatino Linotype" w:cs="Palatino Linotype"/>
          <w:color w:val="000000" w:themeColor="text1"/>
          <w:sz w:val="24"/>
          <w:szCs w:val="24"/>
        </w:rPr>
        <w:t xml:space="preserve"> no safety considerations associated with this resolution.</w:t>
      </w:r>
    </w:p>
    <w:p w:rsidRPr="00060CC0" w:rsidR="00B01EC7" w:rsidP="00522C03" w:rsidRDefault="00B01EC7" w14:paraId="48CB9558" w14:textId="1720C321">
      <w:pPr>
        <w:spacing w:after="0"/>
        <w:ind w:left="720" w:right="720"/>
        <w:rPr>
          <w:rFonts w:ascii="Palatino Linotype" w:hAnsi="Palatino Linotype" w:eastAsia="Palatino Linotype" w:cs="Palatino Linotype"/>
          <w:color w:val="000000" w:themeColor="text1"/>
          <w:sz w:val="24"/>
          <w:szCs w:val="24"/>
        </w:rPr>
      </w:pPr>
    </w:p>
    <w:p w:rsidRPr="00060CC0" w:rsidR="00B01EC7" w:rsidP="4A529F21" w:rsidRDefault="2F33EBFD" w14:paraId="04F64FB2" w14:textId="438490FD">
      <w:pPr>
        <w:pStyle w:val="Res-Caption"/>
        <w:rPr>
          <w:rFonts w:ascii="Palatino Linotype" w:hAnsi="Palatino Linotype" w:eastAsia="Palatino Linotype" w:cs="Palatino Linotype"/>
          <w:color w:val="000000" w:themeColor="text1"/>
          <w:sz w:val="24"/>
          <w:szCs w:val="24"/>
        </w:rPr>
      </w:pPr>
      <w:r w:rsidRPr="00060CC0">
        <w:rPr>
          <w:rFonts w:ascii="Palatino Linotype" w:hAnsi="Palatino Linotype" w:eastAsia="Palatino" w:cs="Palatino"/>
          <w:color w:val="000000" w:themeColor="text1"/>
          <w:sz w:val="24"/>
          <w:szCs w:val="24"/>
        </w:rPr>
        <w:t>ESTIMATED COST</w:t>
      </w:r>
      <w:r w:rsidRPr="00060CC0">
        <w:rPr>
          <w:rFonts w:ascii="Palatino Linotype" w:hAnsi="Palatino Linotype" w:eastAsia="Palatino Linotype" w:cs="Palatino Linotype"/>
          <w:color w:val="000000" w:themeColor="text1"/>
          <w:sz w:val="24"/>
          <w:szCs w:val="24"/>
        </w:rPr>
        <w:t xml:space="preserve">:  </w:t>
      </w:r>
    </w:p>
    <w:p w:rsidRPr="00060CC0" w:rsidR="00B01EC7" w:rsidP="4A529F21" w:rsidRDefault="4C3B718F" w14:paraId="2A57F503" w14:textId="6E605979">
      <w:pPr>
        <w:pStyle w:val="Res-Caption"/>
        <w:numPr>
          <w:ilvl w:val="1"/>
          <w:numId w:val="4"/>
        </w:numPr>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Ther</w:t>
      </w:r>
      <w:r w:rsidRPr="00060CC0" w:rsidR="3A300053">
        <w:rPr>
          <w:rFonts w:ascii="Palatino Linotype" w:hAnsi="Palatino Linotype" w:eastAsia="Palatino Linotype" w:cs="Palatino Linotype"/>
          <w:color w:val="000000" w:themeColor="text1"/>
          <w:sz w:val="24"/>
          <w:szCs w:val="24"/>
        </w:rPr>
        <w:t>e</w:t>
      </w:r>
      <w:r w:rsidRPr="00060CC0">
        <w:rPr>
          <w:rFonts w:ascii="Palatino Linotype" w:hAnsi="Palatino Linotype" w:eastAsia="Palatino Linotype" w:cs="Palatino Linotype"/>
          <w:color w:val="000000" w:themeColor="text1"/>
          <w:sz w:val="24"/>
          <w:szCs w:val="24"/>
        </w:rPr>
        <w:t xml:space="preserve"> are no cost</w:t>
      </w:r>
      <w:r w:rsidRPr="00060CC0" w:rsidR="1378D5FD">
        <w:rPr>
          <w:rFonts w:ascii="Palatino Linotype" w:hAnsi="Palatino Linotype" w:eastAsia="Palatino Linotype" w:cs="Palatino Linotype"/>
          <w:color w:val="000000" w:themeColor="text1"/>
          <w:sz w:val="24"/>
          <w:szCs w:val="24"/>
        </w:rPr>
        <w:t>s</w:t>
      </w:r>
      <w:r w:rsidRPr="00060CC0">
        <w:rPr>
          <w:rFonts w:ascii="Palatino Linotype" w:hAnsi="Palatino Linotype" w:eastAsia="Palatino Linotype" w:cs="Palatino Linotype"/>
          <w:color w:val="000000" w:themeColor="text1"/>
          <w:sz w:val="24"/>
          <w:szCs w:val="24"/>
        </w:rPr>
        <w:t xml:space="preserve"> associated with this resolution.</w:t>
      </w:r>
    </w:p>
    <w:p w:rsidRPr="00060CC0" w:rsidR="00B01EC7" w:rsidP="7603CEAC" w:rsidRDefault="2F33EBFD" w14:paraId="68C9864C" w14:textId="009F3407">
      <w:pPr>
        <w:pStyle w:val="Res-Caption"/>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 xml:space="preserve">By Advice Letter </w:t>
      </w:r>
      <w:r w:rsidRPr="00060CC0" w:rsidR="04FD8549">
        <w:rPr>
          <w:rFonts w:ascii="Palatino Linotype" w:hAnsi="Palatino Linotype" w:eastAsia="Palatino Linotype" w:cs="Palatino Linotype"/>
          <w:color w:val="000000" w:themeColor="text1"/>
          <w:sz w:val="24"/>
          <w:szCs w:val="24"/>
        </w:rPr>
        <w:t>5365</w:t>
      </w:r>
      <w:r w:rsidRPr="00060CC0">
        <w:rPr>
          <w:rFonts w:ascii="Palatino Linotype" w:hAnsi="Palatino Linotype" w:eastAsia="Palatino Linotype" w:cs="Palatino Linotype"/>
          <w:color w:val="000000" w:themeColor="text1"/>
          <w:sz w:val="24"/>
          <w:szCs w:val="24"/>
        </w:rPr>
        <w:t xml:space="preserve">-E, Filed on </w:t>
      </w:r>
      <w:r w:rsidRPr="00060CC0" w:rsidR="4881BE4A">
        <w:rPr>
          <w:rFonts w:ascii="Palatino Linotype" w:hAnsi="Palatino Linotype" w:eastAsia="Palatino Linotype" w:cs="Palatino Linotype"/>
          <w:color w:val="000000" w:themeColor="text1"/>
          <w:sz w:val="24"/>
          <w:szCs w:val="24"/>
        </w:rPr>
        <w:t>August 30, 2024</w:t>
      </w:r>
      <w:r w:rsidRPr="00060CC0" w:rsidR="5F492054">
        <w:rPr>
          <w:rFonts w:ascii="Palatino Linotype" w:hAnsi="Palatino Linotype" w:eastAsia="Palatino Linotype" w:cs="Palatino Linotype"/>
          <w:color w:val="000000" w:themeColor="text1"/>
          <w:sz w:val="24"/>
          <w:szCs w:val="24"/>
        </w:rPr>
        <w:t>.</w:t>
      </w:r>
      <w:r w:rsidRPr="00060CC0" w:rsidR="4881BE4A">
        <w:rPr>
          <w:rFonts w:ascii="Palatino Linotype" w:hAnsi="Palatino Linotype" w:eastAsia="Palatino Linotype" w:cs="Palatino Linotype"/>
          <w:color w:val="000000" w:themeColor="text1"/>
          <w:sz w:val="24"/>
          <w:szCs w:val="24"/>
        </w:rPr>
        <w:t xml:space="preserve"> </w:t>
      </w:r>
    </w:p>
    <w:p w:rsidRPr="00060CC0" w:rsidR="00B01EC7" w:rsidP="4A529F21" w:rsidRDefault="2F33EBFD" w14:paraId="51C9E0C7" w14:textId="095743F7">
      <w:pPr>
        <w:jc w:val="center"/>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__________________________________________________________</w:t>
      </w:r>
    </w:p>
    <w:p w:rsidRPr="00060CC0" w:rsidR="00B01EC7" w:rsidP="4A529F21" w:rsidRDefault="2F33EBFD" w14:paraId="0EFC945A" w14:textId="51AEDC59">
      <w:pPr>
        <w:pStyle w:val="Heading1"/>
        <w:spacing w:before="120" w:after="240"/>
        <w:rPr>
          <w:rFonts w:ascii="Palatino Linotype" w:hAnsi="Palatino Linotype" w:eastAsia="Helvetica" w:cs="Helvetica"/>
          <w:b/>
          <w:bCs/>
          <w:caps/>
          <w:color w:val="000000" w:themeColor="text1"/>
          <w:sz w:val="24"/>
          <w:szCs w:val="24"/>
        </w:rPr>
      </w:pPr>
      <w:r w:rsidRPr="00060CC0">
        <w:rPr>
          <w:rFonts w:ascii="Palatino Linotype" w:hAnsi="Palatino Linotype" w:eastAsia="Helvetica" w:cs="Helvetica"/>
          <w:b/>
          <w:bCs/>
          <w:caps/>
          <w:color w:val="000000" w:themeColor="text1"/>
          <w:sz w:val="24"/>
          <w:szCs w:val="24"/>
          <w:u w:val="single"/>
        </w:rPr>
        <w:lastRenderedPageBreak/>
        <w:t>Summary</w:t>
      </w:r>
    </w:p>
    <w:p w:rsidRPr="00060CC0" w:rsidR="00B01EC7" w:rsidP="00576887" w:rsidRDefault="2F33EBFD" w14:paraId="034E6214" w14:textId="29007B19">
      <w:pPr>
        <w:spacing w:line="240" w:lineRule="auto"/>
        <w:rPr>
          <w:rFonts w:ascii="Palatino Linotype" w:hAnsi="Palatino Linotype" w:eastAsia="Palatino Linotype" w:cs="Palatino Linotype"/>
          <w:color w:val="000000" w:themeColor="text1"/>
          <w:sz w:val="24"/>
          <w:szCs w:val="24"/>
        </w:rPr>
      </w:pPr>
      <w:r w:rsidRPr="00060CC0">
        <w:rPr>
          <w:rFonts w:ascii="Palatino Linotype" w:hAnsi="Palatino Linotype" w:eastAsia="Palatino" w:cs="Palatino"/>
          <w:color w:val="000000" w:themeColor="text1"/>
          <w:sz w:val="24"/>
          <w:szCs w:val="24"/>
        </w:rPr>
        <w:t>This resolution approves Southern California Edison's (SCE)</w:t>
      </w:r>
      <w:r w:rsidRPr="00060CC0" w:rsidR="00D64CCB">
        <w:rPr>
          <w:rFonts w:ascii="Palatino Linotype" w:hAnsi="Palatino Linotype" w:eastAsia="Palatino" w:cs="Palatino"/>
          <w:color w:val="000000" w:themeColor="text1"/>
          <w:sz w:val="24"/>
          <w:szCs w:val="24"/>
        </w:rPr>
        <w:t xml:space="preserve"> Advice Letter 5365-E</w:t>
      </w:r>
      <w:r w:rsidRPr="00060CC0" w:rsidR="0084026A">
        <w:rPr>
          <w:rFonts w:ascii="Palatino Linotype" w:hAnsi="Palatino Linotype" w:eastAsia="Palatino" w:cs="Palatino"/>
          <w:color w:val="000000" w:themeColor="text1"/>
          <w:sz w:val="24"/>
          <w:szCs w:val="24"/>
        </w:rPr>
        <w:t xml:space="preserve">, a </w:t>
      </w:r>
      <w:r w:rsidRPr="00060CC0" w:rsidR="297874E5">
        <w:rPr>
          <w:rFonts w:ascii="Palatino Linotype" w:hAnsi="Palatino Linotype" w:eastAsia="Palatino" w:cs="Palatino"/>
          <w:color w:val="000000" w:themeColor="text1"/>
          <w:sz w:val="24"/>
          <w:szCs w:val="24"/>
        </w:rPr>
        <w:t xml:space="preserve"> </w:t>
      </w:r>
      <w:r w:rsidRPr="00060CC0" w:rsidR="5840F839">
        <w:rPr>
          <w:rFonts w:ascii="Palatino Linotype" w:hAnsi="Palatino Linotype" w:eastAsia="Palatino Linotype" w:cs="Palatino Linotype"/>
          <w:color w:val="000000" w:themeColor="text1"/>
          <w:sz w:val="24"/>
          <w:szCs w:val="24"/>
        </w:rPr>
        <w:t xml:space="preserve">request to deviate from Special Condition 4 of Schedule EDR-A (Economic Development Rate – Attraction) for Pacific Steel Group (Pacific Steel), as well as the request to extend the start date for the discount rate under Schedule EDR-A up to </w:t>
      </w:r>
      <w:r w:rsidR="00F01EEA">
        <w:rPr>
          <w:rFonts w:ascii="Palatino Linotype" w:hAnsi="Palatino Linotype" w:eastAsia="Palatino Linotype" w:cs="Palatino Linotype"/>
          <w:color w:val="000000" w:themeColor="text1"/>
          <w:sz w:val="24"/>
          <w:szCs w:val="24"/>
        </w:rPr>
        <w:br/>
      </w:r>
      <w:r w:rsidRPr="00060CC0" w:rsidR="5840F839">
        <w:rPr>
          <w:rFonts w:ascii="Palatino Linotype" w:hAnsi="Palatino Linotype" w:eastAsia="Palatino Linotype" w:cs="Palatino Linotype"/>
          <w:color w:val="000000" w:themeColor="text1"/>
          <w:sz w:val="24"/>
          <w:szCs w:val="24"/>
        </w:rPr>
        <w:t>60 months from the date of execution of the Agreement and Affidavit.</w:t>
      </w:r>
      <w:r w:rsidRPr="00060CC0" w:rsidR="0077262E">
        <w:rPr>
          <w:rFonts w:ascii="Palatino Linotype" w:hAnsi="Palatino Linotype" w:eastAsia="Palatino Linotype" w:cs="Palatino Linotype"/>
          <w:color w:val="000000" w:themeColor="text1"/>
          <w:sz w:val="24"/>
          <w:szCs w:val="24"/>
        </w:rPr>
        <w:t xml:space="preserve"> </w:t>
      </w:r>
      <w:r w:rsidRPr="00060CC0" w:rsidR="39C0962C">
        <w:rPr>
          <w:rFonts w:ascii="Palatino Linotype" w:hAnsi="Palatino Linotype" w:eastAsia="Palatino Linotype" w:cs="Palatino Linotype"/>
          <w:color w:val="000000" w:themeColor="text1"/>
          <w:sz w:val="24"/>
          <w:szCs w:val="24"/>
        </w:rPr>
        <w:t>This constitutes a 24-month extension to the 36-month</w:t>
      </w:r>
      <w:r w:rsidR="00CD6CD8">
        <w:rPr>
          <w:rFonts w:ascii="Palatino Linotype" w:hAnsi="Palatino Linotype" w:eastAsia="Palatino Linotype" w:cs="Palatino Linotype"/>
          <w:color w:val="000000" w:themeColor="text1"/>
          <w:sz w:val="24"/>
          <w:szCs w:val="24"/>
        </w:rPr>
        <w:t xml:space="preserve"> </w:t>
      </w:r>
      <w:r w:rsidRPr="00060CC0" w:rsidR="39C0962C">
        <w:rPr>
          <w:rFonts w:ascii="Palatino Linotype" w:hAnsi="Palatino Linotype" w:eastAsia="Palatino Linotype" w:cs="Palatino Linotype"/>
          <w:color w:val="000000" w:themeColor="text1"/>
          <w:sz w:val="24"/>
          <w:szCs w:val="24"/>
        </w:rPr>
        <w:t xml:space="preserve">window for compliance currently provided in Special Condition 4 of EDR-A. </w:t>
      </w:r>
      <w:r w:rsidRPr="00060CC0" w:rsidR="0077262E">
        <w:rPr>
          <w:rFonts w:ascii="Palatino Linotype" w:hAnsi="Palatino Linotype" w:eastAsia="Palatino" w:cs="Palatino"/>
          <w:color w:val="000000" w:themeColor="text1"/>
          <w:sz w:val="24"/>
          <w:szCs w:val="24"/>
        </w:rPr>
        <w:t>The resolution</w:t>
      </w:r>
      <w:r w:rsidRPr="00060CC0" w:rsidR="00071E8D">
        <w:rPr>
          <w:rFonts w:ascii="Palatino Linotype" w:hAnsi="Palatino Linotype" w:eastAsia="Palatino" w:cs="Palatino"/>
          <w:color w:val="000000" w:themeColor="text1"/>
          <w:sz w:val="24"/>
          <w:szCs w:val="24"/>
        </w:rPr>
        <w:t xml:space="preserve"> therefore extends the timeline for </w:t>
      </w:r>
      <w:r w:rsidRPr="00060CC0" w:rsidR="001329DA">
        <w:rPr>
          <w:rFonts w:ascii="Palatino Linotype" w:hAnsi="Palatino Linotype" w:eastAsia="Palatino" w:cs="Palatino"/>
          <w:color w:val="000000" w:themeColor="text1"/>
          <w:sz w:val="24"/>
          <w:szCs w:val="24"/>
        </w:rPr>
        <w:t xml:space="preserve">starting </w:t>
      </w:r>
      <w:r w:rsidRPr="00060CC0" w:rsidR="0009163B">
        <w:rPr>
          <w:rFonts w:ascii="Palatino Linotype" w:hAnsi="Palatino Linotype" w:eastAsia="Palatino" w:cs="Palatino"/>
          <w:color w:val="000000" w:themeColor="text1"/>
          <w:sz w:val="24"/>
          <w:szCs w:val="24"/>
        </w:rPr>
        <w:t xml:space="preserve">Pacific Steel’s EDR-A </w:t>
      </w:r>
      <w:r w:rsidRPr="00060CC0" w:rsidR="001329DA">
        <w:rPr>
          <w:rFonts w:ascii="Palatino Linotype" w:hAnsi="Palatino Linotype" w:eastAsia="Palatino" w:cs="Palatino"/>
          <w:color w:val="000000" w:themeColor="text1"/>
          <w:sz w:val="24"/>
          <w:szCs w:val="24"/>
        </w:rPr>
        <w:t xml:space="preserve">should its </w:t>
      </w:r>
      <w:r w:rsidRPr="00060CC0" w:rsidR="0009163B">
        <w:rPr>
          <w:rFonts w:ascii="Palatino Linotype" w:hAnsi="Palatino Linotype" w:eastAsia="Palatino" w:cs="Palatino"/>
          <w:color w:val="000000" w:themeColor="text1"/>
          <w:sz w:val="24"/>
          <w:szCs w:val="24"/>
        </w:rPr>
        <w:t>request</w:t>
      </w:r>
      <w:r w:rsidRPr="00060CC0" w:rsidR="001329DA">
        <w:rPr>
          <w:rFonts w:ascii="Palatino Linotype" w:hAnsi="Palatino Linotype" w:eastAsia="Palatino" w:cs="Palatino"/>
          <w:color w:val="000000" w:themeColor="text1"/>
          <w:sz w:val="24"/>
          <w:szCs w:val="24"/>
        </w:rPr>
        <w:t xml:space="preserve"> ultimately be approved</w:t>
      </w:r>
      <w:r w:rsidRPr="00060CC0" w:rsidR="0009163B">
        <w:rPr>
          <w:rFonts w:ascii="Palatino Linotype" w:hAnsi="Palatino Linotype" w:eastAsia="Palatino" w:cs="Palatino"/>
          <w:color w:val="000000" w:themeColor="text1"/>
          <w:sz w:val="24"/>
          <w:szCs w:val="24"/>
        </w:rPr>
        <w:t xml:space="preserve"> but</w:t>
      </w:r>
      <w:r w:rsidRPr="00060CC0" w:rsidR="0077262E">
        <w:rPr>
          <w:rFonts w:ascii="Palatino Linotype" w:hAnsi="Palatino Linotype" w:eastAsia="Palatino" w:cs="Palatino"/>
          <w:color w:val="000000" w:themeColor="text1"/>
          <w:sz w:val="24"/>
          <w:szCs w:val="24"/>
        </w:rPr>
        <w:t xml:space="preserve"> does not unilaterally approve Pacific Steel’s admission into SCE’s EDR-A program</w:t>
      </w:r>
      <w:r w:rsidRPr="00060CC0" w:rsidR="006B7BAA">
        <w:rPr>
          <w:rFonts w:ascii="Palatino Linotype" w:hAnsi="Palatino Linotype" w:eastAsia="Palatino" w:cs="Palatino"/>
          <w:color w:val="000000" w:themeColor="text1"/>
          <w:sz w:val="24"/>
          <w:szCs w:val="24"/>
        </w:rPr>
        <w:t xml:space="preserve"> at this time.</w:t>
      </w:r>
    </w:p>
    <w:p w:rsidRPr="00060CC0" w:rsidR="00B01EC7" w:rsidP="00346C8E" w:rsidRDefault="00B01EC7" w14:paraId="467F9EA7" w14:textId="4D18E0C2">
      <w:pPr>
        <w:spacing w:after="0"/>
        <w:rPr>
          <w:rFonts w:ascii="Palatino Linotype" w:hAnsi="Palatino Linotype" w:eastAsia="Palatino" w:cs="Palatino"/>
          <w:color w:val="000000" w:themeColor="text1"/>
          <w:sz w:val="24"/>
          <w:szCs w:val="24"/>
        </w:rPr>
      </w:pPr>
    </w:p>
    <w:p w:rsidRPr="00060CC0" w:rsidR="00B01EC7" w:rsidP="4A529F21" w:rsidRDefault="2F33EBFD" w14:paraId="1FE88ABD" w14:textId="008F98FE">
      <w:pPr>
        <w:pStyle w:val="Heading1"/>
        <w:spacing w:before="120" w:after="240"/>
        <w:rPr>
          <w:rFonts w:ascii="Palatino Linotype" w:hAnsi="Palatino Linotype" w:eastAsia="Helvetica" w:cs="Helvetica"/>
          <w:b/>
          <w:bCs/>
          <w:caps/>
          <w:color w:val="000000" w:themeColor="text1"/>
          <w:sz w:val="24"/>
          <w:szCs w:val="24"/>
        </w:rPr>
      </w:pPr>
      <w:r w:rsidRPr="00060CC0">
        <w:rPr>
          <w:rFonts w:ascii="Palatino Linotype" w:hAnsi="Palatino Linotype" w:eastAsia="Helvetica" w:cs="Helvetica"/>
          <w:b/>
          <w:bCs/>
          <w:caps/>
          <w:color w:val="000000" w:themeColor="text1"/>
          <w:sz w:val="24"/>
          <w:szCs w:val="24"/>
          <w:u w:val="single"/>
        </w:rPr>
        <w:t>Background</w:t>
      </w:r>
    </w:p>
    <w:p w:rsidR="00B01EC7" w:rsidP="00356A4D" w:rsidRDefault="503D5AA1" w14:paraId="676BB1B9" w14:textId="0F78F9F5">
      <w:pPr>
        <w:spacing w:after="0"/>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 xml:space="preserve">Since 1996, the </w:t>
      </w:r>
      <w:r w:rsidRPr="00060CC0" w:rsidR="009E2A45">
        <w:rPr>
          <w:rFonts w:ascii="Palatino Linotype" w:hAnsi="Palatino Linotype" w:eastAsia="Palatino" w:cs="Palatino"/>
          <w:color w:val="000000" w:themeColor="text1"/>
          <w:sz w:val="24"/>
          <w:szCs w:val="24"/>
        </w:rPr>
        <w:t>California Public Utilities Commission (</w:t>
      </w:r>
      <w:r w:rsidRPr="00060CC0">
        <w:rPr>
          <w:rFonts w:ascii="Palatino Linotype" w:hAnsi="Palatino Linotype" w:eastAsia="Palatino" w:cs="Palatino"/>
          <w:color w:val="000000" w:themeColor="text1"/>
          <w:sz w:val="24"/>
          <w:szCs w:val="24"/>
        </w:rPr>
        <w:t>Commission</w:t>
      </w:r>
      <w:r w:rsidRPr="00060CC0" w:rsidR="009E2A45">
        <w:rPr>
          <w:rFonts w:ascii="Palatino Linotype" w:hAnsi="Palatino Linotype" w:eastAsia="Palatino" w:cs="Palatino"/>
          <w:color w:val="000000" w:themeColor="text1"/>
          <w:sz w:val="24"/>
          <w:szCs w:val="24"/>
        </w:rPr>
        <w:t>)</w:t>
      </w:r>
      <w:r w:rsidRPr="00060CC0">
        <w:rPr>
          <w:rFonts w:ascii="Palatino Linotype" w:hAnsi="Palatino Linotype" w:eastAsia="Palatino" w:cs="Palatino"/>
          <w:color w:val="000000" w:themeColor="text1"/>
          <w:sz w:val="24"/>
          <w:szCs w:val="24"/>
        </w:rPr>
        <w:t xml:space="preserve"> has </w:t>
      </w:r>
      <w:r w:rsidRPr="00060CC0" w:rsidR="00FA338C">
        <w:rPr>
          <w:rFonts w:ascii="Palatino Linotype" w:hAnsi="Palatino Linotype" w:eastAsia="Palatino" w:cs="Palatino"/>
          <w:color w:val="000000" w:themeColor="text1"/>
          <w:sz w:val="24"/>
          <w:szCs w:val="24"/>
        </w:rPr>
        <w:t xml:space="preserve">been authorized to oversee </w:t>
      </w:r>
      <w:r w:rsidRPr="00060CC0">
        <w:rPr>
          <w:rFonts w:ascii="Palatino Linotype" w:hAnsi="Palatino Linotype" w:eastAsia="Palatino" w:cs="Palatino"/>
          <w:color w:val="000000" w:themeColor="text1"/>
          <w:sz w:val="24"/>
          <w:szCs w:val="24"/>
        </w:rPr>
        <w:t xml:space="preserve">SCE’s Economic Development Rate (EDR) program, which </w:t>
      </w:r>
      <w:r w:rsidRPr="00060CC0" w:rsidR="6F111DE6">
        <w:rPr>
          <w:rFonts w:ascii="Palatino Linotype" w:hAnsi="Palatino Linotype" w:eastAsia="Palatino" w:cs="Palatino"/>
          <w:color w:val="000000" w:themeColor="text1"/>
          <w:sz w:val="24"/>
          <w:szCs w:val="24"/>
        </w:rPr>
        <w:t xml:space="preserve">facilitates </w:t>
      </w:r>
      <w:r w:rsidRPr="00060CC0">
        <w:rPr>
          <w:rFonts w:ascii="Palatino Linotype" w:hAnsi="Palatino Linotype" w:eastAsia="Palatino" w:cs="Palatino"/>
          <w:color w:val="000000" w:themeColor="text1"/>
          <w:sz w:val="24"/>
          <w:szCs w:val="24"/>
        </w:rPr>
        <w:t xml:space="preserve">the important policy goal of retaining, attracting, and expanding load in California. The Commission’s approval of SCE’s EDR </w:t>
      </w:r>
      <w:proofErr w:type="gramStart"/>
      <w:r w:rsidRPr="00060CC0">
        <w:rPr>
          <w:rFonts w:ascii="Palatino Linotype" w:hAnsi="Palatino Linotype" w:eastAsia="Palatino" w:cs="Palatino"/>
          <w:color w:val="000000" w:themeColor="text1"/>
          <w:sz w:val="24"/>
          <w:szCs w:val="24"/>
        </w:rPr>
        <w:t>program effectuates</w:t>
      </w:r>
      <w:proofErr w:type="gramEnd"/>
      <w:r w:rsidRPr="00060CC0">
        <w:rPr>
          <w:rFonts w:ascii="Palatino Linotype" w:hAnsi="Palatino Linotype" w:eastAsia="Palatino" w:cs="Palatino"/>
          <w:color w:val="000000" w:themeColor="text1"/>
          <w:sz w:val="24"/>
          <w:szCs w:val="24"/>
        </w:rPr>
        <w:t xml:space="preserve"> California Public Utilities </w:t>
      </w:r>
      <w:r w:rsidRPr="00060CC0" w:rsidR="00FD4042">
        <w:rPr>
          <w:rFonts w:ascii="Palatino Linotype" w:hAnsi="Palatino Linotype" w:eastAsia="Palatino" w:cs="Palatino"/>
          <w:color w:val="000000" w:themeColor="text1"/>
          <w:sz w:val="24"/>
          <w:szCs w:val="24"/>
        </w:rPr>
        <w:t xml:space="preserve">(PU) </w:t>
      </w:r>
      <w:r w:rsidRPr="00060CC0">
        <w:rPr>
          <w:rFonts w:ascii="Palatino Linotype" w:hAnsi="Palatino Linotype" w:eastAsia="Palatino" w:cs="Palatino"/>
          <w:color w:val="000000" w:themeColor="text1"/>
          <w:sz w:val="24"/>
          <w:szCs w:val="24"/>
        </w:rPr>
        <w:t>Code Section 740.4, which provides that the Commission authorize public utilities to engage in programs to encourage economic development. As a result, in addition to Schedule EDR-A, the Commission has approved two other economic development tariffs: Schedules EDR-R, Economic Development Rate – Retention, and Schedule EDR-E, Economic Development Rate – Expansion.</w:t>
      </w:r>
    </w:p>
    <w:p w:rsidRPr="00060CC0" w:rsidR="00356A4D" w:rsidP="00356A4D" w:rsidRDefault="00356A4D" w14:paraId="2F4EA88C" w14:textId="77777777">
      <w:pPr>
        <w:spacing w:after="0"/>
        <w:rPr>
          <w:rFonts w:ascii="Palatino Linotype" w:hAnsi="Palatino Linotype" w:eastAsia="Palatino" w:cs="Palatino"/>
          <w:color w:val="000000" w:themeColor="text1"/>
          <w:sz w:val="24"/>
          <w:szCs w:val="24"/>
        </w:rPr>
      </w:pPr>
    </w:p>
    <w:p w:rsidR="0084026A" w:rsidP="00356A4D" w:rsidRDefault="00C53B42" w14:paraId="2BF8324D" w14:textId="681184A3">
      <w:pPr>
        <w:spacing w:after="0"/>
        <w:jc w:val="both"/>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On August 30, 2024, S</w:t>
      </w:r>
      <w:r w:rsidRPr="00060CC0" w:rsidR="002523D8">
        <w:rPr>
          <w:rFonts w:ascii="Palatino Linotype" w:hAnsi="Palatino Linotype" w:eastAsia="Palatino" w:cs="Palatino"/>
          <w:color w:val="000000" w:themeColor="text1"/>
          <w:sz w:val="24"/>
          <w:szCs w:val="24"/>
        </w:rPr>
        <w:t>CE filed Advice Letter (AL) 5365-E</w:t>
      </w:r>
      <w:r w:rsidRPr="00060CC0" w:rsidR="003A56B6">
        <w:rPr>
          <w:rFonts w:ascii="Palatino Linotype" w:hAnsi="Palatino Linotype" w:eastAsia="Palatino" w:cs="Palatino"/>
          <w:color w:val="000000" w:themeColor="text1"/>
          <w:sz w:val="24"/>
          <w:szCs w:val="24"/>
        </w:rPr>
        <w:t>, requesting deviation fro</w:t>
      </w:r>
      <w:r w:rsidRPr="00060CC0" w:rsidR="0084026A">
        <w:rPr>
          <w:rFonts w:ascii="Palatino Linotype" w:hAnsi="Palatino Linotype" w:eastAsia="Palatino" w:cs="Palatino"/>
          <w:color w:val="000000" w:themeColor="text1"/>
          <w:sz w:val="24"/>
          <w:szCs w:val="24"/>
        </w:rPr>
        <w:t xml:space="preserve">m Special Condition 4 of </w:t>
      </w:r>
      <w:r w:rsidRPr="00060CC0" w:rsidR="003A56B6">
        <w:rPr>
          <w:rFonts w:ascii="Palatino Linotype" w:hAnsi="Palatino Linotype" w:eastAsia="Palatino" w:cs="Palatino"/>
          <w:color w:val="000000" w:themeColor="text1"/>
          <w:sz w:val="24"/>
          <w:szCs w:val="24"/>
        </w:rPr>
        <w:t>Schedule EDR-A for an extension of time</w:t>
      </w:r>
      <w:r w:rsidRPr="00060CC0" w:rsidR="00F55523">
        <w:rPr>
          <w:rFonts w:ascii="Palatino Linotype" w:hAnsi="Palatino Linotype" w:eastAsia="Palatino" w:cs="Palatino"/>
          <w:color w:val="000000" w:themeColor="text1"/>
          <w:sz w:val="24"/>
          <w:szCs w:val="24"/>
        </w:rPr>
        <w:t xml:space="preserve"> to the customer</w:t>
      </w:r>
      <w:r w:rsidRPr="00060CC0" w:rsidR="00ED1629">
        <w:rPr>
          <w:rFonts w:ascii="Palatino Linotype" w:hAnsi="Palatino Linotype" w:eastAsia="Palatino" w:cs="Palatino"/>
          <w:color w:val="000000" w:themeColor="text1"/>
          <w:sz w:val="24"/>
          <w:szCs w:val="24"/>
        </w:rPr>
        <w:t>’s</w:t>
      </w:r>
      <w:r w:rsidRPr="00060CC0" w:rsidR="00F55523">
        <w:rPr>
          <w:rFonts w:ascii="Palatino Linotype" w:hAnsi="Palatino Linotype" w:eastAsia="Palatino" w:cs="Palatino"/>
          <w:color w:val="000000" w:themeColor="text1"/>
          <w:sz w:val="24"/>
          <w:szCs w:val="24"/>
        </w:rPr>
        <w:t xml:space="preserve"> start date</w:t>
      </w:r>
      <w:r w:rsidRPr="00060CC0" w:rsidR="00261686">
        <w:rPr>
          <w:rFonts w:ascii="Palatino Linotype" w:hAnsi="Palatino Linotype" w:eastAsia="Palatino" w:cs="Palatino"/>
          <w:color w:val="000000" w:themeColor="text1"/>
          <w:sz w:val="24"/>
          <w:szCs w:val="24"/>
        </w:rPr>
        <w:t>.</w:t>
      </w:r>
      <w:r w:rsidRPr="00060CC0" w:rsidR="008F0B2B">
        <w:rPr>
          <w:rFonts w:ascii="Palatino Linotype" w:hAnsi="Palatino Linotype" w:eastAsia="Palatino" w:cs="Palatino"/>
          <w:color w:val="000000" w:themeColor="text1"/>
          <w:sz w:val="24"/>
          <w:szCs w:val="24"/>
        </w:rPr>
        <w:t xml:space="preserve"> </w:t>
      </w:r>
      <w:r w:rsidRPr="00060CC0" w:rsidR="7414CB56">
        <w:rPr>
          <w:rFonts w:ascii="Palatino Linotype" w:hAnsi="Palatino Linotype" w:eastAsia="Palatino" w:cs="Palatino"/>
          <w:color w:val="000000" w:themeColor="text1"/>
          <w:sz w:val="24"/>
          <w:szCs w:val="24"/>
        </w:rPr>
        <w:t xml:space="preserve">Pacific Steel </w:t>
      </w:r>
      <w:r w:rsidRPr="00060CC0" w:rsidR="1C5E8B97">
        <w:rPr>
          <w:rFonts w:ascii="Palatino Linotype" w:hAnsi="Palatino Linotype" w:eastAsia="Palatino" w:cs="Palatino"/>
          <w:color w:val="000000" w:themeColor="text1"/>
          <w:sz w:val="24"/>
          <w:szCs w:val="24"/>
        </w:rPr>
        <w:t xml:space="preserve">provided </w:t>
      </w:r>
      <w:r w:rsidRPr="00060CC0" w:rsidR="25E4F32E">
        <w:rPr>
          <w:rFonts w:ascii="Palatino Linotype" w:hAnsi="Palatino Linotype" w:eastAsia="Palatino" w:cs="Palatino"/>
          <w:color w:val="000000" w:themeColor="text1"/>
          <w:sz w:val="24"/>
          <w:szCs w:val="24"/>
        </w:rPr>
        <w:t xml:space="preserve">a Letter of Intent </w:t>
      </w:r>
      <w:r w:rsidRPr="00060CC0" w:rsidR="1C5E8B97">
        <w:rPr>
          <w:rFonts w:ascii="Palatino Linotype" w:hAnsi="Palatino Linotype" w:eastAsia="Palatino" w:cs="Palatino"/>
          <w:color w:val="000000" w:themeColor="text1"/>
          <w:sz w:val="24"/>
          <w:szCs w:val="24"/>
        </w:rPr>
        <w:t>to SCE</w:t>
      </w:r>
      <w:r w:rsidRPr="00060CC0" w:rsidR="7E41A06B">
        <w:rPr>
          <w:rFonts w:ascii="Palatino Linotype" w:hAnsi="Palatino Linotype" w:eastAsia="Palatino" w:cs="Palatino"/>
          <w:color w:val="000000" w:themeColor="text1"/>
          <w:sz w:val="24"/>
          <w:szCs w:val="24"/>
        </w:rPr>
        <w:t xml:space="preserve"> indicat</w:t>
      </w:r>
      <w:r w:rsidRPr="00060CC0" w:rsidR="284173D7">
        <w:rPr>
          <w:rFonts w:ascii="Palatino Linotype" w:hAnsi="Palatino Linotype" w:eastAsia="Palatino" w:cs="Palatino"/>
          <w:color w:val="000000" w:themeColor="text1"/>
          <w:sz w:val="24"/>
          <w:szCs w:val="24"/>
        </w:rPr>
        <w:t>i</w:t>
      </w:r>
      <w:r w:rsidRPr="00060CC0" w:rsidR="7E41A06B">
        <w:rPr>
          <w:rFonts w:ascii="Palatino Linotype" w:hAnsi="Palatino Linotype" w:eastAsia="Palatino" w:cs="Palatino"/>
          <w:color w:val="000000" w:themeColor="text1"/>
          <w:sz w:val="24"/>
          <w:szCs w:val="24"/>
        </w:rPr>
        <w:t xml:space="preserve">ng </w:t>
      </w:r>
      <w:r w:rsidRPr="00060CC0" w:rsidR="00B50DC6">
        <w:rPr>
          <w:rFonts w:ascii="Palatino Linotype" w:hAnsi="Palatino Linotype" w:eastAsia="Palatino" w:cs="Palatino"/>
          <w:color w:val="000000" w:themeColor="text1"/>
          <w:sz w:val="24"/>
          <w:szCs w:val="24"/>
        </w:rPr>
        <w:t xml:space="preserve">its </w:t>
      </w:r>
      <w:r w:rsidRPr="00060CC0" w:rsidR="7E41A06B">
        <w:rPr>
          <w:rFonts w:ascii="Palatino Linotype" w:hAnsi="Palatino Linotype" w:eastAsia="Palatino" w:cs="Palatino"/>
          <w:color w:val="000000" w:themeColor="text1"/>
          <w:sz w:val="24"/>
          <w:szCs w:val="24"/>
        </w:rPr>
        <w:t xml:space="preserve">intent to apply </w:t>
      </w:r>
      <w:r w:rsidRPr="00060CC0" w:rsidR="7414CB56">
        <w:rPr>
          <w:rFonts w:ascii="Palatino Linotype" w:hAnsi="Palatino Linotype" w:eastAsia="Palatino" w:cs="Palatino"/>
          <w:color w:val="000000" w:themeColor="text1"/>
          <w:sz w:val="24"/>
          <w:szCs w:val="24"/>
        </w:rPr>
        <w:t xml:space="preserve">for </w:t>
      </w:r>
      <w:r w:rsidRPr="00060CC0" w:rsidR="005843E3">
        <w:rPr>
          <w:rFonts w:ascii="Palatino Linotype" w:hAnsi="Palatino Linotype" w:eastAsia="Palatino" w:cs="Palatino"/>
          <w:color w:val="000000" w:themeColor="text1"/>
          <w:sz w:val="24"/>
          <w:szCs w:val="24"/>
        </w:rPr>
        <w:t>program</w:t>
      </w:r>
      <w:r w:rsidRPr="00060CC0" w:rsidR="005D1822">
        <w:rPr>
          <w:rFonts w:ascii="Palatino Linotype" w:hAnsi="Palatino Linotype" w:eastAsia="Palatino" w:cs="Palatino"/>
          <w:color w:val="000000" w:themeColor="text1"/>
          <w:sz w:val="24"/>
          <w:szCs w:val="24"/>
        </w:rPr>
        <w:t xml:space="preserve"> </w:t>
      </w:r>
      <w:r w:rsidRPr="00060CC0" w:rsidR="00C4066F">
        <w:rPr>
          <w:rFonts w:ascii="Palatino Linotype" w:hAnsi="Palatino Linotype" w:eastAsia="Palatino" w:cs="Palatino"/>
          <w:color w:val="000000" w:themeColor="text1"/>
          <w:sz w:val="24"/>
          <w:szCs w:val="24"/>
        </w:rPr>
        <w:t>eligibility</w:t>
      </w:r>
      <w:r w:rsidRPr="00060CC0" w:rsidR="7414CB56">
        <w:rPr>
          <w:rFonts w:ascii="Palatino Linotype" w:hAnsi="Palatino Linotype" w:eastAsia="Palatino" w:cs="Palatino"/>
          <w:color w:val="000000" w:themeColor="text1"/>
          <w:sz w:val="24"/>
          <w:szCs w:val="24"/>
        </w:rPr>
        <w:t xml:space="preserve"> under Schedule EDR-A, which provides a 12 percent discount off a qualified customer’s otherwise applicable tariff. </w:t>
      </w:r>
      <w:r w:rsidRPr="00060CC0" w:rsidR="00346F1D">
        <w:rPr>
          <w:rFonts w:ascii="Palatino Linotype" w:hAnsi="Palatino Linotype" w:eastAsia="Palatino" w:cs="Palatino"/>
          <w:color w:val="000000" w:themeColor="text1"/>
          <w:sz w:val="24"/>
          <w:szCs w:val="24"/>
        </w:rPr>
        <w:t>Pacific Steel</w:t>
      </w:r>
      <w:r w:rsidRPr="00060CC0" w:rsidR="7414CB56">
        <w:rPr>
          <w:rFonts w:ascii="Palatino Linotype" w:hAnsi="Palatino Linotype" w:eastAsia="Palatino" w:cs="Palatino"/>
          <w:color w:val="000000" w:themeColor="text1"/>
          <w:sz w:val="24"/>
          <w:szCs w:val="24"/>
        </w:rPr>
        <w:t xml:space="preserve"> is contemplating the construction of a steel recycling mill in Mojave, California</w:t>
      </w:r>
      <w:r w:rsidRPr="00060CC0" w:rsidR="002B238D">
        <w:rPr>
          <w:rFonts w:ascii="Palatino Linotype" w:hAnsi="Palatino Linotype" w:eastAsia="Palatino" w:cs="Palatino"/>
          <w:color w:val="000000" w:themeColor="text1"/>
          <w:sz w:val="24"/>
          <w:szCs w:val="24"/>
        </w:rPr>
        <w:t>, and</w:t>
      </w:r>
      <w:r w:rsidRPr="00060CC0" w:rsidR="7414CB56">
        <w:rPr>
          <w:rFonts w:ascii="Palatino Linotype" w:hAnsi="Palatino Linotype" w:eastAsia="Palatino" w:cs="Palatino"/>
          <w:color w:val="000000" w:themeColor="text1"/>
          <w:sz w:val="24"/>
          <w:szCs w:val="24"/>
        </w:rPr>
        <w:t xml:space="preserve"> plans to invest approximately $630 million in the project, which the company anticipates will create 400 full time jobs and generate over 1,600 additional jobs and economic benefits for the state. </w:t>
      </w:r>
    </w:p>
    <w:p w:rsidRPr="00060CC0" w:rsidR="00356A4D" w:rsidP="00356A4D" w:rsidRDefault="00356A4D" w14:paraId="26122E75" w14:textId="77777777">
      <w:pPr>
        <w:spacing w:after="0"/>
        <w:jc w:val="both"/>
        <w:rPr>
          <w:rFonts w:ascii="Palatino Linotype" w:hAnsi="Palatino Linotype" w:eastAsia="Palatino" w:cs="Palatino"/>
          <w:color w:val="000000" w:themeColor="text1"/>
          <w:sz w:val="24"/>
          <w:szCs w:val="24"/>
        </w:rPr>
      </w:pPr>
    </w:p>
    <w:p w:rsidR="00EB421C" w:rsidP="00356A4D" w:rsidRDefault="7414CB56" w14:paraId="0A910594" w14:textId="35669F5B">
      <w:pPr>
        <w:spacing w:after="0"/>
        <w:jc w:val="both"/>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 xml:space="preserve">Pacific Steel seeks to participate in SCE’s EDR program and qualify for the economic rate discount because of the challenges it faces in locating </w:t>
      </w:r>
      <w:r w:rsidRPr="00060CC0" w:rsidR="00204637">
        <w:rPr>
          <w:rFonts w:ascii="Palatino Linotype" w:hAnsi="Palatino Linotype" w:eastAsia="Palatino" w:cs="Palatino"/>
          <w:color w:val="000000" w:themeColor="text1"/>
          <w:sz w:val="24"/>
          <w:szCs w:val="24"/>
        </w:rPr>
        <w:t>its operations in</w:t>
      </w:r>
      <w:r w:rsidRPr="00060CC0">
        <w:rPr>
          <w:rFonts w:ascii="Palatino Linotype" w:hAnsi="Palatino Linotype" w:eastAsia="Palatino" w:cs="Palatino"/>
          <w:color w:val="000000" w:themeColor="text1"/>
          <w:sz w:val="24"/>
          <w:szCs w:val="24"/>
        </w:rPr>
        <w:t xml:space="preserve"> </w:t>
      </w:r>
      <w:proofErr w:type="gramStart"/>
      <w:r w:rsidRPr="00060CC0">
        <w:rPr>
          <w:rFonts w:ascii="Palatino Linotype" w:hAnsi="Palatino Linotype" w:eastAsia="Palatino" w:cs="Palatino"/>
          <w:color w:val="000000" w:themeColor="text1"/>
          <w:sz w:val="24"/>
          <w:szCs w:val="24"/>
        </w:rPr>
        <w:t>California,.</w:t>
      </w:r>
      <w:proofErr w:type="gramEnd"/>
      <w:r w:rsidRPr="00060CC0">
        <w:rPr>
          <w:rFonts w:ascii="Palatino Linotype" w:hAnsi="Palatino Linotype" w:eastAsia="Palatino" w:cs="Palatino"/>
          <w:color w:val="000000" w:themeColor="text1"/>
          <w:sz w:val="24"/>
          <w:szCs w:val="24"/>
        </w:rPr>
        <w:t xml:space="preserve"> According to Pacific Steel, electricity is the second highest cost of production</w:t>
      </w:r>
      <w:r w:rsidRPr="00060CC0" w:rsidR="00D7191D">
        <w:rPr>
          <w:rFonts w:ascii="Palatino Linotype" w:hAnsi="Palatino Linotype" w:eastAsia="Palatino" w:cs="Palatino"/>
          <w:color w:val="000000" w:themeColor="text1"/>
          <w:sz w:val="24"/>
          <w:szCs w:val="24"/>
        </w:rPr>
        <w:t xml:space="preserve"> behind</w:t>
      </w:r>
      <w:r w:rsidRPr="00060CC0">
        <w:rPr>
          <w:rFonts w:ascii="Palatino Linotype" w:hAnsi="Palatino Linotype" w:eastAsia="Palatino" w:cs="Palatino"/>
          <w:color w:val="000000" w:themeColor="text1"/>
          <w:sz w:val="24"/>
          <w:szCs w:val="24"/>
        </w:rPr>
        <w:t xml:space="preserve"> the cost of raw material scrap metal. Customers that are approved by SCE for the EDR </w:t>
      </w:r>
      <w:r w:rsidRPr="00060CC0">
        <w:rPr>
          <w:rFonts w:ascii="Palatino Linotype" w:hAnsi="Palatino Linotype" w:eastAsia="Palatino" w:cs="Palatino"/>
          <w:color w:val="000000" w:themeColor="text1"/>
          <w:sz w:val="24"/>
          <w:szCs w:val="24"/>
        </w:rPr>
        <w:lastRenderedPageBreak/>
        <w:t xml:space="preserve">program must execute an EDR Agreement with SCE </w:t>
      </w:r>
      <w:proofErr w:type="gramStart"/>
      <w:r w:rsidRPr="00060CC0">
        <w:rPr>
          <w:rFonts w:ascii="Palatino Linotype" w:hAnsi="Palatino Linotype" w:eastAsia="Palatino" w:cs="Palatino"/>
          <w:color w:val="000000" w:themeColor="text1"/>
          <w:sz w:val="24"/>
          <w:szCs w:val="24"/>
        </w:rPr>
        <w:t>and also</w:t>
      </w:r>
      <w:proofErr w:type="gramEnd"/>
      <w:r w:rsidRPr="00060CC0">
        <w:rPr>
          <w:rFonts w:ascii="Palatino Linotype" w:hAnsi="Palatino Linotype" w:eastAsia="Palatino" w:cs="Palatino"/>
          <w:color w:val="000000" w:themeColor="text1"/>
          <w:sz w:val="24"/>
          <w:szCs w:val="24"/>
        </w:rPr>
        <w:t xml:space="preserve"> pass an eligibility review with the California Governor’s Office of Business and Economic Development. </w:t>
      </w:r>
    </w:p>
    <w:p w:rsidRPr="00060CC0" w:rsidR="00356A4D" w:rsidP="00356A4D" w:rsidRDefault="00356A4D" w14:paraId="074F1F44" w14:textId="77777777">
      <w:pPr>
        <w:spacing w:after="0"/>
        <w:jc w:val="both"/>
        <w:rPr>
          <w:rFonts w:ascii="Palatino Linotype" w:hAnsi="Palatino Linotype" w:eastAsia="Palatino" w:cs="Palatino"/>
          <w:color w:val="000000" w:themeColor="text1"/>
          <w:sz w:val="24"/>
          <w:szCs w:val="24"/>
        </w:rPr>
      </w:pPr>
    </w:p>
    <w:p w:rsidRPr="00060CC0" w:rsidR="00EB421C" w:rsidP="11395E8C" w:rsidRDefault="7414CB56" w14:paraId="5C224B0C" w14:textId="77777777">
      <w:pPr>
        <w:jc w:val="both"/>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Special Condition 4 of Schedule EDR</w:t>
      </w:r>
      <w:r w:rsidRPr="00060CC0" w:rsidR="0E336B2C">
        <w:rPr>
          <w:rFonts w:ascii="Palatino Linotype" w:hAnsi="Palatino Linotype" w:eastAsia="Palatino" w:cs="Palatino"/>
          <w:color w:val="000000" w:themeColor="text1"/>
          <w:sz w:val="24"/>
          <w:szCs w:val="24"/>
        </w:rPr>
        <w:t>-</w:t>
      </w:r>
      <w:r w:rsidRPr="00060CC0">
        <w:rPr>
          <w:rFonts w:ascii="Palatino Linotype" w:hAnsi="Palatino Linotype" w:eastAsia="Palatino" w:cs="Palatino"/>
          <w:color w:val="000000" w:themeColor="text1"/>
          <w:sz w:val="24"/>
          <w:szCs w:val="24"/>
        </w:rPr>
        <w:t xml:space="preserve">A requires that Pacific Steel’s start date of the discount period commence within 24 months </w:t>
      </w:r>
      <w:proofErr w:type="gramStart"/>
      <w:r w:rsidRPr="00060CC0">
        <w:rPr>
          <w:rFonts w:ascii="Palatino Linotype" w:hAnsi="Palatino Linotype" w:eastAsia="Palatino" w:cs="Palatino"/>
          <w:color w:val="000000" w:themeColor="text1"/>
          <w:sz w:val="24"/>
          <w:szCs w:val="24"/>
        </w:rPr>
        <w:t>from</w:t>
      </w:r>
      <w:proofErr w:type="gramEnd"/>
      <w:r w:rsidRPr="00060CC0">
        <w:rPr>
          <w:rFonts w:ascii="Palatino Linotype" w:hAnsi="Palatino Linotype" w:eastAsia="Palatino" w:cs="Palatino"/>
          <w:color w:val="000000" w:themeColor="text1"/>
          <w:sz w:val="24"/>
          <w:szCs w:val="24"/>
        </w:rPr>
        <w:t xml:space="preserve"> the date of the EDR Agreement, or 36 months if SCE must build infrastruct</w:t>
      </w:r>
      <w:r w:rsidRPr="00060CC0" w:rsidR="27A721F4">
        <w:rPr>
          <w:rFonts w:ascii="Palatino Linotype" w:hAnsi="Palatino Linotype" w:eastAsia="Palatino" w:cs="Palatino"/>
          <w:color w:val="000000" w:themeColor="text1"/>
          <w:sz w:val="24"/>
          <w:szCs w:val="24"/>
        </w:rPr>
        <w:t>u</w:t>
      </w:r>
      <w:r w:rsidRPr="00060CC0">
        <w:rPr>
          <w:rFonts w:ascii="Palatino Linotype" w:hAnsi="Palatino Linotype" w:eastAsia="Palatino" w:cs="Palatino"/>
          <w:color w:val="000000" w:themeColor="text1"/>
          <w:sz w:val="24"/>
          <w:szCs w:val="24"/>
        </w:rPr>
        <w:t xml:space="preserve">re to serve the customer: </w:t>
      </w:r>
    </w:p>
    <w:p w:rsidRPr="00060CC0" w:rsidR="00B01EC7" w:rsidP="00EB421C" w:rsidRDefault="7414CB56" w14:paraId="2C0A4CE2" w14:textId="0BC5D703">
      <w:pPr>
        <w:spacing w:after="0" w:line="240" w:lineRule="auto"/>
        <w:ind w:left="720"/>
        <w:jc w:val="both"/>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Start Date: The start date of the discount period shall commence within 24 months from the date of execution of the Agreement and Affidavit, or 36 months to the extent SCE must build infrastructure to serve the EDR-A Customer and shall be designated by the Customer within the EDR-A Agreement.</w:t>
      </w:r>
      <w:r w:rsidRPr="00060CC0">
        <w:rPr>
          <w:rStyle w:val="FootnoteReference"/>
          <w:rFonts w:ascii="Palatino Linotype" w:hAnsi="Palatino Linotype" w:eastAsia="Palatino" w:cs="Palatino"/>
          <w:color w:val="000000" w:themeColor="text1"/>
          <w:sz w:val="24"/>
          <w:szCs w:val="24"/>
        </w:rPr>
        <w:footnoteReference w:id="2"/>
      </w:r>
    </w:p>
    <w:p w:rsidRPr="00060CC0" w:rsidR="00EB421C" w:rsidP="034C9632" w:rsidRDefault="00EB421C" w14:paraId="77F1A3B3" w14:textId="77777777">
      <w:pPr>
        <w:spacing w:after="0" w:line="240" w:lineRule="auto"/>
        <w:ind w:left="720"/>
        <w:jc w:val="both"/>
        <w:rPr>
          <w:rFonts w:ascii="Palatino Linotype" w:hAnsi="Palatino Linotype" w:eastAsia="Palatino" w:cs="Palatino"/>
          <w:color w:val="000000" w:themeColor="text1"/>
          <w:sz w:val="24"/>
          <w:szCs w:val="24"/>
        </w:rPr>
      </w:pPr>
    </w:p>
    <w:p w:rsidR="004B7711" w:rsidP="00356A4D" w:rsidRDefault="7414CB56" w14:paraId="71C161FC" w14:textId="77777777">
      <w:pPr>
        <w:spacing w:after="0"/>
        <w:jc w:val="both"/>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 xml:space="preserve">For large load projects like Pacific Steel’s, SCE may require more than 36 months to build power infrastructure, especially in grid constrained areas, due to the significant amount of time needed to design, permit, procure, and construct. Based on SCE’s Method of Service study for Pacific Steel, SCE anticipates that a 50 MW substation would need to be constructed to serve Pacific Steel, which will take three to five years to complete. As a result, Pacific Steel would not be able to meet the 36-month deadline in Special Condition 4 of Schedule EDR-A without the Commission’s approval of a deviation as requested in this advice letter. </w:t>
      </w:r>
    </w:p>
    <w:p w:rsidRPr="00060CC0" w:rsidR="00356A4D" w:rsidP="00356A4D" w:rsidRDefault="00356A4D" w14:paraId="6F7E2CB7" w14:textId="77777777">
      <w:pPr>
        <w:spacing w:after="0"/>
        <w:jc w:val="both"/>
        <w:rPr>
          <w:rFonts w:ascii="Palatino Linotype" w:hAnsi="Palatino Linotype" w:eastAsia="Palatino" w:cs="Palatino"/>
          <w:color w:val="000000" w:themeColor="text1"/>
          <w:sz w:val="24"/>
          <w:szCs w:val="24"/>
        </w:rPr>
      </w:pPr>
    </w:p>
    <w:p w:rsidRPr="00060CC0" w:rsidR="00B01EC7" w:rsidP="11395E8C" w:rsidRDefault="7414CB56" w14:paraId="2519D35E" w14:textId="198EB4FF">
      <w:pPr>
        <w:jc w:val="both"/>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 xml:space="preserve">SCE </w:t>
      </w:r>
      <w:r w:rsidRPr="00060CC0" w:rsidR="55D36AB0">
        <w:rPr>
          <w:rFonts w:ascii="Palatino Linotype" w:hAnsi="Palatino Linotype" w:eastAsia="Palatino" w:cs="Palatino"/>
          <w:color w:val="000000" w:themeColor="text1"/>
          <w:sz w:val="24"/>
          <w:szCs w:val="24"/>
        </w:rPr>
        <w:t>therefore</w:t>
      </w:r>
      <w:r w:rsidRPr="00060CC0" w:rsidR="55C53B8E">
        <w:rPr>
          <w:rFonts w:ascii="Palatino Linotype" w:hAnsi="Palatino Linotype" w:eastAsia="Palatino" w:cs="Palatino"/>
          <w:color w:val="000000" w:themeColor="text1"/>
          <w:sz w:val="24"/>
          <w:szCs w:val="24"/>
        </w:rPr>
        <w:t xml:space="preserve"> </w:t>
      </w:r>
      <w:r w:rsidRPr="00060CC0" w:rsidR="00CD406E">
        <w:rPr>
          <w:rFonts w:ascii="Palatino Linotype" w:hAnsi="Palatino Linotype" w:eastAsia="Palatino" w:cs="Palatino"/>
          <w:color w:val="000000" w:themeColor="text1"/>
          <w:sz w:val="24"/>
          <w:szCs w:val="24"/>
        </w:rPr>
        <w:t>seeks a</w:t>
      </w:r>
      <w:r w:rsidRPr="00060CC0">
        <w:rPr>
          <w:rFonts w:ascii="Palatino Linotype" w:hAnsi="Palatino Linotype" w:eastAsia="Palatino" w:cs="Palatino"/>
          <w:color w:val="000000" w:themeColor="text1"/>
          <w:sz w:val="24"/>
          <w:szCs w:val="24"/>
        </w:rPr>
        <w:t xml:space="preserve"> start date </w:t>
      </w:r>
      <w:proofErr w:type="gramStart"/>
      <w:r w:rsidRPr="00060CC0">
        <w:rPr>
          <w:rFonts w:ascii="Palatino Linotype" w:hAnsi="Palatino Linotype" w:eastAsia="Palatino" w:cs="Palatino"/>
          <w:color w:val="000000" w:themeColor="text1"/>
          <w:sz w:val="24"/>
          <w:szCs w:val="24"/>
        </w:rPr>
        <w:t>of</w:t>
      </w:r>
      <w:proofErr w:type="gramEnd"/>
      <w:r w:rsidRPr="00060CC0">
        <w:rPr>
          <w:rFonts w:ascii="Palatino Linotype" w:hAnsi="Palatino Linotype" w:eastAsia="Palatino" w:cs="Palatino"/>
          <w:color w:val="000000" w:themeColor="text1"/>
          <w:sz w:val="24"/>
          <w:szCs w:val="24"/>
        </w:rPr>
        <w:t xml:space="preserve"> the discount rate based on the actual energization date by SCE and not </w:t>
      </w:r>
      <w:r w:rsidRPr="00060CC0" w:rsidR="00101AB3">
        <w:rPr>
          <w:rFonts w:ascii="Palatino Linotype" w:hAnsi="Palatino Linotype" w:eastAsia="Palatino" w:cs="Palatino"/>
          <w:color w:val="000000" w:themeColor="text1"/>
          <w:sz w:val="24"/>
          <w:szCs w:val="24"/>
        </w:rPr>
        <w:t xml:space="preserve">on the required </w:t>
      </w:r>
      <w:r w:rsidRPr="00060CC0">
        <w:rPr>
          <w:rFonts w:ascii="Palatino Linotype" w:hAnsi="Palatino Linotype" w:eastAsia="Palatino" w:cs="Palatino"/>
          <w:color w:val="000000" w:themeColor="text1"/>
          <w:sz w:val="24"/>
          <w:szCs w:val="24"/>
        </w:rPr>
        <w:t>36 months from the date of execution of the EDR-A Agreement.</w:t>
      </w:r>
    </w:p>
    <w:p w:rsidRPr="00060CC0" w:rsidR="00B01EC7" w:rsidP="00113C4F" w:rsidRDefault="00B01EC7" w14:paraId="7D5AC497" w14:textId="17A0F0FD">
      <w:pPr>
        <w:spacing w:after="0"/>
        <w:jc w:val="both"/>
        <w:rPr>
          <w:rFonts w:ascii="Palatino Linotype" w:hAnsi="Palatino Linotype" w:eastAsia="Palatino" w:cs="Palatino"/>
          <w:color w:val="000000" w:themeColor="text1"/>
          <w:sz w:val="24"/>
          <w:szCs w:val="24"/>
        </w:rPr>
      </w:pPr>
    </w:p>
    <w:p w:rsidRPr="00060CC0" w:rsidR="00B01EC7" w:rsidP="4A529F21" w:rsidRDefault="2F33EBFD" w14:paraId="38FCD4B1" w14:textId="1BB0AAC8">
      <w:pPr>
        <w:pStyle w:val="Heading1"/>
        <w:spacing w:before="120" w:after="240"/>
        <w:rPr>
          <w:rFonts w:ascii="Palatino Linotype" w:hAnsi="Palatino Linotype" w:eastAsia="Helvetica" w:cs="Helvetica"/>
          <w:b/>
          <w:bCs/>
          <w:caps/>
          <w:color w:val="000000" w:themeColor="text1"/>
          <w:sz w:val="24"/>
          <w:szCs w:val="24"/>
        </w:rPr>
      </w:pPr>
      <w:r w:rsidRPr="00060CC0">
        <w:rPr>
          <w:rFonts w:ascii="Palatino Linotype" w:hAnsi="Palatino Linotype" w:eastAsia="Helvetica" w:cs="Helvetica"/>
          <w:b/>
          <w:bCs/>
          <w:caps/>
          <w:color w:val="000000" w:themeColor="text1"/>
          <w:sz w:val="24"/>
          <w:szCs w:val="24"/>
          <w:u w:val="single"/>
        </w:rPr>
        <w:t>Notice</w:t>
      </w:r>
    </w:p>
    <w:p w:rsidRPr="00060CC0" w:rsidR="00B01EC7" w:rsidP="11395E8C" w:rsidRDefault="2F33EBFD" w14:paraId="54EEB082" w14:textId="0429D278">
      <w:pPr>
        <w:rPr>
          <w:rFonts w:ascii="Palatino Linotype" w:hAnsi="Palatino Linotype" w:eastAsia="Palatino" w:cs="Palatino"/>
          <w:color w:val="000000" w:themeColor="text1"/>
          <w:sz w:val="24"/>
          <w:szCs w:val="24"/>
        </w:rPr>
      </w:pPr>
      <w:proofErr w:type="gramStart"/>
      <w:r w:rsidRPr="00060CC0">
        <w:rPr>
          <w:rFonts w:ascii="Palatino Linotype" w:hAnsi="Palatino Linotype" w:eastAsia="Palatino" w:cs="Palatino"/>
          <w:color w:val="000000" w:themeColor="text1"/>
          <w:sz w:val="24"/>
          <w:szCs w:val="24"/>
        </w:rPr>
        <w:t>Notice</w:t>
      </w:r>
      <w:proofErr w:type="gramEnd"/>
      <w:r w:rsidRPr="00060CC0">
        <w:rPr>
          <w:rFonts w:ascii="Palatino Linotype" w:hAnsi="Palatino Linotype" w:eastAsia="Palatino" w:cs="Palatino"/>
          <w:color w:val="000000" w:themeColor="text1"/>
          <w:sz w:val="24"/>
          <w:szCs w:val="24"/>
        </w:rPr>
        <w:t xml:space="preserve"> for AL </w:t>
      </w:r>
      <w:r w:rsidRPr="00060CC0" w:rsidR="10027C2D">
        <w:rPr>
          <w:rFonts w:ascii="Palatino Linotype" w:hAnsi="Palatino Linotype" w:eastAsia="Palatino" w:cs="Palatino"/>
          <w:color w:val="000000" w:themeColor="text1"/>
          <w:sz w:val="24"/>
          <w:szCs w:val="24"/>
        </w:rPr>
        <w:t>5365</w:t>
      </w:r>
      <w:r w:rsidRPr="00060CC0">
        <w:rPr>
          <w:rFonts w:ascii="Palatino Linotype" w:hAnsi="Palatino Linotype" w:eastAsia="Palatino" w:cs="Palatino"/>
          <w:color w:val="000000" w:themeColor="text1"/>
          <w:sz w:val="24"/>
          <w:szCs w:val="24"/>
        </w:rPr>
        <w:t>-</w:t>
      </w:r>
      <w:r w:rsidRPr="00060CC0" w:rsidR="0ACE35CF">
        <w:rPr>
          <w:rFonts w:ascii="Palatino Linotype" w:hAnsi="Palatino Linotype" w:eastAsia="Palatino" w:cs="Palatino"/>
          <w:color w:val="000000" w:themeColor="text1"/>
          <w:sz w:val="24"/>
          <w:szCs w:val="24"/>
        </w:rPr>
        <w:t>E</w:t>
      </w:r>
      <w:r w:rsidRPr="00060CC0">
        <w:rPr>
          <w:rFonts w:ascii="Palatino Linotype" w:hAnsi="Palatino Linotype" w:eastAsia="Palatino" w:cs="Palatino"/>
          <w:color w:val="000000" w:themeColor="text1"/>
          <w:sz w:val="24"/>
          <w:szCs w:val="24"/>
        </w:rPr>
        <w:t xml:space="preserve"> were made by publication in the Commission’s Daily Calendar.  Southern California Edison states that a copy of the AL was mailed and distributed in accordance with Section 4 of General Order 96-B. </w:t>
      </w:r>
    </w:p>
    <w:p w:rsidRPr="00060CC0" w:rsidR="00B01EC7" w:rsidP="00043CAC" w:rsidRDefault="00B01EC7" w14:paraId="584F7130" w14:textId="7ED5A181">
      <w:pPr>
        <w:spacing w:after="0"/>
        <w:rPr>
          <w:rFonts w:ascii="Palatino Linotype" w:hAnsi="Palatino Linotype" w:eastAsia="Palatino" w:cs="Palatino"/>
          <w:color w:val="000000" w:themeColor="text1"/>
          <w:sz w:val="24"/>
          <w:szCs w:val="24"/>
        </w:rPr>
      </w:pPr>
    </w:p>
    <w:p w:rsidRPr="00060CC0" w:rsidR="00B01EC7" w:rsidP="4A529F21" w:rsidRDefault="2F33EBFD" w14:paraId="5C9EAB97" w14:textId="43543569">
      <w:pPr>
        <w:pStyle w:val="Heading1"/>
        <w:spacing w:before="120" w:after="240"/>
        <w:rPr>
          <w:rFonts w:ascii="Palatino Linotype" w:hAnsi="Palatino Linotype" w:eastAsia="Helvetica" w:cs="Helvetica"/>
          <w:b/>
          <w:bCs/>
          <w:caps/>
          <w:color w:val="000000" w:themeColor="text1"/>
          <w:sz w:val="24"/>
          <w:szCs w:val="24"/>
        </w:rPr>
      </w:pPr>
      <w:r w:rsidRPr="00060CC0">
        <w:rPr>
          <w:rFonts w:ascii="Palatino Linotype" w:hAnsi="Palatino Linotype" w:eastAsia="Helvetica" w:cs="Helvetica"/>
          <w:b/>
          <w:bCs/>
          <w:caps/>
          <w:color w:val="000000" w:themeColor="text1"/>
          <w:sz w:val="24"/>
          <w:szCs w:val="24"/>
          <w:u w:val="single"/>
        </w:rPr>
        <w:t>Protests</w:t>
      </w:r>
    </w:p>
    <w:p w:rsidRPr="00060CC0" w:rsidR="00B01EC7" w:rsidP="4A529F21" w:rsidRDefault="2F33EBFD" w14:paraId="02A8A698" w14:textId="1ADCAAED">
      <w:pPr>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 xml:space="preserve">AL </w:t>
      </w:r>
      <w:r w:rsidRPr="00060CC0" w:rsidR="6461C353">
        <w:rPr>
          <w:rFonts w:ascii="Palatino Linotype" w:hAnsi="Palatino Linotype" w:eastAsia="Palatino" w:cs="Palatino"/>
          <w:color w:val="000000" w:themeColor="text1"/>
          <w:sz w:val="24"/>
          <w:szCs w:val="24"/>
        </w:rPr>
        <w:t>5365</w:t>
      </w:r>
      <w:r w:rsidRPr="00060CC0" w:rsidR="00CB08FC">
        <w:rPr>
          <w:rFonts w:ascii="Palatino Linotype" w:hAnsi="Palatino Linotype" w:eastAsia="Palatino" w:cs="Palatino"/>
          <w:color w:val="000000" w:themeColor="text1"/>
          <w:sz w:val="24"/>
          <w:szCs w:val="24"/>
        </w:rPr>
        <w:t>-E</w:t>
      </w:r>
      <w:r w:rsidRPr="00060CC0" w:rsidR="6461C353">
        <w:rPr>
          <w:rFonts w:ascii="Palatino Linotype" w:hAnsi="Palatino Linotype" w:eastAsia="Palatino" w:cs="Palatino"/>
          <w:color w:val="000000" w:themeColor="text1"/>
          <w:sz w:val="24"/>
          <w:szCs w:val="24"/>
        </w:rPr>
        <w:t xml:space="preserve"> was</w:t>
      </w:r>
      <w:r w:rsidRPr="00060CC0">
        <w:rPr>
          <w:rFonts w:ascii="Palatino Linotype" w:hAnsi="Palatino Linotype" w:eastAsia="Palatino" w:cs="Palatino"/>
          <w:color w:val="000000" w:themeColor="text1"/>
          <w:sz w:val="24"/>
          <w:szCs w:val="24"/>
        </w:rPr>
        <w:t xml:space="preserve"> not protested.  </w:t>
      </w:r>
    </w:p>
    <w:p w:rsidRPr="00060CC0" w:rsidR="00B01EC7" w:rsidP="4A529F21" w:rsidRDefault="2F33EBFD" w14:paraId="4995491A" w14:textId="3F116725">
      <w:pPr>
        <w:pStyle w:val="Heading1"/>
        <w:spacing w:before="120" w:after="240"/>
        <w:rPr>
          <w:rFonts w:ascii="Palatino Linotype" w:hAnsi="Palatino Linotype" w:eastAsia="Helvetica" w:cs="Helvetica"/>
          <w:b/>
          <w:bCs/>
          <w:caps/>
          <w:color w:val="000000" w:themeColor="text1"/>
          <w:sz w:val="24"/>
          <w:szCs w:val="24"/>
        </w:rPr>
      </w:pPr>
      <w:r w:rsidRPr="00060CC0">
        <w:rPr>
          <w:rFonts w:ascii="Palatino Linotype" w:hAnsi="Palatino Linotype" w:eastAsia="Helvetica" w:cs="Helvetica"/>
          <w:b/>
          <w:bCs/>
          <w:caps/>
          <w:color w:val="000000" w:themeColor="text1"/>
          <w:sz w:val="24"/>
          <w:szCs w:val="24"/>
          <w:u w:val="single"/>
        </w:rPr>
        <w:lastRenderedPageBreak/>
        <w:t>Discussion</w:t>
      </w:r>
    </w:p>
    <w:p w:rsidRPr="00060CC0" w:rsidR="00B01EC7" w:rsidP="4A529F21" w:rsidRDefault="2F33EBFD" w14:paraId="6D522945" w14:textId="2B83828B">
      <w:pPr>
        <w:spacing w:after="0"/>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 xml:space="preserve">The Commission has </w:t>
      </w:r>
      <w:r w:rsidRPr="00060CC0" w:rsidR="1EB732F1">
        <w:rPr>
          <w:rFonts w:ascii="Palatino Linotype" w:hAnsi="Palatino Linotype" w:eastAsia="Palatino" w:cs="Palatino"/>
          <w:color w:val="000000" w:themeColor="text1"/>
          <w:sz w:val="24"/>
          <w:szCs w:val="24"/>
        </w:rPr>
        <w:t xml:space="preserve">reviewed SCE’s requests listed in AL 5365-E </w:t>
      </w:r>
      <w:r w:rsidRPr="00060CC0" w:rsidR="7DAE38D5">
        <w:rPr>
          <w:rFonts w:ascii="Palatino Linotype" w:hAnsi="Palatino Linotype" w:eastAsia="Palatino" w:cs="Palatino"/>
          <w:color w:val="000000" w:themeColor="text1"/>
          <w:sz w:val="24"/>
          <w:szCs w:val="24"/>
        </w:rPr>
        <w:t xml:space="preserve">for the </w:t>
      </w:r>
      <w:proofErr w:type="gramStart"/>
      <w:r w:rsidRPr="00060CC0" w:rsidR="7DAE38D5">
        <w:rPr>
          <w:rFonts w:ascii="Palatino Linotype" w:hAnsi="Palatino Linotype" w:eastAsia="Palatino" w:cs="Palatino"/>
          <w:color w:val="000000" w:themeColor="text1"/>
          <w:sz w:val="24"/>
          <w:szCs w:val="24"/>
        </w:rPr>
        <w:t>purposes</w:t>
      </w:r>
      <w:proofErr w:type="gramEnd"/>
      <w:r w:rsidRPr="00060CC0" w:rsidR="7DAE38D5">
        <w:rPr>
          <w:rFonts w:ascii="Palatino Linotype" w:hAnsi="Palatino Linotype" w:eastAsia="Palatino" w:cs="Palatino"/>
          <w:color w:val="000000" w:themeColor="text1"/>
          <w:sz w:val="24"/>
          <w:szCs w:val="24"/>
        </w:rPr>
        <w:t xml:space="preserve"> of allowing Pacific Steel to apply to the EDR-A program. In its </w:t>
      </w:r>
      <w:r w:rsidRPr="00060CC0" w:rsidR="004E061A">
        <w:rPr>
          <w:rFonts w:ascii="Palatino Linotype" w:hAnsi="Palatino Linotype" w:eastAsia="Palatino" w:cs="Palatino"/>
          <w:color w:val="000000" w:themeColor="text1"/>
          <w:sz w:val="24"/>
          <w:szCs w:val="24"/>
        </w:rPr>
        <w:t>AL,</w:t>
      </w:r>
      <w:r w:rsidRPr="00060CC0" w:rsidR="7DAE38D5">
        <w:rPr>
          <w:rFonts w:ascii="Palatino Linotype" w:hAnsi="Palatino Linotype" w:eastAsia="Palatino" w:cs="Palatino"/>
          <w:color w:val="000000" w:themeColor="text1"/>
          <w:sz w:val="24"/>
          <w:szCs w:val="24"/>
        </w:rPr>
        <w:t xml:space="preserve"> SCE made two requests to the Commission.</w:t>
      </w:r>
    </w:p>
    <w:p w:rsidRPr="00060CC0" w:rsidR="00B01EC7" w:rsidP="4A529F21" w:rsidRDefault="00B01EC7" w14:paraId="1427091D" w14:textId="4275B2C1">
      <w:pPr>
        <w:spacing w:after="0"/>
        <w:rPr>
          <w:rFonts w:ascii="Palatino Linotype" w:hAnsi="Palatino Linotype" w:eastAsia="Palatino" w:cs="Palatino"/>
          <w:color w:val="000000" w:themeColor="text1"/>
          <w:sz w:val="24"/>
          <w:szCs w:val="24"/>
        </w:rPr>
      </w:pPr>
    </w:p>
    <w:p w:rsidRPr="00060CC0" w:rsidR="00B01EC7" w:rsidP="4C9FB004" w:rsidRDefault="004E061A" w14:paraId="1089A39C" w14:textId="7ED39AF2">
      <w:pPr>
        <w:spacing w:after="0"/>
        <w:rPr>
          <w:rFonts w:ascii="Palatino Linotype" w:hAnsi="Palatino Linotype" w:eastAsia="Palatino Linotype" w:cs="Palatino Linotype"/>
          <w:color w:val="000000" w:themeColor="text1"/>
          <w:sz w:val="24"/>
          <w:szCs w:val="24"/>
        </w:rPr>
      </w:pPr>
      <w:r w:rsidRPr="00060CC0">
        <w:rPr>
          <w:rFonts w:ascii="Palatino Linotype" w:hAnsi="Palatino Linotype" w:eastAsia="Palatino" w:cs="Palatino"/>
          <w:color w:val="000000" w:themeColor="text1"/>
          <w:sz w:val="24"/>
          <w:szCs w:val="24"/>
        </w:rPr>
        <w:t xml:space="preserve">First, </w:t>
      </w:r>
      <w:r w:rsidRPr="00060CC0" w:rsidR="7DAE38D5">
        <w:rPr>
          <w:rFonts w:ascii="Palatino Linotype" w:hAnsi="Palatino Linotype" w:eastAsia="Palatino" w:cs="Palatino"/>
          <w:color w:val="000000" w:themeColor="text1"/>
          <w:sz w:val="24"/>
          <w:szCs w:val="24"/>
        </w:rPr>
        <w:t xml:space="preserve">SCE </w:t>
      </w:r>
      <w:r w:rsidRPr="00060CC0" w:rsidR="2E576BA7">
        <w:rPr>
          <w:rFonts w:ascii="Palatino Linotype" w:hAnsi="Palatino Linotype" w:eastAsia="Palatino" w:cs="Palatino"/>
          <w:color w:val="000000" w:themeColor="text1"/>
          <w:sz w:val="24"/>
          <w:szCs w:val="24"/>
        </w:rPr>
        <w:t xml:space="preserve">requests the Commission’s approval </w:t>
      </w:r>
      <w:r w:rsidRPr="00060CC0" w:rsidR="7DAE38D5">
        <w:rPr>
          <w:rFonts w:ascii="Palatino Linotype" w:hAnsi="Palatino Linotype" w:eastAsia="Palatino" w:cs="Palatino"/>
          <w:color w:val="000000" w:themeColor="text1"/>
          <w:sz w:val="24"/>
          <w:szCs w:val="24"/>
        </w:rPr>
        <w:t xml:space="preserve">to deviate from </w:t>
      </w:r>
      <w:r w:rsidRPr="00060CC0" w:rsidR="377EB52D">
        <w:rPr>
          <w:rFonts w:ascii="Palatino Linotype" w:hAnsi="Palatino Linotype" w:eastAsia="Palatino Linotype" w:cs="Palatino Linotype"/>
          <w:color w:val="000000" w:themeColor="text1"/>
          <w:sz w:val="24"/>
          <w:szCs w:val="24"/>
        </w:rPr>
        <w:t>Special Condition 4 of Schedule EDR-A</w:t>
      </w:r>
      <w:r w:rsidRPr="00060CC0">
        <w:rPr>
          <w:rFonts w:ascii="Palatino Linotype" w:hAnsi="Palatino Linotype" w:eastAsia="Palatino Linotype" w:cs="Palatino Linotype"/>
          <w:color w:val="000000" w:themeColor="text1"/>
          <w:sz w:val="24"/>
          <w:szCs w:val="24"/>
        </w:rPr>
        <w:t>,</w:t>
      </w:r>
      <w:r w:rsidRPr="00060CC0" w:rsidR="377EB52D">
        <w:rPr>
          <w:rFonts w:ascii="Palatino Linotype" w:hAnsi="Palatino Linotype" w:eastAsia="Palatino Linotype" w:cs="Palatino Linotype"/>
          <w:color w:val="000000" w:themeColor="text1"/>
          <w:sz w:val="24"/>
          <w:szCs w:val="24"/>
        </w:rPr>
        <w:t xml:space="preserve"> which notes that the start date of the discount period shall commence within 24 months from the date of execution of the Agreement and Affidavit, or </w:t>
      </w:r>
      <w:r w:rsidR="00C44E91">
        <w:rPr>
          <w:rFonts w:ascii="Palatino Linotype" w:hAnsi="Palatino Linotype" w:eastAsia="Palatino Linotype" w:cs="Palatino Linotype"/>
          <w:color w:val="000000" w:themeColor="text1"/>
          <w:sz w:val="24"/>
          <w:szCs w:val="24"/>
        </w:rPr>
        <w:br/>
      </w:r>
      <w:r w:rsidRPr="00060CC0" w:rsidR="377EB52D">
        <w:rPr>
          <w:rFonts w:ascii="Palatino Linotype" w:hAnsi="Palatino Linotype" w:eastAsia="Palatino Linotype" w:cs="Palatino Linotype"/>
          <w:color w:val="000000" w:themeColor="text1"/>
          <w:sz w:val="24"/>
          <w:szCs w:val="24"/>
        </w:rPr>
        <w:t xml:space="preserve">36 months </w:t>
      </w:r>
      <w:r w:rsidRPr="00060CC0" w:rsidR="1479C698">
        <w:rPr>
          <w:rFonts w:ascii="Palatino Linotype" w:hAnsi="Palatino Linotype" w:eastAsia="Palatino Linotype" w:cs="Palatino Linotype"/>
          <w:color w:val="000000" w:themeColor="text1"/>
          <w:sz w:val="24"/>
          <w:szCs w:val="24"/>
        </w:rPr>
        <w:t xml:space="preserve">to the extent SCE must build infrastructure to serve the EDR-A Customer. </w:t>
      </w:r>
      <w:r w:rsidRPr="00060CC0" w:rsidR="71112AEB">
        <w:rPr>
          <w:rFonts w:ascii="Palatino Linotype" w:hAnsi="Palatino Linotype" w:eastAsia="Palatino Linotype" w:cs="Palatino Linotype"/>
          <w:color w:val="000000" w:themeColor="text1"/>
          <w:sz w:val="24"/>
          <w:szCs w:val="24"/>
        </w:rPr>
        <w:t>In</w:t>
      </w:r>
      <w:r w:rsidRPr="00060CC0" w:rsidR="1479C698">
        <w:rPr>
          <w:rFonts w:ascii="Palatino Linotype" w:hAnsi="Palatino Linotype" w:eastAsia="Palatino Linotype" w:cs="Palatino Linotype"/>
          <w:color w:val="000000" w:themeColor="text1"/>
          <w:sz w:val="24"/>
          <w:szCs w:val="24"/>
        </w:rPr>
        <w:t xml:space="preserve"> AL 5365-E</w:t>
      </w:r>
      <w:r w:rsidRPr="00060CC0" w:rsidR="00774902">
        <w:rPr>
          <w:rFonts w:ascii="Palatino Linotype" w:hAnsi="Palatino Linotype" w:eastAsia="Palatino Linotype" w:cs="Palatino Linotype"/>
          <w:color w:val="000000" w:themeColor="text1"/>
          <w:sz w:val="24"/>
          <w:szCs w:val="24"/>
        </w:rPr>
        <w:t>,</w:t>
      </w:r>
      <w:r w:rsidRPr="00060CC0" w:rsidR="1479C698">
        <w:rPr>
          <w:rFonts w:ascii="Palatino Linotype" w:hAnsi="Palatino Linotype" w:eastAsia="Palatino Linotype" w:cs="Palatino Linotype"/>
          <w:color w:val="000000" w:themeColor="text1"/>
          <w:sz w:val="24"/>
          <w:szCs w:val="24"/>
        </w:rPr>
        <w:t xml:space="preserve"> </w:t>
      </w:r>
      <w:r w:rsidRPr="00060CC0" w:rsidR="7E0AD1B9">
        <w:rPr>
          <w:rFonts w:ascii="Palatino Linotype" w:hAnsi="Palatino Linotype" w:eastAsia="Palatino Linotype" w:cs="Palatino Linotype"/>
          <w:color w:val="000000" w:themeColor="text1"/>
          <w:sz w:val="24"/>
          <w:szCs w:val="24"/>
        </w:rPr>
        <w:t xml:space="preserve">SCE </w:t>
      </w:r>
      <w:r w:rsidRPr="00060CC0" w:rsidR="165F2DE5">
        <w:rPr>
          <w:rFonts w:ascii="Palatino Linotype" w:hAnsi="Palatino Linotype" w:eastAsia="Palatino Linotype" w:cs="Palatino Linotype"/>
          <w:color w:val="000000" w:themeColor="text1"/>
          <w:sz w:val="24"/>
          <w:szCs w:val="24"/>
        </w:rPr>
        <w:t xml:space="preserve">states that it has </w:t>
      </w:r>
      <w:r w:rsidRPr="00060CC0" w:rsidR="7E0AD1B9">
        <w:rPr>
          <w:rFonts w:ascii="Palatino Linotype" w:hAnsi="Palatino Linotype" w:eastAsia="Palatino Linotype" w:cs="Palatino Linotype"/>
          <w:color w:val="000000" w:themeColor="text1"/>
          <w:sz w:val="24"/>
          <w:szCs w:val="24"/>
        </w:rPr>
        <w:t>performed a</w:t>
      </w:r>
      <w:r w:rsidRPr="00060CC0" w:rsidR="2C829B5E">
        <w:rPr>
          <w:rFonts w:ascii="Palatino Linotype" w:hAnsi="Palatino Linotype" w:eastAsia="Palatino Linotype" w:cs="Palatino Linotype"/>
          <w:color w:val="000000" w:themeColor="text1"/>
          <w:sz w:val="24"/>
          <w:szCs w:val="24"/>
        </w:rPr>
        <w:t xml:space="preserve"> </w:t>
      </w:r>
      <w:r w:rsidRPr="00060CC0" w:rsidR="00774902">
        <w:rPr>
          <w:rFonts w:ascii="Palatino Linotype" w:hAnsi="Palatino Linotype" w:eastAsia="Palatino Linotype" w:cs="Palatino Linotype"/>
          <w:color w:val="000000" w:themeColor="text1"/>
          <w:sz w:val="24"/>
          <w:szCs w:val="24"/>
        </w:rPr>
        <w:t>“</w:t>
      </w:r>
      <w:r w:rsidRPr="00060CC0" w:rsidR="2C829B5E">
        <w:rPr>
          <w:rFonts w:ascii="Palatino Linotype" w:hAnsi="Palatino Linotype" w:eastAsia="Palatino Linotype" w:cs="Palatino Linotype"/>
          <w:color w:val="000000" w:themeColor="text1"/>
          <w:sz w:val="24"/>
          <w:szCs w:val="24"/>
        </w:rPr>
        <w:t>Method of Service study</w:t>
      </w:r>
      <w:r w:rsidRPr="00060CC0" w:rsidR="00774902">
        <w:rPr>
          <w:rFonts w:ascii="Palatino Linotype" w:hAnsi="Palatino Linotype" w:eastAsia="Palatino Linotype" w:cs="Palatino Linotype"/>
          <w:color w:val="000000" w:themeColor="text1"/>
          <w:sz w:val="24"/>
          <w:szCs w:val="24"/>
        </w:rPr>
        <w:t>”</w:t>
      </w:r>
      <w:r w:rsidRPr="00060CC0" w:rsidR="2C829B5E">
        <w:rPr>
          <w:rFonts w:ascii="Palatino Linotype" w:hAnsi="Palatino Linotype" w:eastAsia="Palatino Linotype" w:cs="Palatino Linotype"/>
          <w:color w:val="000000" w:themeColor="text1"/>
          <w:sz w:val="24"/>
          <w:szCs w:val="24"/>
        </w:rPr>
        <w:t xml:space="preserve"> </w:t>
      </w:r>
      <w:r w:rsidRPr="00060CC0" w:rsidR="1A4645D0">
        <w:rPr>
          <w:rFonts w:ascii="Palatino Linotype" w:hAnsi="Palatino Linotype" w:eastAsia="Palatino Linotype" w:cs="Palatino Linotype"/>
          <w:color w:val="000000" w:themeColor="text1"/>
          <w:sz w:val="24"/>
          <w:szCs w:val="24"/>
        </w:rPr>
        <w:t>and anticipates that a 50MW substation will need to be constructed to serve Pacific Steel</w:t>
      </w:r>
      <w:r w:rsidRPr="00060CC0" w:rsidR="00EE2316">
        <w:rPr>
          <w:rFonts w:ascii="Palatino Linotype" w:hAnsi="Palatino Linotype" w:eastAsia="Palatino Linotype" w:cs="Palatino Linotype"/>
          <w:color w:val="000000" w:themeColor="text1"/>
          <w:sz w:val="24"/>
          <w:szCs w:val="24"/>
        </w:rPr>
        <w:t>,</w:t>
      </w:r>
      <w:r w:rsidRPr="00060CC0" w:rsidR="1A4645D0">
        <w:rPr>
          <w:rFonts w:ascii="Palatino Linotype" w:hAnsi="Palatino Linotype" w:eastAsia="Palatino Linotype" w:cs="Palatino Linotype"/>
          <w:color w:val="000000" w:themeColor="text1"/>
          <w:sz w:val="24"/>
          <w:szCs w:val="24"/>
        </w:rPr>
        <w:t xml:space="preserve"> which will take three to five years to complete. </w:t>
      </w:r>
      <w:r w:rsidRPr="00060CC0" w:rsidR="39DBE59D">
        <w:rPr>
          <w:rFonts w:ascii="Palatino Linotype" w:hAnsi="Palatino Linotype" w:eastAsia="Palatino Linotype" w:cs="Palatino Linotype"/>
          <w:color w:val="000000" w:themeColor="text1"/>
          <w:sz w:val="24"/>
          <w:szCs w:val="24"/>
        </w:rPr>
        <w:t>We find this request to be reasonable</w:t>
      </w:r>
      <w:r w:rsidRPr="00060CC0" w:rsidR="1A4645D0">
        <w:rPr>
          <w:rFonts w:ascii="Palatino Linotype" w:hAnsi="Palatino Linotype" w:eastAsia="Palatino Linotype" w:cs="Palatino Linotype"/>
          <w:color w:val="000000" w:themeColor="text1"/>
          <w:sz w:val="24"/>
          <w:szCs w:val="24"/>
        </w:rPr>
        <w:t xml:space="preserve"> </w:t>
      </w:r>
      <w:r w:rsidRPr="00060CC0" w:rsidR="2F42663A">
        <w:rPr>
          <w:rFonts w:ascii="Palatino Linotype" w:hAnsi="Palatino Linotype" w:eastAsia="Palatino Linotype" w:cs="Palatino Linotype"/>
          <w:color w:val="000000" w:themeColor="text1"/>
          <w:sz w:val="24"/>
          <w:szCs w:val="24"/>
        </w:rPr>
        <w:t>given the anticipated construction timeline and therefore</w:t>
      </w:r>
      <w:r w:rsidRPr="00060CC0" w:rsidR="31260E3E">
        <w:rPr>
          <w:rFonts w:ascii="Palatino Linotype" w:hAnsi="Palatino Linotype" w:eastAsia="Palatino Linotype" w:cs="Palatino Linotype"/>
          <w:color w:val="000000" w:themeColor="text1"/>
          <w:sz w:val="24"/>
          <w:szCs w:val="24"/>
        </w:rPr>
        <w:t xml:space="preserve"> </w:t>
      </w:r>
      <w:r w:rsidRPr="00060CC0" w:rsidR="52207C2C">
        <w:rPr>
          <w:rFonts w:ascii="Palatino Linotype" w:hAnsi="Palatino Linotype" w:eastAsia="Palatino Linotype" w:cs="Palatino Linotype"/>
          <w:color w:val="000000" w:themeColor="text1"/>
          <w:sz w:val="24"/>
          <w:szCs w:val="24"/>
        </w:rPr>
        <w:t xml:space="preserve">allow </w:t>
      </w:r>
      <w:r w:rsidRPr="00060CC0" w:rsidR="1A4645D0">
        <w:rPr>
          <w:rFonts w:ascii="Palatino Linotype" w:hAnsi="Palatino Linotype" w:eastAsia="Palatino Linotype" w:cs="Palatino Linotype"/>
          <w:color w:val="000000" w:themeColor="text1"/>
          <w:sz w:val="24"/>
          <w:szCs w:val="24"/>
        </w:rPr>
        <w:t xml:space="preserve">a </w:t>
      </w:r>
      <w:r w:rsidRPr="00060CC0" w:rsidR="4BCFBBE6">
        <w:rPr>
          <w:rFonts w:ascii="Palatino Linotype" w:hAnsi="Palatino Linotype" w:eastAsia="Palatino Linotype" w:cs="Palatino Linotype"/>
          <w:color w:val="000000" w:themeColor="text1"/>
          <w:sz w:val="24"/>
          <w:szCs w:val="24"/>
        </w:rPr>
        <w:t xml:space="preserve">specific </w:t>
      </w:r>
      <w:r w:rsidRPr="00060CC0" w:rsidR="1A4645D0">
        <w:rPr>
          <w:rFonts w:ascii="Palatino Linotype" w:hAnsi="Palatino Linotype" w:eastAsia="Palatino Linotype" w:cs="Palatino Linotype"/>
          <w:color w:val="000000" w:themeColor="text1"/>
          <w:sz w:val="24"/>
          <w:szCs w:val="24"/>
        </w:rPr>
        <w:t xml:space="preserve">deviation </w:t>
      </w:r>
      <w:r w:rsidRPr="00060CC0" w:rsidR="6D653792">
        <w:rPr>
          <w:rFonts w:ascii="Palatino Linotype" w:hAnsi="Palatino Linotype" w:eastAsia="Palatino Linotype" w:cs="Palatino Linotype"/>
          <w:color w:val="000000" w:themeColor="text1"/>
          <w:sz w:val="24"/>
          <w:szCs w:val="24"/>
        </w:rPr>
        <w:t xml:space="preserve">from </w:t>
      </w:r>
      <w:r w:rsidRPr="00060CC0" w:rsidR="72C58053">
        <w:rPr>
          <w:rFonts w:ascii="Palatino Linotype" w:hAnsi="Palatino Linotype" w:eastAsia="Palatino Linotype" w:cs="Palatino Linotype"/>
          <w:color w:val="000000" w:themeColor="text1"/>
          <w:sz w:val="24"/>
          <w:szCs w:val="24"/>
        </w:rPr>
        <w:t>Special Condition 4</w:t>
      </w:r>
      <w:r w:rsidRPr="00060CC0" w:rsidR="590327A5">
        <w:rPr>
          <w:rFonts w:ascii="Palatino Linotype" w:hAnsi="Palatino Linotype" w:eastAsia="Palatino Linotype" w:cs="Palatino Linotype"/>
          <w:color w:val="000000" w:themeColor="text1"/>
          <w:sz w:val="24"/>
          <w:szCs w:val="24"/>
        </w:rPr>
        <w:t xml:space="preserve"> </w:t>
      </w:r>
      <w:r w:rsidRPr="00060CC0" w:rsidR="73662D70">
        <w:rPr>
          <w:rFonts w:ascii="Palatino Linotype" w:hAnsi="Palatino Linotype" w:eastAsia="Palatino Linotype" w:cs="Palatino Linotype"/>
          <w:color w:val="000000" w:themeColor="text1"/>
          <w:sz w:val="24"/>
          <w:szCs w:val="24"/>
        </w:rPr>
        <w:t>for up to 60 months</w:t>
      </w:r>
      <w:r w:rsidRPr="00060CC0" w:rsidR="00CC1B85">
        <w:rPr>
          <w:rFonts w:ascii="Palatino Linotype" w:hAnsi="Palatino Linotype" w:eastAsia="Palatino Linotype" w:cs="Palatino Linotype"/>
          <w:color w:val="000000" w:themeColor="text1"/>
          <w:sz w:val="24"/>
          <w:szCs w:val="24"/>
        </w:rPr>
        <w:t xml:space="preserve"> from the date of execution of an Agreement and Affidavit</w:t>
      </w:r>
      <w:r w:rsidRPr="00060CC0" w:rsidR="73662D70">
        <w:rPr>
          <w:rFonts w:ascii="Palatino Linotype" w:hAnsi="Palatino Linotype" w:eastAsia="Palatino Linotype" w:cs="Palatino Linotype"/>
          <w:color w:val="000000" w:themeColor="text1"/>
          <w:sz w:val="24"/>
          <w:szCs w:val="24"/>
        </w:rPr>
        <w:t xml:space="preserve"> </w:t>
      </w:r>
      <w:r w:rsidRPr="00060CC0" w:rsidR="590327A5">
        <w:rPr>
          <w:rFonts w:ascii="Palatino Linotype" w:hAnsi="Palatino Linotype" w:eastAsia="Palatino Linotype" w:cs="Palatino Linotype"/>
          <w:color w:val="000000" w:themeColor="text1"/>
          <w:sz w:val="24"/>
          <w:szCs w:val="24"/>
        </w:rPr>
        <w:t>in the case that Pacific Steel</w:t>
      </w:r>
      <w:r w:rsidRPr="00060CC0" w:rsidR="05B90DF5">
        <w:rPr>
          <w:rFonts w:ascii="Palatino Linotype" w:hAnsi="Palatino Linotype" w:eastAsia="Palatino Linotype" w:cs="Palatino Linotype"/>
          <w:color w:val="000000" w:themeColor="text1"/>
          <w:sz w:val="24"/>
          <w:szCs w:val="24"/>
        </w:rPr>
        <w:t xml:space="preserve"> is able to</w:t>
      </w:r>
      <w:r w:rsidRPr="00060CC0" w:rsidR="590327A5">
        <w:rPr>
          <w:rFonts w:ascii="Palatino Linotype" w:hAnsi="Palatino Linotype" w:eastAsia="Palatino Linotype" w:cs="Palatino Linotype"/>
          <w:color w:val="000000" w:themeColor="text1"/>
          <w:sz w:val="24"/>
          <w:szCs w:val="24"/>
        </w:rPr>
        <w:t xml:space="preserve"> </w:t>
      </w:r>
      <w:r w:rsidRPr="00060CC0" w:rsidR="7041DCFB">
        <w:rPr>
          <w:rFonts w:ascii="Palatino Linotype" w:hAnsi="Palatino Linotype" w:eastAsia="Palatino" w:cs="Palatino"/>
          <w:color w:val="000000" w:themeColor="text1"/>
          <w:sz w:val="24"/>
          <w:szCs w:val="24"/>
        </w:rPr>
        <w:t xml:space="preserve">execute an EDR Agreement with SCE and also pass an eligibility review with the Governor’s Office of Business </w:t>
      </w:r>
      <w:r w:rsidRPr="00060CC0" w:rsidR="7041DCFB">
        <w:rPr>
          <w:rFonts w:ascii="Palatino Linotype" w:hAnsi="Palatino Linotype" w:eastAsia="Palatino Linotype" w:cs="Palatino Linotype"/>
          <w:color w:val="000000" w:themeColor="text1"/>
          <w:sz w:val="24"/>
          <w:szCs w:val="24"/>
        </w:rPr>
        <w:t>and Economic Development</w:t>
      </w:r>
      <w:r w:rsidRPr="00060CC0" w:rsidR="402B1BA0">
        <w:rPr>
          <w:rFonts w:ascii="Palatino Linotype" w:hAnsi="Palatino Linotype" w:eastAsia="Palatino Linotype" w:cs="Palatino Linotype"/>
          <w:color w:val="000000" w:themeColor="text1"/>
          <w:sz w:val="24"/>
          <w:szCs w:val="24"/>
        </w:rPr>
        <w:t xml:space="preserve">. </w:t>
      </w:r>
      <w:r w:rsidRPr="00060CC0" w:rsidR="43ED1F97">
        <w:rPr>
          <w:rFonts w:ascii="Palatino Linotype" w:hAnsi="Palatino Linotype" w:eastAsia="Palatino Linotype" w:cs="Palatino Linotype"/>
          <w:color w:val="000000" w:themeColor="text1"/>
          <w:sz w:val="24"/>
          <w:szCs w:val="24"/>
        </w:rPr>
        <w:t>This would constitute a 24</w:t>
      </w:r>
      <w:r w:rsidRPr="00060CC0" w:rsidR="1AC432F0">
        <w:rPr>
          <w:rFonts w:ascii="Palatino Linotype" w:hAnsi="Palatino Linotype" w:eastAsia="Palatino Linotype" w:cs="Palatino Linotype"/>
          <w:color w:val="000000" w:themeColor="text1"/>
          <w:sz w:val="24"/>
          <w:szCs w:val="24"/>
        </w:rPr>
        <w:t>-</w:t>
      </w:r>
      <w:r w:rsidRPr="00060CC0" w:rsidR="43ED1F97">
        <w:rPr>
          <w:rFonts w:ascii="Palatino Linotype" w:hAnsi="Palatino Linotype" w:eastAsia="Palatino Linotype" w:cs="Palatino Linotype"/>
          <w:color w:val="000000" w:themeColor="text1"/>
          <w:sz w:val="24"/>
          <w:szCs w:val="24"/>
        </w:rPr>
        <w:t xml:space="preserve">month extension to </w:t>
      </w:r>
      <w:r w:rsidRPr="00060CC0" w:rsidR="60F1A2C8">
        <w:rPr>
          <w:rFonts w:ascii="Palatino Linotype" w:hAnsi="Palatino Linotype" w:eastAsia="Palatino Linotype" w:cs="Palatino Linotype"/>
          <w:color w:val="000000" w:themeColor="text1"/>
          <w:sz w:val="24"/>
          <w:szCs w:val="24"/>
        </w:rPr>
        <w:t>the 36 months currently provided in Special Condition 4 of EDR-A.</w:t>
      </w:r>
    </w:p>
    <w:p w:rsidRPr="00060CC0" w:rsidR="11395E8C" w:rsidP="4C9FB004" w:rsidRDefault="11395E8C" w14:paraId="0158B62A" w14:textId="336B0DE7">
      <w:pPr>
        <w:spacing w:after="0"/>
        <w:rPr>
          <w:rFonts w:ascii="Palatino Linotype" w:hAnsi="Palatino Linotype" w:eastAsia="Palatino Linotype" w:cs="Palatino Linotype"/>
          <w:color w:val="000000" w:themeColor="text1"/>
          <w:sz w:val="24"/>
          <w:szCs w:val="24"/>
        </w:rPr>
      </w:pPr>
    </w:p>
    <w:p w:rsidRPr="00060CC0" w:rsidR="00B01EC7" w:rsidP="79DBD68B" w:rsidRDefault="50ADC591" w14:paraId="4D7C0DC2" w14:textId="6727F3BE">
      <w:pPr>
        <w:spacing w:after="0" w:line="240" w:lineRule="auto"/>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 xml:space="preserve">The Commission </w:t>
      </w:r>
      <w:r w:rsidRPr="00060CC0" w:rsidR="4042F754">
        <w:rPr>
          <w:rFonts w:ascii="Palatino Linotype" w:hAnsi="Palatino Linotype" w:eastAsia="Palatino Linotype" w:cs="Palatino Linotype"/>
          <w:color w:val="000000" w:themeColor="text1"/>
          <w:sz w:val="24"/>
          <w:szCs w:val="24"/>
        </w:rPr>
        <w:t>also finds</w:t>
      </w:r>
      <w:r w:rsidRPr="00060CC0">
        <w:rPr>
          <w:rFonts w:ascii="Palatino Linotype" w:hAnsi="Palatino Linotype" w:eastAsia="Palatino Linotype" w:cs="Palatino Linotype"/>
          <w:color w:val="000000" w:themeColor="text1"/>
          <w:sz w:val="24"/>
          <w:szCs w:val="24"/>
        </w:rPr>
        <w:t xml:space="preserve"> that </w:t>
      </w:r>
      <w:r w:rsidRPr="00060CC0" w:rsidR="62429A66">
        <w:rPr>
          <w:rFonts w:ascii="Palatino Linotype" w:hAnsi="Palatino Linotype" w:eastAsia="Palatino Linotype" w:cs="Palatino Linotype"/>
          <w:color w:val="000000" w:themeColor="text1"/>
          <w:sz w:val="24"/>
          <w:szCs w:val="24"/>
        </w:rPr>
        <w:t>the approval of relief requested by SCE in AL 5365-E</w:t>
      </w:r>
      <w:r w:rsidRPr="00060CC0">
        <w:rPr>
          <w:rFonts w:ascii="Palatino Linotype" w:hAnsi="Palatino Linotype" w:eastAsia="Palatino Linotype" w:cs="Palatino Linotype"/>
          <w:color w:val="000000" w:themeColor="text1"/>
          <w:sz w:val="24"/>
          <w:szCs w:val="24"/>
        </w:rPr>
        <w:t xml:space="preserve"> does not unilaterally approve </w:t>
      </w:r>
      <w:r w:rsidRPr="00060CC0" w:rsidR="1A5F847F">
        <w:rPr>
          <w:rFonts w:ascii="Palatino Linotype" w:hAnsi="Palatino Linotype" w:eastAsia="Palatino Linotype" w:cs="Palatino Linotype"/>
          <w:color w:val="000000" w:themeColor="text1"/>
          <w:sz w:val="24"/>
          <w:szCs w:val="24"/>
        </w:rPr>
        <w:t xml:space="preserve">Pacific Steel’s admission into </w:t>
      </w:r>
      <w:r w:rsidRPr="00060CC0">
        <w:rPr>
          <w:rFonts w:ascii="Palatino Linotype" w:hAnsi="Palatino Linotype" w:eastAsia="Palatino Linotype" w:cs="Palatino Linotype"/>
          <w:color w:val="000000" w:themeColor="text1"/>
          <w:sz w:val="24"/>
          <w:szCs w:val="24"/>
        </w:rPr>
        <w:t xml:space="preserve">SCE’s EDR-A program. </w:t>
      </w:r>
      <w:r w:rsidRPr="00060CC0" w:rsidR="43A77372">
        <w:rPr>
          <w:rFonts w:ascii="Palatino Linotype" w:hAnsi="Palatino Linotype" w:eastAsia="Palatino Linotype" w:cs="Palatino Linotype"/>
          <w:color w:val="000000" w:themeColor="text1"/>
          <w:sz w:val="24"/>
          <w:szCs w:val="24"/>
        </w:rPr>
        <w:t xml:space="preserve"> As noted in AL 5365-E</w:t>
      </w:r>
      <w:r w:rsidRPr="00060CC0" w:rsidR="1BA9262D">
        <w:rPr>
          <w:rFonts w:ascii="Palatino Linotype" w:hAnsi="Palatino Linotype" w:eastAsia="Palatino Linotype" w:cs="Palatino Linotype"/>
          <w:color w:val="000000" w:themeColor="text1"/>
          <w:sz w:val="24"/>
          <w:szCs w:val="24"/>
        </w:rPr>
        <w:t xml:space="preserve">, </w:t>
      </w:r>
      <w:r w:rsidRPr="00060CC0" w:rsidR="7BE8EBDF">
        <w:rPr>
          <w:rFonts w:ascii="Palatino Linotype" w:hAnsi="Palatino Linotype" w:eastAsia="Palatino Linotype" w:cs="Palatino Linotype"/>
          <w:color w:val="000000" w:themeColor="text1"/>
          <w:sz w:val="24"/>
          <w:szCs w:val="24"/>
        </w:rPr>
        <w:t>Pacific Steel’s application</w:t>
      </w:r>
      <w:r w:rsidRPr="00060CC0" w:rsidR="7B3B2A72">
        <w:rPr>
          <w:rFonts w:ascii="Palatino Linotype" w:hAnsi="Palatino Linotype" w:eastAsia="Palatino Linotype" w:cs="Palatino Linotype"/>
          <w:color w:val="000000" w:themeColor="text1"/>
          <w:sz w:val="24"/>
          <w:szCs w:val="24"/>
        </w:rPr>
        <w:t xml:space="preserve"> must</w:t>
      </w:r>
      <w:r w:rsidRPr="00060CC0" w:rsidR="7BE8EBDF">
        <w:rPr>
          <w:rFonts w:ascii="Palatino Linotype" w:hAnsi="Palatino Linotype" w:eastAsia="Palatino Linotype" w:cs="Palatino Linotype"/>
          <w:color w:val="000000" w:themeColor="text1"/>
          <w:sz w:val="24"/>
          <w:szCs w:val="24"/>
        </w:rPr>
        <w:t xml:space="preserve"> be approved by SCE for the EDR program, </w:t>
      </w:r>
      <w:r w:rsidRPr="00060CC0" w:rsidR="0B1D7038">
        <w:rPr>
          <w:rFonts w:ascii="Palatino Linotype" w:hAnsi="Palatino Linotype" w:eastAsia="Palatino Linotype" w:cs="Palatino Linotype"/>
          <w:color w:val="000000" w:themeColor="text1"/>
          <w:sz w:val="24"/>
          <w:szCs w:val="24"/>
        </w:rPr>
        <w:t xml:space="preserve">after which </w:t>
      </w:r>
      <w:r w:rsidRPr="00060CC0" w:rsidR="7BE8EBDF">
        <w:rPr>
          <w:rFonts w:ascii="Palatino Linotype" w:hAnsi="Palatino Linotype" w:eastAsia="Palatino Linotype" w:cs="Palatino Linotype"/>
          <w:color w:val="000000" w:themeColor="text1"/>
          <w:sz w:val="24"/>
          <w:szCs w:val="24"/>
        </w:rPr>
        <w:t>the company will also need to pass an eligibility review with the California Governor’s Office of Business and Economic Development</w:t>
      </w:r>
      <w:r w:rsidRPr="00060CC0" w:rsidR="7690327F">
        <w:rPr>
          <w:rFonts w:ascii="Palatino Linotype" w:hAnsi="Palatino Linotype" w:eastAsia="Palatino Linotype" w:cs="Palatino Linotype"/>
          <w:color w:val="000000" w:themeColor="text1"/>
          <w:sz w:val="24"/>
          <w:szCs w:val="24"/>
        </w:rPr>
        <w:t xml:space="preserve"> (G</w:t>
      </w:r>
      <w:r w:rsidRPr="00060CC0" w:rsidR="1761DEAA">
        <w:rPr>
          <w:rFonts w:ascii="Palatino Linotype" w:hAnsi="Palatino Linotype" w:eastAsia="Palatino Linotype" w:cs="Palatino Linotype"/>
          <w:color w:val="000000" w:themeColor="text1"/>
          <w:sz w:val="24"/>
          <w:szCs w:val="24"/>
        </w:rPr>
        <w:t>O-</w:t>
      </w:r>
      <w:r w:rsidRPr="00060CC0" w:rsidR="7690327F">
        <w:rPr>
          <w:rFonts w:ascii="Palatino Linotype" w:hAnsi="Palatino Linotype" w:eastAsia="Palatino Linotype" w:cs="Palatino Linotype"/>
          <w:color w:val="000000" w:themeColor="text1"/>
          <w:sz w:val="24"/>
          <w:szCs w:val="24"/>
        </w:rPr>
        <w:t>Biz)</w:t>
      </w:r>
      <w:r w:rsidRPr="00060CC0" w:rsidR="7BE8EBDF">
        <w:rPr>
          <w:rFonts w:ascii="Palatino Linotype" w:hAnsi="Palatino Linotype" w:eastAsia="Palatino Linotype" w:cs="Palatino Linotype"/>
          <w:color w:val="000000" w:themeColor="text1"/>
          <w:sz w:val="24"/>
          <w:szCs w:val="24"/>
        </w:rPr>
        <w:t>, and execute an EDR Agreement with SCE</w:t>
      </w:r>
      <w:r w:rsidRPr="00060CC0" w:rsidR="60D39D08">
        <w:rPr>
          <w:rFonts w:ascii="Palatino Linotype" w:hAnsi="Palatino Linotype" w:eastAsia="Palatino Linotype" w:cs="Palatino Linotype"/>
          <w:color w:val="000000" w:themeColor="text1"/>
          <w:sz w:val="24"/>
          <w:szCs w:val="24"/>
        </w:rPr>
        <w:t>.</w:t>
      </w:r>
      <w:r w:rsidRPr="00060CC0" w:rsidR="4F55D385">
        <w:rPr>
          <w:rFonts w:ascii="Palatino Linotype" w:hAnsi="Palatino Linotype" w:eastAsia="Palatino Linotype" w:cs="Palatino Linotype"/>
          <w:color w:val="000000" w:themeColor="text1"/>
          <w:sz w:val="24"/>
          <w:szCs w:val="24"/>
        </w:rPr>
        <w:t xml:space="preserve"> Only after the </w:t>
      </w:r>
      <w:proofErr w:type="gramStart"/>
      <w:r w:rsidRPr="00060CC0" w:rsidR="4F55D385">
        <w:rPr>
          <w:rFonts w:ascii="Palatino Linotype" w:hAnsi="Palatino Linotype" w:eastAsia="Palatino Linotype" w:cs="Palatino Linotype"/>
          <w:color w:val="000000" w:themeColor="text1"/>
          <w:sz w:val="24"/>
          <w:szCs w:val="24"/>
        </w:rPr>
        <w:t>afor</w:t>
      </w:r>
      <w:r w:rsidRPr="00060CC0" w:rsidR="4EA61D36">
        <w:rPr>
          <w:rFonts w:ascii="Palatino Linotype" w:hAnsi="Palatino Linotype" w:eastAsia="Palatino Linotype" w:cs="Palatino Linotype"/>
          <w:color w:val="000000" w:themeColor="text1"/>
          <w:sz w:val="24"/>
          <w:szCs w:val="24"/>
        </w:rPr>
        <w:t>e</w:t>
      </w:r>
      <w:r w:rsidRPr="00060CC0" w:rsidR="4F55D385">
        <w:rPr>
          <w:rFonts w:ascii="Palatino Linotype" w:hAnsi="Palatino Linotype" w:eastAsia="Palatino Linotype" w:cs="Palatino Linotype"/>
          <w:color w:val="000000" w:themeColor="text1"/>
          <w:sz w:val="24"/>
          <w:szCs w:val="24"/>
        </w:rPr>
        <w:t>mentioned stages</w:t>
      </w:r>
      <w:proofErr w:type="gramEnd"/>
      <w:r w:rsidRPr="00060CC0" w:rsidR="4F55D385">
        <w:rPr>
          <w:rFonts w:ascii="Palatino Linotype" w:hAnsi="Palatino Linotype" w:eastAsia="Palatino Linotype" w:cs="Palatino Linotype"/>
          <w:color w:val="000000" w:themeColor="text1"/>
          <w:sz w:val="24"/>
          <w:szCs w:val="24"/>
        </w:rPr>
        <w:t xml:space="preserve"> of approval are executed w</w:t>
      </w:r>
      <w:r w:rsidRPr="00060CC0" w:rsidR="00800BA6">
        <w:rPr>
          <w:rFonts w:ascii="Palatino Linotype" w:hAnsi="Palatino Linotype" w:eastAsia="Palatino Linotype" w:cs="Palatino Linotype"/>
          <w:color w:val="000000" w:themeColor="text1"/>
          <w:sz w:val="24"/>
          <w:szCs w:val="24"/>
        </w:rPr>
        <w:t>ould</w:t>
      </w:r>
      <w:r w:rsidRPr="00060CC0" w:rsidR="4F55D385">
        <w:rPr>
          <w:rFonts w:ascii="Palatino Linotype" w:hAnsi="Palatino Linotype" w:eastAsia="Palatino Linotype" w:cs="Palatino Linotype"/>
          <w:color w:val="000000" w:themeColor="text1"/>
          <w:sz w:val="24"/>
          <w:szCs w:val="24"/>
        </w:rPr>
        <w:t xml:space="preserve"> Pacific Steel receive the benefit of deviating from Special Condition </w:t>
      </w:r>
      <w:r w:rsidRPr="00060CC0" w:rsidR="240EBC78">
        <w:rPr>
          <w:rFonts w:ascii="Palatino Linotype" w:hAnsi="Palatino Linotype" w:eastAsia="Palatino Linotype" w:cs="Palatino Linotype"/>
          <w:color w:val="000000" w:themeColor="text1"/>
          <w:sz w:val="24"/>
          <w:szCs w:val="24"/>
        </w:rPr>
        <w:t>4 of Schedule EDR-A. The Commission’s approval for deviation</w:t>
      </w:r>
      <w:r w:rsidRPr="00060CC0" w:rsidR="05150B02">
        <w:rPr>
          <w:rFonts w:ascii="Palatino Linotype" w:hAnsi="Palatino Linotype" w:eastAsia="Palatino Linotype" w:cs="Palatino Linotype"/>
          <w:color w:val="000000" w:themeColor="text1"/>
          <w:sz w:val="24"/>
          <w:szCs w:val="24"/>
        </w:rPr>
        <w:t xml:space="preserve"> from Special Condition 4</w:t>
      </w:r>
      <w:r w:rsidRPr="00060CC0" w:rsidR="240EBC78">
        <w:rPr>
          <w:rFonts w:ascii="Palatino Linotype" w:hAnsi="Palatino Linotype" w:eastAsia="Palatino Linotype" w:cs="Palatino Linotype"/>
          <w:color w:val="000000" w:themeColor="text1"/>
          <w:sz w:val="24"/>
          <w:szCs w:val="24"/>
        </w:rPr>
        <w:t xml:space="preserve"> </w:t>
      </w:r>
      <w:r w:rsidRPr="00060CC0" w:rsidR="3D42E4C6">
        <w:rPr>
          <w:rFonts w:ascii="Palatino Linotype" w:hAnsi="Palatino Linotype" w:eastAsia="Palatino Linotype" w:cs="Palatino Linotype"/>
          <w:color w:val="000000" w:themeColor="text1"/>
          <w:sz w:val="24"/>
          <w:szCs w:val="24"/>
        </w:rPr>
        <w:t xml:space="preserve">has no bearing on </w:t>
      </w:r>
      <w:r w:rsidRPr="00060CC0" w:rsidR="246509FC">
        <w:rPr>
          <w:rFonts w:ascii="Palatino Linotype" w:hAnsi="Palatino Linotype" w:eastAsia="Palatino Linotype" w:cs="Palatino Linotype"/>
          <w:color w:val="000000" w:themeColor="text1"/>
          <w:sz w:val="24"/>
          <w:szCs w:val="24"/>
        </w:rPr>
        <w:t xml:space="preserve">the outcome of </w:t>
      </w:r>
      <w:r w:rsidRPr="00060CC0" w:rsidR="3D42E4C6">
        <w:rPr>
          <w:rFonts w:ascii="Palatino Linotype" w:hAnsi="Palatino Linotype" w:eastAsia="Palatino Linotype" w:cs="Palatino Linotype"/>
          <w:color w:val="000000" w:themeColor="text1"/>
          <w:sz w:val="24"/>
          <w:szCs w:val="24"/>
        </w:rPr>
        <w:t>Pacific Steel’s</w:t>
      </w:r>
      <w:r w:rsidRPr="00060CC0" w:rsidR="25E3F2E5">
        <w:rPr>
          <w:rFonts w:ascii="Palatino Linotype" w:hAnsi="Palatino Linotype" w:eastAsia="Palatino Linotype" w:cs="Palatino Linotype"/>
          <w:color w:val="000000" w:themeColor="text1"/>
          <w:sz w:val="24"/>
          <w:szCs w:val="24"/>
        </w:rPr>
        <w:t xml:space="preserve"> intent to </w:t>
      </w:r>
      <w:r w:rsidRPr="00060CC0" w:rsidR="3D42E4C6">
        <w:rPr>
          <w:rFonts w:ascii="Palatino Linotype" w:hAnsi="Palatino Linotype" w:eastAsia="Palatino Linotype" w:cs="Palatino Linotype"/>
          <w:color w:val="000000" w:themeColor="text1"/>
          <w:sz w:val="24"/>
          <w:szCs w:val="24"/>
        </w:rPr>
        <w:t xml:space="preserve">seek approval </w:t>
      </w:r>
      <w:r w:rsidRPr="00060CC0" w:rsidR="00A931E0">
        <w:rPr>
          <w:rFonts w:ascii="Palatino Linotype" w:hAnsi="Palatino Linotype" w:eastAsia="Palatino Linotype" w:cs="Palatino Linotype"/>
          <w:color w:val="000000" w:themeColor="text1"/>
          <w:sz w:val="24"/>
          <w:szCs w:val="24"/>
        </w:rPr>
        <w:t xml:space="preserve">of an EDR </w:t>
      </w:r>
      <w:r w:rsidRPr="00060CC0" w:rsidR="333FC1CC">
        <w:rPr>
          <w:rFonts w:ascii="Palatino Linotype" w:hAnsi="Palatino Linotype" w:eastAsia="Palatino Linotype" w:cs="Palatino Linotype"/>
          <w:color w:val="000000" w:themeColor="text1"/>
          <w:sz w:val="24"/>
          <w:szCs w:val="24"/>
        </w:rPr>
        <w:t xml:space="preserve">in the </w:t>
      </w:r>
      <w:proofErr w:type="gramStart"/>
      <w:r w:rsidRPr="00060CC0" w:rsidR="333FC1CC">
        <w:rPr>
          <w:rFonts w:ascii="Palatino Linotype" w:hAnsi="Palatino Linotype" w:eastAsia="Palatino Linotype" w:cs="Palatino Linotype"/>
          <w:color w:val="000000" w:themeColor="text1"/>
          <w:sz w:val="24"/>
          <w:szCs w:val="24"/>
        </w:rPr>
        <w:t>aforementioned stages</w:t>
      </w:r>
      <w:proofErr w:type="gramEnd"/>
      <w:r w:rsidRPr="00060CC0" w:rsidR="333FC1CC">
        <w:rPr>
          <w:rFonts w:ascii="Palatino Linotype" w:hAnsi="Palatino Linotype" w:eastAsia="Palatino Linotype" w:cs="Palatino Linotype"/>
          <w:color w:val="000000" w:themeColor="text1"/>
          <w:sz w:val="24"/>
          <w:szCs w:val="24"/>
        </w:rPr>
        <w:t>.</w:t>
      </w:r>
      <w:r w:rsidRPr="00060CC0" w:rsidR="1018D7B0">
        <w:rPr>
          <w:rFonts w:ascii="Palatino Linotype" w:hAnsi="Palatino Linotype" w:eastAsia="Palatino Linotype" w:cs="Palatino Linotype"/>
          <w:color w:val="000000" w:themeColor="text1"/>
          <w:sz w:val="24"/>
          <w:szCs w:val="24"/>
        </w:rPr>
        <w:t xml:space="preserve"> The Commission notes that Pacific Steel </w:t>
      </w:r>
      <w:r w:rsidRPr="00060CC0" w:rsidR="0AB33286">
        <w:rPr>
          <w:rFonts w:ascii="Palatino Linotype" w:hAnsi="Palatino Linotype" w:eastAsia="Palatino Linotype" w:cs="Palatino Linotype"/>
          <w:color w:val="000000" w:themeColor="text1"/>
          <w:sz w:val="24"/>
          <w:szCs w:val="24"/>
        </w:rPr>
        <w:t>has filed</w:t>
      </w:r>
      <w:r w:rsidRPr="00060CC0" w:rsidR="1018D7B0">
        <w:rPr>
          <w:rFonts w:ascii="Palatino Linotype" w:hAnsi="Palatino Linotype" w:eastAsia="Palatino Linotype" w:cs="Palatino Linotype"/>
          <w:color w:val="000000" w:themeColor="text1"/>
          <w:sz w:val="24"/>
          <w:szCs w:val="24"/>
        </w:rPr>
        <w:t xml:space="preserve"> </w:t>
      </w:r>
      <w:r w:rsidRPr="00060CC0" w:rsidR="2F868BC7">
        <w:rPr>
          <w:rFonts w:ascii="Palatino Linotype" w:hAnsi="Palatino Linotype" w:eastAsia="Palatino Linotype" w:cs="Palatino Linotype"/>
          <w:color w:val="242424"/>
          <w:sz w:val="24"/>
          <w:szCs w:val="24"/>
        </w:rPr>
        <w:t xml:space="preserve">a formal application </w:t>
      </w:r>
      <w:r w:rsidRPr="00060CC0" w:rsidR="2E1E5B2F">
        <w:rPr>
          <w:rFonts w:ascii="Palatino Linotype" w:hAnsi="Palatino Linotype" w:eastAsia="Palatino Linotype" w:cs="Palatino Linotype"/>
          <w:color w:val="242424"/>
          <w:sz w:val="24"/>
          <w:szCs w:val="24"/>
        </w:rPr>
        <w:t xml:space="preserve">for admission into the EDR-A program </w:t>
      </w:r>
      <w:r w:rsidRPr="00060CC0" w:rsidR="2F868BC7">
        <w:rPr>
          <w:rFonts w:ascii="Palatino Linotype" w:hAnsi="Palatino Linotype" w:eastAsia="Palatino Linotype" w:cs="Palatino Linotype"/>
          <w:color w:val="242424"/>
          <w:sz w:val="24"/>
          <w:szCs w:val="24"/>
        </w:rPr>
        <w:t>with SCE</w:t>
      </w:r>
      <w:r w:rsidRPr="00060CC0" w:rsidR="06F8E9D7">
        <w:rPr>
          <w:rFonts w:ascii="Palatino Linotype" w:hAnsi="Palatino Linotype" w:eastAsia="Palatino Linotype" w:cs="Palatino Linotype"/>
          <w:color w:val="242424"/>
          <w:sz w:val="24"/>
          <w:szCs w:val="24"/>
        </w:rPr>
        <w:t>, which was</w:t>
      </w:r>
      <w:r w:rsidRPr="00060CC0" w:rsidR="03481746">
        <w:rPr>
          <w:rFonts w:ascii="Palatino Linotype" w:hAnsi="Palatino Linotype" w:eastAsia="Palatino Linotype" w:cs="Palatino Linotype"/>
          <w:color w:val="242424"/>
          <w:sz w:val="24"/>
          <w:szCs w:val="24"/>
        </w:rPr>
        <w:t xml:space="preserve"> subsequently</w:t>
      </w:r>
      <w:r w:rsidRPr="00060CC0" w:rsidR="06F8E9D7">
        <w:rPr>
          <w:rFonts w:ascii="Palatino Linotype" w:hAnsi="Palatino Linotype" w:eastAsia="Palatino Linotype" w:cs="Palatino Linotype"/>
          <w:color w:val="242424"/>
          <w:sz w:val="24"/>
          <w:szCs w:val="24"/>
        </w:rPr>
        <w:t xml:space="preserve"> approved by G</w:t>
      </w:r>
      <w:r w:rsidRPr="00060CC0" w:rsidR="4BC05D1F">
        <w:rPr>
          <w:rFonts w:ascii="Palatino Linotype" w:hAnsi="Palatino Linotype" w:eastAsia="Palatino Linotype" w:cs="Palatino Linotype"/>
          <w:color w:val="242424"/>
          <w:sz w:val="24"/>
          <w:szCs w:val="24"/>
        </w:rPr>
        <w:t>O-</w:t>
      </w:r>
      <w:r w:rsidRPr="00060CC0" w:rsidR="06F8E9D7">
        <w:rPr>
          <w:rFonts w:ascii="Palatino Linotype" w:hAnsi="Palatino Linotype" w:eastAsia="Palatino Linotype" w:cs="Palatino Linotype"/>
          <w:color w:val="242424"/>
          <w:sz w:val="24"/>
          <w:szCs w:val="24"/>
        </w:rPr>
        <w:t>Biz</w:t>
      </w:r>
      <w:r w:rsidRPr="00060CC0" w:rsidR="5332E50A">
        <w:rPr>
          <w:rFonts w:ascii="Palatino Linotype" w:hAnsi="Palatino Linotype" w:eastAsia="Palatino Linotype" w:cs="Palatino Linotype"/>
          <w:color w:val="242424"/>
          <w:sz w:val="24"/>
          <w:szCs w:val="24"/>
        </w:rPr>
        <w:t xml:space="preserve"> on</w:t>
      </w:r>
      <w:r w:rsidRPr="00060CC0" w:rsidR="2F868BC7">
        <w:rPr>
          <w:rFonts w:ascii="Palatino Linotype" w:hAnsi="Palatino Linotype" w:eastAsia="Palatino Linotype" w:cs="Palatino Linotype"/>
          <w:color w:val="242424"/>
          <w:sz w:val="24"/>
          <w:szCs w:val="24"/>
        </w:rPr>
        <w:t xml:space="preserve"> May 29</w:t>
      </w:r>
      <w:r w:rsidRPr="00060CC0" w:rsidR="2F868BC7">
        <w:rPr>
          <w:rFonts w:ascii="Palatino Linotype" w:hAnsi="Palatino Linotype" w:eastAsia="Palatino Linotype" w:cs="Palatino Linotype"/>
          <w:color w:val="242424"/>
          <w:sz w:val="24"/>
          <w:szCs w:val="24"/>
          <w:vertAlign w:val="superscript"/>
        </w:rPr>
        <w:t>th</w:t>
      </w:r>
      <w:proofErr w:type="gramStart"/>
      <w:r w:rsidRPr="00060CC0" w:rsidR="2F868BC7">
        <w:rPr>
          <w:rFonts w:ascii="Palatino Linotype" w:hAnsi="Palatino Linotype" w:eastAsia="Palatino Linotype" w:cs="Palatino Linotype"/>
          <w:color w:val="242424"/>
          <w:sz w:val="24"/>
          <w:szCs w:val="24"/>
        </w:rPr>
        <w:t xml:space="preserve"> 2025</w:t>
      </w:r>
      <w:proofErr w:type="gramEnd"/>
      <w:r w:rsidRPr="00060CC0" w:rsidR="2F868BC7">
        <w:rPr>
          <w:rFonts w:ascii="Palatino Linotype" w:hAnsi="Palatino Linotype" w:eastAsia="Palatino Linotype" w:cs="Palatino Linotype"/>
          <w:color w:val="242424"/>
          <w:sz w:val="24"/>
          <w:szCs w:val="24"/>
        </w:rPr>
        <w:t>.</w:t>
      </w:r>
      <w:r w:rsidRPr="00060CC0" w:rsidR="7F0278C3">
        <w:rPr>
          <w:rFonts w:ascii="Palatino Linotype" w:hAnsi="Palatino Linotype" w:eastAsia="Palatino Linotype" w:cs="Palatino Linotype"/>
          <w:color w:val="242424"/>
          <w:sz w:val="24"/>
          <w:szCs w:val="24"/>
        </w:rPr>
        <w:t xml:space="preserve"> The EDR Agreement between SCE and Pacific Steel </w:t>
      </w:r>
      <w:r w:rsidRPr="00060CC0" w:rsidR="3D224276">
        <w:rPr>
          <w:rFonts w:ascii="Palatino Linotype" w:hAnsi="Palatino Linotype" w:eastAsia="Palatino Linotype" w:cs="Palatino Linotype"/>
          <w:color w:val="242424"/>
          <w:sz w:val="24"/>
          <w:szCs w:val="24"/>
        </w:rPr>
        <w:t>was finalized on June 2</w:t>
      </w:r>
      <w:r w:rsidRPr="00060CC0" w:rsidR="27EA83D0">
        <w:rPr>
          <w:rFonts w:ascii="Palatino Linotype" w:hAnsi="Palatino Linotype" w:eastAsia="Palatino Linotype" w:cs="Palatino Linotype"/>
          <w:color w:val="242424"/>
          <w:sz w:val="24"/>
          <w:szCs w:val="24"/>
        </w:rPr>
        <w:t>5</w:t>
      </w:r>
      <w:r w:rsidRPr="00060CC0" w:rsidR="27EA83D0">
        <w:rPr>
          <w:rFonts w:ascii="Palatino Linotype" w:hAnsi="Palatino Linotype" w:eastAsia="Palatino Linotype" w:cs="Palatino Linotype"/>
          <w:color w:val="242424"/>
          <w:sz w:val="24"/>
          <w:szCs w:val="24"/>
          <w:vertAlign w:val="superscript"/>
        </w:rPr>
        <w:t>th</w:t>
      </w:r>
      <w:proofErr w:type="gramStart"/>
      <w:r w:rsidRPr="00060CC0" w:rsidR="27EA83D0">
        <w:rPr>
          <w:rFonts w:ascii="Palatino Linotype" w:hAnsi="Palatino Linotype" w:eastAsia="Palatino Linotype" w:cs="Palatino Linotype"/>
          <w:color w:val="242424"/>
          <w:sz w:val="24"/>
          <w:szCs w:val="24"/>
        </w:rPr>
        <w:t xml:space="preserve"> </w:t>
      </w:r>
      <w:r w:rsidRPr="00060CC0" w:rsidR="3D224276">
        <w:rPr>
          <w:rFonts w:ascii="Palatino Linotype" w:hAnsi="Palatino Linotype" w:eastAsia="Palatino Linotype" w:cs="Palatino Linotype"/>
          <w:color w:val="242424"/>
          <w:sz w:val="24"/>
          <w:szCs w:val="24"/>
        </w:rPr>
        <w:t>2025</w:t>
      </w:r>
      <w:proofErr w:type="gramEnd"/>
      <w:r w:rsidRPr="00060CC0" w:rsidR="3D224276">
        <w:rPr>
          <w:rFonts w:ascii="Palatino Linotype" w:hAnsi="Palatino Linotype" w:eastAsia="Palatino Linotype" w:cs="Palatino Linotype"/>
          <w:color w:val="242424"/>
          <w:sz w:val="24"/>
          <w:szCs w:val="24"/>
        </w:rPr>
        <w:t xml:space="preserve"> and is currently in force.</w:t>
      </w:r>
    </w:p>
    <w:p w:rsidRPr="00060CC0" w:rsidR="00B01EC7" w:rsidP="4A529F21" w:rsidRDefault="2F33EBFD" w14:paraId="7BF5DD38" w14:textId="3CF215F6">
      <w:pPr>
        <w:pStyle w:val="Heading1"/>
        <w:spacing w:before="120" w:after="240"/>
        <w:rPr>
          <w:rFonts w:ascii="Palatino Linotype" w:hAnsi="Palatino Linotype" w:eastAsia="Helvetica" w:cs="Helvetica"/>
          <w:b/>
          <w:bCs/>
          <w:caps/>
          <w:color w:val="000000" w:themeColor="text1"/>
          <w:sz w:val="24"/>
          <w:szCs w:val="24"/>
        </w:rPr>
      </w:pPr>
      <w:r w:rsidRPr="00060CC0">
        <w:rPr>
          <w:rFonts w:ascii="Palatino Linotype" w:hAnsi="Palatino Linotype" w:eastAsia="Helvetica" w:cs="Helvetica"/>
          <w:b/>
          <w:bCs/>
          <w:caps/>
          <w:color w:val="000000" w:themeColor="text1"/>
          <w:sz w:val="24"/>
          <w:szCs w:val="24"/>
          <w:u w:val="single"/>
        </w:rPr>
        <w:lastRenderedPageBreak/>
        <w:t>Comments</w:t>
      </w:r>
    </w:p>
    <w:p w:rsidRPr="00060CC0" w:rsidR="00B01EC7" w:rsidP="4A529F21" w:rsidRDefault="2F33EBFD" w14:paraId="180A4C17" w14:textId="4624B1DD">
      <w:pPr>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This is an uncontested matter in which the resolution grants the relief requested.  Accordingly, pursuant to PU Code 311(g)(2), the otherwise applicable 30-day period for public review and comment is being waived.</w:t>
      </w:r>
    </w:p>
    <w:p w:rsidRPr="00060CC0" w:rsidR="00B01EC7" w:rsidP="4A529F21" w:rsidRDefault="00B01EC7" w14:paraId="1467B021" w14:textId="581DAFDE">
      <w:pPr>
        <w:rPr>
          <w:rFonts w:ascii="Palatino Linotype" w:hAnsi="Palatino Linotype" w:eastAsia="Palatino" w:cs="Palatino"/>
          <w:color w:val="000000" w:themeColor="text1"/>
          <w:sz w:val="24"/>
          <w:szCs w:val="24"/>
        </w:rPr>
      </w:pPr>
    </w:p>
    <w:p w:rsidRPr="00060CC0" w:rsidR="00B01EC7" w:rsidP="11395E8C" w:rsidRDefault="2F33EBFD" w14:paraId="5031136D" w14:textId="5009CF69">
      <w:pPr>
        <w:pStyle w:val="Heading1"/>
        <w:spacing w:before="120" w:after="240"/>
        <w:rPr>
          <w:rFonts w:ascii="Palatino Linotype" w:hAnsi="Palatino Linotype" w:eastAsia="Helvetica" w:cs="Helvetica"/>
          <w:b/>
          <w:bCs/>
          <w:caps/>
          <w:color w:val="000000" w:themeColor="text1"/>
          <w:sz w:val="24"/>
          <w:szCs w:val="24"/>
        </w:rPr>
      </w:pPr>
      <w:r w:rsidRPr="00060CC0">
        <w:rPr>
          <w:rFonts w:ascii="Palatino Linotype" w:hAnsi="Palatino Linotype" w:eastAsia="Helvetica" w:cs="Helvetica"/>
          <w:b/>
          <w:bCs/>
          <w:caps/>
          <w:color w:val="000000" w:themeColor="text1"/>
          <w:sz w:val="24"/>
          <w:szCs w:val="24"/>
          <w:u w:val="single"/>
        </w:rPr>
        <w:t>Findings</w:t>
      </w:r>
    </w:p>
    <w:p w:rsidRPr="00060CC0" w:rsidR="007E29E8" w:rsidP="11395E8C" w:rsidRDefault="007E29E8" w14:paraId="6B2A308C" w14:textId="16B0D91B">
      <w:pPr>
        <w:pStyle w:val="ListParagraph"/>
        <w:numPr>
          <w:ilvl w:val="0"/>
          <w:numId w:val="2"/>
        </w:numPr>
        <w:rPr>
          <w:rFonts w:ascii="Palatino Linotype" w:hAnsi="Palatino Linotype" w:eastAsia="Palatino Linotype" w:cs="Palatino Linotype"/>
          <w:color w:val="000000" w:themeColor="text1"/>
          <w:sz w:val="24"/>
          <w:szCs w:val="24"/>
        </w:rPr>
      </w:pPr>
      <w:r w:rsidRPr="00060CC0">
        <w:rPr>
          <w:rFonts w:ascii="Palatino Linotype" w:hAnsi="Palatino Linotype" w:eastAsia="Palatino" w:cs="Palatino"/>
          <w:color w:val="000000" w:themeColor="text1"/>
          <w:sz w:val="24"/>
          <w:szCs w:val="24"/>
        </w:rPr>
        <w:t xml:space="preserve">On August 30, 2024, </w:t>
      </w:r>
      <w:r w:rsidRPr="00060CC0" w:rsidR="00AE6B32">
        <w:rPr>
          <w:rFonts w:ascii="Palatino Linotype" w:hAnsi="Palatino Linotype" w:eastAsia="Palatino" w:cs="Palatino"/>
          <w:color w:val="000000" w:themeColor="text1"/>
          <w:sz w:val="24"/>
          <w:szCs w:val="24"/>
        </w:rPr>
        <w:t>Southern California Edison (</w:t>
      </w:r>
      <w:r w:rsidRPr="00060CC0">
        <w:rPr>
          <w:rFonts w:ascii="Palatino Linotype" w:hAnsi="Palatino Linotype" w:eastAsia="Palatino" w:cs="Palatino"/>
          <w:color w:val="000000" w:themeColor="text1"/>
          <w:sz w:val="24"/>
          <w:szCs w:val="24"/>
        </w:rPr>
        <w:t>SCE</w:t>
      </w:r>
      <w:r w:rsidRPr="00060CC0" w:rsidR="00AE6B32">
        <w:rPr>
          <w:rFonts w:ascii="Palatino Linotype" w:hAnsi="Palatino Linotype" w:eastAsia="Palatino" w:cs="Palatino"/>
          <w:color w:val="000000" w:themeColor="text1"/>
          <w:sz w:val="24"/>
          <w:szCs w:val="24"/>
        </w:rPr>
        <w:t>)</w:t>
      </w:r>
      <w:r w:rsidRPr="00060CC0">
        <w:rPr>
          <w:rFonts w:ascii="Palatino Linotype" w:hAnsi="Palatino Linotype" w:eastAsia="Palatino" w:cs="Palatino"/>
          <w:color w:val="000000" w:themeColor="text1"/>
          <w:sz w:val="24"/>
          <w:szCs w:val="24"/>
        </w:rPr>
        <w:t xml:space="preserve"> filed Advice Letter (AL) 5365-E, requesting deviation from Special Condition 4 of Schedule EDR-A for an extension of time to extend the </w:t>
      </w:r>
      <w:r w:rsidRPr="00060CC0" w:rsidR="00700819">
        <w:rPr>
          <w:rFonts w:ascii="Palatino Linotype" w:hAnsi="Palatino Linotype" w:eastAsia="Palatino" w:cs="Palatino"/>
          <w:color w:val="000000" w:themeColor="text1"/>
          <w:sz w:val="24"/>
          <w:szCs w:val="24"/>
        </w:rPr>
        <w:t>customer start date.</w:t>
      </w:r>
    </w:p>
    <w:p w:rsidRPr="00060CC0" w:rsidR="00306B78" w:rsidP="00B522AC" w:rsidRDefault="00AE6B32" w14:paraId="690F78FF" w14:textId="2622D3BE">
      <w:pPr>
        <w:pStyle w:val="ListParagraph"/>
        <w:numPr>
          <w:ilvl w:val="0"/>
          <w:numId w:val="2"/>
        </w:numPr>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 xml:space="preserve">SCE’s </w:t>
      </w:r>
      <w:r w:rsidRPr="00060CC0" w:rsidR="009D3D3D">
        <w:rPr>
          <w:rFonts w:ascii="Palatino Linotype" w:hAnsi="Palatino Linotype" w:eastAsia="Palatino Linotype" w:cs="Palatino Linotype"/>
          <w:color w:val="000000" w:themeColor="text1"/>
          <w:sz w:val="24"/>
          <w:szCs w:val="24"/>
        </w:rPr>
        <w:t xml:space="preserve">“Method of Service study” </w:t>
      </w:r>
      <w:r w:rsidRPr="00060CC0" w:rsidR="00655A02">
        <w:rPr>
          <w:rFonts w:ascii="Palatino Linotype" w:hAnsi="Palatino Linotype" w:eastAsia="Palatino Linotype" w:cs="Palatino Linotype"/>
          <w:color w:val="000000" w:themeColor="text1"/>
          <w:sz w:val="24"/>
          <w:szCs w:val="24"/>
        </w:rPr>
        <w:t>concludes</w:t>
      </w:r>
      <w:r w:rsidRPr="00060CC0" w:rsidR="009D3D3D">
        <w:rPr>
          <w:rFonts w:ascii="Palatino Linotype" w:hAnsi="Palatino Linotype" w:eastAsia="Palatino Linotype" w:cs="Palatino Linotype"/>
          <w:color w:val="000000" w:themeColor="text1"/>
          <w:sz w:val="24"/>
          <w:szCs w:val="24"/>
        </w:rPr>
        <w:t xml:space="preserve"> that a 50</w:t>
      </w:r>
      <w:r w:rsidRPr="00060CC0" w:rsidR="00655A02">
        <w:rPr>
          <w:rFonts w:ascii="Palatino Linotype" w:hAnsi="Palatino Linotype" w:eastAsia="Palatino Linotype" w:cs="Palatino Linotype"/>
          <w:color w:val="000000" w:themeColor="text1"/>
          <w:sz w:val="24"/>
          <w:szCs w:val="24"/>
        </w:rPr>
        <w:t xml:space="preserve"> megawatt (</w:t>
      </w:r>
      <w:r w:rsidRPr="00060CC0" w:rsidR="009D3D3D">
        <w:rPr>
          <w:rFonts w:ascii="Palatino Linotype" w:hAnsi="Palatino Linotype" w:eastAsia="Palatino Linotype" w:cs="Palatino Linotype"/>
          <w:color w:val="000000" w:themeColor="text1"/>
          <w:sz w:val="24"/>
          <w:szCs w:val="24"/>
        </w:rPr>
        <w:t>MW</w:t>
      </w:r>
      <w:r w:rsidRPr="00060CC0" w:rsidR="00655A02">
        <w:rPr>
          <w:rFonts w:ascii="Palatino Linotype" w:hAnsi="Palatino Linotype" w:eastAsia="Palatino Linotype" w:cs="Palatino Linotype"/>
          <w:color w:val="000000" w:themeColor="text1"/>
          <w:sz w:val="24"/>
          <w:szCs w:val="24"/>
        </w:rPr>
        <w:t>)</w:t>
      </w:r>
      <w:r w:rsidRPr="00060CC0" w:rsidR="009D3D3D">
        <w:rPr>
          <w:rFonts w:ascii="Palatino Linotype" w:hAnsi="Palatino Linotype" w:eastAsia="Palatino Linotype" w:cs="Palatino Linotype"/>
          <w:color w:val="000000" w:themeColor="text1"/>
          <w:sz w:val="24"/>
          <w:szCs w:val="24"/>
        </w:rPr>
        <w:t xml:space="preserve"> substation will need to be constructed to serve Pacific Steel, which will take three to five years to complete.</w:t>
      </w:r>
    </w:p>
    <w:p w:rsidRPr="00060CC0" w:rsidR="00B729AE" w:rsidP="00306B78" w:rsidRDefault="00306B78" w14:paraId="4EB45F45" w14:textId="77777777">
      <w:pPr>
        <w:pStyle w:val="ListParagraph"/>
        <w:numPr>
          <w:ilvl w:val="0"/>
          <w:numId w:val="2"/>
        </w:numPr>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 xml:space="preserve"> </w:t>
      </w:r>
      <w:proofErr w:type="gramStart"/>
      <w:r w:rsidRPr="00060CC0" w:rsidR="4D93A519">
        <w:rPr>
          <w:rFonts w:ascii="Palatino Linotype" w:hAnsi="Palatino Linotype" w:eastAsia="Palatino Linotype" w:cs="Palatino Linotype"/>
          <w:color w:val="000000" w:themeColor="text1"/>
          <w:sz w:val="24"/>
          <w:szCs w:val="24"/>
        </w:rPr>
        <w:t>I</w:t>
      </w:r>
      <w:r w:rsidRPr="00060CC0" w:rsidR="00F30E61">
        <w:rPr>
          <w:rFonts w:ascii="Palatino Linotype" w:hAnsi="Palatino Linotype" w:eastAsia="Palatino Linotype" w:cs="Palatino Linotype"/>
          <w:color w:val="000000" w:themeColor="text1"/>
          <w:sz w:val="24"/>
          <w:szCs w:val="24"/>
        </w:rPr>
        <w:t>n light of</w:t>
      </w:r>
      <w:proofErr w:type="gramEnd"/>
      <w:r w:rsidRPr="00060CC0" w:rsidR="00F30E61">
        <w:rPr>
          <w:rFonts w:ascii="Palatino Linotype" w:hAnsi="Palatino Linotype" w:eastAsia="Palatino Linotype" w:cs="Palatino Linotype"/>
          <w:color w:val="000000" w:themeColor="text1"/>
          <w:sz w:val="24"/>
          <w:szCs w:val="24"/>
        </w:rPr>
        <w:t xml:space="preserve"> </w:t>
      </w:r>
      <w:r w:rsidRPr="00060CC0">
        <w:rPr>
          <w:rFonts w:ascii="Palatino Linotype" w:hAnsi="Palatino Linotype" w:eastAsia="Palatino Linotype" w:cs="Palatino Linotype"/>
          <w:color w:val="000000" w:themeColor="text1"/>
          <w:sz w:val="24"/>
          <w:szCs w:val="24"/>
        </w:rPr>
        <w:t>this extended substation construction timeline, i</w:t>
      </w:r>
      <w:r w:rsidRPr="00060CC0" w:rsidR="4D93A519">
        <w:rPr>
          <w:rFonts w:ascii="Palatino Linotype" w:hAnsi="Palatino Linotype" w:eastAsia="Palatino Linotype" w:cs="Palatino Linotype"/>
          <w:color w:val="000000" w:themeColor="text1"/>
          <w:sz w:val="24"/>
          <w:szCs w:val="24"/>
        </w:rPr>
        <w:t xml:space="preserve">t is reasonable for SCE to deviate </w:t>
      </w:r>
      <w:r w:rsidRPr="00060CC0" w:rsidR="0687A15D">
        <w:rPr>
          <w:rFonts w:ascii="Palatino Linotype" w:hAnsi="Palatino Linotype" w:eastAsia="Palatino" w:cs="Palatino"/>
          <w:color w:val="000000" w:themeColor="text1"/>
          <w:sz w:val="24"/>
          <w:szCs w:val="24"/>
        </w:rPr>
        <w:t>from Special Condition 4 of Schedule EDR-A</w:t>
      </w:r>
      <w:r w:rsidRPr="00060CC0" w:rsidR="0687A15D">
        <w:rPr>
          <w:rFonts w:ascii="Palatino Linotype" w:hAnsi="Palatino Linotype" w:eastAsia="Palatino Linotype" w:cs="Palatino Linotype"/>
          <w:color w:val="000000" w:themeColor="text1"/>
          <w:sz w:val="24"/>
          <w:szCs w:val="24"/>
        </w:rPr>
        <w:t xml:space="preserve"> such that it may </w:t>
      </w:r>
      <w:r w:rsidRPr="00060CC0" w:rsidR="413AD501">
        <w:rPr>
          <w:rFonts w:ascii="Palatino Linotype" w:hAnsi="Palatino Linotype" w:eastAsia="Palatino Linotype" w:cs="Palatino Linotype"/>
          <w:color w:val="000000" w:themeColor="text1"/>
          <w:sz w:val="24"/>
          <w:szCs w:val="24"/>
        </w:rPr>
        <w:t xml:space="preserve">delay </w:t>
      </w:r>
      <w:r w:rsidRPr="00060CC0" w:rsidR="4FCC9229">
        <w:rPr>
          <w:rFonts w:ascii="Palatino Linotype" w:hAnsi="Palatino Linotype" w:eastAsia="Palatino Linotype" w:cs="Palatino Linotype"/>
          <w:color w:val="000000" w:themeColor="text1"/>
          <w:sz w:val="24"/>
          <w:szCs w:val="24"/>
        </w:rPr>
        <w:t xml:space="preserve">the start date for the discount rate under Schedule EDR-A </w:t>
      </w:r>
      <w:r w:rsidRPr="00060CC0" w:rsidR="00630B09">
        <w:rPr>
          <w:rFonts w:ascii="Palatino Linotype" w:hAnsi="Palatino Linotype" w:eastAsia="Palatino Linotype" w:cs="Palatino Linotype"/>
          <w:color w:val="000000" w:themeColor="text1"/>
          <w:sz w:val="24"/>
          <w:szCs w:val="24"/>
        </w:rPr>
        <w:t>for</w:t>
      </w:r>
      <w:r w:rsidRPr="00060CC0" w:rsidR="4FCC9229">
        <w:rPr>
          <w:rFonts w:ascii="Palatino Linotype" w:hAnsi="Palatino Linotype" w:eastAsia="Palatino Linotype" w:cs="Palatino Linotype"/>
          <w:color w:val="000000" w:themeColor="text1"/>
          <w:sz w:val="24"/>
          <w:szCs w:val="24"/>
        </w:rPr>
        <w:t xml:space="preserve"> up to 60 months from the date of execution of the Agreement and Affidavit.</w:t>
      </w:r>
      <w:r w:rsidRPr="00060CC0" w:rsidR="00B729AE">
        <w:rPr>
          <w:rFonts w:ascii="Palatino Linotype" w:hAnsi="Palatino Linotype" w:eastAsia="Palatino Linotype" w:cs="Palatino Linotype"/>
          <w:color w:val="000000" w:themeColor="text1"/>
          <w:sz w:val="24"/>
          <w:szCs w:val="24"/>
        </w:rPr>
        <w:t xml:space="preserve">  </w:t>
      </w:r>
    </w:p>
    <w:p w:rsidRPr="00060CC0" w:rsidR="008853C9" w:rsidP="00B729AE" w:rsidRDefault="00B729AE" w14:paraId="7D6BCB0A" w14:textId="45FD454E">
      <w:pPr>
        <w:pStyle w:val="ListParagraph"/>
        <w:numPr>
          <w:ilvl w:val="0"/>
          <w:numId w:val="2"/>
        </w:numPr>
        <w:rPr>
          <w:rFonts w:ascii="Palatino Linotype" w:hAnsi="Palatino Linotype" w:eastAsia="Palatino Linotype" w:cs="Palatino Linotype"/>
          <w:color w:val="000000" w:themeColor="text1"/>
          <w:sz w:val="24"/>
          <w:szCs w:val="24"/>
        </w:rPr>
      </w:pPr>
      <w:r w:rsidRPr="00060CC0">
        <w:rPr>
          <w:rFonts w:ascii="Palatino Linotype" w:hAnsi="Palatino Linotype" w:eastAsia="Palatino Linotype" w:cs="Palatino Linotype"/>
          <w:color w:val="000000" w:themeColor="text1"/>
          <w:sz w:val="24"/>
          <w:szCs w:val="24"/>
        </w:rPr>
        <w:t>Approval</w:t>
      </w:r>
      <w:r w:rsidRPr="00060CC0" w:rsidR="00F74BD7">
        <w:rPr>
          <w:rFonts w:ascii="Palatino Linotype" w:hAnsi="Palatino Linotype" w:eastAsia="Palatino" w:cs="Palatino"/>
          <w:color w:val="000000" w:themeColor="text1"/>
          <w:sz w:val="24"/>
          <w:szCs w:val="24"/>
        </w:rPr>
        <w:t xml:space="preserve"> of</w:t>
      </w:r>
      <w:r w:rsidRPr="00060CC0" w:rsidR="008853C9">
        <w:rPr>
          <w:rFonts w:ascii="Palatino Linotype" w:hAnsi="Palatino Linotype" w:eastAsia="Palatino" w:cs="Palatino"/>
          <w:color w:val="000000" w:themeColor="text1"/>
          <w:sz w:val="24"/>
          <w:szCs w:val="24"/>
        </w:rPr>
        <w:t xml:space="preserve"> </w:t>
      </w:r>
      <w:r w:rsidRPr="00060CC0" w:rsidR="00A21D39">
        <w:rPr>
          <w:rFonts w:ascii="Palatino Linotype" w:hAnsi="Palatino Linotype" w:eastAsia="Palatino" w:cs="Palatino"/>
          <w:color w:val="000000" w:themeColor="text1"/>
          <w:sz w:val="24"/>
          <w:szCs w:val="24"/>
        </w:rPr>
        <w:t>the</w:t>
      </w:r>
      <w:r w:rsidRPr="00060CC0" w:rsidR="008853C9">
        <w:rPr>
          <w:rFonts w:ascii="Palatino Linotype" w:hAnsi="Palatino Linotype" w:eastAsia="Palatino" w:cs="Palatino"/>
          <w:color w:val="000000" w:themeColor="text1"/>
          <w:sz w:val="24"/>
          <w:szCs w:val="24"/>
        </w:rPr>
        <w:t xml:space="preserve"> relief requested by SCE in AL 5365-E</w:t>
      </w:r>
      <w:r w:rsidRPr="00060CC0" w:rsidR="00A61727">
        <w:rPr>
          <w:rFonts w:ascii="Palatino Linotype" w:hAnsi="Palatino Linotype" w:eastAsia="Palatino" w:cs="Palatino"/>
          <w:color w:val="000000" w:themeColor="text1"/>
          <w:sz w:val="24"/>
          <w:szCs w:val="24"/>
        </w:rPr>
        <w:t xml:space="preserve"> does not result in the</w:t>
      </w:r>
      <w:r w:rsidRPr="00060CC0" w:rsidR="008853C9">
        <w:rPr>
          <w:rFonts w:ascii="Palatino Linotype" w:hAnsi="Palatino Linotype" w:eastAsia="Palatino" w:cs="Palatino"/>
          <w:color w:val="000000" w:themeColor="text1"/>
          <w:sz w:val="24"/>
          <w:szCs w:val="24"/>
        </w:rPr>
        <w:t xml:space="preserve"> unilateral approv</w:t>
      </w:r>
      <w:r w:rsidRPr="00060CC0" w:rsidR="00A61727">
        <w:rPr>
          <w:rFonts w:ascii="Palatino Linotype" w:hAnsi="Palatino Linotype" w:eastAsia="Palatino" w:cs="Palatino"/>
          <w:color w:val="000000" w:themeColor="text1"/>
          <w:sz w:val="24"/>
          <w:szCs w:val="24"/>
        </w:rPr>
        <w:t>al of</w:t>
      </w:r>
      <w:r w:rsidRPr="00060CC0" w:rsidR="008853C9">
        <w:rPr>
          <w:rFonts w:ascii="Palatino Linotype" w:hAnsi="Palatino Linotype" w:eastAsia="Palatino" w:cs="Palatino"/>
          <w:color w:val="000000" w:themeColor="text1"/>
          <w:sz w:val="24"/>
          <w:szCs w:val="24"/>
        </w:rPr>
        <w:t xml:space="preserve"> Pacific Steel’s admission into SCE’s EDR-A program</w:t>
      </w:r>
      <w:r w:rsidRPr="00060CC0" w:rsidR="00A61727">
        <w:rPr>
          <w:rFonts w:ascii="Palatino Linotype" w:hAnsi="Palatino Linotype" w:eastAsia="Palatino" w:cs="Palatino"/>
          <w:color w:val="000000" w:themeColor="text1"/>
          <w:sz w:val="24"/>
          <w:szCs w:val="24"/>
        </w:rPr>
        <w:t>.</w:t>
      </w:r>
    </w:p>
    <w:p w:rsidRPr="00060CC0" w:rsidR="00B01EC7" w:rsidP="4A529F21" w:rsidRDefault="00B01EC7" w14:paraId="74AD5E06" w14:textId="717E5BA7">
      <w:pPr>
        <w:rPr>
          <w:rFonts w:ascii="Palatino Linotype" w:hAnsi="Palatino Linotype" w:eastAsia="Palatino" w:cs="Palatino"/>
          <w:color w:val="000000" w:themeColor="text1"/>
          <w:sz w:val="24"/>
          <w:szCs w:val="24"/>
        </w:rPr>
      </w:pPr>
    </w:p>
    <w:p w:rsidRPr="00060CC0" w:rsidR="00B01EC7" w:rsidP="11395E8C" w:rsidRDefault="2F33EBFD" w14:paraId="53758383" w14:textId="598695A9">
      <w:pPr>
        <w:pStyle w:val="Heading1"/>
        <w:spacing w:before="120" w:after="240"/>
        <w:rPr>
          <w:rFonts w:ascii="Palatino Linotype" w:hAnsi="Palatino Linotype" w:eastAsia="Helvetica" w:cs="Helvetica"/>
          <w:b/>
          <w:bCs/>
          <w:caps/>
          <w:color w:val="000000" w:themeColor="text1"/>
          <w:sz w:val="24"/>
          <w:szCs w:val="24"/>
        </w:rPr>
      </w:pPr>
      <w:proofErr w:type="gramStart"/>
      <w:r w:rsidRPr="00060CC0">
        <w:rPr>
          <w:rFonts w:ascii="Palatino Linotype" w:hAnsi="Palatino Linotype" w:eastAsia="Helvetica" w:cs="Helvetica"/>
          <w:b/>
          <w:bCs/>
          <w:caps/>
          <w:color w:val="000000" w:themeColor="text1"/>
          <w:sz w:val="24"/>
          <w:szCs w:val="24"/>
          <w:u w:val="single"/>
        </w:rPr>
        <w:t>Therefore</w:t>
      </w:r>
      <w:proofErr w:type="gramEnd"/>
      <w:r w:rsidRPr="00060CC0">
        <w:rPr>
          <w:rFonts w:ascii="Palatino Linotype" w:hAnsi="Palatino Linotype" w:eastAsia="Helvetica" w:cs="Helvetica"/>
          <w:b/>
          <w:bCs/>
          <w:caps/>
          <w:color w:val="000000" w:themeColor="text1"/>
          <w:sz w:val="24"/>
          <w:szCs w:val="24"/>
          <w:u w:val="single"/>
        </w:rPr>
        <w:t xml:space="preserve"> IT IS ORDERED THAT:</w:t>
      </w:r>
    </w:p>
    <w:p w:rsidRPr="00060CC0" w:rsidR="00B01EC7" w:rsidP="11395E8C" w:rsidRDefault="2BE76EC3" w14:paraId="105EADD8" w14:textId="6EDDC071">
      <w:pPr>
        <w:pStyle w:val="ListParagraph"/>
        <w:numPr>
          <w:ilvl w:val="0"/>
          <w:numId w:val="1"/>
        </w:numPr>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 xml:space="preserve">The request of Southern California Edison (SCE) to deviate from Special Condition 4 of Schedule EDR-A to </w:t>
      </w:r>
      <w:r w:rsidRPr="00060CC0" w:rsidR="115FF31B">
        <w:rPr>
          <w:rFonts w:ascii="Palatino Linotype" w:hAnsi="Palatino Linotype" w:eastAsia="Palatino Linotype" w:cs="Palatino Linotype"/>
          <w:color w:val="000000" w:themeColor="text1"/>
          <w:sz w:val="24"/>
          <w:szCs w:val="24"/>
        </w:rPr>
        <w:t xml:space="preserve">delay </w:t>
      </w:r>
      <w:r w:rsidRPr="00060CC0">
        <w:rPr>
          <w:rFonts w:ascii="Palatino Linotype" w:hAnsi="Palatino Linotype" w:eastAsia="Palatino Linotype" w:cs="Palatino Linotype"/>
          <w:color w:val="000000" w:themeColor="text1"/>
          <w:sz w:val="24"/>
          <w:szCs w:val="24"/>
        </w:rPr>
        <w:t xml:space="preserve">the start date for the discount rate for up to 60 months from the date of execution of </w:t>
      </w:r>
      <w:r w:rsidRPr="00060CC0" w:rsidR="68E226E3">
        <w:rPr>
          <w:rFonts w:ascii="Palatino Linotype" w:hAnsi="Palatino Linotype" w:eastAsia="Palatino Linotype" w:cs="Palatino Linotype"/>
          <w:color w:val="000000" w:themeColor="text1"/>
          <w:sz w:val="24"/>
          <w:szCs w:val="24"/>
        </w:rPr>
        <w:t xml:space="preserve">an </w:t>
      </w:r>
      <w:r w:rsidRPr="00060CC0">
        <w:rPr>
          <w:rFonts w:ascii="Palatino Linotype" w:hAnsi="Palatino Linotype" w:eastAsia="Palatino Linotype" w:cs="Palatino Linotype"/>
          <w:color w:val="000000" w:themeColor="text1"/>
          <w:sz w:val="24"/>
          <w:szCs w:val="24"/>
        </w:rPr>
        <w:t>Agreement and Affidavit with Pacific Steel</w:t>
      </w:r>
      <w:r w:rsidRPr="00060CC0" w:rsidR="525F35C1">
        <w:rPr>
          <w:rFonts w:ascii="Palatino Linotype" w:hAnsi="Palatino Linotype" w:eastAsia="Palatino Linotype" w:cs="Palatino Linotype"/>
          <w:color w:val="000000" w:themeColor="text1"/>
          <w:sz w:val="24"/>
          <w:szCs w:val="24"/>
        </w:rPr>
        <w:t>, as proposed in AL 5365-E,</w:t>
      </w:r>
      <w:r w:rsidRPr="00060CC0">
        <w:rPr>
          <w:rFonts w:ascii="Palatino Linotype" w:hAnsi="Palatino Linotype" w:eastAsia="Palatino" w:cs="Palatino"/>
          <w:color w:val="000000" w:themeColor="text1"/>
          <w:sz w:val="24"/>
          <w:szCs w:val="24"/>
        </w:rPr>
        <w:t xml:space="preserve"> is approved.</w:t>
      </w:r>
      <w:r w:rsidRPr="00060CC0" w:rsidR="2FBAF21A">
        <w:rPr>
          <w:rFonts w:ascii="Palatino Linotype" w:hAnsi="Palatino Linotype" w:eastAsia="Palatino" w:cs="Palatino"/>
          <w:color w:val="000000" w:themeColor="text1"/>
          <w:sz w:val="24"/>
          <w:szCs w:val="24"/>
        </w:rPr>
        <w:t xml:space="preserve"> </w:t>
      </w:r>
      <w:r w:rsidRPr="00060CC0" w:rsidR="56715354">
        <w:rPr>
          <w:rFonts w:ascii="Palatino Linotype" w:hAnsi="Palatino Linotype" w:eastAsia="Palatino" w:cs="Palatino"/>
          <w:color w:val="000000" w:themeColor="text1"/>
          <w:sz w:val="24"/>
          <w:szCs w:val="24"/>
        </w:rPr>
        <w:t>This constitutes a 24-month extension to the 36-month compliance window currently provided in Special Condition 4 of EDR-A.</w:t>
      </w:r>
    </w:p>
    <w:p w:rsidR="00B01EC7" w:rsidP="4A529F21" w:rsidRDefault="00B01EC7" w14:paraId="4C09E888" w14:textId="284AF306">
      <w:pPr>
        <w:tabs>
          <w:tab w:val="left" w:pos="720"/>
          <w:tab w:val="left" w:pos="1296"/>
          <w:tab w:val="left" w:pos="2016"/>
          <w:tab w:val="left" w:pos="2736"/>
          <w:tab w:val="left" w:pos="3456"/>
          <w:tab w:val="left" w:pos="4176"/>
          <w:tab w:val="left" w:pos="5760"/>
        </w:tabs>
        <w:rPr>
          <w:rFonts w:ascii="Palatino Linotype" w:hAnsi="Palatino Linotype" w:eastAsia="Palatino" w:cs="Palatino"/>
          <w:color w:val="000000" w:themeColor="text1"/>
          <w:sz w:val="24"/>
          <w:szCs w:val="24"/>
        </w:rPr>
      </w:pPr>
    </w:p>
    <w:p w:rsidR="00060CC0" w:rsidP="4A529F21" w:rsidRDefault="00060CC0" w14:paraId="373AB7E5" w14:textId="77777777">
      <w:pPr>
        <w:tabs>
          <w:tab w:val="left" w:pos="720"/>
          <w:tab w:val="left" w:pos="1296"/>
          <w:tab w:val="left" w:pos="2016"/>
          <w:tab w:val="left" w:pos="2736"/>
          <w:tab w:val="left" w:pos="3456"/>
          <w:tab w:val="left" w:pos="4176"/>
          <w:tab w:val="left" w:pos="5760"/>
        </w:tabs>
        <w:rPr>
          <w:rFonts w:ascii="Palatino Linotype" w:hAnsi="Palatino Linotype" w:eastAsia="Palatino" w:cs="Palatino"/>
          <w:color w:val="000000" w:themeColor="text1"/>
          <w:sz w:val="24"/>
          <w:szCs w:val="24"/>
        </w:rPr>
      </w:pPr>
    </w:p>
    <w:p w:rsidR="00060CC0" w:rsidP="4A529F21" w:rsidRDefault="00060CC0" w14:paraId="42B5DA6A" w14:textId="77777777">
      <w:pPr>
        <w:tabs>
          <w:tab w:val="left" w:pos="720"/>
          <w:tab w:val="left" w:pos="1296"/>
          <w:tab w:val="left" w:pos="2016"/>
          <w:tab w:val="left" w:pos="2736"/>
          <w:tab w:val="left" w:pos="3456"/>
          <w:tab w:val="left" w:pos="4176"/>
          <w:tab w:val="left" w:pos="5760"/>
        </w:tabs>
        <w:rPr>
          <w:rFonts w:ascii="Palatino Linotype" w:hAnsi="Palatino Linotype" w:eastAsia="Palatino" w:cs="Palatino"/>
          <w:color w:val="000000" w:themeColor="text1"/>
          <w:sz w:val="24"/>
          <w:szCs w:val="24"/>
        </w:rPr>
      </w:pPr>
    </w:p>
    <w:p w:rsidRPr="00060CC0" w:rsidR="00060CC0" w:rsidP="4A529F21" w:rsidRDefault="00060CC0" w14:paraId="023AD1DA" w14:textId="77777777">
      <w:pPr>
        <w:tabs>
          <w:tab w:val="left" w:pos="720"/>
          <w:tab w:val="left" w:pos="1296"/>
          <w:tab w:val="left" w:pos="2016"/>
          <w:tab w:val="left" w:pos="2736"/>
          <w:tab w:val="left" w:pos="3456"/>
          <w:tab w:val="left" w:pos="4176"/>
          <w:tab w:val="left" w:pos="5760"/>
        </w:tabs>
        <w:rPr>
          <w:rFonts w:ascii="Palatino Linotype" w:hAnsi="Palatino Linotype" w:eastAsia="Palatino" w:cs="Palatino"/>
          <w:color w:val="000000" w:themeColor="text1"/>
          <w:sz w:val="24"/>
          <w:szCs w:val="24"/>
        </w:rPr>
      </w:pPr>
    </w:p>
    <w:p w:rsidRPr="00060CC0" w:rsidR="00B01EC7" w:rsidP="4A529F21" w:rsidRDefault="2F33EBFD" w14:paraId="23A8A4AB" w14:textId="4626597F">
      <w:pPr>
        <w:tabs>
          <w:tab w:val="left" w:pos="720"/>
          <w:tab w:val="left" w:pos="1296"/>
          <w:tab w:val="left" w:pos="2016"/>
          <w:tab w:val="left" w:pos="2736"/>
          <w:tab w:val="left" w:pos="3456"/>
          <w:tab w:val="left" w:pos="4176"/>
          <w:tab w:val="left" w:pos="5760"/>
        </w:tabs>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lastRenderedPageBreak/>
        <w:t>This Resolution is effective today.</w:t>
      </w:r>
    </w:p>
    <w:p w:rsidRPr="00060CC0" w:rsidR="00B01EC7" w:rsidP="4A529F21" w:rsidRDefault="00B01EC7" w14:paraId="02840C34" w14:textId="3E12C5E3">
      <w:pPr>
        <w:tabs>
          <w:tab w:val="left" w:pos="720"/>
          <w:tab w:val="left" w:pos="1296"/>
          <w:tab w:val="left" w:pos="2016"/>
          <w:tab w:val="left" w:pos="2736"/>
          <w:tab w:val="left" w:pos="3456"/>
          <w:tab w:val="left" w:pos="4176"/>
          <w:tab w:val="left" w:pos="5760"/>
        </w:tabs>
        <w:rPr>
          <w:rFonts w:ascii="Palatino Linotype" w:hAnsi="Palatino Linotype" w:eastAsia="Palatino" w:cs="Palatino"/>
          <w:color w:val="000000" w:themeColor="text1"/>
          <w:sz w:val="24"/>
          <w:szCs w:val="24"/>
        </w:rPr>
      </w:pPr>
    </w:p>
    <w:p w:rsidRPr="00060CC0" w:rsidR="00060CC0" w:rsidP="00060CC0" w:rsidRDefault="00060CC0" w14:paraId="50C8F354" w14:textId="77777777">
      <w:pPr>
        <w:rPr>
          <w:rFonts w:ascii="Palatino Linotype" w:hAnsi="Palatino Linotype" w:eastAsia="Palatino" w:cs="Palatino"/>
          <w:color w:val="000000" w:themeColor="text1"/>
          <w:sz w:val="24"/>
          <w:szCs w:val="24"/>
        </w:rPr>
      </w:pPr>
      <w:r w:rsidRPr="00060CC0">
        <w:rPr>
          <w:rFonts w:ascii="Palatino Linotype" w:hAnsi="Palatino Linotype" w:eastAsia="Palatino" w:cs="Palatino"/>
          <w:color w:val="000000" w:themeColor="text1"/>
          <w:sz w:val="24"/>
          <w:szCs w:val="24"/>
        </w:rPr>
        <w:t xml:space="preserve">The foregoing resolution was duly introduced, passed and adopted at a conference of the Public Utilities Commission of the State of California held on May 14, 2026; the following Commissioners voting favorably thereon: </w:t>
      </w:r>
    </w:p>
    <w:p w:rsidR="00060CC0" w:rsidP="00844CE2" w:rsidRDefault="00060CC0" w14:paraId="482BC764" w14:textId="77777777">
      <w:pPr>
        <w:spacing w:after="0" w:line="240" w:lineRule="auto"/>
        <w:rPr>
          <w:rFonts w:ascii="Palatino Linotype" w:hAnsi="Palatino Linotype" w:eastAsia="Palatino" w:cs="Palatino"/>
          <w:color w:val="000000" w:themeColor="text1"/>
          <w:sz w:val="24"/>
          <w:szCs w:val="24"/>
        </w:rPr>
      </w:pPr>
    </w:p>
    <w:p w:rsidRPr="00060CC0" w:rsidR="00844CE2" w:rsidP="00844CE2" w:rsidRDefault="00844CE2" w14:paraId="2651159E" w14:textId="77777777">
      <w:pPr>
        <w:spacing w:after="0" w:line="240" w:lineRule="auto"/>
        <w:rPr>
          <w:rFonts w:ascii="Palatino Linotype" w:hAnsi="Palatino Linotype" w:eastAsia="Palatino" w:cs="Palatino"/>
          <w:color w:val="000000" w:themeColor="text1"/>
          <w:sz w:val="24"/>
          <w:szCs w:val="24"/>
        </w:rPr>
      </w:pPr>
    </w:p>
    <w:p w:rsidRPr="00844CE2" w:rsidR="00844CE2" w:rsidP="00844CE2" w:rsidRDefault="00844CE2" w14:paraId="46C9D569" w14:textId="77777777">
      <w:pPr>
        <w:spacing w:after="0" w:line="240" w:lineRule="auto"/>
        <w:ind w:left="5760"/>
        <w:rPr>
          <w:rFonts w:ascii="Palatino Linotype" w:hAnsi="Palatino Linotype" w:eastAsia="Palatino" w:cs="Palatino"/>
          <w:color w:val="000000" w:themeColor="text1"/>
          <w:sz w:val="24"/>
          <w:szCs w:val="24"/>
          <w:u w:val="single"/>
        </w:rPr>
      </w:pPr>
      <w:r w:rsidRPr="00844CE2">
        <w:rPr>
          <w:rFonts w:ascii="Palatino Linotype" w:hAnsi="Palatino Linotype" w:eastAsia="Palatino" w:cs="Palatino"/>
          <w:color w:val="000000" w:themeColor="text1"/>
          <w:sz w:val="24"/>
          <w:szCs w:val="24"/>
          <w:u w:val="single"/>
        </w:rPr>
        <w:t>/s/ LEUWAM TESFAI</w:t>
      </w:r>
    </w:p>
    <w:p w:rsidRPr="00844CE2" w:rsidR="00844CE2" w:rsidP="00844CE2" w:rsidRDefault="00844CE2" w14:paraId="480CEF31" w14:textId="77777777">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 xml:space="preserve">    Leuwam Tesfai</w:t>
      </w:r>
    </w:p>
    <w:p w:rsidRPr="00844CE2" w:rsidR="00844CE2" w:rsidP="00844CE2" w:rsidRDefault="00844CE2" w14:paraId="334100AB" w14:textId="77777777">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 xml:space="preserve">  Executive Director</w:t>
      </w:r>
    </w:p>
    <w:p w:rsidRPr="00844CE2" w:rsidR="00844CE2" w:rsidP="00844CE2" w:rsidRDefault="00844CE2" w14:paraId="5FC3801A" w14:textId="77777777">
      <w:pPr>
        <w:spacing w:after="0" w:line="240" w:lineRule="auto"/>
        <w:ind w:left="5760"/>
        <w:rPr>
          <w:rFonts w:ascii="Palatino Linotype" w:hAnsi="Palatino Linotype" w:eastAsia="Palatino" w:cs="Palatino"/>
          <w:color w:val="000000" w:themeColor="text1"/>
          <w:sz w:val="24"/>
          <w:szCs w:val="24"/>
        </w:rPr>
      </w:pPr>
    </w:p>
    <w:p w:rsidRPr="00844CE2" w:rsidR="00844CE2" w:rsidP="00844CE2" w:rsidRDefault="00844CE2" w14:paraId="6A16596F" w14:textId="77777777">
      <w:pPr>
        <w:spacing w:after="0" w:line="240" w:lineRule="auto"/>
        <w:ind w:left="5760"/>
        <w:rPr>
          <w:rFonts w:ascii="Palatino Linotype" w:hAnsi="Palatino Linotype" w:eastAsia="Palatino" w:cs="Palatino"/>
          <w:color w:val="000000" w:themeColor="text1"/>
          <w:sz w:val="24"/>
          <w:szCs w:val="24"/>
        </w:rPr>
      </w:pPr>
    </w:p>
    <w:p w:rsidRPr="00844CE2" w:rsidR="00844CE2" w:rsidP="00844CE2" w:rsidRDefault="00844CE2" w14:paraId="7671D80E" w14:textId="77777777">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JOHN REYNOLDS</w:t>
      </w:r>
    </w:p>
    <w:p w:rsidRPr="00844CE2" w:rsidR="00844CE2" w:rsidP="00844CE2" w:rsidRDefault="00844CE2" w14:paraId="087A7E09" w14:textId="77777777">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 xml:space="preserve">       President</w:t>
      </w:r>
    </w:p>
    <w:p w:rsidRPr="00844CE2" w:rsidR="00844CE2" w:rsidP="00844CE2" w:rsidRDefault="00844CE2" w14:paraId="5E41D6F1" w14:textId="77777777">
      <w:pPr>
        <w:spacing w:after="0" w:line="240" w:lineRule="auto"/>
        <w:ind w:left="5760"/>
        <w:rPr>
          <w:rFonts w:ascii="Palatino Linotype" w:hAnsi="Palatino Linotype" w:eastAsia="Palatino" w:cs="Palatino"/>
          <w:color w:val="000000" w:themeColor="text1"/>
          <w:sz w:val="24"/>
          <w:szCs w:val="24"/>
        </w:rPr>
      </w:pPr>
    </w:p>
    <w:p w:rsidRPr="00844CE2" w:rsidR="00844CE2" w:rsidP="00844CE2" w:rsidRDefault="00844CE2" w14:paraId="1EDFB3D2" w14:textId="77777777">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DARCIE L. HOUCK</w:t>
      </w:r>
    </w:p>
    <w:p w:rsidRPr="00844CE2" w:rsidR="00844CE2" w:rsidP="00844CE2" w:rsidRDefault="00844CE2" w14:paraId="070231B8" w14:textId="77777777">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KAREN DOUGLAS</w:t>
      </w:r>
    </w:p>
    <w:p w:rsidRPr="00844CE2" w:rsidR="00844CE2" w:rsidP="00844CE2" w:rsidRDefault="00844CE2" w14:paraId="7A3A1CAF" w14:textId="77777777">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MATTHEW BAKER</w:t>
      </w:r>
    </w:p>
    <w:p w:rsidRPr="00844CE2" w:rsidR="00844CE2" w:rsidP="00844CE2" w:rsidRDefault="00844CE2" w14:paraId="226B524C" w14:textId="77777777">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CHRISTINE HARADA</w:t>
      </w:r>
    </w:p>
    <w:p w:rsidRPr="00060CC0" w:rsidR="00060CC0" w:rsidP="00844CE2" w:rsidRDefault="00844CE2" w14:paraId="0C12F3C6" w14:textId="0A40F6AB">
      <w:pPr>
        <w:spacing w:after="0" w:line="240" w:lineRule="auto"/>
        <w:ind w:left="5760"/>
        <w:rPr>
          <w:rFonts w:ascii="Palatino Linotype" w:hAnsi="Palatino Linotype" w:eastAsia="Palatino" w:cs="Palatino"/>
          <w:color w:val="000000" w:themeColor="text1"/>
          <w:sz w:val="24"/>
          <w:szCs w:val="24"/>
        </w:rPr>
      </w:pPr>
      <w:r w:rsidRPr="00844CE2">
        <w:rPr>
          <w:rFonts w:ascii="Palatino Linotype" w:hAnsi="Palatino Linotype" w:eastAsia="Palatino" w:cs="Palatino"/>
          <w:color w:val="000000" w:themeColor="text1"/>
          <w:sz w:val="24"/>
          <w:szCs w:val="24"/>
        </w:rPr>
        <w:t xml:space="preserve">       Commissioners</w:t>
      </w:r>
    </w:p>
    <w:p w:rsidRPr="00060CC0" w:rsidR="00060CC0" w:rsidP="00060CC0" w:rsidRDefault="00060CC0" w14:paraId="4E1EA5F5" w14:textId="77777777">
      <w:pPr>
        <w:rPr>
          <w:rFonts w:ascii="Palatino Linotype" w:hAnsi="Palatino Linotype" w:eastAsia="Palatino" w:cs="Palatino"/>
          <w:color w:val="000000" w:themeColor="text1"/>
          <w:sz w:val="24"/>
          <w:szCs w:val="24"/>
        </w:rPr>
      </w:pPr>
    </w:p>
    <w:p w:rsidRPr="00060CC0" w:rsidR="00B01EC7" w:rsidP="00060CC0" w:rsidRDefault="00060CC0" w14:paraId="2C078E63" w14:textId="08D1763C">
      <w:pPr>
        <w:rPr>
          <w:rFonts w:ascii="Palatino Linotype" w:hAnsi="Palatino Linotype"/>
          <w:sz w:val="24"/>
          <w:szCs w:val="24"/>
        </w:rPr>
      </w:pPr>
      <w:r w:rsidRPr="00060CC0">
        <w:rPr>
          <w:rFonts w:ascii="Palatino Linotype" w:hAnsi="Palatino Linotype" w:eastAsia="Palatino" w:cs="Palatino"/>
          <w:color w:val="000000" w:themeColor="text1"/>
          <w:sz w:val="24"/>
          <w:szCs w:val="24"/>
        </w:rPr>
        <w:t>Dated May 14, 2026, at San Francisco, California</w:t>
      </w:r>
    </w:p>
    <w:p w:rsidR="00FA3244" w:rsidRDefault="00FA3244" w14:paraId="1DFFA3B7" w14:textId="77777777"/>
    <w:sectPr w:rsidR="00FA3244" w:rsidSect="00060CC0">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690D" w14:textId="77777777" w:rsidR="006558AE" w:rsidRDefault="006558AE">
      <w:pPr>
        <w:spacing w:after="0" w:line="240" w:lineRule="auto"/>
      </w:pPr>
      <w:r>
        <w:separator/>
      </w:r>
    </w:p>
  </w:endnote>
  <w:endnote w:type="continuationSeparator" w:id="0">
    <w:p w14:paraId="77A3B1BF" w14:textId="77777777" w:rsidR="006558AE" w:rsidRDefault="006558AE">
      <w:pPr>
        <w:spacing w:after="0" w:line="240" w:lineRule="auto"/>
      </w:pPr>
      <w:r>
        <w:continuationSeparator/>
      </w:r>
    </w:p>
  </w:endnote>
  <w:endnote w:type="continuationNotice" w:id="1">
    <w:p w14:paraId="7B7FF7AC" w14:textId="77777777" w:rsidR="006558AE" w:rsidRDefault="00655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2AFF" w:usb1="5000785B" w:usb2="00000000" w:usb3="00000000" w:csb0="000001FF" w:csb1="00000000"/>
  </w:font>
  <w:font w:name="Palatino">
    <w:altName w:val="Segoe UI Historic"/>
    <w:panose1 w:val="00000000000000000000"/>
    <w:charset w:val="00"/>
    <w:family w:val="roman"/>
    <w:pitch w:val="variable"/>
    <w:sig w:usb0="20000A87" w:usb1="08000000" w:usb2="00000008" w:usb3="00000000" w:csb0="000001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226896"/>
      <w:docPartObj>
        <w:docPartGallery w:val="Page Numbers (Bottom of Page)"/>
        <w:docPartUnique/>
      </w:docPartObj>
    </w:sdtPr>
    <w:sdtEndPr>
      <w:rPr>
        <w:rFonts w:ascii="Palatino Linotype" w:hAnsi="Palatino Linotype"/>
        <w:noProof/>
        <w:sz w:val="24"/>
        <w:szCs w:val="24"/>
      </w:rPr>
    </w:sdtEndPr>
    <w:sdtContent>
      <w:p w14:paraId="763DB58B" w14:textId="272AA12F" w:rsidR="00A931E0" w:rsidRPr="00060CC0" w:rsidRDefault="00A931E0" w:rsidP="00060CC0">
        <w:pPr>
          <w:pStyle w:val="Footer"/>
          <w:jc w:val="center"/>
          <w:rPr>
            <w:rFonts w:ascii="Palatino Linotype" w:hAnsi="Palatino Linotype"/>
            <w:sz w:val="24"/>
            <w:szCs w:val="24"/>
          </w:rPr>
        </w:pPr>
        <w:r w:rsidRPr="00060CC0">
          <w:rPr>
            <w:rFonts w:ascii="Palatino Linotype" w:hAnsi="Palatino Linotype"/>
            <w:noProof/>
            <w:sz w:val="24"/>
            <w:szCs w:val="24"/>
          </w:rPr>
          <w:fldChar w:fldCharType="begin"/>
        </w:r>
        <w:r w:rsidRPr="00060CC0">
          <w:rPr>
            <w:rFonts w:ascii="Palatino Linotype" w:hAnsi="Palatino Linotype"/>
            <w:sz w:val="24"/>
            <w:szCs w:val="24"/>
          </w:rPr>
          <w:instrText xml:space="preserve"> PAGE   \* MERGEFORMAT </w:instrText>
        </w:r>
        <w:r w:rsidRPr="00060CC0">
          <w:rPr>
            <w:rFonts w:ascii="Palatino Linotype" w:hAnsi="Palatino Linotype"/>
            <w:sz w:val="24"/>
            <w:szCs w:val="24"/>
          </w:rPr>
          <w:fldChar w:fldCharType="separate"/>
        </w:r>
        <w:r w:rsidR="7AD31257" w:rsidRPr="00060CC0">
          <w:rPr>
            <w:rFonts w:ascii="Palatino Linotype" w:hAnsi="Palatino Linotype"/>
            <w:noProof/>
            <w:sz w:val="24"/>
            <w:szCs w:val="24"/>
          </w:rPr>
          <w:t>2</w:t>
        </w:r>
        <w:r w:rsidRPr="00060CC0">
          <w:rPr>
            <w:rFonts w:ascii="Palatino Linotype" w:hAnsi="Palatino Linotype"/>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DEA7" w14:textId="2B1A0615" w:rsidR="00CD7955" w:rsidRPr="00CD7955" w:rsidRDefault="00B97977" w:rsidP="00CD7955">
    <w:pPr>
      <w:pStyle w:val="Footer"/>
      <w:tabs>
        <w:tab w:val="clear" w:pos="9360"/>
      </w:tabs>
      <w:rPr>
        <w:rFonts w:ascii="Palatino Linotype" w:hAnsi="Palatino Linotype"/>
        <w:caps/>
        <w:noProof/>
        <w:sz w:val="24"/>
        <w:szCs w:val="24"/>
      </w:rPr>
    </w:pPr>
    <w:r w:rsidRPr="00B97977">
      <w:rPr>
        <w:rFonts w:ascii="Tahoma" w:hAnsi="Tahoma" w:cs="Tahoma"/>
        <w:caps/>
        <w:sz w:val="16"/>
        <w:szCs w:val="16"/>
      </w:rPr>
      <w:t>606808530</w:t>
    </w:r>
    <w:r w:rsidR="00CD7955">
      <w:rPr>
        <w:rFonts w:ascii="Palatino Linotype" w:hAnsi="Palatino Linotype"/>
        <w:caps/>
        <w:sz w:val="24"/>
        <w:szCs w:val="24"/>
      </w:rPr>
      <w:tab/>
    </w:r>
    <w:r w:rsidR="00CD7955" w:rsidRPr="00CD7955">
      <w:rPr>
        <w:rFonts w:ascii="Palatino Linotype" w:hAnsi="Palatino Linotype"/>
        <w:caps/>
        <w:sz w:val="24"/>
        <w:szCs w:val="24"/>
      </w:rPr>
      <w:fldChar w:fldCharType="begin"/>
    </w:r>
    <w:r w:rsidR="00CD7955" w:rsidRPr="00CD7955">
      <w:rPr>
        <w:rFonts w:ascii="Palatino Linotype" w:hAnsi="Palatino Linotype"/>
        <w:caps/>
        <w:sz w:val="24"/>
        <w:szCs w:val="24"/>
      </w:rPr>
      <w:instrText xml:space="preserve"> PAGE   \* MERGEFORMAT </w:instrText>
    </w:r>
    <w:r w:rsidR="00CD7955" w:rsidRPr="00CD7955">
      <w:rPr>
        <w:rFonts w:ascii="Palatino Linotype" w:hAnsi="Palatino Linotype"/>
        <w:caps/>
        <w:sz w:val="24"/>
        <w:szCs w:val="24"/>
      </w:rPr>
      <w:fldChar w:fldCharType="separate"/>
    </w:r>
    <w:r w:rsidR="00CD7955" w:rsidRPr="00CD7955">
      <w:rPr>
        <w:rFonts w:ascii="Palatino Linotype" w:hAnsi="Palatino Linotype"/>
        <w:caps/>
        <w:noProof/>
        <w:sz w:val="24"/>
        <w:szCs w:val="24"/>
      </w:rPr>
      <w:t>2</w:t>
    </w:r>
    <w:r w:rsidR="00CD7955" w:rsidRPr="00CD7955">
      <w:rPr>
        <w:rFonts w:ascii="Palatino Linotype" w:hAnsi="Palatino Linotype"/>
        <w:cap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E69F" w14:textId="77777777" w:rsidR="006558AE" w:rsidRDefault="006558AE">
      <w:pPr>
        <w:spacing w:after="0" w:line="240" w:lineRule="auto"/>
      </w:pPr>
      <w:r>
        <w:separator/>
      </w:r>
    </w:p>
  </w:footnote>
  <w:footnote w:type="continuationSeparator" w:id="0">
    <w:p w14:paraId="03DAB3F9" w14:textId="77777777" w:rsidR="006558AE" w:rsidRDefault="006558AE">
      <w:pPr>
        <w:spacing w:after="0" w:line="240" w:lineRule="auto"/>
      </w:pPr>
      <w:r>
        <w:continuationSeparator/>
      </w:r>
    </w:p>
  </w:footnote>
  <w:footnote w:type="continuationNotice" w:id="1">
    <w:p w14:paraId="7543469E" w14:textId="77777777" w:rsidR="006558AE" w:rsidRDefault="006558AE">
      <w:pPr>
        <w:spacing w:after="0" w:line="240" w:lineRule="auto"/>
      </w:pPr>
    </w:p>
  </w:footnote>
  <w:footnote w:id="2">
    <w:p w14:paraId="37529116" w14:textId="155C6EAF" w:rsidR="11395E8C" w:rsidRPr="00043CAC" w:rsidRDefault="11395E8C" w:rsidP="11395E8C">
      <w:pPr>
        <w:pStyle w:val="FootnoteText"/>
        <w:rPr>
          <w:rFonts w:ascii="Palatino Linotype" w:hAnsi="Palatino Linotype"/>
        </w:rPr>
      </w:pPr>
      <w:r w:rsidRPr="00043CAC">
        <w:rPr>
          <w:rStyle w:val="FootnoteReference"/>
          <w:rFonts w:ascii="Palatino Linotype" w:hAnsi="Palatino Linotype"/>
        </w:rPr>
        <w:footnoteRef/>
      </w:r>
      <w:r w:rsidRPr="00043CAC">
        <w:rPr>
          <w:rFonts w:ascii="Palatino Linotype" w:hAnsi="Palatino Linotype"/>
        </w:rPr>
        <w:t xml:space="preserve"> SCE Schedule EDR-A “Special Condition 4” at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752F" w14:textId="05CC569C" w:rsidR="00060CC0" w:rsidRPr="00060CC0" w:rsidRDefault="00060CC0" w:rsidP="00060CC0">
    <w:pPr>
      <w:pStyle w:val="Header"/>
      <w:rPr>
        <w:rFonts w:ascii="Palatino Linotype" w:eastAsia="Palatino" w:hAnsi="Palatino Linotype" w:cs="Palatino"/>
        <w:color w:val="000000" w:themeColor="text1"/>
        <w:sz w:val="24"/>
        <w:szCs w:val="24"/>
      </w:rPr>
    </w:pPr>
    <w:r w:rsidRPr="00060CC0">
      <w:rPr>
        <w:rFonts w:ascii="Palatino Linotype" w:eastAsia="Palatino" w:hAnsi="Palatino Linotype" w:cs="Palatino"/>
        <w:color w:val="000000" w:themeColor="text1"/>
        <w:sz w:val="24"/>
        <w:szCs w:val="24"/>
      </w:rPr>
      <w:t>ED/Resolution E-5388</w:t>
    </w:r>
    <w:r w:rsidRPr="00060CC0">
      <w:rPr>
        <w:rFonts w:ascii="Palatino Linotype" w:eastAsia="Palatino" w:hAnsi="Palatino Linotype" w:cs="Palatino"/>
        <w:color w:val="000000" w:themeColor="text1"/>
        <w:sz w:val="24"/>
        <w:szCs w:val="24"/>
      </w:rPr>
      <w:tab/>
    </w:r>
    <w:r w:rsidRPr="00060CC0">
      <w:rPr>
        <w:rFonts w:ascii="Palatino Linotype" w:eastAsia="Palatino" w:hAnsi="Palatino Linotype" w:cs="Palatino"/>
        <w:color w:val="000000" w:themeColor="text1"/>
        <w:sz w:val="24"/>
        <w:szCs w:val="24"/>
      </w:rPr>
      <w:tab/>
      <w:t>May 14, 2026</w:t>
    </w:r>
  </w:p>
  <w:p w14:paraId="41C8CB1A" w14:textId="7517549A" w:rsidR="4A529F21" w:rsidRDefault="00060CC0" w:rsidP="00060CC0">
    <w:pPr>
      <w:pStyle w:val="Header"/>
      <w:rPr>
        <w:rFonts w:ascii="Palatino Linotype" w:eastAsia="Palatino" w:hAnsi="Palatino Linotype" w:cs="Palatino"/>
        <w:color w:val="000000" w:themeColor="text1"/>
        <w:sz w:val="24"/>
        <w:szCs w:val="24"/>
      </w:rPr>
    </w:pPr>
    <w:r w:rsidRPr="00060CC0">
      <w:rPr>
        <w:rFonts w:ascii="Palatino Linotype" w:eastAsia="Palatino" w:hAnsi="Palatino Linotype" w:cs="Palatino"/>
        <w:color w:val="000000" w:themeColor="text1"/>
        <w:sz w:val="24"/>
        <w:szCs w:val="24"/>
      </w:rPr>
      <w:t>SCE AL 5365-E/CCD</w:t>
    </w:r>
  </w:p>
  <w:p w14:paraId="257DC6EF" w14:textId="77777777" w:rsidR="00060CC0" w:rsidRPr="00060CC0" w:rsidRDefault="00060CC0" w:rsidP="00060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B199" w14:textId="01AEFEC1" w:rsidR="00060CC0" w:rsidRPr="00060CC0" w:rsidRDefault="002C0973" w:rsidP="00A45712">
    <w:pPr>
      <w:pStyle w:val="Header"/>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00A45712">
      <w:rPr>
        <w:rFonts w:ascii="Palatino Linotype" w:hAnsi="Palatino Linotype"/>
        <w:sz w:val="24"/>
        <w:szCs w:val="24"/>
      </w:rPr>
      <w:t xml:space="preserve">Date of Issuance: </w:t>
    </w:r>
    <w:r>
      <w:rPr>
        <w:rFonts w:ascii="Palatino Linotype" w:hAnsi="Palatino Linotype"/>
        <w:sz w:val="24"/>
        <w:szCs w:val="24"/>
      </w:rPr>
      <w:t>May 15,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2FA5"/>
    <w:multiLevelType w:val="hybridMultilevel"/>
    <w:tmpl w:val="BBC27A72"/>
    <w:lvl w:ilvl="0" w:tplc="CA500358">
      <w:start w:val="1"/>
      <w:numFmt w:val="bullet"/>
      <w:lvlText w:val=""/>
      <w:lvlJc w:val="left"/>
      <w:pPr>
        <w:ind w:left="720" w:hanging="360"/>
      </w:pPr>
      <w:rPr>
        <w:rFonts w:ascii="Symbol" w:hAnsi="Symbol" w:hint="default"/>
      </w:rPr>
    </w:lvl>
    <w:lvl w:ilvl="1" w:tplc="7F266932">
      <w:start w:val="1"/>
      <w:numFmt w:val="bullet"/>
      <w:lvlText w:val=""/>
      <w:lvlJc w:val="left"/>
      <w:pPr>
        <w:ind w:left="1440" w:hanging="360"/>
      </w:pPr>
      <w:rPr>
        <w:rFonts w:ascii="Symbol" w:hAnsi="Symbol" w:hint="default"/>
      </w:rPr>
    </w:lvl>
    <w:lvl w:ilvl="2" w:tplc="1C8C7230">
      <w:start w:val="1"/>
      <w:numFmt w:val="bullet"/>
      <w:lvlText w:val=""/>
      <w:lvlJc w:val="left"/>
      <w:pPr>
        <w:ind w:left="2160" w:hanging="360"/>
      </w:pPr>
      <w:rPr>
        <w:rFonts w:ascii="Wingdings" w:hAnsi="Wingdings" w:hint="default"/>
      </w:rPr>
    </w:lvl>
    <w:lvl w:ilvl="3" w:tplc="0A34E10A">
      <w:start w:val="1"/>
      <w:numFmt w:val="bullet"/>
      <w:lvlText w:val=""/>
      <w:lvlJc w:val="left"/>
      <w:pPr>
        <w:ind w:left="2880" w:hanging="360"/>
      </w:pPr>
      <w:rPr>
        <w:rFonts w:ascii="Symbol" w:hAnsi="Symbol" w:hint="default"/>
      </w:rPr>
    </w:lvl>
    <w:lvl w:ilvl="4" w:tplc="CEA2C178">
      <w:start w:val="1"/>
      <w:numFmt w:val="bullet"/>
      <w:lvlText w:val="o"/>
      <w:lvlJc w:val="left"/>
      <w:pPr>
        <w:ind w:left="3600" w:hanging="360"/>
      </w:pPr>
      <w:rPr>
        <w:rFonts w:ascii="Courier New" w:hAnsi="Courier New" w:hint="default"/>
      </w:rPr>
    </w:lvl>
    <w:lvl w:ilvl="5" w:tplc="CAE09414">
      <w:start w:val="1"/>
      <w:numFmt w:val="bullet"/>
      <w:lvlText w:val=""/>
      <w:lvlJc w:val="left"/>
      <w:pPr>
        <w:ind w:left="4320" w:hanging="360"/>
      </w:pPr>
      <w:rPr>
        <w:rFonts w:ascii="Wingdings" w:hAnsi="Wingdings" w:hint="default"/>
      </w:rPr>
    </w:lvl>
    <w:lvl w:ilvl="6" w:tplc="2ACAE748">
      <w:start w:val="1"/>
      <w:numFmt w:val="bullet"/>
      <w:lvlText w:val=""/>
      <w:lvlJc w:val="left"/>
      <w:pPr>
        <w:ind w:left="5040" w:hanging="360"/>
      </w:pPr>
      <w:rPr>
        <w:rFonts w:ascii="Symbol" w:hAnsi="Symbol" w:hint="default"/>
      </w:rPr>
    </w:lvl>
    <w:lvl w:ilvl="7" w:tplc="7D1AE4FA">
      <w:start w:val="1"/>
      <w:numFmt w:val="bullet"/>
      <w:lvlText w:val="o"/>
      <w:lvlJc w:val="left"/>
      <w:pPr>
        <w:ind w:left="5760" w:hanging="360"/>
      </w:pPr>
      <w:rPr>
        <w:rFonts w:ascii="Courier New" w:hAnsi="Courier New" w:hint="default"/>
      </w:rPr>
    </w:lvl>
    <w:lvl w:ilvl="8" w:tplc="DC1A5C0C">
      <w:start w:val="1"/>
      <w:numFmt w:val="bullet"/>
      <w:lvlText w:val=""/>
      <w:lvlJc w:val="left"/>
      <w:pPr>
        <w:ind w:left="6480" w:hanging="360"/>
      </w:pPr>
      <w:rPr>
        <w:rFonts w:ascii="Wingdings" w:hAnsi="Wingdings" w:hint="default"/>
      </w:rPr>
    </w:lvl>
  </w:abstractNum>
  <w:abstractNum w:abstractNumId="1" w15:restartNumberingAfterBreak="0">
    <w:nsid w:val="1599B660"/>
    <w:multiLevelType w:val="hybridMultilevel"/>
    <w:tmpl w:val="A67C8694"/>
    <w:lvl w:ilvl="0" w:tplc="44BE85CC">
      <w:start w:val="2"/>
      <w:numFmt w:val="decimal"/>
      <w:lvlText w:val="%1."/>
      <w:lvlJc w:val="left"/>
      <w:pPr>
        <w:ind w:left="420" w:hanging="420"/>
      </w:pPr>
    </w:lvl>
    <w:lvl w:ilvl="1" w:tplc="54C46A4E">
      <w:start w:val="1"/>
      <w:numFmt w:val="lowerLetter"/>
      <w:lvlText w:val="%2."/>
      <w:lvlJc w:val="left"/>
      <w:pPr>
        <w:ind w:left="1440" w:hanging="360"/>
      </w:pPr>
    </w:lvl>
    <w:lvl w:ilvl="2" w:tplc="ADBCA972">
      <w:start w:val="1"/>
      <w:numFmt w:val="lowerRoman"/>
      <w:lvlText w:val="%3."/>
      <w:lvlJc w:val="right"/>
      <w:pPr>
        <w:ind w:left="2160" w:hanging="180"/>
      </w:pPr>
    </w:lvl>
    <w:lvl w:ilvl="3" w:tplc="E4F898E8">
      <w:start w:val="1"/>
      <w:numFmt w:val="decimal"/>
      <w:lvlText w:val="%4."/>
      <w:lvlJc w:val="left"/>
      <w:pPr>
        <w:ind w:left="2880" w:hanging="360"/>
      </w:pPr>
    </w:lvl>
    <w:lvl w:ilvl="4" w:tplc="76A2BC8A">
      <w:start w:val="1"/>
      <w:numFmt w:val="lowerLetter"/>
      <w:lvlText w:val="%5."/>
      <w:lvlJc w:val="left"/>
      <w:pPr>
        <w:ind w:left="3600" w:hanging="360"/>
      </w:pPr>
    </w:lvl>
    <w:lvl w:ilvl="5" w:tplc="ACB2D42C">
      <w:start w:val="1"/>
      <w:numFmt w:val="lowerRoman"/>
      <w:lvlText w:val="%6."/>
      <w:lvlJc w:val="right"/>
      <w:pPr>
        <w:ind w:left="4320" w:hanging="180"/>
      </w:pPr>
    </w:lvl>
    <w:lvl w:ilvl="6" w:tplc="3CBEBADE">
      <w:start w:val="1"/>
      <w:numFmt w:val="decimal"/>
      <w:lvlText w:val="%7."/>
      <w:lvlJc w:val="left"/>
      <w:pPr>
        <w:ind w:left="5040" w:hanging="360"/>
      </w:pPr>
    </w:lvl>
    <w:lvl w:ilvl="7" w:tplc="51165330">
      <w:start w:val="1"/>
      <w:numFmt w:val="lowerLetter"/>
      <w:lvlText w:val="%8."/>
      <w:lvlJc w:val="left"/>
      <w:pPr>
        <w:ind w:left="5760" w:hanging="360"/>
      </w:pPr>
    </w:lvl>
    <w:lvl w:ilvl="8" w:tplc="CE38C514">
      <w:start w:val="1"/>
      <w:numFmt w:val="lowerRoman"/>
      <w:lvlText w:val="%9."/>
      <w:lvlJc w:val="right"/>
      <w:pPr>
        <w:ind w:left="6480" w:hanging="180"/>
      </w:pPr>
    </w:lvl>
  </w:abstractNum>
  <w:abstractNum w:abstractNumId="2" w15:restartNumberingAfterBreak="0">
    <w:nsid w:val="17CBF7B8"/>
    <w:multiLevelType w:val="hybridMultilevel"/>
    <w:tmpl w:val="2F9CB946"/>
    <w:lvl w:ilvl="0" w:tplc="61C8B946">
      <w:start w:val="1"/>
      <w:numFmt w:val="decimal"/>
      <w:lvlText w:val="%1."/>
      <w:lvlJc w:val="left"/>
      <w:pPr>
        <w:ind w:left="720" w:hanging="360"/>
      </w:pPr>
    </w:lvl>
    <w:lvl w:ilvl="1" w:tplc="5F302D22">
      <w:start w:val="1"/>
      <w:numFmt w:val="lowerLetter"/>
      <w:lvlText w:val="%2."/>
      <w:lvlJc w:val="left"/>
      <w:pPr>
        <w:ind w:left="1440" w:hanging="360"/>
      </w:pPr>
    </w:lvl>
    <w:lvl w:ilvl="2" w:tplc="D366854A">
      <w:start w:val="1"/>
      <w:numFmt w:val="lowerRoman"/>
      <w:lvlText w:val="%3."/>
      <w:lvlJc w:val="right"/>
      <w:pPr>
        <w:ind w:left="2160" w:hanging="180"/>
      </w:pPr>
    </w:lvl>
    <w:lvl w:ilvl="3" w:tplc="07663414">
      <w:start w:val="1"/>
      <w:numFmt w:val="decimal"/>
      <w:lvlText w:val="%4."/>
      <w:lvlJc w:val="left"/>
      <w:pPr>
        <w:ind w:left="2880" w:hanging="360"/>
      </w:pPr>
    </w:lvl>
    <w:lvl w:ilvl="4" w:tplc="74A6A364">
      <w:start w:val="1"/>
      <w:numFmt w:val="lowerLetter"/>
      <w:lvlText w:val="%5."/>
      <w:lvlJc w:val="left"/>
      <w:pPr>
        <w:ind w:left="3600" w:hanging="360"/>
      </w:pPr>
    </w:lvl>
    <w:lvl w:ilvl="5" w:tplc="AA6465B0">
      <w:start w:val="1"/>
      <w:numFmt w:val="lowerRoman"/>
      <w:lvlText w:val="%6."/>
      <w:lvlJc w:val="right"/>
      <w:pPr>
        <w:ind w:left="4320" w:hanging="180"/>
      </w:pPr>
    </w:lvl>
    <w:lvl w:ilvl="6" w:tplc="A9EA2980">
      <w:start w:val="1"/>
      <w:numFmt w:val="decimal"/>
      <w:lvlText w:val="%7."/>
      <w:lvlJc w:val="left"/>
      <w:pPr>
        <w:ind w:left="5040" w:hanging="360"/>
      </w:pPr>
    </w:lvl>
    <w:lvl w:ilvl="7" w:tplc="5A829D74">
      <w:start w:val="1"/>
      <w:numFmt w:val="lowerLetter"/>
      <w:lvlText w:val="%8."/>
      <w:lvlJc w:val="left"/>
      <w:pPr>
        <w:ind w:left="5760" w:hanging="360"/>
      </w:pPr>
    </w:lvl>
    <w:lvl w:ilvl="8" w:tplc="D14AB6C8">
      <w:start w:val="1"/>
      <w:numFmt w:val="lowerRoman"/>
      <w:lvlText w:val="%9."/>
      <w:lvlJc w:val="right"/>
      <w:pPr>
        <w:ind w:left="6480" w:hanging="180"/>
      </w:pPr>
    </w:lvl>
  </w:abstractNum>
  <w:abstractNum w:abstractNumId="3" w15:restartNumberingAfterBreak="0">
    <w:nsid w:val="21647F0D"/>
    <w:multiLevelType w:val="hybridMultilevel"/>
    <w:tmpl w:val="CC98620E"/>
    <w:lvl w:ilvl="0" w:tplc="4498D12A">
      <w:start w:val="1"/>
      <w:numFmt w:val="bullet"/>
      <w:lvlText w:val=""/>
      <w:lvlJc w:val="left"/>
      <w:pPr>
        <w:ind w:left="1440" w:hanging="360"/>
      </w:pPr>
      <w:rPr>
        <w:rFonts w:ascii="Symbol" w:hAnsi="Symbol" w:hint="default"/>
      </w:rPr>
    </w:lvl>
    <w:lvl w:ilvl="1" w:tplc="F4B424B8">
      <w:start w:val="1"/>
      <w:numFmt w:val="bullet"/>
      <w:lvlText w:val="o"/>
      <w:lvlJc w:val="left"/>
      <w:pPr>
        <w:ind w:left="1440" w:hanging="360"/>
      </w:pPr>
      <w:rPr>
        <w:rFonts w:ascii="Courier New" w:hAnsi="Courier New" w:hint="default"/>
      </w:rPr>
    </w:lvl>
    <w:lvl w:ilvl="2" w:tplc="F580C66C">
      <w:start w:val="1"/>
      <w:numFmt w:val="bullet"/>
      <w:lvlText w:val=""/>
      <w:lvlJc w:val="left"/>
      <w:pPr>
        <w:ind w:left="2160" w:hanging="360"/>
      </w:pPr>
      <w:rPr>
        <w:rFonts w:ascii="Wingdings" w:hAnsi="Wingdings" w:hint="default"/>
      </w:rPr>
    </w:lvl>
    <w:lvl w:ilvl="3" w:tplc="AA228582">
      <w:start w:val="1"/>
      <w:numFmt w:val="bullet"/>
      <w:lvlText w:val=""/>
      <w:lvlJc w:val="left"/>
      <w:pPr>
        <w:ind w:left="2880" w:hanging="360"/>
      </w:pPr>
      <w:rPr>
        <w:rFonts w:ascii="Symbol" w:hAnsi="Symbol" w:hint="default"/>
      </w:rPr>
    </w:lvl>
    <w:lvl w:ilvl="4" w:tplc="5C36E9E4">
      <w:start w:val="1"/>
      <w:numFmt w:val="bullet"/>
      <w:lvlText w:val="o"/>
      <w:lvlJc w:val="left"/>
      <w:pPr>
        <w:ind w:left="3600" w:hanging="360"/>
      </w:pPr>
      <w:rPr>
        <w:rFonts w:ascii="Courier New" w:hAnsi="Courier New" w:hint="default"/>
      </w:rPr>
    </w:lvl>
    <w:lvl w:ilvl="5" w:tplc="8894F6F4">
      <w:start w:val="1"/>
      <w:numFmt w:val="bullet"/>
      <w:lvlText w:val=""/>
      <w:lvlJc w:val="left"/>
      <w:pPr>
        <w:ind w:left="4320" w:hanging="360"/>
      </w:pPr>
      <w:rPr>
        <w:rFonts w:ascii="Wingdings" w:hAnsi="Wingdings" w:hint="default"/>
      </w:rPr>
    </w:lvl>
    <w:lvl w:ilvl="6" w:tplc="8A52122C">
      <w:start w:val="1"/>
      <w:numFmt w:val="bullet"/>
      <w:lvlText w:val=""/>
      <w:lvlJc w:val="left"/>
      <w:pPr>
        <w:ind w:left="5040" w:hanging="360"/>
      </w:pPr>
      <w:rPr>
        <w:rFonts w:ascii="Symbol" w:hAnsi="Symbol" w:hint="default"/>
      </w:rPr>
    </w:lvl>
    <w:lvl w:ilvl="7" w:tplc="70C0D64A">
      <w:start w:val="1"/>
      <w:numFmt w:val="bullet"/>
      <w:lvlText w:val="o"/>
      <w:lvlJc w:val="left"/>
      <w:pPr>
        <w:ind w:left="5760" w:hanging="360"/>
      </w:pPr>
      <w:rPr>
        <w:rFonts w:ascii="Courier New" w:hAnsi="Courier New" w:hint="default"/>
      </w:rPr>
    </w:lvl>
    <w:lvl w:ilvl="8" w:tplc="964A211A">
      <w:start w:val="1"/>
      <w:numFmt w:val="bullet"/>
      <w:lvlText w:val=""/>
      <w:lvlJc w:val="left"/>
      <w:pPr>
        <w:ind w:left="6480" w:hanging="360"/>
      </w:pPr>
      <w:rPr>
        <w:rFonts w:ascii="Wingdings" w:hAnsi="Wingdings" w:hint="default"/>
      </w:rPr>
    </w:lvl>
  </w:abstractNum>
  <w:abstractNum w:abstractNumId="4" w15:restartNumberingAfterBreak="0">
    <w:nsid w:val="25F5C2EF"/>
    <w:multiLevelType w:val="hybridMultilevel"/>
    <w:tmpl w:val="CCF8C852"/>
    <w:lvl w:ilvl="0" w:tplc="A8F09DBC">
      <w:start w:val="1"/>
      <w:numFmt w:val="decimal"/>
      <w:lvlText w:val="%1."/>
      <w:lvlJc w:val="left"/>
      <w:pPr>
        <w:ind w:left="720" w:hanging="360"/>
      </w:pPr>
    </w:lvl>
    <w:lvl w:ilvl="1" w:tplc="9D1497A6">
      <w:start w:val="1"/>
      <w:numFmt w:val="lowerLetter"/>
      <w:lvlText w:val="%2."/>
      <w:lvlJc w:val="left"/>
      <w:pPr>
        <w:ind w:left="1440" w:hanging="360"/>
      </w:pPr>
    </w:lvl>
    <w:lvl w:ilvl="2" w:tplc="47B8F394">
      <w:start w:val="1"/>
      <w:numFmt w:val="lowerRoman"/>
      <w:lvlText w:val="%3."/>
      <w:lvlJc w:val="right"/>
      <w:pPr>
        <w:ind w:left="2160" w:hanging="180"/>
      </w:pPr>
    </w:lvl>
    <w:lvl w:ilvl="3" w:tplc="2106698A">
      <w:start w:val="1"/>
      <w:numFmt w:val="decimal"/>
      <w:lvlText w:val="%4."/>
      <w:lvlJc w:val="left"/>
      <w:pPr>
        <w:ind w:left="2880" w:hanging="360"/>
      </w:pPr>
    </w:lvl>
    <w:lvl w:ilvl="4" w:tplc="2E0AC2CC">
      <w:start w:val="1"/>
      <w:numFmt w:val="lowerLetter"/>
      <w:lvlText w:val="%5."/>
      <w:lvlJc w:val="left"/>
      <w:pPr>
        <w:ind w:left="3600" w:hanging="360"/>
      </w:pPr>
    </w:lvl>
    <w:lvl w:ilvl="5" w:tplc="BE208134">
      <w:start w:val="1"/>
      <w:numFmt w:val="lowerRoman"/>
      <w:lvlText w:val="%6."/>
      <w:lvlJc w:val="right"/>
      <w:pPr>
        <w:ind w:left="4320" w:hanging="180"/>
      </w:pPr>
    </w:lvl>
    <w:lvl w:ilvl="6" w:tplc="1706B6DA">
      <w:start w:val="1"/>
      <w:numFmt w:val="decimal"/>
      <w:lvlText w:val="%7."/>
      <w:lvlJc w:val="left"/>
      <w:pPr>
        <w:ind w:left="5040" w:hanging="360"/>
      </w:pPr>
    </w:lvl>
    <w:lvl w:ilvl="7" w:tplc="4F3AF1B0">
      <w:start w:val="1"/>
      <w:numFmt w:val="lowerLetter"/>
      <w:lvlText w:val="%8."/>
      <w:lvlJc w:val="left"/>
      <w:pPr>
        <w:ind w:left="5760" w:hanging="360"/>
      </w:pPr>
    </w:lvl>
    <w:lvl w:ilvl="8" w:tplc="8B7223DC">
      <w:start w:val="1"/>
      <w:numFmt w:val="lowerRoman"/>
      <w:lvlText w:val="%9."/>
      <w:lvlJc w:val="right"/>
      <w:pPr>
        <w:ind w:left="6480" w:hanging="180"/>
      </w:pPr>
    </w:lvl>
  </w:abstractNum>
  <w:abstractNum w:abstractNumId="5" w15:restartNumberingAfterBreak="0">
    <w:nsid w:val="3448CA9F"/>
    <w:multiLevelType w:val="hybridMultilevel"/>
    <w:tmpl w:val="9856C68E"/>
    <w:lvl w:ilvl="0" w:tplc="BD3C36B4">
      <w:start w:val="1"/>
      <w:numFmt w:val="bullet"/>
      <w:lvlText w:val=""/>
      <w:lvlJc w:val="left"/>
      <w:pPr>
        <w:ind w:left="1440" w:hanging="360"/>
      </w:pPr>
      <w:rPr>
        <w:rFonts w:ascii="Symbol" w:hAnsi="Symbol" w:hint="default"/>
      </w:rPr>
    </w:lvl>
    <w:lvl w:ilvl="1" w:tplc="0938EF04">
      <w:start w:val="1"/>
      <w:numFmt w:val="bullet"/>
      <w:lvlText w:val="o"/>
      <w:lvlJc w:val="left"/>
      <w:pPr>
        <w:ind w:left="1440" w:hanging="360"/>
      </w:pPr>
      <w:rPr>
        <w:rFonts w:ascii="Courier New" w:hAnsi="Courier New" w:hint="default"/>
      </w:rPr>
    </w:lvl>
    <w:lvl w:ilvl="2" w:tplc="34921B52">
      <w:start w:val="1"/>
      <w:numFmt w:val="bullet"/>
      <w:lvlText w:val=""/>
      <w:lvlJc w:val="left"/>
      <w:pPr>
        <w:ind w:left="2160" w:hanging="360"/>
      </w:pPr>
      <w:rPr>
        <w:rFonts w:ascii="Wingdings" w:hAnsi="Wingdings" w:hint="default"/>
      </w:rPr>
    </w:lvl>
    <w:lvl w:ilvl="3" w:tplc="81AE5400">
      <w:start w:val="1"/>
      <w:numFmt w:val="bullet"/>
      <w:lvlText w:val=""/>
      <w:lvlJc w:val="left"/>
      <w:pPr>
        <w:ind w:left="2880" w:hanging="360"/>
      </w:pPr>
      <w:rPr>
        <w:rFonts w:ascii="Symbol" w:hAnsi="Symbol" w:hint="default"/>
      </w:rPr>
    </w:lvl>
    <w:lvl w:ilvl="4" w:tplc="07EE9142">
      <w:start w:val="1"/>
      <w:numFmt w:val="bullet"/>
      <w:lvlText w:val="o"/>
      <w:lvlJc w:val="left"/>
      <w:pPr>
        <w:ind w:left="3600" w:hanging="360"/>
      </w:pPr>
      <w:rPr>
        <w:rFonts w:ascii="Courier New" w:hAnsi="Courier New" w:hint="default"/>
      </w:rPr>
    </w:lvl>
    <w:lvl w:ilvl="5" w:tplc="28DA8E94">
      <w:start w:val="1"/>
      <w:numFmt w:val="bullet"/>
      <w:lvlText w:val=""/>
      <w:lvlJc w:val="left"/>
      <w:pPr>
        <w:ind w:left="4320" w:hanging="360"/>
      </w:pPr>
      <w:rPr>
        <w:rFonts w:ascii="Wingdings" w:hAnsi="Wingdings" w:hint="default"/>
      </w:rPr>
    </w:lvl>
    <w:lvl w:ilvl="6" w:tplc="256C1DF0">
      <w:start w:val="1"/>
      <w:numFmt w:val="bullet"/>
      <w:lvlText w:val=""/>
      <w:lvlJc w:val="left"/>
      <w:pPr>
        <w:ind w:left="5040" w:hanging="360"/>
      </w:pPr>
      <w:rPr>
        <w:rFonts w:ascii="Symbol" w:hAnsi="Symbol" w:hint="default"/>
      </w:rPr>
    </w:lvl>
    <w:lvl w:ilvl="7" w:tplc="FF68F2E6">
      <w:start w:val="1"/>
      <w:numFmt w:val="bullet"/>
      <w:lvlText w:val="o"/>
      <w:lvlJc w:val="left"/>
      <w:pPr>
        <w:ind w:left="5760" w:hanging="360"/>
      </w:pPr>
      <w:rPr>
        <w:rFonts w:ascii="Courier New" w:hAnsi="Courier New" w:hint="default"/>
      </w:rPr>
    </w:lvl>
    <w:lvl w:ilvl="8" w:tplc="F2040352">
      <w:start w:val="1"/>
      <w:numFmt w:val="bullet"/>
      <w:lvlText w:val=""/>
      <w:lvlJc w:val="left"/>
      <w:pPr>
        <w:ind w:left="6480" w:hanging="360"/>
      </w:pPr>
      <w:rPr>
        <w:rFonts w:ascii="Wingdings" w:hAnsi="Wingdings" w:hint="default"/>
      </w:rPr>
    </w:lvl>
  </w:abstractNum>
  <w:abstractNum w:abstractNumId="6" w15:restartNumberingAfterBreak="0">
    <w:nsid w:val="3537213E"/>
    <w:multiLevelType w:val="hybridMultilevel"/>
    <w:tmpl w:val="1B6C6BF2"/>
    <w:lvl w:ilvl="0" w:tplc="BCA23174">
      <w:start w:val="1"/>
      <w:numFmt w:val="bullet"/>
      <w:lvlText w:val=""/>
      <w:lvlJc w:val="left"/>
      <w:pPr>
        <w:ind w:left="1440" w:hanging="360"/>
      </w:pPr>
      <w:rPr>
        <w:rFonts w:ascii="Symbol" w:hAnsi="Symbol" w:hint="default"/>
      </w:rPr>
    </w:lvl>
    <w:lvl w:ilvl="1" w:tplc="A61E7EE6">
      <w:start w:val="1"/>
      <w:numFmt w:val="bullet"/>
      <w:lvlText w:val="o"/>
      <w:lvlJc w:val="left"/>
      <w:pPr>
        <w:ind w:left="1440" w:hanging="360"/>
      </w:pPr>
      <w:rPr>
        <w:rFonts w:ascii="Courier New" w:hAnsi="Courier New" w:hint="default"/>
      </w:rPr>
    </w:lvl>
    <w:lvl w:ilvl="2" w:tplc="A6546A42">
      <w:start w:val="1"/>
      <w:numFmt w:val="bullet"/>
      <w:lvlText w:val=""/>
      <w:lvlJc w:val="left"/>
      <w:pPr>
        <w:ind w:left="2160" w:hanging="360"/>
      </w:pPr>
      <w:rPr>
        <w:rFonts w:ascii="Wingdings" w:hAnsi="Wingdings" w:hint="default"/>
      </w:rPr>
    </w:lvl>
    <w:lvl w:ilvl="3" w:tplc="FD2ADE02">
      <w:start w:val="1"/>
      <w:numFmt w:val="bullet"/>
      <w:lvlText w:val=""/>
      <w:lvlJc w:val="left"/>
      <w:pPr>
        <w:ind w:left="2880" w:hanging="360"/>
      </w:pPr>
      <w:rPr>
        <w:rFonts w:ascii="Symbol" w:hAnsi="Symbol" w:hint="default"/>
      </w:rPr>
    </w:lvl>
    <w:lvl w:ilvl="4" w:tplc="7AB8405A">
      <w:start w:val="1"/>
      <w:numFmt w:val="bullet"/>
      <w:lvlText w:val="o"/>
      <w:lvlJc w:val="left"/>
      <w:pPr>
        <w:ind w:left="3600" w:hanging="360"/>
      </w:pPr>
      <w:rPr>
        <w:rFonts w:ascii="Courier New" w:hAnsi="Courier New" w:hint="default"/>
      </w:rPr>
    </w:lvl>
    <w:lvl w:ilvl="5" w:tplc="109EF6BA">
      <w:start w:val="1"/>
      <w:numFmt w:val="bullet"/>
      <w:lvlText w:val=""/>
      <w:lvlJc w:val="left"/>
      <w:pPr>
        <w:ind w:left="4320" w:hanging="360"/>
      </w:pPr>
      <w:rPr>
        <w:rFonts w:ascii="Wingdings" w:hAnsi="Wingdings" w:hint="default"/>
      </w:rPr>
    </w:lvl>
    <w:lvl w:ilvl="6" w:tplc="EE84E032">
      <w:start w:val="1"/>
      <w:numFmt w:val="bullet"/>
      <w:lvlText w:val=""/>
      <w:lvlJc w:val="left"/>
      <w:pPr>
        <w:ind w:left="5040" w:hanging="360"/>
      </w:pPr>
      <w:rPr>
        <w:rFonts w:ascii="Symbol" w:hAnsi="Symbol" w:hint="default"/>
      </w:rPr>
    </w:lvl>
    <w:lvl w:ilvl="7" w:tplc="6158FB70">
      <w:start w:val="1"/>
      <w:numFmt w:val="bullet"/>
      <w:lvlText w:val="o"/>
      <w:lvlJc w:val="left"/>
      <w:pPr>
        <w:ind w:left="5760" w:hanging="360"/>
      </w:pPr>
      <w:rPr>
        <w:rFonts w:ascii="Courier New" w:hAnsi="Courier New" w:hint="default"/>
      </w:rPr>
    </w:lvl>
    <w:lvl w:ilvl="8" w:tplc="C3CCEC54">
      <w:start w:val="1"/>
      <w:numFmt w:val="bullet"/>
      <w:lvlText w:val=""/>
      <w:lvlJc w:val="left"/>
      <w:pPr>
        <w:ind w:left="6480" w:hanging="360"/>
      </w:pPr>
      <w:rPr>
        <w:rFonts w:ascii="Wingdings" w:hAnsi="Wingdings" w:hint="default"/>
      </w:rPr>
    </w:lvl>
  </w:abstractNum>
  <w:abstractNum w:abstractNumId="7" w15:restartNumberingAfterBreak="0">
    <w:nsid w:val="3B2BB215"/>
    <w:multiLevelType w:val="hybridMultilevel"/>
    <w:tmpl w:val="02D282DA"/>
    <w:lvl w:ilvl="0" w:tplc="5E60049E">
      <w:start w:val="1"/>
      <w:numFmt w:val="bullet"/>
      <w:lvlText w:val=""/>
      <w:lvlJc w:val="left"/>
      <w:pPr>
        <w:ind w:left="1440" w:hanging="360"/>
      </w:pPr>
      <w:rPr>
        <w:rFonts w:ascii="Symbol" w:hAnsi="Symbol" w:hint="default"/>
      </w:rPr>
    </w:lvl>
    <w:lvl w:ilvl="1" w:tplc="5CE2E756">
      <w:start w:val="1"/>
      <w:numFmt w:val="bullet"/>
      <w:lvlText w:val="o"/>
      <w:lvlJc w:val="left"/>
      <w:pPr>
        <w:ind w:left="1440" w:hanging="360"/>
      </w:pPr>
      <w:rPr>
        <w:rFonts w:ascii="Courier New" w:hAnsi="Courier New" w:hint="default"/>
      </w:rPr>
    </w:lvl>
    <w:lvl w:ilvl="2" w:tplc="7DB4F71C">
      <w:start w:val="1"/>
      <w:numFmt w:val="bullet"/>
      <w:lvlText w:val=""/>
      <w:lvlJc w:val="left"/>
      <w:pPr>
        <w:ind w:left="2160" w:hanging="360"/>
      </w:pPr>
      <w:rPr>
        <w:rFonts w:ascii="Wingdings" w:hAnsi="Wingdings" w:hint="default"/>
      </w:rPr>
    </w:lvl>
    <w:lvl w:ilvl="3" w:tplc="A9604FD2">
      <w:start w:val="1"/>
      <w:numFmt w:val="bullet"/>
      <w:lvlText w:val=""/>
      <w:lvlJc w:val="left"/>
      <w:pPr>
        <w:ind w:left="2880" w:hanging="360"/>
      </w:pPr>
      <w:rPr>
        <w:rFonts w:ascii="Symbol" w:hAnsi="Symbol" w:hint="default"/>
      </w:rPr>
    </w:lvl>
    <w:lvl w:ilvl="4" w:tplc="96248484">
      <w:start w:val="1"/>
      <w:numFmt w:val="bullet"/>
      <w:lvlText w:val="o"/>
      <w:lvlJc w:val="left"/>
      <w:pPr>
        <w:ind w:left="3600" w:hanging="360"/>
      </w:pPr>
      <w:rPr>
        <w:rFonts w:ascii="Courier New" w:hAnsi="Courier New" w:hint="default"/>
      </w:rPr>
    </w:lvl>
    <w:lvl w:ilvl="5" w:tplc="5DAC11B6">
      <w:start w:val="1"/>
      <w:numFmt w:val="bullet"/>
      <w:lvlText w:val=""/>
      <w:lvlJc w:val="left"/>
      <w:pPr>
        <w:ind w:left="4320" w:hanging="360"/>
      </w:pPr>
      <w:rPr>
        <w:rFonts w:ascii="Wingdings" w:hAnsi="Wingdings" w:hint="default"/>
      </w:rPr>
    </w:lvl>
    <w:lvl w:ilvl="6" w:tplc="B7C804CE">
      <w:start w:val="1"/>
      <w:numFmt w:val="bullet"/>
      <w:lvlText w:val=""/>
      <w:lvlJc w:val="left"/>
      <w:pPr>
        <w:ind w:left="5040" w:hanging="360"/>
      </w:pPr>
      <w:rPr>
        <w:rFonts w:ascii="Symbol" w:hAnsi="Symbol" w:hint="default"/>
      </w:rPr>
    </w:lvl>
    <w:lvl w:ilvl="7" w:tplc="D09EC048">
      <w:start w:val="1"/>
      <w:numFmt w:val="bullet"/>
      <w:lvlText w:val="o"/>
      <w:lvlJc w:val="left"/>
      <w:pPr>
        <w:ind w:left="5760" w:hanging="360"/>
      </w:pPr>
      <w:rPr>
        <w:rFonts w:ascii="Courier New" w:hAnsi="Courier New" w:hint="default"/>
      </w:rPr>
    </w:lvl>
    <w:lvl w:ilvl="8" w:tplc="206C4ECA">
      <w:start w:val="1"/>
      <w:numFmt w:val="bullet"/>
      <w:lvlText w:val=""/>
      <w:lvlJc w:val="left"/>
      <w:pPr>
        <w:ind w:left="6480" w:hanging="360"/>
      </w:pPr>
      <w:rPr>
        <w:rFonts w:ascii="Wingdings" w:hAnsi="Wingdings" w:hint="default"/>
      </w:rPr>
    </w:lvl>
  </w:abstractNum>
  <w:abstractNum w:abstractNumId="8" w15:restartNumberingAfterBreak="0">
    <w:nsid w:val="499144FB"/>
    <w:multiLevelType w:val="hybridMultilevel"/>
    <w:tmpl w:val="77009B14"/>
    <w:lvl w:ilvl="0" w:tplc="F03E0048">
      <w:start w:val="1"/>
      <w:numFmt w:val="decimal"/>
      <w:lvlText w:val="%1."/>
      <w:lvlJc w:val="left"/>
      <w:pPr>
        <w:ind w:left="420" w:hanging="420"/>
      </w:pPr>
    </w:lvl>
    <w:lvl w:ilvl="1" w:tplc="0260880E">
      <w:start w:val="1"/>
      <w:numFmt w:val="lowerLetter"/>
      <w:lvlText w:val="%2."/>
      <w:lvlJc w:val="left"/>
      <w:pPr>
        <w:ind w:left="1440" w:hanging="360"/>
      </w:pPr>
    </w:lvl>
    <w:lvl w:ilvl="2" w:tplc="1142625C">
      <w:start w:val="1"/>
      <w:numFmt w:val="lowerRoman"/>
      <w:lvlText w:val="%3."/>
      <w:lvlJc w:val="right"/>
      <w:pPr>
        <w:ind w:left="2160" w:hanging="180"/>
      </w:pPr>
    </w:lvl>
    <w:lvl w:ilvl="3" w:tplc="D370F338">
      <w:start w:val="1"/>
      <w:numFmt w:val="decimal"/>
      <w:lvlText w:val="%4."/>
      <w:lvlJc w:val="left"/>
      <w:pPr>
        <w:ind w:left="2880" w:hanging="360"/>
      </w:pPr>
    </w:lvl>
    <w:lvl w:ilvl="4" w:tplc="335A8AC8">
      <w:start w:val="1"/>
      <w:numFmt w:val="lowerLetter"/>
      <w:lvlText w:val="%5."/>
      <w:lvlJc w:val="left"/>
      <w:pPr>
        <w:ind w:left="3600" w:hanging="360"/>
      </w:pPr>
    </w:lvl>
    <w:lvl w:ilvl="5" w:tplc="AD4E14DC">
      <w:start w:val="1"/>
      <w:numFmt w:val="lowerRoman"/>
      <w:lvlText w:val="%6."/>
      <w:lvlJc w:val="right"/>
      <w:pPr>
        <w:ind w:left="4320" w:hanging="180"/>
      </w:pPr>
    </w:lvl>
    <w:lvl w:ilvl="6" w:tplc="92AE942A">
      <w:start w:val="1"/>
      <w:numFmt w:val="decimal"/>
      <w:lvlText w:val="%7."/>
      <w:lvlJc w:val="left"/>
      <w:pPr>
        <w:ind w:left="5040" w:hanging="360"/>
      </w:pPr>
    </w:lvl>
    <w:lvl w:ilvl="7" w:tplc="9B2A18E4">
      <w:start w:val="1"/>
      <w:numFmt w:val="lowerLetter"/>
      <w:lvlText w:val="%8."/>
      <w:lvlJc w:val="left"/>
      <w:pPr>
        <w:ind w:left="5760" w:hanging="360"/>
      </w:pPr>
    </w:lvl>
    <w:lvl w:ilvl="8" w:tplc="5270FCD8">
      <w:start w:val="1"/>
      <w:numFmt w:val="lowerRoman"/>
      <w:lvlText w:val="%9."/>
      <w:lvlJc w:val="right"/>
      <w:pPr>
        <w:ind w:left="6480" w:hanging="180"/>
      </w:pPr>
    </w:lvl>
  </w:abstractNum>
  <w:abstractNum w:abstractNumId="9" w15:restartNumberingAfterBreak="0">
    <w:nsid w:val="59C205D8"/>
    <w:multiLevelType w:val="hybridMultilevel"/>
    <w:tmpl w:val="562C65CE"/>
    <w:lvl w:ilvl="0" w:tplc="0BD40A42">
      <w:start w:val="1"/>
      <w:numFmt w:val="bullet"/>
      <w:lvlText w:val=""/>
      <w:lvlJc w:val="left"/>
      <w:pPr>
        <w:ind w:left="1440" w:hanging="360"/>
      </w:pPr>
      <w:rPr>
        <w:rFonts w:ascii="Symbol" w:hAnsi="Symbol" w:hint="default"/>
      </w:rPr>
    </w:lvl>
    <w:lvl w:ilvl="1" w:tplc="EBAE38F8">
      <w:start w:val="1"/>
      <w:numFmt w:val="bullet"/>
      <w:lvlText w:val="o"/>
      <w:lvlJc w:val="left"/>
      <w:pPr>
        <w:ind w:left="1440" w:hanging="360"/>
      </w:pPr>
      <w:rPr>
        <w:rFonts w:ascii="Courier New" w:hAnsi="Courier New" w:hint="default"/>
      </w:rPr>
    </w:lvl>
    <w:lvl w:ilvl="2" w:tplc="F1481752">
      <w:start w:val="1"/>
      <w:numFmt w:val="bullet"/>
      <w:lvlText w:val=""/>
      <w:lvlJc w:val="left"/>
      <w:pPr>
        <w:ind w:left="2160" w:hanging="360"/>
      </w:pPr>
      <w:rPr>
        <w:rFonts w:ascii="Wingdings" w:hAnsi="Wingdings" w:hint="default"/>
      </w:rPr>
    </w:lvl>
    <w:lvl w:ilvl="3" w:tplc="E71A8700">
      <w:start w:val="1"/>
      <w:numFmt w:val="bullet"/>
      <w:lvlText w:val=""/>
      <w:lvlJc w:val="left"/>
      <w:pPr>
        <w:ind w:left="2880" w:hanging="360"/>
      </w:pPr>
      <w:rPr>
        <w:rFonts w:ascii="Symbol" w:hAnsi="Symbol" w:hint="default"/>
      </w:rPr>
    </w:lvl>
    <w:lvl w:ilvl="4" w:tplc="8D3EF022">
      <w:start w:val="1"/>
      <w:numFmt w:val="bullet"/>
      <w:lvlText w:val="o"/>
      <w:lvlJc w:val="left"/>
      <w:pPr>
        <w:ind w:left="3600" w:hanging="360"/>
      </w:pPr>
      <w:rPr>
        <w:rFonts w:ascii="Courier New" w:hAnsi="Courier New" w:hint="default"/>
      </w:rPr>
    </w:lvl>
    <w:lvl w:ilvl="5" w:tplc="E4F640A6">
      <w:start w:val="1"/>
      <w:numFmt w:val="bullet"/>
      <w:lvlText w:val=""/>
      <w:lvlJc w:val="left"/>
      <w:pPr>
        <w:ind w:left="4320" w:hanging="360"/>
      </w:pPr>
      <w:rPr>
        <w:rFonts w:ascii="Wingdings" w:hAnsi="Wingdings" w:hint="default"/>
      </w:rPr>
    </w:lvl>
    <w:lvl w:ilvl="6" w:tplc="A8AC6678">
      <w:start w:val="1"/>
      <w:numFmt w:val="bullet"/>
      <w:lvlText w:val=""/>
      <w:lvlJc w:val="left"/>
      <w:pPr>
        <w:ind w:left="5040" w:hanging="360"/>
      </w:pPr>
      <w:rPr>
        <w:rFonts w:ascii="Symbol" w:hAnsi="Symbol" w:hint="default"/>
      </w:rPr>
    </w:lvl>
    <w:lvl w:ilvl="7" w:tplc="870E9E40">
      <w:start w:val="1"/>
      <w:numFmt w:val="bullet"/>
      <w:lvlText w:val="o"/>
      <w:lvlJc w:val="left"/>
      <w:pPr>
        <w:ind w:left="5760" w:hanging="360"/>
      </w:pPr>
      <w:rPr>
        <w:rFonts w:ascii="Courier New" w:hAnsi="Courier New" w:hint="default"/>
      </w:rPr>
    </w:lvl>
    <w:lvl w:ilvl="8" w:tplc="73D40868">
      <w:start w:val="1"/>
      <w:numFmt w:val="bullet"/>
      <w:lvlText w:val=""/>
      <w:lvlJc w:val="left"/>
      <w:pPr>
        <w:ind w:left="6480" w:hanging="360"/>
      </w:pPr>
      <w:rPr>
        <w:rFonts w:ascii="Wingdings" w:hAnsi="Wingdings" w:hint="default"/>
      </w:rPr>
    </w:lvl>
  </w:abstractNum>
  <w:abstractNum w:abstractNumId="10" w15:restartNumberingAfterBreak="0">
    <w:nsid w:val="5BB7761B"/>
    <w:multiLevelType w:val="hybridMultilevel"/>
    <w:tmpl w:val="E182DFDA"/>
    <w:lvl w:ilvl="0" w:tplc="4FC0D5D0">
      <w:start w:val="1"/>
      <w:numFmt w:val="bullet"/>
      <w:lvlText w:val=""/>
      <w:lvlJc w:val="left"/>
      <w:pPr>
        <w:ind w:left="720" w:hanging="360"/>
      </w:pPr>
      <w:rPr>
        <w:rFonts w:ascii="Symbol" w:hAnsi="Symbol" w:hint="default"/>
      </w:rPr>
    </w:lvl>
    <w:lvl w:ilvl="1" w:tplc="4104B7E0">
      <w:start w:val="1"/>
      <w:numFmt w:val="bullet"/>
      <w:lvlText w:val=""/>
      <w:lvlJc w:val="left"/>
      <w:pPr>
        <w:ind w:left="1440" w:hanging="360"/>
      </w:pPr>
      <w:rPr>
        <w:rFonts w:ascii="Symbol" w:hAnsi="Symbol" w:hint="default"/>
      </w:rPr>
    </w:lvl>
    <w:lvl w:ilvl="2" w:tplc="7DA2560C">
      <w:start w:val="1"/>
      <w:numFmt w:val="bullet"/>
      <w:lvlText w:val=""/>
      <w:lvlJc w:val="left"/>
      <w:pPr>
        <w:ind w:left="2160" w:hanging="360"/>
      </w:pPr>
      <w:rPr>
        <w:rFonts w:ascii="Wingdings" w:hAnsi="Wingdings" w:hint="default"/>
      </w:rPr>
    </w:lvl>
    <w:lvl w:ilvl="3" w:tplc="8B9E8FDC">
      <w:start w:val="1"/>
      <w:numFmt w:val="bullet"/>
      <w:lvlText w:val=""/>
      <w:lvlJc w:val="left"/>
      <w:pPr>
        <w:ind w:left="2880" w:hanging="360"/>
      </w:pPr>
      <w:rPr>
        <w:rFonts w:ascii="Symbol" w:hAnsi="Symbol" w:hint="default"/>
      </w:rPr>
    </w:lvl>
    <w:lvl w:ilvl="4" w:tplc="8BD86680">
      <w:start w:val="1"/>
      <w:numFmt w:val="bullet"/>
      <w:lvlText w:val="o"/>
      <w:lvlJc w:val="left"/>
      <w:pPr>
        <w:ind w:left="3600" w:hanging="360"/>
      </w:pPr>
      <w:rPr>
        <w:rFonts w:ascii="Courier New" w:hAnsi="Courier New" w:hint="default"/>
      </w:rPr>
    </w:lvl>
    <w:lvl w:ilvl="5" w:tplc="B2E8159C">
      <w:start w:val="1"/>
      <w:numFmt w:val="bullet"/>
      <w:lvlText w:val=""/>
      <w:lvlJc w:val="left"/>
      <w:pPr>
        <w:ind w:left="4320" w:hanging="360"/>
      </w:pPr>
      <w:rPr>
        <w:rFonts w:ascii="Wingdings" w:hAnsi="Wingdings" w:hint="default"/>
      </w:rPr>
    </w:lvl>
    <w:lvl w:ilvl="6" w:tplc="7318DD06">
      <w:start w:val="1"/>
      <w:numFmt w:val="bullet"/>
      <w:lvlText w:val=""/>
      <w:lvlJc w:val="left"/>
      <w:pPr>
        <w:ind w:left="5040" w:hanging="360"/>
      </w:pPr>
      <w:rPr>
        <w:rFonts w:ascii="Symbol" w:hAnsi="Symbol" w:hint="default"/>
      </w:rPr>
    </w:lvl>
    <w:lvl w:ilvl="7" w:tplc="E4228540">
      <w:start w:val="1"/>
      <w:numFmt w:val="bullet"/>
      <w:lvlText w:val="o"/>
      <w:lvlJc w:val="left"/>
      <w:pPr>
        <w:ind w:left="5760" w:hanging="360"/>
      </w:pPr>
      <w:rPr>
        <w:rFonts w:ascii="Courier New" w:hAnsi="Courier New" w:hint="default"/>
      </w:rPr>
    </w:lvl>
    <w:lvl w:ilvl="8" w:tplc="807E088A">
      <w:start w:val="1"/>
      <w:numFmt w:val="bullet"/>
      <w:lvlText w:val=""/>
      <w:lvlJc w:val="left"/>
      <w:pPr>
        <w:ind w:left="6480" w:hanging="360"/>
      </w:pPr>
      <w:rPr>
        <w:rFonts w:ascii="Wingdings" w:hAnsi="Wingdings" w:hint="default"/>
      </w:rPr>
    </w:lvl>
  </w:abstractNum>
  <w:abstractNum w:abstractNumId="11" w15:restartNumberingAfterBreak="0">
    <w:nsid w:val="6385C6C0"/>
    <w:multiLevelType w:val="hybridMultilevel"/>
    <w:tmpl w:val="02ACFBC2"/>
    <w:lvl w:ilvl="0" w:tplc="F1EA5C24">
      <w:start w:val="2"/>
      <w:numFmt w:val="decimal"/>
      <w:lvlText w:val="%1."/>
      <w:lvlJc w:val="left"/>
      <w:pPr>
        <w:ind w:left="360" w:hanging="360"/>
      </w:pPr>
    </w:lvl>
    <w:lvl w:ilvl="1" w:tplc="661CABC0">
      <w:start w:val="1"/>
      <w:numFmt w:val="lowerLetter"/>
      <w:lvlText w:val="%2."/>
      <w:lvlJc w:val="left"/>
      <w:pPr>
        <w:ind w:left="1440" w:hanging="360"/>
      </w:pPr>
    </w:lvl>
    <w:lvl w:ilvl="2" w:tplc="94E215F0">
      <w:start w:val="1"/>
      <w:numFmt w:val="lowerRoman"/>
      <w:lvlText w:val="%3."/>
      <w:lvlJc w:val="right"/>
      <w:pPr>
        <w:ind w:left="2160" w:hanging="180"/>
      </w:pPr>
    </w:lvl>
    <w:lvl w:ilvl="3" w:tplc="023E747A">
      <w:start w:val="1"/>
      <w:numFmt w:val="decimal"/>
      <w:lvlText w:val="%4."/>
      <w:lvlJc w:val="left"/>
      <w:pPr>
        <w:ind w:left="2880" w:hanging="360"/>
      </w:pPr>
    </w:lvl>
    <w:lvl w:ilvl="4" w:tplc="D78CAF7C">
      <w:start w:val="1"/>
      <w:numFmt w:val="lowerLetter"/>
      <w:lvlText w:val="%5."/>
      <w:lvlJc w:val="left"/>
      <w:pPr>
        <w:ind w:left="3600" w:hanging="360"/>
      </w:pPr>
    </w:lvl>
    <w:lvl w:ilvl="5" w:tplc="DCC40C32">
      <w:start w:val="1"/>
      <w:numFmt w:val="lowerRoman"/>
      <w:lvlText w:val="%6."/>
      <w:lvlJc w:val="right"/>
      <w:pPr>
        <w:ind w:left="4320" w:hanging="180"/>
      </w:pPr>
    </w:lvl>
    <w:lvl w:ilvl="6" w:tplc="25EC520C">
      <w:start w:val="1"/>
      <w:numFmt w:val="decimal"/>
      <w:lvlText w:val="%7."/>
      <w:lvlJc w:val="left"/>
      <w:pPr>
        <w:ind w:left="5040" w:hanging="360"/>
      </w:pPr>
    </w:lvl>
    <w:lvl w:ilvl="7" w:tplc="12CEA9F6">
      <w:start w:val="1"/>
      <w:numFmt w:val="lowerLetter"/>
      <w:lvlText w:val="%8."/>
      <w:lvlJc w:val="left"/>
      <w:pPr>
        <w:ind w:left="5760" w:hanging="360"/>
      </w:pPr>
    </w:lvl>
    <w:lvl w:ilvl="8" w:tplc="B23C1BF6">
      <w:start w:val="1"/>
      <w:numFmt w:val="lowerRoman"/>
      <w:lvlText w:val="%9."/>
      <w:lvlJc w:val="right"/>
      <w:pPr>
        <w:ind w:left="6480" w:hanging="180"/>
      </w:pPr>
    </w:lvl>
  </w:abstractNum>
  <w:abstractNum w:abstractNumId="12" w15:restartNumberingAfterBreak="0">
    <w:nsid w:val="64CF25E2"/>
    <w:multiLevelType w:val="hybridMultilevel"/>
    <w:tmpl w:val="A44A52BC"/>
    <w:lvl w:ilvl="0" w:tplc="5E5A088A">
      <w:start w:val="1"/>
      <w:numFmt w:val="bullet"/>
      <w:lvlText w:val=""/>
      <w:lvlJc w:val="left"/>
      <w:pPr>
        <w:ind w:left="720" w:hanging="360"/>
      </w:pPr>
      <w:rPr>
        <w:rFonts w:ascii="Symbol" w:hAnsi="Symbol" w:hint="default"/>
      </w:rPr>
    </w:lvl>
    <w:lvl w:ilvl="1" w:tplc="E1503986">
      <w:start w:val="1"/>
      <w:numFmt w:val="bullet"/>
      <w:lvlText w:val=""/>
      <w:lvlJc w:val="left"/>
      <w:pPr>
        <w:ind w:left="1440" w:hanging="360"/>
      </w:pPr>
      <w:rPr>
        <w:rFonts w:ascii="Symbol" w:hAnsi="Symbol" w:hint="default"/>
      </w:rPr>
    </w:lvl>
    <w:lvl w:ilvl="2" w:tplc="37922FDC">
      <w:start w:val="1"/>
      <w:numFmt w:val="bullet"/>
      <w:lvlText w:val=""/>
      <w:lvlJc w:val="left"/>
      <w:pPr>
        <w:ind w:left="2160" w:hanging="360"/>
      </w:pPr>
      <w:rPr>
        <w:rFonts w:ascii="Wingdings" w:hAnsi="Wingdings" w:hint="default"/>
      </w:rPr>
    </w:lvl>
    <w:lvl w:ilvl="3" w:tplc="6FF43FCA">
      <w:start w:val="1"/>
      <w:numFmt w:val="bullet"/>
      <w:lvlText w:val=""/>
      <w:lvlJc w:val="left"/>
      <w:pPr>
        <w:ind w:left="2880" w:hanging="360"/>
      </w:pPr>
      <w:rPr>
        <w:rFonts w:ascii="Symbol" w:hAnsi="Symbol" w:hint="default"/>
      </w:rPr>
    </w:lvl>
    <w:lvl w:ilvl="4" w:tplc="813E8C52">
      <w:start w:val="1"/>
      <w:numFmt w:val="bullet"/>
      <w:lvlText w:val="o"/>
      <w:lvlJc w:val="left"/>
      <w:pPr>
        <w:ind w:left="3600" w:hanging="360"/>
      </w:pPr>
      <w:rPr>
        <w:rFonts w:ascii="Courier New" w:hAnsi="Courier New" w:hint="default"/>
      </w:rPr>
    </w:lvl>
    <w:lvl w:ilvl="5" w:tplc="B0FA13D0">
      <w:start w:val="1"/>
      <w:numFmt w:val="bullet"/>
      <w:lvlText w:val=""/>
      <w:lvlJc w:val="left"/>
      <w:pPr>
        <w:ind w:left="4320" w:hanging="360"/>
      </w:pPr>
      <w:rPr>
        <w:rFonts w:ascii="Wingdings" w:hAnsi="Wingdings" w:hint="default"/>
      </w:rPr>
    </w:lvl>
    <w:lvl w:ilvl="6" w:tplc="654EC90E">
      <w:start w:val="1"/>
      <w:numFmt w:val="bullet"/>
      <w:lvlText w:val=""/>
      <w:lvlJc w:val="left"/>
      <w:pPr>
        <w:ind w:left="5040" w:hanging="360"/>
      </w:pPr>
      <w:rPr>
        <w:rFonts w:ascii="Symbol" w:hAnsi="Symbol" w:hint="default"/>
      </w:rPr>
    </w:lvl>
    <w:lvl w:ilvl="7" w:tplc="A0BCB99A">
      <w:start w:val="1"/>
      <w:numFmt w:val="bullet"/>
      <w:lvlText w:val="o"/>
      <w:lvlJc w:val="left"/>
      <w:pPr>
        <w:ind w:left="5760" w:hanging="360"/>
      </w:pPr>
      <w:rPr>
        <w:rFonts w:ascii="Courier New" w:hAnsi="Courier New" w:hint="default"/>
      </w:rPr>
    </w:lvl>
    <w:lvl w:ilvl="8" w:tplc="BDDC58D0">
      <w:start w:val="1"/>
      <w:numFmt w:val="bullet"/>
      <w:lvlText w:val=""/>
      <w:lvlJc w:val="left"/>
      <w:pPr>
        <w:ind w:left="6480" w:hanging="360"/>
      </w:pPr>
      <w:rPr>
        <w:rFonts w:ascii="Wingdings" w:hAnsi="Wingdings" w:hint="default"/>
      </w:rPr>
    </w:lvl>
  </w:abstractNum>
  <w:abstractNum w:abstractNumId="13" w15:restartNumberingAfterBreak="0">
    <w:nsid w:val="6B114BC8"/>
    <w:multiLevelType w:val="hybridMultilevel"/>
    <w:tmpl w:val="663C9C3C"/>
    <w:lvl w:ilvl="0" w:tplc="56D22FCE">
      <w:start w:val="1"/>
      <w:numFmt w:val="decimal"/>
      <w:lvlText w:val="%1."/>
      <w:lvlJc w:val="left"/>
      <w:pPr>
        <w:ind w:left="720" w:hanging="360"/>
      </w:pPr>
    </w:lvl>
    <w:lvl w:ilvl="1" w:tplc="6122DEE2">
      <w:start w:val="1"/>
      <w:numFmt w:val="lowerLetter"/>
      <w:lvlText w:val="%2."/>
      <w:lvlJc w:val="left"/>
      <w:pPr>
        <w:ind w:left="1440" w:hanging="360"/>
      </w:pPr>
    </w:lvl>
    <w:lvl w:ilvl="2" w:tplc="1820F108">
      <w:start w:val="1"/>
      <w:numFmt w:val="lowerRoman"/>
      <w:lvlText w:val="%3."/>
      <w:lvlJc w:val="right"/>
      <w:pPr>
        <w:ind w:left="2160" w:hanging="180"/>
      </w:pPr>
    </w:lvl>
    <w:lvl w:ilvl="3" w:tplc="78ACE92A">
      <w:start w:val="1"/>
      <w:numFmt w:val="decimal"/>
      <w:lvlText w:val="%4."/>
      <w:lvlJc w:val="left"/>
      <w:pPr>
        <w:ind w:left="2880" w:hanging="360"/>
      </w:pPr>
    </w:lvl>
    <w:lvl w:ilvl="4" w:tplc="B17A339A">
      <w:start w:val="1"/>
      <w:numFmt w:val="lowerLetter"/>
      <w:lvlText w:val="%5."/>
      <w:lvlJc w:val="left"/>
      <w:pPr>
        <w:ind w:left="3600" w:hanging="360"/>
      </w:pPr>
    </w:lvl>
    <w:lvl w:ilvl="5" w:tplc="FEC8E2F2">
      <w:start w:val="1"/>
      <w:numFmt w:val="lowerRoman"/>
      <w:lvlText w:val="%6."/>
      <w:lvlJc w:val="right"/>
      <w:pPr>
        <w:ind w:left="4320" w:hanging="180"/>
      </w:pPr>
    </w:lvl>
    <w:lvl w:ilvl="6" w:tplc="1CC2B5B6">
      <w:start w:val="1"/>
      <w:numFmt w:val="decimal"/>
      <w:lvlText w:val="%7."/>
      <w:lvlJc w:val="left"/>
      <w:pPr>
        <w:ind w:left="5040" w:hanging="360"/>
      </w:pPr>
    </w:lvl>
    <w:lvl w:ilvl="7" w:tplc="A11671A6">
      <w:start w:val="1"/>
      <w:numFmt w:val="lowerLetter"/>
      <w:lvlText w:val="%8."/>
      <w:lvlJc w:val="left"/>
      <w:pPr>
        <w:ind w:left="5760" w:hanging="360"/>
      </w:pPr>
    </w:lvl>
    <w:lvl w:ilvl="8" w:tplc="71182FE4">
      <w:start w:val="1"/>
      <w:numFmt w:val="lowerRoman"/>
      <w:lvlText w:val="%9."/>
      <w:lvlJc w:val="right"/>
      <w:pPr>
        <w:ind w:left="6480" w:hanging="180"/>
      </w:pPr>
    </w:lvl>
  </w:abstractNum>
  <w:abstractNum w:abstractNumId="14" w15:restartNumberingAfterBreak="0">
    <w:nsid w:val="75F4DA60"/>
    <w:multiLevelType w:val="hybridMultilevel"/>
    <w:tmpl w:val="0FB29D66"/>
    <w:lvl w:ilvl="0" w:tplc="E7089D14">
      <w:start w:val="1"/>
      <w:numFmt w:val="decimal"/>
      <w:lvlText w:val="%1."/>
      <w:lvlJc w:val="left"/>
      <w:pPr>
        <w:ind w:left="360" w:hanging="360"/>
      </w:pPr>
    </w:lvl>
    <w:lvl w:ilvl="1" w:tplc="7684280C">
      <w:start w:val="1"/>
      <w:numFmt w:val="lowerLetter"/>
      <w:lvlText w:val="%2."/>
      <w:lvlJc w:val="left"/>
      <w:pPr>
        <w:ind w:left="1440" w:hanging="360"/>
      </w:pPr>
    </w:lvl>
    <w:lvl w:ilvl="2" w:tplc="97E249AE">
      <w:start w:val="1"/>
      <w:numFmt w:val="lowerRoman"/>
      <w:lvlText w:val="%3."/>
      <w:lvlJc w:val="right"/>
      <w:pPr>
        <w:ind w:left="2160" w:hanging="180"/>
      </w:pPr>
    </w:lvl>
    <w:lvl w:ilvl="3" w:tplc="20360BEC">
      <w:start w:val="1"/>
      <w:numFmt w:val="decimal"/>
      <w:lvlText w:val="%4."/>
      <w:lvlJc w:val="left"/>
      <w:pPr>
        <w:ind w:left="2880" w:hanging="360"/>
      </w:pPr>
    </w:lvl>
    <w:lvl w:ilvl="4" w:tplc="D214FB6E">
      <w:start w:val="1"/>
      <w:numFmt w:val="lowerLetter"/>
      <w:lvlText w:val="%5."/>
      <w:lvlJc w:val="left"/>
      <w:pPr>
        <w:ind w:left="3600" w:hanging="360"/>
      </w:pPr>
    </w:lvl>
    <w:lvl w:ilvl="5" w:tplc="38824030">
      <w:start w:val="1"/>
      <w:numFmt w:val="lowerRoman"/>
      <w:lvlText w:val="%6."/>
      <w:lvlJc w:val="right"/>
      <w:pPr>
        <w:ind w:left="4320" w:hanging="180"/>
      </w:pPr>
    </w:lvl>
    <w:lvl w:ilvl="6" w:tplc="BF944422">
      <w:start w:val="1"/>
      <w:numFmt w:val="decimal"/>
      <w:lvlText w:val="%7."/>
      <w:lvlJc w:val="left"/>
      <w:pPr>
        <w:ind w:left="5040" w:hanging="360"/>
      </w:pPr>
    </w:lvl>
    <w:lvl w:ilvl="7" w:tplc="51A6A7A4">
      <w:start w:val="1"/>
      <w:numFmt w:val="lowerLetter"/>
      <w:lvlText w:val="%8."/>
      <w:lvlJc w:val="left"/>
      <w:pPr>
        <w:ind w:left="5760" w:hanging="360"/>
      </w:pPr>
    </w:lvl>
    <w:lvl w:ilvl="8" w:tplc="D532771A">
      <w:start w:val="1"/>
      <w:numFmt w:val="lowerRoman"/>
      <w:lvlText w:val="%9."/>
      <w:lvlJc w:val="right"/>
      <w:pPr>
        <w:ind w:left="6480" w:hanging="180"/>
      </w:pPr>
    </w:lvl>
  </w:abstractNum>
  <w:abstractNum w:abstractNumId="15" w15:restartNumberingAfterBreak="0">
    <w:nsid w:val="7BFB331A"/>
    <w:multiLevelType w:val="hybridMultilevel"/>
    <w:tmpl w:val="5EFEBEDC"/>
    <w:lvl w:ilvl="0" w:tplc="90128DB0">
      <w:start w:val="1"/>
      <w:numFmt w:val="bullet"/>
      <w:lvlText w:val=""/>
      <w:lvlJc w:val="left"/>
      <w:pPr>
        <w:ind w:left="1440" w:hanging="360"/>
      </w:pPr>
      <w:rPr>
        <w:rFonts w:ascii="Symbol" w:hAnsi="Symbol" w:hint="default"/>
      </w:rPr>
    </w:lvl>
    <w:lvl w:ilvl="1" w:tplc="0A54929A">
      <w:start w:val="1"/>
      <w:numFmt w:val="bullet"/>
      <w:lvlText w:val="o"/>
      <w:lvlJc w:val="left"/>
      <w:pPr>
        <w:ind w:left="1440" w:hanging="360"/>
      </w:pPr>
      <w:rPr>
        <w:rFonts w:ascii="Courier New" w:hAnsi="Courier New" w:hint="default"/>
      </w:rPr>
    </w:lvl>
    <w:lvl w:ilvl="2" w:tplc="8BA80C84">
      <w:start w:val="1"/>
      <w:numFmt w:val="bullet"/>
      <w:lvlText w:val=""/>
      <w:lvlJc w:val="left"/>
      <w:pPr>
        <w:ind w:left="2160" w:hanging="360"/>
      </w:pPr>
      <w:rPr>
        <w:rFonts w:ascii="Wingdings" w:hAnsi="Wingdings" w:hint="default"/>
      </w:rPr>
    </w:lvl>
    <w:lvl w:ilvl="3" w:tplc="6F22C6F8">
      <w:start w:val="1"/>
      <w:numFmt w:val="bullet"/>
      <w:lvlText w:val=""/>
      <w:lvlJc w:val="left"/>
      <w:pPr>
        <w:ind w:left="2880" w:hanging="360"/>
      </w:pPr>
      <w:rPr>
        <w:rFonts w:ascii="Symbol" w:hAnsi="Symbol" w:hint="default"/>
      </w:rPr>
    </w:lvl>
    <w:lvl w:ilvl="4" w:tplc="9D7AE560">
      <w:start w:val="1"/>
      <w:numFmt w:val="bullet"/>
      <w:lvlText w:val="o"/>
      <w:lvlJc w:val="left"/>
      <w:pPr>
        <w:ind w:left="3600" w:hanging="360"/>
      </w:pPr>
      <w:rPr>
        <w:rFonts w:ascii="Courier New" w:hAnsi="Courier New" w:hint="default"/>
      </w:rPr>
    </w:lvl>
    <w:lvl w:ilvl="5" w:tplc="57CEFAEE">
      <w:start w:val="1"/>
      <w:numFmt w:val="bullet"/>
      <w:lvlText w:val=""/>
      <w:lvlJc w:val="left"/>
      <w:pPr>
        <w:ind w:left="4320" w:hanging="360"/>
      </w:pPr>
      <w:rPr>
        <w:rFonts w:ascii="Wingdings" w:hAnsi="Wingdings" w:hint="default"/>
      </w:rPr>
    </w:lvl>
    <w:lvl w:ilvl="6" w:tplc="3586CC0C">
      <w:start w:val="1"/>
      <w:numFmt w:val="bullet"/>
      <w:lvlText w:val=""/>
      <w:lvlJc w:val="left"/>
      <w:pPr>
        <w:ind w:left="5040" w:hanging="360"/>
      </w:pPr>
      <w:rPr>
        <w:rFonts w:ascii="Symbol" w:hAnsi="Symbol" w:hint="default"/>
      </w:rPr>
    </w:lvl>
    <w:lvl w:ilvl="7" w:tplc="660E80D8">
      <w:start w:val="1"/>
      <w:numFmt w:val="bullet"/>
      <w:lvlText w:val="o"/>
      <w:lvlJc w:val="left"/>
      <w:pPr>
        <w:ind w:left="5760" w:hanging="360"/>
      </w:pPr>
      <w:rPr>
        <w:rFonts w:ascii="Courier New" w:hAnsi="Courier New" w:hint="default"/>
      </w:rPr>
    </w:lvl>
    <w:lvl w:ilvl="8" w:tplc="5ABC54FA">
      <w:start w:val="1"/>
      <w:numFmt w:val="bullet"/>
      <w:lvlText w:val=""/>
      <w:lvlJc w:val="left"/>
      <w:pPr>
        <w:ind w:left="6480" w:hanging="360"/>
      </w:pPr>
      <w:rPr>
        <w:rFonts w:ascii="Wingdings" w:hAnsi="Wingdings" w:hint="default"/>
      </w:rPr>
    </w:lvl>
  </w:abstractNum>
  <w:num w:numId="1" w16cid:durableId="1009260840">
    <w:abstractNumId w:val="13"/>
  </w:num>
  <w:num w:numId="2" w16cid:durableId="780033320">
    <w:abstractNumId w:val="4"/>
  </w:num>
  <w:num w:numId="3" w16cid:durableId="1931548394">
    <w:abstractNumId w:val="2"/>
  </w:num>
  <w:num w:numId="4" w16cid:durableId="1684044944">
    <w:abstractNumId w:val="10"/>
  </w:num>
  <w:num w:numId="5" w16cid:durableId="1184050852">
    <w:abstractNumId w:val="12"/>
  </w:num>
  <w:num w:numId="6" w16cid:durableId="405305943">
    <w:abstractNumId w:val="0"/>
  </w:num>
  <w:num w:numId="7" w16cid:durableId="672689036">
    <w:abstractNumId w:val="11"/>
  </w:num>
  <w:num w:numId="8" w16cid:durableId="992947706">
    <w:abstractNumId w:val="14"/>
  </w:num>
  <w:num w:numId="9" w16cid:durableId="653263009">
    <w:abstractNumId w:val="1"/>
  </w:num>
  <w:num w:numId="10" w16cid:durableId="1257253254">
    <w:abstractNumId w:val="8"/>
  </w:num>
  <w:num w:numId="11" w16cid:durableId="1546942411">
    <w:abstractNumId w:val="7"/>
  </w:num>
  <w:num w:numId="12" w16cid:durableId="1103382137">
    <w:abstractNumId w:val="6"/>
  </w:num>
  <w:num w:numId="13" w16cid:durableId="1329749751">
    <w:abstractNumId w:val="15"/>
  </w:num>
  <w:num w:numId="14" w16cid:durableId="886721978">
    <w:abstractNumId w:val="9"/>
  </w:num>
  <w:num w:numId="15" w16cid:durableId="1707558691">
    <w:abstractNumId w:val="3"/>
  </w:num>
  <w:num w:numId="16" w16cid:durableId="345207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E7AC3D"/>
    <w:rsid w:val="000100D3"/>
    <w:rsid w:val="000273CA"/>
    <w:rsid w:val="00033E5B"/>
    <w:rsid w:val="00043CAC"/>
    <w:rsid w:val="0004445C"/>
    <w:rsid w:val="00060CC0"/>
    <w:rsid w:val="00071E8D"/>
    <w:rsid w:val="000748B1"/>
    <w:rsid w:val="00090D13"/>
    <w:rsid w:val="0009163B"/>
    <w:rsid w:val="000B3AFA"/>
    <w:rsid w:val="00101AB3"/>
    <w:rsid w:val="00113C4F"/>
    <w:rsid w:val="001329DA"/>
    <w:rsid w:val="001905DF"/>
    <w:rsid w:val="00204637"/>
    <w:rsid w:val="002523D8"/>
    <w:rsid w:val="00261686"/>
    <w:rsid w:val="002B238D"/>
    <w:rsid w:val="002C0973"/>
    <w:rsid w:val="00306B78"/>
    <w:rsid w:val="00328341"/>
    <w:rsid w:val="00346C8E"/>
    <w:rsid w:val="00346F1D"/>
    <w:rsid w:val="00356A4D"/>
    <w:rsid w:val="00385AA6"/>
    <w:rsid w:val="003A37A9"/>
    <w:rsid w:val="003A4AB1"/>
    <w:rsid w:val="003A56B6"/>
    <w:rsid w:val="003C4C95"/>
    <w:rsid w:val="003D1A19"/>
    <w:rsid w:val="00431200"/>
    <w:rsid w:val="0043334F"/>
    <w:rsid w:val="004A6426"/>
    <w:rsid w:val="004B7711"/>
    <w:rsid w:val="004E061A"/>
    <w:rsid w:val="00501894"/>
    <w:rsid w:val="00522C03"/>
    <w:rsid w:val="00576887"/>
    <w:rsid w:val="005843E3"/>
    <w:rsid w:val="005D1822"/>
    <w:rsid w:val="00630B09"/>
    <w:rsid w:val="00634CDF"/>
    <w:rsid w:val="006558AE"/>
    <w:rsid w:val="00655A02"/>
    <w:rsid w:val="006725E1"/>
    <w:rsid w:val="006842BE"/>
    <w:rsid w:val="006B7BAA"/>
    <w:rsid w:val="00700819"/>
    <w:rsid w:val="0077262E"/>
    <w:rsid w:val="00773A2F"/>
    <w:rsid w:val="00774902"/>
    <w:rsid w:val="00795399"/>
    <w:rsid w:val="007A7E93"/>
    <w:rsid w:val="007E29E8"/>
    <w:rsid w:val="007F42EE"/>
    <w:rsid w:val="00800BA6"/>
    <w:rsid w:val="00815445"/>
    <w:rsid w:val="00830ACE"/>
    <w:rsid w:val="0083799A"/>
    <w:rsid w:val="0084026A"/>
    <w:rsid w:val="00844CE2"/>
    <w:rsid w:val="00845073"/>
    <w:rsid w:val="00845BE3"/>
    <w:rsid w:val="008853C9"/>
    <w:rsid w:val="008C3B9E"/>
    <w:rsid w:val="008F0B2B"/>
    <w:rsid w:val="009441CA"/>
    <w:rsid w:val="00944CCD"/>
    <w:rsid w:val="0097082F"/>
    <w:rsid w:val="0097519D"/>
    <w:rsid w:val="009B725E"/>
    <w:rsid w:val="009D3D3D"/>
    <w:rsid w:val="009D6887"/>
    <w:rsid w:val="009E2A45"/>
    <w:rsid w:val="00A21D39"/>
    <w:rsid w:val="00A369AC"/>
    <w:rsid w:val="00A45712"/>
    <w:rsid w:val="00A61727"/>
    <w:rsid w:val="00A931E0"/>
    <w:rsid w:val="00AB704B"/>
    <w:rsid w:val="00AC4F29"/>
    <w:rsid w:val="00AE6B32"/>
    <w:rsid w:val="00B01EC7"/>
    <w:rsid w:val="00B35A63"/>
    <w:rsid w:val="00B478AD"/>
    <w:rsid w:val="00B50DC6"/>
    <w:rsid w:val="00B522AC"/>
    <w:rsid w:val="00B55DC8"/>
    <w:rsid w:val="00B729AE"/>
    <w:rsid w:val="00B9534F"/>
    <w:rsid w:val="00B97977"/>
    <w:rsid w:val="00BD1AD5"/>
    <w:rsid w:val="00BD572D"/>
    <w:rsid w:val="00BE209B"/>
    <w:rsid w:val="00C4066F"/>
    <w:rsid w:val="00C44E91"/>
    <w:rsid w:val="00C53B42"/>
    <w:rsid w:val="00CA12A4"/>
    <w:rsid w:val="00CB08FC"/>
    <w:rsid w:val="00CC1B85"/>
    <w:rsid w:val="00CD406E"/>
    <w:rsid w:val="00CD6CD8"/>
    <w:rsid w:val="00CD7955"/>
    <w:rsid w:val="00CF0514"/>
    <w:rsid w:val="00CF083E"/>
    <w:rsid w:val="00D21C8E"/>
    <w:rsid w:val="00D55CA2"/>
    <w:rsid w:val="00D55F40"/>
    <w:rsid w:val="00D64CCB"/>
    <w:rsid w:val="00D7191D"/>
    <w:rsid w:val="00D96B0B"/>
    <w:rsid w:val="00DB440B"/>
    <w:rsid w:val="00E332B0"/>
    <w:rsid w:val="00E865A0"/>
    <w:rsid w:val="00E923BE"/>
    <w:rsid w:val="00EB421C"/>
    <w:rsid w:val="00ED1629"/>
    <w:rsid w:val="00EE2316"/>
    <w:rsid w:val="00EE3128"/>
    <w:rsid w:val="00F01EEA"/>
    <w:rsid w:val="00F24A70"/>
    <w:rsid w:val="00F275FC"/>
    <w:rsid w:val="00F30E61"/>
    <w:rsid w:val="00F3337E"/>
    <w:rsid w:val="00F55523"/>
    <w:rsid w:val="00F74BD7"/>
    <w:rsid w:val="00FA3244"/>
    <w:rsid w:val="00FA338C"/>
    <w:rsid w:val="00FC4E54"/>
    <w:rsid w:val="00FD4042"/>
    <w:rsid w:val="00FD48C8"/>
    <w:rsid w:val="00FF2900"/>
    <w:rsid w:val="00FF7A8D"/>
    <w:rsid w:val="011D8FC4"/>
    <w:rsid w:val="01377867"/>
    <w:rsid w:val="0186A1F3"/>
    <w:rsid w:val="01C49FDB"/>
    <w:rsid w:val="03481746"/>
    <w:rsid w:val="034C9632"/>
    <w:rsid w:val="0359FB3E"/>
    <w:rsid w:val="04FD8549"/>
    <w:rsid w:val="05150B02"/>
    <w:rsid w:val="053A9B6A"/>
    <w:rsid w:val="0590E98B"/>
    <w:rsid w:val="05B90DF5"/>
    <w:rsid w:val="05BD5CB4"/>
    <w:rsid w:val="066FC03D"/>
    <w:rsid w:val="0687A15D"/>
    <w:rsid w:val="06E7AC3D"/>
    <w:rsid w:val="06F8E9D7"/>
    <w:rsid w:val="082A5C29"/>
    <w:rsid w:val="0904F3EB"/>
    <w:rsid w:val="09751BFE"/>
    <w:rsid w:val="09960A08"/>
    <w:rsid w:val="09E95E3A"/>
    <w:rsid w:val="0AB33286"/>
    <w:rsid w:val="0ACE35CF"/>
    <w:rsid w:val="0B1D7038"/>
    <w:rsid w:val="0BF826DB"/>
    <w:rsid w:val="0CF9BB2D"/>
    <w:rsid w:val="0DAA0544"/>
    <w:rsid w:val="0E336B2C"/>
    <w:rsid w:val="0EC37822"/>
    <w:rsid w:val="0ECE0589"/>
    <w:rsid w:val="10027C2D"/>
    <w:rsid w:val="1018D7B0"/>
    <w:rsid w:val="11395E8C"/>
    <w:rsid w:val="115A3B12"/>
    <w:rsid w:val="115FF31B"/>
    <w:rsid w:val="1221F5DE"/>
    <w:rsid w:val="1378D5FD"/>
    <w:rsid w:val="13E04A9B"/>
    <w:rsid w:val="13E70CF0"/>
    <w:rsid w:val="1479C698"/>
    <w:rsid w:val="1523559E"/>
    <w:rsid w:val="160CD604"/>
    <w:rsid w:val="165F2DE5"/>
    <w:rsid w:val="16D06CA7"/>
    <w:rsid w:val="1716636F"/>
    <w:rsid w:val="1741DADF"/>
    <w:rsid w:val="1760212C"/>
    <w:rsid w:val="1761DEAA"/>
    <w:rsid w:val="17B6D4B7"/>
    <w:rsid w:val="18057C6A"/>
    <w:rsid w:val="182607F2"/>
    <w:rsid w:val="1826C07D"/>
    <w:rsid w:val="1A4645D0"/>
    <w:rsid w:val="1A5F847F"/>
    <w:rsid w:val="1AC432F0"/>
    <w:rsid w:val="1BA9262D"/>
    <w:rsid w:val="1C5E8B97"/>
    <w:rsid w:val="1D7CFDE3"/>
    <w:rsid w:val="1EB732F1"/>
    <w:rsid w:val="1FF2D9BB"/>
    <w:rsid w:val="20D35456"/>
    <w:rsid w:val="21494D9F"/>
    <w:rsid w:val="21DD4222"/>
    <w:rsid w:val="226DBAFA"/>
    <w:rsid w:val="22A8E0CC"/>
    <w:rsid w:val="23A84B7A"/>
    <w:rsid w:val="240EBC78"/>
    <w:rsid w:val="246509FC"/>
    <w:rsid w:val="247A9A37"/>
    <w:rsid w:val="25E3F2E5"/>
    <w:rsid w:val="25E4F32E"/>
    <w:rsid w:val="2615F62C"/>
    <w:rsid w:val="26A226C6"/>
    <w:rsid w:val="27A721F4"/>
    <w:rsid w:val="27EA83D0"/>
    <w:rsid w:val="27F68226"/>
    <w:rsid w:val="283A4ADA"/>
    <w:rsid w:val="284173D7"/>
    <w:rsid w:val="297874E5"/>
    <w:rsid w:val="2BE76EC3"/>
    <w:rsid w:val="2C829B5E"/>
    <w:rsid w:val="2DD9A087"/>
    <w:rsid w:val="2DDDDBE4"/>
    <w:rsid w:val="2E1E5B2F"/>
    <w:rsid w:val="2E576BA7"/>
    <w:rsid w:val="2E7F6D32"/>
    <w:rsid w:val="2F0A4836"/>
    <w:rsid w:val="2F33EBFD"/>
    <w:rsid w:val="2F42663A"/>
    <w:rsid w:val="2F67D3F1"/>
    <w:rsid w:val="2F868BC7"/>
    <w:rsid w:val="2FBAF21A"/>
    <w:rsid w:val="305DE2FC"/>
    <w:rsid w:val="30AF236D"/>
    <w:rsid w:val="30F07B93"/>
    <w:rsid w:val="31260E3E"/>
    <w:rsid w:val="319DCE02"/>
    <w:rsid w:val="333FC1CC"/>
    <w:rsid w:val="3353E583"/>
    <w:rsid w:val="344AA2EE"/>
    <w:rsid w:val="373859D0"/>
    <w:rsid w:val="377EB52D"/>
    <w:rsid w:val="382F8C19"/>
    <w:rsid w:val="3866C123"/>
    <w:rsid w:val="39208640"/>
    <w:rsid w:val="398925AF"/>
    <w:rsid w:val="39C0962C"/>
    <w:rsid w:val="39C2F128"/>
    <w:rsid w:val="39CA1077"/>
    <w:rsid w:val="39DBE59D"/>
    <w:rsid w:val="3A300053"/>
    <w:rsid w:val="3AFE8955"/>
    <w:rsid w:val="3B3E539E"/>
    <w:rsid w:val="3B5CBFAC"/>
    <w:rsid w:val="3BC8FEC8"/>
    <w:rsid w:val="3C8EBE13"/>
    <w:rsid w:val="3D224276"/>
    <w:rsid w:val="3D42E4C6"/>
    <w:rsid w:val="3DF24F6E"/>
    <w:rsid w:val="3E6D7E53"/>
    <w:rsid w:val="3F85723C"/>
    <w:rsid w:val="3FEB59DB"/>
    <w:rsid w:val="402B1BA0"/>
    <w:rsid w:val="4042F754"/>
    <w:rsid w:val="413AD501"/>
    <w:rsid w:val="41927425"/>
    <w:rsid w:val="42608851"/>
    <w:rsid w:val="426D46E2"/>
    <w:rsid w:val="43A77372"/>
    <w:rsid w:val="43ED1F97"/>
    <w:rsid w:val="45013EED"/>
    <w:rsid w:val="45ADFA63"/>
    <w:rsid w:val="465A271A"/>
    <w:rsid w:val="474AD573"/>
    <w:rsid w:val="47590E75"/>
    <w:rsid w:val="476398F7"/>
    <w:rsid w:val="47AD8695"/>
    <w:rsid w:val="486C0A0B"/>
    <w:rsid w:val="4881BE4A"/>
    <w:rsid w:val="4889BA23"/>
    <w:rsid w:val="49746184"/>
    <w:rsid w:val="4996FEFF"/>
    <w:rsid w:val="49E401A6"/>
    <w:rsid w:val="4A529F21"/>
    <w:rsid w:val="4ABA3AE3"/>
    <w:rsid w:val="4BC05D1F"/>
    <w:rsid w:val="4BCFBBE6"/>
    <w:rsid w:val="4C3B718F"/>
    <w:rsid w:val="4C8C5332"/>
    <w:rsid w:val="4C9FB004"/>
    <w:rsid w:val="4D0C1455"/>
    <w:rsid w:val="4D93A519"/>
    <w:rsid w:val="4DE11B57"/>
    <w:rsid w:val="4E16CEB7"/>
    <w:rsid w:val="4E76C519"/>
    <w:rsid w:val="4EA61D36"/>
    <w:rsid w:val="4EA99E19"/>
    <w:rsid w:val="4EABE256"/>
    <w:rsid w:val="4F55D385"/>
    <w:rsid w:val="4F764E9B"/>
    <w:rsid w:val="4F840CCD"/>
    <w:rsid w:val="4FCC9229"/>
    <w:rsid w:val="503D5AA1"/>
    <w:rsid w:val="50ADC591"/>
    <w:rsid w:val="51A45C23"/>
    <w:rsid w:val="52100269"/>
    <w:rsid w:val="52207C2C"/>
    <w:rsid w:val="523950A2"/>
    <w:rsid w:val="523B28CF"/>
    <w:rsid w:val="523CB2AD"/>
    <w:rsid w:val="525F35C1"/>
    <w:rsid w:val="5295FA12"/>
    <w:rsid w:val="52E21D62"/>
    <w:rsid w:val="5332E50A"/>
    <w:rsid w:val="537F95CB"/>
    <w:rsid w:val="539A3520"/>
    <w:rsid w:val="557F91D6"/>
    <w:rsid w:val="55C53B8E"/>
    <w:rsid w:val="55D3179D"/>
    <w:rsid w:val="55D36AB0"/>
    <w:rsid w:val="55E80CB7"/>
    <w:rsid w:val="566885B6"/>
    <w:rsid w:val="56715354"/>
    <w:rsid w:val="56F6A02A"/>
    <w:rsid w:val="5729B6D2"/>
    <w:rsid w:val="5810848F"/>
    <w:rsid w:val="5840F839"/>
    <w:rsid w:val="5873BBB2"/>
    <w:rsid w:val="58B6759D"/>
    <w:rsid w:val="590327A5"/>
    <w:rsid w:val="590982FC"/>
    <w:rsid w:val="5982D5ED"/>
    <w:rsid w:val="59E333F7"/>
    <w:rsid w:val="59EFC50B"/>
    <w:rsid w:val="5BD3158A"/>
    <w:rsid w:val="5D362388"/>
    <w:rsid w:val="5E3B52B3"/>
    <w:rsid w:val="5F492054"/>
    <w:rsid w:val="5FAEFC45"/>
    <w:rsid w:val="5FF3E980"/>
    <w:rsid w:val="60A46437"/>
    <w:rsid w:val="60D39D08"/>
    <w:rsid w:val="60F141FD"/>
    <w:rsid w:val="60F1A2C8"/>
    <w:rsid w:val="62429A66"/>
    <w:rsid w:val="62BD5F20"/>
    <w:rsid w:val="6461C353"/>
    <w:rsid w:val="650F021B"/>
    <w:rsid w:val="6523572E"/>
    <w:rsid w:val="658447B1"/>
    <w:rsid w:val="669C61F1"/>
    <w:rsid w:val="669E9DD7"/>
    <w:rsid w:val="66AB854F"/>
    <w:rsid w:val="674D9B3F"/>
    <w:rsid w:val="68E226E3"/>
    <w:rsid w:val="6952FEBD"/>
    <w:rsid w:val="69621ED6"/>
    <w:rsid w:val="6AAB3D69"/>
    <w:rsid w:val="6C222A9E"/>
    <w:rsid w:val="6D653792"/>
    <w:rsid w:val="6DDEDE80"/>
    <w:rsid w:val="6F111DE6"/>
    <w:rsid w:val="6FB5EB03"/>
    <w:rsid w:val="6FC1924A"/>
    <w:rsid w:val="7041DCFB"/>
    <w:rsid w:val="70BCD90E"/>
    <w:rsid w:val="71112AEB"/>
    <w:rsid w:val="71D4957C"/>
    <w:rsid w:val="71D97AF7"/>
    <w:rsid w:val="723F068E"/>
    <w:rsid w:val="72C58053"/>
    <w:rsid w:val="72F1B92B"/>
    <w:rsid w:val="734D20CF"/>
    <w:rsid w:val="73662D70"/>
    <w:rsid w:val="73E7BA60"/>
    <w:rsid w:val="7414CB56"/>
    <w:rsid w:val="744801CF"/>
    <w:rsid w:val="74C8213E"/>
    <w:rsid w:val="752DE4A2"/>
    <w:rsid w:val="7603CEAC"/>
    <w:rsid w:val="7690327F"/>
    <w:rsid w:val="76B5C042"/>
    <w:rsid w:val="76E897F0"/>
    <w:rsid w:val="774CC19C"/>
    <w:rsid w:val="77F0EFE0"/>
    <w:rsid w:val="783A8413"/>
    <w:rsid w:val="789134FD"/>
    <w:rsid w:val="78A629B1"/>
    <w:rsid w:val="79DBD68B"/>
    <w:rsid w:val="7AD31257"/>
    <w:rsid w:val="7B3B2A72"/>
    <w:rsid w:val="7BE8EBDF"/>
    <w:rsid w:val="7CA06F4F"/>
    <w:rsid w:val="7CF4F455"/>
    <w:rsid w:val="7D7BCBFD"/>
    <w:rsid w:val="7DAE38D5"/>
    <w:rsid w:val="7E0AD1B9"/>
    <w:rsid w:val="7E41A06B"/>
    <w:rsid w:val="7E88C2D6"/>
    <w:rsid w:val="7EC40AB8"/>
    <w:rsid w:val="7F0278C3"/>
    <w:rsid w:val="7F554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FE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ar">
    <w:name w:val="title bar"/>
    <w:basedOn w:val="Normal"/>
    <w:uiPriority w:val="1"/>
    <w:rsid w:val="4A529F21"/>
    <w:pPr>
      <w:keepNext/>
      <w:jc w:val="center"/>
    </w:pPr>
    <w:rPr>
      <w:rFonts w:ascii="Helvetica" w:hAnsi="Helvetica"/>
      <w:b/>
      <w:bCs/>
      <w:sz w:val="26"/>
      <w:szCs w:val="26"/>
    </w:rPr>
  </w:style>
  <w:style w:type="paragraph" w:customStyle="1" w:styleId="mainex">
    <w:name w:val="mainex"/>
    <w:basedOn w:val="Normal"/>
    <w:uiPriority w:val="1"/>
    <w:rsid w:val="4A529F21"/>
    <w:pPr>
      <w:keepNext/>
      <w:jc w:val="center"/>
    </w:pPr>
    <w:rPr>
      <w:rFonts w:ascii="Helvetica" w:hAnsi="Helvetica"/>
      <w:b/>
      <w:bCs/>
      <w:sz w:val="26"/>
      <w:szCs w:val="26"/>
    </w:rPr>
  </w:style>
  <w:style w:type="paragraph" w:customStyle="1" w:styleId="Res-Caption">
    <w:name w:val="Res-Caption"/>
    <w:basedOn w:val="Normal"/>
    <w:uiPriority w:val="1"/>
    <w:rsid w:val="4A529F21"/>
    <w:pPr>
      <w:ind w:left="720" w:right="720"/>
    </w:pPr>
    <w:rPr>
      <w:rFonts w:ascii="Palatino" w:hAnsi="Palatino"/>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C3B9E"/>
    <w:pPr>
      <w:spacing w:after="0" w:line="240" w:lineRule="auto"/>
    </w:pPr>
  </w:style>
  <w:style w:type="paragraph" w:styleId="CommentSubject">
    <w:name w:val="annotation subject"/>
    <w:basedOn w:val="CommentText"/>
    <w:next w:val="CommentText"/>
    <w:link w:val="CommentSubjectChar"/>
    <w:uiPriority w:val="99"/>
    <w:semiHidden/>
    <w:unhideWhenUsed/>
    <w:rsid w:val="000273CA"/>
    <w:rPr>
      <w:b/>
      <w:bCs/>
    </w:rPr>
  </w:style>
  <w:style w:type="character" w:customStyle="1" w:styleId="CommentSubjectChar">
    <w:name w:val="Comment Subject Char"/>
    <w:basedOn w:val="CommentTextChar"/>
    <w:link w:val="CommentSubject"/>
    <w:uiPriority w:val="99"/>
    <w:semiHidden/>
    <w:rsid w:val="000273CA"/>
    <w:rPr>
      <w:b/>
      <w:bCs/>
      <w:sz w:val="20"/>
      <w:szCs w:val="20"/>
    </w:rPr>
  </w:style>
  <w:style w:type="character" w:styleId="Mention">
    <w:name w:val="Mention"/>
    <w:basedOn w:val="DefaultParagraphFont"/>
    <w:uiPriority w:val="99"/>
    <w:unhideWhenUsed/>
    <w:rsid w:val="00B522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64A4-F114-4F3C-B259-3E4E6200F5F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1455</ap:Words>
  <ap:Characters>8297</ap:Characters>
  <ap:Application>Microsoft Office Word</ap:Application>
  <ap:DocSecurity>0</ap:DocSecurity>
  <ap:Lines>69</ap:Lines>
  <ap:Paragraphs>19</ap:Paragraphs>
  <ap:ScaleCrop>false</ap:ScaleCrop>
  <ap:Company/>
  <ap:LinksUpToDate>false</ap:LinksUpToDate>
  <ap:CharactersWithSpaces>9733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2026-05-15T08:49:28Z</dcterms:created>
  <dcterms:modified xsi:type="dcterms:W3CDTF">2026-05-15T08:49:28Z</dcterms:modified>
</cp:coreProperties>
</file>