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4606" w:rsidR="00217CC7" w:rsidP="00217CC7" w:rsidRDefault="00217CC7" w14:paraId="5D5C57E5" w14:textId="429D4FAB">
      <w:pPr>
        <w:tabs>
          <w:tab w:val="center" w:pos="4680"/>
          <w:tab w:val="right" w:pos="9360"/>
        </w:tabs>
        <w:rPr>
          <w:b/>
          <w:bCs/>
        </w:rPr>
      </w:pPr>
      <w:r w:rsidRPr="003C4606">
        <w:rPr>
          <w:color w:val="000000"/>
        </w:rPr>
        <w:t>ALJ/</w:t>
      </w:r>
      <w:r w:rsidR="00C5194D">
        <w:rPr>
          <w:color w:val="000000"/>
        </w:rPr>
        <w:t>CS8</w:t>
      </w:r>
      <w:r w:rsidRPr="003C4606">
        <w:rPr>
          <w:color w:val="000000"/>
        </w:rPr>
        <w:t>/</w:t>
      </w:r>
      <w:proofErr w:type="spellStart"/>
      <w:r w:rsidRPr="003C4606">
        <w:rPr>
          <w:color w:val="000000"/>
        </w:rPr>
        <w:t>vhj</w:t>
      </w:r>
      <w:proofErr w:type="spellEnd"/>
      <w:r w:rsidRPr="003C4606">
        <w:tab/>
      </w:r>
      <w:r w:rsidRPr="003C4606">
        <w:rPr>
          <w:b/>
          <w:bCs/>
        </w:rPr>
        <w:tab/>
      </w:r>
      <w:r w:rsidR="00B524DB">
        <w:rPr>
          <w:b/>
          <w:bCs/>
        </w:rPr>
        <w:t>Date of Issuance 5/18/2026</w:t>
      </w:r>
    </w:p>
    <w:p w:rsidR="00217CC7" w:rsidRDefault="00217CC7" w14:paraId="6AA3FD9F" w14:textId="77777777">
      <w:pPr>
        <w:suppressAutoHyphens/>
        <w:rPr>
          <w:b/>
          <w:bCs/>
        </w:rPr>
      </w:pPr>
    </w:p>
    <w:p w:rsidR="00141708" w:rsidRDefault="00141708" w14:paraId="7E6F42D2" w14:textId="77777777">
      <w:pPr>
        <w:suppressAutoHyphens/>
        <w:rPr>
          <w:color w:val="000000"/>
        </w:rPr>
      </w:pPr>
    </w:p>
    <w:p w:rsidRPr="007F620E" w:rsidR="00A92D0B" w:rsidRDefault="00A92D0B" w14:paraId="5BDA9FD4" w14:textId="4A463A9F">
      <w:pPr>
        <w:suppressAutoHyphens/>
        <w:rPr>
          <w:color w:val="000000"/>
        </w:rPr>
      </w:pPr>
      <w:r w:rsidRPr="007F620E">
        <w:rPr>
          <w:color w:val="000000"/>
        </w:rPr>
        <w:t xml:space="preserve">Decision </w:t>
      </w:r>
      <w:r w:rsidRPr="002B6ACB">
        <w:rPr>
          <w:color w:val="000000"/>
        </w:rPr>
        <w:tab/>
      </w:r>
      <w:r w:rsidRPr="002B6ACB">
        <w:rPr>
          <w:color w:val="000000"/>
        </w:rPr>
        <w:tab/>
      </w:r>
      <w:r w:rsidRPr="002B6ACB">
        <w:rPr>
          <w:color w:val="000000"/>
        </w:rPr>
        <w:tab/>
      </w:r>
      <w:r w:rsidR="00B524DB">
        <w:rPr>
          <w:color w:val="000000"/>
        </w:rPr>
        <w:t>26-05-029 May 14, 2026</w:t>
      </w:r>
    </w:p>
    <w:p w:rsidRPr="007F620E" w:rsidR="00A92D0B" w:rsidP="00E103F4" w:rsidRDefault="00A92D0B" w14:paraId="44E03231" w14:textId="77777777">
      <w:pPr>
        <w:pStyle w:val="titlebar"/>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680"/>
        <w:gridCol w:w="5148"/>
      </w:tblGrid>
      <w:tr w:rsidRPr="007F620E" w:rsidR="00886BFC" w:rsidTr="002B6ACB" w14:paraId="3942D7B4" w14:textId="77777777">
        <w:tc>
          <w:tcPr>
            <w:tcW w:w="4680" w:type="dxa"/>
          </w:tcPr>
          <w:p w:rsidR="00886BFC" w:rsidP="00886BFC" w:rsidRDefault="00886BFC" w14:paraId="1C9523AD" w14:textId="77777777">
            <w:pPr>
              <w:pStyle w:val="NormalWeb"/>
            </w:pPr>
          </w:p>
          <w:p w:rsidRPr="007F620E" w:rsidR="00886BFC" w:rsidP="00886BFC" w:rsidRDefault="004B653F" w14:paraId="47850BD9" w14:textId="04EEB679">
            <w:pPr>
              <w:tabs>
                <w:tab w:val="left" w:pos="1440"/>
                <w:tab w:val="left" w:pos="3600"/>
              </w:tabs>
              <w:rPr>
                <w:color w:val="000000"/>
              </w:rPr>
            </w:pPr>
            <w:r w:rsidRPr="00946D06">
              <w:t>Order Instituting Rulemaking to Advance Demand Flexibility Through Electric Rates.</w:t>
            </w:r>
          </w:p>
        </w:tc>
        <w:tc>
          <w:tcPr>
            <w:tcW w:w="5148" w:type="dxa"/>
            <w:tcBorders>
              <w:top w:val="nil"/>
              <w:bottom w:val="nil"/>
            </w:tcBorders>
          </w:tcPr>
          <w:p w:rsidR="00886BFC" w:rsidP="00886BFC" w:rsidRDefault="00886BFC" w14:paraId="5C63A1BD" w14:textId="77777777">
            <w:pPr>
              <w:jc w:val="center"/>
            </w:pPr>
          </w:p>
          <w:p w:rsidRPr="00353ED8" w:rsidR="00886BFC" w:rsidP="00886BFC" w:rsidRDefault="00886BFC" w14:paraId="7540AC32" w14:textId="77777777">
            <w:pPr>
              <w:jc w:val="center"/>
            </w:pPr>
            <w:r w:rsidRPr="00353ED8">
              <w:t>Rulemaking 22-07-005</w:t>
            </w:r>
          </w:p>
          <w:p w:rsidRPr="00353ED8" w:rsidR="00886BFC" w:rsidP="00886BFC" w:rsidRDefault="00886BFC" w14:paraId="4D1AE084" w14:textId="77777777">
            <w:pPr>
              <w:jc w:val="center"/>
            </w:pPr>
            <w:r w:rsidRPr="00353ED8">
              <w:t>(Filed July 14, 2022)</w:t>
            </w:r>
          </w:p>
          <w:p w:rsidRPr="007F620E" w:rsidR="00886BFC" w:rsidP="00886BFC" w:rsidRDefault="00886BFC" w14:paraId="7EC7277D" w14:textId="77777777">
            <w:pPr>
              <w:tabs>
                <w:tab w:val="left" w:pos="1440"/>
                <w:tab w:val="left" w:pos="3600"/>
              </w:tabs>
              <w:rPr>
                <w:color w:val="000000"/>
              </w:rPr>
            </w:pPr>
          </w:p>
        </w:tc>
      </w:tr>
    </w:tbl>
    <w:p w:rsidR="00FC72B7" w:rsidRDefault="00FC72B7" w14:paraId="5459E071" w14:textId="77777777">
      <w:pPr>
        <w:jc w:val="center"/>
        <w:rPr>
          <w:b/>
          <w:color w:val="000000"/>
        </w:rPr>
      </w:pPr>
    </w:p>
    <w:p w:rsidRPr="007F620E" w:rsidR="002B6ACB" w:rsidRDefault="002B6ACB" w14:paraId="1C50715D" w14:textId="77777777">
      <w:pPr>
        <w:jc w:val="center"/>
        <w:rPr>
          <w:b/>
          <w:color w:val="000000"/>
        </w:rPr>
      </w:pPr>
    </w:p>
    <w:p w:rsidRPr="00457B31" w:rsidR="005E4F95" w:rsidP="005E4F95" w:rsidRDefault="005E4F95" w14:paraId="04B50DBD" w14:textId="02A6B144">
      <w:pPr>
        <w:jc w:val="center"/>
        <w:rPr>
          <w:b/>
        </w:rPr>
      </w:pPr>
      <w:r w:rsidRPr="00457B31">
        <w:rPr>
          <w:b/>
        </w:rPr>
        <w:t xml:space="preserve">DECISION </w:t>
      </w:r>
      <w:r w:rsidRPr="00457B31" w:rsidR="00C2265F">
        <w:rPr>
          <w:b/>
        </w:rPr>
        <w:t>GRANTING</w:t>
      </w:r>
      <w:r w:rsidRPr="00457B31">
        <w:rPr>
          <w:b/>
        </w:rPr>
        <w:t xml:space="preserve"> COMPENSATION </w:t>
      </w:r>
      <w:r w:rsidRPr="00457B31" w:rsidR="00C2265F">
        <w:rPr>
          <w:b/>
        </w:rPr>
        <w:t>TO</w:t>
      </w:r>
      <w:r w:rsidRPr="00457B31">
        <w:rPr>
          <w:b/>
        </w:rPr>
        <w:t xml:space="preserve"> THE UTILITY </w:t>
      </w:r>
      <w:r w:rsidR="002B6ACB">
        <w:rPr>
          <w:b/>
        </w:rPr>
        <w:br/>
      </w:r>
      <w:r w:rsidRPr="00457B31">
        <w:rPr>
          <w:b/>
        </w:rPr>
        <w:t>REFORM NETWORK</w:t>
      </w:r>
      <w:r w:rsidRPr="00457B31" w:rsidR="00C2265F">
        <w:rPr>
          <w:b/>
        </w:rPr>
        <w:t xml:space="preserve"> FOR SUBSTANTIAL CONTRIBUTION</w:t>
      </w:r>
      <w:r w:rsidR="002B6ACB">
        <w:rPr>
          <w:b/>
        </w:rPr>
        <w:t xml:space="preserve"> </w:t>
      </w:r>
      <w:r w:rsidRPr="00457B31" w:rsidR="00C2265F">
        <w:rPr>
          <w:b/>
        </w:rPr>
        <w:t xml:space="preserve">TO </w:t>
      </w:r>
      <w:r w:rsidRPr="00457B31" w:rsidR="00AF25F6">
        <w:rPr>
          <w:b/>
          <w:color w:val="000000"/>
        </w:rPr>
        <w:t xml:space="preserve">ENERGY DIVISION DISPOSITION OF </w:t>
      </w:r>
      <w:r w:rsidRPr="00457B31" w:rsidR="00C5194D">
        <w:rPr>
          <w:b/>
          <w:color w:val="000000"/>
        </w:rPr>
        <w:t xml:space="preserve">SAN DIEGO GAS AND ELECTRIC COMPANY </w:t>
      </w:r>
      <w:r w:rsidR="002B6ACB">
        <w:rPr>
          <w:b/>
          <w:color w:val="000000"/>
        </w:rPr>
        <w:br/>
      </w:r>
      <w:r w:rsidRPr="00457B31" w:rsidR="00AF25F6">
        <w:rPr>
          <w:b/>
          <w:color w:val="000000"/>
        </w:rPr>
        <w:t xml:space="preserve">ADVICE LETTERS 4572-E AND 4582-E, RESOLUTION E-5354, </w:t>
      </w:r>
      <w:r w:rsidR="002B6ACB">
        <w:rPr>
          <w:b/>
          <w:color w:val="000000"/>
        </w:rPr>
        <w:br/>
      </w:r>
      <w:r w:rsidRPr="00457B31" w:rsidR="00AF25F6">
        <w:rPr>
          <w:b/>
          <w:color w:val="000000"/>
        </w:rPr>
        <w:t>RESOLUTION E-5355, AND RESOLUTION E-5356</w:t>
      </w:r>
    </w:p>
    <w:p w:rsidRPr="007F620E"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765"/>
        <w:gridCol w:w="4595"/>
      </w:tblGrid>
      <w:tr w:rsidRPr="007F620E" w:rsidR="00A92D0B" w:rsidTr="002B6ACB" w14:paraId="0FE98F62" w14:textId="77777777">
        <w:tc>
          <w:tcPr>
            <w:tcW w:w="4765" w:type="dxa"/>
          </w:tcPr>
          <w:p w:rsidRPr="00691528" w:rsidR="00A92D0B" w:rsidP="00C47A2B" w:rsidRDefault="005A63D4" w14:paraId="11570D4A" w14:textId="64F2E28D">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CD0DD9" w:rsidR="005E4F95">
              <w:rPr>
                <w:bCs/>
                <w:color w:val="000000"/>
              </w:rPr>
              <w:t>The Utility Reform Network</w:t>
            </w:r>
          </w:p>
        </w:tc>
        <w:tc>
          <w:tcPr>
            <w:tcW w:w="4595" w:type="dxa"/>
          </w:tcPr>
          <w:p w:rsidRPr="007F620E" w:rsidR="00A92D0B" w:rsidP="00C47A2B" w:rsidRDefault="00A92D0B" w14:paraId="53A584EE" w14:textId="78C0FA0C">
            <w:pPr>
              <w:tabs>
                <w:tab w:val="left" w:pos="1872"/>
                <w:tab w:val="right" w:pos="3672"/>
              </w:tabs>
              <w:rPr>
                <w:b/>
                <w:color w:val="000000"/>
              </w:rPr>
            </w:pPr>
            <w:r w:rsidRPr="007F620E">
              <w:rPr>
                <w:b/>
                <w:color w:val="000000"/>
              </w:rPr>
              <w:t>For contribution to D</w:t>
            </w:r>
            <w:r w:rsidRPr="007F620E" w:rsidR="00DE3A5D">
              <w:rPr>
                <w:b/>
                <w:color w:val="000000"/>
              </w:rPr>
              <w:t>ecision (D.)</w:t>
            </w:r>
            <w:r w:rsidR="00AC422E">
              <w:rPr>
                <w:b/>
                <w:color w:val="000000"/>
              </w:rPr>
              <w:t xml:space="preserve">: Energy Division disposition of SDG&amp;E Advice Letters 4572-E and 4582-E, Resolution </w:t>
            </w:r>
            <w:r w:rsidR="008A0FAF">
              <w:rPr>
                <w:b/>
                <w:color w:val="000000"/>
              </w:rPr>
              <w:br/>
            </w:r>
            <w:r w:rsidR="00AC422E">
              <w:rPr>
                <w:b/>
                <w:color w:val="000000"/>
              </w:rPr>
              <w:t xml:space="preserve">E-5354, Resolution E-5355, Resolution </w:t>
            </w:r>
            <w:r w:rsidR="008A0FAF">
              <w:rPr>
                <w:b/>
                <w:color w:val="000000"/>
              </w:rPr>
              <w:br/>
            </w:r>
            <w:r w:rsidR="00AC422E">
              <w:rPr>
                <w:b/>
                <w:color w:val="000000"/>
              </w:rPr>
              <w:t>E-5356</w:t>
            </w:r>
          </w:p>
        </w:tc>
      </w:tr>
      <w:tr w:rsidRPr="007F620E" w:rsidR="00A92D0B" w:rsidTr="002B6ACB" w14:paraId="47003B8E" w14:textId="77777777">
        <w:tc>
          <w:tcPr>
            <w:tcW w:w="4765" w:type="dxa"/>
          </w:tcPr>
          <w:p w:rsidRPr="007F620E" w:rsidR="00A92D0B" w:rsidP="00C47A2B" w:rsidRDefault="00A92D0B" w14:paraId="0E2E4BD1" w14:textId="554C146C">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Pr="00CD0DD9" w:rsidR="00FC72B7">
              <w:rPr>
                <w:bCs/>
                <w:color w:val="000000"/>
              </w:rPr>
              <w:t>$</w:t>
            </w:r>
            <w:r w:rsidRPr="00CD0DD9" w:rsidR="00AC422E">
              <w:rPr>
                <w:bCs/>
                <w:color w:val="000000"/>
              </w:rPr>
              <w:t>17,285</w:t>
            </w:r>
          </w:p>
        </w:tc>
        <w:tc>
          <w:tcPr>
            <w:tcW w:w="4595" w:type="dxa"/>
            <w:tcBorders>
              <w:bottom w:val="single" w:color="auto" w:sz="4" w:space="0"/>
            </w:tcBorders>
          </w:tcPr>
          <w:p w:rsidRPr="007F620E" w:rsidR="00A92D0B" w:rsidP="00C47A2B" w:rsidRDefault="00A92D0B" w14:paraId="211F40A8" w14:textId="3AB51712">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DF2616" w:rsidR="001856A3">
              <w:t>$</w:t>
            </w:r>
            <w:r w:rsidRPr="00785161" w:rsidR="00785161">
              <w:rPr>
                <w:bCs/>
                <w:iCs/>
                <w:color w:val="000000"/>
              </w:rPr>
              <w:t>16,732.50</w:t>
            </w:r>
          </w:p>
        </w:tc>
      </w:tr>
      <w:tr w:rsidRPr="007F620E" w:rsidR="00A92D0B" w:rsidTr="002B6ACB" w14:paraId="5C56877D" w14:textId="77777777">
        <w:tc>
          <w:tcPr>
            <w:tcW w:w="4765" w:type="dxa"/>
          </w:tcPr>
          <w:p w:rsidRPr="00691528" w:rsidR="00A92D0B" w:rsidP="00C47A2B" w:rsidRDefault="00A92D0B" w14:paraId="6EF99E36" w14:textId="25BA3263">
            <w:pPr>
              <w:tabs>
                <w:tab w:val="left" w:pos="3060"/>
                <w:tab w:val="right" w:pos="4500"/>
              </w:tabs>
              <w:rPr>
                <w:color w:val="000000"/>
                <w:u w:val="single"/>
              </w:rPr>
            </w:pPr>
            <w:r w:rsidRPr="007F620E">
              <w:rPr>
                <w:b/>
                <w:color w:val="000000"/>
              </w:rPr>
              <w:t xml:space="preserve">Assigned Commissioner: </w:t>
            </w:r>
            <w:r w:rsidRPr="00CD0DD9" w:rsidR="00760CE4">
              <w:rPr>
                <w:bCs/>
                <w:color w:val="000000"/>
              </w:rPr>
              <w:t>John Reynolds</w:t>
            </w:r>
          </w:p>
        </w:tc>
        <w:tc>
          <w:tcPr>
            <w:tcW w:w="4595" w:type="dxa"/>
          </w:tcPr>
          <w:p w:rsidRPr="00691528" w:rsidR="00A92D0B" w:rsidP="00C47A2B" w:rsidRDefault="00A92D0B" w14:paraId="79375F78" w14:textId="26FDB9A6">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Pr="00DF2616" w:rsidR="00886BFC">
              <w:rPr>
                <w:bCs/>
                <w:color w:val="000000"/>
              </w:rPr>
              <w:t>Carolyn Sisto</w:t>
            </w:r>
          </w:p>
        </w:tc>
      </w:tr>
    </w:tbl>
    <w:p w:rsidR="00691528" w:rsidP="00DF2616" w:rsidRDefault="00A92D0B" w14:paraId="3CEED871" w14:textId="62381001">
      <w:pPr>
        <w:keepNext/>
        <w:spacing w:before="360"/>
        <w:jc w:val="center"/>
        <w:rPr>
          <w:b/>
          <w:color w:val="000000"/>
        </w:rPr>
      </w:pPr>
      <w:r w:rsidRPr="007F620E">
        <w:rPr>
          <w:b/>
          <w:color w:val="000000"/>
        </w:rPr>
        <w:t>PART I</w:t>
      </w:r>
      <w:proofErr w:type="gramStart"/>
      <w:r w:rsidRPr="007F620E">
        <w:rPr>
          <w:b/>
          <w:color w:val="000000"/>
        </w:rPr>
        <w:t>:</w:t>
      </w:r>
      <w:r w:rsidR="008E182E">
        <w:rPr>
          <w:b/>
          <w:color w:val="000000"/>
        </w:rPr>
        <w:t xml:space="preserve">  </w:t>
      </w:r>
      <w:r w:rsidRPr="007F620E">
        <w:rPr>
          <w:b/>
          <w:color w:val="000000"/>
        </w:rPr>
        <w:t>PROCEDURAL</w:t>
      </w:r>
      <w:proofErr w:type="gramEnd"/>
      <w:r w:rsidRPr="007F620E">
        <w:rPr>
          <w:b/>
          <w:color w:val="000000"/>
        </w:rPr>
        <w:t xml:space="preserve"> ISSUES</w:t>
      </w:r>
    </w:p>
    <w:p w:rsidRPr="007F620E" w:rsidR="00A92D0B" w:rsidP="00055843" w:rsidRDefault="00A92D0B" w14:paraId="37AA25BD" w14:textId="77777777">
      <w:pPr>
        <w:keepNext/>
        <w:rPr>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647"/>
      </w:tblGrid>
      <w:tr w:rsidRPr="007F620E" w:rsidR="00A92D0B" w:rsidTr="00C5194D"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5647" w:type="dxa"/>
          </w:tcPr>
          <w:p w:rsidR="00AC422E" w:rsidP="00747212" w:rsidRDefault="00AC422E" w14:paraId="064B93FE" w14:textId="77777777">
            <w:pPr>
              <w:spacing w:before="100" w:beforeAutospacing="1" w:after="100" w:afterAutospacing="1"/>
              <w:rPr>
                <w:b/>
                <w:color w:val="000000"/>
              </w:rPr>
            </w:pPr>
            <w:r>
              <w:rPr>
                <w:b/>
                <w:color w:val="000000"/>
              </w:rPr>
              <w:t>Energy Division disposition of SDG&amp;E Advice Letters 4572-E and 4582-E</w:t>
            </w:r>
          </w:p>
          <w:p w:rsidRPr="00747212" w:rsidR="00AC422E" w:rsidP="00747212" w:rsidRDefault="00AC422E" w14:paraId="519CC8C8" w14:textId="7C00CFDA">
            <w:pPr>
              <w:spacing w:before="100" w:beforeAutospacing="1" w:after="100" w:afterAutospacing="1"/>
              <w:rPr>
                <w:bCs/>
                <w:color w:val="000000"/>
              </w:rPr>
            </w:pPr>
            <w:r>
              <w:rPr>
                <w:bCs/>
                <w:color w:val="000000"/>
              </w:rPr>
              <w:t>Approves SDG&amp;E’s Advice Letters relating to the implementation of California Alternative Rates for Energy (CARE) discounts pursuant to Ordering Paragraph 4 of D</w:t>
            </w:r>
            <w:r w:rsidR="008A0FAF">
              <w:rPr>
                <w:bCs/>
                <w:color w:val="000000"/>
              </w:rPr>
              <w:t xml:space="preserve">ecision (D.) </w:t>
            </w:r>
            <w:r>
              <w:rPr>
                <w:bCs/>
                <w:color w:val="000000"/>
              </w:rPr>
              <w:t>24-05-028.</w:t>
            </w:r>
          </w:p>
          <w:p w:rsidR="00FE5F67" w:rsidP="00747212" w:rsidRDefault="00AC422E" w14:paraId="4D1474B7" w14:textId="1E45A24F">
            <w:pPr>
              <w:spacing w:before="100" w:beforeAutospacing="1" w:after="100" w:afterAutospacing="1"/>
              <w:rPr>
                <w:b/>
                <w:bCs/>
                <w:color w:val="000000"/>
              </w:rPr>
            </w:pPr>
            <w:r>
              <w:rPr>
                <w:b/>
                <w:color w:val="000000"/>
              </w:rPr>
              <w:t xml:space="preserve">Resolution E-5354, Resolution E-5355, Resolution </w:t>
            </w:r>
            <w:r w:rsidR="008A0FAF">
              <w:rPr>
                <w:b/>
                <w:color w:val="000000"/>
              </w:rPr>
              <w:br/>
            </w:r>
            <w:r>
              <w:rPr>
                <w:b/>
                <w:color w:val="000000"/>
              </w:rPr>
              <w:t>E-5356</w:t>
            </w:r>
          </w:p>
          <w:p w:rsidRPr="00AC422E" w:rsidR="00AC422E" w:rsidP="00747212" w:rsidRDefault="00AC422E" w14:paraId="67B8ECAA" w14:textId="1F1108FA">
            <w:pPr>
              <w:spacing w:before="100" w:beforeAutospacing="1" w:after="100" w:afterAutospacing="1"/>
              <w:rPr>
                <w:color w:val="000000"/>
              </w:rPr>
            </w:pPr>
            <w:r>
              <w:rPr>
                <w:color w:val="000000"/>
              </w:rPr>
              <w:t>Approved Income-Graduated Fixed Charge (IGFC) implementation proposals submitted by PG&amp;E, SCE and SDG&amp;E pursuant to Ordering Paragraph 3(c) of D.24-05-028.</w:t>
            </w: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C5194D"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C5194D"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C5194D" w14:paraId="160E284A" w14:textId="77777777">
        <w:tc>
          <w:tcPr>
            <w:tcW w:w="4817" w:type="dxa"/>
            <w:tcBorders>
              <w:top w:val="single" w:color="auto" w:sz="4" w:space="0"/>
            </w:tcBorders>
          </w:tcPr>
          <w:p w:rsidRPr="007F620E" w:rsidR="00A92D0B" w:rsidP="00F028C8" w:rsidRDefault="00A92D0B" w14:paraId="44D1876C" w14:textId="4D2AA0B3">
            <w:pPr>
              <w:keepNext/>
              <w:tabs>
                <w:tab w:val="left" w:pos="360"/>
              </w:tabs>
              <w:ind w:left="360" w:hanging="360"/>
              <w:rPr>
                <w:color w:val="000000"/>
              </w:rPr>
            </w:pPr>
            <w:r w:rsidRPr="007F620E">
              <w:rPr>
                <w:color w:val="000000"/>
              </w:rPr>
              <w:t>1.</w:t>
            </w:r>
            <w:r w:rsidR="001E7EE2">
              <w:rPr>
                <w:color w:val="000000"/>
              </w:rPr>
              <w:tab/>
            </w:r>
            <w:r w:rsidRPr="007F620E">
              <w:rPr>
                <w:color w:val="000000"/>
              </w:rPr>
              <w:t xml:space="preserve">Date of </w:t>
            </w:r>
            <w:r w:rsidR="008A0FAF">
              <w:rPr>
                <w:color w:val="000000"/>
              </w:rPr>
              <w:t>p</w:t>
            </w:r>
            <w:r w:rsidRPr="007F620E">
              <w:rPr>
                <w:color w:val="000000"/>
              </w:rPr>
              <w:t xml:space="preserve">rehearing </w:t>
            </w:r>
            <w:r w:rsidR="008A0FAF">
              <w:rPr>
                <w:color w:val="000000"/>
              </w:rPr>
              <w:t>c</w:t>
            </w:r>
            <w:r w:rsidRPr="007F620E">
              <w:rPr>
                <w:color w:val="000000"/>
              </w:rPr>
              <w:t>onference:</w:t>
            </w:r>
          </w:p>
        </w:tc>
        <w:tc>
          <w:tcPr>
            <w:tcW w:w="2267" w:type="dxa"/>
            <w:tcBorders>
              <w:top w:val="single" w:color="auto" w:sz="4" w:space="0"/>
            </w:tcBorders>
          </w:tcPr>
          <w:p w:rsidRPr="007F620E" w:rsidR="00A92D0B" w:rsidP="00886BFC" w:rsidRDefault="00886BFC" w14:paraId="35450816" w14:textId="5E53AB4E">
            <w:pPr>
              <w:keepNext/>
              <w:keepLines/>
              <w:tabs>
                <w:tab w:val="left" w:pos="360"/>
              </w:tabs>
              <w:ind w:left="360" w:hanging="360"/>
              <w:jc w:val="center"/>
              <w:rPr>
                <w:color w:val="000000"/>
              </w:rPr>
            </w:pPr>
            <w:r>
              <w:rPr>
                <w:color w:val="000000"/>
              </w:rPr>
              <w:t>09/16/2022</w:t>
            </w:r>
          </w:p>
        </w:tc>
        <w:tc>
          <w:tcPr>
            <w:tcW w:w="2276" w:type="dxa"/>
            <w:tcBorders>
              <w:top w:val="single" w:color="auto" w:sz="4" w:space="0"/>
            </w:tcBorders>
          </w:tcPr>
          <w:p w:rsidRPr="007F620E" w:rsidR="00A92D0B" w:rsidP="00F028C8" w:rsidRDefault="001F4141" w14:paraId="34540344" w14:textId="4F234CC7">
            <w:pPr>
              <w:keepNext/>
              <w:tabs>
                <w:tab w:val="left" w:pos="360"/>
              </w:tabs>
              <w:jc w:val="both"/>
              <w:rPr>
                <w:color w:val="000000"/>
              </w:rPr>
            </w:pPr>
            <w:r>
              <w:rPr>
                <w:color w:val="000000"/>
              </w:rPr>
              <w:t>Verified</w:t>
            </w:r>
          </w:p>
        </w:tc>
      </w:tr>
      <w:tr w:rsidRPr="007F620E" w:rsidR="00A92D0B" w:rsidTr="00C5194D"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886BFC" w:rsidRDefault="00A92D0B" w14:paraId="1826BC2C" w14:textId="77777777">
            <w:pPr>
              <w:keepNext/>
              <w:keepLines/>
              <w:tabs>
                <w:tab w:val="left" w:pos="360"/>
              </w:tabs>
              <w:ind w:left="360" w:hanging="360"/>
              <w:jc w:val="center"/>
              <w:rPr>
                <w:color w:val="000000"/>
              </w:rPr>
            </w:pP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C5194D"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886BFC" w:rsidRDefault="00886BFC" w14:paraId="44F7CCB9" w14:textId="121E428A">
            <w:pPr>
              <w:keepNext/>
              <w:keepLines/>
              <w:tabs>
                <w:tab w:val="left" w:pos="360"/>
              </w:tabs>
              <w:ind w:left="360" w:hanging="360"/>
              <w:jc w:val="center"/>
              <w:rPr>
                <w:color w:val="000000"/>
              </w:rPr>
            </w:pPr>
            <w:r>
              <w:rPr>
                <w:color w:val="000000"/>
              </w:rPr>
              <w:t>09/27/2022</w:t>
            </w:r>
          </w:p>
        </w:tc>
        <w:tc>
          <w:tcPr>
            <w:tcW w:w="2276" w:type="dxa"/>
            <w:tcBorders>
              <w:bottom w:val="single" w:color="auto" w:sz="4" w:space="0"/>
            </w:tcBorders>
          </w:tcPr>
          <w:p w:rsidRPr="007F620E" w:rsidR="00A92D0B" w:rsidP="00F028C8" w:rsidRDefault="001F4141" w14:paraId="71759DE3" w14:textId="30C7A01F">
            <w:pPr>
              <w:tabs>
                <w:tab w:val="left" w:pos="360"/>
              </w:tabs>
              <w:jc w:val="both"/>
              <w:rPr>
                <w:color w:val="000000"/>
              </w:rPr>
            </w:pPr>
            <w:r>
              <w:rPr>
                <w:color w:val="000000"/>
              </w:rPr>
              <w:t>Verified</w:t>
            </w:r>
          </w:p>
        </w:tc>
      </w:tr>
      <w:tr w:rsidRPr="007F620E" w:rsidR="00A92D0B" w:rsidTr="00C5194D"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1F4141" w14:paraId="61DE2845" w14:textId="7A0E478C">
            <w:pPr>
              <w:tabs>
                <w:tab w:val="left" w:pos="360"/>
              </w:tabs>
              <w:rPr>
                <w:color w:val="000000"/>
              </w:rPr>
            </w:pPr>
            <w:r>
              <w:rPr>
                <w:color w:val="000000"/>
              </w:rPr>
              <w:t>Yes</w:t>
            </w:r>
          </w:p>
        </w:tc>
      </w:tr>
      <w:tr w:rsidRPr="007F620E" w:rsidR="00A92D0B" w:rsidTr="00C5194D"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C5194D"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886BFC" w:rsidRDefault="00886BFC" w14:paraId="13E72B6D" w14:textId="797BC1B5">
            <w:pPr>
              <w:keepNext/>
              <w:keepLines/>
              <w:tabs>
                <w:tab w:val="left" w:pos="360"/>
              </w:tabs>
              <w:ind w:left="360" w:hanging="360"/>
              <w:jc w:val="center"/>
              <w:rPr>
                <w:color w:val="000000"/>
              </w:rPr>
            </w:pPr>
            <w:r>
              <w:rPr>
                <w:color w:val="000000"/>
              </w:rPr>
              <w:t>A.21-12-007</w:t>
            </w:r>
          </w:p>
        </w:tc>
        <w:tc>
          <w:tcPr>
            <w:tcW w:w="2276" w:type="dxa"/>
            <w:tcBorders>
              <w:top w:val="single" w:color="auto" w:sz="4" w:space="0"/>
            </w:tcBorders>
          </w:tcPr>
          <w:p w:rsidRPr="007F620E" w:rsidR="00A92D0B" w:rsidP="00F028C8" w:rsidRDefault="001F4141" w14:paraId="2679B197" w14:textId="55EC4B2E">
            <w:pPr>
              <w:keepNext/>
              <w:keepLines/>
              <w:tabs>
                <w:tab w:val="left" w:pos="360"/>
              </w:tabs>
              <w:rPr>
                <w:color w:val="000000"/>
              </w:rPr>
            </w:pPr>
            <w:r>
              <w:rPr>
                <w:color w:val="000000"/>
              </w:rPr>
              <w:t>Verified</w:t>
            </w:r>
          </w:p>
        </w:tc>
      </w:tr>
      <w:tr w:rsidRPr="007F620E" w:rsidR="00A92D0B" w:rsidTr="00C5194D"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886BFC" w:rsidRDefault="00886BFC" w14:paraId="306125B9" w14:textId="7905CCAC">
            <w:pPr>
              <w:ind w:left="14" w:hanging="14"/>
              <w:jc w:val="center"/>
              <w:rPr>
                <w:color w:val="000000"/>
              </w:rPr>
            </w:pPr>
            <w:r>
              <w:rPr>
                <w:color w:val="000000"/>
              </w:rPr>
              <w:t>May 31, 2022</w:t>
            </w:r>
          </w:p>
        </w:tc>
        <w:tc>
          <w:tcPr>
            <w:tcW w:w="2276" w:type="dxa"/>
          </w:tcPr>
          <w:p w:rsidRPr="007F620E" w:rsidR="00A92D0B" w:rsidP="00F028C8" w:rsidRDefault="001F4141" w14:paraId="19F10313" w14:textId="24933F76">
            <w:pPr>
              <w:tabs>
                <w:tab w:val="left" w:pos="360"/>
              </w:tabs>
              <w:rPr>
                <w:color w:val="000000"/>
              </w:rPr>
            </w:pPr>
            <w:r>
              <w:rPr>
                <w:color w:val="000000"/>
              </w:rPr>
              <w:t>Verified</w:t>
            </w:r>
          </w:p>
        </w:tc>
      </w:tr>
      <w:tr w:rsidRPr="007F620E" w:rsidR="00A92D0B" w:rsidTr="00C5194D"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C5194D"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1F4141" w14:paraId="7D296E63" w14:textId="59432EBB">
            <w:pPr>
              <w:tabs>
                <w:tab w:val="left" w:pos="360"/>
              </w:tabs>
              <w:rPr>
                <w:color w:val="000000"/>
              </w:rPr>
            </w:pPr>
            <w:r>
              <w:rPr>
                <w:color w:val="000000"/>
              </w:rPr>
              <w:t>Yes</w:t>
            </w:r>
          </w:p>
        </w:tc>
      </w:tr>
      <w:tr w:rsidRPr="007F620E" w:rsidR="00A92D0B" w:rsidTr="00C5194D"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886BFC" w:rsidTr="00C5194D" w14:paraId="77F91856" w14:textId="77777777">
        <w:tc>
          <w:tcPr>
            <w:tcW w:w="4817" w:type="dxa"/>
            <w:tcBorders>
              <w:top w:val="single" w:color="auto" w:sz="4" w:space="0"/>
            </w:tcBorders>
          </w:tcPr>
          <w:p w:rsidRPr="007F620E" w:rsidR="00886BFC" w:rsidP="00886BFC" w:rsidRDefault="00886BFC" w14:paraId="6506E60E" w14:textId="7F0FF6A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67" w:type="dxa"/>
            <w:tcBorders>
              <w:top w:val="single" w:color="auto" w:sz="4" w:space="0"/>
            </w:tcBorders>
          </w:tcPr>
          <w:p w:rsidRPr="007F620E" w:rsidR="00886BFC" w:rsidP="00886BFC" w:rsidRDefault="00886BFC" w14:paraId="54B4911C" w14:textId="28DDFA57">
            <w:pPr>
              <w:tabs>
                <w:tab w:val="left" w:pos="360"/>
              </w:tabs>
              <w:ind w:left="14"/>
              <w:jc w:val="center"/>
              <w:rPr>
                <w:color w:val="000000"/>
              </w:rPr>
            </w:pPr>
            <w:r>
              <w:rPr>
                <w:color w:val="000000"/>
              </w:rPr>
              <w:t>A.21-12-007</w:t>
            </w:r>
          </w:p>
        </w:tc>
        <w:tc>
          <w:tcPr>
            <w:tcW w:w="2276" w:type="dxa"/>
            <w:tcBorders>
              <w:top w:val="single" w:color="auto" w:sz="4" w:space="0"/>
            </w:tcBorders>
          </w:tcPr>
          <w:p w:rsidRPr="007F620E" w:rsidR="00886BFC" w:rsidP="00886BFC" w:rsidRDefault="001F4141" w14:paraId="2E2FB9D6" w14:textId="08EBD1A4">
            <w:pPr>
              <w:tabs>
                <w:tab w:val="left" w:pos="360"/>
              </w:tabs>
              <w:rPr>
                <w:color w:val="000000"/>
              </w:rPr>
            </w:pPr>
            <w:r>
              <w:rPr>
                <w:color w:val="000000"/>
              </w:rPr>
              <w:t>Verified</w:t>
            </w:r>
          </w:p>
        </w:tc>
      </w:tr>
      <w:tr w:rsidRPr="007F620E" w:rsidR="00886BFC" w:rsidTr="00C5194D" w14:paraId="4AD750C1" w14:textId="77777777">
        <w:tc>
          <w:tcPr>
            <w:tcW w:w="4817" w:type="dxa"/>
          </w:tcPr>
          <w:p w:rsidRPr="007F620E" w:rsidR="00886BFC" w:rsidP="00886BFC" w:rsidRDefault="00886BFC" w14:paraId="2A279407" w14:textId="1E831EEE">
            <w:pPr>
              <w:ind w:left="360" w:hanging="360"/>
              <w:rPr>
                <w:color w:val="000000"/>
              </w:rPr>
            </w:pPr>
            <w:r w:rsidRPr="007F620E">
              <w:rPr>
                <w:color w:val="000000"/>
              </w:rPr>
              <w:t>10.</w:t>
            </w:r>
            <w:r>
              <w:rPr>
                <w:color w:val="000000"/>
              </w:rPr>
              <w:tab/>
            </w:r>
            <w:r w:rsidRPr="007F620E">
              <w:rPr>
                <w:color w:val="000000"/>
              </w:rPr>
              <w:t>Date of ALJ ruling:</w:t>
            </w:r>
          </w:p>
        </w:tc>
        <w:tc>
          <w:tcPr>
            <w:tcW w:w="2267" w:type="dxa"/>
          </w:tcPr>
          <w:p w:rsidRPr="007F620E" w:rsidR="00886BFC" w:rsidP="00886BFC" w:rsidRDefault="00886BFC" w14:paraId="4B66A2E4" w14:textId="485210C0">
            <w:pPr>
              <w:tabs>
                <w:tab w:val="left" w:pos="360"/>
              </w:tabs>
              <w:ind w:left="360" w:hanging="360"/>
              <w:jc w:val="center"/>
              <w:rPr>
                <w:color w:val="000000"/>
              </w:rPr>
            </w:pPr>
            <w:r>
              <w:rPr>
                <w:color w:val="000000"/>
              </w:rPr>
              <w:t>May 31, 2022</w:t>
            </w:r>
          </w:p>
        </w:tc>
        <w:tc>
          <w:tcPr>
            <w:tcW w:w="2276" w:type="dxa"/>
          </w:tcPr>
          <w:p w:rsidRPr="007F620E" w:rsidR="00886BFC" w:rsidP="00886BFC" w:rsidRDefault="001F4141" w14:paraId="3B83D035" w14:textId="339F5FB3">
            <w:pPr>
              <w:tabs>
                <w:tab w:val="left" w:pos="360"/>
              </w:tabs>
              <w:rPr>
                <w:color w:val="000000"/>
              </w:rPr>
            </w:pPr>
            <w:r>
              <w:rPr>
                <w:color w:val="000000"/>
              </w:rPr>
              <w:t>Verified</w:t>
            </w:r>
          </w:p>
        </w:tc>
      </w:tr>
      <w:tr w:rsidRPr="007F620E" w:rsidR="00357F1A" w:rsidTr="00C5194D" w14:paraId="7C183C5E" w14:textId="77777777">
        <w:tc>
          <w:tcPr>
            <w:tcW w:w="4817"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7F620E" w:rsidR="00357F1A" w:rsidP="00F028C8" w:rsidRDefault="00357F1A" w14:paraId="141EB5CF" w14:textId="77777777">
            <w:pPr>
              <w:tabs>
                <w:tab w:val="left" w:pos="360"/>
              </w:tabs>
              <w:ind w:left="360" w:hanging="360"/>
              <w:rPr>
                <w:color w:val="000000"/>
              </w:rPr>
            </w:pPr>
          </w:p>
        </w:tc>
        <w:tc>
          <w:tcPr>
            <w:tcW w:w="2276" w:type="dxa"/>
          </w:tcPr>
          <w:p w:rsidRPr="007F620E" w:rsidR="00357F1A" w:rsidP="00F028C8" w:rsidRDefault="00357F1A" w14:paraId="79318715" w14:textId="77777777">
            <w:pPr>
              <w:tabs>
                <w:tab w:val="left" w:pos="360"/>
              </w:tabs>
              <w:rPr>
                <w:color w:val="000000"/>
              </w:rPr>
            </w:pPr>
          </w:p>
        </w:tc>
      </w:tr>
      <w:tr w:rsidRPr="007F620E" w:rsidR="00A92D0B" w:rsidTr="00C5194D" w14:paraId="4E8D20BF" w14:textId="77777777">
        <w:tc>
          <w:tcPr>
            <w:tcW w:w="7084"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276" w:type="dxa"/>
            <w:tcBorders>
              <w:bottom w:val="single" w:color="auto" w:sz="4" w:space="0"/>
            </w:tcBorders>
          </w:tcPr>
          <w:p w:rsidRPr="007F620E" w:rsidR="00A92D0B" w:rsidP="00F028C8" w:rsidRDefault="001F4141" w14:paraId="0F29B839" w14:textId="6ED3896E">
            <w:pPr>
              <w:tabs>
                <w:tab w:val="left" w:pos="360"/>
              </w:tabs>
              <w:rPr>
                <w:color w:val="000000"/>
              </w:rPr>
            </w:pPr>
            <w:r>
              <w:rPr>
                <w:color w:val="000000"/>
              </w:rPr>
              <w:t>Yes</w:t>
            </w:r>
          </w:p>
        </w:tc>
      </w:tr>
      <w:tr w:rsidRPr="007F620E" w:rsidR="00A92D0B" w:rsidTr="00C5194D"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C5194D"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0027BC" w:rsidRDefault="000027BC" w14:paraId="7166F318" w14:textId="6CF3F903">
            <w:pPr>
              <w:tabs>
                <w:tab w:val="left" w:pos="360"/>
              </w:tabs>
              <w:jc w:val="center"/>
              <w:rPr>
                <w:color w:val="000000"/>
              </w:rPr>
            </w:pPr>
            <w:r>
              <w:rPr>
                <w:color w:val="000000"/>
              </w:rPr>
              <w:t>D.25-</w:t>
            </w:r>
            <w:r w:rsidR="00886BFC">
              <w:rPr>
                <w:color w:val="000000"/>
              </w:rPr>
              <w:t>08-049</w:t>
            </w:r>
            <w:r w:rsidR="0024771D">
              <w:rPr>
                <w:color w:val="000000"/>
              </w:rPr>
              <w:t xml:space="preserve">, </w:t>
            </w:r>
            <w:r w:rsidRPr="008A0FAF" w:rsidR="0024771D">
              <w:rPr>
                <w:i/>
                <w:iCs/>
                <w:color w:val="000000"/>
              </w:rPr>
              <w:t>See</w:t>
            </w:r>
            <w:r w:rsidR="0024771D">
              <w:rPr>
                <w:color w:val="000000"/>
              </w:rPr>
              <w:t xml:space="preserve"> Comment #1</w:t>
            </w:r>
          </w:p>
        </w:tc>
        <w:tc>
          <w:tcPr>
            <w:tcW w:w="2276" w:type="dxa"/>
            <w:tcBorders>
              <w:top w:val="single" w:color="auto" w:sz="4" w:space="0"/>
            </w:tcBorders>
          </w:tcPr>
          <w:p w:rsidRPr="007F620E" w:rsidR="00A92D0B" w:rsidP="00F028C8" w:rsidRDefault="001F4141" w14:paraId="1588DC54" w14:textId="630895D7">
            <w:pPr>
              <w:tabs>
                <w:tab w:val="left" w:pos="360"/>
              </w:tabs>
              <w:rPr>
                <w:color w:val="000000"/>
              </w:rPr>
            </w:pPr>
            <w:r>
              <w:rPr>
                <w:color w:val="000000"/>
              </w:rPr>
              <w:t>Verified</w:t>
            </w:r>
          </w:p>
        </w:tc>
      </w:tr>
      <w:tr w:rsidRPr="007F620E" w:rsidR="00A92D0B" w:rsidTr="00C5194D"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0027BC" w:rsidRDefault="00886BFC" w14:paraId="20455B5F" w14:textId="568B9485">
            <w:pPr>
              <w:tabs>
                <w:tab w:val="left" w:pos="360"/>
              </w:tabs>
              <w:jc w:val="center"/>
              <w:rPr>
                <w:color w:val="000000"/>
              </w:rPr>
            </w:pPr>
            <w:r>
              <w:rPr>
                <w:color w:val="000000"/>
              </w:rPr>
              <w:t>08/29/2025</w:t>
            </w:r>
          </w:p>
        </w:tc>
        <w:tc>
          <w:tcPr>
            <w:tcW w:w="2276" w:type="dxa"/>
          </w:tcPr>
          <w:p w:rsidRPr="007F620E" w:rsidR="00A92D0B" w:rsidP="00F028C8" w:rsidRDefault="001F4141" w14:paraId="1FCF00DD" w14:textId="4810D27E">
            <w:pPr>
              <w:tabs>
                <w:tab w:val="left" w:pos="360"/>
              </w:tabs>
              <w:rPr>
                <w:color w:val="000000"/>
              </w:rPr>
            </w:pPr>
            <w:r>
              <w:rPr>
                <w:color w:val="000000"/>
              </w:rPr>
              <w:t>Verified</w:t>
            </w:r>
          </w:p>
        </w:tc>
      </w:tr>
      <w:tr w:rsidRPr="007F620E" w:rsidR="00A92D0B" w:rsidTr="00C5194D"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0027BC" w:rsidRDefault="00886BFC" w14:paraId="0568B39D" w14:textId="65FD6E3C">
            <w:pPr>
              <w:tabs>
                <w:tab w:val="left" w:pos="360"/>
              </w:tabs>
              <w:jc w:val="center"/>
              <w:rPr>
                <w:color w:val="000000"/>
              </w:rPr>
            </w:pPr>
            <w:r>
              <w:rPr>
                <w:color w:val="000000"/>
              </w:rPr>
              <w:t>10/27/2025</w:t>
            </w:r>
          </w:p>
        </w:tc>
        <w:tc>
          <w:tcPr>
            <w:tcW w:w="2276" w:type="dxa"/>
          </w:tcPr>
          <w:p w:rsidRPr="007F620E" w:rsidR="00A92D0B" w:rsidP="00F028C8" w:rsidRDefault="001F4141" w14:paraId="1CBF4E7A" w14:textId="0A50A50E">
            <w:pPr>
              <w:tabs>
                <w:tab w:val="left" w:pos="360"/>
              </w:tabs>
              <w:rPr>
                <w:color w:val="000000"/>
              </w:rPr>
            </w:pPr>
            <w:r>
              <w:rPr>
                <w:color w:val="000000"/>
              </w:rPr>
              <w:t>Verified</w:t>
            </w:r>
          </w:p>
        </w:tc>
      </w:tr>
      <w:tr w:rsidRPr="007F620E" w:rsidR="00A92D0B" w:rsidTr="00C5194D"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proofErr w:type="gramStart"/>
            <w:r w:rsidRPr="007F620E">
              <w:rPr>
                <w:color w:val="000000"/>
              </w:rPr>
              <w:t>16</w:t>
            </w:r>
            <w:r w:rsidR="001E7EE2">
              <w:rPr>
                <w:color w:val="000000"/>
              </w:rPr>
              <w:t>.</w:t>
            </w:r>
            <w:r w:rsidR="001E7EE2">
              <w:rPr>
                <w:color w:val="000000"/>
              </w:rPr>
              <w:tab/>
            </w:r>
            <w:r w:rsidRPr="007F620E">
              <w:rPr>
                <w:color w:val="000000"/>
              </w:rPr>
              <w:t>Was</w:t>
            </w:r>
            <w:proofErr w:type="gramEnd"/>
            <w:r w:rsidRPr="007F620E">
              <w:rPr>
                <w:color w:val="000000"/>
              </w:rPr>
              <w:t xml:space="preserve"> the request for compensation timely?</w:t>
            </w:r>
          </w:p>
        </w:tc>
        <w:tc>
          <w:tcPr>
            <w:tcW w:w="2276" w:type="dxa"/>
          </w:tcPr>
          <w:p w:rsidRPr="007F620E" w:rsidR="00A92D0B" w:rsidP="00F028C8" w:rsidRDefault="001F4141" w14:paraId="2EA30E63" w14:textId="633306B0">
            <w:pPr>
              <w:tabs>
                <w:tab w:val="left" w:pos="360"/>
              </w:tabs>
              <w:rPr>
                <w:color w:val="000000"/>
              </w:rPr>
            </w:pPr>
            <w:r>
              <w:rPr>
                <w:color w:val="000000"/>
              </w:rPr>
              <w:t>Yes</w:t>
            </w:r>
          </w:p>
        </w:tc>
      </w:tr>
    </w:tbl>
    <w:p w:rsidRPr="007F620E" w:rsidR="00A92D0B" w:rsidP="00880855" w:rsidRDefault="00A92D0B" w14:paraId="0068592B" w14:textId="13C4FFBF">
      <w:pPr>
        <w:keepNext/>
        <w:numPr>
          <w:ilvl w:val="0"/>
          <w:numId w:val="5"/>
        </w:numPr>
        <w:spacing w:before="240" w:after="240"/>
        <w:rPr>
          <w:b/>
          <w:color w:val="000000"/>
        </w:rPr>
      </w:pPr>
      <w:r w:rsidRPr="007F620E">
        <w:rPr>
          <w:b/>
          <w:color w:val="000000"/>
        </w:rPr>
        <w:lastRenderedPageBreak/>
        <w:t>Additional Comments on Part I</w:t>
      </w:r>
      <w:r w:rsidR="00C02649">
        <w:rPr>
          <w:b/>
          <w:color w:val="000000"/>
        </w:rPr>
        <w:t>:</w:t>
      </w:r>
      <w:r w:rsidRPr="007F620E">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7F620E" w:rsidR="003C608A" w:rsidTr="00C5194D"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C5194D" w14:paraId="1C6180A4" w14:textId="77777777">
        <w:trPr>
          <w:trHeight w:val="310"/>
        </w:trPr>
        <w:tc>
          <w:tcPr>
            <w:tcW w:w="860" w:type="dxa"/>
          </w:tcPr>
          <w:p w:rsidRPr="007F620E" w:rsidR="003C608A" w:rsidP="007056FC" w:rsidRDefault="0024771D" w14:paraId="4350D384" w14:textId="66A4C7C5">
            <w:pPr>
              <w:tabs>
                <w:tab w:val="left" w:pos="360"/>
              </w:tabs>
              <w:rPr>
                <w:color w:val="000000"/>
              </w:rPr>
            </w:pPr>
            <w:r>
              <w:rPr>
                <w:color w:val="000000"/>
              </w:rPr>
              <w:t>1</w:t>
            </w:r>
          </w:p>
        </w:tc>
        <w:tc>
          <w:tcPr>
            <w:tcW w:w="3759" w:type="dxa"/>
          </w:tcPr>
          <w:p w:rsidRPr="00DE1FA6" w:rsidR="0098275B" w:rsidP="003B57AB" w:rsidRDefault="0098275B" w14:paraId="4BE2B47D" w14:textId="2CEADD4C">
            <w:pPr>
              <w:tabs>
                <w:tab w:val="left" w:pos="360"/>
              </w:tabs>
              <w:spacing w:before="100" w:beforeAutospacing="1" w:after="100" w:afterAutospacing="1"/>
              <w:rPr>
                <w:color w:val="000000"/>
              </w:rPr>
            </w:pPr>
            <w:r w:rsidRPr="00DE1FA6">
              <w:rPr>
                <w:color w:val="000000"/>
              </w:rPr>
              <w:t>TURN’s compensation request involves hours related to the implementation Advice Letters filed by the three major Investor-Owned Utilities for the implementation of changes adopted in D.24-05-028 (in R</w:t>
            </w:r>
            <w:r w:rsidR="008A0FAF">
              <w:rPr>
                <w:color w:val="000000"/>
              </w:rPr>
              <w:t xml:space="preserve">ulemaking (R.) </w:t>
            </w:r>
            <w:r w:rsidRPr="00DE1FA6">
              <w:rPr>
                <w:color w:val="000000"/>
              </w:rPr>
              <w:t xml:space="preserve">22-07-005). The Commission resolved the concerns raised by TURN in an August 19, </w:t>
            </w:r>
            <w:proofErr w:type="gramStart"/>
            <w:r w:rsidRPr="00DE1FA6">
              <w:rPr>
                <w:color w:val="000000"/>
              </w:rPr>
              <w:t>2025</w:t>
            </w:r>
            <w:proofErr w:type="gramEnd"/>
            <w:r w:rsidRPr="00DE1FA6">
              <w:rPr>
                <w:color w:val="000000"/>
              </w:rPr>
              <w:t xml:space="preserve"> disposition letter of SDG&amp;E AL 4582-E and in Resolution </w:t>
            </w:r>
            <w:r w:rsidR="008A0FAF">
              <w:rPr>
                <w:color w:val="000000"/>
              </w:rPr>
              <w:br/>
            </w:r>
            <w:r w:rsidRPr="00DE1FA6">
              <w:rPr>
                <w:color w:val="000000"/>
              </w:rPr>
              <w:t xml:space="preserve">E-5354 (PG&amp;E), Resolution E-5356 (SCE), and Resolution R-5355 (SDG&amp;E).  While TURN’s substantial contributions relate to the implementation of D.24-05-028, this work occurred too late to include in the filing of a compensation request on </w:t>
            </w:r>
            <w:r w:rsidR="008A0FAF">
              <w:rPr>
                <w:color w:val="000000"/>
              </w:rPr>
              <w:br/>
            </w:r>
            <w:r w:rsidRPr="00DE1FA6">
              <w:rPr>
                <w:color w:val="000000"/>
              </w:rPr>
              <w:t xml:space="preserve">D.24-05-028. </w:t>
            </w:r>
          </w:p>
          <w:p w:rsidRPr="00DE1FA6" w:rsidR="009A4818" w:rsidP="003B57AB" w:rsidRDefault="0024771D" w14:paraId="482512F5" w14:textId="5700EC4F">
            <w:pPr>
              <w:tabs>
                <w:tab w:val="left" w:pos="360"/>
              </w:tabs>
              <w:spacing w:before="100" w:beforeAutospacing="1" w:after="100" w:afterAutospacing="1"/>
              <w:rPr>
                <w:color w:val="000000"/>
              </w:rPr>
            </w:pPr>
            <w:r w:rsidRPr="00DE1FA6">
              <w:rPr>
                <w:color w:val="000000"/>
              </w:rPr>
              <w:t xml:space="preserve">D.25-08-049 closed the </w:t>
            </w:r>
            <w:r w:rsidRPr="00DE1FA6" w:rsidR="003A0391">
              <w:rPr>
                <w:color w:val="000000"/>
              </w:rPr>
              <w:t xml:space="preserve">proceeding (Ordering Paragraph 8). </w:t>
            </w:r>
            <w:r w:rsidRPr="00DE1FA6" w:rsidR="009A4818">
              <w:rPr>
                <w:color w:val="000000"/>
              </w:rPr>
              <w:t xml:space="preserve">Pursuant to CPUC Rule 17.3, a request for an award of compensation shall be filed “in event later than 60 days after the </w:t>
            </w:r>
            <w:proofErr w:type="gramStart"/>
            <w:r w:rsidRPr="00DE1FA6" w:rsidR="009A4818">
              <w:rPr>
                <w:color w:val="000000"/>
              </w:rPr>
              <w:t>issuance</w:t>
            </w:r>
            <w:proofErr w:type="gramEnd"/>
            <w:r w:rsidRPr="00DE1FA6" w:rsidR="009A4818">
              <w:rPr>
                <w:color w:val="000000"/>
              </w:rPr>
              <w:t xml:space="preserve"> of the decision closing the </w:t>
            </w:r>
            <w:proofErr w:type="gramStart"/>
            <w:r w:rsidRPr="00DE1FA6" w:rsidR="009A4818">
              <w:rPr>
                <w:color w:val="000000"/>
              </w:rPr>
              <w:t>proceeding.”</w:t>
            </w:r>
            <w:proofErr w:type="gramEnd"/>
          </w:p>
          <w:p w:rsidRPr="00DE1FA6" w:rsidR="00E162FE" w:rsidP="003B57AB" w:rsidRDefault="005C416B" w14:paraId="0ECF4A98" w14:textId="17E6E2D3">
            <w:pPr>
              <w:tabs>
                <w:tab w:val="left" w:pos="360"/>
              </w:tabs>
              <w:spacing w:before="100" w:beforeAutospacing="1" w:after="100" w:afterAutospacing="1"/>
              <w:rPr>
                <w:color w:val="000000"/>
                <w:highlight w:val="yellow"/>
              </w:rPr>
            </w:pPr>
            <w:r w:rsidRPr="00DE1FA6">
              <w:rPr>
                <w:color w:val="000000"/>
              </w:rPr>
              <w:t xml:space="preserve">Since these Resolutions all address issues within the scope of </w:t>
            </w:r>
            <w:r w:rsidR="008A0FAF">
              <w:rPr>
                <w:color w:val="000000"/>
              </w:rPr>
              <w:br/>
            </w:r>
            <w:r w:rsidRPr="00DE1FA6">
              <w:rPr>
                <w:color w:val="000000"/>
              </w:rPr>
              <w:t xml:space="preserve">R.22-07-005 (and required by </w:t>
            </w:r>
            <w:r w:rsidR="008A0FAF">
              <w:rPr>
                <w:color w:val="000000"/>
              </w:rPr>
              <w:br/>
            </w:r>
            <w:r w:rsidRPr="00DE1FA6">
              <w:rPr>
                <w:color w:val="000000"/>
              </w:rPr>
              <w:t xml:space="preserve">D.24-05-028), TURN submits that the closure of the proceeding represents an appropriate </w:t>
            </w:r>
            <w:r w:rsidRPr="00DE1FA6" w:rsidR="00DE1FA6">
              <w:rPr>
                <w:color w:val="000000"/>
              </w:rPr>
              <w:t xml:space="preserve">and lawful </w:t>
            </w:r>
            <w:r w:rsidRPr="00DE1FA6">
              <w:rPr>
                <w:color w:val="000000"/>
              </w:rPr>
              <w:t xml:space="preserve">trigger for the filing of this compensation request. </w:t>
            </w:r>
          </w:p>
        </w:tc>
        <w:tc>
          <w:tcPr>
            <w:tcW w:w="4741" w:type="dxa"/>
          </w:tcPr>
          <w:p w:rsidRPr="007F620E" w:rsidR="003C608A" w:rsidP="007056FC" w:rsidRDefault="001F4141" w14:paraId="416D6250" w14:textId="63D9D93B">
            <w:pPr>
              <w:tabs>
                <w:tab w:val="left" w:pos="360"/>
              </w:tabs>
              <w:rPr>
                <w:color w:val="000000"/>
              </w:rPr>
            </w:pPr>
            <w:r>
              <w:rPr>
                <w:color w:val="000000"/>
              </w:rPr>
              <w:t>Noted</w:t>
            </w:r>
          </w:p>
        </w:tc>
      </w:tr>
    </w:tbl>
    <w:p w:rsidR="00C15200" w:rsidP="00977337" w:rsidRDefault="00C15200" w14:paraId="34AE2A49" w14:textId="77777777">
      <w:pPr>
        <w:keepNext/>
        <w:keepLines/>
        <w:spacing w:before="480"/>
        <w:contextualSpacing/>
        <w:jc w:val="center"/>
        <w:rPr>
          <w:b/>
          <w:color w:val="000000"/>
        </w:rPr>
      </w:pPr>
    </w:p>
    <w:p w:rsidR="003B6A1B" w:rsidP="00883B29" w:rsidRDefault="00A92D0B" w14:paraId="501B5F3D" w14:textId="524ED0D4">
      <w:pPr>
        <w:keepNext/>
        <w:keepLines/>
        <w:spacing w:before="480"/>
        <w:contextualSpacing/>
        <w:jc w:val="center"/>
        <w:rPr>
          <w:b/>
          <w:color w:val="000000"/>
        </w:rPr>
      </w:pPr>
      <w:r w:rsidRPr="007F620E">
        <w:rPr>
          <w:b/>
          <w:color w:val="000000"/>
        </w:rPr>
        <w:t>PART II</w:t>
      </w:r>
      <w:proofErr w:type="gramStart"/>
      <w:r w:rsidRPr="007F620E">
        <w:rPr>
          <w:b/>
          <w:color w:val="000000"/>
        </w:rPr>
        <w:t>:</w:t>
      </w:r>
      <w:r w:rsidR="00D1778A">
        <w:rPr>
          <w:b/>
          <w:color w:val="000000"/>
        </w:rPr>
        <w:t xml:space="preserve">  </w:t>
      </w:r>
      <w:r w:rsidRPr="007F620E">
        <w:rPr>
          <w:b/>
          <w:color w:val="000000"/>
        </w:rPr>
        <w:t>SUBSTANTIAL</w:t>
      </w:r>
      <w:proofErr w:type="gramEnd"/>
      <w:r w:rsidRPr="007F620E">
        <w:rPr>
          <w:b/>
          <w:color w:val="000000"/>
        </w:rPr>
        <w:t xml:space="preserve"> CONTRIBUTION</w:t>
      </w:r>
    </w:p>
    <w:p w:rsidR="00883B29" w:rsidP="00883B29" w:rsidRDefault="00883B29" w14:paraId="41540D3C" w14:textId="77777777">
      <w:pPr>
        <w:keepNext/>
        <w:keepLines/>
        <w:spacing w:before="480"/>
        <w:contextualSpacing/>
        <w:jc w:val="center"/>
        <w:rPr>
          <w:b/>
          <w:color w:val="000000"/>
        </w:rPr>
      </w:pPr>
    </w:p>
    <w:p w:rsidR="002E62DB" w:rsidP="00DF2616" w:rsidRDefault="00D075B1" w14:paraId="06603EA6" w14:textId="5CFB05CE">
      <w:pPr>
        <w:keepNext/>
        <w:keepLines/>
        <w:numPr>
          <w:ilvl w:val="0"/>
          <w:numId w:val="8"/>
        </w:numPr>
        <w:contextualSpacing/>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p w:rsidRPr="00C15200" w:rsidR="00C15200" w:rsidP="00C15200" w:rsidRDefault="00C15200" w14:paraId="06851EFF" w14:textId="77777777">
      <w:pPr>
        <w:keepNext/>
        <w:keepLines/>
        <w:spacing w:before="240" w:after="240"/>
        <w:ind w:left="360"/>
        <w:contextualSpacing/>
        <w:rPr>
          <w:b/>
          <w:color w:val="000000"/>
        </w:rPr>
      </w:pPr>
    </w:p>
    <w:tbl>
      <w:tblPr>
        <w:tblStyle w:val="TableGrid"/>
        <w:tblW w:w="9355" w:type="dxa"/>
        <w:tblLook w:val="04A0" w:firstRow="1" w:lastRow="0" w:firstColumn="1" w:lastColumn="0" w:noHBand="0" w:noVBand="1"/>
      </w:tblPr>
      <w:tblGrid>
        <w:gridCol w:w="3145"/>
        <w:gridCol w:w="4140"/>
        <w:gridCol w:w="2070"/>
      </w:tblGrid>
      <w:tr w:rsidRPr="00EC0590" w:rsidR="002E62DB" w:rsidTr="00760850" w14:paraId="0C2E8D96" w14:textId="77777777">
        <w:tc>
          <w:tcPr>
            <w:tcW w:w="3145" w:type="dxa"/>
            <w:shd w:val="clear" w:color="auto" w:fill="DFDFDF"/>
          </w:tcPr>
          <w:p w:rsidRPr="00EC0590" w:rsidR="002E62DB" w:rsidP="002E62DB" w:rsidRDefault="002E62DB" w14:paraId="289782DF" w14:textId="77777777">
            <w:pPr>
              <w:jc w:val="center"/>
            </w:pPr>
            <w:r w:rsidRPr="00EC0590">
              <w:rPr>
                <w:b/>
                <w:color w:val="000000"/>
              </w:rPr>
              <w:t>Intervenor’s Claimed Contribution(s)</w:t>
            </w:r>
          </w:p>
        </w:tc>
        <w:tc>
          <w:tcPr>
            <w:tcW w:w="4140" w:type="dxa"/>
            <w:shd w:val="clear" w:color="auto" w:fill="DFDFDF"/>
          </w:tcPr>
          <w:p w:rsidRPr="00EC0590" w:rsidR="002E62DB" w:rsidP="002E62DB" w:rsidRDefault="002E62DB" w14:paraId="578479AE" w14:textId="77777777">
            <w:pPr>
              <w:jc w:val="center"/>
            </w:pPr>
            <w:r w:rsidRPr="00EC0590">
              <w:rPr>
                <w:b/>
                <w:color w:val="000000"/>
              </w:rPr>
              <w:t>Specific References to Intervenor’s Claimed Contribution(s)</w:t>
            </w:r>
          </w:p>
        </w:tc>
        <w:tc>
          <w:tcPr>
            <w:tcW w:w="2070" w:type="dxa"/>
            <w:shd w:val="clear" w:color="auto" w:fill="DFDFDF"/>
          </w:tcPr>
          <w:p w:rsidRPr="00EC0590" w:rsidR="002E62DB" w:rsidP="002E62DB" w:rsidRDefault="002E62DB" w14:paraId="103CEBCB" w14:textId="77777777">
            <w:pPr>
              <w:jc w:val="center"/>
            </w:pPr>
            <w:r w:rsidRPr="00EC0590">
              <w:rPr>
                <w:b/>
                <w:color w:val="000000"/>
              </w:rPr>
              <w:t>CPUC Discussion</w:t>
            </w:r>
          </w:p>
        </w:tc>
      </w:tr>
      <w:tr w:rsidRPr="00EC0590" w:rsidR="002E62DB" w:rsidTr="00C2265F" w14:paraId="080CBA23" w14:textId="77777777">
        <w:tc>
          <w:tcPr>
            <w:tcW w:w="3145" w:type="dxa"/>
          </w:tcPr>
          <w:p w:rsidRPr="00EC0590" w:rsidR="002E62DB" w:rsidP="002E62DB" w:rsidRDefault="002E62DB" w14:paraId="70FA67DD" w14:textId="77777777">
            <w:pPr>
              <w:pStyle w:val="ListParagraph"/>
              <w:numPr>
                <w:ilvl w:val="0"/>
                <w:numId w:val="11"/>
              </w:numPr>
              <w:ind w:left="0" w:firstLine="0"/>
              <w:contextualSpacing/>
              <w:rPr>
                <w:rFonts w:ascii="Times New Roman" w:hAnsi="Times New Roman"/>
                <w:b/>
                <w:bCs/>
              </w:rPr>
            </w:pPr>
            <w:r w:rsidRPr="00EC0590">
              <w:rPr>
                <w:rFonts w:ascii="Times New Roman" w:hAnsi="Times New Roman"/>
                <w:b/>
                <w:bCs/>
              </w:rPr>
              <w:t>SDG&amp;E AVERAGE EFFECTIVE CARE DISCOUNT</w:t>
            </w:r>
          </w:p>
          <w:p w:rsidRPr="00EC0590" w:rsidR="002E62DB" w:rsidP="002E62DB" w:rsidRDefault="002E62DB" w14:paraId="516F8837" w14:textId="77777777"/>
          <w:p w:rsidRPr="00EC0590" w:rsidR="002E62DB" w:rsidP="002E62DB" w:rsidRDefault="002E62DB" w14:paraId="3EC9746E" w14:textId="77777777">
            <w:r w:rsidRPr="00EC0590">
              <w:t xml:space="preserve">TURN filed protests to two Advice Letters filed by SDG&amp;E implementing changes to the CARE discount methodology pursuant to D.24-05-028. The protests explained that SDG&amp;E inappropriately sought to use the Advice Letter process </w:t>
            </w:r>
            <w:proofErr w:type="gramStart"/>
            <w:r w:rsidRPr="00EC0590">
              <w:t>reduce</w:t>
            </w:r>
            <w:proofErr w:type="gramEnd"/>
            <w:r w:rsidRPr="00EC0590">
              <w:t xml:space="preserve"> the average effective CARE discount from 35% (authorized in D.15-07-001) to 32.5%. TURN argued that SDG&amp;E had not indicated an intent to reduce the CARE discount in R.22-07-005 and nothing in D.24-05-028 authorized SDG&amp;E to reduce its CARE discount percentage. The protest explains that any changes to the “average effective CARE discount” should occur in a relevant Commission proceeding where parties can litigate the reasonableness of the proposal. </w:t>
            </w:r>
          </w:p>
          <w:p w:rsidRPr="00EC0590" w:rsidR="002E62DB" w:rsidP="002E62DB" w:rsidRDefault="002E62DB" w14:paraId="5184809E" w14:textId="77777777"/>
          <w:p w:rsidRPr="00EC0590" w:rsidR="002E62DB" w:rsidP="002E62DB" w:rsidRDefault="002E62DB" w14:paraId="63471360" w14:textId="0F987067">
            <w:r w:rsidRPr="00EC0590">
              <w:t xml:space="preserve">In response to TURN’s protests, SDG&amp;E agreed to revise its original proposal by retaining its previously authorized 35% CARE discount subject to the new </w:t>
            </w:r>
            <w:r w:rsidRPr="00EC0590">
              <w:lastRenderedPageBreak/>
              <w:t xml:space="preserve">methodology adopted </w:t>
            </w:r>
            <w:proofErr w:type="gramStart"/>
            <w:r w:rsidRPr="00EC0590">
              <w:t>in</w:t>
            </w:r>
            <w:proofErr w:type="gramEnd"/>
            <w:r w:rsidRPr="00EC0590">
              <w:t xml:space="preserve"> D.24-05-028. This revision fully addressed TURN’s stated concerns. The Commission’s disposition letter explained that SDG&amp;E initially “misinterpreted” the direction provided in </w:t>
            </w:r>
            <w:r w:rsidR="008A0FAF">
              <w:br/>
            </w:r>
            <w:r w:rsidRPr="00EC0590">
              <w:t>D.24-05-028 and that Energy Division staff met with SDG&amp;E after TURN’s protest “to help clarify SDG&amp;E’s understanding of the correct formulation of the discount.” (ED disposition letter of SDG&amp;E AL 4572-E, Attachment 1, page 3). After submitting a revised proposal made by SDG&amp;E in response to TURN’s protest, the Energy Division approved SDG&amp;E Advice Letters 4572-E-A and 4582-E-A.</w:t>
            </w:r>
          </w:p>
        </w:tc>
        <w:tc>
          <w:tcPr>
            <w:tcW w:w="4140" w:type="dxa"/>
          </w:tcPr>
          <w:p w:rsidRPr="00EC0590" w:rsidR="002E62DB" w:rsidP="002E62DB" w:rsidRDefault="002E62DB" w14:paraId="38BF2BE2" w14:textId="77777777">
            <w:pPr>
              <w:rPr>
                <w:color w:val="000000"/>
              </w:rPr>
            </w:pPr>
          </w:p>
          <w:p w:rsidRPr="00EC0590" w:rsidR="002E62DB" w:rsidP="002E62DB" w:rsidRDefault="002E62DB" w14:paraId="1903470F" w14:textId="77777777">
            <w:pPr>
              <w:rPr>
                <w:color w:val="000000"/>
              </w:rPr>
            </w:pPr>
          </w:p>
          <w:p w:rsidRPr="00EC0590" w:rsidR="002E62DB" w:rsidP="002E62DB" w:rsidRDefault="002E62DB" w14:paraId="2DC9C8A4" w14:textId="77777777">
            <w:pPr>
              <w:rPr>
                <w:color w:val="000000"/>
              </w:rPr>
            </w:pPr>
          </w:p>
          <w:p w:rsidRPr="00EC0590" w:rsidR="002E62DB" w:rsidP="002E62DB" w:rsidRDefault="002E62DB" w14:paraId="31230C47" w14:textId="77777777">
            <w:pPr>
              <w:rPr>
                <w:color w:val="000000"/>
              </w:rPr>
            </w:pPr>
          </w:p>
          <w:p w:rsidRPr="00EC0590" w:rsidR="002E62DB" w:rsidP="002E62DB" w:rsidRDefault="002E62DB" w14:paraId="289ACB53" w14:textId="77777777">
            <w:pPr>
              <w:rPr>
                <w:color w:val="000000"/>
              </w:rPr>
            </w:pPr>
          </w:p>
          <w:p w:rsidRPr="00EC0590" w:rsidR="002E62DB" w:rsidP="002E62DB" w:rsidRDefault="002E62DB" w14:paraId="5576E639" w14:textId="77777777">
            <w:pPr>
              <w:rPr>
                <w:color w:val="000000"/>
              </w:rPr>
            </w:pPr>
          </w:p>
          <w:p w:rsidRPr="00EC0590" w:rsidR="002E62DB" w:rsidP="002E62DB" w:rsidRDefault="002E62DB" w14:paraId="4D6B05F4" w14:textId="77777777">
            <w:pPr>
              <w:rPr>
                <w:color w:val="000000"/>
                <w:u w:val="single"/>
              </w:rPr>
            </w:pPr>
            <w:r w:rsidRPr="00EC0590">
              <w:rPr>
                <w:color w:val="000000"/>
                <w:u w:val="single"/>
              </w:rPr>
              <w:t>TURN protest to SDG&amp;E Advice Letter 4572-E, December 30, 2024</w:t>
            </w:r>
          </w:p>
          <w:p w:rsidRPr="00EC0590" w:rsidR="002E62DB" w:rsidP="002E62DB" w:rsidRDefault="002E62DB" w14:paraId="1DD0350A" w14:textId="77777777">
            <w:pPr>
              <w:rPr>
                <w:color w:val="000000"/>
                <w:u w:val="single"/>
              </w:rPr>
            </w:pPr>
          </w:p>
          <w:p w:rsidRPr="00EC0590" w:rsidR="002E62DB" w:rsidP="002E62DB" w:rsidRDefault="002E62DB" w14:paraId="578F7A7A" w14:textId="77777777">
            <w:pPr>
              <w:rPr>
                <w:color w:val="000000"/>
                <w:u w:val="single"/>
              </w:rPr>
            </w:pPr>
            <w:r w:rsidRPr="00EC0590">
              <w:rPr>
                <w:color w:val="000000"/>
                <w:u w:val="single"/>
              </w:rPr>
              <w:t>TURN protest to SDG&amp;E Advice Letter 4582-E, January 17, 2025</w:t>
            </w:r>
          </w:p>
          <w:p w:rsidRPr="00EC0590" w:rsidR="002E62DB" w:rsidP="002E62DB" w:rsidRDefault="002E62DB" w14:paraId="365A7CDA" w14:textId="77777777">
            <w:pPr>
              <w:rPr>
                <w:color w:val="000000"/>
                <w:u w:val="single"/>
              </w:rPr>
            </w:pPr>
          </w:p>
          <w:p w:rsidRPr="00EC0590" w:rsidR="002E62DB" w:rsidP="002E62DB" w:rsidRDefault="002E62DB" w14:paraId="48748B90" w14:textId="77777777">
            <w:pPr>
              <w:rPr>
                <w:color w:val="000000"/>
                <w:u w:val="single"/>
              </w:rPr>
            </w:pPr>
          </w:p>
          <w:p w:rsidRPr="00EC0590" w:rsidR="002E62DB" w:rsidP="002E62DB" w:rsidRDefault="002E62DB" w14:paraId="3A1B0162" w14:textId="77777777">
            <w:pPr>
              <w:rPr>
                <w:color w:val="000000"/>
                <w:u w:val="single"/>
              </w:rPr>
            </w:pPr>
          </w:p>
          <w:p w:rsidRPr="00EC0590" w:rsidR="002E62DB" w:rsidP="002E62DB" w:rsidRDefault="002E62DB" w14:paraId="3910DFEC" w14:textId="77777777">
            <w:pPr>
              <w:rPr>
                <w:color w:val="000000"/>
                <w:u w:val="single"/>
              </w:rPr>
            </w:pPr>
          </w:p>
          <w:p w:rsidRPr="00EC0590" w:rsidR="002E62DB" w:rsidP="002E62DB" w:rsidRDefault="002E62DB" w14:paraId="576B39F9" w14:textId="77777777">
            <w:pPr>
              <w:rPr>
                <w:color w:val="000000"/>
                <w:u w:val="single"/>
              </w:rPr>
            </w:pPr>
          </w:p>
          <w:p w:rsidRPr="00EC0590" w:rsidR="002E62DB" w:rsidP="002E62DB" w:rsidRDefault="002E62DB" w14:paraId="479BEC1C" w14:textId="77777777">
            <w:pPr>
              <w:rPr>
                <w:color w:val="000000"/>
                <w:u w:val="single"/>
              </w:rPr>
            </w:pPr>
          </w:p>
          <w:p w:rsidRPr="00EC0590" w:rsidR="002E62DB" w:rsidP="002E62DB" w:rsidRDefault="002E62DB" w14:paraId="43BDC22B" w14:textId="77777777">
            <w:pPr>
              <w:rPr>
                <w:color w:val="000000"/>
                <w:u w:val="single"/>
              </w:rPr>
            </w:pPr>
          </w:p>
          <w:p w:rsidRPr="00EC0590" w:rsidR="002E62DB" w:rsidP="002E62DB" w:rsidRDefault="002E62DB" w14:paraId="61CEB6D9" w14:textId="77777777">
            <w:pPr>
              <w:rPr>
                <w:color w:val="000000"/>
                <w:u w:val="single"/>
              </w:rPr>
            </w:pPr>
          </w:p>
          <w:p w:rsidRPr="00EC0590" w:rsidR="002E62DB" w:rsidP="002E62DB" w:rsidRDefault="002E62DB" w14:paraId="52498AC2" w14:textId="77777777">
            <w:pPr>
              <w:rPr>
                <w:color w:val="000000"/>
                <w:u w:val="single"/>
              </w:rPr>
            </w:pPr>
          </w:p>
          <w:p w:rsidRPr="00EC0590" w:rsidR="002E62DB" w:rsidP="002E62DB" w:rsidRDefault="002E62DB" w14:paraId="6A5D0BD7" w14:textId="77777777">
            <w:pPr>
              <w:rPr>
                <w:color w:val="000000"/>
                <w:u w:val="single"/>
              </w:rPr>
            </w:pPr>
          </w:p>
          <w:p w:rsidRPr="00EC0590" w:rsidR="002E62DB" w:rsidP="002E62DB" w:rsidRDefault="002E62DB" w14:paraId="0E9C2F5E" w14:textId="77777777">
            <w:pPr>
              <w:rPr>
                <w:color w:val="000000"/>
                <w:u w:val="single"/>
              </w:rPr>
            </w:pPr>
          </w:p>
          <w:p w:rsidRPr="00EC0590" w:rsidR="002E62DB" w:rsidP="002E62DB" w:rsidRDefault="002E62DB" w14:paraId="18D1F115" w14:textId="77777777">
            <w:pPr>
              <w:rPr>
                <w:color w:val="000000"/>
                <w:u w:val="single"/>
              </w:rPr>
            </w:pPr>
          </w:p>
          <w:p w:rsidRPr="00EC0590" w:rsidR="002E62DB" w:rsidP="002E62DB" w:rsidRDefault="002E62DB" w14:paraId="491A747E" w14:textId="77777777">
            <w:pPr>
              <w:rPr>
                <w:color w:val="000000"/>
                <w:u w:val="single"/>
              </w:rPr>
            </w:pPr>
          </w:p>
          <w:p w:rsidRPr="00EC0590" w:rsidR="002E62DB" w:rsidP="002E62DB" w:rsidRDefault="002E62DB" w14:paraId="16F3D2A7" w14:textId="77777777">
            <w:pPr>
              <w:rPr>
                <w:color w:val="000000"/>
                <w:u w:val="single"/>
              </w:rPr>
            </w:pPr>
          </w:p>
          <w:p w:rsidRPr="00EC0590" w:rsidR="002E62DB" w:rsidP="002E62DB" w:rsidRDefault="002E62DB" w14:paraId="22E51215" w14:textId="77777777">
            <w:pPr>
              <w:rPr>
                <w:color w:val="000000"/>
                <w:u w:val="single"/>
              </w:rPr>
            </w:pPr>
          </w:p>
          <w:p w:rsidRPr="00EC0590" w:rsidR="002E62DB" w:rsidP="002E62DB" w:rsidRDefault="002E62DB" w14:paraId="48F3790F" w14:textId="77777777">
            <w:pPr>
              <w:rPr>
                <w:color w:val="000000"/>
                <w:u w:val="single"/>
              </w:rPr>
            </w:pPr>
          </w:p>
          <w:p w:rsidRPr="00EC0590" w:rsidR="002E62DB" w:rsidP="002E62DB" w:rsidRDefault="002E62DB" w14:paraId="3F780E97" w14:textId="77777777">
            <w:pPr>
              <w:rPr>
                <w:color w:val="000000"/>
                <w:u w:val="single"/>
              </w:rPr>
            </w:pPr>
          </w:p>
          <w:p w:rsidRPr="00EC0590" w:rsidR="002E62DB" w:rsidP="002E62DB" w:rsidRDefault="002E62DB" w14:paraId="7BD47E09" w14:textId="77777777">
            <w:pPr>
              <w:rPr>
                <w:color w:val="000000"/>
                <w:u w:val="single"/>
              </w:rPr>
            </w:pPr>
          </w:p>
          <w:p w:rsidRPr="00EC0590" w:rsidR="002E62DB" w:rsidP="002E62DB" w:rsidRDefault="002E62DB" w14:paraId="21F40E8A" w14:textId="77777777">
            <w:pPr>
              <w:rPr>
                <w:color w:val="000000"/>
                <w:u w:val="single"/>
              </w:rPr>
            </w:pPr>
          </w:p>
          <w:p w:rsidRPr="00EC0590" w:rsidR="002E62DB" w:rsidP="002E62DB" w:rsidRDefault="002E62DB" w14:paraId="2ADE93EF" w14:textId="77777777">
            <w:pPr>
              <w:rPr>
                <w:color w:val="000000"/>
                <w:u w:val="single"/>
              </w:rPr>
            </w:pPr>
          </w:p>
          <w:p w:rsidRPr="00EC0590" w:rsidR="002E62DB" w:rsidP="002E62DB" w:rsidRDefault="002E62DB" w14:paraId="37DDFC76" w14:textId="77777777">
            <w:pPr>
              <w:rPr>
                <w:color w:val="000000"/>
                <w:u w:val="single"/>
              </w:rPr>
            </w:pPr>
          </w:p>
          <w:p w:rsidRPr="00EC0590" w:rsidR="002E62DB" w:rsidP="002E62DB" w:rsidRDefault="002E62DB" w14:paraId="5A2AFD07" w14:textId="77777777">
            <w:pPr>
              <w:rPr>
                <w:color w:val="000000"/>
                <w:u w:val="single"/>
              </w:rPr>
            </w:pPr>
          </w:p>
          <w:p w:rsidRPr="00EC0590" w:rsidR="002E62DB" w:rsidP="002E62DB" w:rsidRDefault="002E62DB" w14:paraId="3E39DE4B" w14:textId="77777777">
            <w:pPr>
              <w:rPr>
                <w:color w:val="000000"/>
                <w:u w:val="single"/>
              </w:rPr>
            </w:pPr>
          </w:p>
          <w:p w:rsidRPr="00EC0590" w:rsidR="002E62DB" w:rsidP="002E62DB" w:rsidRDefault="002E62DB" w14:paraId="4D11BA89" w14:textId="77777777">
            <w:pPr>
              <w:rPr>
                <w:color w:val="000000"/>
                <w:u w:val="single"/>
              </w:rPr>
            </w:pPr>
            <w:r w:rsidRPr="00EC0590">
              <w:rPr>
                <w:color w:val="000000"/>
                <w:u w:val="single"/>
              </w:rPr>
              <w:t>SDG&amp;E Advice Letter 4572-E-A, January 24, 2025.</w:t>
            </w:r>
          </w:p>
          <w:p w:rsidRPr="00EC0590" w:rsidR="002E62DB" w:rsidP="002E62DB" w:rsidRDefault="002E62DB" w14:paraId="3C2E0B10" w14:textId="77777777">
            <w:pPr>
              <w:rPr>
                <w:color w:val="000000"/>
                <w:u w:val="single"/>
              </w:rPr>
            </w:pPr>
          </w:p>
          <w:p w:rsidRPr="00EC0590" w:rsidR="002E62DB" w:rsidP="002E62DB" w:rsidRDefault="002E62DB" w14:paraId="4D6B30DD" w14:textId="77777777">
            <w:pPr>
              <w:rPr>
                <w:color w:val="000000"/>
                <w:u w:val="single"/>
              </w:rPr>
            </w:pPr>
            <w:r w:rsidRPr="00EC0590">
              <w:rPr>
                <w:color w:val="000000"/>
                <w:u w:val="single"/>
              </w:rPr>
              <w:lastRenderedPageBreak/>
              <w:t>SDG&amp;E Advice Letter 4582-E-A, February 3, 2025.</w:t>
            </w:r>
          </w:p>
          <w:p w:rsidRPr="00EC0590" w:rsidR="002E62DB" w:rsidP="002E62DB" w:rsidRDefault="002E62DB" w14:paraId="243E7623" w14:textId="77777777">
            <w:pPr>
              <w:rPr>
                <w:color w:val="000000"/>
                <w:u w:val="single"/>
              </w:rPr>
            </w:pPr>
          </w:p>
          <w:p w:rsidRPr="00EC0590" w:rsidR="002E62DB" w:rsidP="002E62DB" w:rsidRDefault="002E62DB" w14:paraId="0B46ED1E" w14:textId="77777777">
            <w:pPr>
              <w:rPr>
                <w:color w:val="000000"/>
                <w:u w:val="single"/>
              </w:rPr>
            </w:pPr>
            <w:r w:rsidRPr="00EC0590">
              <w:rPr>
                <w:color w:val="000000"/>
                <w:u w:val="single"/>
              </w:rPr>
              <w:t>Energy Division disposition letter for SDG&amp;E Advice Letter 4582-E/4582-E-A, August 19, 2025</w:t>
            </w:r>
          </w:p>
          <w:p w:rsidRPr="00EC0590" w:rsidR="002E62DB" w:rsidP="002E62DB" w:rsidRDefault="002E62DB" w14:paraId="3B03478E" w14:textId="77777777">
            <w:pPr>
              <w:rPr>
                <w:color w:val="000000"/>
                <w:u w:val="single"/>
              </w:rPr>
            </w:pPr>
          </w:p>
          <w:p w:rsidRPr="00EC0590" w:rsidR="002E62DB" w:rsidP="002E62DB" w:rsidRDefault="002E62DB" w14:paraId="07DCDA25" w14:textId="77777777">
            <w:r w:rsidRPr="00EC0590">
              <w:rPr>
                <w:color w:val="000000"/>
                <w:u w:val="single"/>
              </w:rPr>
              <w:t>Energy Division disposition letter for SDG&amp;E Advice Letter 4572-E/4572-E-A, August 19, 2025</w:t>
            </w:r>
          </w:p>
        </w:tc>
        <w:tc>
          <w:tcPr>
            <w:tcW w:w="2070" w:type="dxa"/>
          </w:tcPr>
          <w:p w:rsidRPr="00EC0590" w:rsidR="002E62DB" w:rsidP="002E62DB" w:rsidRDefault="0006271D" w14:paraId="3EA982D3" w14:textId="1F779438">
            <w:r>
              <w:lastRenderedPageBreak/>
              <w:t>Verified</w:t>
            </w:r>
          </w:p>
        </w:tc>
      </w:tr>
      <w:tr w:rsidRPr="00EC0590" w:rsidR="002E62DB" w:rsidTr="00C2265F" w14:paraId="5543A090" w14:textId="77777777">
        <w:tc>
          <w:tcPr>
            <w:tcW w:w="3145" w:type="dxa"/>
          </w:tcPr>
          <w:p w:rsidRPr="00EC0590" w:rsidR="002E62DB" w:rsidP="002E62DB" w:rsidRDefault="002E62DB" w14:paraId="6B4D9040" w14:textId="77777777">
            <w:pPr>
              <w:pStyle w:val="ListParagraph"/>
              <w:numPr>
                <w:ilvl w:val="0"/>
                <w:numId w:val="11"/>
              </w:numPr>
              <w:ind w:left="0" w:firstLine="0"/>
              <w:contextualSpacing/>
              <w:rPr>
                <w:rFonts w:ascii="Times New Roman" w:hAnsi="Times New Roman"/>
                <w:b/>
                <w:bCs/>
              </w:rPr>
            </w:pPr>
            <w:r w:rsidRPr="00EC0590">
              <w:rPr>
                <w:rFonts w:ascii="Times New Roman" w:hAnsi="Times New Roman"/>
                <w:b/>
                <w:bCs/>
              </w:rPr>
              <w:t>INCOME-GRADUATED FIXED CHARGE IMPLEMENTATION</w:t>
            </w:r>
          </w:p>
          <w:p w:rsidRPr="00EC0590" w:rsidR="002E62DB" w:rsidP="002E62DB" w:rsidRDefault="002E62DB" w14:paraId="19A3E8A7" w14:textId="77777777"/>
          <w:p w:rsidRPr="00EC0590" w:rsidR="002E62DB" w:rsidP="002E62DB" w:rsidRDefault="002E62DB" w14:paraId="40211CD2" w14:textId="77777777">
            <w:r w:rsidRPr="00EC0590">
              <w:t xml:space="preserve">TURN and the Natural Resources Defense Council (NRDC) raised </w:t>
            </w:r>
            <w:proofErr w:type="gramStart"/>
            <w:r w:rsidRPr="00EC0590">
              <w:t>a number of</w:t>
            </w:r>
            <w:proofErr w:type="gramEnd"/>
            <w:r w:rsidRPr="00EC0590">
              <w:t xml:space="preserve"> specific concerns about the Advice Letters submitted by Pacific Gas &amp; Electric (PG&amp;E), Southern California Edison (SCE) and San Diego Gas &amp; Electric (SDG&amp;E) regarding Income-Graduated Fixed Charge (IGFC) implementation. </w:t>
            </w:r>
          </w:p>
          <w:p w:rsidRPr="00EC0590" w:rsidR="002E62DB" w:rsidP="002E62DB" w:rsidRDefault="002E62DB" w14:paraId="515B6913" w14:textId="77777777"/>
          <w:p w:rsidRPr="00EC0590" w:rsidR="002E62DB" w:rsidP="002E62DB" w:rsidRDefault="002E62DB" w14:paraId="3ADACE00" w14:textId="77777777">
            <w:r w:rsidRPr="00EC0590">
              <w:t xml:space="preserve">First, TURN/NRDC urged PG&amp;E to incorporate information explaining eligibility for a discount tier of the fixed charge into existing and planned CARE/FERA Marketing </w:t>
            </w:r>
            <w:r w:rsidRPr="00EC0590">
              <w:lastRenderedPageBreak/>
              <w:t xml:space="preserve">Education and Outreach (ME&amp;O) communications. (TURN/NRDC protest, page 3) </w:t>
            </w:r>
          </w:p>
          <w:p w:rsidRPr="00EC0590" w:rsidR="002E62DB" w:rsidP="002E62DB" w:rsidRDefault="002E62DB" w14:paraId="771DB681" w14:textId="77777777"/>
          <w:p w:rsidRPr="00EC0590" w:rsidR="002E62DB" w:rsidP="002E62DB" w:rsidRDefault="002E62DB" w14:paraId="49EF7144" w14:textId="77777777">
            <w:r w:rsidRPr="00EC0590">
              <w:t xml:space="preserve">In response, PG&amp;E “clarified its plan and provided a summary of its integrated campaign plans, including sample key messages and likely communications channels and tactics.” (Resolution E-5354, page 45, citing PG&amp;E reply to protests, pages 21-22) The Commission relied on this additional information in adopting PG&amp;E’s plan. </w:t>
            </w:r>
          </w:p>
          <w:p w:rsidRPr="00EC0590" w:rsidR="002E62DB" w:rsidP="002E62DB" w:rsidRDefault="002E62DB" w14:paraId="01D92808" w14:textId="77777777"/>
          <w:p w:rsidRPr="00EC0590" w:rsidR="002E62DB" w:rsidP="002E62DB" w:rsidRDefault="002E62DB" w14:paraId="02E164B8" w14:textId="77777777">
            <w:r w:rsidRPr="00EC0590">
              <w:t xml:space="preserve">Second, TURN/NRDC argued that PG&amp;E’s ME&amp;O plan should include customers potentially eligible for CARE/FERA but not already enrolled. </w:t>
            </w:r>
          </w:p>
          <w:p w:rsidRPr="00EC0590" w:rsidR="002E62DB" w:rsidP="002E62DB" w:rsidRDefault="002E62DB" w14:paraId="1BE1A7F6" w14:textId="77777777"/>
          <w:p w:rsidRPr="00EC0590" w:rsidR="002E62DB" w:rsidP="002E62DB" w:rsidRDefault="002E62DB" w14:paraId="3AF54CEC" w14:textId="77777777">
            <w:r w:rsidRPr="00EC0590">
              <w:t>PG&amp;E agreed with TURN/NRDC that outreach plans “should prioritize segments, including HTR, low-income, and other customers who are deemed as priorities to receive information about the fixed charge.” The Commission found that PG&amp;</w:t>
            </w:r>
            <w:proofErr w:type="gramStart"/>
            <w:r w:rsidRPr="00EC0590">
              <w:t>E’s</w:t>
            </w:r>
            <w:proofErr w:type="gramEnd"/>
            <w:r w:rsidRPr="00EC0590">
              <w:t xml:space="preserve"> proposed ME&amp;O plan was reasonable as modified in the Resolution. </w:t>
            </w:r>
          </w:p>
          <w:p w:rsidRPr="00EC0590" w:rsidR="002E62DB" w:rsidP="002E62DB" w:rsidRDefault="002E62DB" w14:paraId="6F94D3A5" w14:textId="77777777"/>
          <w:p w:rsidRPr="00EC0590" w:rsidR="002E62DB" w:rsidP="002E62DB" w:rsidRDefault="002E62DB" w14:paraId="3B885FF2" w14:textId="77777777">
            <w:r w:rsidRPr="00EC0590">
              <w:t xml:space="preserve">Third, TURN/NRDC express concern at SCE’s proposed “IGFC Surcharge” of $1.88/month per customer and noted that “it is unclear what costs the SCE surcharge </w:t>
            </w:r>
            <w:r w:rsidRPr="00EC0590">
              <w:lastRenderedPageBreak/>
              <w:t xml:space="preserve">would be authorized to recover.” (page 4) </w:t>
            </w:r>
          </w:p>
          <w:p w:rsidRPr="00EC0590" w:rsidR="002E62DB" w:rsidP="002E62DB" w:rsidRDefault="002E62DB" w14:paraId="79D59C41" w14:textId="77777777"/>
          <w:p w:rsidRPr="00EC0590" w:rsidR="002E62DB" w:rsidP="002E62DB" w:rsidRDefault="002E62DB" w14:paraId="12D8658C" w14:textId="77777777">
            <w:r w:rsidRPr="00EC0590">
              <w:t xml:space="preserve">The Commission ordered SCE to file a Tier 2 Advice Letter to provide additional details on the mechanism used for calculating this charge. </w:t>
            </w:r>
          </w:p>
          <w:p w:rsidRPr="00EC0590" w:rsidR="002E62DB" w:rsidP="002E62DB" w:rsidRDefault="002E62DB" w14:paraId="12BC701F" w14:textId="77777777"/>
          <w:p w:rsidRPr="00EC0590" w:rsidR="002E62DB" w:rsidP="002E62DB" w:rsidRDefault="002E62DB" w14:paraId="62261AF1" w14:textId="661CD849">
            <w:r w:rsidRPr="00EC0590">
              <w:t xml:space="preserve">Fourth, TURN/NRDC noted that, with respect to SDG&amp;E’s “one-time change” to its volumetric distribution rate design methodology, “it is not clear how this change would affect rates for all residential schedules.” </w:t>
            </w:r>
            <w:r w:rsidR="008A0FAF">
              <w:br/>
            </w:r>
            <w:r w:rsidRPr="00EC0590">
              <w:t xml:space="preserve">(page 6) </w:t>
            </w:r>
          </w:p>
          <w:p w:rsidRPr="00EC0590" w:rsidR="002E62DB" w:rsidP="002E62DB" w:rsidRDefault="002E62DB" w14:paraId="6AE48CE7" w14:textId="77777777"/>
          <w:p w:rsidRPr="00EC0590" w:rsidR="002E62DB" w:rsidP="002E62DB" w:rsidRDefault="002E62DB" w14:paraId="5CFE75B3" w14:textId="77777777">
            <w:r w:rsidRPr="00EC0590">
              <w:t xml:space="preserve">TURN/NRDC urged the Commission to present the results of this approach for all rate schedules. </w:t>
            </w:r>
          </w:p>
          <w:p w:rsidRPr="00EC0590" w:rsidR="002E62DB" w:rsidP="002E62DB" w:rsidRDefault="002E62DB" w14:paraId="28F63091" w14:textId="77777777"/>
          <w:p w:rsidRPr="00EC0590" w:rsidR="002E62DB" w:rsidP="002E62DB" w:rsidRDefault="002E62DB" w14:paraId="07B1EAAB" w14:textId="77777777">
            <w:r w:rsidRPr="00EC0590">
              <w:t>The Commission found SDG&amp;E’s approach to be reasonable but directed SDG&amp;E to file a Tier 2 Advice Letter specifying the impacts of this change on “volumetric rate components of all residential tariffs.”</w:t>
            </w:r>
          </w:p>
        </w:tc>
        <w:tc>
          <w:tcPr>
            <w:tcW w:w="4140" w:type="dxa"/>
          </w:tcPr>
          <w:p w:rsidRPr="00EC0590" w:rsidR="002E62DB" w:rsidP="002E62DB" w:rsidRDefault="002E62DB" w14:paraId="4F845A3E" w14:textId="77777777">
            <w:pPr>
              <w:rPr>
                <w:color w:val="000000"/>
              </w:rPr>
            </w:pPr>
          </w:p>
          <w:p w:rsidRPr="00EC0590" w:rsidR="002E62DB" w:rsidP="002E62DB" w:rsidRDefault="002E62DB" w14:paraId="2386D83D" w14:textId="77777777">
            <w:pPr>
              <w:rPr>
                <w:color w:val="000000"/>
              </w:rPr>
            </w:pPr>
          </w:p>
          <w:p w:rsidRPr="00EC0590" w:rsidR="002E62DB" w:rsidP="002E62DB" w:rsidRDefault="002E62DB" w14:paraId="07225C3A" w14:textId="77777777">
            <w:pPr>
              <w:rPr>
                <w:color w:val="000000"/>
              </w:rPr>
            </w:pPr>
          </w:p>
          <w:p w:rsidRPr="00EC0590" w:rsidR="002E62DB" w:rsidP="002E62DB" w:rsidRDefault="002E62DB" w14:paraId="4C38DC29" w14:textId="77777777">
            <w:pPr>
              <w:rPr>
                <w:color w:val="000000"/>
              </w:rPr>
            </w:pPr>
          </w:p>
          <w:p w:rsidRPr="00EC0590" w:rsidR="002E62DB" w:rsidP="002E62DB" w:rsidRDefault="002E62DB" w14:paraId="3C62E87C" w14:textId="77777777">
            <w:pPr>
              <w:rPr>
                <w:color w:val="000000"/>
              </w:rPr>
            </w:pPr>
          </w:p>
          <w:p w:rsidRPr="00EC0590" w:rsidR="002E62DB" w:rsidP="002E62DB" w:rsidRDefault="002E62DB" w14:paraId="397DC3D9" w14:textId="77777777">
            <w:pPr>
              <w:rPr>
                <w:color w:val="000000"/>
              </w:rPr>
            </w:pPr>
          </w:p>
          <w:p w:rsidRPr="00EC0590" w:rsidR="002E62DB" w:rsidP="002E62DB" w:rsidRDefault="002E62DB" w14:paraId="28CF3DC4" w14:textId="77777777">
            <w:pPr>
              <w:rPr>
                <w:color w:val="000000"/>
                <w:u w:val="single"/>
              </w:rPr>
            </w:pPr>
          </w:p>
          <w:p w:rsidRPr="00EC0590" w:rsidR="002E62DB" w:rsidP="002E62DB" w:rsidRDefault="002E62DB" w14:paraId="31814B31" w14:textId="77777777">
            <w:pPr>
              <w:rPr>
                <w:color w:val="000000"/>
                <w:u w:val="single"/>
              </w:rPr>
            </w:pPr>
          </w:p>
          <w:p w:rsidRPr="00EC0590" w:rsidR="002E62DB" w:rsidP="002E62DB" w:rsidRDefault="002E62DB" w14:paraId="482E591D" w14:textId="77777777">
            <w:pPr>
              <w:rPr>
                <w:color w:val="000000"/>
                <w:u w:val="single"/>
              </w:rPr>
            </w:pPr>
          </w:p>
          <w:p w:rsidRPr="00EC0590" w:rsidR="002E62DB" w:rsidP="002E62DB" w:rsidRDefault="002E62DB" w14:paraId="351D7DDC" w14:textId="77777777">
            <w:pPr>
              <w:rPr>
                <w:color w:val="000000"/>
                <w:u w:val="single"/>
              </w:rPr>
            </w:pPr>
          </w:p>
          <w:p w:rsidRPr="00EC0590" w:rsidR="002E62DB" w:rsidP="002E62DB" w:rsidRDefault="002E62DB" w14:paraId="47722FF9" w14:textId="77777777">
            <w:pPr>
              <w:rPr>
                <w:color w:val="000000"/>
                <w:u w:val="single"/>
              </w:rPr>
            </w:pPr>
          </w:p>
          <w:p w:rsidRPr="00EC0590" w:rsidR="002E62DB" w:rsidP="002E62DB" w:rsidRDefault="002E62DB" w14:paraId="02A72F24" w14:textId="77777777">
            <w:pPr>
              <w:rPr>
                <w:color w:val="000000"/>
                <w:u w:val="single"/>
              </w:rPr>
            </w:pPr>
          </w:p>
          <w:p w:rsidRPr="00EC0590" w:rsidR="002E62DB" w:rsidP="002E62DB" w:rsidRDefault="002E62DB" w14:paraId="62C816B9" w14:textId="77777777">
            <w:pPr>
              <w:rPr>
                <w:color w:val="000000"/>
                <w:u w:val="single"/>
              </w:rPr>
            </w:pPr>
          </w:p>
          <w:p w:rsidRPr="00EC0590" w:rsidR="002E62DB" w:rsidP="002E62DB" w:rsidRDefault="002E62DB" w14:paraId="311C9C37" w14:textId="77777777">
            <w:pPr>
              <w:rPr>
                <w:color w:val="000000"/>
                <w:u w:val="single"/>
              </w:rPr>
            </w:pPr>
          </w:p>
          <w:p w:rsidRPr="00EC0590" w:rsidR="002E62DB" w:rsidP="002E62DB" w:rsidRDefault="002E62DB" w14:paraId="31A1AEC4" w14:textId="77777777">
            <w:pPr>
              <w:rPr>
                <w:color w:val="000000"/>
                <w:u w:val="single"/>
              </w:rPr>
            </w:pPr>
          </w:p>
          <w:p w:rsidRPr="00EC0590" w:rsidR="002E62DB" w:rsidP="002E62DB" w:rsidRDefault="002E62DB" w14:paraId="22BA654E" w14:textId="77777777">
            <w:pPr>
              <w:rPr>
                <w:color w:val="000000"/>
                <w:u w:val="single"/>
              </w:rPr>
            </w:pPr>
          </w:p>
          <w:p w:rsidRPr="00EC0590" w:rsidR="002E62DB" w:rsidP="002E62DB" w:rsidRDefault="002E62DB" w14:paraId="63CD1B7A" w14:textId="77777777">
            <w:pPr>
              <w:rPr>
                <w:color w:val="000000"/>
                <w:u w:val="single"/>
              </w:rPr>
            </w:pPr>
          </w:p>
          <w:p w:rsidRPr="00EC0590" w:rsidR="002E62DB" w:rsidP="002E62DB" w:rsidRDefault="002E62DB" w14:paraId="4EA415B9" w14:textId="77777777">
            <w:pPr>
              <w:rPr>
                <w:color w:val="000000"/>
                <w:u w:val="single"/>
              </w:rPr>
            </w:pPr>
            <w:r w:rsidRPr="00EC0590">
              <w:rPr>
                <w:color w:val="000000"/>
                <w:u w:val="single"/>
              </w:rPr>
              <w:t>TURN/NRDC protest to PG&amp;E Advice Letter 7351-E, SCE Advice Letter 5358-E, and SDG&amp;E Advice Letter 4492-E, September 3, 2024.</w:t>
            </w:r>
          </w:p>
          <w:p w:rsidRPr="00EC0590" w:rsidR="002E62DB" w:rsidP="002E62DB" w:rsidRDefault="002E62DB" w14:paraId="07E24476" w14:textId="77777777">
            <w:pPr>
              <w:rPr>
                <w:color w:val="000000"/>
                <w:u w:val="single"/>
              </w:rPr>
            </w:pPr>
          </w:p>
          <w:p w:rsidRPr="00EC0590" w:rsidR="002E62DB" w:rsidP="002E62DB" w:rsidRDefault="002E62DB" w14:paraId="0E6905B6" w14:textId="77777777">
            <w:pPr>
              <w:rPr>
                <w:color w:val="000000"/>
                <w:u w:val="single"/>
              </w:rPr>
            </w:pPr>
          </w:p>
          <w:p w:rsidRPr="00EC0590" w:rsidR="002E62DB" w:rsidP="002E62DB" w:rsidRDefault="002E62DB" w14:paraId="6E0CDC59" w14:textId="77777777">
            <w:pPr>
              <w:rPr>
                <w:color w:val="000000"/>
                <w:u w:val="single"/>
              </w:rPr>
            </w:pPr>
          </w:p>
          <w:p w:rsidRPr="00EC0590" w:rsidR="002E62DB" w:rsidP="002E62DB" w:rsidRDefault="002E62DB" w14:paraId="7E6E3C3D" w14:textId="77777777">
            <w:pPr>
              <w:rPr>
                <w:color w:val="000000"/>
                <w:u w:val="single"/>
              </w:rPr>
            </w:pPr>
          </w:p>
          <w:p w:rsidRPr="00EC0590" w:rsidR="002E62DB" w:rsidP="002E62DB" w:rsidRDefault="002E62DB" w14:paraId="6609DE61" w14:textId="77777777">
            <w:pPr>
              <w:rPr>
                <w:color w:val="000000"/>
                <w:u w:val="single"/>
              </w:rPr>
            </w:pPr>
          </w:p>
          <w:p w:rsidRPr="00EC0590" w:rsidR="002E62DB" w:rsidP="002E62DB" w:rsidRDefault="002E62DB" w14:paraId="23A51092" w14:textId="77777777">
            <w:pPr>
              <w:rPr>
                <w:color w:val="000000"/>
                <w:u w:val="single"/>
              </w:rPr>
            </w:pPr>
          </w:p>
          <w:p w:rsidRPr="00EC0590" w:rsidR="002E62DB" w:rsidP="002E62DB" w:rsidRDefault="002E62DB" w14:paraId="0E798902" w14:textId="77777777">
            <w:pPr>
              <w:rPr>
                <w:color w:val="000000"/>
                <w:u w:val="single"/>
              </w:rPr>
            </w:pPr>
          </w:p>
          <w:p w:rsidRPr="00EC0590" w:rsidR="002E62DB" w:rsidP="002E62DB" w:rsidRDefault="002E62DB" w14:paraId="6789CEA4" w14:textId="77777777">
            <w:pPr>
              <w:rPr>
                <w:color w:val="000000"/>
                <w:u w:val="single"/>
              </w:rPr>
            </w:pPr>
          </w:p>
          <w:p w:rsidRPr="00EC0590" w:rsidR="002E62DB" w:rsidP="002E62DB" w:rsidRDefault="002E62DB" w14:paraId="2CC95D45" w14:textId="77777777">
            <w:pPr>
              <w:rPr>
                <w:color w:val="000000"/>
                <w:u w:val="single"/>
              </w:rPr>
            </w:pPr>
          </w:p>
          <w:p w:rsidRPr="00EC0590" w:rsidR="002E62DB" w:rsidP="002E62DB" w:rsidRDefault="002E62DB" w14:paraId="440BE4ED" w14:textId="77777777">
            <w:pPr>
              <w:rPr>
                <w:color w:val="000000"/>
                <w:u w:val="single"/>
              </w:rPr>
            </w:pPr>
          </w:p>
          <w:p w:rsidRPr="00EC0590" w:rsidR="002E62DB" w:rsidP="002E62DB" w:rsidRDefault="002E62DB" w14:paraId="175A2F2B" w14:textId="77777777">
            <w:pPr>
              <w:rPr>
                <w:color w:val="000000"/>
                <w:u w:val="single"/>
              </w:rPr>
            </w:pPr>
            <w:r w:rsidRPr="00EC0590">
              <w:rPr>
                <w:color w:val="000000"/>
                <w:u w:val="single"/>
              </w:rPr>
              <w:t>Resolution E-5354, pages 21-22, 52, 57.</w:t>
            </w:r>
          </w:p>
          <w:p w:rsidRPr="00EC0590" w:rsidR="002E62DB" w:rsidP="002E62DB" w:rsidRDefault="002E62DB" w14:paraId="79D03AA4" w14:textId="77777777">
            <w:pPr>
              <w:rPr>
                <w:color w:val="000000"/>
                <w:u w:val="single"/>
              </w:rPr>
            </w:pPr>
          </w:p>
          <w:p w:rsidRPr="00EC0590" w:rsidR="002E62DB" w:rsidP="002E62DB" w:rsidRDefault="002E62DB" w14:paraId="4466A45B" w14:textId="77777777">
            <w:pPr>
              <w:rPr>
                <w:color w:val="000000"/>
                <w:u w:val="single"/>
              </w:rPr>
            </w:pPr>
            <w:r w:rsidRPr="00EC0590">
              <w:rPr>
                <w:color w:val="000000"/>
                <w:u w:val="single"/>
              </w:rPr>
              <w:t>PG&amp;E reply to Protests of Advice Letter 7351-E, September 10, 2025, page 23.</w:t>
            </w:r>
          </w:p>
          <w:p w:rsidRPr="00EC0590" w:rsidR="002E62DB" w:rsidP="002E62DB" w:rsidRDefault="002E62DB" w14:paraId="30BC1DC9" w14:textId="77777777">
            <w:pPr>
              <w:rPr>
                <w:color w:val="000000"/>
                <w:u w:val="single"/>
              </w:rPr>
            </w:pPr>
          </w:p>
          <w:p w:rsidRPr="00EC0590" w:rsidR="002E62DB" w:rsidP="002E62DB" w:rsidRDefault="002E62DB" w14:paraId="3BCF82FC" w14:textId="77777777">
            <w:pPr>
              <w:rPr>
                <w:color w:val="000000"/>
                <w:u w:val="single"/>
              </w:rPr>
            </w:pPr>
          </w:p>
          <w:p w:rsidRPr="00EC0590" w:rsidR="002E62DB" w:rsidP="002E62DB" w:rsidRDefault="002E62DB" w14:paraId="22E0C4A8" w14:textId="77777777">
            <w:pPr>
              <w:rPr>
                <w:color w:val="000000"/>
                <w:u w:val="single"/>
              </w:rPr>
            </w:pPr>
          </w:p>
          <w:p w:rsidRPr="00EC0590" w:rsidR="002E62DB" w:rsidP="002E62DB" w:rsidRDefault="002E62DB" w14:paraId="23E522F8" w14:textId="77777777">
            <w:pPr>
              <w:rPr>
                <w:color w:val="000000"/>
                <w:u w:val="single"/>
              </w:rPr>
            </w:pPr>
          </w:p>
          <w:p w:rsidRPr="00EC0590" w:rsidR="002E62DB" w:rsidP="002E62DB" w:rsidRDefault="002E62DB" w14:paraId="287B57F1" w14:textId="77777777">
            <w:pPr>
              <w:rPr>
                <w:color w:val="000000"/>
                <w:u w:val="single"/>
              </w:rPr>
            </w:pPr>
          </w:p>
          <w:p w:rsidRPr="00EC0590" w:rsidR="002E62DB" w:rsidP="002E62DB" w:rsidRDefault="002E62DB" w14:paraId="1EE975D8" w14:textId="77777777">
            <w:pPr>
              <w:rPr>
                <w:color w:val="000000"/>
                <w:u w:val="single"/>
              </w:rPr>
            </w:pPr>
          </w:p>
          <w:p w:rsidRPr="00EC0590" w:rsidR="002E62DB" w:rsidP="002E62DB" w:rsidRDefault="002E62DB" w14:paraId="7D5AA945" w14:textId="77777777">
            <w:pPr>
              <w:rPr>
                <w:color w:val="000000"/>
                <w:u w:val="single"/>
              </w:rPr>
            </w:pPr>
          </w:p>
          <w:p w:rsidR="002E62DB" w:rsidP="002E62DB" w:rsidRDefault="002E62DB" w14:paraId="1A1CB90D" w14:textId="77777777">
            <w:pPr>
              <w:rPr>
                <w:color w:val="000000"/>
                <w:u w:val="single"/>
              </w:rPr>
            </w:pPr>
          </w:p>
          <w:p w:rsidRPr="00EC0590" w:rsidR="002E62DB" w:rsidP="002E62DB" w:rsidRDefault="002E62DB" w14:paraId="5AF3DA4C" w14:textId="77777777">
            <w:pPr>
              <w:rPr>
                <w:color w:val="000000"/>
                <w:u w:val="single"/>
              </w:rPr>
            </w:pPr>
          </w:p>
          <w:p w:rsidRPr="00EC0590" w:rsidR="002E62DB" w:rsidP="002E62DB" w:rsidRDefault="002E62DB" w14:paraId="580A86C0" w14:textId="77777777">
            <w:pPr>
              <w:rPr>
                <w:color w:val="000000"/>
                <w:u w:val="single"/>
              </w:rPr>
            </w:pPr>
          </w:p>
          <w:p w:rsidRPr="00EC0590" w:rsidR="002E62DB" w:rsidP="002E62DB" w:rsidRDefault="002E62DB" w14:paraId="26E0583B" w14:textId="77777777">
            <w:pPr>
              <w:rPr>
                <w:color w:val="000000"/>
                <w:u w:val="single"/>
              </w:rPr>
            </w:pPr>
            <w:r w:rsidRPr="00EC0590">
              <w:rPr>
                <w:color w:val="000000"/>
                <w:u w:val="single"/>
              </w:rPr>
              <w:t>TURN/NRDC protest to PG&amp;E Advice Letter 7351-E, SCE Advice Letter 5358-E, and SDG&amp;E Advice Letter 4492-E, September 3, 2024, page 3</w:t>
            </w:r>
          </w:p>
          <w:p w:rsidRPr="00EC0590" w:rsidR="002E62DB" w:rsidP="002E62DB" w:rsidRDefault="002E62DB" w14:paraId="07A5992B" w14:textId="77777777">
            <w:pPr>
              <w:rPr>
                <w:color w:val="000000"/>
                <w:u w:val="single"/>
              </w:rPr>
            </w:pPr>
          </w:p>
          <w:p w:rsidRPr="00EC0590" w:rsidR="002E62DB" w:rsidP="002E62DB" w:rsidRDefault="002E62DB" w14:paraId="76F1AFE7" w14:textId="77777777">
            <w:pPr>
              <w:rPr>
                <w:color w:val="000000"/>
                <w:u w:val="single"/>
              </w:rPr>
            </w:pPr>
          </w:p>
          <w:p w:rsidRPr="00EC0590" w:rsidR="002E62DB" w:rsidP="002E62DB" w:rsidRDefault="002E62DB" w14:paraId="30F63458" w14:textId="77777777">
            <w:pPr>
              <w:rPr>
                <w:color w:val="000000"/>
                <w:u w:val="single"/>
              </w:rPr>
            </w:pPr>
          </w:p>
          <w:p w:rsidRPr="00EC0590" w:rsidR="002E62DB" w:rsidP="002E62DB" w:rsidRDefault="002E62DB" w14:paraId="7042DE85" w14:textId="77777777">
            <w:pPr>
              <w:rPr>
                <w:color w:val="000000"/>
                <w:u w:val="single"/>
              </w:rPr>
            </w:pPr>
          </w:p>
          <w:p w:rsidRPr="00EC0590" w:rsidR="002E62DB" w:rsidP="002E62DB" w:rsidRDefault="002E62DB" w14:paraId="505F8A41" w14:textId="77777777">
            <w:pPr>
              <w:rPr>
                <w:color w:val="000000"/>
                <w:u w:val="single"/>
              </w:rPr>
            </w:pPr>
            <w:r w:rsidRPr="00EC0590">
              <w:rPr>
                <w:color w:val="000000"/>
                <w:u w:val="single"/>
              </w:rPr>
              <w:t>Resolution E-5354, pages 22, 52, 57.</w:t>
            </w:r>
          </w:p>
          <w:p w:rsidRPr="00EC0590" w:rsidR="002E62DB" w:rsidP="002E62DB" w:rsidRDefault="002E62DB" w14:paraId="7C47B5DA" w14:textId="77777777">
            <w:pPr>
              <w:rPr>
                <w:color w:val="000000"/>
                <w:u w:val="single"/>
              </w:rPr>
            </w:pPr>
            <w:r w:rsidRPr="00EC0590">
              <w:rPr>
                <w:color w:val="000000"/>
                <w:u w:val="single"/>
              </w:rPr>
              <w:t>PG&amp;E reply to Protests of Advice Letter 7351-E, September 10, 2025, page 23.</w:t>
            </w:r>
          </w:p>
          <w:p w:rsidRPr="00EC0590" w:rsidR="002E62DB" w:rsidP="002E62DB" w:rsidRDefault="002E62DB" w14:paraId="66186F05" w14:textId="77777777">
            <w:pPr>
              <w:rPr>
                <w:color w:val="000000"/>
                <w:u w:val="single"/>
              </w:rPr>
            </w:pPr>
          </w:p>
          <w:p w:rsidRPr="00EC0590" w:rsidR="002E62DB" w:rsidP="002E62DB" w:rsidRDefault="002E62DB" w14:paraId="5267F259" w14:textId="77777777">
            <w:pPr>
              <w:rPr>
                <w:color w:val="000000"/>
                <w:u w:val="single"/>
              </w:rPr>
            </w:pPr>
          </w:p>
          <w:p w:rsidRPr="00EC0590" w:rsidR="002E62DB" w:rsidP="002E62DB" w:rsidRDefault="002E62DB" w14:paraId="78C930DF" w14:textId="77777777">
            <w:pPr>
              <w:rPr>
                <w:color w:val="000000"/>
                <w:u w:val="single"/>
              </w:rPr>
            </w:pPr>
          </w:p>
          <w:p w:rsidRPr="00EC0590" w:rsidR="002E62DB" w:rsidP="002E62DB" w:rsidRDefault="002E62DB" w14:paraId="5964D478" w14:textId="77777777">
            <w:pPr>
              <w:rPr>
                <w:color w:val="000000"/>
                <w:u w:val="single"/>
              </w:rPr>
            </w:pPr>
          </w:p>
          <w:p w:rsidRPr="00EC0590" w:rsidR="002E62DB" w:rsidP="002E62DB" w:rsidRDefault="002E62DB" w14:paraId="0C37EA5F" w14:textId="77777777">
            <w:pPr>
              <w:rPr>
                <w:color w:val="000000"/>
                <w:u w:val="single"/>
              </w:rPr>
            </w:pPr>
          </w:p>
          <w:p w:rsidRPr="00EC0590" w:rsidR="002E62DB" w:rsidP="002E62DB" w:rsidRDefault="002E62DB" w14:paraId="5826EBC4" w14:textId="77777777">
            <w:pPr>
              <w:rPr>
                <w:color w:val="000000"/>
                <w:u w:val="single"/>
              </w:rPr>
            </w:pPr>
          </w:p>
          <w:p w:rsidRPr="00EC0590" w:rsidR="002E62DB" w:rsidP="002E62DB" w:rsidRDefault="002E62DB" w14:paraId="682FB350" w14:textId="77777777">
            <w:pPr>
              <w:rPr>
                <w:color w:val="000000"/>
                <w:u w:val="single"/>
              </w:rPr>
            </w:pPr>
          </w:p>
          <w:p w:rsidRPr="00EC0590" w:rsidR="002E62DB" w:rsidP="002E62DB" w:rsidRDefault="002E62DB" w14:paraId="08FF0099" w14:textId="77777777">
            <w:pPr>
              <w:rPr>
                <w:color w:val="000000"/>
                <w:u w:val="single"/>
              </w:rPr>
            </w:pPr>
          </w:p>
          <w:p w:rsidRPr="00EC0590" w:rsidR="002E62DB" w:rsidP="002E62DB" w:rsidRDefault="002E62DB" w14:paraId="39C69CB6" w14:textId="77777777">
            <w:pPr>
              <w:rPr>
                <w:color w:val="000000"/>
                <w:u w:val="single"/>
              </w:rPr>
            </w:pPr>
          </w:p>
          <w:p w:rsidRPr="00EC0590" w:rsidR="002E62DB" w:rsidP="002E62DB" w:rsidRDefault="002E62DB" w14:paraId="1376D5A0" w14:textId="77777777">
            <w:pPr>
              <w:rPr>
                <w:color w:val="000000"/>
                <w:u w:val="single"/>
              </w:rPr>
            </w:pPr>
            <w:r w:rsidRPr="00EC0590">
              <w:rPr>
                <w:color w:val="000000"/>
                <w:u w:val="single"/>
              </w:rPr>
              <w:t>TURN/NRDC protest to PG&amp;E Advice Letter 7351-E, SCE Advice Letter 5358-E, and SDG&amp;E Advice Letter 4492-E, September 3, 2024.</w:t>
            </w:r>
          </w:p>
          <w:p w:rsidRPr="00EC0590" w:rsidR="002E62DB" w:rsidP="002E62DB" w:rsidRDefault="002E62DB" w14:paraId="50EE16FE" w14:textId="77777777">
            <w:pPr>
              <w:rPr>
                <w:color w:val="000000"/>
                <w:u w:val="single"/>
              </w:rPr>
            </w:pPr>
          </w:p>
          <w:p w:rsidRPr="00EC0590" w:rsidR="002E62DB" w:rsidP="002E62DB" w:rsidRDefault="002E62DB" w14:paraId="58F4ED22" w14:textId="77777777">
            <w:pPr>
              <w:rPr>
                <w:color w:val="000000"/>
                <w:u w:val="single"/>
              </w:rPr>
            </w:pPr>
          </w:p>
          <w:p w:rsidRPr="00EC0590" w:rsidR="002E62DB" w:rsidP="002E62DB" w:rsidRDefault="002E62DB" w14:paraId="473A098B" w14:textId="77777777">
            <w:pPr>
              <w:rPr>
                <w:color w:val="000000"/>
                <w:u w:val="single"/>
              </w:rPr>
            </w:pPr>
          </w:p>
          <w:p w:rsidRPr="00EC0590" w:rsidR="002E62DB" w:rsidP="002E62DB" w:rsidRDefault="002E62DB" w14:paraId="188CEB52" w14:textId="77777777">
            <w:pPr>
              <w:rPr>
                <w:color w:val="000000"/>
                <w:u w:val="single"/>
              </w:rPr>
            </w:pPr>
          </w:p>
          <w:p w:rsidRPr="00EC0590" w:rsidR="002E62DB" w:rsidP="002E62DB" w:rsidRDefault="002E62DB" w14:paraId="712C69C0" w14:textId="77777777">
            <w:pPr>
              <w:rPr>
                <w:color w:val="000000"/>
                <w:u w:val="single"/>
              </w:rPr>
            </w:pPr>
          </w:p>
          <w:p w:rsidRPr="00EC0590" w:rsidR="002E62DB" w:rsidP="002E62DB" w:rsidRDefault="002E62DB" w14:paraId="4FE1D718" w14:textId="77777777">
            <w:pPr>
              <w:rPr>
                <w:color w:val="000000"/>
                <w:u w:val="single"/>
              </w:rPr>
            </w:pPr>
            <w:r w:rsidRPr="00EC0590">
              <w:rPr>
                <w:color w:val="000000"/>
                <w:u w:val="single"/>
              </w:rPr>
              <w:t>Resolution E-5356, page 20</w:t>
            </w:r>
          </w:p>
          <w:p w:rsidRPr="00EC0590" w:rsidR="002E62DB" w:rsidP="002E62DB" w:rsidRDefault="002E62DB" w14:paraId="2605A6BC" w14:textId="77777777">
            <w:pPr>
              <w:rPr>
                <w:color w:val="000000"/>
                <w:u w:val="single"/>
              </w:rPr>
            </w:pPr>
          </w:p>
          <w:p w:rsidRPr="00EC0590" w:rsidR="002E62DB" w:rsidP="002E62DB" w:rsidRDefault="002E62DB" w14:paraId="41DA4D2B" w14:textId="77777777">
            <w:pPr>
              <w:rPr>
                <w:color w:val="000000"/>
                <w:u w:val="single"/>
              </w:rPr>
            </w:pPr>
          </w:p>
          <w:p w:rsidRPr="00EC0590" w:rsidR="002E62DB" w:rsidP="002E62DB" w:rsidRDefault="002E62DB" w14:paraId="6ECF4069" w14:textId="77777777">
            <w:pPr>
              <w:rPr>
                <w:color w:val="000000"/>
                <w:u w:val="single"/>
              </w:rPr>
            </w:pPr>
          </w:p>
          <w:p w:rsidRPr="00EC0590" w:rsidR="002E62DB" w:rsidP="002E62DB" w:rsidRDefault="002E62DB" w14:paraId="1FE6FB86" w14:textId="77777777">
            <w:pPr>
              <w:rPr>
                <w:color w:val="000000"/>
                <w:u w:val="single"/>
              </w:rPr>
            </w:pPr>
          </w:p>
          <w:p w:rsidRPr="00EC0590" w:rsidR="002E62DB" w:rsidP="002E62DB" w:rsidRDefault="002E62DB" w14:paraId="7B4C156C" w14:textId="77777777">
            <w:pPr>
              <w:rPr>
                <w:color w:val="000000"/>
                <w:u w:val="single"/>
              </w:rPr>
            </w:pPr>
          </w:p>
          <w:p w:rsidRPr="00EC0590" w:rsidR="002E62DB" w:rsidP="002E62DB" w:rsidRDefault="002E62DB" w14:paraId="30DED6F5" w14:textId="77777777">
            <w:pPr>
              <w:rPr>
                <w:color w:val="000000"/>
                <w:u w:val="single"/>
              </w:rPr>
            </w:pPr>
            <w:r w:rsidRPr="00EC0590">
              <w:rPr>
                <w:color w:val="000000"/>
                <w:u w:val="single"/>
              </w:rPr>
              <w:t>TURN/NRDC protest to PG&amp;E Advice Letter 7351-E, SCE Advice Letter 5358-E, and SDG&amp;E Advice Letter 4492-E, September 3, 2024.</w:t>
            </w:r>
          </w:p>
          <w:p w:rsidRPr="00EC0590" w:rsidR="002E62DB" w:rsidP="002E62DB" w:rsidRDefault="002E62DB" w14:paraId="6FE93F41" w14:textId="77777777">
            <w:pPr>
              <w:rPr>
                <w:color w:val="000000"/>
                <w:u w:val="single"/>
              </w:rPr>
            </w:pPr>
          </w:p>
          <w:p w:rsidRPr="00EC0590" w:rsidR="002E62DB" w:rsidP="002E62DB" w:rsidRDefault="002E62DB" w14:paraId="622CA10A" w14:textId="77777777">
            <w:pPr>
              <w:rPr>
                <w:color w:val="000000"/>
                <w:u w:val="single"/>
              </w:rPr>
            </w:pPr>
          </w:p>
          <w:p w:rsidRPr="00EC0590" w:rsidR="002E62DB" w:rsidP="002E62DB" w:rsidRDefault="002E62DB" w14:paraId="652AE35C" w14:textId="77777777">
            <w:pPr>
              <w:rPr>
                <w:color w:val="000000"/>
                <w:u w:val="single"/>
              </w:rPr>
            </w:pPr>
          </w:p>
          <w:p w:rsidRPr="00EC0590" w:rsidR="002E62DB" w:rsidP="002E62DB" w:rsidRDefault="002E62DB" w14:paraId="39611B63" w14:textId="77777777">
            <w:pPr>
              <w:rPr>
                <w:color w:val="000000"/>
                <w:u w:val="single"/>
              </w:rPr>
            </w:pPr>
          </w:p>
          <w:p w:rsidRPr="00EC0590" w:rsidR="002E62DB" w:rsidP="002E62DB" w:rsidRDefault="002E62DB" w14:paraId="5D646C12" w14:textId="77777777">
            <w:pPr>
              <w:rPr>
                <w:color w:val="000000"/>
                <w:u w:val="single"/>
              </w:rPr>
            </w:pPr>
          </w:p>
          <w:p w:rsidRPr="00EC0590" w:rsidR="002E62DB" w:rsidP="002E62DB" w:rsidRDefault="002E62DB" w14:paraId="7092D6D6" w14:textId="77777777">
            <w:pPr>
              <w:rPr>
                <w:color w:val="000000"/>
                <w:u w:val="single"/>
              </w:rPr>
            </w:pPr>
          </w:p>
          <w:p w:rsidRPr="00EC0590" w:rsidR="002E62DB" w:rsidP="002E62DB" w:rsidRDefault="002E62DB" w14:paraId="4C48C9F3" w14:textId="77777777">
            <w:pPr>
              <w:rPr>
                <w:color w:val="000000"/>
                <w:u w:val="single"/>
              </w:rPr>
            </w:pPr>
          </w:p>
          <w:p w:rsidRPr="00EC0590" w:rsidR="002E62DB" w:rsidP="002E62DB" w:rsidRDefault="002E62DB" w14:paraId="1F785302" w14:textId="77777777">
            <w:pPr>
              <w:rPr>
                <w:color w:val="000000"/>
                <w:u w:val="single"/>
              </w:rPr>
            </w:pPr>
          </w:p>
          <w:p w:rsidRPr="00EC0590" w:rsidR="002E62DB" w:rsidP="00760850" w:rsidRDefault="002E62DB" w14:paraId="6615447F" w14:textId="77777777">
            <w:pPr>
              <w:rPr>
                <w:color w:val="000000"/>
                <w:u w:val="single"/>
              </w:rPr>
            </w:pPr>
          </w:p>
          <w:p w:rsidRPr="00EC0590" w:rsidR="002E62DB" w:rsidP="00760850" w:rsidRDefault="002E62DB" w14:paraId="58F1B4FF" w14:textId="77777777">
            <w:pPr>
              <w:rPr>
                <w:color w:val="000000"/>
                <w:u w:val="single"/>
              </w:rPr>
            </w:pPr>
          </w:p>
          <w:p w:rsidRPr="00EC0590" w:rsidR="002E62DB" w:rsidP="00760850" w:rsidRDefault="002E62DB" w14:paraId="4BB973F3" w14:textId="77777777">
            <w:pPr>
              <w:rPr>
                <w:color w:val="000000"/>
                <w:u w:val="single"/>
              </w:rPr>
            </w:pPr>
            <w:r w:rsidRPr="00EC0590">
              <w:rPr>
                <w:color w:val="000000"/>
                <w:u w:val="single"/>
              </w:rPr>
              <w:t>Resolution E-5355, page 30</w:t>
            </w:r>
          </w:p>
          <w:p w:rsidRPr="00EC0590" w:rsidR="002E62DB" w:rsidP="00760850" w:rsidRDefault="002E62DB" w14:paraId="24A21EE6" w14:textId="77777777"/>
        </w:tc>
        <w:tc>
          <w:tcPr>
            <w:tcW w:w="2070" w:type="dxa"/>
          </w:tcPr>
          <w:p w:rsidRPr="00EC0590" w:rsidR="002E62DB" w:rsidP="00760850" w:rsidRDefault="0006271D" w14:paraId="7A882D6D" w14:textId="614B0C97">
            <w:r>
              <w:lastRenderedPageBreak/>
              <w:t>Verified</w:t>
            </w:r>
          </w:p>
        </w:tc>
      </w:tr>
    </w:tbl>
    <w:p w:rsidRPr="00C02649" w:rsidR="00977337" w:rsidP="00977337" w:rsidRDefault="00977337" w14:paraId="3933E348" w14:textId="77777777">
      <w:pPr>
        <w:keepNext/>
        <w:keepLines/>
        <w:spacing w:before="240" w:after="240"/>
        <w:contextualSpacing/>
        <w:rPr>
          <w:b/>
          <w:color w:val="000000"/>
        </w:rPr>
      </w:pPr>
    </w:p>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597"/>
      </w:tblGrid>
      <w:tr w:rsidRPr="007F620E" w:rsidR="00A92D0B" w:rsidTr="00C5194D" w14:paraId="76F3266C" w14:textId="77777777">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597"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C5194D" w14:paraId="24A12BE1" w14:textId="77777777">
        <w:trPr>
          <w:tblHeader/>
        </w:trPr>
        <w:tc>
          <w:tcPr>
            <w:tcW w:w="6048" w:type="dxa"/>
          </w:tcPr>
          <w:p w:rsidRPr="007F620E" w:rsidR="00A92D0B" w:rsidP="00073262" w:rsidRDefault="00A92D0B" w14:paraId="6915FAF6" w14:textId="68DFD5FD">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A92D0B" w:rsidP="00757147" w:rsidRDefault="00757147" w14:paraId="0B49A7C8" w14:textId="6DF6CE72">
            <w:pPr>
              <w:keepNext/>
              <w:keepLines/>
              <w:jc w:val="center"/>
              <w:rPr>
                <w:color w:val="000000"/>
              </w:rPr>
            </w:pPr>
            <w:r>
              <w:rPr>
                <w:color w:val="000000"/>
              </w:rPr>
              <w:t>Y</w:t>
            </w:r>
          </w:p>
        </w:tc>
        <w:tc>
          <w:tcPr>
            <w:tcW w:w="1597" w:type="dxa"/>
          </w:tcPr>
          <w:p w:rsidRPr="00E25078" w:rsidR="00A92D0B" w:rsidP="00073262" w:rsidRDefault="0006271D" w14:paraId="23B6532A" w14:textId="38C08070">
            <w:pPr>
              <w:keepNext/>
              <w:keepLines/>
              <w:rPr>
                <w:color w:val="000000"/>
              </w:rPr>
            </w:pPr>
            <w:r>
              <w:rPr>
                <w:color w:val="000000"/>
              </w:rPr>
              <w:t>Yes</w:t>
            </w:r>
          </w:p>
        </w:tc>
      </w:tr>
      <w:tr w:rsidRPr="007F620E" w:rsidR="00A92D0B" w:rsidTr="00C5194D"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A92D0B" w:rsidP="00757147" w:rsidRDefault="00757147" w14:paraId="3708E485" w14:textId="305AE0D4">
            <w:pPr>
              <w:jc w:val="center"/>
              <w:rPr>
                <w:color w:val="000000"/>
              </w:rPr>
            </w:pPr>
            <w:r>
              <w:rPr>
                <w:color w:val="000000"/>
              </w:rPr>
              <w:t>Y</w:t>
            </w:r>
          </w:p>
        </w:tc>
        <w:tc>
          <w:tcPr>
            <w:tcW w:w="1597" w:type="dxa"/>
          </w:tcPr>
          <w:p w:rsidRPr="00E25078" w:rsidR="00A92D0B" w:rsidP="00073262" w:rsidRDefault="0006271D" w14:paraId="6B3388E6" w14:textId="41767DCD">
            <w:pPr>
              <w:rPr>
                <w:color w:val="000000"/>
              </w:rPr>
            </w:pPr>
            <w:r>
              <w:rPr>
                <w:color w:val="000000"/>
              </w:rPr>
              <w:t>Yes</w:t>
            </w:r>
          </w:p>
        </w:tc>
      </w:tr>
      <w:tr w:rsidRPr="007F620E" w:rsidR="00A92D0B" w:rsidTr="00C5194D" w14:paraId="0A51B7D4" w14:textId="77777777">
        <w:tc>
          <w:tcPr>
            <w:tcW w:w="7758" w:type="dxa"/>
            <w:gridSpan w:val="2"/>
          </w:tcPr>
          <w:p w:rsidR="00A92D0B" w:rsidP="00073262" w:rsidRDefault="00A92D0B" w14:paraId="30CB6275" w14:textId="7D63B4F2">
            <w:pPr>
              <w:ind w:left="360" w:hanging="360"/>
              <w:rPr>
                <w:color w:val="000000"/>
              </w:rPr>
            </w:pPr>
            <w:proofErr w:type="gramStart"/>
            <w:r w:rsidRPr="00E25078">
              <w:rPr>
                <w:b/>
                <w:color w:val="000000"/>
              </w:rPr>
              <w:t>c.</w:t>
            </w:r>
            <w:r w:rsidRPr="00E25078">
              <w:rPr>
                <w:b/>
                <w:color w:val="000000"/>
              </w:rPr>
              <w:tab/>
              <w:t>If</w:t>
            </w:r>
            <w:proofErr w:type="gramEnd"/>
            <w:r w:rsidRPr="00E25078">
              <w:rPr>
                <w:b/>
                <w:color w:val="000000"/>
              </w:rPr>
              <w:t xml:space="preserve"> so, provide name of other parties:</w:t>
            </w:r>
            <w:r w:rsidRPr="00E25078" w:rsidR="00E25078">
              <w:rPr>
                <w:color w:val="000000"/>
              </w:rPr>
              <w:t xml:space="preserve"> </w:t>
            </w:r>
          </w:p>
          <w:p w:rsidR="003C7189" w:rsidP="00073262" w:rsidRDefault="003C7189" w14:paraId="2DF777EC" w14:textId="77777777">
            <w:pPr>
              <w:ind w:left="360" w:hanging="360"/>
              <w:rPr>
                <w:color w:val="000000"/>
              </w:rPr>
            </w:pPr>
          </w:p>
          <w:p w:rsidRPr="00E25078" w:rsidR="00A92D0B" w:rsidP="00DF2616" w:rsidRDefault="003C7189" w14:paraId="0919176B" w14:textId="6E0E9438">
            <w:pPr>
              <w:rPr>
                <w:color w:val="000000"/>
              </w:rPr>
            </w:pPr>
            <w:r>
              <w:rPr>
                <w:color w:val="000000"/>
              </w:rPr>
              <w:lastRenderedPageBreak/>
              <w:t>Solar Energy Industries Association (SEIA), Center for Accessible Technology (</w:t>
            </w:r>
            <w:proofErr w:type="spellStart"/>
            <w:r>
              <w:rPr>
                <w:color w:val="000000"/>
              </w:rPr>
              <w:t>CforAT</w:t>
            </w:r>
            <w:proofErr w:type="spellEnd"/>
            <w:r>
              <w:rPr>
                <w:color w:val="000000"/>
              </w:rPr>
              <w:t>).</w:t>
            </w:r>
          </w:p>
        </w:tc>
        <w:tc>
          <w:tcPr>
            <w:tcW w:w="1597" w:type="dxa"/>
          </w:tcPr>
          <w:p w:rsidRPr="00E25078" w:rsidR="00A92D0B" w:rsidP="00073262" w:rsidRDefault="0049226E" w14:paraId="22A40B49" w14:textId="275DF831">
            <w:pPr>
              <w:rPr>
                <w:color w:val="000000"/>
              </w:rPr>
            </w:pPr>
            <w:r>
              <w:rPr>
                <w:color w:val="000000"/>
              </w:rPr>
              <w:lastRenderedPageBreak/>
              <w:t>Noted</w:t>
            </w:r>
          </w:p>
        </w:tc>
      </w:tr>
      <w:tr w:rsidRPr="007F620E" w:rsidR="00A92D0B" w:rsidTr="00C5194D" w14:paraId="744830F5" w14:textId="77777777">
        <w:tc>
          <w:tcPr>
            <w:tcW w:w="7758" w:type="dxa"/>
            <w:gridSpan w:val="2"/>
          </w:tcPr>
          <w:p w:rsidRPr="00E25078" w:rsidR="00A92D0B" w:rsidP="00073262" w:rsidRDefault="00A92D0B" w14:paraId="7C05FE5A" w14:textId="7521972E">
            <w:pPr>
              <w:tabs>
                <w:tab w:val="left" w:pos="360"/>
              </w:tabs>
              <w:ind w:left="360" w:hanging="3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r w:rsidRPr="00E25078" w:rsidR="00E25078">
              <w:rPr>
                <w:color w:val="000000"/>
              </w:rPr>
              <w:t xml:space="preserve"> </w:t>
            </w:r>
          </w:p>
          <w:p w:rsidR="00266593" w:rsidP="00D77FCB" w:rsidRDefault="008B56D8" w14:paraId="0BEDEFAF" w14:textId="7C61FF6A">
            <w:pPr>
              <w:spacing w:before="100" w:beforeAutospacing="1" w:after="100" w:afterAutospacing="1"/>
              <w:rPr>
                <w:color w:val="000000"/>
              </w:rPr>
            </w:pPr>
            <w:r>
              <w:rPr>
                <w:color w:val="000000"/>
              </w:rPr>
              <w:t xml:space="preserve">TURN was the only party that protested SDG&amp;E’s first Advice Letter seeking to modify the CARE discount (AL 4572-E). TURN </w:t>
            </w:r>
            <w:r w:rsidR="00266593">
              <w:rPr>
                <w:color w:val="000000"/>
              </w:rPr>
              <w:t xml:space="preserve">reached out to, and </w:t>
            </w:r>
            <w:r>
              <w:rPr>
                <w:color w:val="000000"/>
              </w:rPr>
              <w:t>coordinated with</w:t>
            </w:r>
            <w:r w:rsidR="00266593">
              <w:rPr>
                <w:color w:val="000000"/>
              </w:rPr>
              <w:t>,</w:t>
            </w:r>
            <w:r>
              <w:rPr>
                <w:color w:val="000000"/>
              </w:rPr>
              <w:t xml:space="preserve"> Cal Advocates on protests to the second Advice Letter (AL-4582-E). </w:t>
            </w:r>
            <w:r w:rsidR="00266593">
              <w:rPr>
                <w:color w:val="000000"/>
              </w:rPr>
              <w:t>Because TURN was the only party that initially protested SDG&amp;E’s proposed methodology, SDG&amp;E’s methodology would likely have remained unchallenged absent TURN’s participation.</w:t>
            </w:r>
          </w:p>
          <w:p w:rsidRPr="00E25078" w:rsidR="00A92D0B" w:rsidP="00D77FCB" w:rsidRDefault="003E7463" w14:paraId="3228BB07" w14:textId="633F207E">
            <w:pPr>
              <w:spacing w:before="100" w:beforeAutospacing="1" w:after="100" w:afterAutospacing="1"/>
              <w:rPr>
                <w:color w:val="000000"/>
              </w:rPr>
            </w:pPr>
            <w:r>
              <w:rPr>
                <w:color w:val="000000"/>
              </w:rPr>
              <w:t xml:space="preserve">TURN’s protest to the IGFC implementation Advice Letters was done jointly with the Natural Resources Defense Council (NRDC). </w:t>
            </w:r>
            <w:r w:rsidR="00DD4A19">
              <w:rPr>
                <w:color w:val="000000"/>
              </w:rPr>
              <w:t xml:space="preserve">TURN did the primary work on this protest, limiting any time on this effort by NRDC. </w:t>
            </w:r>
            <w:r w:rsidR="004014B5">
              <w:rPr>
                <w:color w:val="000000"/>
              </w:rPr>
              <w:t xml:space="preserve">While other parties filed protests to the IGFC implementation Advice Letters, </w:t>
            </w:r>
            <w:r>
              <w:rPr>
                <w:color w:val="000000"/>
              </w:rPr>
              <w:t>the</w:t>
            </w:r>
            <w:r w:rsidR="007E2750">
              <w:rPr>
                <w:color w:val="000000"/>
              </w:rPr>
              <w:t xml:space="preserve"> concerns </w:t>
            </w:r>
            <w:r>
              <w:rPr>
                <w:color w:val="000000"/>
              </w:rPr>
              <w:t xml:space="preserve">raised by TURN/NRDC </w:t>
            </w:r>
            <w:r w:rsidR="007E2750">
              <w:rPr>
                <w:color w:val="000000"/>
              </w:rPr>
              <w:t xml:space="preserve">were unique and did not generally overlap with the issues raised by other parties. </w:t>
            </w:r>
            <w:r w:rsidR="00965A6D">
              <w:rPr>
                <w:color w:val="000000"/>
              </w:rPr>
              <w:t>To the extent that any duplication occurred, it was unavoidable due to the nature of the litigation process and the array of issues addressed. TURN</w:t>
            </w:r>
            <w:r w:rsidR="00DD4A19">
              <w:rPr>
                <w:color w:val="000000"/>
              </w:rPr>
              <w:t xml:space="preserve"> and NRDC</w:t>
            </w:r>
            <w:r w:rsidR="00965A6D">
              <w:rPr>
                <w:color w:val="000000"/>
              </w:rPr>
              <w:t xml:space="preserve"> worked diligently to ensure that its involvement uniquely influenced the outcome of </w:t>
            </w:r>
            <w:r w:rsidR="007E2750">
              <w:rPr>
                <w:color w:val="000000"/>
              </w:rPr>
              <w:t>final Commission resolutions.</w:t>
            </w:r>
          </w:p>
        </w:tc>
        <w:tc>
          <w:tcPr>
            <w:tcW w:w="1597" w:type="dxa"/>
          </w:tcPr>
          <w:p w:rsidRPr="00E25078" w:rsidR="00A92D0B" w:rsidP="00073262" w:rsidRDefault="0006271D" w14:paraId="5F9BBA55" w14:textId="1C668E27">
            <w:pPr>
              <w:tabs>
                <w:tab w:val="left" w:pos="360"/>
              </w:tabs>
              <w:ind w:left="360" w:hanging="360"/>
              <w:rPr>
                <w:color w:val="000000"/>
              </w:rPr>
            </w:pPr>
            <w:r>
              <w:rPr>
                <w:color w:val="000000"/>
              </w:rPr>
              <w:t>Noted</w:t>
            </w:r>
          </w:p>
        </w:tc>
      </w:tr>
    </w:tbl>
    <w:p w:rsidRPr="007F620E" w:rsidR="00B312DA" w:rsidP="005B5B44" w:rsidRDefault="00A92D0B" w14:paraId="175C3F89" w14:textId="4835545D">
      <w:pPr>
        <w:keepNext/>
        <w:tabs>
          <w:tab w:val="left" w:pos="1260"/>
        </w:tabs>
        <w:spacing w:before="480"/>
        <w:ind w:left="1267" w:hanging="1267"/>
        <w:jc w:val="center"/>
        <w:rPr>
          <w:b/>
          <w:color w:val="000000"/>
        </w:rPr>
      </w:pPr>
      <w:r w:rsidRPr="007F620E">
        <w:rPr>
          <w:b/>
          <w:color w:val="000000"/>
        </w:rPr>
        <w:t>PART III</w:t>
      </w:r>
      <w:proofErr w:type="gramStart"/>
      <w:r w:rsidRPr="007F620E">
        <w:rPr>
          <w:b/>
          <w:color w:val="000000"/>
        </w:rPr>
        <w:t>:</w:t>
      </w:r>
      <w:r w:rsidR="00D1778A">
        <w:rPr>
          <w:b/>
          <w:color w:val="000000"/>
        </w:rPr>
        <w:t xml:space="preserve">  </w:t>
      </w:r>
      <w:r w:rsidRPr="007F620E">
        <w:rPr>
          <w:b/>
          <w:color w:val="000000"/>
        </w:rPr>
        <w:t>REASONABLENESS</w:t>
      </w:r>
      <w:proofErr w:type="gramEnd"/>
      <w:r w:rsidRPr="007F620E">
        <w:rPr>
          <w:b/>
          <w:color w:val="000000"/>
        </w:rPr>
        <w:t xml:space="preserve">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1867"/>
      </w:tblGrid>
      <w:tr w:rsidRPr="007F620E" w:rsidR="00FE3BAE" w:rsidTr="00C5194D"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1867"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C5194D" w14:paraId="5708510E" w14:textId="77777777">
        <w:tc>
          <w:tcPr>
            <w:tcW w:w="7488" w:type="dxa"/>
            <w:tcBorders>
              <w:bottom w:val="single" w:color="auto" w:sz="4" w:space="0"/>
            </w:tcBorders>
          </w:tcPr>
          <w:p w:rsidRPr="00E25078" w:rsidR="00FC6CB0" w:rsidP="00FC6CB0" w:rsidRDefault="00FC6CB0" w14:paraId="12B81B18" w14:textId="77777777">
            <w:pPr>
              <w:rPr>
                <w:color w:val="000000"/>
              </w:rPr>
            </w:pPr>
            <w:r w:rsidRPr="007F620E">
              <w:rPr>
                <w:b/>
                <w:color w:val="000000"/>
              </w:rPr>
              <w:t>a. Intervenor’s claim of cost reasonableness:</w:t>
            </w:r>
            <w:r w:rsidRPr="00E25078">
              <w:rPr>
                <w:color w:val="000000"/>
              </w:rPr>
              <w:t xml:space="preserve"> </w:t>
            </w:r>
          </w:p>
          <w:p w:rsidR="00FC6CB0" w:rsidP="00FC6CB0" w:rsidRDefault="00FC6CB0" w14:paraId="3BF42FE0" w14:textId="074C3E89">
            <w:pPr>
              <w:spacing w:before="100" w:beforeAutospacing="1" w:after="100" w:afterAutospacing="1"/>
              <w:rPr>
                <w:color w:val="000000"/>
              </w:rPr>
            </w:pPr>
            <w:r w:rsidRPr="00CF7060">
              <w:rPr>
                <w:color w:val="000000"/>
              </w:rPr>
              <w:t>As demonstrated in the substantial contribution section, TURN’s participation had a</w:t>
            </w:r>
            <w:r w:rsidR="004014B5">
              <w:rPr>
                <w:color w:val="000000"/>
              </w:rPr>
              <w:t>n</w:t>
            </w:r>
            <w:r>
              <w:rPr>
                <w:color w:val="000000"/>
              </w:rPr>
              <w:t xml:space="preserve"> </w:t>
            </w:r>
            <w:r w:rsidRPr="00CF7060">
              <w:rPr>
                <w:color w:val="000000"/>
              </w:rPr>
              <w:t xml:space="preserve">impact on the </w:t>
            </w:r>
            <w:r w:rsidR="004014B5">
              <w:rPr>
                <w:color w:val="000000"/>
              </w:rPr>
              <w:t xml:space="preserve">final proposals submitted by the three IOUs and the Commission’s </w:t>
            </w:r>
            <w:r w:rsidR="008D663B">
              <w:rPr>
                <w:color w:val="000000"/>
              </w:rPr>
              <w:t>approval</w:t>
            </w:r>
            <w:r w:rsidR="004014B5">
              <w:rPr>
                <w:color w:val="000000"/>
              </w:rPr>
              <w:t xml:space="preserve"> of various Advice Letter filings, including:</w:t>
            </w:r>
          </w:p>
          <w:p w:rsidR="004014B5" w:rsidP="00FC6CB0" w:rsidRDefault="00FC6CB0" w14:paraId="25381393" w14:textId="741A9349">
            <w:pPr>
              <w:spacing w:before="100" w:beforeAutospacing="1" w:after="100" w:afterAutospacing="1"/>
              <w:rPr>
                <w:color w:val="000000"/>
              </w:rPr>
            </w:pPr>
            <w:r>
              <w:rPr>
                <w:color w:val="000000"/>
              </w:rPr>
              <w:t>•</w:t>
            </w:r>
            <w:r w:rsidR="004014B5">
              <w:rPr>
                <w:color w:val="000000"/>
              </w:rPr>
              <w:t xml:space="preserve"> Preventing </w:t>
            </w:r>
            <w:r w:rsidR="008D663B">
              <w:rPr>
                <w:color w:val="000000"/>
              </w:rPr>
              <w:t xml:space="preserve">SDG&amp;E from unilaterally reducing its average effective CARE discount from 35% to 32.5%. </w:t>
            </w:r>
          </w:p>
          <w:p w:rsidR="008D663B" w:rsidP="00FC6CB0" w:rsidRDefault="008D663B" w14:paraId="5652A03D" w14:textId="7F1A7DE8">
            <w:pPr>
              <w:spacing w:before="100" w:beforeAutospacing="1" w:after="100" w:afterAutospacing="1"/>
              <w:rPr>
                <w:color w:val="000000"/>
              </w:rPr>
            </w:pPr>
            <w:r>
              <w:rPr>
                <w:color w:val="000000"/>
              </w:rPr>
              <w:t xml:space="preserve">• </w:t>
            </w:r>
            <w:r w:rsidR="005B57A4">
              <w:rPr>
                <w:color w:val="000000"/>
              </w:rPr>
              <w:t xml:space="preserve">Ensuring that IGFC ME&amp;O plans focus on </w:t>
            </w:r>
            <w:proofErr w:type="gramStart"/>
            <w:r w:rsidR="005B57A4">
              <w:rPr>
                <w:color w:val="000000"/>
              </w:rPr>
              <w:t>hard to reach</w:t>
            </w:r>
            <w:proofErr w:type="gramEnd"/>
            <w:r w:rsidR="005B57A4">
              <w:rPr>
                <w:color w:val="000000"/>
              </w:rPr>
              <w:t xml:space="preserve"> customers and customers eligible for, but not already enrolled in, CARE or FERA.</w:t>
            </w:r>
          </w:p>
          <w:p w:rsidR="005B57A4" w:rsidP="00FC6CB0" w:rsidRDefault="005B57A4" w14:paraId="31A388D4" w14:textId="7E6E3967">
            <w:pPr>
              <w:spacing w:before="100" w:beforeAutospacing="1" w:after="100" w:afterAutospacing="1"/>
              <w:rPr>
                <w:color w:val="000000"/>
              </w:rPr>
            </w:pPr>
            <w:r>
              <w:rPr>
                <w:color w:val="000000"/>
              </w:rPr>
              <w:t>• Requiring SCE and SDG&amp;E to file additional Advice Letters detailing several elements of their proposals and impacts on different rate schedules.</w:t>
            </w:r>
          </w:p>
          <w:p w:rsidRPr="003D4455" w:rsidR="00853BFD" w:rsidP="00EC6387" w:rsidRDefault="00FC6CB0" w14:paraId="2B1A1242" w14:textId="27BA372A">
            <w:pPr>
              <w:rPr>
                <w:color w:val="000000"/>
              </w:rPr>
            </w:pPr>
            <w:r>
              <w:rPr>
                <w:color w:val="000000"/>
              </w:rPr>
              <w:lastRenderedPageBreak/>
              <w:t xml:space="preserve">Given these specific and substantial contributions, </w:t>
            </w:r>
            <w:r w:rsidRPr="00CF7060">
              <w:rPr>
                <w:color w:val="000000"/>
              </w:rPr>
              <w:t>the benefits associated with TURN’s participation far exceed the cost of TURN’s</w:t>
            </w:r>
            <w:r w:rsidR="00BD362A">
              <w:rPr>
                <w:color w:val="000000"/>
              </w:rPr>
              <w:t xml:space="preserve"> participation</w:t>
            </w:r>
            <w:r w:rsidRPr="00CF7060">
              <w:rPr>
                <w:color w:val="000000"/>
              </w:rPr>
              <w:t>. TURN’s claim should be found to be reasonable.</w:t>
            </w:r>
          </w:p>
        </w:tc>
        <w:tc>
          <w:tcPr>
            <w:tcW w:w="1867" w:type="dxa"/>
          </w:tcPr>
          <w:p w:rsidRPr="00FE3BAE" w:rsidR="00FE3BAE" w:rsidP="00EC6387" w:rsidRDefault="0006271D" w14:paraId="223B4665" w14:textId="58EFF649">
            <w:pPr>
              <w:rPr>
                <w:color w:val="000000"/>
              </w:rPr>
            </w:pPr>
            <w:r>
              <w:rPr>
                <w:color w:val="000000"/>
              </w:rPr>
              <w:lastRenderedPageBreak/>
              <w:t>Noted</w:t>
            </w:r>
          </w:p>
        </w:tc>
      </w:tr>
      <w:tr w:rsidRPr="007F620E" w:rsidR="00FE3BAE" w:rsidTr="00C5194D" w14:paraId="5548029C" w14:textId="77777777">
        <w:tc>
          <w:tcPr>
            <w:tcW w:w="7488" w:type="dxa"/>
          </w:tcPr>
          <w:p w:rsidRPr="00E25078"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00602A84" w:rsidP="00602A84" w:rsidRDefault="00602A84" w14:paraId="46258372" w14:textId="7CFB7EB5">
            <w:pPr>
              <w:spacing w:before="100" w:beforeAutospacing="1" w:after="100" w:afterAutospacing="1"/>
              <w:rPr>
                <w:color w:val="000000"/>
              </w:rPr>
            </w:pPr>
            <w:r>
              <w:rPr>
                <w:color w:val="000000"/>
              </w:rPr>
              <w:t xml:space="preserve">TURN </w:t>
            </w:r>
            <w:r w:rsidRPr="00610B7B">
              <w:rPr>
                <w:color w:val="000000"/>
              </w:rPr>
              <w:t xml:space="preserve">devoted the minimum number of hours to reviewing </w:t>
            </w:r>
            <w:r w:rsidR="005B57A4">
              <w:rPr>
                <w:color w:val="000000"/>
              </w:rPr>
              <w:t xml:space="preserve">the IOU Advice Letters, drafting protests, and communicating directly with the IOUs and Energy Division staff. </w:t>
            </w:r>
          </w:p>
          <w:p w:rsidRPr="00414252" w:rsidR="00602A84" w:rsidP="00602A84" w:rsidRDefault="00602A84" w14:paraId="6B1680B4" w14:textId="77777777">
            <w:pPr>
              <w:spacing w:before="100" w:beforeAutospacing="1" w:after="100" w:afterAutospacing="1"/>
              <w:rPr>
                <w:b/>
                <w:color w:val="000000"/>
              </w:rPr>
            </w:pPr>
            <w:r w:rsidRPr="00414252">
              <w:rPr>
                <w:b/>
                <w:color w:val="000000"/>
              </w:rPr>
              <w:t>Reasonableness of Staffing</w:t>
            </w:r>
          </w:p>
          <w:p w:rsidR="005B57A4" w:rsidP="008C1118" w:rsidRDefault="008C1118" w14:paraId="2F8A82CE" w14:textId="77777777">
            <w:pPr>
              <w:spacing w:before="100" w:beforeAutospacing="1" w:after="100" w:afterAutospacing="1"/>
              <w:rPr>
                <w:color w:val="000000"/>
              </w:rPr>
            </w:pPr>
            <w:r>
              <w:rPr>
                <w:color w:val="000000"/>
                <w:u w:val="single"/>
              </w:rPr>
              <w:t>Matthew Freedman</w:t>
            </w:r>
            <w:r>
              <w:rPr>
                <w:color w:val="000000"/>
              </w:rPr>
              <w:t xml:space="preserve"> </w:t>
            </w:r>
          </w:p>
          <w:p w:rsidR="005B57A4" w:rsidP="008C1118" w:rsidRDefault="005B57A4" w14:paraId="514581D3" w14:textId="00939146">
            <w:pPr>
              <w:spacing w:before="100" w:beforeAutospacing="1" w:after="100" w:afterAutospacing="1"/>
              <w:rPr>
                <w:color w:val="000000"/>
              </w:rPr>
            </w:pPr>
            <w:r>
              <w:rPr>
                <w:color w:val="000000"/>
              </w:rPr>
              <w:t xml:space="preserve">TURN’s </w:t>
            </w:r>
            <w:r w:rsidR="008C1118">
              <w:rPr>
                <w:color w:val="000000"/>
              </w:rPr>
              <w:t xml:space="preserve">lead attorney </w:t>
            </w:r>
            <w:r>
              <w:rPr>
                <w:color w:val="000000"/>
              </w:rPr>
              <w:t>was</w:t>
            </w:r>
            <w:r w:rsidR="008C1118">
              <w:rPr>
                <w:color w:val="000000"/>
              </w:rPr>
              <w:t xml:space="preserve"> </w:t>
            </w:r>
            <w:r w:rsidRPr="00610B7B" w:rsidR="008C1118">
              <w:rPr>
                <w:color w:val="000000"/>
              </w:rPr>
              <w:t>Matthew Freedman</w:t>
            </w:r>
            <w:r w:rsidR="008C1118">
              <w:rPr>
                <w:color w:val="000000"/>
              </w:rPr>
              <w:t xml:space="preserve">. Mr. Freedman </w:t>
            </w:r>
            <w:r>
              <w:rPr>
                <w:color w:val="000000"/>
              </w:rPr>
              <w:t xml:space="preserve">took the lead in drafting TURN’s protest to SDG&amp;E AL 4572-E and 4582-E (CARE discount methodology). Mr. Freedman also reviewed and revised TURN’s protest to the IGFC implementation Advice Letters submitted by </w:t>
            </w:r>
            <w:r w:rsidR="003C6123">
              <w:rPr>
                <w:color w:val="000000"/>
              </w:rPr>
              <w:t>PG&amp;E, SCE and SDG&amp;E.</w:t>
            </w:r>
          </w:p>
          <w:p w:rsidR="008C1118" w:rsidP="008C1118" w:rsidRDefault="008C1118" w14:paraId="19A461CD" w14:textId="77777777">
            <w:pPr>
              <w:spacing w:before="100" w:beforeAutospacing="1" w:after="100" w:afterAutospacing="1"/>
              <w:rPr>
                <w:color w:val="000000"/>
              </w:rPr>
            </w:pPr>
            <w:r>
              <w:rPr>
                <w:color w:val="000000"/>
                <w:u w:val="single"/>
              </w:rPr>
              <w:t>Sylvie Ashford</w:t>
            </w:r>
          </w:p>
          <w:p w:rsidRPr="009C43CF" w:rsidR="008C1118" w:rsidP="008C1118" w:rsidRDefault="008C1118" w14:paraId="5248A80C" w14:textId="6555DC1B">
            <w:pPr>
              <w:spacing w:before="100" w:beforeAutospacing="1" w:after="100" w:afterAutospacing="1"/>
              <w:rPr>
                <w:color w:val="000000"/>
              </w:rPr>
            </w:pPr>
            <w:r>
              <w:rPr>
                <w:color w:val="000000"/>
              </w:rPr>
              <w:t>Sylvie Ashford served as an expert witness on behalf of TURN and NRDC</w:t>
            </w:r>
            <w:r w:rsidR="005B57A4">
              <w:rPr>
                <w:color w:val="000000"/>
              </w:rPr>
              <w:t xml:space="preserve"> in R.22-07-005</w:t>
            </w:r>
            <w:r>
              <w:rPr>
                <w:color w:val="000000"/>
              </w:rPr>
              <w:t xml:space="preserve">. </w:t>
            </w:r>
            <w:r w:rsidR="005B57A4">
              <w:rPr>
                <w:color w:val="000000"/>
              </w:rPr>
              <w:t>Ms. Ashford was the primary TURN staffer responsible for reviewing the IGFC implementation advice letters and drafting the protest. Ms. Ashford also assisted Mr. Freedman in responding to the SDG&amp;E CARE discount proposal.</w:t>
            </w:r>
          </w:p>
          <w:p w:rsidRPr="00610B7B" w:rsidR="00602A84" w:rsidP="00602A84" w:rsidRDefault="00602A84" w14:paraId="67B6EA86" w14:textId="77777777">
            <w:pPr>
              <w:spacing w:before="100" w:beforeAutospacing="1" w:after="100" w:afterAutospacing="1"/>
              <w:rPr>
                <w:u w:val="single"/>
              </w:rPr>
            </w:pPr>
            <w:r>
              <w:rPr>
                <w:u w:val="single"/>
              </w:rPr>
              <w:t>C</w:t>
            </w:r>
            <w:r w:rsidRPr="00610B7B">
              <w:rPr>
                <w:u w:val="single"/>
              </w:rPr>
              <w:t>ompensation Request </w:t>
            </w:r>
          </w:p>
          <w:p w:rsidRPr="007F620E" w:rsidR="00691528" w:rsidP="00EC6387" w:rsidRDefault="00602A84" w14:paraId="694F0B63" w14:textId="10BCF273">
            <w:pPr>
              <w:rPr>
                <w:color w:val="000000"/>
              </w:rPr>
            </w:pPr>
            <w:r w:rsidRPr="00610B7B">
              <w:t xml:space="preserve">TURN’s request also includes </w:t>
            </w:r>
            <w:r w:rsidR="0064105C">
              <w:t>6</w:t>
            </w:r>
            <w:r w:rsidRPr="00610B7B">
              <w:t xml:space="preserve"> hours devoted to the preparation of compensation-related filings.</w:t>
            </w:r>
            <w:r>
              <w:t xml:space="preserve"> T</w:t>
            </w:r>
            <w:r w:rsidRPr="00610B7B">
              <w:t>he time devoted to this compensation request is appropriate and should be found to be reasonable.</w:t>
            </w:r>
          </w:p>
        </w:tc>
        <w:tc>
          <w:tcPr>
            <w:tcW w:w="1867" w:type="dxa"/>
          </w:tcPr>
          <w:p w:rsidRPr="007F620E" w:rsidR="00FE3BAE" w:rsidP="00EC6387" w:rsidRDefault="0006271D" w14:paraId="1874D625" w14:textId="3BBBE88C">
            <w:pPr>
              <w:rPr>
                <w:color w:val="000000"/>
              </w:rPr>
            </w:pPr>
            <w:r>
              <w:rPr>
                <w:color w:val="000000"/>
              </w:rPr>
              <w:t>Noted</w:t>
            </w:r>
          </w:p>
        </w:tc>
      </w:tr>
      <w:tr w:rsidRPr="007F620E" w:rsidR="00FE3BAE" w:rsidTr="00C5194D" w14:paraId="3FD38B74" w14:textId="77777777">
        <w:tc>
          <w:tcPr>
            <w:tcW w:w="7488" w:type="dxa"/>
          </w:tcPr>
          <w:p w:rsidRPr="007324EA" w:rsidR="00970D19" w:rsidP="00970D19" w:rsidRDefault="00970D19" w14:paraId="38CEDC5B" w14:textId="77777777">
            <w:pPr>
              <w:rPr>
                <w:color w:val="000000"/>
              </w:rPr>
            </w:pPr>
            <w:r w:rsidRPr="007324EA">
              <w:rPr>
                <w:b/>
                <w:color w:val="000000"/>
              </w:rPr>
              <w:t>c. Allocation of hours by issue:</w:t>
            </w:r>
            <w:r w:rsidRPr="007324EA">
              <w:rPr>
                <w:color w:val="000000"/>
              </w:rPr>
              <w:t xml:space="preserve"> </w:t>
            </w:r>
          </w:p>
          <w:p w:rsidRPr="007324EA" w:rsidR="00970D19" w:rsidP="00970D19" w:rsidRDefault="00970D19" w14:paraId="72E85B68" w14:textId="77777777">
            <w:pPr>
              <w:tabs>
                <w:tab w:val="left" w:pos="1260"/>
              </w:tabs>
              <w:spacing w:before="120"/>
              <w:rPr>
                <w:color w:val="000000"/>
              </w:rPr>
            </w:pPr>
            <w:r w:rsidRPr="007324EA">
              <w:rPr>
                <w:color w:val="000000"/>
              </w:rPr>
              <w:t xml:space="preserve">TURN has allocated all attorney time by issue area or activity, as evident on our attached timesheets. The following codes relate to specific substantive </w:t>
            </w:r>
            <w:proofErr w:type="gramStart"/>
            <w:r w:rsidRPr="007324EA">
              <w:rPr>
                <w:color w:val="000000"/>
              </w:rPr>
              <w:t>issue</w:t>
            </w:r>
            <w:proofErr w:type="gramEnd"/>
            <w:r w:rsidRPr="007324EA">
              <w:rPr>
                <w:color w:val="000000"/>
              </w:rPr>
              <w:t xml:space="preserve"> and activity areas addressed by TURN. TURN also provides an approximate breakdown of the number of hours spent on each task and the percentage of total hours devoted to each category (note that the numbers do not equal 100% due to rounding).</w:t>
            </w:r>
          </w:p>
          <w:p w:rsidRPr="007324EA" w:rsidR="00970D19" w:rsidP="00970D19" w:rsidRDefault="0064105C" w14:paraId="5707A881" w14:textId="22CA9C38">
            <w:pPr>
              <w:tabs>
                <w:tab w:val="left" w:pos="1260"/>
              </w:tabs>
              <w:spacing w:before="120"/>
              <w:rPr>
                <w:b/>
                <w:color w:val="000000"/>
              </w:rPr>
            </w:pPr>
            <w:r>
              <w:rPr>
                <w:b/>
                <w:color w:val="000000"/>
              </w:rPr>
              <w:t>IGFC Implementation</w:t>
            </w:r>
            <w:r w:rsidRPr="007324EA" w:rsidR="00970D19">
              <w:rPr>
                <w:b/>
                <w:color w:val="000000"/>
              </w:rPr>
              <w:t xml:space="preserve"> (</w:t>
            </w:r>
            <w:r>
              <w:rPr>
                <w:b/>
                <w:color w:val="000000"/>
              </w:rPr>
              <w:t>IMPLEMENT</w:t>
            </w:r>
            <w:r w:rsidRPr="007324EA" w:rsidR="00970D19">
              <w:rPr>
                <w:b/>
                <w:color w:val="000000"/>
              </w:rPr>
              <w:t>) –</w:t>
            </w:r>
            <w:r w:rsidR="00970D19">
              <w:rPr>
                <w:b/>
                <w:color w:val="000000"/>
              </w:rPr>
              <w:t xml:space="preserve"> </w:t>
            </w:r>
            <w:r>
              <w:rPr>
                <w:b/>
                <w:color w:val="000000"/>
              </w:rPr>
              <w:t>28</w:t>
            </w:r>
            <w:r w:rsidR="00970D19">
              <w:rPr>
                <w:b/>
                <w:color w:val="000000"/>
              </w:rPr>
              <w:t xml:space="preserve"> </w:t>
            </w:r>
            <w:r w:rsidRPr="007324EA" w:rsidR="00970D19">
              <w:rPr>
                <w:b/>
                <w:color w:val="000000"/>
              </w:rPr>
              <w:t>hours –</w:t>
            </w:r>
            <w:r w:rsidR="00970D19">
              <w:rPr>
                <w:b/>
                <w:color w:val="000000"/>
              </w:rPr>
              <w:t xml:space="preserve"> </w:t>
            </w:r>
            <w:r>
              <w:rPr>
                <w:b/>
                <w:color w:val="000000"/>
              </w:rPr>
              <w:t>75.68</w:t>
            </w:r>
            <w:r w:rsidRPr="007324EA" w:rsidR="00970D19">
              <w:rPr>
                <w:b/>
                <w:color w:val="000000"/>
              </w:rPr>
              <w:t>% of total</w:t>
            </w:r>
          </w:p>
          <w:p w:rsidR="003E7463" w:rsidP="00970D19" w:rsidRDefault="003E7463" w14:paraId="7D9C059A" w14:textId="4D01200F">
            <w:pPr>
              <w:tabs>
                <w:tab w:val="left" w:pos="1260"/>
              </w:tabs>
              <w:spacing w:before="120"/>
              <w:rPr>
                <w:color w:val="000000"/>
              </w:rPr>
            </w:pPr>
            <w:r>
              <w:rPr>
                <w:color w:val="000000"/>
              </w:rPr>
              <w:lastRenderedPageBreak/>
              <w:t xml:space="preserve">Review of PG&amp;E, SCE and SDG&amp;E IGFC implementation Advice Letters and drafting a single joint protest </w:t>
            </w:r>
            <w:r w:rsidR="0057492B">
              <w:rPr>
                <w:color w:val="000000"/>
              </w:rPr>
              <w:t xml:space="preserve">addressing Marketing, Education and Outreach issues, the recovery of implementation costs, and the assessment of rate impacts. This work included </w:t>
            </w:r>
            <w:r w:rsidR="00CE7A1C">
              <w:rPr>
                <w:color w:val="000000"/>
              </w:rPr>
              <w:t>coordination with NRDC on the development of a joint combined protest to all three Advice Letters.</w:t>
            </w:r>
          </w:p>
          <w:p w:rsidRPr="007324EA" w:rsidR="00970D19" w:rsidP="00970D19" w:rsidRDefault="0064105C" w14:paraId="12949399" w14:textId="77D09255">
            <w:pPr>
              <w:tabs>
                <w:tab w:val="left" w:pos="1260"/>
              </w:tabs>
              <w:spacing w:before="120"/>
              <w:rPr>
                <w:b/>
                <w:color w:val="000000"/>
              </w:rPr>
            </w:pPr>
            <w:r>
              <w:rPr>
                <w:b/>
                <w:color w:val="000000"/>
              </w:rPr>
              <w:t xml:space="preserve">SDG&amp;E CARE discount methodology (SDGE-CARE) </w:t>
            </w:r>
            <w:r w:rsidRPr="007324EA" w:rsidR="00970D19">
              <w:rPr>
                <w:b/>
                <w:color w:val="000000"/>
              </w:rPr>
              <w:t xml:space="preserve">– </w:t>
            </w:r>
            <w:r>
              <w:rPr>
                <w:b/>
                <w:color w:val="000000"/>
              </w:rPr>
              <w:t>9</w:t>
            </w:r>
            <w:r w:rsidRPr="007324EA" w:rsidR="00970D19">
              <w:rPr>
                <w:b/>
                <w:color w:val="000000"/>
              </w:rPr>
              <w:t xml:space="preserve"> hours – </w:t>
            </w:r>
            <w:r>
              <w:rPr>
                <w:b/>
                <w:color w:val="000000"/>
              </w:rPr>
              <w:t>24.32</w:t>
            </w:r>
            <w:r w:rsidRPr="007324EA" w:rsidR="00970D19">
              <w:rPr>
                <w:b/>
                <w:color w:val="000000"/>
              </w:rPr>
              <w:t>% of total</w:t>
            </w:r>
          </w:p>
          <w:p w:rsidR="00970D19" w:rsidP="00970D19" w:rsidRDefault="00CE7A1C" w14:paraId="68EF0E0D" w14:textId="52E7014C">
            <w:pPr>
              <w:tabs>
                <w:tab w:val="left" w:pos="1260"/>
              </w:tabs>
              <w:spacing w:before="120"/>
              <w:rPr>
                <w:color w:val="000000"/>
              </w:rPr>
            </w:pPr>
            <w:r>
              <w:rPr>
                <w:color w:val="000000"/>
              </w:rPr>
              <w:t>Review of SDG&amp;E proposal to reduce its average effective CARE discount from 35% to 32.5%, drafting of protest to SDG&amp;E Advice Letters, meeting with Energy Division staff to discuss TURN’s concerns, review of Commission suspension notice</w:t>
            </w:r>
            <w:r w:rsidR="00B84C71">
              <w:rPr>
                <w:color w:val="000000"/>
              </w:rPr>
              <w:t>s</w:t>
            </w:r>
            <w:r>
              <w:rPr>
                <w:color w:val="000000"/>
              </w:rPr>
              <w:t xml:space="preserve"> and final disposition letters.</w:t>
            </w:r>
          </w:p>
          <w:p w:rsidRPr="007324EA" w:rsidR="00970D19" w:rsidP="00970D19" w:rsidRDefault="00970D19" w14:paraId="1E292DA5" w14:textId="40D06F4B">
            <w:pPr>
              <w:tabs>
                <w:tab w:val="left" w:pos="1260"/>
              </w:tabs>
              <w:spacing w:before="120"/>
              <w:rPr>
                <w:color w:val="000000"/>
              </w:rPr>
            </w:pPr>
            <w:r w:rsidRPr="007324EA">
              <w:rPr>
                <w:b/>
                <w:color w:val="000000"/>
              </w:rPr>
              <w:t xml:space="preserve">Compensation – </w:t>
            </w:r>
            <w:r w:rsidR="0064105C">
              <w:rPr>
                <w:b/>
                <w:color w:val="000000"/>
              </w:rPr>
              <w:t>6</w:t>
            </w:r>
            <w:r>
              <w:rPr>
                <w:b/>
                <w:color w:val="000000"/>
              </w:rPr>
              <w:t xml:space="preserve"> </w:t>
            </w:r>
            <w:r w:rsidRPr="007324EA">
              <w:rPr>
                <w:b/>
                <w:color w:val="000000"/>
              </w:rPr>
              <w:t>hours</w:t>
            </w:r>
          </w:p>
          <w:p w:rsidRPr="007324EA" w:rsidR="00970D19" w:rsidP="00970D19" w:rsidRDefault="00970D19" w14:paraId="2CC8E0B8" w14:textId="77777777">
            <w:pPr>
              <w:rPr>
                <w:b/>
                <w:color w:val="000000"/>
              </w:rPr>
            </w:pPr>
            <w:r w:rsidRPr="007324EA">
              <w:rPr>
                <w:color w:val="000000"/>
              </w:rPr>
              <w:t>Time spent on the preparation of compensation</w:t>
            </w:r>
            <w:r>
              <w:rPr>
                <w:color w:val="000000"/>
              </w:rPr>
              <w:t>-related pleadings</w:t>
            </w:r>
            <w:r w:rsidRPr="007324EA">
              <w:rPr>
                <w:color w:val="000000"/>
              </w:rPr>
              <w:t>.</w:t>
            </w:r>
          </w:p>
          <w:p w:rsidRPr="007324EA" w:rsidR="00970D19" w:rsidP="00970D19" w:rsidRDefault="00970D19" w14:paraId="3161BB27" w14:textId="77777777">
            <w:pPr>
              <w:tabs>
                <w:tab w:val="left" w:pos="1260"/>
              </w:tabs>
              <w:spacing w:before="120"/>
              <w:rPr>
                <w:color w:val="000000"/>
              </w:rPr>
            </w:pPr>
            <w:r w:rsidRPr="007324EA">
              <w:rPr>
                <w:color w:val="000000"/>
              </w:rPr>
              <w:t>-----</w:t>
            </w:r>
          </w:p>
          <w:p w:rsidRPr="00970D19" w:rsidR="00691528" w:rsidP="00EC6387" w:rsidRDefault="00970D19" w14:paraId="3285939A" w14:textId="747C1248">
            <w:r w:rsidRPr="007324EA">
              <w:t xml:space="preserve">TURN submits that under the circumstances this information should suffice to address the allocation requirement under the Commission’s rules. Should the Commission wish to see additional or different information on this point, TURN requests that the </w:t>
            </w:r>
            <w:proofErr w:type="gramStart"/>
            <w:r w:rsidRPr="007324EA">
              <w:t>Commission so</w:t>
            </w:r>
            <w:proofErr w:type="gramEnd"/>
            <w:r w:rsidRPr="007324EA">
              <w:t xml:space="preserve"> inform TURN and provide a reasonable opportunity for TURN to supplement this showing accordingly.</w:t>
            </w:r>
          </w:p>
        </w:tc>
        <w:tc>
          <w:tcPr>
            <w:tcW w:w="1867" w:type="dxa"/>
          </w:tcPr>
          <w:p w:rsidRPr="007F620E" w:rsidR="00FE3BAE" w:rsidP="00EC6387" w:rsidRDefault="0006271D" w14:paraId="497C4799" w14:textId="192A3949">
            <w:pPr>
              <w:rPr>
                <w:color w:val="000000"/>
              </w:rPr>
            </w:pPr>
            <w:r>
              <w:rPr>
                <w:color w:val="000000"/>
              </w:rPr>
              <w:lastRenderedPageBreak/>
              <w:t>Noted</w:t>
            </w:r>
            <w:r w:rsidR="009F4A69">
              <w:rPr>
                <w:color w:val="000000"/>
              </w:rPr>
              <w:t xml:space="preserve">, totals </w:t>
            </w:r>
            <w:r w:rsidR="00C37F86">
              <w:rPr>
                <w:color w:val="000000"/>
              </w:rPr>
              <w:t>100%</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5"/>
        <w:gridCol w:w="810"/>
        <w:gridCol w:w="267"/>
        <w:gridCol w:w="543"/>
        <w:gridCol w:w="889"/>
        <w:gridCol w:w="477"/>
        <w:gridCol w:w="1234"/>
        <w:gridCol w:w="1057"/>
        <w:gridCol w:w="286"/>
        <w:gridCol w:w="955"/>
        <w:gridCol w:w="1146"/>
        <w:gridCol w:w="966"/>
      </w:tblGrid>
      <w:tr w:rsidRPr="007F620E" w:rsidR="00A92D0B" w:rsidTr="008A0FAF" w14:paraId="780664A2" w14:textId="77777777">
        <w:trPr>
          <w:tblHeader/>
          <w:jc w:val="center"/>
        </w:trPr>
        <w:tc>
          <w:tcPr>
            <w:tcW w:w="655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067"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8A0FAF" w14:paraId="0F5B6CAA" w14:textId="77777777">
        <w:trPr>
          <w:jc w:val="center"/>
        </w:trPr>
        <w:tc>
          <w:tcPr>
            <w:tcW w:w="9625"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8A0FAF" w14:paraId="5A70C962" w14:textId="77777777">
        <w:trPr>
          <w:jc w:val="center"/>
        </w:trPr>
        <w:tc>
          <w:tcPr>
            <w:tcW w:w="995"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10"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10"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889"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1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4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966"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2614E0" w:rsidTr="008A0FAF" w14:paraId="38E0B4EA" w14:textId="77777777">
        <w:trPr>
          <w:jc w:val="center"/>
        </w:trPr>
        <w:tc>
          <w:tcPr>
            <w:tcW w:w="995" w:type="dxa"/>
            <w:vAlign w:val="bottom"/>
          </w:tcPr>
          <w:p w:rsidRPr="007F620E" w:rsidR="002614E0" w:rsidP="002614E0" w:rsidRDefault="002614E0" w14:paraId="1F980DF3" w14:textId="52BB80B1">
            <w:pPr>
              <w:spacing w:before="60" w:after="60"/>
              <w:rPr>
                <w:color w:val="000000"/>
              </w:rPr>
            </w:pPr>
            <w:r w:rsidRPr="00404C5F">
              <w:rPr>
                <w:color w:val="000000"/>
              </w:rPr>
              <w:t>Matthew Freedman, TURN Staff Attorney</w:t>
            </w:r>
          </w:p>
        </w:tc>
        <w:tc>
          <w:tcPr>
            <w:tcW w:w="810" w:type="dxa"/>
            <w:vAlign w:val="bottom"/>
          </w:tcPr>
          <w:p w:rsidRPr="007F620E" w:rsidR="002614E0" w:rsidP="002614E0" w:rsidRDefault="002614E0" w14:paraId="275BF57A" w14:textId="7E44D51F">
            <w:pPr>
              <w:spacing w:before="60" w:after="60"/>
              <w:jc w:val="center"/>
              <w:rPr>
                <w:color w:val="000000"/>
              </w:rPr>
            </w:pPr>
            <w:r w:rsidRPr="00404C5F">
              <w:rPr>
                <w:color w:val="000000"/>
              </w:rPr>
              <w:t>2024</w:t>
            </w:r>
          </w:p>
        </w:tc>
        <w:tc>
          <w:tcPr>
            <w:tcW w:w="810" w:type="dxa"/>
            <w:gridSpan w:val="2"/>
            <w:vAlign w:val="bottom"/>
          </w:tcPr>
          <w:p w:rsidRPr="007F620E" w:rsidR="002614E0" w:rsidP="002614E0" w:rsidRDefault="002614E0" w14:paraId="0DE506C4" w14:textId="5AFED40F">
            <w:pPr>
              <w:spacing w:before="60" w:after="60"/>
              <w:jc w:val="center"/>
              <w:rPr>
                <w:color w:val="000000"/>
              </w:rPr>
            </w:pPr>
            <w:r w:rsidRPr="00404C5F">
              <w:rPr>
                <w:color w:val="000000"/>
              </w:rPr>
              <w:t xml:space="preserve">         </w:t>
            </w:r>
            <w:r>
              <w:rPr>
                <w:color w:val="000000"/>
              </w:rPr>
              <w:t>8.00</w:t>
            </w:r>
            <w:r w:rsidRPr="00404C5F">
              <w:rPr>
                <w:color w:val="000000"/>
              </w:rPr>
              <w:t xml:space="preserve"> </w:t>
            </w:r>
          </w:p>
        </w:tc>
        <w:tc>
          <w:tcPr>
            <w:tcW w:w="889" w:type="dxa"/>
            <w:vAlign w:val="bottom"/>
          </w:tcPr>
          <w:p w:rsidRPr="007F620E" w:rsidR="002614E0" w:rsidP="002614E0" w:rsidRDefault="002614E0" w14:paraId="26413E95" w14:textId="6FD04F49">
            <w:pPr>
              <w:spacing w:before="60" w:after="60"/>
              <w:jc w:val="right"/>
              <w:rPr>
                <w:color w:val="000000"/>
              </w:rPr>
            </w:pPr>
            <w:r w:rsidRPr="00404C5F">
              <w:rPr>
                <w:color w:val="000000"/>
              </w:rPr>
              <w:t>$740</w:t>
            </w:r>
          </w:p>
        </w:tc>
        <w:tc>
          <w:tcPr>
            <w:tcW w:w="1711" w:type="dxa"/>
            <w:gridSpan w:val="2"/>
            <w:tcBorders>
              <w:right w:val="single" w:color="auto" w:sz="4" w:space="0"/>
            </w:tcBorders>
            <w:vAlign w:val="bottom"/>
          </w:tcPr>
          <w:p w:rsidRPr="007F620E" w:rsidR="002614E0" w:rsidP="002614E0" w:rsidRDefault="002614E0" w14:paraId="300AA881" w14:textId="257E8E5F">
            <w:pPr>
              <w:spacing w:before="60" w:after="60"/>
              <w:rPr>
                <w:color w:val="000000"/>
              </w:rPr>
            </w:pPr>
            <w:r w:rsidRPr="00404C5F">
              <w:rPr>
                <w:color w:val="000000"/>
              </w:rPr>
              <w:t>D.24-09-015</w:t>
            </w:r>
          </w:p>
        </w:tc>
        <w:tc>
          <w:tcPr>
            <w:tcW w:w="1343" w:type="dxa"/>
            <w:gridSpan w:val="2"/>
            <w:tcBorders>
              <w:top w:val="single" w:color="auto" w:sz="4" w:space="0"/>
              <w:left w:val="single" w:color="auto" w:sz="4" w:space="0"/>
              <w:bottom w:val="single" w:color="auto" w:sz="4" w:space="0"/>
              <w:right w:val="single" w:color="auto" w:sz="24" w:space="0"/>
            </w:tcBorders>
            <w:vAlign w:val="bottom"/>
          </w:tcPr>
          <w:p w:rsidRPr="007F620E" w:rsidR="002614E0" w:rsidP="002614E0" w:rsidRDefault="002614E0" w14:paraId="23EF368E" w14:textId="692E1023">
            <w:pPr>
              <w:spacing w:before="60" w:after="60"/>
              <w:jc w:val="right"/>
              <w:rPr>
                <w:color w:val="000000"/>
              </w:rPr>
            </w:pPr>
            <w:r w:rsidRPr="00404C5F">
              <w:rPr>
                <w:color w:val="000000"/>
              </w:rPr>
              <w:t xml:space="preserve">            </w:t>
            </w:r>
            <w:r>
              <w:rPr>
                <w:color w:val="000000"/>
              </w:rPr>
              <w:t>$5,920.00</w:t>
            </w:r>
            <w:r w:rsidRPr="00404C5F">
              <w:rPr>
                <w:color w:val="000000"/>
              </w:rPr>
              <w:t xml:space="preserve"> </w:t>
            </w:r>
          </w:p>
        </w:tc>
        <w:tc>
          <w:tcPr>
            <w:tcW w:w="955" w:type="dxa"/>
            <w:tcBorders>
              <w:left w:val="single" w:color="auto" w:sz="4" w:space="0"/>
            </w:tcBorders>
            <w:vAlign w:val="bottom"/>
          </w:tcPr>
          <w:p w:rsidRPr="007F620E" w:rsidR="002614E0" w:rsidP="002614E0" w:rsidRDefault="002614E0" w14:paraId="2B0CA953" w14:textId="6572AED9">
            <w:pPr>
              <w:spacing w:before="60" w:after="60"/>
              <w:jc w:val="center"/>
              <w:rPr>
                <w:color w:val="000000"/>
              </w:rPr>
            </w:pPr>
            <w:r>
              <w:rPr>
                <w:color w:val="000000"/>
              </w:rPr>
              <w:t>8.00</w:t>
            </w:r>
          </w:p>
        </w:tc>
        <w:tc>
          <w:tcPr>
            <w:tcW w:w="1146" w:type="dxa"/>
            <w:vAlign w:val="bottom"/>
          </w:tcPr>
          <w:p w:rsidR="002614E0" w:rsidP="002614E0" w:rsidRDefault="002614E0" w14:paraId="07D0BAEE" w14:textId="77777777">
            <w:pPr>
              <w:spacing w:before="60" w:after="60"/>
              <w:jc w:val="center"/>
              <w:rPr>
                <w:color w:val="000000"/>
              </w:rPr>
            </w:pPr>
            <w:r w:rsidRPr="00404C5F">
              <w:rPr>
                <w:color w:val="000000"/>
              </w:rPr>
              <w:t>$740</w:t>
            </w:r>
          </w:p>
          <w:p w:rsidRPr="007F620E" w:rsidR="00D748DD" w:rsidP="002614E0" w:rsidRDefault="00D748DD" w14:paraId="1FC8906C" w14:textId="12BE8341">
            <w:pPr>
              <w:spacing w:before="60" w:after="60"/>
              <w:jc w:val="center"/>
              <w:rPr>
                <w:color w:val="000000"/>
              </w:rPr>
            </w:pPr>
            <w:r>
              <w:rPr>
                <w:color w:val="000000"/>
              </w:rPr>
              <w:t>[1]</w:t>
            </w:r>
          </w:p>
        </w:tc>
        <w:tc>
          <w:tcPr>
            <w:tcW w:w="966" w:type="dxa"/>
            <w:vAlign w:val="bottom"/>
          </w:tcPr>
          <w:p w:rsidRPr="007F620E" w:rsidR="002614E0" w:rsidP="008D51D9" w:rsidRDefault="002614E0" w14:paraId="6C594CB5" w14:textId="0D14D198">
            <w:pPr>
              <w:spacing w:before="60" w:after="60"/>
              <w:jc w:val="center"/>
              <w:rPr>
                <w:color w:val="000000"/>
              </w:rPr>
            </w:pPr>
            <w:r>
              <w:rPr>
                <w:color w:val="000000"/>
              </w:rPr>
              <w:t>$5,920.00</w:t>
            </w:r>
          </w:p>
        </w:tc>
      </w:tr>
      <w:tr w:rsidRPr="007F620E" w:rsidR="002614E0" w:rsidTr="008A0FAF" w14:paraId="78FC5ECE" w14:textId="77777777">
        <w:trPr>
          <w:jc w:val="center"/>
        </w:trPr>
        <w:tc>
          <w:tcPr>
            <w:tcW w:w="995" w:type="dxa"/>
            <w:vAlign w:val="bottom"/>
          </w:tcPr>
          <w:p w:rsidRPr="007F620E" w:rsidR="002614E0" w:rsidP="002614E0" w:rsidRDefault="002614E0" w14:paraId="1F8943E9" w14:textId="7314AC6D">
            <w:pPr>
              <w:spacing w:before="60" w:after="60"/>
              <w:rPr>
                <w:color w:val="000000"/>
              </w:rPr>
            </w:pPr>
            <w:r w:rsidRPr="00404C5F">
              <w:rPr>
                <w:color w:val="000000"/>
              </w:rPr>
              <w:t xml:space="preserve">Matthew Freedman, TURN Staff </w:t>
            </w:r>
            <w:r w:rsidRPr="00404C5F">
              <w:rPr>
                <w:color w:val="000000"/>
              </w:rPr>
              <w:lastRenderedPageBreak/>
              <w:t>Attorney</w:t>
            </w:r>
          </w:p>
        </w:tc>
        <w:tc>
          <w:tcPr>
            <w:tcW w:w="810" w:type="dxa"/>
            <w:vAlign w:val="bottom"/>
          </w:tcPr>
          <w:p w:rsidRPr="008D6707" w:rsidR="002614E0" w:rsidP="002614E0" w:rsidRDefault="002614E0" w14:paraId="6FFEFF62" w14:textId="7B27BA92">
            <w:pPr>
              <w:spacing w:before="60" w:after="60"/>
              <w:jc w:val="center"/>
              <w:rPr>
                <w:color w:val="000000"/>
              </w:rPr>
            </w:pPr>
            <w:r w:rsidRPr="008D6707">
              <w:rPr>
                <w:color w:val="000000"/>
              </w:rPr>
              <w:lastRenderedPageBreak/>
              <w:t>2025</w:t>
            </w:r>
          </w:p>
        </w:tc>
        <w:tc>
          <w:tcPr>
            <w:tcW w:w="810" w:type="dxa"/>
            <w:gridSpan w:val="2"/>
            <w:vAlign w:val="bottom"/>
          </w:tcPr>
          <w:p w:rsidRPr="008D6707" w:rsidR="002614E0" w:rsidP="002614E0" w:rsidRDefault="002614E0" w14:paraId="24984638" w14:textId="31FB1AEB">
            <w:pPr>
              <w:spacing w:before="60" w:after="60"/>
              <w:jc w:val="center"/>
              <w:rPr>
                <w:color w:val="000000"/>
              </w:rPr>
            </w:pPr>
            <w:r w:rsidRPr="008D6707">
              <w:rPr>
                <w:color w:val="000000"/>
              </w:rPr>
              <w:t xml:space="preserve">         3.25 </w:t>
            </w:r>
          </w:p>
        </w:tc>
        <w:tc>
          <w:tcPr>
            <w:tcW w:w="889" w:type="dxa"/>
            <w:vAlign w:val="bottom"/>
          </w:tcPr>
          <w:p w:rsidRPr="008D6707" w:rsidR="002614E0" w:rsidP="002614E0" w:rsidRDefault="002614E0" w14:paraId="00CA9050" w14:textId="6DAE45AB">
            <w:pPr>
              <w:spacing w:before="60" w:after="60"/>
              <w:jc w:val="right"/>
              <w:rPr>
                <w:color w:val="000000"/>
              </w:rPr>
            </w:pPr>
            <w:r w:rsidRPr="008D6707">
              <w:rPr>
                <w:color w:val="000000"/>
              </w:rPr>
              <w:t>$805</w:t>
            </w:r>
          </w:p>
        </w:tc>
        <w:tc>
          <w:tcPr>
            <w:tcW w:w="1711" w:type="dxa"/>
            <w:gridSpan w:val="2"/>
            <w:tcBorders>
              <w:right w:val="single" w:color="auto" w:sz="4" w:space="0"/>
            </w:tcBorders>
            <w:vAlign w:val="bottom"/>
          </w:tcPr>
          <w:p w:rsidRPr="008D6707" w:rsidR="002614E0" w:rsidP="002614E0" w:rsidRDefault="002614E0" w14:paraId="760F08DA" w14:textId="51B3A782">
            <w:pPr>
              <w:spacing w:before="60" w:after="60"/>
              <w:rPr>
                <w:color w:val="000000"/>
              </w:rPr>
            </w:pPr>
            <w:r w:rsidRPr="008D6707">
              <w:rPr>
                <w:color w:val="000000"/>
              </w:rPr>
              <w:t>D.25-05-018</w:t>
            </w:r>
          </w:p>
        </w:tc>
        <w:tc>
          <w:tcPr>
            <w:tcW w:w="1343" w:type="dxa"/>
            <w:gridSpan w:val="2"/>
            <w:tcBorders>
              <w:top w:val="single" w:color="auto" w:sz="4" w:space="0"/>
              <w:left w:val="single" w:color="auto" w:sz="4" w:space="0"/>
              <w:bottom w:val="single" w:color="auto" w:sz="4" w:space="0"/>
              <w:right w:val="single" w:color="auto" w:sz="24" w:space="0"/>
            </w:tcBorders>
            <w:vAlign w:val="bottom"/>
          </w:tcPr>
          <w:p w:rsidRPr="008D6707" w:rsidR="002614E0" w:rsidP="002614E0" w:rsidRDefault="002614E0" w14:paraId="39D39174" w14:textId="50EF2711">
            <w:pPr>
              <w:spacing w:before="60" w:after="60"/>
              <w:jc w:val="right"/>
              <w:rPr>
                <w:color w:val="000000"/>
              </w:rPr>
            </w:pPr>
            <w:r w:rsidRPr="008D6707">
              <w:rPr>
                <w:color w:val="000000"/>
              </w:rPr>
              <w:t xml:space="preserve">            $2,616.25</w:t>
            </w:r>
          </w:p>
        </w:tc>
        <w:tc>
          <w:tcPr>
            <w:tcW w:w="955" w:type="dxa"/>
            <w:tcBorders>
              <w:left w:val="single" w:color="auto" w:sz="4" w:space="0"/>
            </w:tcBorders>
            <w:vAlign w:val="bottom"/>
          </w:tcPr>
          <w:p w:rsidRPr="007F620E" w:rsidR="002614E0" w:rsidP="002614E0" w:rsidRDefault="002614E0" w14:paraId="047FD0B5" w14:textId="5DA87307">
            <w:pPr>
              <w:spacing w:before="60" w:after="60"/>
              <w:jc w:val="center"/>
              <w:rPr>
                <w:color w:val="000000"/>
              </w:rPr>
            </w:pPr>
            <w:r w:rsidRPr="008D6707">
              <w:rPr>
                <w:color w:val="000000"/>
              </w:rPr>
              <w:t>3.25</w:t>
            </w:r>
          </w:p>
        </w:tc>
        <w:tc>
          <w:tcPr>
            <w:tcW w:w="1146" w:type="dxa"/>
            <w:vAlign w:val="bottom"/>
          </w:tcPr>
          <w:p w:rsidR="002614E0" w:rsidP="002614E0" w:rsidRDefault="002614E0" w14:paraId="65AA6519" w14:textId="40F6BB3D">
            <w:pPr>
              <w:spacing w:before="60" w:after="60"/>
              <w:jc w:val="center"/>
              <w:rPr>
                <w:color w:val="000000"/>
              </w:rPr>
            </w:pPr>
            <w:r w:rsidRPr="008D6707">
              <w:rPr>
                <w:color w:val="000000"/>
              </w:rPr>
              <w:t>$</w:t>
            </w:r>
            <w:r w:rsidR="000D3467">
              <w:rPr>
                <w:color w:val="000000"/>
              </w:rPr>
              <w:t>795</w:t>
            </w:r>
          </w:p>
          <w:p w:rsidRPr="007F620E" w:rsidR="00D748DD" w:rsidP="002614E0" w:rsidRDefault="00D748DD" w14:paraId="367660C2" w14:textId="2D4D70FC">
            <w:pPr>
              <w:spacing w:before="60" w:after="60"/>
              <w:jc w:val="center"/>
              <w:rPr>
                <w:color w:val="000000"/>
              </w:rPr>
            </w:pPr>
            <w:r>
              <w:rPr>
                <w:color w:val="000000"/>
              </w:rPr>
              <w:t>[1]</w:t>
            </w:r>
          </w:p>
        </w:tc>
        <w:tc>
          <w:tcPr>
            <w:tcW w:w="966" w:type="dxa"/>
            <w:vAlign w:val="bottom"/>
          </w:tcPr>
          <w:p w:rsidRPr="007F620E" w:rsidR="002614E0" w:rsidP="008D51D9" w:rsidRDefault="002614E0" w14:paraId="766AC45F" w14:textId="4849BB62">
            <w:pPr>
              <w:spacing w:before="60" w:after="60"/>
              <w:jc w:val="center"/>
              <w:rPr>
                <w:color w:val="000000"/>
              </w:rPr>
            </w:pPr>
            <w:r w:rsidRPr="008D6707">
              <w:rPr>
                <w:color w:val="000000"/>
              </w:rPr>
              <w:t>$2,</w:t>
            </w:r>
            <w:r w:rsidR="000D3467">
              <w:rPr>
                <w:color w:val="000000"/>
              </w:rPr>
              <w:t>583</w:t>
            </w:r>
            <w:r w:rsidRPr="008D6707">
              <w:rPr>
                <w:color w:val="000000"/>
              </w:rPr>
              <w:t>.</w:t>
            </w:r>
            <w:r w:rsidR="000D3467">
              <w:rPr>
                <w:color w:val="000000"/>
              </w:rPr>
              <w:t>7</w:t>
            </w:r>
            <w:r w:rsidRPr="008D6707">
              <w:rPr>
                <w:color w:val="000000"/>
              </w:rPr>
              <w:t>5</w:t>
            </w:r>
          </w:p>
        </w:tc>
      </w:tr>
      <w:tr w:rsidRPr="007F620E" w:rsidR="002614E0" w:rsidTr="008A0FAF" w14:paraId="13B2DE55" w14:textId="77777777">
        <w:trPr>
          <w:jc w:val="center"/>
        </w:trPr>
        <w:tc>
          <w:tcPr>
            <w:tcW w:w="995" w:type="dxa"/>
            <w:vAlign w:val="bottom"/>
          </w:tcPr>
          <w:p w:rsidRPr="00404C5F" w:rsidR="002614E0" w:rsidP="002614E0" w:rsidRDefault="002614E0" w14:paraId="6EFB1F9A" w14:textId="338653F9">
            <w:pPr>
              <w:spacing w:before="60" w:after="60"/>
              <w:rPr>
                <w:color w:val="000000"/>
              </w:rPr>
            </w:pPr>
            <w:r>
              <w:rPr>
                <w:color w:val="000000"/>
              </w:rPr>
              <w:t>Sylvie Ashford, TURN Energy Policy Analyst</w:t>
            </w:r>
          </w:p>
        </w:tc>
        <w:tc>
          <w:tcPr>
            <w:tcW w:w="810" w:type="dxa"/>
            <w:vAlign w:val="bottom"/>
          </w:tcPr>
          <w:p w:rsidRPr="008D6707" w:rsidR="002614E0" w:rsidP="002614E0" w:rsidRDefault="002614E0" w14:paraId="32F838BA" w14:textId="51864012">
            <w:pPr>
              <w:spacing w:before="60" w:after="60"/>
              <w:jc w:val="center"/>
              <w:rPr>
                <w:color w:val="000000"/>
              </w:rPr>
            </w:pPr>
            <w:r w:rsidRPr="008D6707">
              <w:rPr>
                <w:color w:val="000000"/>
              </w:rPr>
              <w:t>2024</w:t>
            </w:r>
          </w:p>
        </w:tc>
        <w:tc>
          <w:tcPr>
            <w:tcW w:w="810" w:type="dxa"/>
            <w:gridSpan w:val="2"/>
            <w:vAlign w:val="bottom"/>
          </w:tcPr>
          <w:p w:rsidRPr="008D6707" w:rsidR="002614E0" w:rsidP="002614E0" w:rsidRDefault="002614E0" w14:paraId="77A5130E" w14:textId="2654CE8E">
            <w:pPr>
              <w:spacing w:before="60" w:after="60"/>
              <w:jc w:val="center"/>
              <w:rPr>
                <w:color w:val="000000"/>
              </w:rPr>
            </w:pPr>
            <w:r w:rsidRPr="008D6707">
              <w:rPr>
                <w:color w:val="000000"/>
              </w:rPr>
              <w:t xml:space="preserve">         24.50 </w:t>
            </w:r>
          </w:p>
        </w:tc>
        <w:tc>
          <w:tcPr>
            <w:tcW w:w="889" w:type="dxa"/>
            <w:vAlign w:val="bottom"/>
          </w:tcPr>
          <w:p w:rsidRPr="008D6707" w:rsidR="002614E0" w:rsidP="002614E0" w:rsidRDefault="002614E0" w14:paraId="12D8F7F9" w14:textId="060BE74C">
            <w:pPr>
              <w:spacing w:before="60" w:after="60"/>
              <w:jc w:val="right"/>
              <w:rPr>
                <w:color w:val="000000"/>
              </w:rPr>
            </w:pPr>
            <w:r w:rsidRPr="008D6707">
              <w:rPr>
                <w:color w:val="000000"/>
              </w:rPr>
              <w:t>$245</w:t>
            </w:r>
          </w:p>
        </w:tc>
        <w:tc>
          <w:tcPr>
            <w:tcW w:w="1711" w:type="dxa"/>
            <w:gridSpan w:val="2"/>
            <w:tcBorders>
              <w:right w:val="single" w:color="auto" w:sz="4" w:space="0"/>
            </w:tcBorders>
            <w:vAlign w:val="bottom"/>
          </w:tcPr>
          <w:p w:rsidRPr="008D6707" w:rsidR="002614E0" w:rsidP="002614E0" w:rsidRDefault="002614E0" w14:paraId="28ADD6E9" w14:textId="68A5A0DC">
            <w:pPr>
              <w:spacing w:before="60" w:after="60"/>
              <w:rPr>
                <w:color w:val="000000"/>
              </w:rPr>
            </w:pPr>
            <w:r w:rsidRPr="008D6707">
              <w:rPr>
                <w:color w:val="000000"/>
              </w:rPr>
              <w:t>D.25-06-030</w:t>
            </w:r>
          </w:p>
        </w:tc>
        <w:tc>
          <w:tcPr>
            <w:tcW w:w="1343" w:type="dxa"/>
            <w:gridSpan w:val="2"/>
            <w:tcBorders>
              <w:top w:val="single" w:color="auto" w:sz="4" w:space="0"/>
              <w:left w:val="single" w:color="auto" w:sz="4" w:space="0"/>
              <w:bottom w:val="single" w:color="auto" w:sz="4" w:space="0"/>
              <w:right w:val="single" w:color="auto" w:sz="24" w:space="0"/>
            </w:tcBorders>
            <w:vAlign w:val="bottom"/>
          </w:tcPr>
          <w:p w:rsidRPr="008D6707" w:rsidR="002614E0" w:rsidP="002614E0" w:rsidRDefault="002614E0" w14:paraId="301A7F1D" w14:textId="57DF71DC">
            <w:pPr>
              <w:spacing w:before="60" w:after="60"/>
              <w:jc w:val="right"/>
              <w:rPr>
                <w:color w:val="000000"/>
              </w:rPr>
            </w:pPr>
            <w:r w:rsidRPr="008D6707">
              <w:rPr>
                <w:color w:val="000000"/>
              </w:rPr>
              <w:t xml:space="preserve">              </w:t>
            </w:r>
            <w:r>
              <w:rPr>
                <w:color w:val="000000"/>
              </w:rPr>
              <w:t>$</w:t>
            </w:r>
            <w:r w:rsidRPr="008D6707">
              <w:rPr>
                <w:color w:val="000000"/>
              </w:rPr>
              <w:t xml:space="preserve">6,002.50 </w:t>
            </w:r>
          </w:p>
        </w:tc>
        <w:tc>
          <w:tcPr>
            <w:tcW w:w="955" w:type="dxa"/>
            <w:tcBorders>
              <w:left w:val="single" w:color="auto" w:sz="4" w:space="0"/>
            </w:tcBorders>
            <w:vAlign w:val="bottom"/>
          </w:tcPr>
          <w:p w:rsidR="002614E0" w:rsidP="002614E0" w:rsidRDefault="008F7405" w14:paraId="4BA033C7" w14:textId="5334B42C">
            <w:pPr>
              <w:spacing w:before="60" w:after="60"/>
              <w:jc w:val="center"/>
              <w:rPr>
                <w:color w:val="000000"/>
              </w:rPr>
            </w:pPr>
            <w:r w:rsidRPr="008D6707">
              <w:rPr>
                <w:color w:val="000000"/>
              </w:rPr>
              <w:t>2</w:t>
            </w:r>
            <w:r>
              <w:rPr>
                <w:color w:val="000000"/>
              </w:rPr>
              <w:t>2</w:t>
            </w:r>
            <w:r w:rsidRPr="008D6707" w:rsidR="002614E0">
              <w:rPr>
                <w:color w:val="000000"/>
              </w:rPr>
              <w:t>.50</w:t>
            </w:r>
          </w:p>
          <w:p w:rsidRPr="007F620E" w:rsidR="00D748DD" w:rsidP="002614E0" w:rsidRDefault="00D748DD" w14:paraId="038B468B" w14:textId="10FF0723">
            <w:pPr>
              <w:spacing w:before="60" w:after="60"/>
              <w:jc w:val="center"/>
              <w:rPr>
                <w:color w:val="000000"/>
              </w:rPr>
            </w:pPr>
            <w:r>
              <w:rPr>
                <w:color w:val="000000"/>
              </w:rPr>
              <w:t>[2]</w:t>
            </w:r>
          </w:p>
        </w:tc>
        <w:tc>
          <w:tcPr>
            <w:tcW w:w="1146" w:type="dxa"/>
            <w:vAlign w:val="bottom"/>
          </w:tcPr>
          <w:p w:rsidR="002614E0" w:rsidP="002614E0" w:rsidRDefault="002614E0" w14:paraId="726B63CD" w14:textId="77777777">
            <w:pPr>
              <w:spacing w:before="60" w:after="60"/>
              <w:jc w:val="center"/>
              <w:rPr>
                <w:color w:val="000000"/>
              </w:rPr>
            </w:pPr>
            <w:r w:rsidRPr="008D6707">
              <w:rPr>
                <w:color w:val="000000"/>
              </w:rPr>
              <w:t>$245</w:t>
            </w:r>
          </w:p>
          <w:p w:rsidRPr="007F620E" w:rsidR="00D748DD" w:rsidP="002614E0" w:rsidRDefault="00D748DD" w14:paraId="111DEF28" w14:textId="381C5F21">
            <w:pPr>
              <w:spacing w:before="60" w:after="60"/>
              <w:jc w:val="center"/>
              <w:rPr>
                <w:color w:val="000000"/>
              </w:rPr>
            </w:pPr>
            <w:r>
              <w:rPr>
                <w:color w:val="000000"/>
              </w:rPr>
              <w:t>[3]</w:t>
            </w:r>
          </w:p>
        </w:tc>
        <w:tc>
          <w:tcPr>
            <w:tcW w:w="966" w:type="dxa"/>
            <w:vAlign w:val="bottom"/>
          </w:tcPr>
          <w:p w:rsidRPr="007F620E" w:rsidR="002614E0" w:rsidP="008D51D9" w:rsidRDefault="002614E0" w14:paraId="446C8EE6" w14:textId="03BD7F98">
            <w:pPr>
              <w:spacing w:before="60" w:after="60"/>
              <w:jc w:val="center"/>
              <w:rPr>
                <w:color w:val="000000"/>
              </w:rPr>
            </w:pPr>
            <w:r>
              <w:rPr>
                <w:color w:val="000000"/>
              </w:rPr>
              <w:t>$5</w:t>
            </w:r>
            <w:r w:rsidRPr="008D6707">
              <w:rPr>
                <w:color w:val="000000"/>
              </w:rPr>
              <w:t>,</w:t>
            </w:r>
            <w:r w:rsidR="002D3525">
              <w:rPr>
                <w:color w:val="000000"/>
              </w:rPr>
              <w:t>512</w:t>
            </w:r>
            <w:r w:rsidRPr="008D6707">
              <w:rPr>
                <w:color w:val="000000"/>
              </w:rPr>
              <w:t>.50</w:t>
            </w:r>
          </w:p>
        </w:tc>
      </w:tr>
      <w:tr w:rsidRPr="007F620E" w:rsidR="002614E0" w:rsidTr="008A0FAF" w14:paraId="36D0E09A" w14:textId="77777777">
        <w:trPr>
          <w:jc w:val="center"/>
        </w:trPr>
        <w:tc>
          <w:tcPr>
            <w:tcW w:w="995" w:type="dxa"/>
          </w:tcPr>
          <w:p w:rsidRPr="00404C5F" w:rsidR="002614E0" w:rsidP="002614E0" w:rsidRDefault="002614E0" w14:paraId="40A26A69" w14:textId="0F6936D9">
            <w:pPr>
              <w:spacing w:before="60" w:after="60"/>
              <w:rPr>
                <w:color w:val="000000"/>
              </w:rPr>
            </w:pPr>
            <w:r>
              <w:rPr>
                <w:color w:val="000000"/>
              </w:rPr>
              <w:t>Sylvie Ashford, TURN Energy Policy Analyst</w:t>
            </w:r>
          </w:p>
        </w:tc>
        <w:tc>
          <w:tcPr>
            <w:tcW w:w="810" w:type="dxa"/>
            <w:vAlign w:val="bottom"/>
          </w:tcPr>
          <w:p w:rsidRPr="008D6707" w:rsidR="002614E0" w:rsidP="002614E0" w:rsidRDefault="002614E0" w14:paraId="31D914C3" w14:textId="1EA29698">
            <w:pPr>
              <w:spacing w:before="60" w:after="60"/>
              <w:jc w:val="center"/>
              <w:rPr>
                <w:color w:val="000000"/>
              </w:rPr>
            </w:pPr>
            <w:r w:rsidRPr="008D6707">
              <w:rPr>
                <w:color w:val="000000"/>
              </w:rPr>
              <w:t>2025</w:t>
            </w:r>
          </w:p>
        </w:tc>
        <w:tc>
          <w:tcPr>
            <w:tcW w:w="810" w:type="dxa"/>
            <w:gridSpan w:val="2"/>
            <w:vAlign w:val="bottom"/>
          </w:tcPr>
          <w:p w:rsidRPr="008D6707" w:rsidR="002614E0" w:rsidP="002614E0" w:rsidRDefault="002614E0" w14:paraId="6FFE55C7" w14:textId="5E77FB17">
            <w:pPr>
              <w:spacing w:before="60" w:after="60"/>
              <w:jc w:val="center"/>
              <w:rPr>
                <w:color w:val="000000"/>
              </w:rPr>
            </w:pPr>
            <w:r w:rsidRPr="008D6707">
              <w:rPr>
                <w:color w:val="000000"/>
              </w:rPr>
              <w:t xml:space="preserve">            1.25 </w:t>
            </w:r>
          </w:p>
        </w:tc>
        <w:tc>
          <w:tcPr>
            <w:tcW w:w="889" w:type="dxa"/>
            <w:vAlign w:val="bottom"/>
          </w:tcPr>
          <w:p w:rsidRPr="008D6707" w:rsidR="002614E0" w:rsidP="002614E0" w:rsidRDefault="002614E0" w14:paraId="0B2DA470" w14:textId="0385B9D2">
            <w:pPr>
              <w:spacing w:before="60" w:after="60"/>
              <w:jc w:val="right"/>
              <w:rPr>
                <w:color w:val="000000"/>
              </w:rPr>
            </w:pPr>
            <w:r w:rsidRPr="008D6707">
              <w:rPr>
                <w:color w:val="000000"/>
              </w:rPr>
              <w:t>$265</w:t>
            </w:r>
          </w:p>
        </w:tc>
        <w:tc>
          <w:tcPr>
            <w:tcW w:w="1711" w:type="dxa"/>
            <w:gridSpan w:val="2"/>
            <w:tcBorders>
              <w:right w:val="single" w:color="auto" w:sz="4" w:space="0"/>
            </w:tcBorders>
            <w:vAlign w:val="bottom"/>
          </w:tcPr>
          <w:p w:rsidRPr="008D6707" w:rsidR="002614E0" w:rsidP="002614E0" w:rsidRDefault="002614E0" w14:paraId="710A1ACD" w14:textId="5903A1DF">
            <w:pPr>
              <w:spacing w:before="60" w:after="60"/>
              <w:rPr>
                <w:color w:val="000000"/>
              </w:rPr>
            </w:pPr>
            <w:r w:rsidRPr="008D6707">
              <w:rPr>
                <w:color w:val="000000"/>
              </w:rPr>
              <w:t>Res. ALJ-393, 2024 rate plus 3.5% COLA plus 5% step increase</w:t>
            </w:r>
          </w:p>
        </w:tc>
        <w:tc>
          <w:tcPr>
            <w:tcW w:w="1343" w:type="dxa"/>
            <w:gridSpan w:val="2"/>
            <w:tcBorders>
              <w:top w:val="single" w:color="auto" w:sz="4" w:space="0"/>
              <w:left w:val="single" w:color="auto" w:sz="4" w:space="0"/>
              <w:bottom w:val="single" w:color="auto" w:sz="4" w:space="0"/>
              <w:right w:val="single" w:color="auto" w:sz="24" w:space="0"/>
            </w:tcBorders>
            <w:vAlign w:val="bottom"/>
          </w:tcPr>
          <w:p w:rsidRPr="008D6707" w:rsidR="002614E0" w:rsidP="002614E0" w:rsidRDefault="002614E0" w14:paraId="2BB31A91" w14:textId="25C71044">
            <w:pPr>
              <w:spacing w:before="60" w:after="60"/>
              <w:jc w:val="right"/>
              <w:rPr>
                <w:color w:val="000000"/>
              </w:rPr>
            </w:pPr>
            <w:r w:rsidRPr="008D6707">
              <w:rPr>
                <w:color w:val="000000"/>
              </w:rPr>
              <w:t xml:space="preserve">                 </w:t>
            </w:r>
            <w:r>
              <w:rPr>
                <w:color w:val="000000"/>
              </w:rPr>
              <w:t>$</w:t>
            </w:r>
            <w:r w:rsidRPr="008D6707">
              <w:rPr>
                <w:color w:val="000000"/>
              </w:rPr>
              <w:t xml:space="preserve">331.25 </w:t>
            </w:r>
          </w:p>
        </w:tc>
        <w:tc>
          <w:tcPr>
            <w:tcW w:w="955" w:type="dxa"/>
            <w:tcBorders>
              <w:left w:val="single" w:color="auto" w:sz="4" w:space="0"/>
            </w:tcBorders>
            <w:vAlign w:val="bottom"/>
          </w:tcPr>
          <w:p w:rsidRPr="007F620E" w:rsidR="002614E0" w:rsidP="002614E0" w:rsidRDefault="002614E0" w14:paraId="110EFC54" w14:textId="4765047D">
            <w:pPr>
              <w:spacing w:before="60" w:after="60"/>
              <w:jc w:val="center"/>
              <w:rPr>
                <w:color w:val="000000"/>
              </w:rPr>
            </w:pPr>
            <w:r w:rsidRPr="008D6707">
              <w:rPr>
                <w:color w:val="000000"/>
              </w:rPr>
              <w:t>1.25</w:t>
            </w:r>
          </w:p>
        </w:tc>
        <w:tc>
          <w:tcPr>
            <w:tcW w:w="1146" w:type="dxa"/>
            <w:vAlign w:val="bottom"/>
          </w:tcPr>
          <w:p w:rsidR="002614E0" w:rsidP="002614E0" w:rsidRDefault="002614E0" w14:paraId="735A8D46" w14:textId="77777777">
            <w:pPr>
              <w:spacing w:before="60" w:after="60"/>
              <w:jc w:val="center"/>
              <w:rPr>
                <w:color w:val="000000"/>
              </w:rPr>
            </w:pPr>
            <w:r w:rsidRPr="008D6707">
              <w:rPr>
                <w:color w:val="000000"/>
              </w:rPr>
              <w:t>$265</w:t>
            </w:r>
          </w:p>
          <w:p w:rsidRPr="007F620E" w:rsidR="00D748DD" w:rsidP="002614E0" w:rsidRDefault="00D748DD" w14:paraId="06F2D938" w14:textId="7B14D4BB">
            <w:pPr>
              <w:spacing w:before="60" w:after="60"/>
              <w:jc w:val="center"/>
              <w:rPr>
                <w:color w:val="000000"/>
              </w:rPr>
            </w:pPr>
            <w:r>
              <w:rPr>
                <w:color w:val="000000"/>
              </w:rPr>
              <w:t>[3]</w:t>
            </w:r>
          </w:p>
        </w:tc>
        <w:tc>
          <w:tcPr>
            <w:tcW w:w="966" w:type="dxa"/>
            <w:vAlign w:val="bottom"/>
          </w:tcPr>
          <w:p w:rsidRPr="007F620E" w:rsidR="002614E0" w:rsidP="008D51D9" w:rsidRDefault="002614E0" w14:paraId="2D83DD63" w14:textId="2C330EAA">
            <w:pPr>
              <w:spacing w:before="60" w:after="60"/>
              <w:jc w:val="center"/>
              <w:rPr>
                <w:color w:val="000000"/>
              </w:rPr>
            </w:pPr>
            <w:r>
              <w:rPr>
                <w:color w:val="000000"/>
              </w:rPr>
              <w:t>$</w:t>
            </w:r>
            <w:r w:rsidRPr="008D6707">
              <w:rPr>
                <w:color w:val="000000"/>
              </w:rPr>
              <w:t>331.25</w:t>
            </w:r>
          </w:p>
        </w:tc>
      </w:tr>
      <w:tr w:rsidRPr="007F620E" w:rsidR="002614E0" w:rsidTr="008A0FAF" w14:paraId="1B237C11" w14:textId="77777777">
        <w:trPr>
          <w:jc w:val="center"/>
        </w:trPr>
        <w:tc>
          <w:tcPr>
            <w:tcW w:w="6558" w:type="dxa"/>
            <w:gridSpan w:val="9"/>
            <w:tcBorders>
              <w:bottom w:val="single" w:color="auto" w:sz="4" w:space="0"/>
              <w:right w:val="single" w:color="auto" w:sz="24" w:space="0"/>
            </w:tcBorders>
            <w:vAlign w:val="bottom"/>
          </w:tcPr>
          <w:p w:rsidRPr="00374FD1" w:rsidR="002614E0" w:rsidP="002614E0" w:rsidRDefault="002614E0" w14:paraId="2ECB6744" w14:textId="7B861FD8">
            <w:pPr>
              <w:tabs>
                <w:tab w:val="left" w:pos="957"/>
              </w:tabs>
              <w:spacing w:before="60" w:after="60"/>
              <w:ind w:right="162"/>
              <w:jc w:val="right"/>
              <w:rPr>
                <w:b/>
                <w:i/>
                <w:color w:val="000000"/>
              </w:rPr>
            </w:pPr>
            <w:r w:rsidRPr="007F620E">
              <w:rPr>
                <w:b/>
                <w:i/>
                <w:color w:val="000000"/>
              </w:rPr>
              <w:t xml:space="preserve">Subtotal: </w:t>
            </w:r>
            <w:r>
              <w:rPr>
                <w:b/>
                <w:i/>
                <w:color w:val="000000"/>
              </w:rPr>
              <w:t>$14,870</w:t>
            </w:r>
          </w:p>
        </w:tc>
        <w:tc>
          <w:tcPr>
            <w:tcW w:w="3067" w:type="dxa"/>
            <w:gridSpan w:val="3"/>
            <w:tcBorders>
              <w:left w:val="single" w:color="auto" w:sz="24" w:space="0"/>
              <w:bottom w:val="single" w:color="auto" w:sz="4" w:space="0"/>
            </w:tcBorders>
            <w:vAlign w:val="bottom"/>
          </w:tcPr>
          <w:p w:rsidRPr="007F620E" w:rsidR="002614E0" w:rsidP="002614E0" w:rsidRDefault="002614E0" w14:paraId="4C4556E5" w14:textId="0847C622">
            <w:pPr>
              <w:tabs>
                <w:tab w:val="left" w:pos="957"/>
              </w:tabs>
              <w:spacing w:before="60" w:after="60"/>
              <w:ind w:right="162"/>
              <w:jc w:val="right"/>
              <w:rPr>
                <w:color w:val="000000"/>
              </w:rPr>
            </w:pPr>
            <w:r w:rsidRPr="007F620E">
              <w:rPr>
                <w:b/>
                <w:i/>
                <w:color w:val="000000"/>
              </w:rPr>
              <w:t xml:space="preserve">Subtotal: </w:t>
            </w:r>
            <w:r w:rsidRPr="008D51D9">
              <w:rPr>
                <w:b/>
                <w:i/>
                <w:iCs/>
                <w:color w:val="000000"/>
              </w:rPr>
              <w:t>$</w:t>
            </w:r>
            <w:r w:rsidRPr="008D51D9" w:rsidR="008D51D9">
              <w:rPr>
                <w:b/>
                <w:i/>
                <w:iCs/>
                <w:color w:val="000000"/>
              </w:rPr>
              <w:t>14,</w:t>
            </w:r>
            <w:r w:rsidR="001350D4">
              <w:rPr>
                <w:b/>
                <w:i/>
                <w:iCs/>
                <w:color w:val="000000"/>
              </w:rPr>
              <w:t>347</w:t>
            </w:r>
            <w:r w:rsidRPr="008D51D9" w:rsidR="008D51D9">
              <w:rPr>
                <w:b/>
                <w:i/>
                <w:iCs/>
                <w:color w:val="000000"/>
              </w:rPr>
              <w:t>.</w:t>
            </w:r>
            <w:r w:rsidR="000D3467">
              <w:rPr>
                <w:b/>
                <w:i/>
                <w:iCs/>
                <w:color w:val="000000"/>
              </w:rPr>
              <w:t>5</w:t>
            </w:r>
            <w:r w:rsidRPr="008D51D9" w:rsidR="008D51D9">
              <w:rPr>
                <w:b/>
                <w:i/>
                <w:iCs/>
                <w:color w:val="000000"/>
              </w:rPr>
              <w:t>0</w:t>
            </w:r>
          </w:p>
        </w:tc>
      </w:tr>
      <w:tr w:rsidRPr="007F620E" w:rsidR="002614E0" w:rsidTr="008A0FAF" w14:paraId="4F8FAF05" w14:textId="77777777">
        <w:trPr>
          <w:jc w:val="center"/>
        </w:trPr>
        <w:tc>
          <w:tcPr>
            <w:tcW w:w="9625"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2614E0" w:rsidP="002614E0" w:rsidRDefault="002614E0" w14:paraId="41FE304C" w14:textId="77777777">
            <w:pPr>
              <w:keepNext/>
              <w:spacing w:before="60" w:after="60"/>
              <w:jc w:val="center"/>
              <w:rPr>
                <w:color w:val="000000"/>
              </w:rPr>
            </w:pPr>
            <w:r w:rsidRPr="007F620E">
              <w:rPr>
                <w:b/>
                <w:color w:val="000000"/>
              </w:rPr>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2614E0" w:rsidTr="008A0FAF" w14:paraId="48B3E535" w14:textId="77777777">
        <w:trPr>
          <w:jc w:val="center"/>
        </w:trPr>
        <w:tc>
          <w:tcPr>
            <w:tcW w:w="995" w:type="dxa"/>
            <w:tcBorders>
              <w:top w:val="single" w:color="auto" w:sz="4" w:space="0"/>
              <w:bottom w:val="single" w:color="auto" w:sz="4" w:space="0"/>
            </w:tcBorders>
            <w:vAlign w:val="bottom"/>
          </w:tcPr>
          <w:p w:rsidRPr="00260518" w:rsidR="002614E0" w:rsidP="002614E0" w:rsidRDefault="002614E0" w14:paraId="563A43BB" w14:textId="77777777">
            <w:pPr>
              <w:keepNext/>
              <w:spacing w:before="60" w:after="60"/>
              <w:jc w:val="center"/>
              <w:rPr>
                <w:b/>
                <w:color w:val="000000"/>
                <w:sz w:val="22"/>
                <w:szCs w:val="22"/>
              </w:rPr>
            </w:pPr>
            <w:r w:rsidRPr="00260518">
              <w:rPr>
                <w:b/>
                <w:color w:val="000000"/>
                <w:sz w:val="22"/>
                <w:szCs w:val="22"/>
              </w:rPr>
              <w:t>Item</w:t>
            </w:r>
          </w:p>
        </w:tc>
        <w:tc>
          <w:tcPr>
            <w:tcW w:w="810" w:type="dxa"/>
            <w:tcBorders>
              <w:top w:val="single" w:color="auto" w:sz="4" w:space="0"/>
              <w:bottom w:val="single" w:color="auto" w:sz="4" w:space="0"/>
            </w:tcBorders>
            <w:vAlign w:val="bottom"/>
          </w:tcPr>
          <w:p w:rsidRPr="00260518" w:rsidR="002614E0" w:rsidP="002614E0" w:rsidRDefault="002614E0" w14:paraId="144552E0" w14:textId="77777777">
            <w:pPr>
              <w:keepNext/>
              <w:spacing w:before="60" w:after="60"/>
              <w:jc w:val="center"/>
              <w:rPr>
                <w:b/>
                <w:color w:val="000000"/>
                <w:sz w:val="22"/>
                <w:szCs w:val="22"/>
              </w:rPr>
            </w:pPr>
            <w:r w:rsidRPr="00260518">
              <w:rPr>
                <w:b/>
                <w:color w:val="000000"/>
                <w:sz w:val="22"/>
                <w:szCs w:val="22"/>
              </w:rPr>
              <w:t>Year</w:t>
            </w:r>
          </w:p>
        </w:tc>
        <w:tc>
          <w:tcPr>
            <w:tcW w:w="810" w:type="dxa"/>
            <w:gridSpan w:val="2"/>
            <w:tcBorders>
              <w:top w:val="single" w:color="auto" w:sz="4" w:space="0"/>
              <w:bottom w:val="single" w:color="auto" w:sz="4" w:space="0"/>
            </w:tcBorders>
            <w:vAlign w:val="bottom"/>
          </w:tcPr>
          <w:p w:rsidRPr="00260518" w:rsidR="002614E0" w:rsidP="002614E0" w:rsidRDefault="002614E0" w14:paraId="42890B1B" w14:textId="77777777">
            <w:pPr>
              <w:keepNext/>
              <w:spacing w:before="60" w:after="60"/>
              <w:jc w:val="center"/>
              <w:rPr>
                <w:b/>
                <w:color w:val="000000"/>
                <w:sz w:val="22"/>
                <w:szCs w:val="22"/>
              </w:rPr>
            </w:pPr>
            <w:r w:rsidRPr="00260518">
              <w:rPr>
                <w:b/>
                <w:color w:val="000000"/>
                <w:sz w:val="22"/>
                <w:szCs w:val="22"/>
              </w:rPr>
              <w:t>Hours</w:t>
            </w:r>
          </w:p>
        </w:tc>
        <w:tc>
          <w:tcPr>
            <w:tcW w:w="889" w:type="dxa"/>
            <w:tcBorders>
              <w:top w:val="single" w:color="auto" w:sz="4" w:space="0"/>
              <w:bottom w:val="single" w:color="auto" w:sz="4" w:space="0"/>
            </w:tcBorders>
            <w:vAlign w:val="bottom"/>
          </w:tcPr>
          <w:p w:rsidRPr="00260518" w:rsidR="002614E0" w:rsidP="002614E0" w:rsidRDefault="002614E0" w14:paraId="1E7BD956" w14:textId="243077B9">
            <w:pPr>
              <w:keepNext/>
              <w:spacing w:before="60" w:after="60"/>
              <w:jc w:val="center"/>
              <w:rPr>
                <w:b/>
                <w:color w:val="000000"/>
                <w:sz w:val="22"/>
                <w:szCs w:val="22"/>
              </w:rPr>
            </w:pPr>
            <w:r w:rsidRPr="00260518">
              <w:rPr>
                <w:b/>
                <w:color w:val="000000"/>
                <w:sz w:val="22"/>
                <w:szCs w:val="22"/>
              </w:rPr>
              <w:t>Rate $</w:t>
            </w:r>
          </w:p>
        </w:tc>
        <w:tc>
          <w:tcPr>
            <w:tcW w:w="1711" w:type="dxa"/>
            <w:gridSpan w:val="2"/>
            <w:tcBorders>
              <w:top w:val="single" w:color="auto" w:sz="4" w:space="0"/>
              <w:bottom w:val="single" w:color="auto" w:sz="4" w:space="0"/>
              <w:right w:val="single" w:color="auto" w:sz="4" w:space="0"/>
            </w:tcBorders>
            <w:vAlign w:val="bottom"/>
          </w:tcPr>
          <w:p w:rsidRPr="00260518" w:rsidR="002614E0" w:rsidP="002614E0" w:rsidRDefault="002614E0" w14:paraId="104D7982" w14:textId="77777777">
            <w:pPr>
              <w:keepNext/>
              <w:spacing w:before="60" w:after="60"/>
              <w:jc w:val="center"/>
              <w:rPr>
                <w:b/>
                <w:color w:val="000000"/>
                <w:sz w:val="22"/>
                <w:szCs w:val="22"/>
              </w:rPr>
            </w:pPr>
            <w:r w:rsidRPr="00260518">
              <w:rPr>
                <w:b/>
                <w:color w:val="000000"/>
                <w:sz w:val="22"/>
                <w:szCs w:val="22"/>
              </w:rPr>
              <w:t>Basis for Rate*</w:t>
            </w:r>
          </w:p>
        </w:tc>
        <w:tc>
          <w:tcPr>
            <w:tcW w:w="1343" w:type="dxa"/>
            <w:gridSpan w:val="2"/>
            <w:tcBorders>
              <w:top w:val="single" w:color="auto" w:sz="4" w:space="0"/>
              <w:left w:val="single" w:color="auto" w:sz="4" w:space="0"/>
              <w:bottom w:val="single" w:color="auto" w:sz="4" w:space="0"/>
              <w:right w:val="single" w:color="auto" w:sz="24" w:space="0"/>
            </w:tcBorders>
            <w:vAlign w:val="bottom"/>
          </w:tcPr>
          <w:p w:rsidRPr="00260518" w:rsidR="002614E0" w:rsidP="002614E0" w:rsidRDefault="002614E0"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2614E0" w:rsidP="002614E0" w:rsidRDefault="002614E0"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2614E0" w:rsidP="002614E0" w:rsidRDefault="002614E0" w14:paraId="6B59BB80" w14:textId="2C791D8E">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966" w:type="dxa"/>
            <w:tcBorders>
              <w:top w:val="single" w:color="auto" w:sz="4" w:space="0"/>
            </w:tcBorders>
            <w:vAlign w:val="bottom"/>
          </w:tcPr>
          <w:p w:rsidRPr="00260518" w:rsidR="002614E0" w:rsidP="002614E0" w:rsidRDefault="002614E0"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2614E0" w:rsidTr="008A0FAF" w14:paraId="25086E67" w14:textId="77777777">
        <w:trPr>
          <w:jc w:val="center"/>
        </w:trPr>
        <w:tc>
          <w:tcPr>
            <w:tcW w:w="995" w:type="dxa"/>
            <w:vAlign w:val="bottom"/>
          </w:tcPr>
          <w:p w:rsidRPr="007F620E" w:rsidR="002614E0" w:rsidP="002614E0" w:rsidRDefault="002614E0" w14:paraId="386D0995" w14:textId="3B9E252A">
            <w:pPr>
              <w:spacing w:before="60" w:after="60"/>
              <w:rPr>
                <w:color w:val="000000"/>
              </w:rPr>
            </w:pPr>
            <w:r w:rsidRPr="00404C5F">
              <w:rPr>
                <w:color w:val="000000"/>
              </w:rPr>
              <w:t>Matthew Freedman, TURN Staff Attorney</w:t>
            </w:r>
          </w:p>
        </w:tc>
        <w:tc>
          <w:tcPr>
            <w:tcW w:w="810" w:type="dxa"/>
            <w:vAlign w:val="bottom"/>
          </w:tcPr>
          <w:p w:rsidRPr="007F620E" w:rsidR="002614E0" w:rsidP="002614E0" w:rsidRDefault="002614E0" w14:paraId="4A155F1D" w14:textId="3D04A216">
            <w:pPr>
              <w:spacing w:before="60" w:after="60"/>
              <w:jc w:val="center"/>
              <w:rPr>
                <w:color w:val="000000"/>
              </w:rPr>
            </w:pPr>
            <w:r w:rsidRPr="00404C5F">
              <w:rPr>
                <w:color w:val="000000"/>
              </w:rPr>
              <w:t>2025</w:t>
            </w:r>
          </w:p>
        </w:tc>
        <w:tc>
          <w:tcPr>
            <w:tcW w:w="810" w:type="dxa"/>
            <w:gridSpan w:val="2"/>
            <w:vAlign w:val="bottom"/>
          </w:tcPr>
          <w:p w:rsidRPr="007F620E" w:rsidR="002614E0" w:rsidP="002614E0" w:rsidRDefault="002614E0" w14:paraId="30EEA80A" w14:textId="778341C5">
            <w:pPr>
              <w:spacing w:before="60" w:after="60"/>
              <w:jc w:val="center"/>
              <w:rPr>
                <w:color w:val="000000"/>
              </w:rPr>
            </w:pPr>
            <w:r w:rsidRPr="00404C5F">
              <w:rPr>
                <w:color w:val="000000"/>
              </w:rPr>
              <w:t xml:space="preserve">         </w:t>
            </w:r>
            <w:r>
              <w:rPr>
                <w:color w:val="000000"/>
              </w:rPr>
              <w:t>6.00</w:t>
            </w:r>
            <w:r w:rsidRPr="00404C5F">
              <w:rPr>
                <w:color w:val="000000"/>
              </w:rPr>
              <w:t xml:space="preserve"> </w:t>
            </w:r>
          </w:p>
        </w:tc>
        <w:tc>
          <w:tcPr>
            <w:tcW w:w="889" w:type="dxa"/>
            <w:vAlign w:val="bottom"/>
          </w:tcPr>
          <w:p w:rsidRPr="007F620E" w:rsidR="002614E0" w:rsidP="002614E0" w:rsidRDefault="002614E0" w14:paraId="4EB14C91" w14:textId="46BF1794">
            <w:pPr>
              <w:spacing w:before="60" w:after="60"/>
              <w:rPr>
                <w:color w:val="000000"/>
              </w:rPr>
            </w:pPr>
            <w:r>
              <w:rPr>
                <w:color w:val="000000"/>
              </w:rPr>
              <w:t>$402.5</w:t>
            </w:r>
          </w:p>
        </w:tc>
        <w:tc>
          <w:tcPr>
            <w:tcW w:w="1711" w:type="dxa"/>
            <w:gridSpan w:val="2"/>
            <w:tcBorders>
              <w:right w:val="single" w:color="auto" w:sz="4" w:space="0"/>
            </w:tcBorders>
            <w:vAlign w:val="bottom"/>
          </w:tcPr>
          <w:p w:rsidRPr="007F620E" w:rsidR="002614E0" w:rsidP="002614E0" w:rsidRDefault="002614E0" w14:paraId="02D334B7" w14:textId="41116616">
            <w:pPr>
              <w:spacing w:before="60" w:after="60"/>
              <w:rPr>
                <w:color w:val="000000"/>
              </w:rPr>
            </w:pPr>
            <w:r>
              <w:rPr>
                <w:color w:val="000000"/>
              </w:rPr>
              <w:t>50% of 2025 authorized rate</w:t>
            </w:r>
          </w:p>
        </w:tc>
        <w:tc>
          <w:tcPr>
            <w:tcW w:w="1343" w:type="dxa"/>
            <w:gridSpan w:val="2"/>
            <w:tcBorders>
              <w:top w:val="single" w:color="auto" w:sz="4" w:space="0"/>
              <w:left w:val="single" w:color="auto" w:sz="4" w:space="0"/>
              <w:bottom w:val="single" w:color="auto" w:sz="4" w:space="0"/>
              <w:right w:val="single" w:color="auto" w:sz="24" w:space="0"/>
            </w:tcBorders>
            <w:vAlign w:val="bottom"/>
          </w:tcPr>
          <w:p w:rsidRPr="007F620E" w:rsidR="002614E0" w:rsidP="002614E0" w:rsidRDefault="002614E0" w14:paraId="7B9A0261" w14:textId="088FE7B2">
            <w:pPr>
              <w:spacing w:before="60" w:after="60"/>
              <w:jc w:val="right"/>
              <w:rPr>
                <w:color w:val="000000"/>
              </w:rPr>
            </w:pPr>
            <w:r>
              <w:rPr>
                <w:color w:val="000000"/>
              </w:rPr>
              <w:t>2,415.00</w:t>
            </w:r>
          </w:p>
        </w:tc>
        <w:tc>
          <w:tcPr>
            <w:tcW w:w="955" w:type="dxa"/>
            <w:tcBorders>
              <w:left w:val="single" w:color="auto" w:sz="4" w:space="0"/>
              <w:right w:val="single" w:color="auto" w:sz="4" w:space="0"/>
            </w:tcBorders>
          </w:tcPr>
          <w:p w:rsidR="002614E0" w:rsidP="008D51D9" w:rsidRDefault="002614E0" w14:paraId="78C2BDA7" w14:textId="77777777">
            <w:pPr>
              <w:spacing w:before="60" w:after="60"/>
              <w:jc w:val="center"/>
              <w:rPr>
                <w:color w:val="000000"/>
              </w:rPr>
            </w:pPr>
          </w:p>
          <w:p w:rsidR="002614E0" w:rsidP="008D51D9" w:rsidRDefault="002614E0" w14:paraId="1C7CA2F5" w14:textId="77777777">
            <w:pPr>
              <w:spacing w:before="60" w:after="60"/>
              <w:jc w:val="center"/>
              <w:rPr>
                <w:color w:val="000000"/>
              </w:rPr>
            </w:pPr>
          </w:p>
          <w:p w:rsidR="008D51D9" w:rsidP="008D51D9" w:rsidRDefault="008D51D9" w14:paraId="7B1B0814" w14:textId="77777777">
            <w:pPr>
              <w:spacing w:before="60" w:after="60"/>
              <w:jc w:val="center"/>
              <w:rPr>
                <w:color w:val="000000"/>
              </w:rPr>
            </w:pPr>
          </w:p>
          <w:p w:rsidRPr="007F620E" w:rsidR="002614E0" w:rsidP="008D51D9" w:rsidRDefault="002614E0" w14:paraId="5E5A4264" w14:textId="004F3E70">
            <w:pPr>
              <w:spacing w:before="60" w:after="60"/>
              <w:jc w:val="center"/>
              <w:rPr>
                <w:color w:val="000000"/>
              </w:rPr>
            </w:pPr>
            <w:r>
              <w:rPr>
                <w:color w:val="000000"/>
              </w:rPr>
              <w:t>6.00</w:t>
            </w:r>
          </w:p>
        </w:tc>
        <w:tc>
          <w:tcPr>
            <w:tcW w:w="1146" w:type="dxa"/>
            <w:tcBorders>
              <w:left w:val="single" w:color="auto" w:sz="4" w:space="0"/>
            </w:tcBorders>
            <w:vAlign w:val="bottom"/>
          </w:tcPr>
          <w:p w:rsidR="002614E0" w:rsidP="008D51D9" w:rsidRDefault="002614E0" w14:paraId="401A8E1F" w14:textId="2F899FD2">
            <w:pPr>
              <w:spacing w:before="60" w:after="60"/>
              <w:jc w:val="center"/>
              <w:rPr>
                <w:color w:val="000000"/>
              </w:rPr>
            </w:pPr>
            <w:r>
              <w:rPr>
                <w:color w:val="000000"/>
              </w:rPr>
              <w:t>$</w:t>
            </w:r>
            <w:r w:rsidR="000D3467">
              <w:rPr>
                <w:color w:val="000000"/>
              </w:rPr>
              <w:t>397</w:t>
            </w:r>
            <w:r>
              <w:rPr>
                <w:color w:val="000000"/>
              </w:rPr>
              <w:t>.5</w:t>
            </w:r>
            <w:r w:rsidR="000D3467">
              <w:rPr>
                <w:color w:val="000000"/>
              </w:rPr>
              <w:t>0</w:t>
            </w:r>
          </w:p>
          <w:p w:rsidRPr="007F620E" w:rsidR="00D748DD" w:rsidP="008D51D9" w:rsidRDefault="00D748DD" w14:paraId="47B1F089" w14:textId="1CDE6D74">
            <w:pPr>
              <w:spacing w:before="60" w:after="60"/>
              <w:jc w:val="center"/>
              <w:rPr>
                <w:color w:val="000000"/>
              </w:rPr>
            </w:pPr>
            <w:r>
              <w:rPr>
                <w:color w:val="000000"/>
              </w:rPr>
              <w:t>[1]</w:t>
            </w:r>
          </w:p>
        </w:tc>
        <w:tc>
          <w:tcPr>
            <w:tcW w:w="966" w:type="dxa"/>
          </w:tcPr>
          <w:p w:rsidR="008D51D9" w:rsidP="008D51D9" w:rsidRDefault="008D51D9" w14:paraId="35B3DA76" w14:textId="77777777">
            <w:pPr>
              <w:spacing w:before="60" w:after="60"/>
              <w:jc w:val="center"/>
              <w:rPr>
                <w:color w:val="000000"/>
              </w:rPr>
            </w:pPr>
          </w:p>
          <w:p w:rsidR="008D51D9" w:rsidP="008D51D9" w:rsidRDefault="008D51D9" w14:paraId="16AB7703" w14:textId="77777777">
            <w:pPr>
              <w:spacing w:before="60" w:after="60"/>
              <w:jc w:val="center"/>
              <w:rPr>
                <w:color w:val="000000"/>
              </w:rPr>
            </w:pPr>
          </w:p>
          <w:p w:rsidR="008D51D9" w:rsidP="008D51D9" w:rsidRDefault="008D51D9" w14:paraId="12EB5C9B" w14:textId="77777777">
            <w:pPr>
              <w:spacing w:before="60" w:after="60"/>
              <w:jc w:val="center"/>
              <w:rPr>
                <w:color w:val="000000"/>
              </w:rPr>
            </w:pPr>
          </w:p>
          <w:p w:rsidRPr="007F620E" w:rsidR="002614E0" w:rsidP="008D51D9" w:rsidRDefault="008D51D9" w14:paraId="10659B6D" w14:textId="37886D2C">
            <w:pPr>
              <w:spacing w:before="60" w:after="60"/>
              <w:jc w:val="center"/>
              <w:rPr>
                <w:color w:val="000000"/>
              </w:rPr>
            </w:pPr>
            <w:r>
              <w:rPr>
                <w:color w:val="000000"/>
              </w:rPr>
              <w:t>2,</w:t>
            </w:r>
            <w:r w:rsidR="000D3467">
              <w:rPr>
                <w:color w:val="000000"/>
              </w:rPr>
              <w:t>38</w:t>
            </w:r>
            <w:r>
              <w:rPr>
                <w:color w:val="000000"/>
              </w:rPr>
              <w:t>5.00</w:t>
            </w:r>
          </w:p>
        </w:tc>
      </w:tr>
      <w:tr w:rsidRPr="007F620E" w:rsidR="002614E0" w:rsidTr="008A0FAF" w14:paraId="266CEDD5" w14:textId="77777777">
        <w:trPr>
          <w:jc w:val="center"/>
        </w:trPr>
        <w:tc>
          <w:tcPr>
            <w:tcW w:w="6558" w:type="dxa"/>
            <w:gridSpan w:val="9"/>
            <w:tcBorders>
              <w:bottom w:val="single" w:color="auto" w:sz="4" w:space="0"/>
              <w:right w:val="single" w:color="auto" w:sz="24" w:space="0"/>
            </w:tcBorders>
            <w:vAlign w:val="bottom"/>
          </w:tcPr>
          <w:p w:rsidRPr="00374FD1" w:rsidR="002614E0" w:rsidP="002614E0" w:rsidRDefault="002614E0" w14:paraId="4A1F5988" w14:textId="141CD9F5">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2,415.00</w:t>
            </w:r>
          </w:p>
        </w:tc>
        <w:tc>
          <w:tcPr>
            <w:tcW w:w="3067" w:type="dxa"/>
            <w:gridSpan w:val="3"/>
            <w:tcBorders>
              <w:left w:val="single" w:color="auto" w:sz="24" w:space="0"/>
              <w:bottom w:val="single" w:color="auto" w:sz="4" w:space="0"/>
            </w:tcBorders>
            <w:vAlign w:val="bottom"/>
          </w:tcPr>
          <w:p w:rsidRPr="00374FD1" w:rsidR="002614E0" w:rsidP="002614E0" w:rsidRDefault="002614E0" w14:paraId="2FBAA587" w14:textId="3F571E86">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8D51D9">
              <w:rPr>
                <w:b/>
                <w:i/>
                <w:color w:val="000000"/>
              </w:rPr>
              <w:t>2,</w:t>
            </w:r>
            <w:r w:rsidR="000D3467">
              <w:rPr>
                <w:b/>
                <w:i/>
                <w:color w:val="000000"/>
              </w:rPr>
              <w:t>38</w:t>
            </w:r>
            <w:r w:rsidR="008D51D9">
              <w:rPr>
                <w:b/>
                <w:i/>
                <w:color w:val="000000"/>
              </w:rPr>
              <w:t>5.00</w:t>
            </w:r>
          </w:p>
        </w:tc>
      </w:tr>
      <w:tr w:rsidRPr="007F620E" w:rsidR="002614E0" w:rsidTr="008A0FAF" w14:paraId="06E7371A" w14:textId="77777777">
        <w:trPr>
          <w:jc w:val="center"/>
        </w:trPr>
        <w:tc>
          <w:tcPr>
            <w:tcW w:w="6558" w:type="dxa"/>
            <w:gridSpan w:val="9"/>
            <w:tcBorders>
              <w:top w:val="single" w:color="auto" w:sz="4" w:space="0"/>
              <w:bottom w:val="single" w:color="auto" w:sz="4" w:space="0"/>
              <w:right w:val="single" w:color="auto" w:sz="24" w:space="0"/>
            </w:tcBorders>
            <w:shd w:val="clear" w:color="auto" w:fill="E6E6E6"/>
            <w:vAlign w:val="bottom"/>
          </w:tcPr>
          <w:p w:rsidRPr="00FE3BAE" w:rsidR="002614E0" w:rsidP="002614E0" w:rsidRDefault="002614E0" w14:paraId="11B3B704" w14:textId="21CC2916">
            <w:pPr>
              <w:tabs>
                <w:tab w:val="left" w:pos="957"/>
              </w:tabs>
              <w:spacing w:before="60" w:after="60"/>
              <w:ind w:right="72"/>
              <w:jc w:val="right"/>
              <w:rPr>
                <w:b/>
                <w:color w:val="000000"/>
              </w:rPr>
            </w:pPr>
            <w:r w:rsidRPr="00374FD1">
              <w:rPr>
                <w:b/>
                <w:i/>
                <w:color w:val="000000"/>
              </w:rPr>
              <w:t>TOTAL REQUEST: $</w:t>
            </w:r>
            <w:r>
              <w:rPr>
                <w:b/>
                <w:i/>
                <w:color w:val="000000"/>
              </w:rPr>
              <w:t>17,285.00</w:t>
            </w:r>
          </w:p>
        </w:tc>
        <w:tc>
          <w:tcPr>
            <w:tcW w:w="3067" w:type="dxa"/>
            <w:gridSpan w:val="3"/>
            <w:tcBorders>
              <w:left w:val="single" w:color="auto" w:sz="24" w:space="0"/>
            </w:tcBorders>
            <w:shd w:val="clear" w:color="auto" w:fill="E6E6E6"/>
            <w:vAlign w:val="bottom"/>
          </w:tcPr>
          <w:p w:rsidRPr="00FE3BAE" w:rsidR="002614E0" w:rsidP="002614E0" w:rsidRDefault="002614E0" w14:paraId="3680D139" w14:textId="550C5039">
            <w:pPr>
              <w:tabs>
                <w:tab w:val="left" w:pos="957"/>
              </w:tabs>
              <w:spacing w:before="60" w:after="60"/>
              <w:ind w:right="72"/>
              <w:jc w:val="right"/>
              <w:rPr>
                <w:b/>
                <w:color w:val="000000"/>
              </w:rPr>
            </w:pPr>
            <w:r w:rsidRPr="00374FD1">
              <w:rPr>
                <w:b/>
                <w:i/>
                <w:color w:val="000000"/>
              </w:rPr>
              <w:t>TOTAL AWARD: $</w:t>
            </w:r>
            <w:r w:rsidR="008D51D9">
              <w:rPr>
                <w:b/>
                <w:i/>
                <w:color w:val="000000"/>
              </w:rPr>
              <w:t>1</w:t>
            </w:r>
            <w:r w:rsidR="000D3467">
              <w:rPr>
                <w:b/>
                <w:i/>
                <w:color w:val="000000"/>
              </w:rPr>
              <w:t>6</w:t>
            </w:r>
            <w:r w:rsidR="008D51D9">
              <w:rPr>
                <w:b/>
                <w:i/>
                <w:color w:val="000000"/>
              </w:rPr>
              <w:t>,</w:t>
            </w:r>
            <w:r w:rsidR="00941BF8">
              <w:rPr>
                <w:b/>
                <w:i/>
                <w:color w:val="000000"/>
              </w:rPr>
              <w:t>732</w:t>
            </w:r>
            <w:r w:rsidR="008D51D9">
              <w:rPr>
                <w:b/>
                <w:i/>
                <w:color w:val="000000"/>
              </w:rPr>
              <w:t>.</w:t>
            </w:r>
            <w:r w:rsidR="000D3467">
              <w:rPr>
                <w:b/>
                <w:i/>
                <w:color w:val="000000"/>
              </w:rPr>
              <w:t>5</w:t>
            </w:r>
            <w:r w:rsidR="008D51D9">
              <w:rPr>
                <w:b/>
                <w:i/>
                <w:color w:val="000000"/>
              </w:rPr>
              <w:t>0</w:t>
            </w:r>
          </w:p>
        </w:tc>
      </w:tr>
      <w:tr w:rsidRPr="007F620E" w:rsidR="002614E0" w:rsidTr="008A0FAF" w14:paraId="6A909BC1" w14:textId="77777777">
        <w:trPr>
          <w:jc w:val="center"/>
        </w:trPr>
        <w:tc>
          <w:tcPr>
            <w:tcW w:w="9625" w:type="dxa"/>
            <w:gridSpan w:val="12"/>
            <w:tcBorders>
              <w:top w:val="single" w:color="auto" w:sz="4" w:space="0"/>
              <w:bottom w:val="single" w:color="auto" w:sz="4" w:space="0"/>
            </w:tcBorders>
          </w:tcPr>
          <w:p w:rsidRPr="007F620E" w:rsidR="002614E0" w:rsidP="002614E0" w:rsidRDefault="002614E0"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2614E0" w:rsidP="002614E0" w:rsidRDefault="002614E0"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2614E0" w:rsidTr="008A0FAF" w14:paraId="458B01A4" w14:textId="77777777">
        <w:trPr>
          <w:jc w:val="center"/>
        </w:trPr>
        <w:tc>
          <w:tcPr>
            <w:tcW w:w="962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2614E0" w:rsidP="002614E0" w:rsidRDefault="002614E0" w14:paraId="48B43CBD" w14:textId="77777777">
            <w:pPr>
              <w:keepNext/>
              <w:spacing w:before="60" w:after="60"/>
              <w:jc w:val="center"/>
              <w:rPr>
                <w:b/>
                <w:smallCaps/>
                <w:color w:val="000000"/>
              </w:rPr>
            </w:pPr>
            <w:r w:rsidRPr="007F620E">
              <w:rPr>
                <w:b/>
                <w:smallCaps/>
                <w:color w:val="000000"/>
              </w:rPr>
              <w:lastRenderedPageBreak/>
              <w:t>ATTORNEY INFORMATION</w:t>
            </w:r>
          </w:p>
        </w:tc>
      </w:tr>
      <w:tr w:rsidRPr="00C16981" w:rsidR="002614E0" w:rsidTr="008A0FAF" w14:paraId="790C92C0" w14:textId="77777777">
        <w:trPr>
          <w:trHeight w:val="173"/>
          <w:jc w:val="center"/>
        </w:trPr>
        <w:tc>
          <w:tcPr>
            <w:tcW w:w="2072" w:type="dxa"/>
            <w:gridSpan w:val="3"/>
            <w:tcBorders>
              <w:top w:val="single" w:color="auto" w:sz="4" w:space="0"/>
              <w:bottom w:val="single" w:color="auto" w:sz="4" w:space="0"/>
            </w:tcBorders>
            <w:shd w:val="clear" w:color="auto" w:fill="FFFFFF"/>
            <w:vAlign w:val="bottom"/>
          </w:tcPr>
          <w:p w:rsidRPr="00C16981" w:rsidR="002614E0" w:rsidP="002614E0" w:rsidRDefault="002614E0"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2614E0" w:rsidP="002614E0" w:rsidRDefault="002614E0"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2614E0" w:rsidP="002614E0" w:rsidRDefault="002614E0" w14:paraId="27E64ED7" w14:textId="77777777">
            <w:pPr>
              <w:keepNext/>
              <w:keepLines/>
              <w:spacing w:before="60" w:after="60"/>
              <w:jc w:val="center"/>
              <w:rPr>
                <w:b/>
                <w:color w:val="000000"/>
                <w:sz w:val="22"/>
                <w:szCs w:val="22"/>
              </w:rPr>
            </w:pPr>
            <w:r w:rsidRPr="00C16981">
              <w:rPr>
                <w:b/>
                <w:sz w:val="22"/>
                <w:szCs w:val="22"/>
              </w:rPr>
              <w:t>Member Number</w:t>
            </w:r>
          </w:p>
        </w:tc>
        <w:tc>
          <w:tcPr>
            <w:tcW w:w="3353" w:type="dxa"/>
            <w:gridSpan w:val="4"/>
            <w:tcBorders>
              <w:top w:val="single" w:color="auto" w:sz="4" w:space="0"/>
              <w:bottom w:val="single" w:color="auto" w:sz="4" w:space="0"/>
            </w:tcBorders>
            <w:shd w:val="clear" w:color="auto" w:fill="FFFFFF"/>
            <w:vAlign w:val="bottom"/>
          </w:tcPr>
          <w:p w:rsidRPr="00C16981" w:rsidR="002614E0" w:rsidP="002614E0" w:rsidRDefault="002614E0" w14:paraId="496B5DC1" w14:textId="77777777">
            <w:pPr>
              <w:keepNext/>
              <w:keepLines/>
              <w:spacing w:before="60" w:after="60"/>
              <w:jc w:val="center"/>
              <w:rPr>
                <w:b/>
                <w:sz w:val="22"/>
                <w:szCs w:val="22"/>
              </w:rPr>
            </w:pPr>
            <w:r w:rsidRPr="00C16981">
              <w:rPr>
                <w:b/>
                <w:sz w:val="22"/>
                <w:szCs w:val="22"/>
              </w:rPr>
              <w:t>Actions Affecting Eligibility (Yes/No?)</w:t>
            </w:r>
          </w:p>
          <w:p w:rsidRPr="00C16981" w:rsidR="002614E0" w:rsidP="002614E0" w:rsidRDefault="002614E0"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2614E0" w:rsidTr="008A0FAF" w14:paraId="5D036E2E" w14:textId="77777777">
        <w:trPr>
          <w:trHeight w:val="172"/>
          <w:jc w:val="center"/>
        </w:trPr>
        <w:tc>
          <w:tcPr>
            <w:tcW w:w="2072" w:type="dxa"/>
            <w:gridSpan w:val="3"/>
            <w:tcBorders>
              <w:top w:val="single" w:color="auto" w:sz="4" w:space="0"/>
              <w:bottom w:val="single" w:color="auto" w:sz="4" w:space="0"/>
            </w:tcBorders>
          </w:tcPr>
          <w:p w:rsidRPr="007F620E" w:rsidR="002614E0" w:rsidP="002614E0" w:rsidRDefault="002614E0" w14:paraId="3D5F8F51" w14:textId="790E8982">
            <w:pPr>
              <w:spacing w:before="60" w:after="60"/>
              <w:jc w:val="center"/>
              <w:rPr>
                <w:color w:val="000000"/>
              </w:rPr>
            </w:pPr>
            <w:r>
              <w:rPr>
                <w:color w:val="000000"/>
              </w:rPr>
              <w:t>Matthew Freedman</w:t>
            </w:r>
          </w:p>
        </w:tc>
        <w:tc>
          <w:tcPr>
            <w:tcW w:w="1909" w:type="dxa"/>
            <w:gridSpan w:val="3"/>
            <w:tcBorders>
              <w:top w:val="single" w:color="auto" w:sz="4" w:space="0"/>
              <w:bottom w:val="single" w:color="auto" w:sz="4" w:space="0"/>
            </w:tcBorders>
          </w:tcPr>
          <w:p w:rsidRPr="007F620E" w:rsidR="002614E0" w:rsidP="002614E0" w:rsidRDefault="002614E0" w14:paraId="1609FC8E" w14:textId="752A3BB6">
            <w:pPr>
              <w:spacing w:before="60" w:after="60"/>
              <w:jc w:val="center"/>
              <w:rPr>
                <w:color w:val="000000"/>
              </w:rPr>
            </w:pPr>
            <w:r>
              <w:rPr>
                <w:color w:val="000000"/>
              </w:rPr>
              <w:t>March 2001</w:t>
            </w:r>
          </w:p>
        </w:tc>
        <w:tc>
          <w:tcPr>
            <w:tcW w:w="2291" w:type="dxa"/>
            <w:gridSpan w:val="2"/>
            <w:tcBorders>
              <w:top w:val="single" w:color="auto" w:sz="4" w:space="0"/>
              <w:bottom w:val="single" w:color="auto" w:sz="4" w:space="0"/>
            </w:tcBorders>
          </w:tcPr>
          <w:p w:rsidRPr="007F620E" w:rsidR="002614E0" w:rsidP="002614E0" w:rsidRDefault="002614E0" w14:paraId="182A9D2B" w14:textId="48FB42D0">
            <w:pPr>
              <w:spacing w:before="60" w:after="60"/>
              <w:jc w:val="center"/>
              <w:rPr>
                <w:color w:val="000000"/>
              </w:rPr>
            </w:pPr>
            <w:r>
              <w:rPr>
                <w:color w:val="000000"/>
              </w:rPr>
              <w:t>214812</w:t>
            </w:r>
          </w:p>
        </w:tc>
        <w:tc>
          <w:tcPr>
            <w:tcW w:w="3353" w:type="dxa"/>
            <w:gridSpan w:val="4"/>
            <w:tcBorders>
              <w:top w:val="single" w:color="auto" w:sz="4" w:space="0"/>
              <w:bottom w:val="single" w:color="auto" w:sz="4" w:space="0"/>
            </w:tcBorders>
          </w:tcPr>
          <w:p w:rsidRPr="007F620E" w:rsidR="002614E0" w:rsidP="002614E0" w:rsidRDefault="002614E0" w14:paraId="35DC3C56" w14:textId="0DD3245A">
            <w:pPr>
              <w:spacing w:before="60" w:after="60"/>
              <w:jc w:val="center"/>
              <w:rPr>
                <w:color w:val="000000"/>
              </w:rPr>
            </w:pPr>
            <w:r>
              <w:rPr>
                <w:color w:val="000000"/>
              </w:rPr>
              <w:t>No</w:t>
            </w:r>
          </w:p>
        </w:tc>
      </w:tr>
    </w:tbl>
    <w:p w:rsidR="008D51D9" w:rsidP="008D51D9" w:rsidRDefault="00A92D0B" w14:paraId="774C9734" w14:textId="3CE26219">
      <w:pPr>
        <w:keepNext/>
        <w:numPr>
          <w:ilvl w:val="0"/>
          <w:numId w:val="9"/>
        </w:numPr>
        <w:spacing w:before="240"/>
        <w:rPr>
          <w:b/>
          <w:color w:val="000000"/>
        </w:rPr>
      </w:pPr>
      <w:r w:rsidRPr="005B5B44">
        <w:rPr>
          <w:b/>
          <w:color w:val="000000"/>
        </w:rPr>
        <w:t>Attachments</w:t>
      </w:r>
      <w:r w:rsidRPr="007F620E">
        <w:rPr>
          <w:b/>
        </w:rPr>
        <w:t xml:space="preserve"> Documenting Specific Claim and Comments on Part III</w:t>
      </w:r>
      <w:r w:rsidR="0049226E">
        <w:rPr>
          <w:rStyle w:val="FootnoteReference"/>
          <w:b/>
        </w:rPr>
        <w:footnoteReference w:id="3"/>
      </w:r>
      <w:r w:rsidR="00C02649">
        <w:rPr>
          <w:b/>
        </w:rPr>
        <w:t>:</w:t>
      </w:r>
    </w:p>
    <w:p w:rsidRPr="008D51D9" w:rsidR="008D51D9" w:rsidP="0049226E" w:rsidRDefault="008D51D9" w14:paraId="4A3B04CF" w14:textId="77777777">
      <w:pPr>
        <w:keepNext/>
        <w:ind w:left="360"/>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C2265F"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C2265F" w14:paraId="72C869B0" w14:textId="77777777">
        <w:tc>
          <w:tcPr>
            <w:tcW w:w="1795" w:type="dxa"/>
          </w:tcPr>
          <w:p w:rsidRPr="007F620E" w:rsidR="00A92D0B" w:rsidP="001A3CF3" w:rsidRDefault="0022302F" w14:paraId="49AADD21" w14:textId="77777777">
            <w:pPr>
              <w:tabs>
                <w:tab w:val="left" w:pos="1260"/>
              </w:tabs>
              <w:rPr>
                <w:color w:val="000000"/>
              </w:rPr>
            </w:pPr>
            <w:r>
              <w:rPr>
                <w:color w:val="000000"/>
              </w:rPr>
              <w:t>2</w:t>
            </w:r>
          </w:p>
        </w:tc>
        <w:tc>
          <w:tcPr>
            <w:tcW w:w="7565" w:type="dxa"/>
          </w:tcPr>
          <w:p w:rsidRPr="007C5BBB" w:rsidR="00A92D0B" w:rsidP="001A3CF3" w:rsidRDefault="007C5BBB" w14:paraId="3AF20C23" w14:textId="0A704D57">
            <w:pPr>
              <w:tabs>
                <w:tab w:val="left" w:pos="1260"/>
              </w:tabs>
              <w:rPr>
                <w:bCs/>
                <w:color w:val="000000"/>
              </w:rPr>
            </w:pPr>
            <w:r>
              <w:rPr>
                <w:bCs/>
                <w:color w:val="000000"/>
              </w:rPr>
              <w:t>Attorney and Experts Time Sheet Detail</w:t>
            </w:r>
          </w:p>
        </w:tc>
      </w:tr>
      <w:tr w:rsidRPr="007F620E" w:rsidR="007C5BBB" w:rsidTr="00C2265F" w14:paraId="14F89935" w14:textId="77777777">
        <w:tc>
          <w:tcPr>
            <w:tcW w:w="1795" w:type="dxa"/>
          </w:tcPr>
          <w:p w:rsidR="007C5BBB" w:rsidP="001A3CF3" w:rsidRDefault="007C5BBB" w14:paraId="1098D385" w14:textId="1A3FB1F9">
            <w:pPr>
              <w:tabs>
                <w:tab w:val="left" w:pos="1260"/>
              </w:tabs>
              <w:rPr>
                <w:color w:val="000000"/>
              </w:rPr>
            </w:pPr>
            <w:r>
              <w:rPr>
                <w:color w:val="000000"/>
              </w:rPr>
              <w:t>3</w:t>
            </w:r>
          </w:p>
        </w:tc>
        <w:tc>
          <w:tcPr>
            <w:tcW w:w="7565" w:type="dxa"/>
          </w:tcPr>
          <w:p w:rsidR="007C5BBB" w:rsidP="001A3CF3" w:rsidRDefault="007C5BBB" w14:paraId="51F73D54" w14:textId="64444FA6">
            <w:pPr>
              <w:tabs>
                <w:tab w:val="left" w:pos="1260"/>
              </w:tabs>
              <w:rPr>
                <w:bCs/>
                <w:color w:val="000000"/>
              </w:rPr>
            </w:pPr>
            <w:r>
              <w:rPr>
                <w:bCs/>
                <w:color w:val="000000"/>
              </w:rPr>
              <w:t>TURN hours Allocated by Issue</w:t>
            </w:r>
          </w:p>
        </w:tc>
      </w:tr>
      <w:tr w:rsidRPr="007F620E" w:rsidR="005B57A4" w:rsidTr="00C2265F" w14:paraId="2DE79B99" w14:textId="77777777">
        <w:tc>
          <w:tcPr>
            <w:tcW w:w="1795" w:type="dxa"/>
          </w:tcPr>
          <w:p w:rsidR="005B57A4" w:rsidP="001A3CF3" w:rsidRDefault="005B57A4" w14:paraId="04ED4DD8" w14:textId="2948FC46">
            <w:pPr>
              <w:tabs>
                <w:tab w:val="left" w:pos="1260"/>
              </w:tabs>
              <w:rPr>
                <w:color w:val="000000"/>
              </w:rPr>
            </w:pPr>
            <w:r>
              <w:rPr>
                <w:color w:val="000000"/>
              </w:rPr>
              <w:t>4</w:t>
            </w:r>
          </w:p>
        </w:tc>
        <w:tc>
          <w:tcPr>
            <w:tcW w:w="7565" w:type="dxa"/>
          </w:tcPr>
          <w:p w:rsidRPr="005B57A4" w:rsidR="005B57A4" w:rsidP="001A3CF3" w:rsidRDefault="005B57A4" w14:paraId="3611EB61" w14:textId="77777777">
            <w:pPr>
              <w:tabs>
                <w:tab w:val="left" w:pos="1260"/>
              </w:tabs>
              <w:rPr>
                <w:b/>
                <w:color w:val="000000"/>
              </w:rPr>
            </w:pPr>
            <w:r w:rsidRPr="005B57A4">
              <w:rPr>
                <w:b/>
                <w:color w:val="000000"/>
              </w:rPr>
              <w:t>Sylvie Ashford Hourly Rate for 2025</w:t>
            </w:r>
          </w:p>
          <w:p w:rsidR="005B57A4" w:rsidP="001A3CF3" w:rsidRDefault="005B57A4" w14:paraId="081FEC9F" w14:textId="77777777">
            <w:pPr>
              <w:tabs>
                <w:tab w:val="left" w:pos="1260"/>
              </w:tabs>
              <w:rPr>
                <w:bCs/>
                <w:color w:val="000000"/>
              </w:rPr>
            </w:pPr>
          </w:p>
          <w:p w:rsidR="004A684A" w:rsidP="005B57A4" w:rsidRDefault="005B57A4" w14:paraId="2E178783" w14:textId="2FAF64BE">
            <w:pPr>
              <w:rPr>
                <w:color w:val="000000"/>
              </w:rPr>
            </w:pPr>
            <w:r>
              <w:rPr>
                <w:color w:val="000000"/>
              </w:rPr>
              <w:t>TURN requests that the Commission adopt a 202</w:t>
            </w:r>
            <w:r w:rsidR="004A684A">
              <w:rPr>
                <w:color w:val="000000"/>
              </w:rPr>
              <w:t>5</w:t>
            </w:r>
            <w:r>
              <w:rPr>
                <w:color w:val="000000"/>
              </w:rPr>
              <w:t xml:space="preserve"> hourly rate of</w:t>
            </w:r>
            <w:r w:rsidR="004A684A">
              <w:rPr>
                <w:color w:val="000000"/>
              </w:rPr>
              <w:t xml:space="preserve"> $265 for TURN Energy Policy Analyst Sylvie Ashford.</w:t>
            </w:r>
            <w:r>
              <w:rPr>
                <w:color w:val="000000"/>
              </w:rPr>
              <w:t> This rate is equal to the rate authorized by the Commission in</w:t>
            </w:r>
            <w:r w:rsidR="004A684A">
              <w:rPr>
                <w:color w:val="000000"/>
              </w:rPr>
              <w:t xml:space="preserve"> </w:t>
            </w:r>
            <w:r w:rsidR="004A684A">
              <w:t xml:space="preserve">D.25-06-030 for Ms. Ashford’s work in 2024 ($245), </w:t>
            </w:r>
            <w:r>
              <w:rPr>
                <w:color w:val="000000"/>
              </w:rPr>
              <w:t>adjusted by both the annual escalation methodology adopted in Resolution (Res.) ALJ-393 and the first 5% step increase for</w:t>
            </w:r>
            <w:r w:rsidR="004A684A">
              <w:rPr>
                <w:color w:val="000000"/>
              </w:rPr>
              <w:t xml:space="preserve"> Ms. Ashford in the Public Policy Analyst – Level II experience tier.</w:t>
            </w:r>
          </w:p>
          <w:p w:rsidR="004A684A" w:rsidP="005B57A4" w:rsidRDefault="004A684A" w14:paraId="392EBB2A" w14:textId="77777777">
            <w:pPr>
              <w:pStyle w:val="NormalWeb"/>
              <w:rPr>
                <w:color w:val="000000"/>
              </w:rPr>
            </w:pPr>
          </w:p>
          <w:p w:rsidRPr="005B57A4" w:rsidR="005B57A4" w:rsidP="005B57A4" w:rsidRDefault="005B57A4" w14:paraId="1ED008A0" w14:textId="4FDADB33">
            <w:pPr>
              <w:pStyle w:val="NormalWeb"/>
              <w:rPr>
                <w:rFonts w:ascii="Optima-Regular" w:hAnsi="Optima-Regular"/>
                <w:color w:val="000000"/>
                <w:sz w:val="21"/>
                <w:szCs w:val="21"/>
              </w:rPr>
            </w:pPr>
            <w:r>
              <w:rPr>
                <w:color w:val="000000"/>
              </w:rPr>
              <w:t xml:space="preserve">Res. ALJ-393 permits intervenor representatives to claim up to two 5% annual “step increases” within each labor role experience tier, </w:t>
            </w:r>
            <w:proofErr w:type="gramStart"/>
            <w:r>
              <w:rPr>
                <w:color w:val="000000"/>
              </w:rPr>
              <w:t>as long as</w:t>
            </w:r>
            <w:proofErr w:type="gramEnd"/>
            <w:r>
              <w:rPr>
                <w:color w:val="000000"/>
              </w:rPr>
              <w:t xml:space="preserve"> their final requested rate does not exceed the </w:t>
            </w:r>
            <w:r w:rsidRPr="00B736FB">
              <w:rPr>
                <w:color w:val="000000"/>
              </w:rPr>
              <w:t>maximum approved rate for that experience level. (Res. ALJ-393, p. 5). </w:t>
            </w:r>
            <w:r w:rsidRPr="00B736FB">
              <w:rPr>
                <w:rStyle w:val="apple-converted-space"/>
                <w:color w:val="000000"/>
              </w:rPr>
              <w:t> </w:t>
            </w:r>
            <w:r w:rsidRPr="00B736FB">
              <w:rPr>
                <w:color w:val="000000"/>
              </w:rPr>
              <w:t>The maximum approved rate for a</w:t>
            </w:r>
            <w:r w:rsidR="00B736FB">
              <w:rPr>
                <w:color w:val="000000"/>
              </w:rPr>
              <w:t xml:space="preserve"> Public Policy Analyst – Level II is $348</w:t>
            </w:r>
            <w:r w:rsidRPr="00B736FB">
              <w:rPr>
                <w:rStyle w:val="apple-converted-space"/>
                <w:color w:val="000000"/>
              </w:rPr>
              <w:t> </w:t>
            </w:r>
            <w:r w:rsidRPr="00B736FB">
              <w:rPr>
                <w:color w:val="000000"/>
              </w:rPr>
              <w:t>for work conducted</w:t>
            </w:r>
            <w:r>
              <w:rPr>
                <w:color w:val="000000"/>
              </w:rPr>
              <w:t xml:space="preserve"> in 2025.</w:t>
            </w:r>
            <w:r>
              <w:rPr>
                <w:rFonts w:ascii="Optima-Regular" w:hAnsi="Optima-Regular"/>
                <w:color w:val="000000"/>
                <w:sz w:val="21"/>
                <w:szCs w:val="21"/>
              </w:rPr>
              <w:t>    </w:t>
            </w:r>
          </w:p>
        </w:tc>
      </w:tr>
    </w:tbl>
    <w:p w:rsidRPr="007F620E" w:rsidR="00A92D0B" w:rsidP="005B5B44" w:rsidRDefault="00A92D0B" w14:paraId="0D8B7003" w14:textId="55345A9B">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D748DD" w14:paraId="52CD0603" w14:textId="77777777">
        <w:trPr>
          <w:tblHeader/>
        </w:trPr>
        <w:tc>
          <w:tcPr>
            <w:tcW w:w="1527"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33"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D748DD" w14:paraId="69DEE01C" w14:textId="77777777">
        <w:tc>
          <w:tcPr>
            <w:tcW w:w="1527" w:type="dxa"/>
          </w:tcPr>
          <w:p w:rsidR="00D748DD" w:rsidP="00D748DD" w:rsidRDefault="00D748DD" w14:paraId="44C2086D" w14:textId="77777777">
            <w:pPr>
              <w:tabs>
                <w:tab w:val="left" w:pos="1440"/>
              </w:tabs>
              <w:jc w:val="center"/>
              <w:rPr>
                <w:color w:val="000000"/>
              </w:rPr>
            </w:pPr>
            <w:r>
              <w:rPr>
                <w:color w:val="000000"/>
              </w:rPr>
              <w:t>[1]</w:t>
            </w:r>
          </w:p>
          <w:p w:rsidRPr="007F620E" w:rsidR="00A92D0B" w:rsidP="00D748DD" w:rsidRDefault="00D748DD" w14:paraId="1E6C8F3D" w14:textId="59337146">
            <w:pPr>
              <w:tabs>
                <w:tab w:val="left" w:pos="1440"/>
              </w:tabs>
              <w:jc w:val="center"/>
              <w:rPr>
                <w:color w:val="000000"/>
              </w:rPr>
            </w:pPr>
            <w:r>
              <w:rPr>
                <w:rFonts w:asciiTheme="majorBidi" w:hAnsiTheme="majorBidi" w:cstheme="majorBidi"/>
                <w:color w:val="000000"/>
              </w:rPr>
              <w:t>Matthew Freedman 2024</w:t>
            </w:r>
            <w:r w:rsidR="00342966">
              <w:rPr>
                <w:rFonts w:asciiTheme="majorBidi" w:hAnsiTheme="majorBidi" w:cstheme="majorBidi"/>
                <w:color w:val="000000"/>
              </w:rPr>
              <w:t xml:space="preserve">, </w:t>
            </w:r>
            <w:r>
              <w:rPr>
                <w:rFonts w:asciiTheme="majorBidi" w:hAnsiTheme="majorBidi" w:cstheme="majorBidi"/>
                <w:color w:val="000000"/>
              </w:rPr>
              <w:t xml:space="preserve">2025 </w:t>
            </w:r>
            <w:r>
              <w:rPr>
                <w:rFonts w:asciiTheme="majorBidi" w:hAnsiTheme="majorBidi" w:cstheme="majorBidi"/>
                <w:color w:val="000000"/>
              </w:rPr>
              <w:lastRenderedPageBreak/>
              <w:t>Hourly Rate</w:t>
            </w:r>
            <w:r w:rsidR="00342966">
              <w:rPr>
                <w:rFonts w:asciiTheme="majorBidi" w:hAnsiTheme="majorBidi" w:cstheme="majorBidi"/>
                <w:color w:val="000000"/>
              </w:rPr>
              <w:t>s &amp; Intervenor Compensation Rate</w:t>
            </w:r>
          </w:p>
        </w:tc>
        <w:tc>
          <w:tcPr>
            <w:tcW w:w="7833" w:type="dxa"/>
          </w:tcPr>
          <w:p w:rsidR="00A92D0B" w:rsidP="00EB64CF" w:rsidRDefault="00C2265F" w14:paraId="789386B0" w14:textId="77777777">
            <w:pPr>
              <w:tabs>
                <w:tab w:val="left" w:pos="1440"/>
              </w:tabs>
              <w:rPr>
                <w:color w:val="000000"/>
              </w:rPr>
            </w:pPr>
            <w:r>
              <w:rPr>
                <w:color w:val="000000"/>
              </w:rPr>
              <w:lastRenderedPageBreak/>
              <w:t>TURN</w:t>
            </w:r>
            <w:r w:rsidRPr="00C2265F">
              <w:rPr>
                <w:color w:val="000000"/>
              </w:rPr>
              <w:t xml:space="preserve"> requests an hourly rate of $</w:t>
            </w:r>
            <w:r>
              <w:rPr>
                <w:color w:val="000000"/>
              </w:rPr>
              <w:t>740</w:t>
            </w:r>
            <w:r w:rsidRPr="00C2265F">
              <w:rPr>
                <w:color w:val="000000"/>
              </w:rPr>
              <w:t xml:space="preserve"> for work conducted by </w:t>
            </w:r>
            <w:r>
              <w:rPr>
                <w:color w:val="000000"/>
              </w:rPr>
              <w:t>Matthew Freedman</w:t>
            </w:r>
            <w:r w:rsidRPr="00C2265F">
              <w:rPr>
                <w:color w:val="000000"/>
              </w:rPr>
              <w:t xml:space="preserve"> based on D.2</w:t>
            </w:r>
            <w:r>
              <w:rPr>
                <w:color w:val="000000"/>
              </w:rPr>
              <w:t>4</w:t>
            </w:r>
            <w:r w:rsidRPr="00C2265F">
              <w:rPr>
                <w:color w:val="000000"/>
              </w:rPr>
              <w:t>-0</w:t>
            </w:r>
            <w:r>
              <w:rPr>
                <w:color w:val="000000"/>
              </w:rPr>
              <w:t>9</w:t>
            </w:r>
            <w:r w:rsidRPr="00C2265F">
              <w:rPr>
                <w:color w:val="000000"/>
              </w:rPr>
              <w:t>-0</w:t>
            </w:r>
            <w:r>
              <w:rPr>
                <w:color w:val="000000"/>
              </w:rPr>
              <w:t>15</w:t>
            </w:r>
            <w:r w:rsidRPr="00C2265F">
              <w:rPr>
                <w:color w:val="000000"/>
              </w:rPr>
              <w:t xml:space="preserve"> in 2024. D.2</w:t>
            </w:r>
            <w:r>
              <w:rPr>
                <w:color w:val="000000"/>
              </w:rPr>
              <w:t>4</w:t>
            </w:r>
            <w:r w:rsidRPr="00C2265F">
              <w:rPr>
                <w:color w:val="000000"/>
              </w:rPr>
              <w:t>-0</w:t>
            </w:r>
            <w:r>
              <w:rPr>
                <w:color w:val="000000"/>
              </w:rPr>
              <w:t>9</w:t>
            </w:r>
            <w:r w:rsidRPr="00C2265F">
              <w:rPr>
                <w:color w:val="000000"/>
              </w:rPr>
              <w:t>-0</w:t>
            </w:r>
            <w:r>
              <w:rPr>
                <w:color w:val="000000"/>
              </w:rPr>
              <w:t>15</w:t>
            </w:r>
            <w:r w:rsidRPr="00C2265F">
              <w:rPr>
                <w:color w:val="000000"/>
              </w:rPr>
              <w:t xml:space="preserve"> established a 2024 rate of $</w:t>
            </w:r>
            <w:r>
              <w:rPr>
                <w:color w:val="000000"/>
              </w:rPr>
              <w:t>740</w:t>
            </w:r>
            <w:r w:rsidRPr="00C2265F">
              <w:rPr>
                <w:color w:val="000000"/>
              </w:rPr>
              <w:t xml:space="preserve"> for </w:t>
            </w:r>
            <w:r>
              <w:rPr>
                <w:color w:val="000000"/>
              </w:rPr>
              <w:t>Matthew Freedman</w:t>
            </w:r>
            <w:r w:rsidRPr="00C2265F">
              <w:rPr>
                <w:color w:val="000000"/>
              </w:rPr>
              <w:t xml:space="preserve"> therefore we adopt this approved rate for </w:t>
            </w:r>
            <w:r>
              <w:rPr>
                <w:color w:val="000000"/>
              </w:rPr>
              <w:t>Matthew Freedman</w:t>
            </w:r>
            <w:r w:rsidRPr="00C2265F">
              <w:rPr>
                <w:color w:val="000000"/>
              </w:rPr>
              <w:t>.</w:t>
            </w:r>
            <w:r>
              <w:rPr>
                <w:color w:val="000000"/>
              </w:rPr>
              <w:t xml:space="preserve"> </w:t>
            </w:r>
          </w:p>
          <w:p w:rsidR="00C2265F" w:rsidP="00EB64CF" w:rsidRDefault="00C2265F" w14:paraId="6070AC1A" w14:textId="77777777">
            <w:pPr>
              <w:tabs>
                <w:tab w:val="left" w:pos="1440"/>
              </w:tabs>
              <w:rPr>
                <w:color w:val="000000"/>
              </w:rPr>
            </w:pPr>
          </w:p>
          <w:p w:rsidR="00DE2CC3" w:rsidP="00DE2CC3" w:rsidRDefault="00C2265F" w14:paraId="51432B9D" w14:textId="77777777">
            <w:pPr>
              <w:pStyle w:val="NormalWeb"/>
              <w:rPr>
                <w:rFonts w:ascii="Segoe UI" w:hAnsi="Segoe UI" w:cs="Segoe UI"/>
              </w:rPr>
            </w:pPr>
            <w:r>
              <w:rPr>
                <w:color w:val="000000"/>
              </w:rPr>
              <w:t>TURN</w:t>
            </w:r>
            <w:r w:rsidRPr="00C2265F">
              <w:rPr>
                <w:color w:val="000000"/>
              </w:rPr>
              <w:t xml:space="preserve"> requests an hourly rate of $</w:t>
            </w:r>
            <w:r w:rsidR="000D3467">
              <w:rPr>
                <w:color w:val="000000"/>
              </w:rPr>
              <w:t>805</w:t>
            </w:r>
            <w:r w:rsidRPr="00C2265F">
              <w:rPr>
                <w:color w:val="000000"/>
              </w:rPr>
              <w:t xml:space="preserve"> for work conducted by </w:t>
            </w:r>
            <w:r>
              <w:rPr>
                <w:color w:val="000000"/>
              </w:rPr>
              <w:t>Matthew Freedman</w:t>
            </w:r>
            <w:r w:rsidRPr="00C2265F">
              <w:rPr>
                <w:color w:val="000000"/>
              </w:rPr>
              <w:t xml:space="preserve"> based on D.2</w:t>
            </w:r>
            <w:r w:rsidR="000D3467">
              <w:rPr>
                <w:color w:val="000000"/>
              </w:rPr>
              <w:t>5</w:t>
            </w:r>
            <w:r w:rsidRPr="00C2265F">
              <w:rPr>
                <w:color w:val="000000"/>
              </w:rPr>
              <w:t>-0</w:t>
            </w:r>
            <w:r w:rsidR="000D3467">
              <w:rPr>
                <w:color w:val="000000"/>
              </w:rPr>
              <w:t>5</w:t>
            </w:r>
            <w:r w:rsidRPr="00C2265F">
              <w:rPr>
                <w:color w:val="000000"/>
              </w:rPr>
              <w:t>-0</w:t>
            </w:r>
            <w:r>
              <w:rPr>
                <w:color w:val="000000"/>
              </w:rPr>
              <w:t>1</w:t>
            </w:r>
            <w:r w:rsidR="000D3467">
              <w:rPr>
                <w:color w:val="000000"/>
              </w:rPr>
              <w:t>8</w:t>
            </w:r>
            <w:r w:rsidRPr="00C2265F">
              <w:rPr>
                <w:color w:val="000000"/>
              </w:rPr>
              <w:t xml:space="preserve"> in 202</w:t>
            </w:r>
            <w:r w:rsidR="000D3467">
              <w:rPr>
                <w:color w:val="000000"/>
              </w:rPr>
              <w:t>5</w:t>
            </w:r>
            <w:r w:rsidRPr="00C2265F">
              <w:rPr>
                <w:color w:val="000000"/>
              </w:rPr>
              <w:t xml:space="preserve">. </w:t>
            </w:r>
            <w:r w:rsidR="000D3467">
              <w:rPr>
                <w:color w:val="000000"/>
              </w:rPr>
              <w:t xml:space="preserve">However, the requested amount is over the maximum range for Legal – Attorney – V. </w:t>
            </w:r>
            <w:r w:rsidRPr="00C2265F">
              <w:rPr>
                <w:color w:val="000000"/>
              </w:rPr>
              <w:t>D.2</w:t>
            </w:r>
            <w:r w:rsidR="000D3467">
              <w:rPr>
                <w:color w:val="000000"/>
              </w:rPr>
              <w:t>5</w:t>
            </w:r>
            <w:r w:rsidRPr="00C2265F">
              <w:rPr>
                <w:color w:val="000000"/>
              </w:rPr>
              <w:t>-</w:t>
            </w:r>
            <w:r w:rsidR="000D3467">
              <w:rPr>
                <w:color w:val="000000"/>
              </w:rPr>
              <w:t>10</w:t>
            </w:r>
            <w:r w:rsidRPr="00C2265F">
              <w:rPr>
                <w:color w:val="000000"/>
              </w:rPr>
              <w:t>-0</w:t>
            </w:r>
            <w:r w:rsidR="000D3467">
              <w:rPr>
                <w:color w:val="000000"/>
              </w:rPr>
              <w:t>59</w:t>
            </w:r>
            <w:r w:rsidRPr="00C2265F">
              <w:rPr>
                <w:color w:val="000000"/>
              </w:rPr>
              <w:t xml:space="preserve"> established a 202</w:t>
            </w:r>
            <w:r w:rsidR="000D3467">
              <w:rPr>
                <w:color w:val="000000"/>
              </w:rPr>
              <w:t>5</w:t>
            </w:r>
            <w:r w:rsidRPr="00C2265F">
              <w:rPr>
                <w:color w:val="000000"/>
              </w:rPr>
              <w:t xml:space="preserve"> rate of $</w:t>
            </w:r>
            <w:r>
              <w:rPr>
                <w:color w:val="000000"/>
              </w:rPr>
              <w:t>7</w:t>
            </w:r>
            <w:r w:rsidR="000D3467">
              <w:rPr>
                <w:color w:val="000000"/>
              </w:rPr>
              <w:t>95</w:t>
            </w:r>
            <w:r w:rsidRPr="00C2265F">
              <w:rPr>
                <w:color w:val="000000"/>
              </w:rPr>
              <w:t xml:space="preserve"> for </w:t>
            </w:r>
            <w:r>
              <w:rPr>
                <w:color w:val="000000"/>
              </w:rPr>
              <w:t>Matthew Freedman</w:t>
            </w:r>
            <w:r w:rsidRPr="00C2265F">
              <w:rPr>
                <w:color w:val="000000"/>
              </w:rPr>
              <w:t xml:space="preserve"> therefore we adopt this approved rate for </w:t>
            </w:r>
            <w:r>
              <w:rPr>
                <w:color w:val="000000"/>
              </w:rPr>
              <w:t>Matthew Freedman</w:t>
            </w:r>
            <w:r w:rsidRPr="00C2265F">
              <w:rPr>
                <w:color w:val="000000"/>
              </w:rPr>
              <w:t>.</w:t>
            </w:r>
            <w:r w:rsidRPr="00DE2CC3" w:rsidR="00DE2CC3">
              <w:rPr>
                <w:rFonts w:ascii="Segoe UI" w:hAnsi="Segoe UI" w:cs="Segoe UI"/>
              </w:rPr>
              <w:t xml:space="preserve"> </w:t>
            </w:r>
          </w:p>
          <w:p w:rsidR="00DE2CC3" w:rsidP="00DE2CC3" w:rsidRDefault="00DE2CC3" w14:paraId="5746645D" w14:textId="77777777">
            <w:pPr>
              <w:pStyle w:val="NormalWeb"/>
              <w:rPr>
                <w:rFonts w:ascii="Segoe UI" w:hAnsi="Segoe UI" w:cs="Segoe UI"/>
              </w:rPr>
            </w:pPr>
          </w:p>
          <w:p w:rsidRPr="00DE2CC3" w:rsidR="00C2265F" w:rsidP="00DE2CC3" w:rsidRDefault="00DE2CC3" w14:paraId="45BFCB16" w14:textId="6F0A04A0">
            <w:pPr>
              <w:pStyle w:val="NormalWeb"/>
              <w:rPr>
                <w:rFonts w:eastAsia="Times New Roman"/>
              </w:rPr>
            </w:pPr>
            <w:r w:rsidRPr="00DE2CC3">
              <w:rPr>
                <w:rFonts w:eastAsia="Times New Roman"/>
              </w:rPr>
              <w:t>As Intervenor Compensation Claim Preparation hours are compensated at ½ preparer’s normal hourly rate, we apply the rate of $</w:t>
            </w:r>
            <w:r w:rsidR="00770A8F">
              <w:rPr>
                <w:rFonts w:eastAsia="Times New Roman"/>
              </w:rPr>
              <w:t>397.50</w:t>
            </w:r>
            <w:r w:rsidRPr="00DE2CC3">
              <w:rPr>
                <w:rFonts w:eastAsia="Times New Roman"/>
              </w:rPr>
              <w:t xml:space="preserve"> for </w:t>
            </w:r>
            <w:r w:rsidR="00770A8F">
              <w:rPr>
                <w:rFonts w:eastAsia="Times New Roman"/>
              </w:rPr>
              <w:t xml:space="preserve">Freedman </w:t>
            </w:r>
            <w:r w:rsidRPr="00DE2CC3">
              <w:rPr>
                <w:rFonts w:eastAsia="Times New Roman"/>
              </w:rPr>
              <w:t>in 2025</w:t>
            </w:r>
            <w:r>
              <w:rPr>
                <w:rFonts w:eastAsia="Times New Roman"/>
              </w:rPr>
              <w:t>.</w:t>
            </w:r>
          </w:p>
        </w:tc>
      </w:tr>
      <w:tr w:rsidRPr="007F620E" w:rsidR="00A92D0B" w:rsidTr="00D748DD" w14:paraId="52155EFC" w14:textId="77777777">
        <w:tc>
          <w:tcPr>
            <w:tcW w:w="1527" w:type="dxa"/>
          </w:tcPr>
          <w:p w:rsidR="00D748DD" w:rsidP="00D748DD" w:rsidRDefault="00D748DD" w14:paraId="69A60538" w14:textId="77777777">
            <w:pPr>
              <w:tabs>
                <w:tab w:val="left" w:pos="1440"/>
              </w:tabs>
              <w:jc w:val="center"/>
              <w:rPr>
                <w:color w:val="000000"/>
              </w:rPr>
            </w:pPr>
            <w:r>
              <w:rPr>
                <w:color w:val="000000"/>
              </w:rPr>
              <w:lastRenderedPageBreak/>
              <w:t>[2]</w:t>
            </w:r>
          </w:p>
          <w:p w:rsidRPr="007F620E" w:rsidR="00A92D0B" w:rsidP="00D748DD" w:rsidRDefault="00D748DD" w14:paraId="26487933" w14:textId="5BB5D47F">
            <w:pPr>
              <w:tabs>
                <w:tab w:val="left" w:pos="1440"/>
              </w:tabs>
              <w:jc w:val="center"/>
              <w:rPr>
                <w:color w:val="000000"/>
              </w:rPr>
            </w:pPr>
            <w:r>
              <w:rPr>
                <w:color w:val="000000"/>
              </w:rPr>
              <w:t>Reduction of hours for Sylvie Ashford</w:t>
            </w:r>
          </w:p>
        </w:tc>
        <w:tc>
          <w:tcPr>
            <w:tcW w:w="7833" w:type="dxa"/>
          </w:tcPr>
          <w:p w:rsidR="00761054" w:rsidP="00761054" w:rsidRDefault="00761054" w14:paraId="1FF55D4A" w14:textId="77777777">
            <w:pPr>
              <w:tabs>
                <w:tab w:val="left" w:pos="1440"/>
              </w:tabs>
              <w:rPr>
                <w:color w:val="000000"/>
                <w:u w:val="single"/>
              </w:rPr>
            </w:pPr>
            <w:r w:rsidRPr="002100E0">
              <w:rPr>
                <w:color w:val="000000"/>
                <w:u w:val="single"/>
              </w:rPr>
              <w:t xml:space="preserve">Excessive Hours </w:t>
            </w:r>
          </w:p>
          <w:p w:rsidR="00761054" w:rsidP="00761054" w:rsidRDefault="00761054" w14:paraId="5992CA92" w14:textId="77777777">
            <w:pPr>
              <w:tabs>
                <w:tab w:val="left" w:pos="1440"/>
              </w:tabs>
              <w:rPr>
                <w:color w:val="000000"/>
              </w:rPr>
            </w:pPr>
          </w:p>
          <w:p w:rsidRPr="00761054" w:rsidR="00761054" w:rsidP="00761054" w:rsidRDefault="00761054" w14:paraId="7C95ED60" w14:textId="348479E8">
            <w:pPr>
              <w:tabs>
                <w:tab w:val="left" w:pos="1440"/>
              </w:tabs>
              <w:rPr>
                <w:color w:val="000000"/>
              </w:rPr>
            </w:pPr>
            <w:r>
              <w:rPr>
                <w:color w:val="000000"/>
              </w:rPr>
              <w:t>Sylvie</w:t>
            </w:r>
            <w:r w:rsidRPr="00761054">
              <w:rPr>
                <w:color w:val="000000"/>
              </w:rPr>
              <w:t xml:space="preserve"> Ashford claimed a total of 8.25 hours between August 20 and August 21, 2024, for reading and analyzing the IGFC implementation advice letters submitted by PG&amp;E, SCE, and SDG&amp;E, as well as for follow-on analysis and comparison of those filings. While review of the utilities’ implementation proposals was necessary and contributed to TURN’s participation in the proceeding, the record reflects that these advice letters were highly similar in structure and content, as each utility was implementing the same Commission decision governing income-graduated fixed charges. Once </w:t>
            </w:r>
            <w:r>
              <w:rPr>
                <w:color w:val="000000"/>
              </w:rPr>
              <w:t>Sylvie</w:t>
            </w:r>
            <w:r w:rsidRPr="00761054">
              <w:rPr>
                <w:color w:val="000000"/>
              </w:rPr>
              <w:t xml:space="preserve"> Ashford reviewed one or two of the implementation letters, some efficiencies would be expected in reviewing the remaining filings, particularly where the analytical framework, compliance questions, and core issues were largely overlapping.</w:t>
            </w:r>
          </w:p>
          <w:p w:rsidR="00761054" w:rsidP="00761054" w:rsidRDefault="00761054" w14:paraId="1EC07749" w14:textId="081AE29F">
            <w:pPr>
              <w:tabs>
                <w:tab w:val="left" w:pos="1440"/>
              </w:tabs>
              <w:rPr>
                <w:color w:val="000000"/>
              </w:rPr>
            </w:pPr>
            <w:r w:rsidRPr="00761054">
              <w:rPr>
                <w:color w:val="000000"/>
              </w:rPr>
              <w:t xml:space="preserve">Although </w:t>
            </w:r>
            <w:r>
              <w:rPr>
                <w:color w:val="000000"/>
              </w:rPr>
              <w:t>Sylvie</w:t>
            </w:r>
            <w:r w:rsidRPr="00761054">
              <w:rPr>
                <w:color w:val="000000"/>
              </w:rPr>
              <w:t xml:space="preserve"> Ashford’s analysis was helpful, the total number of hours claimed for this sequence of closely related review tasks is excessive relative to the reasonable amount of effort required. Excessive is when the Commission determines that the time claimed is disproportionate to the effort needed to make a substantial contribution, and the burden of proof rests with the intervenor to demonstrate that all hours claimed were spent productively. In this instance, TURN has not shown that the full amount of time claimed reflects reasonable efficiencies given the similarity of the advice letters. </w:t>
            </w:r>
          </w:p>
          <w:p w:rsidR="00761054" w:rsidP="00761054" w:rsidRDefault="00761054" w14:paraId="3E78BE9E" w14:textId="77777777">
            <w:pPr>
              <w:tabs>
                <w:tab w:val="left" w:pos="1440"/>
              </w:tabs>
              <w:rPr>
                <w:color w:val="000000"/>
              </w:rPr>
            </w:pPr>
          </w:p>
          <w:tbl>
            <w:tblPr>
              <w:tblW w:w="6460" w:type="dxa"/>
              <w:tblLook w:val="04A0" w:firstRow="1" w:lastRow="0" w:firstColumn="1" w:lastColumn="0" w:noHBand="0" w:noVBand="1"/>
            </w:tblPr>
            <w:tblGrid>
              <w:gridCol w:w="1420"/>
              <w:gridCol w:w="3960"/>
              <w:gridCol w:w="1080"/>
            </w:tblGrid>
            <w:tr w:rsidR="00761054" w:rsidTr="00760850" w14:paraId="484E138B" w14:textId="77777777">
              <w:trPr>
                <w:trHeight w:val="300"/>
              </w:trPr>
              <w:tc>
                <w:tcPr>
                  <w:tcW w:w="1420" w:type="dxa"/>
                  <w:tcBorders>
                    <w:top w:val="single" w:color="auto" w:sz="4" w:space="0"/>
                    <w:left w:val="single" w:color="auto" w:sz="4" w:space="0"/>
                    <w:bottom w:val="single" w:color="auto" w:sz="4" w:space="0"/>
                    <w:right w:val="single" w:color="auto" w:sz="4" w:space="0"/>
                  </w:tcBorders>
                  <w:noWrap/>
                  <w:vAlign w:val="bottom"/>
                  <w:hideMark/>
                </w:tcPr>
                <w:p w:rsidRPr="00374F42" w:rsidR="00761054" w:rsidP="00761054" w:rsidRDefault="00761054" w14:paraId="630DD9B7" w14:textId="77777777">
                  <w:pPr>
                    <w:jc w:val="center"/>
                    <w:rPr>
                      <w:b/>
                      <w:bCs/>
                      <w:color w:val="000000"/>
                      <w:sz w:val="22"/>
                      <w:szCs w:val="22"/>
                      <w:u w:val="single"/>
                    </w:rPr>
                  </w:pPr>
                  <w:r w:rsidRPr="00374F42">
                    <w:rPr>
                      <w:b/>
                      <w:bCs/>
                      <w:color w:val="000000"/>
                      <w:sz w:val="22"/>
                      <w:szCs w:val="22"/>
                      <w:u w:val="single"/>
                    </w:rPr>
                    <w:t>Date</w:t>
                  </w:r>
                </w:p>
              </w:tc>
              <w:tc>
                <w:tcPr>
                  <w:tcW w:w="3960" w:type="dxa"/>
                  <w:tcBorders>
                    <w:top w:val="single" w:color="auto" w:sz="4" w:space="0"/>
                    <w:left w:val="nil"/>
                    <w:bottom w:val="single" w:color="auto" w:sz="4" w:space="0"/>
                    <w:right w:val="single" w:color="auto" w:sz="4" w:space="0"/>
                  </w:tcBorders>
                  <w:noWrap/>
                  <w:vAlign w:val="bottom"/>
                  <w:hideMark/>
                </w:tcPr>
                <w:p w:rsidRPr="00374F42" w:rsidR="00761054" w:rsidP="00761054" w:rsidRDefault="00761054" w14:paraId="256622AA" w14:textId="77777777">
                  <w:pPr>
                    <w:jc w:val="center"/>
                    <w:rPr>
                      <w:b/>
                      <w:bCs/>
                      <w:color w:val="000000"/>
                      <w:sz w:val="22"/>
                      <w:szCs w:val="22"/>
                      <w:u w:val="single"/>
                    </w:rPr>
                  </w:pPr>
                  <w:r w:rsidRPr="00374F42">
                    <w:rPr>
                      <w:b/>
                      <w:bCs/>
                      <w:color w:val="000000"/>
                      <w:sz w:val="22"/>
                      <w:szCs w:val="22"/>
                      <w:u w:val="single"/>
                    </w:rPr>
                    <w:t>Task</w:t>
                  </w:r>
                </w:p>
              </w:tc>
              <w:tc>
                <w:tcPr>
                  <w:tcW w:w="1080" w:type="dxa"/>
                  <w:tcBorders>
                    <w:top w:val="single" w:color="auto" w:sz="4" w:space="0"/>
                    <w:left w:val="nil"/>
                    <w:bottom w:val="single" w:color="auto" w:sz="4" w:space="0"/>
                    <w:right w:val="single" w:color="auto" w:sz="4" w:space="0"/>
                  </w:tcBorders>
                  <w:noWrap/>
                  <w:vAlign w:val="bottom"/>
                  <w:hideMark/>
                </w:tcPr>
                <w:p w:rsidRPr="00374F42" w:rsidR="00761054" w:rsidP="00761054" w:rsidRDefault="00761054" w14:paraId="5A4C9DC9" w14:textId="77777777">
                  <w:pPr>
                    <w:jc w:val="center"/>
                    <w:rPr>
                      <w:b/>
                      <w:bCs/>
                      <w:color w:val="000000"/>
                      <w:sz w:val="22"/>
                      <w:szCs w:val="22"/>
                      <w:u w:val="single"/>
                    </w:rPr>
                  </w:pPr>
                  <w:r w:rsidRPr="00374F42">
                    <w:rPr>
                      <w:b/>
                      <w:bCs/>
                      <w:color w:val="000000"/>
                      <w:sz w:val="22"/>
                      <w:szCs w:val="22"/>
                      <w:u w:val="single"/>
                    </w:rPr>
                    <w:t>Total</w:t>
                  </w:r>
                </w:p>
              </w:tc>
            </w:tr>
            <w:tr w:rsidR="00761054" w:rsidTr="00760850" w14:paraId="708CC242" w14:textId="77777777">
              <w:trPr>
                <w:trHeight w:val="300"/>
              </w:trPr>
              <w:tc>
                <w:tcPr>
                  <w:tcW w:w="1420" w:type="dxa"/>
                  <w:tcBorders>
                    <w:top w:val="single" w:color="auto" w:sz="4" w:space="0"/>
                    <w:left w:val="single" w:color="auto" w:sz="4" w:space="0"/>
                    <w:bottom w:val="single" w:color="auto" w:sz="4" w:space="0"/>
                    <w:right w:val="single" w:color="auto" w:sz="4" w:space="0"/>
                  </w:tcBorders>
                  <w:noWrap/>
                </w:tcPr>
                <w:p w:rsidRPr="00374F42" w:rsidR="00761054" w:rsidP="00761054" w:rsidRDefault="00761054" w14:paraId="76508812" w14:textId="3D220CF2">
                  <w:pPr>
                    <w:jc w:val="center"/>
                    <w:rPr>
                      <w:color w:val="000000"/>
                      <w:sz w:val="22"/>
                      <w:szCs w:val="22"/>
                    </w:rPr>
                  </w:pPr>
                  <w:r w:rsidRPr="00A74074">
                    <w:t>8/20/2024</w:t>
                  </w:r>
                </w:p>
              </w:tc>
              <w:tc>
                <w:tcPr>
                  <w:tcW w:w="3960" w:type="dxa"/>
                  <w:tcBorders>
                    <w:top w:val="single" w:color="auto" w:sz="4" w:space="0"/>
                    <w:left w:val="nil"/>
                    <w:bottom w:val="single" w:color="auto" w:sz="4" w:space="0"/>
                    <w:right w:val="single" w:color="auto" w:sz="4" w:space="0"/>
                  </w:tcBorders>
                  <w:noWrap/>
                </w:tcPr>
                <w:p w:rsidRPr="00374F42" w:rsidR="00761054" w:rsidP="00761054" w:rsidRDefault="00761054" w14:paraId="0A810CCF" w14:textId="35F43B83">
                  <w:pPr>
                    <w:jc w:val="center"/>
                    <w:rPr>
                      <w:color w:val="000000"/>
                      <w:sz w:val="22"/>
                      <w:szCs w:val="22"/>
                    </w:rPr>
                  </w:pPr>
                  <w:r w:rsidRPr="004D2CC7">
                    <w:t>Read and analyze PG&amp;E IGFC implementation letter</w:t>
                  </w:r>
                </w:p>
              </w:tc>
              <w:tc>
                <w:tcPr>
                  <w:tcW w:w="1080" w:type="dxa"/>
                  <w:tcBorders>
                    <w:top w:val="single" w:color="auto" w:sz="4" w:space="0"/>
                    <w:left w:val="nil"/>
                    <w:bottom w:val="single" w:color="auto" w:sz="4" w:space="0"/>
                    <w:right w:val="single" w:color="auto" w:sz="4" w:space="0"/>
                  </w:tcBorders>
                  <w:noWrap/>
                </w:tcPr>
                <w:p w:rsidRPr="00374F42" w:rsidR="00761054" w:rsidP="00761054" w:rsidRDefault="00761054" w14:paraId="13D514D4" w14:textId="069C0EDC">
                  <w:pPr>
                    <w:jc w:val="center"/>
                    <w:rPr>
                      <w:color w:val="000000"/>
                      <w:sz w:val="22"/>
                      <w:szCs w:val="22"/>
                    </w:rPr>
                  </w:pPr>
                  <w:r w:rsidRPr="000B2293">
                    <w:t xml:space="preserve">3.00 </w:t>
                  </w:r>
                </w:p>
              </w:tc>
            </w:tr>
            <w:tr w:rsidR="00761054" w:rsidTr="00760850" w14:paraId="2E7814DF" w14:textId="77777777">
              <w:trPr>
                <w:trHeight w:val="300"/>
              </w:trPr>
              <w:tc>
                <w:tcPr>
                  <w:tcW w:w="1420" w:type="dxa"/>
                  <w:tcBorders>
                    <w:top w:val="single" w:color="auto" w:sz="4" w:space="0"/>
                    <w:left w:val="single" w:color="auto" w:sz="4" w:space="0"/>
                    <w:bottom w:val="single" w:color="auto" w:sz="4" w:space="0"/>
                    <w:right w:val="single" w:color="auto" w:sz="4" w:space="0"/>
                  </w:tcBorders>
                  <w:noWrap/>
                </w:tcPr>
                <w:p w:rsidRPr="00374F42" w:rsidR="00761054" w:rsidP="00761054" w:rsidRDefault="00761054" w14:paraId="6305557C" w14:textId="5CA495C2">
                  <w:pPr>
                    <w:jc w:val="center"/>
                    <w:rPr>
                      <w:color w:val="000000"/>
                      <w:sz w:val="22"/>
                      <w:szCs w:val="22"/>
                    </w:rPr>
                  </w:pPr>
                  <w:r w:rsidRPr="00A74074">
                    <w:t>8/20/2024</w:t>
                  </w:r>
                </w:p>
              </w:tc>
              <w:tc>
                <w:tcPr>
                  <w:tcW w:w="3960" w:type="dxa"/>
                  <w:tcBorders>
                    <w:top w:val="single" w:color="auto" w:sz="4" w:space="0"/>
                    <w:left w:val="nil"/>
                    <w:bottom w:val="single" w:color="auto" w:sz="4" w:space="0"/>
                    <w:right w:val="single" w:color="auto" w:sz="4" w:space="0"/>
                  </w:tcBorders>
                  <w:noWrap/>
                </w:tcPr>
                <w:p w:rsidRPr="00374F42" w:rsidR="00761054" w:rsidP="00761054" w:rsidRDefault="00761054" w14:paraId="5EAD6B75" w14:textId="78273F05">
                  <w:pPr>
                    <w:jc w:val="center"/>
                    <w:rPr>
                      <w:color w:val="000000"/>
                      <w:sz w:val="22"/>
                      <w:szCs w:val="22"/>
                    </w:rPr>
                  </w:pPr>
                  <w:r w:rsidRPr="004D2CC7">
                    <w:t>Read and analyze SCE IGFC implementation letter</w:t>
                  </w:r>
                </w:p>
              </w:tc>
              <w:tc>
                <w:tcPr>
                  <w:tcW w:w="1080" w:type="dxa"/>
                  <w:tcBorders>
                    <w:top w:val="single" w:color="auto" w:sz="4" w:space="0"/>
                    <w:left w:val="nil"/>
                    <w:bottom w:val="single" w:color="auto" w:sz="4" w:space="0"/>
                    <w:right w:val="single" w:color="auto" w:sz="4" w:space="0"/>
                  </w:tcBorders>
                  <w:noWrap/>
                </w:tcPr>
                <w:p w:rsidRPr="00374F42" w:rsidR="00761054" w:rsidP="00761054" w:rsidRDefault="00761054" w14:paraId="3E00598C" w14:textId="1A627E32">
                  <w:pPr>
                    <w:jc w:val="center"/>
                    <w:rPr>
                      <w:color w:val="000000"/>
                      <w:sz w:val="22"/>
                      <w:szCs w:val="22"/>
                    </w:rPr>
                  </w:pPr>
                  <w:r w:rsidRPr="000B2293">
                    <w:t xml:space="preserve">1.25 </w:t>
                  </w:r>
                </w:p>
              </w:tc>
            </w:tr>
            <w:tr w:rsidR="00761054" w:rsidTr="00760850" w14:paraId="0E6B7E42" w14:textId="77777777">
              <w:trPr>
                <w:trHeight w:val="300"/>
              </w:trPr>
              <w:tc>
                <w:tcPr>
                  <w:tcW w:w="1420" w:type="dxa"/>
                  <w:tcBorders>
                    <w:top w:val="single" w:color="auto" w:sz="4" w:space="0"/>
                    <w:left w:val="single" w:color="auto" w:sz="4" w:space="0"/>
                    <w:bottom w:val="single" w:color="auto" w:sz="4" w:space="0"/>
                    <w:right w:val="single" w:color="auto" w:sz="4" w:space="0"/>
                  </w:tcBorders>
                  <w:noWrap/>
                </w:tcPr>
                <w:p w:rsidRPr="00374F42" w:rsidR="00761054" w:rsidP="00761054" w:rsidRDefault="00761054" w14:paraId="4FC56DA7" w14:textId="1F392FB5">
                  <w:pPr>
                    <w:jc w:val="center"/>
                    <w:rPr>
                      <w:color w:val="000000"/>
                      <w:sz w:val="22"/>
                      <w:szCs w:val="22"/>
                    </w:rPr>
                  </w:pPr>
                  <w:r w:rsidRPr="00A74074">
                    <w:t>8/20/2024</w:t>
                  </w:r>
                </w:p>
              </w:tc>
              <w:tc>
                <w:tcPr>
                  <w:tcW w:w="3960" w:type="dxa"/>
                  <w:tcBorders>
                    <w:top w:val="single" w:color="auto" w:sz="4" w:space="0"/>
                    <w:left w:val="nil"/>
                    <w:bottom w:val="single" w:color="auto" w:sz="4" w:space="0"/>
                    <w:right w:val="single" w:color="auto" w:sz="4" w:space="0"/>
                  </w:tcBorders>
                  <w:noWrap/>
                </w:tcPr>
                <w:p w:rsidRPr="00374F42" w:rsidR="00761054" w:rsidP="00761054" w:rsidRDefault="00761054" w14:paraId="640C73D0" w14:textId="49925791">
                  <w:pPr>
                    <w:jc w:val="center"/>
                    <w:rPr>
                      <w:color w:val="000000"/>
                      <w:sz w:val="22"/>
                      <w:szCs w:val="22"/>
                    </w:rPr>
                  </w:pPr>
                  <w:r w:rsidRPr="004D2CC7">
                    <w:t>Read and analyze SDG&amp;E IGFC implementation letter</w:t>
                  </w:r>
                </w:p>
              </w:tc>
              <w:tc>
                <w:tcPr>
                  <w:tcW w:w="1080" w:type="dxa"/>
                  <w:tcBorders>
                    <w:top w:val="single" w:color="auto" w:sz="4" w:space="0"/>
                    <w:left w:val="nil"/>
                    <w:bottom w:val="single" w:color="auto" w:sz="4" w:space="0"/>
                    <w:right w:val="single" w:color="auto" w:sz="4" w:space="0"/>
                  </w:tcBorders>
                  <w:noWrap/>
                </w:tcPr>
                <w:p w:rsidRPr="00374F42" w:rsidR="00761054" w:rsidP="00761054" w:rsidRDefault="00761054" w14:paraId="4CC3CBBA" w14:textId="632D0874">
                  <w:pPr>
                    <w:jc w:val="center"/>
                    <w:rPr>
                      <w:color w:val="000000"/>
                      <w:sz w:val="22"/>
                      <w:szCs w:val="22"/>
                    </w:rPr>
                  </w:pPr>
                  <w:r w:rsidRPr="000B2293">
                    <w:t xml:space="preserve">1.50 </w:t>
                  </w:r>
                </w:p>
              </w:tc>
            </w:tr>
            <w:tr w:rsidR="00761054" w:rsidTr="00760850" w14:paraId="04795AEE" w14:textId="77777777">
              <w:trPr>
                <w:trHeight w:val="300"/>
              </w:trPr>
              <w:tc>
                <w:tcPr>
                  <w:tcW w:w="1420" w:type="dxa"/>
                  <w:tcBorders>
                    <w:top w:val="single" w:color="auto" w:sz="4" w:space="0"/>
                    <w:left w:val="single" w:color="auto" w:sz="4" w:space="0"/>
                    <w:bottom w:val="single" w:color="auto" w:sz="4" w:space="0"/>
                    <w:right w:val="single" w:color="auto" w:sz="4" w:space="0"/>
                  </w:tcBorders>
                  <w:noWrap/>
                </w:tcPr>
                <w:p w:rsidRPr="00374F42" w:rsidR="00761054" w:rsidP="00761054" w:rsidRDefault="00761054" w14:paraId="34FC672B" w14:textId="6FE802C6">
                  <w:pPr>
                    <w:jc w:val="center"/>
                    <w:rPr>
                      <w:color w:val="000000"/>
                      <w:sz w:val="22"/>
                      <w:szCs w:val="22"/>
                    </w:rPr>
                  </w:pPr>
                  <w:r w:rsidRPr="00A74074">
                    <w:t>8/21/2024</w:t>
                  </w:r>
                </w:p>
              </w:tc>
              <w:tc>
                <w:tcPr>
                  <w:tcW w:w="3960" w:type="dxa"/>
                  <w:tcBorders>
                    <w:top w:val="single" w:color="auto" w:sz="4" w:space="0"/>
                    <w:left w:val="nil"/>
                    <w:bottom w:val="single" w:color="auto" w:sz="4" w:space="0"/>
                    <w:right w:val="single" w:color="auto" w:sz="4" w:space="0"/>
                  </w:tcBorders>
                  <w:noWrap/>
                </w:tcPr>
                <w:p w:rsidRPr="00374F42" w:rsidR="00761054" w:rsidP="00761054" w:rsidRDefault="00761054" w14:paraId="520EB004" w14:textId="0E36215B">
                  <w:pPr>
                    <w:jc w:val="center"/>
                    <w:rPr>
                      <w:color w:val="000000"/>
                      <w:sz w:val="22"/>
                      <w:szCs w:val="22"/>
                    </w:rPr>
                  </w:pPr>
                  <w:r w:rsidRPr="004D2CC7">
                    <w:t>Identify concerns for ratepayers in IOU IGFC implementation plans</w:t>
                  </w:r>
                </w:p>
              </w:tc>
              <w:tc>
                <w:tcPr>
                  <w:tcW w:w="1080" w:type="dxa"/>
                  <w:tcBorders>
                    <w:top w:val="single" w:color="auto" w:sz="4" w:space="0"/>
                    <w:left w:val="nil"/>
                    <w:bottom w:val="single" w:color="auto" w:sz="4" w:space="0"/>
                    <w:right w:val="single" w:color="auto" w:sz="4" w:space="0"/>
                  </w:tcBorders>
                  <w:noWrap/>
                </w:tcPr>
                <w:p w:rsidRPr="00374F42" w:rsidR="00761054" w:rsidP="00761054" w:rsidRDefault="00761054" w14:paraId="188369AA" w14:textId="51AA2C85">
                  <w:pPr>
                    <w:jc w:val="center"/>
                    <w:rPr>
                      <w:color w:val="000000"/>
                      <w:sz w:val="22"/>
                      <w:szCs w:val="22"/>
                    </w:rPr>
                  </w:pPr>
                  <w:r w:rsidRPr="000B2293">
                    <w:t xml:space="preserve">2.00 </w:t>
                  </w:r>
                </w:p>
              </w:tc>
            </w:tr>
            <w:tr w:rsidR="00761054" w:rsidTr="00760850" w14:paraId="1DD82C7D" w14:textId="77777777">
              <w:trPr>
                <w:trHeight w:val="300"/>
              </w:trPr>
              <w:tc>
                <w:tcPr>
                  <w:tcW w:w="1420" w:type="dxa"/>
                  <w:tcBorders>
                    <w:top w:val="single" w:color="auto" w:sz="4" w:space="0"/>
                    <w:left w:val="single" w:color="auto" w:sz="4" w:space="0"/>
                    <w:bottom w:val="single" w:color="auto" w:sz="4" w:space="0"/>
                    <w:right w:val="single" w:color="auto" w:sz="4" w:space="0"/>
                  </w:tcBorders>
                  <w:noWrap/>
                </w:tcPr>
                <w:p w:rsidRPr="00374F42" w:rsidR="00761054" w:rsidP="00761054" w:rsidRDefault="00761054" w14:paraId="3EA20A78" w14:textId="32BF65D5">
                  <w:pPr>
                    <w:jc w:val="center"/>
                    <w:rPr>
                      <w:color w:val="000000"/>
                      <w:sz w:val="22"/>
                      <w:szCs w:val="22"/>
                    </w:rPr>
                  </w:pPr>
                  <w:r w:rsidRPr="00A74074">
                    <w:t>8/21/2024</w:t>
                  </w:r>
                </w:p>
              </w:tc>
              <w:tc>
                <w:tcPr>
                  <w:tcW w:w="3960" w:type="dxa"/>
                  <w:tcBorders>
                    <w:top w:val="single" w:color="auto" w:sz="4" w:space="0"/>
                    <w:left w:val="nil"/>
                    <w:bottom w:val="single" w:color="auto" w:sz="4" w:space="0"/>
                    <w:right w:val="single" w:color="auto" w:sz="4" w:space="0"/>
                  </w:tcBorders>
                  <w:noWrap/>
                </w:tcPr>
                <w:p w:rsidRPr="00374F42" w:rsidR="00761054" w:rsidP="00761054" w:rsidRDefault="00761054" w14:paraId="6978654C" w14:textId="4DAA6511">
                  <w:pPr>
                    <w:jc w:val="center"/>
                    <w:rPr>
                      <w:color w:val="000000"/>
                      <w:sz w:val="22"/>
                      <w:szCs w:val="22"/>
                    </w:rPr>
                  </w:pPr>
                  <w:r w:rsidRPr="004D2CC7">
                    <w:t>Compare implementation plans to IGFC decision requirements</w:t>
                  </w:r>
                </w:p>
              </w:tc>
              <w:tc>
                <w:tcPr>
                  <w:tcW w:w="1080" w:type="dxa"/>
                  <w:tcBorders>
                    <w:top w:val="single" w:color="auto" w:sz="4" w:space="0"/>
                    <w:left w:val="nil"/>
                    <w:bottom w:val="single" w:color="auto" w:sz="4" w:space="0"/>
                    <w:right w:val="single" w:color="auto" w:sz="4" w:space="0"/>
                  </w:tcBorders>
                  <w:noWrap/>
                </w:tcPr>
                <w:p w:rsidRPr="00374F42" w:rsidR="00761054" w:rsidP="00761054" w:rsidRDefault="00761054" w14:paraId="4AD30E4B" w14:textId="087AD71E">
                  <w:pPr>
                    <w:jc w:val="center"/>
                    <w:rPr>
                      <w:color w:val="000000"/>
                      <w:sz w:val="22"/>
                      <w:szCs w:val="22"/>
                    </w:rPr>
                  </w:pPr>
                  <w:r w:rsidRPr="000B2293">
                    <w:t xml:space="preserve">0.50 </w:t>
                  </w:r>
                </w:p>
              </w:tc>
            </w:tr>
          </w:tbl>
          <w:p w:rsidRPr="00761054" w:rsidR="00761054" w:rsidP="00761054" w:rsidRDefault="00761054" w14:paraId="38A3129D" w14:textId="77777777">
            <w:pPr>
              <w:tabs>
                <w:tab w:val="left" w:pos="1440"/>
              </w:tabs>
              <w:rPr>
                <w:color w:val="000000"/>
              </w:rPr>
            </w:pPr>
          </w:p>
          <w:p w:rsidRPr="007F620E" w:rsidR="00A92D0B" w:rsidP="00EB64CF" w:rsidRDefault="00761054" w14:paraId="455E6A00" w14:textId="60D301A0">
            <w:pPr>
              <w:tabs>
                <w:tab w:val="left" w:pos="1440"/>
              </w:tabs>
              <w:rPr>
                <w:color w:val="000000"/>
              </w:rPr>
            </w:pPr>
            <w:r w:rsidRPr="00761054">
              <w:rPr>
                <w:color w:val="000000"/>
              </w:rPr>
              <w:lastRenderedPageBreak/>
              <w:t xml:space="preserve">Accordingly, we reduce </w:t>
            </w:r>
            <w:r w:rsidR="00576773">
              <w:rPr>
                <w:color w:val="000000"/>
              </w:rPr>
              <w:t>2</w:t>
            </w:r>
            <w:r>
              <w:rPr>
                <w:color w:val="000000"/>
              </w:rPr>
              <w:t>.0</w:t>
            </w:r>
            <w:r w:rsidR="00304496">
              <w:rPr>
                <w:color w:val="000000"/>
              </w:rPr>
              <w:t>0</w:t>
            </w:r>
            <w:r w:rsidRPr="00761054">
              <w:rPr>
                <w:color w:val="000000"/>
              </w:rPr>
              <w:t xml:space="preserve"> </w:t>
            </w:r>
            <w:proofErr w:type="gramStart"/>
            <w:r w:rsidRPr="00761054">
              <w:rPr>
                <w:color w:val="000000"/>
              </w:rPr>
              <w:t>hour</w:t>
            </w:r>
            <w:proofErr w:type="gramEnd"/>
            <w:r w:rsidRPr="00761054">
              <w:rPr>
                <w:color w:val="000000"/>
              </w:rPr>
              <w:t xml:space="preserve"> from </w:t>
            </w:r>
            <w:r>
              <w:rPr>
                <w:color w:val="000000"/>
              </w:rPr>
              <w:t>Sylvie</w:t>
            </w:r>
            <w:r w:rsidRPr="00761054">
              <w:rPr>
                <w:color w:val="000000"/>
              </w:rPr>
              <w:t xml:space="preserve"> Ashford’s claimed time</w:t>
            </w:r>
            <w:r w:rsidR="00FA7778">
              <w:rPr>
                <w:color w:val="000000"/>
              </w:rPr>
              <w:t xml:space="preserve"> in 2024</w:t>
            </w:r>
            <w:r w:rsidRPr="00761054">
              <w:rPr>
                <w:color w:val="000000"/>
              </w:rPr>
              <w:t xml:space="preserve"> for inefficient and excessive hours </w:t>
            </w:r>
            <w:r>
              <w:rPr>
                <w:color w:val="000000"/>
              </w:rPr>
              <w:t>from above.</w:t>
            </w:r>
          </w:p>
        </w:tc>
      </w:tr>
      <w:tr w:rsidRPr="007F620E" w:rsidR="00D748DD" w:rsidTr="00D748DD" w14:paraId="35A86B75" w14:textId="77777777">
        <w:tc>
          <w:tcPr>
            <w:tcW w:w="1527" w:type="dxa"/>
          </w:tcPr>
          <w:p w:rsidR="00F43654" w:rsidP="00F43654" w:rsidRDefault="00F43654" w14:paraId="6B05E23B" w14:textId="77777777">
            <w:pPr>
              <w:tabs>
                <w:tab w:val="left" w:pos="1440"/>
              </w:tabs>
              <w:jc w:val="center"/>
              <w:rPr>
                <w:color w:val="000000"/>
              </w:rPr>
            </w:pPr>
            <w:r>
              <w:rPr>
                <w:color w:val="000000"/>
              </w:rPr>
              <w:lastRenderedPageBreak/>
              <w:t>[3]</w:t>
            </w:r>
          </w:p>
          <w:p w:rsidRPr="007F620E" w:rsidR="00D748DD" w:rsidP="00F43654" w:rsidRDefault="00F43654" w14:paraId="45B119BD" w14:textId="58DDFD2A">
            <w:pPr>
              <w:tabs>
                <w:tab w:val="left" w:pos="1440"/>
              </w:tabs>
              <w:jc w:val="center"/>
              <w:rPr>
                <w:color w:val="000000"/>
              </w:rPr>
            </w:pPr>
            <w:r>
              <w:rPr>
                <w:color w:val="000000"/>
              </w:rPr>
              <w:t>Sylvie Ashford 2024</w:t>
            </w:r>
            <w:r w:rsidR="00D73AE2">
              <w:rPr>
                <w:color w:val="000000"/>
              </w:rPr>
              <w:t xml:space="preserve"> and </w:t>
            </w:r>
            <w:r>
              <w:rPr>
                <w:color w:val="000000"/>
              </w:rPr>
              <w:t>2025 Hourly Rate</w:t>
            </w:r>
            <w:r w:rsidR="007C2ED5">
              <w:rPr>
                <w:color w:val="000000"/>
              </w:rPr>
              <w:t>s</w:t>
            </w:r>
          </w:p>
        </w:tc>
        <w:tc>
          <w:tcPr>
            <w:tcW w:w="7833" w:type="dxa"/>
          </w:tcPr>
          <w:p w:rsidR="000D3467" w:rsidP="000D3467" w:rsidRDefault="000D3467" w14:paraId="4BB7EF12" w14:textId="4B817C4C">
            <w:pPr>
              <w:tabs>
                <w:tab w:val="left" w:pos="1440"/>
              </w:tabs>
              <w:rPr>
                <w:color w:val="000000"/>
              </w:rPr>
            </w:pPr>
            <w:r>
              <w:rPr>
                <w:color w:val="000000"/>
              </w:rPr>
              <w:t>TURN</w:t>
            </w:r>
            <w:r w:rsidRPr="00C2265F">
              <w:rPr>
                <w:color w:val="000000"/>
              </w:rPr>
              <w:t xml:space="preserve"> requests an hourly rate of $</w:t>
            </w:r>
            <w:r>
              <w:rPr>
                <w:color w:val="000000"/>
              </w:rPr>
              <w:t>245</w:t>
            </w:r>
            <w:r w:rsidRPr="00C2265F">
              <w:rPr>
                <w:color w:val="000000"/>
              </w:rPr>
              <w:t xml:space="preserve"> for work conducted by</w:t>
            </w:r>
            <w:r>
              <w:rPr>
                <w:color w:val="000000"/>
              </w:rPr>
              <w:t xml:space="preserve"> Sylvie Ashford</w:t>
            </w:r>
            <w:r w:rsidRPr="00C2265F">
              <w:rPr>
                <w:color w:val="000000"/>
              </w:rPr>
              <w:t xml:space="preserve"> based on D.2</w:t>
            </w:r>
            <w:r>
              <w:rPr>
                <w:color w:val="000000"/>
              </w:rPr>
              <w:t>5</w:t>
            </w:r>
            <w:r w:rsidRPr="00C2265F">
              <w:rPr>
                <w:color w:val="000000"/>
              </w:rPr>
              <w:t>-0</w:t>
            </w:r>
            <w:r>
              <w:rPr>
                <w:color w:val="000000"/>
              </w:rPr>
              <w:t>6</w:t>
            </w:r>
            <w:r w:rsidRPr="00C2265F">
              <w:rPr>
                <w:color w:val="000000"/>
              </w:rPr>
              <w:t>-0</w:t>
            </w:r>
            <w:r>
              <w:rPr>
                <w:color w:val="000000"/>
              </w:rPr>
              <w:t>30</w:t>
            </w:r>
            <w:r w:rsidRPr="00C2265F">
              <w:rPr>
                <w:color w:val="000000"/>
              </w:rPr>
              <w:t xml:space="preserve"> in 2024. D.2</w:t>
            </w:r>
            <w:r>
              <w:rPr>
                <w:color w:val="000000"/>
              </w:rPr>
              <w:t>5-06-030</w:t>
            </w:r>
            <w:r w:rsidRPr="00C2265F">
              <w:rPr>
                <w:color w:val="000000"/>
              </w:rPr>
              <w:t xml:space="preserve"> established a 2024 rate of $</w:t>
            </w:r>
            <w:r>
              <w:rPr>
                <w:color w:val="000000"/>
              </w:rPr>
              <w:t>245</w:t>
            </w:r>
            <w:r w:rsidRPr="00C2265F">
              <w:rPr>
                <w:color w:val="000000"/>
              </w:rPr>
              <w:t xml:space="preserve"> for </w:t>
            </w:r>
            <w:r>
              <w:rPr>
                <w:color w:val="000000"/>
              </w:rPr>
              <w:t>Sylvie Ashford</w:t>
            </w:r>
            <w:r w:rsidR="005F6C52">
              <w:rPr>
                <w:color w:val="000000"/>
              </w:rPr>
              <w:t>,</w:t>
            </w:r>
            <w:r w:rsidRPr="00C2265F">
              <w:rPr>
                <w:color w:val="000000"/>
              </w:rPr>
              <w:t xml:space="preserve"> therefore we adopt this approved rate </w:t>
            </w:r>
            <w:r w:rsidR="00FA2364">
              <w:rPr>
                <w:color w:val="000000"/>
              </w:rPr>
              <w:t>in the role of</w:t>
            </w:r>
            <w:r w:rsidRPr="00960E9B" w:rsidR="005F6C52">
              <w:rPr>
                <w:color w:val="000000"/>
              </w:rPr>
              <w:t xml:space="preserve"> Expert – Public Policy Analyst I</w:t>
            </w:r>
            <w:r w:rsidR="00FA2364">
              <w:rPr>
                <w:color w:val="000000"/>
              </w:rPr>
              <w:t xml:space="preserve"> for Ashford.</w:t>
            </w:r>
          </w:p>
          <w:p w:rsidR="00960E9B" w:rsidP="00EB64CF" w:rsidRDefault="00960E9B" w14:paraId="624CC832" w14:textId="77777777">
            <w:pPr>
              <w:tabs>
                <w:tab w:val="left" w:pos="1440"/>
              </w:tabs>
              <w:rPr>
                <w:color w:val="000000"/>
              </w:rPr>
            </w:pPr>
          </w:p>
          <w:p w:rsidR="00844064" w:rsidP="00960E9B" w:rsidRDefault="00960E9B" w14:paraId="36386309" w14:textId="77777777">
            <w:pPr>
              <w:tabs>
                <w:tab w:val="left" w:pos="1440"/>
              </w:tabs>
              <w:rPr>
                <w:color w:val="000000"/>
              </w:rPr>
            </w:pPr>
            <w:r w:rsidRPr="00960E9B">
              <w:rPr>
                <w:color w:val="000000"/>
              </w:rPr>
              <w:t xml:space="preserve">TURN requests an hourly rate of $265.00 for Ashford in 2025 in the role of Expert – Public Policy Analyst II. TURN also requests a first step increase applied to Ashford’s 2025 hourly rate in the role of Expert – Public Policy Analyst II. </w:t>
            </w:r>
          </w:p>
          <w:p w:rsidRPr="007F620E" w:rsidR="00960E9B" w:rsidP="00844064" w:rsidRDefault="00960E9B" w14:paraId="36354BC4" w14:textId="36437589">
            <w:pPr>
              <w:tabs>
                <w:tab w:val="left" w:pos="1440"/>
              </w:tabs>
              <w:rPr>
                <w:color w:val="000000"/>
              </w:rPr>
            </w:pPr>
            <w:r w:rsidRPr="00960E9B">
              <w:rPr>
                <w:color w:val="000000"/>
              </w:rPr>
              <w:br/>
              <w:t xml:space="preserve">D.25-06-030 previously approved a 2024 rate of $245.00 for Ashford in the role of Expert – Public Policy Analyst I. For Ashford’s 2025 hourly rate, the Commission applies the annual escalation methodology adopted in Resolution ALJ-393, which is a percent change of 3.46%, along with a 5% step increase, to Ashford’s 2024 rate of $245.00 previously established. This results in a 2025 rate calculation of $265.00, rounded to the nearest five dollars, and is applied here for Ashford in the role of Expert – Public Policy Analyst II. </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t>PART IV</w:t>
      </w:r>
      <w:proofErr w:type="gramStart"/>
      <w:r w:rsidRPr="007F620E">
        <w:rPr>
          <w:b/>
          <w:color w:val="000000"/>
        </w:rPr>
        <w:t>:</w:t>
      </w:r>
      <w:r w:rsidR="00D1778A">
        <w:rPr>
          <w:b/>
          <w:color w:val="000000"/>
        </w:rPr>
        <w:t xml:space="preserve">  </w:t>
      </w:r>
      <w:r w:rsidRPr="007F620E">
        <w:rPr>
          <w:b/>
          <w:color w:val="000000"/>
        </w:rPr>
        <w:t>OPPOSITIONS</w:t>
      </w:r>
      <w:proofErr w:type="gramEnd"/>
      <w:r w:rsidRPr="007F620E">
        <w:rPr>
          <w:b/>
          <w:color w:val="000000"/>
        </w:rPr>
        <w:t xml:space="preserve">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304496" w14:paraId="6E7CD931" w14:textId="7AAF4F3A">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w:t>
            </w:r>
            <w:proofErr w:type="gramStart"/>
            <w:r w:rsidRPr="007F620E">
              <w:rPr>
                <w:b/>
                <w:color w:val="000000"/>
              </w:rPr>
              <w:t>:  Was</w:t>
            </w:r>
            <w:proofErr w:type="gramEnd"/>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EC518A" w14:paraId="238D2D3F" w14:textId="1457364F">
            <w:pPr>
              <w:keepNext/>
              <w:keepLines/>
              <w:spacing w:after="240"/>
              <w:rPr>
                <w:color w:val="000000"/>
              </w:rPr>
            </w:pPr>
            <w:r>
              <w:rPr>
                <w:color w:val="000000"/>
              </w:rPr>
              <w:t>Yes</w:t>
            </w:r>
          </w:p>
        </w:tc>
      </w:tr>
    </w:tbl>
    <w:p w:rsidR="00BE45D0" w:rsidP="00D14639" w:rsidRDefault="00BE45D0" w14:paraId="4C76EB64" w14:textId="77777777">
      <w:pPr>
        <w:rPr>
          <w:b/>
          <w:color w:val="000000"/>
          <w:u w:val="single"/>
        </w:rPr>
      </w:pPr>
    </w:p>
    <w:p w:rsidRPr="007F620E" w:rsidR="00A92D0B" w:rsidP="0049226E" w:rsidRDefault="00A92D0B" w14:paraId="186E115A" w14:textId="77777777">
      <w:pPr>
        <w:keepNext/>
        <w:spacing w:before="240" w:after="240"/>
        <w:jc w:val="center"/>
        <w:rPr>
          <w:b/>
          <w:color w:val="000000"/>
          <w:u w:val="single"/>
        </w:rPr>
      </w:pPr>
      <w:r w:rsidRPr="007F620E">
        <w:rPr>
          <w:b/>
          <w:color w:val="000000"/>
          <w:u w:val="single"/>
        </w:rPr>
        <w:t>FINDINGS OF FACT</w:t>
      </w:r>
    </w:p>
    <w:p w:rsidRPr="00384F4F" w:rsidR="00A92D0B" w:rsidRDefault="007C5BBB" w14:paraId="7772A9DC" w14:textId="0BDB2E63">
      <w:pPr>
        <w:numPr>
          <w:ilvl w:val="0"/>
          <w:numId w:val="3"/>
        </w:numPr>
        <w:tabs>
          <w:tab w:val="num" w:pos="540"/>
        </w:tabs>
        <w:ind w:left="540" w:hanging="540"/>
        <w:rPr>
          <w:bCs/>
        </w:rPr>
      </w:pPr>
      <w:r>
        <w:t xml:space="preserve">The Utility Reform Network </w:t>
      </w:r>
      <w:r w:rsidRPr="007F620E" w:rsidR="00A92D0B">
        <w:t>has made a substantia</w:t>
      </w:r>
      <w:r w:rsidRPr="007F620E" w:rsidR="00DE3A5D">
        <w:t xml:space="preserve">l contribution to </w:t>
      </w:r>
      <w:r w:rsidRPr="00384F4F" w:rsidR="00384F4F">
        <w:rPr>
          <w:bCs/>
          <w:color w:val="000000"/>
        </w:rPr>
        <w:t xml:space="preserve">Energy Division disposition of SDG&amp;E Advice Letters 4572-E and 4582-E, Resolution E-5354, Resolution E-5355, </w:t>
      </w:r>
      <w:r w:rsidR="00384F4F">
        <w:rPr>
          <w:bCs/>
          <w:color w:val="000000"/>
        </w:rPr>
        <w:t xml:space="preserve">and </w:t>
      </w:r>
      <w:r w:rsidRPr="00384F4F" w:rsidR="00384F4F">
        <w:rPr>
          <w:bCs/>
          <w:color w:val="000000"/>
        </w:rPr>
        <w:t>Resolution E-5356</w:t>
      </w:r>
      <w:r w:rsidR="00384F4F">
        <w:rPr>
          <w:bCs/>
          <w:color w:val="000000"/>
        </w:rPr>
        <w:t>.</w:t>
      </w:r>
    </w:p>
    <w:p w:rsidRPr="007F620E" w:rsidR="00A92D0B" w:rsidRDefault="00A92D0B" w14:paraId="04EB50FD" w14:textId="7C49D8BA">
      <w:pPr>
        <w:numPr>
          <w:ilvl w:val="0"/>
          <w:numId w:val="3"/>
        </w:numPr>
        <w:tabs>
          <w:tab w:val="num" w:pos="540"/>
        </w:tabs>
        <w:spacing w:before="240"/>
      </w:pPr>
      <w:r w:rsidRPr="007F620E">
        <w:t>The requested hourly rates for</w:t>
      </w:r>
      <w:r w:rsidR="007C5BBB">
        <w:t xml:space="preserve"> The Utility Reform Network’s </w:t>
      </w:r>
      <w:r w:rsidRPr="007F620E">
        <w:t>representatives,</w:t>
      </w:r>
      <w:r w:rsidR="003B5EAC">
        <w:t xml:space="preserve"> </w:t>
      </w:r>
      <w:r w:rsidRPr="007F620E">
        <w:t>as adjusted herein, are comparable to market rates paid to experts and advocates having comparable training and experience and offering similar services.</w:t>
      </w:r>
    </w:p>
    <w:p w:rsidRPr="007F620E" w:rsidR="00A92D0B" w:rsidRDefault="00A92D0B" w14:paraId="528EBB52" w14:textId="69003D1A">
      <w:pPr>
        <w:numPr>
          <w:ilvl w:val="0"/>
          <w:numId w:val="3"/>
        </w:numPr>
        <w:tabs>
          <w:tab w:val="num" w:pos="540"/>
        </w:tabs>
        <w:spacing w:before="240"/>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156EB4CE">
      <w:pPr>
        <w:numPr>
          <w:ilvl w:val="0"/>
          <w:numId w:val="3"/>
        </w:numPr>
        <w:tabs>
          <w:tab w:val="num" w:pos="540"/>
        </w:tabs>
        <w:spacing w:before="240"/>
      </w:pPr>
      <w:r w:rsidRPr="007F620E">
        <w:lastRenderedPageBreak/>
        <w:t xml:space="preserve">The total of reasonable </w:t>
      </w:r>
      <w:r w:rsidRPr="007F620E" w:rsidR="003C608A">
        <w:t xml:space="preserve">compensation </w:t>
      </w:r>
      <w:r w:rsidRPr="007F620E">
        <w:t xml:space="preserve">is </w:t>
      </w:r>
      <w:r w:rsidRPr="00303A73" w:rsidR="00303A73">
        <w:t>$</w:t>
      </w:r>
      <w:r w:rsidRPr="00785161" w:rsidR="0017577F">
        <w:rPr>
          <w:bCs/>
          <w:iCs/>
          <w:color w:val="000000"/>
        </w:rPr>
        <w:t>16,732.50</w:t>
      </w:r>
      <w:r w:rsidRPr="007F620E">
        <w:t>.</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575494" w:rsidRDefault="00A92D0B" w14:paraId="654F2C27" w14:textId="58E0DE06">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057B" w:rsidRDefault="007C5BBB" w14:paraId="33FB4E15" w14:textId="0BFE1B13">
      <w:pPr>
        <w:keepNext/>
        <w:numPr>
          <w:ilvl w:val="0"/>
          <w:numId w:val="4"/>
        </w:numPr>
        <w:tabs>
          <w:tab w:val="clear" w:pos="900"/>
          <w:tab w:val="num" w:pos="540"/>
        </w:tabs>
        <w:ind w:left="547" w:hanging="547"/>
        <w:rPr>
          <w:color w:val="000000"/>
        </w:rPr>
      </w:pPr>
      <w:r>
        <w:t xml:space="preserve">The Utility Reform Network </w:t>
      </w:r>
      <w:r w:rsidR="00831652">
        <w:t>is</w:t>
      </w:r>
      <w:r w:rsidRPr="00FE3BAE" w:rsidR="00FE3BAE">
        <w:t xml:space="preserve"> </w:t>
      </w:r>
      <w:r w:rsidRPr="00FE3BAE" w:rsidR="00A92D0B">
        <w:rPr>
          <w:color w:val="000000"/>
        </w:rPr>
        <w:t xml:space="preserve">awarded </w:t>
      </w:r>
      <w:r w:rsidRPr="00303A73" w:rsidR="00303A73">
        <w:t>$</w:t>
      </w:r>
      <w:r w:rsidRPr="00785161" w:rsidR="0017577F">
        <w:rPr>
          <w:bCs/>
          <w:iCs/>
          <w:color w:val="000000"/>
        </w:rPr>
        <w:t>16,732.50</w:t>
      </w:r>
      <w:r w:rsidRPr="007F620E" w:rsidR="00A92D0B">
        <w:rPr>
          <w:color w:val="000000"/>
        </w:rPr>
        <w:t>.</w:t>
      </w:r>
    </w:p>
    <w:p w:rsidR="00A92D0B" w:rsidRDefault="0055228B" w14:paraId="4AEF5671" w14:textId="7DF56D99">
      <w:pPr>
        <w:numPr>
          <w:ilvl w:val="0"/>
          <w:numId w:val="4"/>
        </w:numPr>
        <w:tabs>
          <w:tab w:val="clear" w:pos="900"/>
          <w:tab w:val="num" w:pos="540"/>
        </w:tabs>
        <w:spacing w:before="240"/>
        <w:ind w:left="547" w:hanging="547"/>
      </w:pPr>
      <w:r>
        <w:t xml:space="preserve">Within 30 days of the effective date of this decision, </w:t>
      </w:r>
      <w:r w:rsidRPr="00243DEC" w:rsidR="00303A73">
        <w:t>Pacific Gas and Electric Company, San Diego Gas &amp; Electric Company</w:t>
      </w:r>
      <w:r w:rsidR="00303A73">
        <w:t xml:space="preserve"> and</w:t>
      </w:r>
      <w:r w:rsidRPr="00243DEC" w:rsidR="00303A73">
        <w:t xml:space="preserve"> Southern California Edison Company</w:t>
      </w:r>
      <w:r w:rsidR="003E611F">
        <w:t>,</w:t>
      </w:r>
      <w:r w:rsidRPr="00C8509B" w:rsidR="00C8509B">
        <w:t xml:space="preserve"> </w:t>
      </w:r>
      <w:r w:rsidRPr="00AB63F6" w:rsidR="003E611F">
        <w:t>Bear Valley Electric Service, Inc., Liberty Utilities, and PacifiCorp</w:t>
      </w:r>
      <w:r w:rsidRPr="00831652" w:rsidR="003E611F">
        <w:t xml:space="preserve"> </w:t>
      </w:r>
      <w:r w:rsidRPr="00831652">
        <w:t>shall</w:t>
      </w:r>
      <w:r>
        <w:t xml:space="preserve"> pay </w:t>
      </w:r>
      <w:r w:rsidR="007C5BBB">
        <w:t xml:space="preserve">The Utility Reform Network </w:t>
      </w:r>
      <w:r>
        <w:t xml:space="preserve">their respective shares of the award, based on their California-jurisdictional electric revenues for the </w:t>
      </w:r>
      <w:r w:rsidR="00303A73">
        <w:t>2024</w:t>
      </w:r>
      <w:r>
        <w:t xml:space="preserve"> calendar year, </w:t>
      </w:r>
      <w:r w:rsidRPr="0055228B">
        <w:t xml:space="preserve">to reflect the year in which the proceeding was primarily litigated.  If such data </w:t>
      </w:r>
      <w:proofErr w:type="gramStart"/>
      <w:r w:rsidR="00B30F84">
        <w:t>are</w:t>
      </w:r>
      <w:proofErr w:type="gramEnd"/>
      <w:r w:rsidRPr="0055228B">
        <w:t xml:space="preserve"> unavailable, the most recent</w:t>
      </w:r>
      <w:r w:rsidR="00303A73">
        <w:t xml:space="preserve"> </w:t>
      </w:r>
      <w:r w:rsidRPr="0055228B">
        <w:t>electric</w:t>
      </w:r>
      <w:r w:rsidR="00303A73">
        <w:t xml:space="preserve"> </w:t>
      </w:r>
      <w:r w:rsidRPr="0055228B">
        <w:t>revenue data shall be used</w:t>
      </w:r>
      <w:r w:rsidR="00303A73">
        <w:t>.</w:t>
      </w:r>
      <w:r w:rsidRPr="007F620E" w:rsidR="00A92D0B">
        <w:t xml:space="preserve">  Payment of the award </w:t>
      </w:r>
      <w:r w:rsidRPr="00831652" w:rsidR="00A92D0B">
        <w:t>shall</w:t>
      </w:r>
      <w:r w:rsidRPr="007F620E" w:rsidR="00A92D0B">
        <w:t xml:space="preserve"> include</w:t>
      </w:r>
      <w:r w:rsidRPr="007F620E" w:rsidR="004E3939">
        <w:t xml:space="preserve"> compound </w:t>
      </w:r>
      <w:r w:rsidRPr="007F620E" w:rsidR="00A92D0B">
        <w:t xml:space="preserve">interest at the rate earned on prime, three-month </w:t>
      </w:r>
      <w:r w:rsidRPr="007F620E" w:rsidR="00214B22">
        <w:t xml:space="preserve">non-financial </w:t>
      </w:r>
      <w:r w:rsidRPr="007F620E" w:rsidR="00A92D0B">
        <w:t>commercial paper as reported in Federal Reserve Statistical Release H.15, beginning</w:t>
      </w:r>
      <w:r w:rsidRPr="007F620E" w:rsidR="00357F1A">
        <w:t xml:space="preserve"> </w:t>
      </w:r>
      <w:r w:rsidR="00303A73">
        <w:t>January 10, 2026</w:t>
      </w:r>
      <w:r w:rsidRPr="007F620E" w:rsidR="00357F1A">
        <w:t xml:space="preserve">, </w:t>
      </w:r>
      <w:r w:rsidRPr="007F620E" w:rsidR="00A92D0B">
        <w:t>the 75</w:t>
      </w:r>
      <w:r w:rsidRPr="007F620E" w:rsidR="00A92D0B">
        <w:rPr>
          <w:vertAlign w:val="superscript"/>
        </w:rPr>
        <w:t>th</w:t>
      </w:r>
      <w:r w:rsidRPr="007F620E" w:rsidR="00A92D0B">
        <w:t xml:space="preserve"> day after the filing of </w:t>
      </w:r>
      <w:r w:rsidR="007C5BBB">
        <w:t>The Utility Reform Network</w:t>
      </w:r>
      <w:r w:rsidRPr="003B6A1B" w:rsidR="00FE3BAE">
        <w:t>’s</w:t>
      </w:r>
      <w:r w:rsidRPr="003B6A1B" w:rsidR="00FE3BAE">
        <w:rPr>
          <w:b/>
        </w:rPr>
        <w:t xml:space="preserve"> </w:t>
      </w:r>
      <w:r w:rsidRPr="007F620E" w:rsidR="00A92D0B">
        <w:t>request, and continuing until full payment is made.</w:t>
      </w:r>
    </w:p>
    <w:p w:rsidRPr="007F620E" w:rsidR="00A92D0B" w:rsidP="00DE3A5D" w:rsidRDefault="00A92D0B" w14:paraId="5AD40C95" w14:textId="7197B2DA">
      <w:pPr>
        <w:keepNext/>
        <w:keepLines/>
        <w:numPr>
          <w:ilvl w:val="0"/>
          <w:numId w:val="4"/>
        </w:numPr>
        <w:tabs>
          <w:tab w:val="clear" w:pos="900"/>
          <w:tab w:val="num" w:pos="540"/>
        </w:tabs>
        <w:spacing w:before="240"/>
        <w:ind w:left="547" w:hanging="547"/>
      </w:pPr>
      <w:r w:rsidRPr="007F620E">
        <w:t>The comment period for today’s decision is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00A92D0B" w:rsidP="00357623" w:rsidRDefault="00A92D0B" w14:paraId="0467B995" w14:textId="3393BF56">
      <w:pPr>
        <w:keepNext/>
        <w:keepLines/>
        <w:spacing w:before="240"/>
        <w:ind w:left="547"/>
        <w:rPr>
          <w:color w:val="000000"/>
        </w:rPr>
      </w:pPr>
      <w:r w:rsidRPr="007F620E">
        <w:rPr>
          <w:color w:val="000000"/>
        </w:rPr>
        <w:t xml:space="preserve">Dated </w:t>
      </w:r>
      <w:r w:rsidR="00B524DB">
        <w:rPr>
          <w:color w:val="000000"/>
        </w:rPr>
        <w:t>May 14, 2026</w:t>
      </w:r>
      <w:r w:rsidR="00F714D5">
        <w:rPr>
          <w:color w:val="000000"/>
        </w:rPr>
        <w:t>,</w:t>
      </w:r>
      <w:r w:rsidRPr="007F620E">
        <w:rPr>
          <w:color w:val="000000"/>
        </w:rPr>
        <w:t xml:space="preserve"> at San Francisco, California.</w:t>
      </w:r>
    </w:p>
    <w:p w:rsidRPr="00C82D98" w:rsidR="00C82D98" w:rsidP="00C82D98" w:rsidRDefault="00C82D98" w14:paraId="15256E12" w14:textId="77777777">
      <w:pPr>
        <w:keepNext/>
        <w:keepLines/>
        <w:spacing w:before="240"/>
        <w:ind w:left="560"/>
        <w:rPr>
          <w:color w:val="000000"/>
        </w:rPr>
      </w:pPr>
    </w:p>
    <w:p w:rsidRPr="00C82D98" w:rsidR="00C82D98" w:rsidP="006846B7" w:rsidRDefault="00C82D98" w14:paraId="422D123D" w14:textId="77777777">
      <w:pPr>
        <w:autoSpaceDE w:val="0"/>
        <w:autoSpaceDN w:val="0"/>
        <w:adjustRightInd w:val="0"/>
        <w:ind w:left="4312" w:firstLine="720"/>
        <w:jc w:val="both"/>
      </w:pPr>
      <w:r w:rsidRPr="00C82D98">
        <w:t>JOHN REYNOLDS</w:t>
      </w:r>
    </w:p>
    <w:p w:rsidRPr="00C82D98" w:rsidR="00C82D98" w:rsidP="006846B7" w:rsidRDefault="00C82D98" w14:paraId="56218AD8" w14:textId="183EA463">
      <w:pPr>
        <w:autoSpaceDE w:val="0"/>
        <w:autoSpaceDN w:val="0"/>
        <w:adjustRightInd w:val="0"/>
        <w:ind w:left="712" w:firstLine="720"/>
        <w:jc w:val="both"/>
      </w:pPr>
      <w:r w:rsidRPr="00C82D98">
        <w:tab/>
      </w:r>
      <w:r w:rsidRPr="00C82D98">
        <w:tab/>
      </w:r>
      <w:r w:rsidRPr="00C82D98">
        <w:tab/>
      </w:r>
      <w:r w:rsidRPr="00C82D98">
        <w:tab/>
      </w:r>
      <w:r w:rsidRPr="00C82D98">
        <w:tab/>
        <w:t xml:space="preserve">                  </w:t>
      </w:r>
      <w:r w:rsidR="00876776">
        <w:t xml:space="preserve">                                                   </w:t>
      </w:r>
      <w:r w:rsidRPr="00C82D98">
        <w:t xml:space="preserve">     President</w:t>
      </w:r>
    </w:p>
    <w:p w:rsidRPr="00C82D98" w:rsidR="00C82D98" w:rsidP="006846B7" w:rsidRDefault="00C82D98" w14:paraId="5FD874C1" w14:textId="77777777">
      <w:pPr>
        <w:autoSpaceDE w:val="0"/>
        <w:autoSpaceDN w:val="0"/>
        <w:adjustRightInd w:val="0"/>
        <w:ind w:left="4312" w:firstLine="720"/>
        <w:jc w:val="both"/>
      </w:pPr>
      <w:r w:rsidRPr="00C82D98">
        <w:t>DARCIE L. HOUCK</w:t>
      </w:r>
    </w:p>
    <w:p w:rsidRPr="00C82D98" w:rsidR="00C82D98" w:rsidP="006846B7" w:rsidRDefault="00C82D98" w14:paraId="0E040CB9" w14:textId="77777777">
      <w:pPr>
        <w:autoSpaceDE w:val="0"/>
        <w:autoSpaceDN w:val="0"/>
        <w:adjustRightInd w:val="0"/>
        <w:ind w:left="4312" w:firstLine="720"/>
        <w:jc w:val="both"/>
        <w:rPr>
          <w:color w:val="000000"/>
        </w:rPr>
      </w:pPr>
      <w:r w:rsidRPr="00C82D98">
        <w:rPr>
          <w:color w:val="000000"/>
        </w:rPr>
        <w:t>KAREN DOUGLAS</w:t>
      </w:r>
    </w:p>
    <w:p w:rsidRPr="00C82D98" w:rsidR="00C82D98" w:rsidP="006846B7" w:rsidRDefault="00C82D98" w14:paraId="6B4C4EB8" w14:textId="4AB74787">
      <w:pPr>
        <w:autoSpaceDE w:val="0"/>
        <w:autoSpaceDN w:val="0"/>
        <w:adjustRightInd w:val="0"/>
        <w:ind w:left="5032" w:firstLine="720"/>
        <w:jc w:val="both"/>
      </w:pPr>
      <w:r w:rsidRPr="00C82D98">
        <w:t xml:space="preserve">    Commissioners</w:t>
      </w:r>
    </w:p>
    <w:p w:rsidRPr="00C82D98" w:rsidR="00C82D98" w:rsidP="006846B7" w:rsidRDefault="00C82D98" w14:paraId="6974CB72" w14:textId="77777777">
      <w:pPr>
        <w:pStyle w:val="standard"/>
        <w:keepNext/>
        <w:keepLines/>
        <w:ind w:left="712"/>
        <w:rPr>
          <w:rFonts w:ascii="Times New Roman" w:hAnsi="Times New Roman"/>
          <w:sz w:val="24"/>
          <w:szCs w:val="24"/>
        </w:rPr>
      </w:pPr>
    </w:p>
    <w:p w:rsidRPr="00143BC5" w:rsidR="00C82D98" w:rsidP="006846B7" w:rsidRDefault="00C82D98" w14:paraId="40ADD61D" w14:textId="25911658">
      <w:pPr>
        <w:keepNext/>
        <w:keepLines/>
        <w:autoSpaceDE w:val="0"/>
        <w:autoSpaceDN w:val="0"/>
        <w:adjustRightInd w:val="0"/>
        <w:ind w:left="5092"/>
        <w:rPr>
          <w:rFonts w:ascii="Book Antiqua" w:hAnsi="Book Antiqua"/>
          <w:sz w:val="26"/>
          <w:szCs w:val="20"/>
        </w:rPr>
      </w:pPr>
      <w:r w:rsidRPr="00C82D98">
        <w:t>Commissioner</w:t>
      </w:r>
      <w:r>
        <w:t>s</w:t>
      </w:r>
      <w:r w:rsidRPr="00C82D98">
        <w:t xml:space="preserve"> Matthew Baker</w:t>
      </w:r>
      <w:r>
        <w:t xml:space="preserve"> and </w:t>
      </w:r>
      <w:r w:rsidRPr="00C82D98">
        <w:t xml:space="preserve">Christine Harada recused </w:t>
      </w:r>
      <w:r>
        <w:t>themselves</w:t>
      </w:r>
      <w:r w:rsidRPr="00C82D98">
        <w:t xml:space="preserve"> from this agenda item and </w:t>
      </w:r>
      <w:r>
        <w:t>were</w:t>
      </w:r>
      <w:r w:rsidRPr="00C82D98">
        <w:t xml:space="preserve"> not part of the quorum in its consideration.</w:t>
      </w:r>
    </w:p>
    <w:p w:rsidR="00940B17" w:rsidP="00940B17" w:rsidRDefault="00940B17" w14:paraId="5780D3DC" w14:textId="4742AE3F">
      <w:pPr>
        <w:tabs>
          <w:tab w:val="left" w:pos="6228"/>
        </w:tabs>
      </w:pPr>
      <w:r>
        <w:tab/>
      </w:r>
    </w:p>
    <w:p w:rsidR="00940B17" w:rsidP="00940B17" w:rsidRDefault="00940B17" w14:paraId="5497BE5B" w14:textId="77777777"/>
    <w:p w:rsidRPr="00940B17" w:rsidR="00940B17" w:rsidP="00940B17" w:rsidRDefault="00940B17" w14:paraId="37D74F32" w14:textId="77777777">
      <w:pPr>
        <w:sectPr w:rsidRPr="00940B17" w:rsidR="00940B17" w:rsidSect="006B7228">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760850"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760850" w:rsidRDefault="00B524DB" w14:paraId="16C5D6B1" w14:textId="0742251A">
            <w:r>
              <w:t>D2605029</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760850"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760850" w:rsidRDefault="00243DEC" w14:paraId="6846FB87" w14:textId="18718425">
            <w:pPr>
              <w:jc w:val="center"/>
            </w:pPr>
            <w:r>
              <w:t>No</w:t>
            </w:r>
          </w:p>
        </w:tc>
      </w:tr>
      <w:tr w:rsidRPr="00B803D5" w:rsidR="00FE3BAE" w:rsidTr="002C1D27"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760850"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E30D5D" w:rsidR="00FE3BAE" w:rsidP="00760850" w:rsidRDefault="00E30D5D" w14:paraId="426F2C45" w14:textId="4A7F6248">
            <w:pPr>
              <w:rPr>
                <w:bCs/>
              </w:rPr>
            </w:pPr>
            <w:r w:rsidRPr="00E30D5D">
              <w:rPr>
                <w:bCs/>
                <w:color w:val="000000"/>
              </w:rPr>
              <w:t>Energy Division disposition of SDG&amp;E Advice Letters 4572-E and 4582-E, Resolution E-5354, Resolution E-5355, and Resolution E-5356</w:t>
            </w:r>
          </w:p>
        </w:tc>
      </w:tr>
      <w:tr w:rsidRPr="00B803D5" w:rsidR="00FE3BAE" w:rsidTr="002C1D27"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760850"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760850" w:rsidRDefault="00E30D5D" w14:paraId="5B85688D" w14:textId="7151F6D2">
            <w:r>
              <w:t>R2207005</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760850"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760850" w:rsidRDefault="00243DEC" w14:paraId="5E75C0F0" w14:textId="3F2CA0CD">
            <w:r w:rsidRPr="00243DEC">
              <w:rPr>
                <w:bCs/>
              </w:rPr>
              <w:t>ALJ Carolyn Sisto</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760850"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760850" w:rsidRDefault="00243DEC" w14:paraId="7CA711B6" w14:textId="29016808">
            <w:r w:rsidRPr="00243DEC">
              <w:t>Pacific Gas and Electric Company, San Diego Gas &amp; Electric Company, Southern California Edison Company</w:t>
            </w:r>
            <w:r w:rsidR="003E611F">
              <w:t>,</w:t>
            </w:r>
            <w:r w:rsidRPr="00AB63F6" w:rsidR="003E611F">
              <w:t xml:space="preserve"> Bear Valley Electric Service, Inc., Liberty Utilities, and PacifiCorp</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998"/>
        <w:gridCol w:w="1524"/>
        <w:gridCol w:w="1296"/>
        <w:gridCol w:w="1501"/>
        <w:gridCol w:w="1390"/>
        <w:gridCol w:w="2731"/>
      </w:tblGrid>
      <w:tr w:rsidRPr="00B803D5" w:rsidR="00FE3BAE" w:rsidTr="00243DEC" w14:paraId="6CDB318E" w14:textId="77777777">
        <w:trPr>
          <w:jc w:val="center"/>
        </w:trPr>
        <w:tc>
          <w:tcPr>
            <w:tcW w:w="2042"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553"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1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1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75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243DEC" w14:paraId="080524E3" w14:textId="77777777">
        <w:trPr>
          <w:trHeight w:val="872"/>
          <w:jc w:val="center"/>
        </w:trPr>
        <w:tc>
          <w:tcPr>
            <w:tcW w:w="2042" w:type="dxa"/>
            <w:tcBorders>
              <w:top w:val="single" w:color="auto" w:sz="4" w:space="0"/>
              <w:left w:val="single" w:color="auto" w:sz="4" w:space="0"/>
              <w:bottom w:val="single" w:color="auto" w:sz="4" w:space="0"/>
              <w:right w:val="single" w:color="auto" w:sz="4" w:space="0"/>
            </w:tcBorders>
            <w:hideMark/>
          </w:tcPr>
          <w:p w:rsidRPr="00B803D5" w:rsidR="00FE3BAE" w:rsidP="00760850" w:rsidRDefault="007C5BBB" w14:paraId="3008FB17" w14:textId="218B8B90">
            <w:pPr>
              <w:jc w:val="center"/>
            </w:pPr>
            <w:r>
              <w:t>The Utility Reform Network</w:t>
            </w:r>
          </w:p>
        </w:tc>
        <w:tc>
          <w:tcPr>
            <w:tcW w:w="1553" w:type="dxa"/>
            <w:tcBorders>
              <w:top w:val="single" w:color="auto" w:sz="4" w:space="0"/>
              <w:left w:val="single" w:color="auto" w:sz="4" w:space="0"/>
              <w:bottom w:val="single" w:color="auto" w:sz="4" w:space="0"/>
              <w:right w:val="single" w:color="auto" w:sz="4" w:space="0"/>
            </w:tcBorders>
            <w:hideMark/>
          </w:tcPr>
          <w:p w:rsidRPr="00B803D5" w:rsidR="00FE3BAE" w:rsidP="00760850" w:rsidRDefault="00E30D5D" w14:paraId="63956769" w14:textId="12F82C51">
            <w:pPr>
              <w:jc w:val="center"/>
            </w:pPr>
            <w:r>
              <w:t>10/27/25</w:t>
            </w:r>
          </w:p>
        </w:tc>
        <w:tc>
          <w:tcPr>
            <w:tcW w:w="1190" w:type="dxa"/>
            <w:tcBorders>
              <w:top w:val="single" w:color="auto" w:sz="4" w:space="0"/>
              <w:left w:val="single" w:color="auto" w:sz="4" w:space="0"/>
              <w:bottom w:val="single" w:color="auto" w:sz="4" w:space="0"/>
              <w:right w:val="single" w:color="auto" w:sz="4" w:space="0"/>
            </w:tcBorders>
            <w:hideMark/>
          </w:tcPr>
          <w:p w:rsidRPr="00B803D5" w:rsidR="00FE3BAE" w:rsidP="00760850" w:rsidRDefault="00E30D5D" w14:paraId="75AD20FA" w14:textId="68D1443D">
            <w:pPr>
              <w:jc w:val="center"/>
            </w:pPr>
            <w:r>
              <w:t>$17,285.00</w:t>
            </w:r>
          </w:p>
        </w:tc>
        <w:tc>
          <w:tcPr>
            <w:tcW w:w="1514" w:type="dxa"/>
            <w:tcBorders>
              <w:top w:val="single" w:color="auto" w:sz="4" w:space="0"/>
              <w:left w:val="single" w:color="auto" w:sz="4" w:space="0"/>
              <w:bottom w:val="single" w:color="auto" w:sz="4" w:space="0"/>
              <w:right w:val="single" w:color="auto" w:sz="4" w:space="0"/>
            </w:tcBorders>
            <w:hideMark/>
          </w:tcPr>
          <w:p w:rsidRPr="00B803D5" w:rsidR="00FE3BAE" w:rsidP="00760850" w:rsidRDefault="001856A3" w14:paraId="0DD6FE00" w14:textId="0938E373">
            <w:pPr>
              <w:jc w:val="center"/>
            </w:pPr>
            <w:r w:rsidRPr="00303A73">
              <w:t>$</w:t>
            </w:r>
            <w:r w:rsidRPr="00785161" w:rsidR="0017577F">
              <w:rPr>
                <w:bCs/>
                <w:iCs/>
                <w:color w:val="000000"/>
              </w:rPr>
              <w:t>16,732.50</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760850" w:rsidRDefault="00FE3BAE" w14:paraId="0BDAFE20" w14:textId="77777777">
            <w:pPr>
              <w:jc w:val="center"/>
            </w:pPr>
            <w:r w:rsidRPr="00B803D5">
              <w:t>N/A</w:t>
            </w:r>
          </w:p>
        </w:tc>
        <w:tc>
          <w:tcPr>
            <w:tcW w:w="2751" w:type="dxa"/>
            <w:tcBorders>
              <w:top w:val="single" w:color="auto" w:sz="4" w:space="0"/>
              <w:left w:val="single" w:color="auto" w:sz="4" w:space="0"/>
              <w:bottom w:val="single" w:color="auto" w:sz="4" w:space="0"/>
              <w:right w:val="single" w:color="auto" w:sz="4" w:space="0"/>
            </w:tcBorders>
            <w:hideMark/>
          </w:tcPr>
          <w:p w:rsidRPr="00B803D5" w:rsidR="00FE3BAE" w:rsidP="00760850" w:rsidRDefault="00462650" w14:paraId="6B53C6F9" w14:textId="2E6EAB13">
            <w:pPr>
              <w:jc w:val="center"/>
            </w:pPr>
            <w:r w:rsidRPr="009C20E4">
              <w:rPr>
                <w:i/>
                <w:iCs/>
              </w:rPr>
              <w:t>See</w:t>
            </w:r>
            <w:r w:rsidRPr="00462650">
              <w:t xml:space="preserve"> Part III D. CPUC Comments, Disallowances,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7C5BBB"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2C1D27"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3B6A1B" w:rsidP="00760850" w:rsidRDefault="00462650" w14:paraId="0F0C6D6C" w14:textId="6D971A6E">
            <w:pPr>
              <w:jc w:val="center"/>
              <w:rPr>
                <w:shd w:val="clear" w:color="auto" w:fill="CCFFCC"/>
              </w:rPr>
            </w:pPr>
            <w:r>
              <w:t>Matthew</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760850" w:rsidRDefault="00462650" w14:paraId="6ACE7B68" w14:textId="6115B24E">
            <w:pPr>
              <w:jc w:val="center"/>
              <w:rPr>
                <w:shd w:val="clear" w:color="auto" w:fill="CCFFCC"/>
              </w:rPr>
            </w:pPr>
            <w:r>
              <w:t>Freedman</w:t>
            </w:r>
          </w:p>
        </w:tc>
        <w:tc>
          <w:tcPr>
            <w:tcW w:w="2088" w:type="dxa"/>
            <w:tcBorders>
              <w:top w:val="single" w:color="auto" w:sz="4" w:space="0"/>
              <w:left w:val="single" w:color="auto" w:sz="4" w:space="0"/>
              <w:bottom w:val="single" w:color="auto" w:sz="4" w:space="0"/>
              <w:right w:val="single" w:color="auto" w:sz="4" w:space="0"/>
            </w:tcBorders>
          </w:tcPr>
          <w:p w:rsidRPr="00B803D5" w:rsidR="003B6A1B" w:rsidP="00760850" w:rsidRDefault="00462650" w14:paraId="0E61474F" w14:textId="71E860C3">
            <w:pPr>
              <w:jc w:val="center"/>
              <w:rPr>
                <w:shd w:val="clear" w:color="auto" w:fill="CCFFCC"/>
              </w:rPr>
            </w:pPr>
            <w:r>
              <w:t>Attorney</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760850" w:rsidRDefault="007C5BBB" w14:paraId="44F9655C" w14:textId="3C85E484">
            <w:pPr>
              <w:jc w:val="center"/>
            </w:pPr>
            <w:r>
              <w:t>$740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760850" w:rsidRDefault="007C5BBB" w14:paraId="2EB25516" w14:textId="4071A3D9">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760850" w:rsidRDefault="002C1D27" w14:paraId="0A76FE98" w14:textId="0C34DAA5">
            <w:pPr>
              <w:jc w:val="center"/>
            </w:pPr>
            <w:r>
              <w:t>$740</w:t>
            </w:r>
          </w:p>
        </w:tc>
      </w:tr>
      <w:tr w:rsidRPr="00B803D5" w:rsidR="00462650" w:rsidTr="002C1D27"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4CFDAB24" w14:textId="5DAD32C1">
            <w:pPr>
              <w:jc w:val="center"/>
              <w:rPr>
                <w:shd w:val="clear" w:color="auto" w:fill="CCFFCC"/>
              </w:rPr>
            </w:pPr>
            <w:r>
              <w:t>Matthew</w:t>
            </w:r>
          </w:p>
        </w:tc>
        <w:tc>
          <w:tcPr>
            <w:tcW w:w="1725"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3A9B4F75" w14:textId="34BD66E5">
            <w:pPr>
              <w:jc w:val="center"/>
              <w:rPr>
                <w:shd w:val="clear" w:color="auto" w:fill="CCFFCC"/>
              </w:rPr>
            </w:pPr>
            <w:r>
              <w:t>Freedman</w:t>
            </w:r>
          </w:p>
        </w:tc>
        <w:tc>
          <w:tcPr>
            <w:tcW w:w="2088"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73440B00" w14:textId="00AF5A56">
            <w:pPr>
              <w:jc w:val="center"/>
              <w:rPr>
                <w:shd w:val="clear" w:color="auto" w:fill="CCFFCC"/>
              </w:rPr>
            </w:pPr>
            <w:r w:rsidRPr="00E9739E">
              <w:t>Attorney</w:t>
            </w:r>
          </w:p>
        </w:tc>
        <w:tc>
          <w:tcPr>
            <w:tcW w:w="1748"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1466F47E" w14:textId="5B3C2429">
            <w:pPr>
              <w:jc w:val="center"/>
            </w:pPr>
            <w:r>
              <w:t>$805</w:t>
            </w:r>
          </w:p>
        </w:tc>
        <w:tc>
          <w:tcPr>
            <w:tcW w:w="1725"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4CBE320E" w14:textId="4805002E">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37932A57" w14:textId="668D3846">
            <w:pPr>
              <w:jc w:val="center"/>
            </w:pPr>
            <w:r>
              <w:t>$795</w:t>
            </w:r>
          </w:p>
        </w:tc>
      </w:tr>
      <w:tr w:rsidRPr="00B803D5" w:rsidR="007C5BBB" w:rsidTr="002C1D27"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7C5BBB" w:rsidP="007C5BBB" w:rsidRDefault="00462650" w14:paraId="65C04662" w14:textId="500D44FD">
            <w:pPr>
              <w:jc w:val="center"/>
              <w:rPr>
                <w:shd w:val="clear" w:color="auto" w:fill="CCFFCC"/>
              </w:rPr>
            </w:pPr>
            <w:r>
              <w:t>Sylvie</w:t>
            </w:r>
          </w:p>
        </w:tc>
        <w:tc>
          <w:tcPr>
            <w:tcW w:w="1725" w:type="dxa"/>
            <w:tcBorders>
              <w:top w:val="single" w:color="auto" w:sz="4" w:space="0"/>
              <w:left w:val="single" w:color="auto" w:sz="4" w:space="0"/>
              <w:bottom w:val="single" w:color="auto" w:sz="4" w:space="0"/>
              <w:right w:val="single" w:color="auto" w:sz="4" w:space="0"/>
            </w:tcBorders>
          </w:tcPr>
          <w:p w:rsidRPr="00B803D5" w:rsidR="007C5BBB" w:rsidP="007C5BBB" w:rsidRDefault="00462650" w14:paraId="1C590887" w14:textId="53B5064D">
            <w:pPr>
              <w:jc w:val="center"/>
              <w:rPr>
                <w:shd w:val="clear" w:color="auto" w:fill="CCFFCC"/>
              </w:rPr>
            </w:pPr>
            <w:r>
              <w:t>Ashford</w:t>
            </w:r>
          </w:p>
        </w:tc>
        <w:tc>
          <w:tcPr>
            <w:tcW w:w="2088" w:type="dxa"/>
            <w:tcBorders>
              <w:top w:val="single" w:color="auto" w:sz="4" w:space="0"/>
              <w:left w:val="single" w:color="auto" w:sz="4" w:space="0"/>
              <w:bottom w:val="single" w:color="auto" w:sz="4" w:space="0"/>
              <w:right w:val="single" w:color="auto" w:sz="4" w:space="0"/>
            </w:tcBorders>
          </w:tcPr>
          <w:p w:rsidRPr="00B803D5" w:rsidR="007C5BBB" w:rsidP="007C5BBB" w:rsidRDefault="00462650" w14:paraId="1EA8DE3D" w14:textId="2C70401F">
            <w:pPr>
              <w:jc w:val="center"/>
              <w:rPr>
                <w:shd w:val="clear" w:color="auto" w:fill="CCFFCC"/>
              </w:rPr>
            </w:pPr>
            <w:r>
              <w:t>Expert</w:t>
            </w:r>
          </w:p>
        </w:tc>
        <w:tc>
          <w:tcPr>
            <w:tcW w:w="1748" w:type="dxa"/>
            <w:tcBorders>
              <w:top w:val="single" w:color="auto" w:sz="4" w:space="0"/>
              <w:left w:val="single" w:color="auto" w:sz="4" w:space="0"/>
              <w:bottom w:val="single" w:color="auto" w:sz="4" w:space="0"/>
              <w:right w:val="single" w:color="auto" w:sz="4" w:space="0"/>
            </w:tcBorders>
          </w:tcPr>
          <w:p w:rsidRPr="00B803D5" w:rsidR="007C5BBB" w:rsidP="007C5BBB" w:rsidRDefault="00E30D5D" w14:paraId="4F6290AB" w14:textId="1DCAE65B">
            <w:pPr>
              <w:jc w:val="center"/>
            </w:pPr>
            <w:r>
              <w:t>$245</w:t>
            </w:r>
          </w:p>
        </w:tc>
        <w:tc>
          <w:tcPr>
            <w:tcW w:w="1725"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1354C70A" w14:textId="3551A21F">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7C5BBB" w:rsidP="007C5BBB" w:rsidRDefault="002C1D27" w14:paraId="36649915" w14:textId="01824424">
            <w:pPr>
              <w:jc w:val="center"/>
            </w:pPr>
            <w:r>
              <w:t>$245</w:t>
            </w:r>
          </w:p>
        </w:tc>
      </w:tr>
      <w:tr w:rsidRPr="00B803D5" w:rsidR="00462650" w:rsidTr="002C1D27"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71BF257F" w14:textId="68FD4850">
            <w:pPr>
              <w:jc w:val="center"/>
              <w:rPr>
                <w:shd w:val="clear" w:color="auto" w:fill="CCFFCC"/>
              </w:rPr>
            </w:pPr>
            <w:r>
              <w:t>Sylvie</w:t>
            </w:r>
          </w:p>
        </w:tc>
        <w:tc>
          <w:tcPr>
            <w:tcW w:w="1725"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4D0E5B24" w14:textId="78F5DCE3">
            <w:pPr>
              <w:jc w:val="center"/>
              <w:rPr>
                <w:shd w:val="clear" w:color="auto" w:fill="CCFFCC"/>
              </w:rPr>
            </w:pPr>
            <w:r>
              <w:t>Ashford</w:t>
            </w:r>
          </w:p>
        </w:tc>
        <w:tc>
          <w:tcPr>
            <w:tcW w:w="2088"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3ACB6465" w14:textId="0E357E89">
            <w:pPr>
              <w:jc w:val="center"/>
              <w:rPr>
                <w:shd w:val="clear" w:color="auto" w:fill="CCFFCC"/>
              </w:rPr>
            </w:pPr>
            <w:r>
              <w:t>Expert</w:t>
            </w:r>
          </w:p>
        </w:tc>
        <w:tc>
          <w:tcPr>
            <w:tcW w:w="1748"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27D75B3F" w14:textId="1BC3844F">
            <w:pPr>
              <w:jc w:val="center"/>
            </w:pPr>
            <w:r>
              <w:t>$265</w:t>
            </w:r>
          </w:p>
        </w:tc>
        <w:tc>
          <w:tcPr>
            <w:tcW w:w="1725"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0BD45097" w14:textId="3D16607B">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462650" w:rsidP="00462650" w:rsidRDefault="00462650" w14:paraId="6B245605" w14:textId="09C0E7CE">
            <w:pPr>
              <w:jc w:val="center"/>
            </w:pPr>
            <w:r>
              <w:t>$265</w:t>
            </w:r>
          </w:p>
        </w:tc>
      </w:tr>
    </w:tbl>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00FE3BAE" w:rsidP="00FE3BAE" w:rsidRDefault="00FE3BAE" w14:paraId="53F54635" w14:textId="77777777">
      <w:pPr>
        <w:jc w:val="center"/>
        <w:rPr>
          <w:b/>
        </w:rPr>
      </w:pPr>
      <w:r w:rsidRPr="00B803D5">
        <w:rPr>
          <w:b/>
        </w:rPr>
        <w:t xml:space="preserve">(END OF </w:t>
      </w:r>
      <w:r w:rsidRPr="00B803D5">
        <w:rPr>
          <w:b/>
          <w:szCs w:val="26"/>
        </w:rPr>
        <w:t>APPENDIX</w:t>
      </w:r>
      <w:r w:rsidRPr="00B803D5">
        <w:rPr>
          <w:b/>
        </w:rPr>
        <w:t>)</w:t>
      </w:r>
    </w:p>
    <w:p w:rsidRPr="00B803D5" w:rsidR="006E5DBD" w:rsidP="009213B6" w:rsidRDefault="006E5DBD" w14:paraId="40778514" w14:textId="77777777"/>
    <w:sectPr w:rsidRPr="00B803D5" w:rsidR="006E5DBD"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BE02" w14:textId="77777777" w:rsidR="00AF5FBC" w:rsidRDefault="00AF5FBC" w:rsidP="00885956">
      <w:r>
        <w:separator/>
      </w:r>
    </w:p>
  </w:endnote>
  <w:endnote w:type="continuationSeparator" w:id="0">
    <w:p w14:paraId="06B0F842" w14:textId="77777777" w:rsidR="00AF5FBC" w:rsidRDefault="00AF5FBC"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Optima-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7E74" w14:textId="64642B06" w:rsidR="0095404C" w:rsidRDefault="00CE3DE3" w:rsidP="0095404C">
    <w:pPr>
      <w:pStyle w:val="Footer"/>
    </w:pPr>
    <w:r w:rsidRPr="00CE3DE3">
      <w:rPr>
        <w:rFonts w:ascii="Book Antiqua" w:hAnsi="Book Antiqua"/>
        <w:sz w:val="16"/>
        <w:szCs w:val="16"/>
      </w:rPr>
      <w:t>606827971</w:t>
    </w:r>
    <w:r w:rsidR="0095404C">
      <w:rPr>
        <w:rFonts w:ascii="Book Antiqua" w:hAnsi="Book Antiqua"/>
        <w:sz w:val="16"/>
        <w:szCs w:val="16"/>
      </w:rPr>
      <w:tab/>
    </w:r>
    <w:r w:rsidR="0095404C" w:rsidRPr="0095404C">
      <w:t xml:space="preserve"> </w:t>
    </w:r>
    <w:sdt>
      <w:sdtPr>
        <w:id w:val="66549329"/>
        <w:docPartObj>
          <w:docPartGallery w:val="Page Numbers (Bottom of Page)"/>
          <w:docPartUnique/>
        </w:docPartObj>
      </w:sdtPr>
      <w:sdtEndPr>
        <w:rPr>
          <w:noProof/>
        </w:rPr>
      </w:sdtEndPr>
      <w:sdtContent>
        <w:r w:rsidR="0095404C">
          <w:fldChar w:fldCharType="begin"/>
        </w:r>
        <w:r w:rsidR="0095404C">
          <w:instrText xml:space="preserve"> PAGE   \* MERGEFORMAT </w:instrText>
        </w:r>
        <w:r w:rsidR="0095404C">
          <w:fldChar w:fldCharType="separate"/>
        </w:r>
        <w:r w:rsidR="0095404C">
          <w:t>- 1 -</w:t>
        </w:r>
        <w:r w:rsidR="0095404C">
          <w:rPr>
            <w:noProof/>
          </w:rPr>
          <w:fldChar w:fldCharType="end"/>
        </w:r>
      </w:sdtContent>
    </w:sdt>
  </w:p>
  <w:p w14:paraId="2B494C2D" w14:textId="521FE61B" w:rsidR="00CF1129" w:rsidRPr="0095404C" w:rsidRDefault="00CF1129">
    <w:pPr>
      <w:pStyle w:val="Footer"/>
      <w:rPr>
        <w:rFonts w:ascii="Book Antiqua" w:hAnsi="Book Antiqu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C304" w14:textId="77777777" w:rsidR="00AF5FBC" w:rsidRDefault="00AF5FBC" w:rsidP="00885956">
      <w:r>
        <w:separator/>
      </w:r>
    </w:p>
  </w:footnote>
  <w:footnote w:type="continuationSeparator" w:id="0">
    <w:p w14:paraId="049E3FDA" w14:textId="77777777" w:rsidR="00AF5FBC" w:rsidRDefault="00AF5FBC"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00496AC9" w:rsidR="002614E0" w:rsidRPr="00DE3A5D" w:rsidRDefault="002614E0"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3">
    <w:p w14:paraId="53DA340B" w14:textId="67B21BA3" w:rsidR="0049226E" w:rsidRPr="0049226E" w:rsidRDefault="0049226E">
      <w:pPr>
        <w:pStyle w:val="FootnoteText"/>
        <w:rPr>
          <w:lang w:val="en-ZW"/>
        </w:rPr>
      </w:pPr>
      <w:r>
        <w:rPr>
          <w:rStyle w:val="FootnoteReference"/>
        </w:rPr>
        <w:footnoteRef/>
      </w:r>
      <w:r>
        <w:t xml:space="preserve"> </w:t>
      </w:r>
      <w:r>
        <w:rPr>
          <w:lang w:val="en-ZW"/>
        </w:rPr>
        <w:t>Attachments not included in the final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7E8F" w14:textId="51C058DD" w:rsidR="00332CFD" w:rsidRDefault="00332CFD" w:rsidP="00332CFD">
    <w:pPr>
      <w:pStyle w:val="Header"/>
      <w:tabs>
        <w:tab w:val="left" w:pos="6300"/>
      </w:tabs>
    </w:pPr>
    <w:r>
      <w:t>R.22-07-</w:t>
    </w:r>
    <w:proofErr w:type="gramStart"/>
    <w:r>
      <w:t>005  ALJ</w:t>
    </w:r>
    <w:proofErr w:type="gramEnd"/>
    <w:r>
      <w:t>/CS8/</w:t>
    </w:r>
    <w:proofErr w:type="spellStart"/>
    <w:r>
      <w:t>vhj</w:t>
    </w:r>
    <w:proofErr w:type="spellEnd"/>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75EA51EE"/>
    <w:multiLevelType w:val="hybridMultilevel"/>
    <w:tmpl w:val="B1F0D9E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9"/>
  </w:num>
  <w:num w:numId="2" w16cid:durableId="296566636">
    <w:abstractNumId w:val="0"/>
  </w:num>
  <w:num w:numId="3" w16cid:durableId="2098595014">
    <w:abstractNumId w:val="10"/>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 w:numId="11" w16cid:durableId="1401247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27BC"/>
    <w:rsid w:val="00003A49"/>
    <w:rsid w:val="00026A15"/>
    <w:rsid w:val="00034492"/>
    <w:rsid w:val="00036F54"/>
    <w:rsid w:val="00042EE4"/>
    <w:rsid w:val="000444F5"/>
    <w:rsid w:val="00045A2F"/>
    <w:rsid w:val="0005105D"/>
    <w:rsid w:val="00054B34"/>
    <w:rsid w:val="0005538D"/>
    <w:rsid w:val="00055843"/>
    <w:rsid w:val="0006271D"/>
    <w:rsid w:val="00072C81"/>
    <w:rsid w:val="00073262"/>
    <w:rsid w:val="00081ED1"/>
    <w:rsid w:val="00095473"/>
    <w:rsid w:val="000971C0"/>
    <w:rsid w:val="000A74F3"/>
    <w:rsid w:val="000B143A"/>
    <w:rsid w:val="000B202A"/>
    <w:rsid w:val="000C6C37"/>
    <w:rsid w:val="000C7325"/>
    <w:rsid w:val="000D0367"/>
    <w:rsid w:val="000D3467"/>
    <w:rsid w:val="000D6CA0"/>
    <w:rsid w:val="000D6DF8"/>
    <w:rsid w:val="000E15FF"/>
    <w:rsid w:val="000E41D9"/>
    <w:rsid w:val="000E6ABD"/>
    <w:rsid w:val="000F595C"/>
    <w:rsid w:val="000F7670"/>
    <w:rsid w:val="0010480F"/>
    <w:rsid w:val="00110D89"/>
    <w:rsid w:val="00123103"/>
    <w:rsid w:val="00125492"/>
    <w:rsid w:val="001346EB"/>
    <w:rsid w:val="001350D4"/>
    <w:rsid w:val="001371DB"/>
    <w:rsid w:val="00141708"/>
    <w:rsid w:val="00141A4E"/>
    <w:rsid w:val="0014207A"/>
    <w:rsid w:val="00144123"/>
    <w:rsid w:val="00151AA8"/>
    <w:rsid w:val="00152B9A"/>
    <w:rsid w:val="00152F94"/>
    <w:rsid w:val="00157B9C"/>
    <w:rsid w:val="00171EBF"/>
    <w:rsid w:val="0017577F"/>
    <w:rsid w:val="00175865"/>
    <w:rsid w:val="00180E8C"/>
    <w:rsid w:val="00182148"/>
    <w:rsid w:val="001856A3"/>
    <w:rsid w:val="00191EBB"/>
    <w:rsid w:val="001962EB"/>
    <w:rsid w:val="001A0A0C"/>
    <w:rsid w:val="001A3CF3"/>
    <w:rsid w:val="001B4565"/>
    <w:rsid w:val="001C0DD1"/>
    <w:rsid w:val="001C21AE"/>
    <w:rsid w:val="001C5A2B"/>
    <w:rsid w:val="001D3ED2"/>
    <w:rsid w:val="001D5DAB"/>
    <w:rsid w:val="001E77CF"/>
    <w:rsid w:val="001E7EE2"/>
    <w:rsid w:val="001F238E"/>
    <w:rsid w:val="001F4141"/>
    <w:rsid w:val="001F6553"/>
    <w:rsid w:val="001F7C27"/>
    <w:rsid w:val="00204E3A"/>
    <w:rsid w:val="00206EBF"/>
    <w:rsid w:val="00212E10"/>
    <w:rsid w:val="00214B22"/>
    <w:rsid w:val="00217224"/>
    <w:rsid w:val="00217CC7"/>
    <w:rsid w:val="0022293A"/>
    <w:rsid w:val="0022302F"/>
    <w:rsid w:val="00230392"/>
    <w:rsid w:val="00237DDB"/>
    <w:rsid w:val="002415DC"/>
    <w:rsid w:val="00243DEC"/>
    <w:rsid w:val="002466F8"/>
    <w:rsid w:val="0024771D"/>
    <w:rsid w:val="00247FD5"/>
    <w:rsid w:val="00252E06"/>
    <w:rsid w:val="00254F10"/>
    <w:rsid w:val="00256F00"/>
    <w:rsid w:val="00260518"/>
    <w:rsid w:val="002614E0"/>
    <w:rsid w:val="00264333"/>
    <w:rsid w:val="00266593"/>
    <w:rsid w:val="00270E2E"/>
    <w:rsid w:val="00273208"/>
    <w:rsid w:val="00273A5B"/>
    <w:rsid w:val="002A6C07"/>
    <w:rsid w:val="002B21F5"/>
    <w:rsid w:val="002B6ACB"/>
    <w:rsid w:val="002C1D27"/>
    <w:rsid w:val="002D21CA"/>
    <w:rsid w:val="002D3525"/>
    <w:rsid w:val="002D53AA"/>
    <w:rsid w:val="002D5893"/>
    <w:rsid w:val="002E58AC"/>
    <w:rsid w:val="002E5F83"/>
    <w:rsid w:val="002E62DB"/>
    <w:rsid w:val="002E77D8"/>
    <w:rsid w:val="002F291E"/>
    <w:rsid w:val="00303A73"/>
    <w:rsid w:val="00303C2B"/>
    <w:rsid w:val="00304496"/>
    <w:rsid w:val="00307CF0"/>
    <w:rsid w:val="0032078A"/>
    <w:rsid w:val="00332CFD"/>
    <w:rsid w:val="0033650D"/>
    <w:rsid w:val="00342966"/>
    <w:rsid w:val="003501DD"/>
    <w:rsid w:val="00357623"/>
    <w:rsid w:val="00357F1A"/>
    <w:rsid w:val="00374FD1"/>
    <w:rsid w:val="00377884"/>
    <w:rsid w:val="00380703"/>
    <w:rsid w:val="0038362F"/>
    <w:rsid w:val="00384F4F"/>
    <w:rsid w:val="003A0391"/>
    <w:rsid w:val="003A08ED"/>
    <w:rsid w:val="003A5571"/>
    <w:rsid w:val="003B1782"/>
    <w:rsid w:val="003B1C0F"/>
    <w:rsid w:val="003B437F"/>
    <w:rsid w:val="003B57AB"/>
    <w:rsid w:val="003B5EAC"/>
    <w:rsid w:val="003B6A1B"/>
    <w:rsid w:val="003C3A17"/>
    <w:rsid w:val="003C608A"/>
    <w:rsid w:val="003C6123"/>
    <w:rsid w:val="003C7189"/>
    <w:rsid w:val="003D28E5"/>
    <w:rsid w:val="003D359B"/>
    <w:rsid w:val="003D4455"/>
    <w:rsid w:val="003E34FD"/>
    <w:rsid w:val="003E373D"/>
    <w:rsid w:val="003E4A08"/>
    <w:rsid w:val="003E611F"/>
    <w:rsid w:val="003E7463"/>
    <w:rsid w:val="003F33EA"/>
    <w:rsid w:val="003F55A6"/>
    <w:rsid w:val="004014B5"/>
    <w:rsid w:val="004075E0"/>
    <w:rsid w:val="004153F4"/>
    <w:rsid w:val="00423EC1"/>
    <w:rsid w:val="00431DC4"/>
    <w:rsid w:val="00435C30"/>
    <w:rsid w:val="0044019D"/>
    <w:rsid w:val="004429B3"/>
    <w:rsid w:val="00445CB5"/>
    <w:rsid w:val="004534E7"/>
    <w:rsid w:val="00457B31"/>
    <w:rsid w:val="0046248A"/>
    <w:rsid w:val="00462650"/>
    <w:rsid w:val="00467E65"/>
    <w:rsid w:val="00480BF6"/>
    <w:rsid w:val="004840D2"/>
    <w:rsid w:val="00490819"/>
    <w:rsid w:val="0049226E"/>
    <w:rsid w:val="004A6721"/>
    <w:rsid w:val="004A684A"/>
    <w:rsid w:val="004A6FD4"/>
    <w:rsid w:val="004B4FDD"/>
    <w:rsid w:val="004B653F"/>
    <w:rsid w:val="004C0961"/>
    <w:rsid w:val="004C39A1"/>
    <w:rsid w:val="004D1AB2"/>
    <w:rsid w:val="004D5229"/>
    <w:rsid w:val="004D6B6D"/>
    <w:rsid w:val="004D779D"/>
    <w:rsid w:val="004D79EB"/>
    <w:rsid w:val="004E0395"/>
    <w:rsid w:val="004E3939"/>
    <w:rsid w:val="004E3D93"/>
    <w:rsid w:val="004F20C8"/>
    <w:rsid w:val="004F3247"/>
    <w:rsid w:val="004F56E0"/>
    <w:rsid w:val="005109F7"/>
    <w:rsid w:val="00516CE7"/>
    <w:rsid w:val="005215EF"/>
    <w:rsid w:val="00521B86"/>
    <w:rsid w:val="005232DD"/>
    <w:rsid w:val="0052388A"/>
    <w:rsid w:val="00527FDB"/>
    <w:rsid w:val="00533373"/>
    <w:rsid w:val="00547145"/>
    <w:rsid w:val="005472EE"/>
    <w:rsid w:val="00551967"/>
    <w:rsid w:val="00551FFB"/>
    <w:rsid w:val="0055228B"/>
    <w:rsid w:val="0057088A"/>
    <w:rsid w:val="0057492B"/>
    <w:rsid w:val="00575494"/>
    <w:rsid w:val="00576773"/>
    <w:rsid w:val="005912FA"/>
    <w:rsid w:val="0059289A"/>
    <w:rsid w:val="005A1FEE"/>
    <w:rsid w:val="005A3018"/>
    <w:rsid w:val="005A53F1"/>
    <w:rsid w:val="005A54E4"/>
    <w:rsid w:val="005A5BAC"/>
    <w:rsid w:val="005A63D4"/>
    <w:rsid w:val="005A65C2"/>
    <w:rsid w:val="005B3CA0"/>
    <w:rsid w:val="005B57A4"/>
    <w:rsid w:val="005B5B44"/>
    <w:rsid w:val="005B7EAF"/>
    <w:rsid w:val="005C10B5"/>
    <w:rsid w:val="005C2515"/>
    <w:rsid w:val="005C327F"/>
    <w:rsid w:val="005C416B"/>
    <w:rsid w:val="005D258B"/>
    <w:rsid w:val="005E4F3B"/>
    <w:rsid w:val="005E4F95"/>
    <w:rsid w:val="005F42E0"/>
    <w:rsid w:val="005F4D82"/>
    <w:rsid w:val="005F6C52"/>
    <w:rsid w:val="00601C2B"/>
    <w:rsid w:val="00602A84"/>
    <w:rsid w:val="00613096"/>
    <w:rsid w:val="00615767"/>
    <w:rsid w:val="00621A7C"/>
    <w:rsid w:val="00633540"/>
    <w:rsid w:val="0064105C"/>
    <w:rsid w:val="006459B9"/>
    <w:rsid w:val="00647B76"/>
    <w:rsid w:val="0065087E"/>
    <w:rsid w:val="00652DEA"/>
    <w:rsid w:val="006530B7"/>
    <w:rsid w:val="00655215"/>
    <w:rsid w:val="00660D7E"/>
    <w:rsid w:val="0066320E"/>
    <w:rsid w:val="006637D2"/>
    <w:rsid w:val="00671C89"/>
    <w:rsid w:val="0067249B"/>
    <w:rsid w:val="00673595"/>
    <w:rsid w:val="00673EB1"/>
    <w:rsid w:val="006846B7"/>
    <w:rsid w:val="00690AA5"/>
    <w:rsid w:val="00691528"/>
    <w:rsid w:val="00692738"/>
    <w:rsid w:val="006A7272"/>
    <w:rsid w:val="006B0BC7"/>
    <w:rsid w:val="006B19B7"/>
    <w:rsid w:val="006B7228"/>
    <w:rsid w:val="006B7375"/>
    <w:rsid w:val="006C59E6"/>
    <w:rsid w:val="006C7AA0"/>
    <w:rsid w:val="006D07F4"/>
    <w:rsid w:val="006D1BE0"/>
    <w:rsid w:val="006D4B0E"/>
    <w:rsid w:val="006D67C9"/>
    <w:rsid w:val="006E5DBD"/>
    <w:rsid w:val="00703D5A"/>
    <w:rsid w:val="007056FC"/>
    <w:rsid w:val="00713776"/>
    <w:rsid w:val="00715E8C"/>
    <w:rsid w:val="00722AD6"/>
    <w:rsid w:val="007249AF"/>
    <w:rsid w:val="0072619F"/>
    <w:rsid w:val="00726CE5"/>
    <w:rsid w:val="0074620B"/>
    <w:rsid w:val="00747212"/>
    <w:rsid w:val="007552DD"/>
    <w:rsid w:val="00757147"/>
    <w:rsid w:val="00757B44"/>
    <w:rsid w:val="00760850"/>
    <w:rsid w:val="00760CE4"/>
    <w:rsid w:val="00761054"/>
    <w:rsid w:val="00763797"/>
    <w:rsid w:val="00770A8F"/>
    <w:rsid w:val="007730FD"/>
    <w:rsid w:val="00780C7B"/>
    <w:rsid w:val="00785161"/>
    <w:rsid w:val="00786CAD"/>
    <w:rsid w:val="00790C03"/>
    <w:rsid w:val="007969F4"/>
    <w:rsid w:val="007A3FCC"/>
    <w:rsid w:val="007A6892"/>
    <w:rsid w:val="007B5E72"/>
    <w:rsid w:val="007C1B69"/>
    <w:rsid w:val="007C2ED5"/>
    <w:rsid w:val="007C501B"/>
    <w:rsid w:val="007C5BBB"/>
    <w:rsid w:val="007E2750"/>
    <w:rsid w:val="007E455D"/>
    <w:rsid w:val="007E71C3"/>
    <w:rsid w:val="007F2462"/>
    <w:rsid w:val="007F2B9F"/>
    <w:rsid w:val="007F620E"/>
    <w:rsid w:val="007F6CF5"/>
    <w:rsid w:val="007F6F8E"/>
    <w:rsid w:val="008006DC"/>
    <w:rsid w:val="00802101"/>
    <w:rsid w:val="00802587"/>
    <w:rsid w:val="00802701"/>
    <w:rsid w:val="00811DB1"/>
    <w:rsid w:val="00815F1F"/>
    <w:rsid w:val="0081626F"/>
    <w:rsid w:val="00831652"/>
    <w:rsid w:val="0083350A"/>
    <w:rsid w:val="0083442F"/>
    <w:rsid w:val="00837650"/>
    <w:rsid w:val="00844064"/>
    <w:rsid w:val="0084797E"/>
    <w:rsid w:val="00851551"/>
    <w:rsid w:val="00853BFD"/>
    <w:rsid w:val="00855FD7"/>
    <w:rsid w:val="00876776"/>
    <w:rsid w:val="00880855"/>
    <w:rsid w:val="00883B29"/>
    <w:rsid w:val="008844B6"/>
    <w:rsid w:val="00885956"/>
    <w:rsid w:val="00886869"/>
    <w:rsid w:val="00886BFC"/>
    <w:rsid w:val="00893D26"/>
    <w:rsid w:val="00896AD4"/>
    <w:rsid w:val="008A0FAF"/>
    <w:rsid w:val="008B4BBC"/>
    <w:rsid w:val="008B56D8"/>
    <w:rsid w:val="008B67E2"/>
    <w:rsid w:val="008C09F7"/>
    <w:rsid w:val="008C1118"/>
    <w:rsid w:val="008C2208"/>
    <w:rsid w:val="008C3E1C"/>
    <w:rsid w:val="008D51D9"/>
    <w:rsid w:val="008D580D"/>
    <w:rsid w:val="008D663B"/>
    <w:rsid w:val="008D6707"/>
    <w:rsid w:val="008E182E"/>
    <w:rsid w:val="008E3450"/>
    <w:rsid w:val="008E4336"/>
    <w:rsid w:val="008F447F"/>
    <w:rsid w:val="008F7405"/>
    <w:rsid w:val="00902848"/>
    <w:rsid w:val="00915118"/>
    <w:rsid w:val="009213B6"/>
    <w:rsid w:val="00925FAB"/>
    <w:rsid w:val="00930C4A"/>
    <w:rsid w:val="00940B17"/>
    <w:rsid w:val="00941BF8"/>
    <w:rsid w:val="0095404C"/>
    <w:rsid w:val="00960E9B"/>
    <w:rsid w:val="00963EEF"/>
    <w:rsid w:val="00965A6D"/>
    <w:rsid w:val="00970D19"/>
    <w:rsid w:val="00975A76"/>
    <w:rsid w:val="00977337"/>
    <w:rsid w:val="0098275B"/>
    <w:rsid w:val="009927D2"/>
    <w:rsid w:val="00995665"/>
    <w:rsid w:val="009A4818"/>
    <w:rsid w:val="009A62F6"/>
    <w:rsid w:val="009B3539"/>
    <w:rsid w:val="009C20E4"/>
    <w:rsid w:val="009D4380"/>
    <w:rsid w:val="009E48E4"/>
    <w:rsid w:val="009F39A5"/>
    <w:rsid w:val="009F4A69"/>
    <w:rsid w:val="00A03238"/>
    <w:rsid w:val="00A07A96"/>
    <w:rsid w:val="00A1556B"/>
    <w:rsid w:val="00A23930"/>
    <w:rsid w:val="00A24E91"/>
    <w:rsid w:val="00A30B7D"/>
    <w:rsid w:val="00A319DE"/>
    <w:rsid w:val="00A40748"/>
    <w:rsid w:val="00A43861"/>
    <w:rsid w:val="00A439E9"/>
    <w:rsid w:val="00A538FC"/>
    <w:rsid w:val="00A60203"/>
    <w:rsid w:val="00A64042"/>
    <w:rsid w:val="00A67E89"/>
    <w:rsid w:val="00A75D2D"/>
    <w:rsid w:val="00A86489"/>
    <w:rsid w:val="00A86988"/>
    <w:rsid w:val="00A910F1"/>
    <w:rsid w:val="00A92D0B"/>
    <w:rsid w:val="00AA1740"/>
    <w:rsid w:val="00AB2F7F"/>
    <w:rsid w:val="00AB3510"/>
    <w:rsid w:val="00AB42DB"/>
    <w:rsid w:val="00AC237E"/>
    <w:rsid w:val="00AC422E"/>
    <w:rsid w:val="00AC5A4B"/>
    <w:rsid w:val="00AD5797"/>
    <w:rsid w:val="00AD742A"/>
    <w:rsid w:val="00AE429F"/>
    <w:rsid w:val="00AE6488"/>
    <w:rsid w:val="00AF0981"/>
    <w:rsid w:val="00AF25F6"/>
    <w:rsid w:val="00AF5FBC"/>
    <w:rsid w:val="00AF61A9"/>
    <w:rsid w:val="00B00BCD"/>
    <w:rsid w:val="00B03003"/>
    <w:rsid w:val="00B1474D"/>
    <w:rsid w:val="00B1593B"/>
    <w:rsid w:val="00B15C20"/>
    <w:rsid w:val="00B17005"/>
    <w:rsid w:val="00B1760D"/>
    <w:rsid w:val="00B30F84"/>
    <w:rsid w:val="00B312DA"/>
    <w:rsid w:val="00B31565"/>
    <w:rsid w:val="00B41AAB"/>
    <w:rsid w:val="00B4251F"/>
    <w:rsid w:val="00B51C2B"/>
    <w:rsid w:val="00B51F03"/>
    <w:rsid w:val="00B524DB"/>
    <w:rsid w:val="00B54991"/>
    <w:rsid w:val="00B55CCD"/>
    <w:rsid w:val="00B55D78"/>
    <w:rsid w:val="00B62A8F"/>
    <w:rsid w:val="00B62AC0"/>
    <w:rsid w:val="00B66CF5"/>
    <w:rsid w:val="00B736FB"/>
    <w:rsid w:val="00B803D5"/>
    <w:rsid w:val="00B84C71"/>
    <w:rsid w:val="00B8602C"/>
    <w:rsid w:val="00BA1FC2"/>
    <w:rsid w:val="00BA548C"/>
    <w:rsid w:val="00BB1BB7"/>
    <w:rsid w:val="00BB49BB"/>
    <w:rsid w:val="00BC524D"/>
    <w:rsid w:val="00BD362A"/>
    <w:rsid w:val="00BD4617"/>
    <w:rsid w:val="00BD5EB3"/>
    <w:rsid w:val="00BE2E38"/>
    <w:rsid w:val="00BE45D0"/>
    <w:rsid w:val="00BF1E17"/>
    <w:rsid w:val="00BF2F45"/>
    <w:rsid w:val="00BF39D7"/>
    <w:rsid w:val="00BF7991"/>
    <w:rsid w:val="00C02649"/>
    <w:rsid w:val="00C0471D"/>
    <w:rsid w:val="00C13B3F"/>
    <w:rsid w:val="00C15200"/>
    <w:rsid w:val="00C16981"/>
    <w:rsid w:val="00C2265F"/>
    <w:rsid w:val="00C372E0"/>
    <w:rsid w:val="00C37F86"/>
    <w:rsid w:val="00C42A7F"/>
    <w:rsid w:val="00C43A38"/>
    <w:rsid w:val="00C47A2B"/>
    <w:rsid w:val="00C5194D"/>
    <w:rsid w:val="00C63162"/>
    <w:rsid w:val="00C742D7"/>
    <w:rsid w:val="00C765A2"/>
    <w:rsid w:val="00C80771"/>
    <w:rsid w:val="00C82D98"/>
    <w:rsid w:val="00C8509B"/>
    <w:rsid w:val="00C926B9"/>
    <w:rsid w:val="00CA20D7"/>
    <w:rsid w:val="00CA7F5F"/>
    <w:rsid w:val="00CC10AF"/>
    <w:rsid w:val="00CC190D"/>
    <w:rsid w:val="00CC4B40"/>
    <w:rsid w:val="00CD0DD9"/>
    <w:rsid w:val="00CD3575"/>
    <w:rsid w:val="00CD4A82"/>
    <w:rsid w:val="00CD4F13"/>
    <w:rsid w:val="00CD6886"/>
    <w:rsid w:val="00CD7272"/>
    <w:rsid w:val="00CD7D17"/>
    <w:rsid w:val="00CE057B"/>
    <w:rsid w:val="00CE3DE3"/>
    <w:rsid w:val="00CE5B76"/>
    <w:rsid w:val="00CE7A1C"/>
    <w:rsid w:val="00CF1129"/>
    <w:rsid w:val="00D075B1"/>
    <w:rsid w:val="00D10372"/>
    <w:rsid w:val="00D14639"/>
    <w:rsid w:val="00D152A2"/>
    <w:rsid w:val="00D1778A"/>
    <w:rsid w:val="00D21119"/>
    <w:rsid w:val="00D27D5F"/>
    <w:rsid w:val="00D30039"/>
    <w:rsid w:val="00D30C4F"/>
    <w:rsid w:val="00D36884"/>
    <w:rsid w:val="00D36927"/>
    <w:rsid w:val="00D477D5"/>
    <w:rsid w:val="00D51CAA"/>
    <w:rsid w:val="00D55B00"/>
    <w:rsid w:val="00D56BCA"/>
    <w:rsid w:val="00D578BC"/>
    <w:rsid w:val="00D73AE2"/>
    <w:rsid w:val="00D748DD"/>
    <w:rsid w:val="00D74F4E"/>
    <w:rsid w:val="00D75107"/>
    <w:rsid w:val="00D77FCB"/>
    <w:rsid w:val="00D84F94"/>
    <w:rsid w:val="00D8769E"/>
    <w:rsid w:val="00D90B47"/>
    <w:rsid w:val="00DA3AEE"/>
    <w:rsid w:val="00DB7B75"/>
    <w:rsid w:val="00DC2936"/>
    <w:rsid w:val="00DC4780"/>
    <w:rsid w:val="00DC5171"/>
    <w:rsid w:val="00DC64BB"/>
    <w:rsid w:val="00DD0CE0"/>
    <w:rsid w:val="00DD4A19"/>
    <w:rsid w:val="00DD52BB"/>
    <w:rsid w:val="00DE1DDC"/>
    <w:rsid w:val="00DE1FA6"/>
    <w:rsid w:val="00DE2CC3"/>
    <w:rsid w:val="00DE3A5D"/>
    <w:rsid w:val="00DE4370"/>
    <w:rsid w:val="00DF2616"/>
    <w:rsid w:val="00E00990"/>
    <w:rsid w:val="00E00FCE"/>
    <w:rsid w:val="00E103F4"/>
    <w:rsid w:val="00E136B4"/>
    <w:rsid w:val="00E15DC3"/>
    <w:rsid w:val="00E162FE"/>
    <w:rsid w:val="00E17B34"/>
    <w:rsid w:val="00E207C6"/>
    <w:rsid w:val="00E21EA5"/>
    <w:rsid w:val="00E25078"/>
    <w:rsid w:val="00E3026B"/>
    <w:rsid w:val="00E30D5D"/>
    <w:rsid w:val="00E3786F"/>
    <w:rsid w:val="00E37D3D"/>
    <w:rsid w:val="00E40140"/>
    <w:rsid w:val="00E52992"/>
    <w:rsid w:val="00E56E77"/>
    <w:rsid w:val="00E60942"/>
    <w:rsid w:val="00E66FE7"/>
    <w:rsid w:val="00E75E09"/>
    <w:rsid w:val="00E775D0"/>
    <w:rsid w:val="00E81881"/>
    <w:rsid w:val="00E9366A"/>
    <w:rsid w:val="00E94488"/>
    <w:rsid w:val="00E959A0"/>
    <w:rsid w:val="00EB0DBA"/>
    <w:rsid w:val="00EB64CF"/>
    <w:rsid w:val="00EC40F1"/>
    <w:rsid w:val="00EC518A"/>
    <w:rsid w:val="00EC537B"/>
    <w:rsid w:val="00EC6387"/>
    <w:rsid w:val="00EC6D83"/>
    <w:rsid w:val="00ED6B6B"/>
    <w:rsid w:val="00EF6313"/>
    <w:rsid w:val="00F028C8"/>
    <w:rsid w:val="00F04904"/>
    <w:rsid w:val="00F20061"/>
    <w:rsid w:val="00F26371"/>
    <w:rsid w:val="00F2682B"/>
    <w:rsid w:val="00F30DA8"/>
    <w:rsid w:val="00F34C1F"/>
    <w:rsid w:val="00F3772B"/>
    <w:rsid w:val="00F43654"/>
    <w:rsid w:val="00F46CA3"/>
    <w:rsid w:val="00F47E87"/>
    <w:rsid w:val="00F63C29"/>
    <w:rsid w:val="00F650AE"/>
    <w:rsid w:val="00F714D5"/>
    <w:rsid w:val="00F7579D"/>
    <w:rsid w:val="00F81778"/>
    <w:rsid w:val="00F862A9"/>
    <w:rsid w:val="00FA2364"/>
    <w:rsid w:val="00FA4732"/>
    <w:rsid w:val="00FA7778"/>
    <w:rsid w:val="00FC3AF0"/>
    <w:rsid w:val="00FC6CB0"/>
    <w:rsid w:val="00FC72B7"/>
    <w:rsid w:val="00FD3FEB"/>
    <w:rsid w:val="00FD688E"/>
    <w:rsid w:val="00FE3BAE"/>
    <w:rsid w:val="00FE5D26"/>
    <w:rsid w:val="00FE5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2519F458-66E9-463D-AB55-97040D0EC62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p1">
    <w:name w:val="p1"/>
    <w:basedOn w:val="Normal"/>
    <w:rsid w:val="003B437F"/>
    <w:rPr>
      <w:rFonts w:ascii="Palatino Linotype" w:hAnsi="Palatino Linotype"/>
      <w:color w:val="000000"/>
      <w:sz w:val="18"/>
      <w:szCs w:val="18"/>
    </w:rPr>
  </w:style>
  <w:style w:type="character" w:customStyle="1" w:styleId="apple-converted-space">
    <w:name w:val="apple-converted-space"/>
    <w:basedOn w:val="DefaultParagraphFont"/>
    <w:rsid w:val="003B437F"/>
  </w:style>
  <w:style w:type="paragraph" w:styleId="Caption">
    <w:name w:val="caption"/>
    <w:basedOn w:val="Normal"/>
    <w:next w:val="Normal"/>
    <w:unhideWhenUsed/>
    <w:qFormat/>
    <w:rsid w:val="0097733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3730</ap:Words>
  <ap:Characters>21262</ap:Characters>
  <ap:Application>Microsoft Office Word</ap:Application>
  <ap:DocSecurity>0</ap:DocSecurity>
  <ap:Lines>177</ap:Lines>
  <ap:Paragraphs>49</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24943</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2026-05-18T10:12:35Z</dcterms:created>
  <dcterms:modified xsi:type="dcterms:W3CDTF">2026-05-18T10:12:35Z</dcterms:modified>
</cp:coreProperties>
</file>