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435EF6" w14:paraId="79A492AE" w14:textId="6AD7B509">
            <w:pPr>
              <w:pStyle w:val="RSD"/>
            </w:pP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3A600E6C">
            <w:pPr>
              <w:pStyle w:val="RTSB"/>
            </w:pPr>
            <w:r w:rsidRPr="00D41A0A">
              <w:t>Resolution S</w:t>
            </w:r>
            <w:r w:rsidR="00D04532">
              <w:t>X-165</w:t>
            </w:r>
          </w:p>
          <w:p w:rsidRPr="00435EF6" w:rsidR="00435EF6" w:rsidP="00D41A0A" w:rsidRDefault="00D04532" w14:paraId="360CF2A7" w14:textId="381D39EC">
            <w:pPr>
              <w:pStyle w:val="RTSB"/>
            </w:pPr>
            <w:r>
              <w:t>May 14</w:t>
            </w:r>
            <w:r w:rsidRPr="00D41A0A" w:rsidR="00435EF6">
              <w:t>, 202</w:t>
            </w:r>
            <w:r>
              <w:t>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5DABBDD5">
      <w:pPr>
        <w:pStyle w:val="Title"/>
        <w:ind w:left="720" w:right="720"/>
      </w:pPr>
      <w:r w:rsidRPr="001942D0">
        <w:t xml:space="preserve">Resolution </w:t>
      </w:r>
      <w:r>
        <w:t>SX-165.  Granting approval of The San Diego Metropolitan Transit System’s request to install Latch-Out Control Circuit at Nearside Station At-Grade Crossings</w:t>
      </w:r>
      <w:r w:rsidRPr="00B6733E" w:rsidR="00B6733E">
        <w:t>.</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D04532" w:rsidR="00D04532" w:rsidP="00677C84" w:rsidRDefault="00D04532" w14:paraId="4785C53C" w14:textId="77777777">
      <w:pPr>
        <w:numPr>
          <w:ilvl w:val="0"/>
          <w:numId w:val="11"/>
        </w:numPr>
        <w:spacing w:line="240" w:lineRule="auto"/>
        <w:ind w:left="1080" w:right="720"/>
        <w:jc w:val="both"/>
        <w:rPr>
          <w:rFonts w:eastAsia="Times New Roman" w:cs="Times New Roman"/>
          <w:kern w:val="0"/>
          <w14:ligatures w14:val="none"/>
        </w:rPr>
      </w:pPr>
      <w:r w:rsidRPr="00D04532">
        <w:rPr>
          <w:rFonts w:eastAsia="Times New Roman" w:cs="Times New Roman"/>
          <w:kern w:val="0"/>
          <w14:ligatures w14:val="none"/>
        </w:rPr>
        <w:t>Approves the San Diego Metropolitan Transit System’s (SDMTS) request to install latch-out control circuits at 20 existing at-grade railroad crossings.</w:t>
      </w:r>
    </w:p>
    <w:p w:rsidRPr="001942D0" w:rsidR="00D04532" w:rsidP="00677C84" w:rsidRDefault="00D04532" w14:paraId="5E10BEC0" w14:textId="71EC6E7A">
      <w:pPr>
        <w:numPr>
          <w:ilvl w:val="0"/>
          <w:numId w:val="11"/>
        </w:numPr>
        <w:spacing w:line="240" w:lineRule="auto"/>
        <w:ind w:left="1080" w:right="720"/>
        <w:jc w:val="both"/>
        <w:rPr>
          <w:rFonts w:eastAsia="Times New Roman" w:cs="Times New Roman"/>
          <w:kern w:val="0"/>
          <w14:ligatures w14:val="none"/>
        </w:rPr>
      </w:pPr>
      <w:r w:rsidRPr="00D04532">
        <w:rPr>
          <w:rFonts w:eastAsia="Times New Roman" w:cs="Times New Roman"/>
          <w:kern w:val="0"/>
          <w14:ligatures w14:val="none"/>
        </w:rPr>
        <w:t>Supersedes California Public Utilities Commission (Commission/CPUC) Resolutions SX-1 and SX-37</w:t>
      </w:r>
      <w:r>
        <w:rPr>
          <w:rFonts w:eastAsia="Times New Roman" w:cs="Times New Roman"/>
          <w:kern w:val="0"/>
          <w14:ligatures w14:val="none"/>
        </w:rPr>
        <w:t>.</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D04532" w14:paraId="254689FB" w14:textId="278B841E">
      <w:pPr>
        <w:numPr>
          <w:ilvl w:val="0"/>
          <w:numId w:val="10"/>
        </w:numPr>
        <w:spacing w:line="240" w:lineRule="auto"/>
        <w:ind w:left="1080" w:right="720"/>
        <w:jc w:val="both"/>
        <w:rPr>
          <w:rFonts w:eastAsia="Palatino Linotype" w:cs="Times New Roman"/>
          <w:kern w:val="0"/>
          <w14:ligatures w14:val="none"/>
        </w:rPr>
      </w:pPr>
      <w:r w:rsidRPr="00D04532">
        <w:rPr>
          <w:rFonts w:eastAsia="Times New Roman" w:cs="Times New Roman"/>
          <w:kern w:val="0"/>
          <w14:ligatures w14:val="none"/>
        </w:rPr>
        <w:t>This Resolution approves the SDMTS’s request to install latch-out control circuit at 20 at-grade rail crossings.  It also supersedes Commission Resolutions SX-1 and SX-37 into this one combined Resolution.  In addition, this Resolution will standardize the technical terms which were used in Commission Resolutions SX-1, SX-37 and RTS-10.</w:t>
      </w:r>
      <w:r>
        <w:rPr>
          <w:rFonts w:eastAsia="Times New Roman" w:cs="Times New Roman"/>
          <w:kern w:val="0"/>
          <w14:ligatures w14:val="none"/>
        </w:rPr>
        <w:t>.</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D04532" w14:paraId="3D877887" w14:textId="627A3EFE">
      <w:pPr>
        <w:pStyle w:val="BodyText"/>
        <w:rPr>
          <w:rFonts w:eastAsia="Palatino Linotype"/>
        </w:rPr>
      </w:pPr>
      <w:r w:rsidRPr="00D04532">
        <w:t xml:space="preserve">This Resolution approves the SDMTS’s request to install latch-out control circuit at 20 at-grade rail crossings.  It also supersedes Commission Resolutions SX-1 and SX-37 into this </w:t>
      </w:r>
      <w:r w:rsidRPr="00D04532">
        <w:lastRenderedPageBreak/>
        <w:t>one combined Resolution.  In addition, this Resolution will standardize the technical terms which were used in Commission Resolutions SX-1, SX-37 and RTS-10.</w:t>
      </w:r>
    </w:p>
    <w:p w:rsidRPr="001942D0" w:rsidR="001942D0" w:rsidP="00D41A0A" w:rsidRDefault="001942D0" w14:paraId="39039894" w14:textId="77777777">
      <w:pPr>
        <w:pStyle w:val="Heading1"/>
      </w:pPr>
      <w:r w:rsidRPr="001942D0">
        <w:t>Background</w:t>
      </w:r>
    </w:p>
    <w:p w:rsidR="00D04532" w:rsidP="00D04532" w:rsidRDefault="00D04532" w14:paraId="27D7837D" w14:textId="77777777">
      <w:pPr>
        <w:pStyle w:val="BodyText"/>
      </w:pPr>
      <w:r>
        <w:t>By letter dated August 19, 2025, pursuant to Section 13.1 of the Commission General Order (GO) 75-D, SDMTS requests authority to deviate from Section 9.2 of GO 75-D, which requires that under normal through train operation, automatic crossing warning device activation times shall not be less than 20 seconds before the at-grade rail crossing (crossing) is occupied by rail traffic.</w:t>
      </w:r>
    </w:p>
    <w:p w:rsidR="00D04532" w:rsidP="00D04532" w:rsidRDefault="00D04532" w14:paraId="43D184FF" w14:textId="77777777">
      <w:pPr>
        <w:pStyle w:val="BodyText"/>
      </w:pPr>
      <w:r>
        <w:t>The latch-out control circuit delays the crossing warning system activation, when an LRV is stopped at near-side station, to reduce vehicles and pedestrians waiting time while the crossing remains closed to vehicles and pedestrians, thereby improving traffic flow and decreasing the likelihood of vehicles and pedestrians attempting to bypass the long-waited lowered gates.  Once the LRV completes the necessary dwell time for the passengers to board and alight at the station, the warning system activates, initiating a minimum activation time of 20 seconds before the LRV enters the crossing.</w:t>
      </w:r>
    </w:p>
    <w:p w:rsidRPr="005708B7" w:rsidR="005708B7" w:rsidP="00D04532" w:rsidRDefault="00D04532" w14:paraId="770C56B0" w14:textId="5539DB82">
      <w:pPr>
        <w:pStyle w:val="BodyText"/>
      </w:pPr>
      <w:r>
        <w:t>The Commission has granted variances to SDMTS under Commission Resolutions SX-1, dated January 9, 1990, and SX-37, dated March 15, 2001, allowing SDMTS to install latch-out control circuits at 39 crossings</w:t>
      </w:r>
      <w:r w:rsidR="00606460">
        <w:t>.</w:t>
      </w:r>
    </w:p>
    <w:p w:rsidRPr="001942D0" w:rsidR="00472F29" w:rsidP="00D41A0A" w:rsidRDefault="00472F29" w14:paraId="1EF76CB9" w14:textId="69985EAA">
      <w:pPr>
        <w:pStyle w:val="Heading1"/>
      </w:pPr>
      <w:r>
        <w:t>Discussion</w:t>
      </w:r>
    </w:p>
    <w:p w:rsidR="00D04532" w:rsidP="00D04532" w:rsidRDefault="00D04532" w14:paraId="6331BAAC" w14:textId="77777777">
      <w:pPr>
        <w:pStyle w:val="BodyText"/>
      </w:pPr>
      <w:r>
        <w:t xml:space="preserve">An LRVs stopping at a near-side station where the latch-out control circuit is in use, waits at the station for the minimum crossing signal warning time to elapse, to alight and board passengers, before the LRV proceeds through the crossing.  The crossing signals and gates activation delay reduces crossing closure time for vehicles and pedestrians, improving traffic flow and safety by reducing incidences of motor vehicle and pedestrians bypassing the lowered gates.  </w:t>
      </w:r>
    </w:p>
    <w:p w:rsidR="00D04532" w:rsidP="00D04532" w:rsidRDefault="00D04532" w14:paraId="05D338FF" w14:textId="77777777">
      <w:pPr>
        <w:pStyle w:val="BodyText"/>
      </w:pPr>
      <w:r>
        <w:t>GO 75-D, Section 9.2a states:</w:t>
      </w:r>
    </w:p>
    <w:p w:rsidR="00D04532" w:rsidP="00C61C53" w:rsidRDefault="00D04532" w14:paraId="133E4051" w14:textId="77777777">
      <w:pPr>
        <w:pStyle w:val="BodyText"/>
      </w:pPr>
      <w:r>
        <w:t>“As required by 49 CFR 234.225, under normal operation of through trains, automatic crossing warning device activation times in no event shall be less than 20 seconds before the at-grade crossing is occupied by rail traffic.”</w:t>
      </w:r>
    </w:p>
    <w:p w:rsidR="00D04532" w:rsidP="00D04532" w:rsidRDefault="00D04532" w14:paraId="768EF144" w14:textId="77777777">
      <w:pPr>
        <w:pStyle w:val="BodyText"/>
      </w:pPr>
      <w:r>
        <w:lastRenderedPageBreak/>
        <w:t>Through Commission Resolutions SX-1 and SX-37, Commission granted exemption from GO 75-D, Section 9.2a to allow SDMTS to implement latch-out control circuit at 39 crossings.</w:t>
      </w:r>
    </w:p>
    <w:p w:rsidR="00606460" w:rsidP="00D04532" w:rsidRDefault="00D04532" w14:paraId="0EC00A6A" w14:textId="136AE986">
      <w:pPr>
        <w:pStyle w:val="BodyText"/>
      </w:pPr>
      <w:r>
        <w:t>SDMTS’s request for an exemption from GO 75-D Section 9.2a consists of three items:</w:t>
      </w:r>
    </w:p>
    <w:p w:rsidR="00D04532" w:rsidP="00C61C53" w:rsidRDefault="00D04532" w14:paraId="4E166193" w14:textId="77777777">
      <w:pPr>
        <w:pStyle w:val="BodyText"/>
        <w:numPr>
          <w:ilvl w:val="0"/>
          <w:numId w:val="28"/>
        </w:numPr>
        <w:tabs>
          <w:tab w:val="clear" w:pos="720"/>
        </w:tabs>
        <w:ind w:left="547" w:hanging="547"/>
      </w:pPr>
      <w:r>
        <w:t>Incorporate all the rules and procedures from Commission Resolutions SX-1 and SX-37:</w:t>
      </w:r>
    </w:p>
    <w:p w:rsidR="00D04532" w:rsidP="00D04532" w:rsidRDefault="00D04532" w14:paraId="4BAA146D" w14:textId="77777777">
      <w:pPr>
        <w:pStyle w:val="BodyText"/>
        <w:numPr>
          <w:ilvl w:val="0"/>
          <w:numId w:val="31"/>
        </w:numPr>
        <w:tabs>
          <w:tab w:val="clear" w:pos="720"/>
        </w:tabs>
        <w:spacing w:before="120"/>
        <w:ind w:left="907" w:hanging="547"/>
      </w:pPr>
      <w:r>
        <w:t>SDMTS will install a signal light unit at each affected crossing, visible to the trolley operator for at least the length of the near-side platform, which will show when crossing protection is activated.</w:t>
      </w:r>
    </w:p>
    <w:p w:rsidR="00D04532" w:rsidP="00D04532" w:rsidRDefault="00D04532" w14:paraId="56DE7323" w14:textId="77777777">
      <w:pPr>
        <w:pStyle w:val="BodyText"/>
        <w:numPr>
          <w:ilvl w:val="0"/>
          <w:numId w:val="31"/>
        </w:numPr>
        <w:tabs>
          <w:tab w:val="clear" w:pos="720"/>
        </w:tabs>
        <w:spacing w:before="120"/>
        <w:ind w:left="907" w:hanging="547"/>
      </w:pPr>
      <w:r>
        <w:t>SDMTS will modify the car carrying equipment to prevent the transponder, or equivalent device, from forestalling the gates only from the lead car.</w:t>
      </w:r>
    </w:p>
    <w:p w:rsidR="00D04532" w:rsidP="00D04532" w:rsidRDefault="00D04532" w14:paraId="2EF3E1E1" w14:textId="77777777">
      <w:pPr>
        <w:pStyle w:val="BodyText"/>
        <w:numPr>
          <w:ilvl w:val="0"/>
          <w:numId w:val="31"/>
        </w:numPr>
        <w:tabs>
          <w:tab w:val="clear" w:pos="720"/>
        </w:tabs>
        <w:spacing w:before="120"/>
        <w:ind w:left="907" w:hanging="547"/>
      </w:pPr>
      <w:r>
        <w:t>SDMTS will record the following operational data for each near-side station bound train movement: (1) whether latch-out was in effect, (2) the time latch-out occurred, (3) the time the crossing relay XR released, and (4) the time the train occupied the island track circuit.</w:t>
      </w:r>
    </w:p>
    <w:p w:rsidR="00D04532" w:rsidP="00D04532" w:rsidRDefault="00D04532" w14:paraId="5D2D383F" w14:textId="77777777">
      <w:pPr>
        <w:pStyle w:val="BodyText"/>
        <w:numPr>
          <w:ilvl w:val="0"/>
          <w:numId w:val="31"/>
        </w:numPr>
        <w:tabs>
          <w:tab w:val="clear" w:pos="720"/>
        </w:tabs>
        <w:spacing w:before="120"/>
        <w:ind w:left="907" w:hanging="547"/>
      </w:pPr>
      <w:r>
        <w:t>SDMTS will prepare a preventive maintenance program for the equipment permanently installed on vehicles and at wayside.  This program will include scheduled periodic checks of the operational data recorded at each crossing to verify that the train operators continue to correctly follow the prescribed operating rules and procedures, and that the equipment continues to operate properly.</w:t>
      </w:r>
    </w:p>
    <w:p w:rsidR="00D04532" w:rsidP="00D04532" w:rsidRDefault="00D04532" w14:paraId="17DF3FAA" w14:textId="77777777">
      <w:pPr>
        <w:pStyle w:val="BodyText"/>
        <w:numPr>
          <w:ilvl w:val="0"/>
          <w:numId w:val="28"/>
        </w:numPr>
        <w:ind w:left="540" w:hanging="540"/>
      </w:pPr>
      <w:r>
        <w:t xml:space="preserve">Standardize the technical terminology from Commission Resolutions SX-1 and SX-37. </w:t>
      </w:r>
    </w:p>
    <w:p w:rsidR="00D04532" w:rsidP="00D04532" w:rsidRDefault="00D04532" w14:paraId="6A9A0810" w14:textId="77777777">
      <w:pPr>
        <w:pStyle w:val="BodyText"/>
        <w:numPr>
          <w:ilvl w:val="0"/>
          <w:numId w:val="30"/>
        </w:numPr>
        <w:tabs>
          <w:tab w:val="clear" w:pos="720"/>
        </w:tabs>
        <w:spacing w:before="120"/>
        <w:ind w:left="907" w:hanging="547"/>
      </w:pPr>
      <w:r>
        <w:t xml:space="preserve">Forestalling will be referred to as Latch-Out. </w:t>
      </w:r>
    </w:p>
    <w:p w:rsidR="00D04532" w:rsidP="00D04532" w:rsidRDefault="00D04532" w14:paraId="1F22FD56" w14:textId="32344D91">
      <w:pPr>
        <w:pStyle w:val="BodyText"/>
        <w:numPr>
          <w:ilvl w:val="0"/>
          <w:numId w:val="28"/>
        </w:numPr>
        <w:ind w:left="540" w:hanging="540"/>
      </w:pPr>
      <w:r>
        <w:t>Incorporate all the previous crossings from Commission Resolutions SX-1 and SX-37 and add 20 new crossings.</w:t>
      </w:r>
    </w:p>
    <w:p w:rsidR="00D04532" w:rsidP="00D04532" w:rsidRDefault="00D04532" w14:paraId="7BD0B64A" w14:textId="77777777">
      <w:pPr>
        <w:pStyle w:val="BodyText"/>
        <w:numPr>
          <w:ilvl w:val="0"/>
          <w:numId w:val="29"/>
        </w:numPr>
        <w:tabs>
          <w:tab w:val="clear" w:pos="720"/>
        </w:tabs>
        <w:spacing w:before="120"/>
        <w:ind w:left="907" w:hanging="547"/>
      </w:pPr>
      <w:r>
        <w:t>The additional crossings requested by SDMTS are listed in Table 1 below:</w:t>
      </w:r>
    </w:p>
    <w:p w:rsidR="00C61C53" w:rsidP="00C61C53" w:rsidRDefault="00C61C53" w14:paraId="26A8C6C1" w14:textId="77777777">
      <w:pPr>
        <w:pStyle w:val="BodyText"/>
        <w:tabs>
          <w:tab w:val="clear" w:pos="720"/>
        </w:tabs>
        <w:spacing w:before="120"/>
      </w:pPr>
    </w:p>
    <w:p w:rsidR="00C61C53" w:rsidP="00C61C53" w:rsidRDefault="00C61C53" w14:paraId="21F10D61" w14:textId="77777777">
      <w:pPr>
        <w:pStyle w:val="BodyText"/>
        <w:tabs>
          <w:tab w:val="clear" w:pos="720"/>
        </w:tabs>
        <w:spacing w:before="120"/>
      </w:pPr>
    </w:p>
    <w:p w:rsidR="00C61C53" w:rsidP="00C61C53" w:rsidRDefault="00C61C53" w14:paraId="50E7E719" w14:textId="77777777">
      <w:pPr>
        <w:pStyle w:val="BodyText"/>
        <w:tabs>
          <w:tab w:val="clear" w:pos="720"/>
        </w:tabs>
        <w:spacing w:before="120"/>
      </w:pPr>
    </w:p>
    <w:p w:rsidR="00C61C53" w:rsidP="00C61C53" w:rsidRDefault="00C61C53" w14:paraId="7B7245E3" w14:textId="643C7C69">
      <w:pPr>
        <w:pStyle w:val="BodyText"/>
        <w:tabs>
          <w:tab w:val="clear" w:pos="720"/>
        </w:tabs>
        <w:spacing w:before="120"/>
      </w:pPr>
      <w:r>
        <w:t>//</w:t>
      </w:r>
    </w:p>
    <w:p w:rsidR="00C61C53" w:rsidP="00C61C53" w:rsidRDefault="00C61C53" w14:paraId="37F82FD6" w14:textId="12E9E4A5">
      <w:pPr>
        <w:pStyle w:val="BodyText"/>
        <w:tabs>
          <w:tab w:val="clear" w:pos="720"/>
        </w:tabs>
        <w:spacing w:before="120"/>
      </w:pPr>
      <w:r>
        <w:t>//</w:t>
      </w:r>
    </w:p>
    <w:p w:rsidR="00AF136C" w:rsidP="00C61C53" w:rsidRDefault="00D04532" w14:paraId="1087946E" w14:textId="27F7D51B">
      <w:pPr>
        <w:pStyle w:val="BodyText"/>
        <w:spacing w:after="120"/>
      </w:pPr>
      <w:r>
        <w:lastRenderedPageBreak/>
        <w:t>Table 1: Additional Latch-Out Locations Requested by SDMTS.</w:t>
      </w:r>
    </w:p>
    <w:tbl>
      <w:tblPr>
        <w:tblW w:w="7460" w:type="dxa"/>
        <w:jc w:val="center"/>
        <w:tblLook w:val="04A0" w:firstRow="1" w:lastRow="0" w:firstColumn="1" w:lastColumn="0" w:noHBand="0" w:noVBand="1"/>
      </w:tblPr>
      <w:tblGrid>
        <w:gridCol w:w="2510"/>
        <w:gridCol w:w="1620"/>
        <w:gridCol w:w="1440"/>
        <w:gridCol w:w="1890"/>
      </w:tblGrid>
      <w:tr w:rsidRPr="001A0D0E" w:rsidR="00D04532" w:rsidTr="00157572" w14:paraId="101B766F" w14:textId="77777777">
        <w:trPr>
          <w:trHeight w:val="324"/>
          <w:jc w:val="center"/>
        </w:trPr>
        <w:tc>
          <w:tcPr>
            <w:tcW w:w="2510" w:type="dxa"/>
            <w:tcBorders>
              <w:top w:val="single" w:color="auto" w:sz="4" w:space="0"/>
              <w:left w:val="single" w:color="auto" w:sz="4" w:space="0"/>
              <w:bottom w:val="single" w:color="auto" w:sz="4" w:space="0"/>
            </w:tcBorders>
            <w:noWrap/>
            <w:vAlign w:val="bottom"/>
            <w:hideMark/>
          </w:tcPr>
          <w:p w:rsidRPr="001A0D0E" w:rsidR="00D04532" w:rsidP="00C61C53" w:rsidRDefault="00D04532" w14:paraId="20A41F11"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Blue Line South</w:t>
            </w:r>
          </w:p>
        </w:tc>
        <w:tc>
          <w:tcPr>
            <w:tcW w:w="1620" w:type="dxa"/>
            <w:tcBorders>
              <w:top w:val="single" w:color="auto" w:sz="4" w:space="0"/>
              <w:bottom w:val="single" w:color="auto" w:sz="4" w:space="0"/>
            </w:tcBorders>
            <w:noWrap/>
            <w:vAlign w:val="bottom"/>
            <w:hideMark/>
          </w:tcPr>
          <w:p w:rsidRPr="001A0D0E" w:rsidR="00D04532" w:rsidP="00C61C53" w:rsidRDefault="00D04532" w14:paraId="5348A245"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440" w:type="dxa"/>
            <w:tcBorders>
              <w:top w:val="single" w:color="auto" w:sz="4" w:space="0"/>
              <w:bottom w:val="single" w:color="auto" w:sz="4" w:space="0"/>
            </w:tcBorders>
            <w:noWrap/>
            <w:vAlign w:val="bottom"/>
            <w:hideMark/>
          </w:tcPr>
          <w:p w:rsidRPr="001A0D0E" w:rsidR="00D04532" w:rsidP="00C61C53" w:rsidRDefault="00D04532" w14:paraId="24861BC4"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890" w:type="dxa"/>
            <w:tcBorders>
              <w:top w:val="single" w:color="auto" w:sz="4" w:space="0"/>
              <w:bottom w:val="single" w:color="auto" w:sz="4" w:space="0"/>
              <w:right w:val="single" w:color="auto" w:sz="4" w:space="0"/>
            </w:tcBorders>
            <w:noWrap/>
            <w:vAlign w:val="bottom"/>
            <w:hideMark/>
          </w:tcPr>
          <w:p w:rsidRPr="001A0D0E" w:rsidR="00D04532" w:rsidP="00C61C53" w:rsidRDefault="00D04532" w14:paraId="47E3FADB"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r>
      <w:tr w:rsidRPr="001A0D0E" w:rsidR="00D04532" w:rsidTr="00157572" w14:paraId="4B13A623" w14:textId="77777777">
        <w:trPr>
          <w:trHeight w:val="324"/>
          <w:jc w:val="center"/>
        </w:trPr>
        <w:tc>
          <w:tcPr>
            <w:tcW w:w="2510" w:type="dxa"/>
            <w:tcBorders>
              <w:top w:val="single" w:color="auto" w:sz="4" w:space="0"/>
              <w:left w:val="single" w:color="auto" w:sz="8" w:space="0"/>
              <w:bottom w:val="single" w:color="auto" w:sz="8" w:space="0"/>
              <w:right w:val="single" w:color="auto" w:sz="4" w:space="0"/>
            </w:tcBorders>
            <w:noWrap/>
            <w:vAlign w:val="bottom"/>
            <w:hideMark/>
          </w:tcPr>
          <w:p w:rsidRPr="001A0D0E" w:rsidR="00D04532" w:rsidP="00157572" w:rsidRDefault="00D04532" w14:paraId="089B2FC2" w14:textId="77777777">
            <w:pPr>
              <w:spacing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Crossing Name</w:t>
            </w:r>
          </w:p>
        </w:tc>
        <w:tc>
          <w:tcPr>
            <w:tcW w:w="1620" w:type="dxa"/>
            <w:tcBorders>
              <w:top w:val="single" w:color="auto" w:sz="4" w:space="0"/>
              <w:left w:val="nil"/>
              <w:bottom w:val="single" w:color="auto" w:sz="8" w:space="0"/>
              <w:right w:val="single" w:color="auto" w:sz="4" w:space="0"/>
            </w:tcBorders>
            <w:noWrap/>
            <w:vAlign w:val="bottom"/>
            <w:hideMark/>
          </w:tcPr>
          <w:p w:rsidRPr="001A0D0E" w:rsidR="00D04532" w:rsidP="00157572" w:rsidRDefault="00D04532" w14:paraId="4483D821" w14:textId="77777777">
            <w:pPr>
              <w:spacing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Direction</w:t>
            </w:r>
          </w:p>
        </w:tc>
        <w:tc>
          <w:tcPr>
            <w:tcW w:w="1440" w:type="dxa"/>
            <w:tcBorders>
              <w:top w:val="single" w:color="auto" w:sz="4" w:space="0"/>
              <w:left w:val="nil"/>
              <w:bottom w:val="single" w:color="auto" w:sz="8" w:space="0"/>
              <w:right w:val="single" w:color="auto" w:sz="4" w:space="0"/>
            </w:tcBorders>
            <w:noWrap/>
            <w:vAlign w:val="bottom"/>
            <w:hideMark/>
          </w:tcPr>
          <w:p w:rsidRPr="001A0D0E" w:rsidR="00D04532" w:rsidP="00157572" w:rsidRDefault="00D04532" w14:paraId="11073BBD" w14:textId="77777777">
            <w:pPr>
              <w:spacing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DOT No.</w:t>
            </w:r>
          </w:p>
        </w:tc>
        <w:tc>
          <w:tcPr>
            <w:tcW w:w="1890" w:type="dxa"/>
            <w:tcBorders>
              <w:top w:val="single" w:color="auto" w:sz="4" w:space="0"/>
              <w:left w:val="nil"/>
              <w:bottom w:val="single" w:color="auto" w:sz="8" w:space="0"/>
              <w:right w:val="single" w:color="auto" w:sz="4" w:space="0"/>
            </w:tcBorders>
            <w:noWrap/>
            <w:vAlign w:val="bottom"/>
            <w:hideMark/>
          </w:tcPr>
          <w:p w:rsidRPr="001A0D0E" w:rsidR="00D04532" w:rsidP="00157572" w:rsidRDefault="00D04532" w14:paraId="5D8B7BA7" w14:textId="77777777">
            <w:pPr>
              <w:spacing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CPUC No.</w:t>
            </w:r>
          </w:p>
        </w:tc>
      </w:tr>
      <w:tr w:rsidRPr="001A0D0E" w:rsidR="00D04532" w:rsidTr="00157572" w14:paraId="30DFF5D8"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157572" w:rsidRDefault="00D04532" w14:paraId="4BD958D7"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xml:space="preserve">Sampson </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6C321EEC"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59D93660"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661800K</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7D07D76A"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036-2.30</w:t>
            </w:r>
          </w:p>
        </w:tc>
      </w:tr>
      <w:tr w:rsidRPr="001A0D0E" w:rsidR="00D04532" w:rsidTr="00157572" w14:paraId="1E0FBC10"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hideMark/>
          </w:tcPr>
          <w:p w:rsidRPr="001A0D0E" w:rsidR="00D04532" w:rsidP="00157572" w:rsidRDefault="00D04532" w14:paraId="1AE72E85"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Schley</w:t>
            </w:r>
          </w:p>
        </w:tc>
        <w:tc>
          <w:tcPr>
            <w:tcW w:w="1620" w:type="dxa"/>
            <w:tcBorders>
              <w:top w:val="nil"/>
              <w:left w:val="nil"/>
              <w:bottom w:val="single" w:color="auto" w:sz="4" w:space="0"/>
              <w:right w:val="single" w:color="auto" w:sz="4" w:space="0"/>
            </w:tcBorders>
            <w:shd w:val="clear" w:color="000000" w:fill="FFFFFF"/>
            <w:vAlign w:val="bottom"/>
            <w:hideMark/>
          </w:tcPr>
          <w:p w:rsidRPr="001A0D0E" w:rsidR="00D04532" w:rsidP="00157572" w:rsidRDefault="00D04532" w14:paraId="31F06FFF"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70054EA5"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661801S</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16A6F4F3"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036-2.50</w:t>
            </w:r>
          </w:p>
        </w:tc>
      </w:tr>
      <w:tr w:rsidRPr="001A0D0E" w:rsidR="00D04532" w:rsidTr="00157572" w14:paraId="780E33DD"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hideMark/>
          </w:tcPr>
          <w:p w:rsidRPr="001A0D0E" w:rsidR="00D04532" w:rsidP="00157572" w:rsidRDefault="00D04532" w14:paraId="5CAE649D"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National Steel</w:t>
            </w:r>
          </w:p>
        </w:tc>
        <w:tc>
          <w:tcPr>
            <w:tcW w:w="1620" w:type="dxa"/>
            <w:tcBorders>
              <w:top w:val="nil"/>
              <w:left w:val="nil"/>
              <w:bottom w:val="single" w:color="auto" w:sz="4" w:space="0"/>
              <w:right w:val="single" w:color="auto" w:sz="4" w:space="0"/>
            </w:tcBorders>
            <w:shd w:val="clear" w:color="000000" w:fill="FFFFFF"/>
            <w:vAlign w:val="bottom"/>
            <w:hideMark/>
          </w:tcPr>
          <w:p w:rsidRPr="001A0D0E" w:rsidR="00D04532" w:rsidP="00157572" w:rsidRDefault="00D04532" w14:paraId="2956BAB8"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7F45FCF5"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966266D</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3B063439"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036-3.10-X</w:t>
            </w:r>
          </w:p>
        </w:tc>
      </w:tr>
      <w:tr w:rsidRPr="001A0D0E" w:rsidR="00D04532" w:rsidTr="00157572" w14:paraId="535C6CD7"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157572" w:rsidRDefault="00D04532" w14:paraId="53E89839"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Anita Street</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1D24B520"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24454E1D"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662039F</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11D27EF0"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036-10.10</w:t>
            </w:r>
          </w:p>
        </w:tc>
      </w:tr>
      <w:tr w:rsidRPr="001A0D0E" w:rsidR="00D04532" w:rsidTr="00157572" w14:paraId="3DDCA608"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157572" w:rsidRDefault="00D04532" w14:paraId="1BC86207"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Dairy Mart Road</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71656BED"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5AEA4494"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662047X</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157572" w:rsidRDefault="00D04532" w14:paraId="6855C7BE" w14:textId="77777777">
            <w:pPr>
              <w:spacing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036-12.90</w:t>
            </w:r>
          </w:p>
        </w:tc>
      </w:tr>
      <w:tr w:rsidRPr="001A0D0E" w:rsidR="00D04532" w:rsidTr="00157572" w14:paraId="7F5F5C73" w14:textId="77777777">
        <w:trPr>
          <w:trHeight w:val="324"/>
          <w:jc w:val="center"/>
        </w:trPr>
        <w:tc>
          <w:tcPr>
            <w:tcW w:w="2510" w:type="dxa"/>
            <w:tcBorders>
              <w:top w:val="nil"/>
              <w:left w:val="nil"/>
              <w:bottom w:val="single" w:color="auto" w:sz="4" w:space="0"/>
              <w:right w:val="nil"/>
            </w:tcBorders>
            <w:noWrap/>
            <w:vAlign w:val="bottom"/>
            <w:hideMark/>
          </w:tcPr>
          <w:p w:rsidRPr="001A0D0E" w:rsidR="00D04532" w:rsidP="00157572" w:rsidRDefault="00D04532" w14:paraId="1990CE59" w14:textId="77777777">
            <w:pPr>
              <w:spacing w:line="240" w:lineRule="auto"/>
              <w:rPr>
                <w:rFonts w:ascii="Aptos Narrow" w:hAnsi="Aptos Narrow" w:eastAsia="Times New Roman" w:cs="Times New Roman"/>
                <w:color w:val="000000"/>
                <w:kern w:val="0"/>
                <w14:ligatures w14:val="none"/>
              </w:rPr>
            </w:pPr>
          </w:p>
        </w:tc>
        <w:tc>
          <w:tcPr>
            <w:tcW w:w="1620" w:type="dxa"/>
            <w:tcBorders>
              <w:top w:val="nil"/>
              <w:left w:val="nil"/>
              <w:bottom w:val="single" w:color="auto" w:sz="4" w:space="0"/>
              <w:right w:val="nil"/>
            </w:tcBorders>
            <w:noWrap/>
            <w:vAlign w:val="bottom"/>
            <w:hideMark/>
          </w:tcPr>
          <w:p w:rsidRPr="001A0D0E" w:rsidR="00D04532" w:rsidP="00157572" w:rsidRDefault="00D04532" w14:paraId="6348E367" w14:textId="77777777">
            <w:pPr>
              <w:spacing w:line="240" w:lineRule="auto"/>
              <w:rPr>
                <w:rFonts w:ascii="Times New Roman" w:hAnsi="Times New Roman" w:eastAsia="Times New Roman" w:cs="Times New Roman"/>
                <w:kern w:val="0"/>
                <w:sz w:val="20"/>
                <w:szCs w:val="20"/>
                <w14:ligatures w14:val="none"/>
              </w:rPr>
            </w:pPr>
          </w:p>
        </w:tc>
        <w:tc>
          <w:tcPr>
            <w:tcW w:w="1440" w:type="dxa"/>
            <w:tcBorders>
              <w:top w:val="nil"/>
              <w:left w:val="nil"/>
              <w:bottom w:val="single" w:color="auto" w:sz="4" w:space="0"/>
              <w:right w:val="nil"/>
            </w:tcBorders>
            <w:noWrap/>
            <w:vAlign w:val="bottom"/>
            <w:hideMark/>
          </w:tcPr>
          <w:p w:rsidRPr="001A0D0E" w:rsidR="00D04532" w:rsidP="00157572" w:rsidRDefault="00D04532" w14:paraId="7E48D3A9" w14:textId="77777777">
            <w:pPr>
              <w:spacing w:line="240" w:lineRule="auto"/>
              <w:rPr>
                <w:rFonts w:ascii="Times New Roman" w:hAnsi="Times New Roman" w:eastAsia="Times New Roman" w:cs="Times New Roman"/>
                <w:kern w:val="0"/>
                <w:sz w:val="20"/>
                <w:szCs w:val="20"/>
                <w14:ligatures w14:val="none"/>
              </w:rPr>
            </w:pPr>
          </w:p>
        </w:tc>
        <w:tc>
          <w:tcPr>
            <w:tcW w:w="1890" w:type="dxa"/>
            <w:tcBorders>
              <w:top w:val="nil"/>
              <w:left w:val="nil"/>
              <w:bottom w:val="single" w:color="auto" w:sz="4" w:space="0"/>
              <w:right w:val="nil"/>
            </w:tcBorders>
            <w:noWrap/>
            <w:vAlign w:val="bottom"/>
            <w:hideMark/>
          </w:tcPr>
          <w:p w:rsidRPr="001A0D0E" w:rsidR="00D04532" w:rsidP="00157572" w:rsidRDefault="00D04532" w14:paraId="4AECF427" w14:textId="77777777">
            <w:pPr>
              <w:spacing w:line="240" w:lineRule="auto"/>
              <w:rPr>
                <w:rFonts w:ascii="Times New Roman" w:hAnsi="Times New Roman" w:eastAsia="Times New Roman" w:cs="Times New Roman"/>
                <w:kern w:val="0"/>
                <w:sz w:val="20"/>
                <w:szCs w:val="20"/>
                <w14:ligatures w14:val="none"/>
              </w:rPr>
            </w:pPr>
          </w:p>
        </w:tc>
      </w:tr>
      <w:tr w:rsidRPr="001A0D0E" w:rsidR="00D04532" w:rsidTr="00157572" w14:paraId="1584468E" w14:textId="77777777">
        <w:trPr>
          <w:trHeight w:val="324"/>
          <w:jc w:val="center"/>
        </w:trPr>
        <w:tc>
          <w:tcPr>
            <w:tcW w:w="2510" w:type="dxa"/>
            <w:tcBorders>
              <w:top w:val="single" w:color="auto" w:sz="4" w:space="0"/>
              <w:left w:val="single" w:color="auto" w:sz="4" w:space="0"/>
              <w:bottom w:val="single" w:color="auto" w:sz="4" w:space="0"/>
            </w:tcBorders>
            <w:noWrap/>
            <w:vAlign w:val="bottom"/>
            <w:hideMark/>
          </w:tcPr>
          <w:p w:rsidRPr="001A0D0E" w:rsidR="00D04532" w:rsidP="00C61C53" w:rsidRDefault="00D04532" w14:paraId="086A9148"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Blue Line North</w:t>
            </w:r>
          </w:p>
        </w:tc>
        <w:tc>
          <w:tcPr>
            <w:tcW w:w="1620" w:type="dxa"/>
            <w:tcBorders>
              <w:top w:val="single" w:color="auto" w:sz="4" w:space="0"/>
              <w:bottom w:val="single" w:color="auto" w:sz="4" w:space="0"/>
            </w:tcBorders>
            <w:noWrap/>
            <w:vAlign w:val="bottom"/>
            <w:hideMark/>
          </w:tcPr>
          <w:p w:rsidRPr="001A0D0E" w:rsidR="00D04532" w:rsidP="00C61C53" w:rsidRDefault="00D04532" w14:paraId="7B54210A"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 </w:t>
            </w:r>
          </w:p>
        </w:tc>
        <w:tc>
          <w:tcPr>
            <w:tcW w:w="1440" w:type="dxa"/>
            <w:tcBorders>
              <w:top w:val="single" w:color="auto" w:sz="4" w:space="0"/>
              <w:bottom w:val="single" w:color="auto" w:sz="4" w:space="0"/>
            </w:tcBorders>
            <w:noWrap/>
            <w:vAlign w:val="bottom"/>
            <w:hideMark/>
          </w:tcPr>
          <w:p w:rsidRPr="001A0D0E" w:rsidR="00D04532" w:rsidP="00C61C53" w:rsidRDefault="00D04532" w14:paraId="65846B13"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 </w:t>
            </w:r>
          </w:p>
        </w:tc>
        <w:tc>
          <w:tcPr>
            <w:tcW w:w="1890" w:type="dxa"/>
            <w:tcBorders>
              <w:top w:val="single" w:color="auto" w:sz="4" w:space="0"/>
              <w:bottom w:val="single" w:color="auto" w:sz="4" w:space="0"/>
              <w:right w:val="single" w:color="auto" w:sz="4" w:space="0"/>
            </w:tcBorders>
            <w:noWrap/>
            <w:vAlign w:val="bottom"/>
            <w:hideMark/>
          </w:tcPr>
          <w:p w:rsidRPr="001A0D0E" w:rsidR="00D04532" w:rsidP="00C61C53" w:rsidRDefault="00D04532" w14:paraId="240CAE37"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 </w:t>
            </w:r>
          </w:p>
        </w:tc>
      </w:tr>
      <w:tr w:rsidRPr="001A0D0E" w:rsidR="00D04532" w:rsidTr="00157572" w14:paraId="39FADE7F" w14:textId="77777777">
        <w:trPr>
          <w:trHeight w:val="324"/>
          <w:jc w:val="center"/>
        </w:trPr>
        <w:tc>
          <w:tcPr>
            <w:tcW w:w="2510" w:type="dxa"/>
            <w:tcBorders>
              <w:top w:val="single" w:color="auto" w:sz="4" w:space="0"/>
              <w:left w:val="single" w:color="auto" w:sz="8" w:space="0"/>
              <w:bottom w:val="single" w:color="auto" w:sz="8" w:space="0"/>
              <w:right w:val="single" w:color="auto" w:sz="4" w:space="0"/>
            </w:tcBorders>
            <w:noWrap/>
            <w:vAlign w:val="bottom"/>
            <w:hideMark/>
          </w:tcPr>
          <w:p w:rsidRPr="001A0D0E" w:rsidR="00D04532" w:rsidP="00C61C53" w:rsidRDefault="00D04532" w14:paraId="0E936F82"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Crossing Name</w:t>
            </w:r>
          </w:p>
        </w:tc>
        <w:tc>
          <w:tcPr>
            <w:tcW w:w="162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4929915D"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Direction</w:t>
            </w:r>
          </w:p>
        </w:tc>
        <w:tc>
          <w:tcPr>
            <w:tcW w:w="144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5ABA6D08"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DOT No.</w:t>
            </w:r>
          </w:p>
        </w:tc>
        <w:tc>
          <w:tcPr>
            <w:tcW w:w="189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3CF5BA5A"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CPUC No.</w:t>
            </w:r>
          </w:p>
        </w:tc>
      </w:tr>
      <w:tr w:rsidRPr="001A0D0E" w:rsidR="00D04532" w:rsidTr="00157572" w14:paraId="3E00D260" w14:textId="77777777">
        <w:trPr>
          <w:trHeight w:val="312"/>
          <w:jc w:val="center"/>
        </w:trPr>
        <w:tc>
          <w:tcPr>
            <w:tcW w:w="2510" w:type="dxa"/>
            <w:tcBorders>
              <w:top w:val="nil"/>
              <w:left w:val="single" w:color="auto" w:sz="8" w:space="0"/>
              <w:bottom w:val="single" w:color="auto" w:sz="4" w:space="0"/>
              <w:right w:val="single" w:color="auto" w:sz="4" w:space="0"/>
            </w:tcBorders>
            <w:noWrap/>
            <w:vAlign w:val="bottom"/>
            <w:hideMark/>
          </w:tcPr>
          <w:p w:rsidRPr="001A0D0E" w:rsidR="00D04532" w:rsidP="00C61C53" w:rsidRDefault="00D04532" w14:paraId="683672C5"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Ash Street</w:t>
            </w:r>
          </w:p>
        </w:tc>
        <w:tc>
          <w:tcPr>
            <w:tcW w:w="1620" w:type="dxa"/>
            <w:tcBorders>
              <w:top w:val="nil"/>
              <w:left w:val="nil"/>
              <w:bottom w:val="single" w:color="auto" w:sz="4" w:space="0"/>
              <w:right w:val="single" w:color="auto" w:sz="4" w:space="0"/>
            </w:tcBorders>
            <w:noWrap/>
            <w:vAlign w:val="bottom"/>
            <w:hideMark/>
          </w:tcPr>
          <w:p w:rsidRPr="001A0D0E" w:rsidR="00D04532" w:rsidP="00C61C53" w:rsidRDefault="00D04532" w14:paraId="0BDDD81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4" w:space="0"/>
              <w:right w:val="single" w:color="auto" w:sz="4" w:space="0"/>
            </w:tcBorders>
            <w:noWrap/>
            <w:vAlign w:val="bottom"/>
            <w:hideMark/>
          </w:tcPr>
          <w:p w:rsidRPr="001A0D0E" w:rsidR="00D04532" w:rsidP="00C61C53" w:rsidRDefault="00D04532" w14:paraId="58B7D31B"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026870B</w:t>
            </w:r>
          </w:p>
        </w:tc>
        <w:tc>
          <w:tcPr>
            <w:tcW w:w="1890" w:type="dxa"/>
            <w:tcBorders>
              <w:top w:val="nil"/>
              <w:left w:val="nil"/>
              <w:bottom w:val="single" w:color="auto" w:sz="4" w:space="0"/>
              <w:right w:val="single" w:color="auto" w:sz="4" w:space="0"/>
            </w:tcBorders>
            <w:noWrap/>
            <w:vAlign w:val="bottom"/>
            <w:hideMark/>
          </w:tcPr>
          <w:p w:rsidRPr="001A0D0E" w:rsidR="00D04532" w:rsidP="00C61C53" w:rsidRDefault="00D04532" w14:paraId="1F2A8A1A"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081MV-0.30</w:t>
            </w:r>
          </w:p>
        </w:tc>
      </w:tr>
      <w:tr w:rsidRPr="001A0D0E" w:rsidR="00D04532" w:rsidTr="00157572" w14:paraId="4AC0FF13"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409378ED"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Beech Street</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749303F2"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470B51AD"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026869G</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18492FF1"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081MV-0.36</w:t>
            </w:r>
          </w:p>
        </w:tc>
      </w:tr>
      <w:tr w:rsidRPr="001A0D0E" w:rsidR="00D04532" w:rsidTr="00157572" w14:paraId="155A8CB7"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hideMark/>
          </w:tcPr>
          <w:p w:rsidRPr="001A0D0E" w:rsidR="00D04532" w:rsidP="00C61C53" w:rsidRDefault="00D04532" w14:paraId="69066387"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Sassafras Street</w:t>
            </w:r>
          </w:p>
        </w:tc>
        <w:tc>
          <w:tcPr>
            <w:tcW w:w="1620" w:type="dxa"/>
            <w:tcBorders>
              <w:top w:val="nil"/>
              <w:left w:val="nil"/>
              <w:bottom w:val="single" w:color="auto" w:sz="4" w:space="0"/>
              <w:right w:val="single" w:color="auto" w:sz="4" w:space="0"/>
            </w:tcBorders>
            <w:shd w:val="clear" w:color="000000" w:fill="FFFFFF"/>
            <w:vAlign w:val="bottom"/>
            <w:hideMark/>
          </w:tcPr>
          <w:p w:rsidRPr="001A0D0E" w:rsidR="00D04532" w:rsidP="00C61C53" w:rsidRDefault="00D04532" w14:paraId="352513E6"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6A7940EF"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026859B</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48BCFD9F"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081MV-1.56</w:t>
            </w:r>
          </w:p>
        </w:tc>
      </w:tr>
      <w:tr w:rsidRPr="001A0D0E" w:rsidR="00D04532" w:rsidTr="00157572" w14:paraId="4AC3F9ED" w14:textId="77777777">
        <w:trPr>
          <w:trHeight w:val="312"/>
          <w:jc w:val="center"/>
        </w:trPr>
        <w:tc>
          <w:tcPr>
            <w:tcW w:w="2510" w:type="dxa"/>
            <w:tcBorders>
              <w:top w:val="nil"/>
              <w:left w:val="single" w:color="auto" w:sz="8" w:space="0"/>
              <w:bottom w:val="single" w:color="auto" w:sz="4" w:space="0"/>
              <w:right w:val="single" w:color="auto" w:sz="4" w:space="0"/>
            </w:tcBorders>
            <w:noWrap/>
            <w:vAlign w:val="bottom"/>
            <w:hideMark/>
          </w:tcPr>
          <w:p w:rsidRPr="001A0D0E" w:rsidR="00D04532" w:rsidP="00C61C53" w:rsidRDefault="00D04532" w14:paraId="4DD4F4B0"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Noell Street</w:t>
            </w:r>
          </w:p>
        </w:tc>
        <w:tc>
          <w:tcPr>
            <w:tcW w:w="1620" w:type="dxa"/>
            <w:tcBorders>
              <w:top w:val="nil"/>
              <w:left w:val="nil"/>
              <w:bottom w:val="single" w:color="auto" w:sz="4" w:space="0"/>
              <w:right w:val="single" w:color="auto" w:sz="4" w:space="0"/>
            </w:tcBorders>
            <w:noWrap/>
            <w:vAlign w:val="bottom"/>
            <w:hideMark/>
          </w:tcPr>
          <w:p w:rsidRPr="001A0D0E" w:rsidR="00D04532" w:rsidP="00C61C53" w:rsidRDefault="00D04532" w14:paraId="7DBBE43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noWrap/>
            <w:vAlign w:val="bottom"/>
            <w:hideMark/>
          </w:tcPr>
          <w:p w:rsidRPr="001A0D0E" w:rsidR="00D04532" w:rsidP="00C61C53" w:rsidRDefault="00D04532" w14:paraId="2C2F21D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026856F</w:t>
            </w:r>
          </w:p>
        </w:tc>
        <w:tc>
          <w:tcPr>
            <w:tcW w:w="1890" w:type="dxa"/>
            <w:tcBorders>
              <w:top w:val="nil"/>
              <w:left w:val="nil"/>
              <w:bottom w:val="single" w:color="auto" w:sz="4" w:space="0"/>
              <w:right w:val="single" w:color="auto" w:sz="4" w:space="0"/>
            </w:tcBorders>
            <w:noWrap/>
            <w:vAlign w:val="bottom"/>
            <w:hideMark/>
          </w:tcPr>
          <w:p w:rsidRPr="001A0D0E" w:rsidR="00D04532" w:rsidP="00C61C53" w:rsidRDefault="00D04532" w14:paraId="27322BB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081MV-2.26</w:t>
            </w:r>
          </w:p>
        </w:tc>
      </w:tr>
      <w:tr w:rsidRPr="001A0D0E" w:rsidR="00D04532" w:rsidTr="00157572" w14:paraId="66B55930" w14:textId="77777777">
        <w:trPr>
          <w:trHeight w:val="324"/>
          <w:jc w:val="center"/>
        </w:trPr>
        <w:tc>
          <w:tcPr>
            <w:tcW w:w="2510" w:type="dxa"/>
            <w:tcBorders>
              <w:top w:val="nil"/>
              <w:left w:val="nil"/>
              <w:bottom w:val="single" w:color="auto" w:sz="4" w:space="0"/>
              <w:right w:val="nil"/>
            </w:tcBorders>
            <w:noWrap/>
            <w:vAlign w:val="bottom"/>
            <w:hideMark/>
          </w:tcPr>
          <w:p w:rsidRPr="001A0D0E" w:rsidR="00D04532" w:rsidP="00C61C53" w:rsidRDefault="00D04532" w14:paraId="5B57C8E5" w14:textId="77777777">
            <w:pPr>
              <w:spacing w:before="0" w:line="240" w:lineRule="auto"/>
              <w:rPr>
                <w:rFonts w:ascii="Aptos Narrow" w:hAnsi="Aptos Narrow" w:eastAsia="Times New Roman" w:cs="Times New Roman"/>
                <w:color w:val="000000"/>
                <w:kern w:val="0"/>
                <w14:ligatures w14:val="none"/>
              </w:rPr>
            </w:pPr>
          </w:p>
        </w:tc>
        <w:tc>
          <w:tcPr>
            <w:tcW w:w="1620" w:type="dxa"/>
            <w:tcBorders>
              <w:top w:val="nil"/>
              <w:left w:val="nil"/>
              <w:bottom w:val="single" w:color="auto" w:sz="4" w:space="0"/>
              <w:right w:val="nil"/>
            </w:tcBorders>
            <w:noWrap/>
            <w:vAlign w:val="bottom"/>
            <w:hideMark/>
          </w:tcPr>
          <w:p w:rsidRPr="001A0D0E" w:rsidR="00D04532" w:rsidP="00C61C53" w:rsidRDefault="00D04532" w14:paraId="51C2E430" w14:textId="77777777">
            <w:pPr>
              <w:spacing w:before="0" w:line="240" w:lineRule="auto"/>
              <w:rPr>
                <w:rFonts w:ascii="Times New Roman" w:hAnsi="Times New Roman" w:eastAsia="Times New Roman" w:cs="Times New Roman"/>
                <w:kern w:val="0"/>
                <w:sz w:val="20"/>
                <w:szCs w:val="20"/>
                <w14:ligatures w14:val="none"/>
              </w:rPr>
            </w:pPr>
          </w:p>
        </w:tc>
        <w:tc>
          <w:tcPr>
            <w:tcW w:w="1440" w:type="dxa"/>
            <w:tcBorders>
              <w:top w:val="nil"/>
              <w:left w:val="nil"/>
              <w:bottom w:val="single" w:color="auto" w:sz="4" w:space="0"/>
              <w:right w:val="nil"/>
            </w:tcBorders>
            <w:noWrap/>
            <w:vAlign w:val="bottom"/>
            <w:hideMark/>
          </w:tcPr>
          <w:p w:rsidRPr="001A0D0E" w:rsidR="00D04532" w:rsidP="00C61C53" w:rsidRDefault="00D04532" w14:paraId="3CB8EDF7" w14:textId="77777777">
            <w:pPr>
              <w:spacing w:before="0" w:line="240" w:lineRule="auto"/>
              <w:rPr>
                <w:rFonts w:ascii="Times New Roman" w:hAnsi="Times New Roman" w:eastAsia="Times New Roman" w:cs="Times New Roman"/>
                <w:kern w:val="0"/>
                <w:sz w:val="20"/>
                <w:szCs w:val="20"/>
                <w14:ligatures w14:val="none"/>
              </w:rPr>
            </w:pPr>
          </w:p>
        </w:tc>
        <w:tc>
          <w:tcPr>
            <w:tcW w:w="1890" w:type="dxa"/>
            <w:tcBorders>
              <w:top w:val="nil"/>
              <w:left w:val="nil"/>
              <w:bottom w:val="single" w:color="auto" w:sz="4" w:space="0"/>
              <w:right w:val="nil"/>
            </w:tcBorders>
            <w:noWrap/>
            <w:vAlign w:val="bottom"/>
            <w:hideMark/>
          </w:tcPr>
          <w:p w:rsidRPr="001A0D0E" w:rsidR="00D04532" w:rsidP="00C61C53" w:rsidRDefault="00D04532" w14:paraId="1D8DDF1F" w14:textId="77777777">
            <w:pPr>
              <w:spacing w:before="0" w:line="240" w:lineRule="auto"/>
              <w:rPr>
                <w:rFonts w:ascii="Times New Roman" w:hAnsi="Times New Roman" w:eastAsia="Times New Roman" w:cs="Times New Roman"/>
                <w:kern w:val="0"/>
                <w:sz w:val="20"/>
                <w:szCs w:val="20"/>
                <w14:ligatures w14:val="none"/>
              </w:rPr>
            </w:pPr>
          </w:p>
        </w:tc>
      </w:tr>
      <w:tr w:rsidRPr="001A0D0E" w:rsidR="00D04532" w:rsidTr="00157572" w14:paraId="5C81CC28" w14:textId="77777777">
        <w:trPr>
          <w:trHeight w:val="324"/>
          <w:jc w:val="center"/>
        </w:trPr>
        <w:tc>
          <w:tcPr>
            <w:tcW w:w="2510" w:type="dxa"/>
            <w:tcBorders>
              <w:top w:val="single" w:color="auto" w:sz="4" w:space="0"/>
              <w:left w:val="single" w:color="auto" w:sz="4" w:space="0"/>
              <w:bottom w:val="single" w:color="auto" w:sz="4" w:space="0"/>
            </w:tcBorders>
            <w:noWrap/>
            <w:vAlign w:val="bottom"/>
            <w:hideMark/>
          </w:tcPr>
          <w:p w:rsidRPr="001A0D0E" w:rsidR="00D04532" w:rsidP="00C61C53" w:rsidRDefault="00D04532" w14:paraId="562B77BA"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Green Line</w:t>
            </w:r>
          </w:p>
        </w:tc>
        <w:tc>
          <w:tcPr>
            <w:tcW w:w="1620" w:type="dxa"/>
            <w:tcBorders>
              <w:top w:val="single" w:color="auto" w:sz="4" w:space="0"/>
              <w:bottom w:val="single" w:color="auto" w:sz="4" w:space="0"/>
            </w:tcBorders>
            <w:noWrap/>
            <w:vAlign w:val="bottom"/>
            <w:hideMark/>
          </w:tcPr>
          <w:p w:rsidRPr="001A0D0E" w:rsidR="00D04532" w:rsidP="00C61C53" w:rsidRDefault="00D04532" w14:paraId="5C9D0CF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440" w:type="dxa"/>
            <w:tcBorders>
              <w:top w:val="single" w:color="auto" w:sz="4" w:space="0"/>
              <w:bottom w:val="single" w:color="auto" w:sz="4" w:space="0"/>
            </w:tcBorders>
            <w:noWrap/>
            <w:vAlign w:val="bottom"/>
            <w:hideMark/>
          </w:tcPr>
          <w:p w:rsidRPr="001A0D0E" w:rsidR="00D04532" w:rsidP="00C61C53" w:rsidRDefault="00D04532" w14:paraId="10080767"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890" w:type="dxa"/>
            <w:tcBorders>
              <w:top w:val="single" w:color="auto" w:sz="4" w:space="0"/>
              <w:bottom w:val="single" w:color="auto" w:sz="4" w:space="0"/>
              <w:right w:val="single" w:color="auto" w:sz="4" w:space="0"/>
            </w:tcBorders>
            <w:noWrap/>
            <w:vAlign w:val="bottom"/>
            <w:hideMark/>
          </w:tcPr>
          <w:p w:rsidRPr="001A0D0E" w:rsidR="00D04532" w:rsidP="00C61C53" w:rsidRDefault="00D04532" w14:paraId="1F10A475"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r>
      <w:tr w:rsidRPr="001A0D0E" w:rsidR="00D04532" w:rsidTr="00157572" w14:paraId="5E0D53ED" w14:textId="77777777">
        <w:trPr>
          <w:trHeight w:val="324"/>
          <w:jc w:val="center"/>
        </w:trPr>
        <w:tc>
          <w:tcPr>
            <w:tcW w:w="2510" w:type="dxa"/>
            <w:tcBorders>
              <w:top w:val="single" w:color="auto" w:sz="4" w:space="0"/>
              <w:left w:val="single" w:color="auto" w:sz="8" w:space="0"/>
              <w:bottom w:val="single" w:color="auto" w:sz="8" w:space="0"/>
              <w:right w:val="single" w:color="auto" w:sz="4" w:space="0"/>
            </w:tcBorders>
            <w:noWrap/>
            <w:vAlign w:val="bottom"/>
            <w:hideMark/>
          </w:tcPr>
          <w:p w:rsidRPr="001A0D0E" w:rsidR="00D04532" w:rsidP="00C61C53" w:rsidRDefault="00D04532" w14:paraId="7A820873"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Crossing Name</w:t>
            </w:r>
          </w:p>
        </w:tc>
        <w:tc>
          <w:tcPr>
            <w:tcW w:w="162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698B0F86"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Direction</w:t>
            </w:r>
          </w:p>
        </w:tc>
        <w:tc>
          <w:tcPr>
            <w:tcW w:w="144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16DF6950"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DOT No.</w:t>
            </w:r>
          </w:p>
        </w:tc>
        <w:tc>
          <w:tcPr>
            <w:tcW w:w="189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13D7EF8B"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CPUC No.</w:t>
            </w:r>
          </w:p>
        </w:tc>
      </w:tr>
      <w:tr w:rsidRPr="001A0D0E" w:rsidR="00D04532" w:rsidTr="00157572" w14:paraId="37397852" w14:textId="77777777">
        <w:trPr>
          <w:trHeight w:val="312"/>
          <w:jc w:val="center"/>
        </w:trPr>
        <w:tc>
          <w:tcPr>
            <w:tcW w:w="2510" w:type="dxa"/>
            <w:tcBorders>
              <w:top w:val="nil"/>
              <w:left w:val="single" w:color="auto" w:sz="8" w:space="0"/>
              <w:bottom w:val="single" w:color="auto" w:sz="4" w:space="0"/>
              <w:right w:val="single" w:color="auto" w:sz="4" w:space="0"/>
            </w:tcBorders>
            <w:noWrap/>
            <w:vAlign w:val="bottom"/>
            <w:hideMark/>
          </w:tcPr>
          <w:p w:rsidRPr="001A0D0E" w:rsidR="00D04532" w:rsidP="00C61C53" w:rsidRDefault="00D04532" w14:paraId="4059A04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Park Blvd</w:t>
            </w:r>
          </w:p>
        </w:tc>
        <w:tc>
          <w:tcPr>
            <w:tcW w:w="1620" w:type="dxa"/>
            <w:tcBorders>
              <w:top w:val="nil"/>
              <w:left w:val="nil"/>
              <w:bottom w:val="single" w:color="auto" w:sz="4" w:space="0"/>
              <w:right w:val="single" w:color="auto" w:sz="4" w:space="0"/>
            </w:tcBorders>
            <w:shd w:val="clear" w:color="000000" w:fill="FFFFFF"/>
            <w:vAlign w:val="bottom"/>
            <w:hideMark/>
          </w:tcPr>
          <w:p w:rsidRPr="001A0D0E" w:rsidR="00D04532" w:rsidP="00C61C53" w:rsidRDefault="00D04532" w14:paraId="4966EDA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4" w:space="0"/>
              <w:right w:val="single" w:color="auto" w:sz="4" w:space="0"/>
            </w:tcBorders>
            <w:noWrap/>
            <w:vAlign w:val="bottom"/>
            <w:hideMark/>
          </w:tcPr>
          <w:p w:rsidRPr="001A0D0E" w:rsidR="00D04532" w:rsidP="00C61C53" w:rsidRDefault="00D04532" w14:paraId="0CB8176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967242T</w:t>
            </w:r>
          </w:p>
        </w:tc>
        <w:tc>
          <w:tcPr>
            <w:tcW w:w="1890" w:type="dxa"/>
            <w:tcBorders>
              <w:top w:val="nil"/>
              <w:left w:val="nil"/>
              <w:bottom w:val="single" w:color="auto" w:sz="4" w:space="0"/>
              <w:right w:val="single" w:color="auto" w:sz="4" w:space="0"/>
            </w:tcBorders>
            <w:noWrap/>
            <w:vAlign w:val="bottom"/>
            <w:hideMark/>
          </w:tcPr>
          <w:p w:rsidRPr="001A0D0E" w:rsidR="00D04532" w:rsidP="00C61C53" w:rsidRDefault="00D04532" w14:paraId="0D66AE4D"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002-268.79</w:t>
            </w:r>
          </w:p>
        </w:tc>
      </w:tr>
      <w:tr w:rsidRPr="001A0D0E" w:rsidR="00D04532" w:rsidTr="00157572" w14:paraId="3B782742"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32C9AC0B"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Fenton Parkway</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7DD9FC0E"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2EA7B207" w14:textId="77777777">
            <w:pPr>
              <w:spacing w:before="0" w:line="240" w:lineRule="auto"/>
              <w:rPr>
                <w:rFonts w:ascii="Aptos Narrow" w:hAnsi="Aptos Narrow" w:eastAsia="Times New Roman" w:cs="Times New Roman"/>
                <w:color w:val="000000"/>
                <w:kern w:val="0"/>
                <w14:ligatures w14:val="none"/>
              </w:rPr>
            </w:pPr>
            <w:r>
              <w:rPr>
                <w:rFonts w:ascii="Aptos Narrow" w:hAnsi="Aptos Narrow" w:eastAsia="Times New Roman" w:cs="Times New Roman"/>
                <w:color w:val="000000"/>
                <w:kern w:val="0"/>
                <w14:ligatures w14:val="none"/>
              </w:rPr>
              <w:t>979603E</w:t>
            </w:r>
          </w:p>
        </w:tc>
        <w:tc>
          <w:tcPr>
            <w:tcW w:w="1890" w:type="dxa"/>
            <w:tcBorders>
              <w:top w:val="nil"/>
              <w:left w:val="nil"/>
              <w:bottom w:val="single" w:color="auto" w:sz="4" w:space="0"/>
              <w:right w:val="single" w:color="auto" w:sz="4" w:space="0"/>
            </w:tcBorders>
            <w:shd w:val="clear" w:color="000000" w:fill="FFFFFF"/>
            <w:noWrap/>
            <w:vAlign w:val="bottom"/>
            <w:hideMark/>
          </w:tcPr>
          <w:p w:rsidRPr="00114103" w:rsidR="00D04532" w:rsidP="00C61C53" w:rsidRDefault="00D04532" w14:paraId="726583A4" w14:textId="77777777">
            <w:pPr>
              <w:spacing w:before="0" w:line="240" w:lineRule="auto"/>
              <w:rPr>
                <w:rFonts w:ascii="Aptos Narrow" w:hAnsi="Aptos Narrow" w:eastAsia="Times New Roman" w:cs="Times New Roman"/>
                <w:color w:val="000000"/>
                <w:kern w:val="0"/>
                <w14:ligatures w14:val="none"/>
              </w:rPr>
            </w:pPr>
            <w:r w:rsidRPr="00114103">
              <w:rPr>
                <w:rFonts w:ascii="Aptos Narrow" w:hAnsi="Aptos Narrow" w:eastAsia="Times New Roman" w:cs="Times New Roman"/>
                <w:color w:val="000000"/>
                <w:kern w:val="0"/>
                <w14:ligatures w14:val="none"/>
              </w:rPr>
              <w:t>081MV-8.69</w:t>
            </w:r>
          </w:p>
        </w:tc>
      </w:tr>
      <w:tr w:rsidRPr="001A0D0E" w:rsidR="00D04532" w:rsidTr="00157572" w14:paraId="3C30278F" w14:textId="77777777">
        <w:trPr>
          <w:trHeight w:val="324"/>
          <w:jc w:val="center"/>
        </w:trPr>
        <w:tc>
          <w:tcPr>
            <w:tcW w:w="2510"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0B86F26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Alvarado Road</w:t>
            </w:r>
          </w:p>
        </w:tc>
        <w:tc>
          <w:tcPr>
            <w:tcW w:w="162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530E5B0B"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68C797F9" w14:textId="77777777">
            <w:pPr>
              <w:spacing w:before="0" w:line="240" w:lineRule="auto"/>
              <w:rPr>
                <w:rFonts w:ascii="Aptos Narrow" w:hAnsi="Aptos Narrow" w:eastAsia="Times New Roman" w:cs="Times New Roman"/>
                <w:color w:val="000000"/>
                <w:kern w:val="0"/>
                <w14:ligatures w14:val="none"/>
              </w:rPr>
            </w:pPr>
            <w:r>
              <w:rPr>
                <w:rFonts w:ascii="Aptos Narrow" w:hAnsi="Aptos Narrow" w:eastAsia="Times New Roman" w:cs="Times New Roman"/>
                <w:color w:val="000000"/>
                <w:kern w:val="0"/>
                <w14:ligatures w14:val="none"/>
              </w:rPr>
              <w:t>975767G</w:t>
            </w:r>
          </w:p>
        </w:tc>
        <w:tc>
          <w:tcPr>
            <w:tcW w:w="1890" w:type="dxa"/>
            <w:tcBorders>
              <w:top w:val="single" w:color="auto" w:sz="4" w:space="0"/>
              <w:left w:val="nil"/>
              <w:bottom w:val="single" w:color="auto" w:sz="4" w:space="0"/>
              <w:right w:val="single" w:color="auto" w:sz="4" w:space="0"/>
            </w:tcBorders>
            <w:shd w:val="clear" w:color="000000" w:fill="FFFFFF"/>
            <w:noWrap/>
            <w:vAlign w:val="bottom"/>
            <w:hideMark/>
          </w:tcPr>
          <w:p w:rsidRPr="00114103" w:rsidR="00D04532" w:rsidP="00C61C53" w:rsidRDefault="00D04532" w14:paraId="4C1E29A3" w14:textId="77777777">
            <w:pPr>
              <w:spacing w:before="0" w:line="240" w:lineRule="auto"/>
              <w:rPr>
                <w:rFonts w:ascii="Aptos Narrow" w:hAnsi="Aptos Narrow" w:eastAsia="Times New Roman" w:cs="Times New Roman"/>
                <w:color w:val="000000"/>
                <w:kern w:val="0"/>
                <w14:ligatures w14:val="none"/>
              </w:rPr>
            </w:pPr>
            <w:r w:rsidRPr="00114103">
              <w:rPr>
                <w:rFonts w:ascii="Aptos Narrow" w:hAnsi="Aptos Narrow" w:eastAsia="Times New Roman" w:cs="Times New Roman"/>
                <w:color w:val="000000"/>
                <w:kern w:val="0"/>
                <w14:ligatures w14:val="none"/>
              </w:rPr>
              <w:t>081MV-14.20</w:t>
            </w:r>
          </w:p>
        </w:tc>
      </w:tr>
      <w:tr w:rsidRPr="001A0D0E" w:rsidR="00D04532" w:rsidTr="00157572" w14:paraId="7DDB5793" w14:textId="77777777">
        <w:trPr>
          <w:trHeight w:val="324"/>
          <w:jc w:val="center"/>
        </w:trPr>
        <w:tc>
          <w:tcPr>
            <w:tcW w:w="2510" w:type="dxa"/>
            <w:tcBorders>
              <w:top w:val="single" w:color="auto" w:sz="4" w:space="0"/>
              <w:left w:val="nil"/>
              <w:bottom w:val="single" w:color="auto" w:sz="4" w:space="0"/>
              <w:right w:val="nil"/>
            </w:tcBorders>
            <w:noWrap/>
            <w:vAlign w:val="bottom"/>
            <w:hideMark/>
          </w:tcPr>
          <w:p w:rsidRPr="001A0D0E" w:rsidR="00D04532" w:rsidP="00C61C53" w:rsidRDefault="00D04532" w14:paraId="1E6A6E85" w14:textId="77777777">
            <w:pPr>
              <w:spacing w:before="0" w:line="240" w:lineRule="auto"/>
              <w:rPr>
                <w:rFonts w:ascii="Aptos Narrow" w:hAnsi="Aptos Narrow" w:eastAsia="Times New Roman" w:cs="Times New Roman"/>
                <w:color w:val="000000"/>
                <w:kern w:val="0"/>
                <w14:ligatures w14:val="none"/>
              </w:rPr>
            </w:pPr>
          </w:p>
        </w:tc>
        <w:tc>
          <w:tcPr>
            <w:tcW w:w="1620" w:type="dxa"/>
            <w:tcBorders>
              <w:top w:val="single" w:color="auto" w:sz="4" w:space="0"/>
              <w:left w:val="nil"/>
              <w:bottom w:val="single" w:color="auto" w:sz="4" w:space="0"/>
              <w:right w:val="nil"/>
            </w:tcBorders>
            <w:noWrap/>
            <w:vAlign w:val="bottom"/>
            <w:hideMark/>
          </w:tcPr>
          <w:p w:rsidRPr="001A0D0E" w:rsidR="00D04532" w:rsidP="00C61C53" w:rsidRDefault="00D04532" w14:paraId="741EA86C" w14:textId="77777777">
            <w:pPr>
              <w:spacing w:before="0" w:line="240" w:lineRule="auto"/>
              <w:rPr>
                <w:rFonts w:ascii="Times New Roman" w:hAnsi="Times New Roman" w:eastAsia="Times New Roman" w:cs="Times New Roman"/>
                <w:kern w:val="0"/>
                <w:sz w:val="20"/>
                <w:szCs w:val="20"/>
                <w14:ligatures w14:val="none"/>
              </w:rPr>
            </w:pPr>
          </w:p>
        </w:tc>
        <w:tc>
          <w:tcPr>
            <w:tcW w:w="1440" w:type="dxa"/>
            <w:tcBorders>
              <w:top w:val="single" w:color="auto" w:sz="4" w:space="0"/>
              <w:left w:val="nil"/>
              <w:bottom w:val="single" w:color="auto" w:sz="4" w:space="0"/>
              <w:right w:val="nil"/>
            </w:tcBorders>
            <w:noWrap/>
            <w:vAlign w:val="bottom"/>
            <w:hideMark/>
          </w:tcPr>
          <w:p w:rsidRPr="001A0D0E" w:rsidR="00D04532" w:rsidP="00C61C53" w:rsidRDefault="00D04532" w14:paraId="57303BB5" w14:textId="77777777">
            <w:pPr>
              <w:spacing w:before="0" w:line="240" w:lineRule="auto"/>
              <w:rPr>
                <w:rFonts w:ascii="Times New Roman" w:hAnsi="Times New Roman" w:eastAsia="Times New Roman" w:cs="Times New Roman"/>
                <w:kern w:val="0"/>
                <w:sz w:val="20"/>
                <w:szCs w:val="20"/>
                <w14:ligatures w14:val="none"/>
              </w:rPr>
            </w:pPr>
          </w:p>
        </w:tc>
        <w:tc>
          <w:tcPr>
            <w:tcW w:w="1890" w:type="dxa"/>
            <w:tcBorders>
              <w:top w:val="single" w:color="auto" w:sz="4" w:space="0"/>
              <w:left w:val="nil"/>
              <w:bottom w:val="single" w:color="auto" w:sz="4" w:space="0"/>
              <w:right w:val="nil"/>
            </w:tcBorders>
            <w:noWrap/>
            <w:vAlign w:val="bottom"/>
            <w:hideMark/>
          </w:tcPr>
          <w:p w:rsidRPr="001A0D0E" w:rsidR="00D04532" w:rsidP="00C61C53" w:rsidRDefault="00D04532" w14:paraId="706F6DFC" w14:textId="77777777">
            <w:pPr>
              <w:spacing w:before="0" w:line="240" w:lineRule="auto"/>
              <w:rPr>
                <w:rFonts w:ascii="Times New Roman" w:hAnsi="Times New Roman" w:eastAsia="Times New Roman" w:cs="Times New Roman"/>
                <w:kern w:val="0"/>
                <w:sz w:val="20"/>
                <w:szCs w:val="20"/>
                <w14:ligatures w14:val="none"/>
              </w:rPr>
            </w:pPr>
          </w:p>
        </w:tc>
      </w:tr>
      <w:tr w:rsidRPr="001A0D0E" w:rsidR="00D04532" w:rsidTr="00157572" w14:paraId="510BC926" w14:textId="77777777">
        <w:trPr>
          <w:trHeight w:val="324"/>
          <w:jc w:val="center"/>
        </w:trPr>
        <w:tc>
          <w:tcPr>
            <w:tcW w:w="2510" w:type="dxa"/>
            <w:tcBorders>
              <w:top w:val="single" w:color="auto" w:sz="4" w:space="0"/>
              <w:left w:val="single" w:color="auto" w:sz="4" w:space="0"/>
              <w:bottom w:val="single" w:color="auto" w:sz="4" w:space="0"/>
              <w:right w:val="nil"/>
            </w:tcBorders>
            <w:noWrap/>
            <w:vAlign w:val="bottom"/>
            <w:hideMark/>
          </w:tcPr>
          <w:p w:rsidRPr="001A0D0E" w:rsidR="00D04532" w:rsidP="00C61C53" w:rsidRDefault="00D04532" w14:paraId="62BBAC7E"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Orange Line</w:t>
            </w:r>
          </w:p>
        </w:tc>
        <w:tc>
          <w:tcPr>
            <w:tcW w:w="1620" w:type="dxa"/>
            <w:tcBorders>
              <w:top w:val="single" w:color="auto" w:sz="4" w:space="0"/>
              <w:left w:val="nil"/>
              <w:bottom w:val="single" w:color="auto" w:sz="4" w:space="0"/>
              <w:right w:val="nil"/>
            </w:tcBorders>
            <w:noWrap/>
            <w:vAlign w:val="bottom"/>
            <w:hideMark/>
          </w:tcPr>
          <w:p w:rsidRPr="001A0D0E" w:rsidR="00D04532" w:rsidP="00C61C53" w:rsidRDefault="00D04532" w14:paraId="54D554F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440" w:type="dxa"/>
            <w:tcBorders>
              <w:top w:val="single" w:color="auto" w:sz="4" w:space="0"/>
              <w:left w:val="nil"/>
              <w:bottom w:val="single" w:color="auto" w:sz="4" w:space="0"/>
              <w:right w:val="nil"/>
            </w:tcBorders>
            <w:noWrap/>
            <w:vAlign w:val="bottom"/>
            <w:hideMark/>
          </w:tcPr>
          <w:p w:rsidRPr="001A0D0E" w:rsidR="00D04532" w:rsidP="00C61C53" w:rsidRDefault="00D04532" w14:paraId="172A2104"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890" w:type="dxa"/>
            <w:tcBorders>
              <w:top w:val="single" w:color="auto" w:sz="4" w:space="0"/>
              <w:left w:val="nil"/>
              <w:bottom w:val="single" w:color="auto" w:sz="4" w:space="0"/>
              <w:right w:val="single" w:color="auto" w:sz="4" w:space="0"/>
            </w:tcBorders>
            <w:noWrap/>
            <w:vAlign w:val="bottom"/>
            <w:hideMark/>
          </w:tcPr>
          <w:p w:rsidRPr="001A0D0E" w:rsidR="00D04532" w:rsidP="00C61C53" w:rsidRDefault="00D04532" w14:paraId="4641454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r>
      <w:tr w:rsidRPr="001A0D0E" w:rsidR="00D04532" w:rsidTr="00157572" w14:paraId="55E42DEA" w14:textId="77777777">
        <w:trPr>
          <w:trHeight w:val="324"/>
          <w:jc w:val="center"/>
        </w:trPr>
        <w:tc>
          <w:tcPr>
            <w:tcW w:w="2510" w:type="dxa"/>
            <w:tcBorders>
              <w:top w:val="single" w:color="auto" w:sz="4" w:space="0"/>
              <w:left w:val="single" w:color="auto" w:sz="8" w:space="0"/>
              <w:bottom w:val="single" w:color="auto" w:sz="4" w:space="0"/>
              <w:right w:val="single" w:color="auto" w:sz="4" w:space="0"/>
            </w:tcBorders>
            <w:noWrap/>
            <w:vAlign w:val="bottom"/>
            <w:hideMark/>
          </w:tcPr>
          <w:p w:rsidRPr="001A0D0E" w:rsidR="00D04532" w:rsidP="00C61C53" w:rsidRDefault="00D04532" w14:paraId="4C30A985"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Crossing Name</w:t>
            </w:r>
          </w:p>
        </w:tc>
        <w:tc>
          <w:tcPr>
            <w:tcW w:w="1620" w:type="dxa"/>
            <w:tcBorders>
              <w:top w:val="single" w:color="auto" w:sz="4" w:space="0"/>
              <w:left w:val="nil"/>
              <w:bottom w:val="single" w:color="auto" w:sz="4" w:space="0"/>
              <w:right w:val="single" w:color="auto" w:sz="4" w:space="0"/>
            </w:tcBorders>
            <w:noWrap/>
            <w:vAlign w:val="bottom"/>
            <w:hideMark/>
          </w:tcPr>
          <w:p w:rsidRPr="001A0D0E" w:rsidR="00D04532" w:rsidP="00C61C53" w:rsidRDefault="00D04532" w14:paraId="01E430AE"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Direction</w:t>
            </w:r>
          </w:p>
        </w:tc>
        <w:tc>
          <w:tcPr>
            <w:tcW w:w="1440" w:type="dxa"/>
            <w:tcBorders>
              <w:top w:val="single" w:color="auto" w:sz="4" w:space="0"/>
              <w:left w:val="nil"/>
              <w:bottom w:val="single" w:color="auto" w:sz="4" w:space="0"/>
              <w:right w:val="single" w:color="auto" w:sz="4" w:space="0"/>
            </w:tcBorders>
            <w:noWrap/>
            <w:vAlign w:val="bottom"/>
            <w:hideMark/>
          </w:tcPr>
          <w:p w:rsidRPr="001A0D0E" w:rsidR="00D04532" w:rsidP="00C61C53" w:rsidRDefault="00D04532" w14:paraId="2A2C4320"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DOT No.</w:t>
            </w:r>
          </w:p>
        </w:tc>
        <w:tc>
          <w:tcPr>
            <w:tcW w:w="1890" w:type="dxa"/>
            <w:tcBorders>
              <w:top w:val="single" w:color="auto" w:sz="4" w:space="0"/>
              <w:left w:val="nil"/>
              <w:bottom w:val="single" w:color="auto" w:sz="4" w:space="0"/>
              <w:right w:val="single" w:color="auto" w:sz="4" w:space="0"/>
            </w:tcBorders>
            <w:noWrap/>
            <w:vAlign w:val="bottom"/>
            <w:hideMark/>
          </w:tcPr>
          <w:p w:rsidRPr="001A0D0E" w:rsidR="00D04532" w:rsidP="00C61C53" w:rsidRDefault="00D04532" w14:paraId="7F17FA24"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CPUC No.</w:t>
            </w:r>
          </w:p>
        </w:tc>
      </w:tr>
      <w:tr w:rsidRPr="001A0D0E" w:rsidR="00D04532" w:rsidTr="00157572" w14:paraId="087F0619" w14:textId="77777777">
        <w:trPr>
          <w:trHeight w:val="312"/>
          <w:jc w:val="center"/>
        </w:trPr>
        <w:tc>
          <w:tcPr>
            <w:tcW w:w="251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A0D0E" w:rsidR="00D04532" w:rsidP="00C61C53" w:rsidRDefault="00D04532" w14:paraId="2DC24725"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xml:space="preserve">60th Street </w:t>
            </w:r>
          </w:p>
        </w:tc>
        <w:tc>
          <w:tcPr>
            <w:tcW w:w="162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113027D1"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7F743A70"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661906F</w:t>
            </w:r>
          </w:p>
        </w:tc>
        <w:tc>
          <w:tcPr>
            <w:tcW w:w="189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28F2DFC3"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036D-6.70</w:t>
            </w:r>
          </w:p>
        </w:tc>
      </w:tr>
      <w:tr w:rsidRPr="001A0D0E" w:rsidR="00D04532" w:rsidTr="00157572" w14:paraId="261C728E" w14:textId="77777777">
        <w:trPr>
          <w:trHeight w:val="312"/>
          <w:jc w:val="center"/>
        </w:trPr>
        <w:tc>
          <w:tcPr>
            <w:tcW w:w="251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A0D0E" w:rsidR="00D04532" w:rsidP="00C61C53" w:rsidRDefault="00D04532" w14:paraId="0C19A0C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65th Street</w:t>
            </w:r>
          </w:p>
        </w:tc>
        <w:tc>
          <w:tcPr>
            <w:tcW w:w="162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4E39FF3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22016DD3"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661908U</w:t>
            </w:r>
          </w:p>
        </w:tc>
        <w:tc>
          <w:tcPr>
            <w:tcW w:w="189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2BDF0701"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036D-7.20</w:t>
            </w:r>
          </w:p>
        </w:tc>
      </w:tr>
      <w:tr w:rsidRPr="001A0D0E" w:rsidR="00D04532" w:rsidTr="00157572" w14:paraId="61F1E7CC" w14:textId="77777777">
        <w:trPr>
          <w:trHeight w:val="312"/>
          <w:jc w:val="center"/>
        </w:trPr>
        <w:tc>
          <w:tcPr>
            <w:tcW w:w="251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A0D0E" w:rsidR="00D04532" w:rsidP="00C61C53" w:rsidRDefault="00D04532" w14:paraId="2C63661D"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66th Street</w:t>
            </w:r>
            <w:r>
              <w:rPr>
                <w:rFonts w:ascii="Aptos Narrow" w:hAnsi="Aptos Narrow" w:eastAsia="Times New Roman" w:cs="Times New Roman"/>
                <w:color w:val="000000"/>
                <w:kern w:val="0"/>
                <w14:ligatures w14:val="none"/>
              </w:rPr>
              <w:t xml:space="preserve"> Ped</w:t>
            </w:r>
          </w:p>
        </w:tc>
        <w:tc>
          <w:tcPr>
            <w:tcW w:w="162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7C5126A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504580E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661909B</w:t>
            </w:r>
          </w:p>
        </w:tc>
        <w:tc>
          <w:tcPr>
            <w:tcW w:w="1890" w:type="dxa"/>
            <w:tcBorders>
              <w:top w:val="single" w:color="auto" w:sz="4" w:space="0"/>
              <w:left w:val="nil"/>
              <w:bottom w:val="single" w:color="auto" w:sz="4" w:space="0"/>
              <w:right w:val="single" w:color="auto" w:sz="4" w:space="0"/>
            </w:tcBorders>
            <w:shd w:val="clear" w:color="000000" w:fill="FFFFFF"/>
            <w:noWrap/>
            <w:vAlign w:val="bottom"/>
            <w:hideMark/>
          </w:tcPr>
          <w:p w:rsidRPr="001A0D0E" w:rsidR="00D04532" w:rsidP="00C61C53" w:rsidRDefault="00D04532" w14:paraId="156F17D4"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036D-7.40</w:t>
            </w:r>
            <w:r>
              <w:rPr>
                <w:rFonts w:ascii="Aptos Narrow" w:hAnsi="Aptos Narrow" w:eastAsia="Times New Roman" w:cs="Times New Roman"/>
                <w:color w:val="000000"/>
                <w:kern w:val="0"/>
                <w14:ligatures w14:val="none"/>
              </w:rPr>
              <w:t>-D</w:t>
            </w:r>
          </w:p>
        </w:tc>
      </w:tr>
      <w:tr w:rsidRPr="001A0D0E" w:rsidR="00D04532" w:rsidTr="00157572" w14:paraId="03721C4D"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18565767"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Central Ave</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4363B92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63C3B402"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661915E</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65DDA790"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036D-9.90</w:t>
            </w:r>
          </w:p>
        </w:tc>
      </w:tr>
      <w:tr w:rsidRPr="001A0D0E" w:rsidR="00D04532" w:rsidTr="00157572" w14:paraId="38BEDC2E"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4BB47968"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xml:space="preserve">I-8 Off Ramp </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65A276E7"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24B859E1" w14:textId="77777777">
            <w:pPr>
              <w:spacing w:before="0" w:line="240" w:lineRule="auto"/>
              <w:rPr>
                <w:rFonts w:ascii="Aptos Narrow" w:hAnsi="Aptos Narrow" w:eastAsia="Times New Roman" w:cs="Times New Roman"/>
                <w:color w:val="000000"/>
                <w:kern w:val="0"/>
                <w14:ligatures w14:val="none"/>
              </w:rPr>
            </w:pPr>
            <w:r>
              <w:rPr>
                <w:rFonts w:ascii="Aptos Narrow" w:hAnsi="Aptos Narrow" w:eastAsia="Times New Roman" w:cs="Times New Roman"/>
                <w:color w:val="000000"/>
                <w:kern w:val="0"/>
                <w14:ligatures w14:val="none"/>
              </w:rPr>
              <w:t>661929M</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4F5CDE0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036D-12.</w:t>
            </w:r>
            <w:r>
              <w:rPr>
                <w:rFonts w:ascii="Aptos Narrow" w:hAnsi="Aptos Narrow" w:eastAsia="Times New Roman" w:cs="Times New Roman"/>
                <w:color w:val="000000"/>
                <w:kern w:val="0"/>
                <w14:ligatures w14:val="none"/>
              </w:rPr>
              <w:t>71</w:t>
            </w:r>
          </w:p>
        </w:tc>
      </w:tr>
      <w:tr w:rsidRPr="001A0D0E" w:rsidR="00D04532" w:rsidTr="00157572" w14:paraId="52E71AF6" w14:textId="77777777">
        <w:trPr>
          <w:trHeight w:val="324"/>
          <w:jc w:val="center"/>
        </w:trPr>
        <w:tc>
          <w:tcPr>
            <w:tcW w:w="2510" w:type="dxa"/>
            <w:tcBorders>
              <w:top w:val="nil"/>
              <w:left w:val="single" w:color="auto" w:sz="8" w:space="0"/>
              <w:bottom w:val="single" w:color="auto" w:sz="8" w:space="0"/>
              <w:right w:val="single" w:color="auto" w:sz="4" w:space="0"/>
            </w:tcBorders>
            <w:shd w:val="clear" w:color="000000" w:fill="FFFFFF"/>
            <w:noWrap/>
            <w:vAlign w:val="bottom"/>
            <w:hideMark/>
          </w:tcPr>
          <w:p w:rsidRPr="001A0D0E" w:rsidR="00D04532" w:rsidP="00C61C53" w:rsidRDefault="00D04532" w14:paraId="0D11B38B"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 Palm Ave</w:t>
            </w:r>
          </w:p>
        </w:tc>
        <w:tc>
          <w:tcPr>
            <w:tcW w:w="1620" w:type="dxa"/>
            <w:tcBorders>
              <w:top w:val="nil"/>
              <w:left w:val="nil"/>
              <w:bottom w:val="single" w:color="auto" w:sz="8" w:space="0"/>
              <w:right w:val="single" w:color="auto" w:sz="4" w:space="0"/>
            </w:tcBorders>
            <w:shd w:val="clear" w:color="000000" w:fill="FFFFFF"/>
            <w:noWrap/>
            <w:vAlign w:val="bottom"/>
            <w:hideMark/>
          </w:tcPr>
          <w:p w:rsidRPr="001A0D0E" w:rsidR="00D04532" w:rsidP="00C61C53" w:rsidRDefault="00D04532" w14:paraId="7B21A55F"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8" w:space="0"/>
              <w:right w:val="single" w:color="auto" w:sz="4" w:space="0"/>
            </w:tcBorders>
            <w:shd w:val="clear" w:color="000000" w:fill="FFFFFF"/>
            <w:noWrap/>
            <w:vAlign w:val="bottom"/>
            <w:hideMark/>
          </w:tcPr>
          <w:p w:rsidRPr="001A0D0E" w:rsidR="00D04532" w:rsidP="00C61C53" w:rsidRDefault="00D04532" w14:paraId="54D23176"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662003X</w:t>
            </w:r>
          </w:p>
        </w:tc>
        <w:tc>
          <w:tcPr>
            <w:tcW w:w="1890" w:type="dxa"/>
            <w:tcBorders>
              <w:top w:val="nil"/>
              <w:left w:val="nil"/>
              <w:bottom w:val="single" w:color="auto" w:sz="8" w:space="0"/>
              <w:right w:val="single" w:color="auto" w:sz="4" w:space="0"/>
            </w:tcBorders>
            <w:shd w:val="clear" w:color="000000" w:fill="FFFFFF"/>
            <w:noWrap/>
            <w:vAlign w:val="bottom"/>
            <w:hideMark/>
          </w:tcPr>
          <w:p w:rsidRPr="001A0D0E" w:rsidR="00D04532" w:rsidP="00C61C53" w:rsidRDefault="00D04532" w14:paraId="1EC050C3"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036D-16.70</w:t>
            </w:r>
          </w:p>
        </w:tc>
      </w:tr>
      <w:tr w:rsidRPr="001A0D0E" w:rsidR="00D04532" w:rsidTr="00157572" w14:paraId="79F0CCAB" w14:textId="77777777">
        <w:trPr>
          <w:trHeight w:val="324"/>
          <w:jc w:val="center"/>
        </w:trPr>
        <w:tc>
          <w:tcPr>
            <w:tcW w:w="2510" w:type="dxa"/>
            <w:tcBorders>
              <w:top w:val="nil"/>
              <w:left w:val="nil"/>
              <w:bottom w:val="single" w:color="auto" w:sz="4" w:space="0"/>
              <w:right w:val="nil"/>
            </w:tcBorders>
            <w:noWrap/>
            <w:vAlign w:val="bottom"/>
            <w:hideMark/>
          </w:tcPr>
          <w:p w:rsidRPr="001A0D0E" w:rsidR="00D04532" w:rsidP="00C61C53" w:rsidRDefault="00D04532" w14:paraId="07022C35" w14:textId="77777777">
            <w:pPr>
              <w:spacing w:before="0" w:line="240" w:lineRule="auto"/>
              <w:rPr>
                <w:rFonts w:ascii="Aptos Narrow" w:hAnsi="Aptos Narrow" w:eastAsia="Times New Roman" w:cs="Times New Roman"/>
                <w:color w:val="000000"/>
                <w:kern w:val="0"/>
                <w14:ligatures w14:val="none"/>
              </w:rPr>
            </w:pPr>
          </w:p>
        </w:tc>
        <w:tc>
          <w:tcPr>
            <w:tcW w:w="1620" w:type="dxa"/>
            <w:tcBorders>
              <w:top w:val="nil"/>
              <w:left w:val="nil"/>
              <w:bottom w:val="single" w:color="auto" w:sz="4" w:space="0"/>
              <w:right w:val="nil"/>
            </w:tcBorders>
            <w:noWrap/>
            <w:vAlign w:val="bottom"/>
            <w:hideMark/>
          </w:tcPr>
          <w:p w:rsidRPr="001A0D0E" w:rsidR="00D04532" w:rsidP="00C61C53" w:rsidRDefault="00D04532" w14:paraId="7966A2C0" w14:textId="77777777">
            <w:pPr>
              <w:spacing w:before="0" w:line="240" w:lineRule="auto"/>
              <w:rPr>
                <w:rFonts w:ascii="Times New Roman" w:hAnsi="Times New Roman" w:eastAsia="Times New Roman" w:cs="Times New Roman"/>
                <w:kern w:val="0"/>
                <w:sz w:val="20"/>
                <w:szCs w:val="20"/>
                <w14:ligatures w14:val="none"/>
              </w:rPr>
            </w:pPr>
          </w:p>
        </w:tc>
        <w:tc>
          <w:tcPr>
            <w:tcW w:w="1440" w:type="dxa"/>
            <w:tcBorders>
              <w:top w:val="nil"/>
              <w:left w:val="nil"/>
              <w:bottom w:val="single" w:color="auto" w:sz="4" w:space="0"/>
              <w:right w:val="nil"/>
            </w:tcBorders>
            <w:noWrap/>
            <w:vAlign w:val="bottom"/>
            <w:hideMark/>
          </w:tcPr>
          <w:p w:rsidRPr="001A0D0E" w:rsidR="00D04532" w:rsidP="00C61C53" w:rsidRDefault="00D04532" w14:paraId="717E941C" w14:textId="77777777">
            <w:pPr>
              <w:spacing w:before="0" w:line="240" w:lineRule="auto"/>
              <w:rPr>
                <w:rFonts w:ascii="Times New Roman" w:hAnsi="Times New Roman" w:eastAsia="Times New Roman" w:cs="Times New Roman"/>
                <w:kern w:val="0"/>
                <w:sz w:val="20"/>
                <w:szCs w:val="20"/>
                <w14:ligatures w14:val="none"/>
              </w:rPr>
            </w:pPr>
          </w:p>
        </w:tc>
        <w:tc>
          <w:tcPr>
            <w:tcW w:w="1890" w:type="dxa"/>
            <w:tcBorders>
              <w:top w:val="nil"/>
              <w:left w:val="nil"/>
              <w:bottom w:val="single" w:color="auto" w:sz="4" w:space="0"/>
              <w:right w:val="nil"/>
            </w:tcBorders>
            <w:noWrap/>
            <w:vAlign w:val="bottom"/>
            <w:hideMark/>
          </w:tcPr>
          <w:p w:rsidRPr="001A0D0E" w:rsidR="00D04532" w:rsidP="00C61C53" w:rsidRDefault="00D04532" w14:paraId="2004F9D3" w14:textId="77777777">
            <w:pPr>
              <w:spacing w:before="0" w:line="240" w:lineRule="auto"/>
              <w:rPr>
                <w:rFonts w:ascii="Times New Roman" w:hAnsi="Times New Roman" w:eastAsia="Times New Roman" w:cs="Times New Roman"/>
                <w:kern w:val="0"/>
                <w:sz w:val="20"/>
                <w:szCs w:val="20"/>
                <w14:ligatures w14:val="none"/>
              </w:rPr>
            </w:pPr>
          </w:p>
        </w:tc>
      </w:tr>
      <w:tr w:rsidRPr="001A0D0E" w:rsidR="00D04532" w:rsidTr="00157572" w14:paraId="3A83A173" w14:textId="77777777">
        <w:trPr>
          <w:trHeight w:val="324"/>
          <w:jc w:val="center"/>
        </w:trPr>
        <w:tc>
          <w:tcPr>
            <w:tcW w:w="2510" w:type="dxa"/>
            <w:tcBorders>
              <w:top w:val="single" w:color="auto" w:sz="4" w:space="0"/>
              <w:left w:val="single" w:color="auto" w:sz="4" w:space="0"/>
              <w:bottom w:val="single" w:color="auto" w:sz="4" w:space="0"/>
              <w:right w:val="nil"/>
            </w:tcBorders>
            <w:noWrap/>
            <w:vAlign w:val="bottom"/>
            <w:hideMark/>
          </w:tcPr>
          <w:p w:rsidRPr="001A0D0E" w:rsidR="00D04532" w:rsidP="00C61C53" w:rsidRDefault="00D04532" w14:paraId="25E8C518"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Copper Line</w:t>
            </w:r>
          </w:p>
        </w:tc>
        <w:tc>
          <w:tcPr>
            <w:tcW w:w="1620" w:type="dxa"/>
            <w:tcBorders>
              <w:top w:val="single" w:color="auto" w:sz="4" w:space="0"/>
              <w:left w:val="nil"/>
              <w:bottom w:val="single" w:color="auto" w:sz="4" w:space="0"/>
              <w:right w:val="nil"/>
            </w:tcBorders>
            <w:noWrap/>
            <w:vAlign w:val="bottom"/>
            <w:hideMark/>
          </w:tcPr>
          <w:p w:rsidRPr="001A0D0E" w:rsidR="00D04532" w:rsidP="00C61C53" w:rsidRDefault="00D04532" w14:paraId="6DDDDEB1"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440" w:type="dxa"/>
            <w:tcBorders>
              <w:top w:val="single" w:color="auto" w:sz="4" w:space="0"/>
              <w:left w:val="nil"/>
              <w:bottom w:val="single" w:color="auto" w:sz="4" w:space="0"/>
              <w:right w:val="nil"/>
            </w:tcBorders>
            <w:noWrap/>
            <w:vAlign w:val="bottom"/>
            <w:hideMark/>
          </w:tcPr>
          <w:p w:rsidRPr="001A0D0E" w:rsidR="00D04532" w:rsidP="00C61C53" w:rsidRDefault="00D04532" w14:paraId="73B5163F"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c>
          <w:tcPr>
            <w:tcW w:w="1890" w:type="dxa"/>
            <w:tcBorders>
              <w:top w:val="single" w:color="auto" w:sz="4" w:space="0"/>
              <w:left w:val="nil"/>
              <w:bottom w:val="single" w:color="auto" w:sz="4" w:space="0"/>
              <w:right w:val="single" w:color="auto" w:sz="4" w:space="0"/>
            </w:tcBorders>
            <w:noWrap/>
            <w:vAlign w:val="bottom"/>
            <w:hideMark/>
          </w:tcPr>
          <w:p w:rsidRPr="001A0D0E" w:rsidR="00D04532" w:rsidP="00C61C53" w:rsidRDefault="00D04532" w14:paraId="0523691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 </w:t>
            </w:r>
          </w:p>
        </w:tc>
      </w:tr>
      <w:tr w:rsidRPr="001A0D0E" w:rsidR="00D04532" w:rsidTr="00157572" w14:paraId="5368C80A" w14:textId="77777777">
        <w:trPr>
          <w:trHeight w:val="324"/>
          <w:jc w:val="center"/>
        </w:trPr>
        <w:tc>
          <w:tcPr>
            <w:tcW w:w="2510" w:type="dxa"/>
            <w:tcBorders>
              <w:top w:val="single" w:color="auto" w:sz="4" w:space="0"/>
              <w:left w:val="single" w:color="auto" w:sz="8" w:space="0"/>
              <w:bottom w:val="single" w:color="auto" w:sz="8" w:space="0"/>
              <w:right w:val="single" w:color="auto" w:sz="4" w:space="0"/>
            </w:tcBorders>
            <w:noWrap/>
            <w:vAlign w:val="bottom"/>
            <w:hideMark/>
          </w:tcPr>
          <w:p w:rsidRPr="001A0D0E" w:rsidR="00D04532" w:rsidP="00C61C53" w:rsidRDefault="00D04532" w14:paraId="66D5898C"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Crossing Name</w:t>
            </w:r>
          </w:p>
        </w:tc>
        <w:tc>
          <w:tcPr>
            <w:tcW w:w="162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290AB8B8"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Direction</w:t>
            </w:r>
          </w:p>
        </w:tc>
        <w:tc>
          <w:tcPr>
            <w:tcW w:w="144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1B5D4429"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DOT No.</w:t>
            </w:r>
          </w:p>
        </w:tc>
        <w:tc>
          <w:tcPr>
            <w:tcW w:w="1890" w:type="dxa"/>
            <w:tcBorders>
              <w:top w:val="single" w:color="auto" w:sz="4" w:space="0"/>
              <w:left w:val="nil"/>
              <w:bottom w:val="single" w:color="auto" w:sz="8" w:space="0"/>
              <w:right w:val="single" w:color="auto" w:sz="4" w:space="0"/>
            </w:tcBorders>
            <w:noWrap/>
            <w:vAlign w:val="bottom"/>
            <w:hideMark/>
          </w:tcPr>
          <w:p w:rsidRPr="001A0D0E" w:rsidR="00D04532" w:rsidP="00C61C53" w:rsidRDefault="00D04532" w14:paraId="640CA026" w14:textId="77777777">
            <w:pPr>
              <w:spacing w:before="0" w:line="240" w:lineRule="auto"/>
              <w:rPr>
                <w:rFonts w:ascii="Aptos Narrow" w:hAnsi="Aptos Narrow" w:eastAsia="Times New Roman" w:cs="Times New Roman"/>
                <w:b/>
                <w:bCs/>
                <w:color w:val="000000"/>
                <w:kern w:val="0"/>
                <w14:ligatures w14:val="none"/>
              </w:rPr>
            </w:pPr>
            <w:r w:rsidRPr="001A0D0E">
              <w:rPr>
                <w:rFonts w:ascii="Aptos Narrow" w:hAnsi="Aptos Narrow" w:eastAsia="Times New Roman" w:cs="Times New Roman"/>
                <w:b/>
                <w:bCs/>
                <w:color w:val="000000"/>
                <w:kern w:val="0"/>
                <w14:ligatures w14:val="none"/>
              </w:rPr>
              <w:t>CPUC No.</w:t>
            </w:r>
          </w:p>
        </w:tc>
      </w:tr>
      <w:tr w:rsidRPr="001A0D0E" w:rsidR="00D04532" w:rsidTr="00157572" w14:paraId="31DB164D"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75CF1999"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Wagner Drive</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2515E6FD"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Westbound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544B3AA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916351G</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6516AC41"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036D-17.45</w:t>
            </w:r>
          </w:p>
        </w:tc>
      </w:tr>
      <w:tr w:rsidRPr="001A0D0E" w:rsidR="00D04532" w:rsidTr="00157572" w14:paraId="537C15EA" w14:textId="77777777">
        <w:trPr>
          <w:trHeight w:val="312"/>
          <w:jc w:val="center"/>
        </w:trPr>
        <w:tc>
          <w:tcPr>
            <w:tcW w:w="2510" w:type="dxa"/>
            <w:tcBorders>
              <w:top w:val="nil"/>
              <w:left w:val="single" w:color="auto" w:sz="8" w:space="0"/>
              <w:bottom w:val="single" w:color="auto" w:sz="4" w:space="0"/>
              <w:right w:val="single" w:color="auto" w:sz="4" w:space="0"/>
            </w:tcBorders>
            <w:shd w:val="clear" w:color="000000" w:fill="FFFFFF"/>
            <w:noWrap/>
            <w:vAlign w:val="bottom"/>
            <w:hideMark/>
          </w:tcPr>
          <w:p w:rsidRPr="001A0D0E" w:rsidR="00D04532" w:rsidP="00C61C53" w:rsidRDefault="00D04532" w14:paraId="3CF355E6"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Petree Street</w:t>
            </w:r>
          </w:p>
        </w:tc>
        <w:tc>
          <w:tcPr>
            <w:tcW w:w="162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5E332ECC"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Eastbound</w:t>
            </w:r>
          </w:p>
        </w:tc>
        <w:tc>
          <w:tcPr>
            <w:tcW w:w="144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6C972492"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916353V</w:t>
            </w:r>
          </w:p>
        </w:tc>
        <w:tc>
          <w:tcPr>
            <w:tcW w:w="1890" w:type="dxa"/>
            <w:tcBorders>
              <w:top w:val="nil"/>
              <w:left w:val="nil"/>
              <w:bottom w:val="single" w:color="auto" w:sz="4" w:space="0"/>
              <w:right w:val="single" w:color="auto" w:sz="4" w:space="0"/>
            </w:tcBorders>
            <w:shd w:val="clear" w:color="000000" w:fill="FFFFFF"/>
            <w:noWrap/>
            <w:vAlign w:val="bottom"/>
            <w:hideMark/>
          </w:tcPr>
          <w:p w:rsidRPr="001A0D0E" w:rsidR="00D04532" w:rsidP="00C61C53" w:rsidRDefault="00D04532" w14:paraId="7D62D46B" w14:textId="77777777">
            <w:pPr>
              <w:spacing w:before="0" w:line="240" w:lineRule="auto"/>
              <w:rPr>
                <w:rFonts w:ascii="Aptos Narrow" w:hAnsi="Aptos Narrow" w:eastAsia="Times New Roman" w:cs="Times New Roman"/>
                <w:color w:val="000000"/>
                <w:kern w:val="0"/>
                <w14:ligatures w14:val="none"/>
              </w:rPr>
            </w:pPr>
            <w:r w:rsidRPr="001A0D0E">
              <w:rPr>
                <w:rFonts w:ascii="Aptos Narrow" w:hAnsi="Aptos Narrow" w:eastAsia="Times New Roman" w:cs="Times New Roman"/>
                <w:color w:val="000000"/>
                <w:kern w:val="0"/>
                <w14:ligatures w14:val="none"/>
              </w:rPr>
              <w:t>036D-17.70</w:t>
            </w:r>
          </w:p>
        </w:tc>
      </w:tr>
    </w:tbl>
    <w:p w:rsidR="00D04532" w:rsidP="00D04532" w:rsidRDefault="00D04532" w14:paraId="4C72B9AB" w14:textId="3B69280C">
      <w:pPr>
        <w:pStyle w:val="BodyText"/>
      </w:pPr>
      <w:r w:rsidRPr="00D04532">
        <w:lastRenderedPageBreak/>
        <w:t>Commission’s Rail Safety Division (RSD) has reviewed SDMTS’s GO 75-D, Section 9.2a variance request and  recommends that the exemption be granted for SDMTS to implement the latch-out control circuit at the 20 additional crossings on their system, incorporate the rules and procedures of the previous resolutions, and standardize the technical terminologies from Commission Resolutions SX-1 and SX-37.</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D060E1" w:rsidP="00D060E1" w:rsidRDefault="00D060E1" w14:paraId="57D34FCB" w14:textId="77777777">
      <w:pPr>
        <w:spacing w:before="240" w:line="240" w:lineRule="auto"/>
        <w:jc w:val="both"/>
        <w:rPr>
          <w:rFonts w:eastAsia="Palatino Linotype" w:cs="Times New Roman"/>
          <w:kern w:val="0"/>
          <w14:ligatures w14:val="none"/>
        </w:rPr>
      </w:pPr>
      <w:r w:rsidRPr="00D55246">
        <w:rPr>
          <w:rFonts w:eastAsia="Palatino Linotype" w:cs="Times New Roman"/>
          <w:kern w:val="0"/>
          <w14:ligatures w14:val="none"/>
        </w:rPr>
        <w:t>The 30-day review and 20-day comment period for the draft of this resolution was neither waived nor reduced.</w:t>
      </w:r>
      <w:r>
        <w:rPr>
          <w:rFonts w:eastAsia="Palatino Linotype" w:cs="Times New Roman"/>
          <w:kern w:val="0"/>
          <w14:ligatures w14:val="none"/>
        </w:rPr>
        <w:t xml:space="preserve">  </w:t>
      </w:r>
      <w:r w:rsidRPr="00D55246">
        <w:rPr>
          <w:rFonts w:eastAsia="Palatino Linotype" w:cs="Times New Roman"/>
          <w:kern w:val="0"/>
          <w14:ligatures w14:val="none"/>
        </w:rPr>
        <w:t>The draft resolution of the Rail Safety Division in this matter was mailed in accordance with Section 311 of the Public Utilities Code and Rule 14.2(d)(1) of the Commission’s Rules of Practice and Procedure.</w:t>
      </w:r>
    </w:p>
    <w:p w:rsidRPr="0047361C" w:rsidR="00C61C53" w:rsidP="00567A47" w:rsidRDefault="00D060E1" w14:paraId="36AA0E95" w14:textId="62CCD4C4">
      <w:pPr>
        <w:spacing w:before="0" w:line="240" w:lineRule="auto"/>
        <w:jc w:val="both"/>
        <w:rPr>
          <w:rStyle w:val="BodyTextChar"/>
          <w:rFonts w:eastAsia="Palatino Linotype"/>
        </w:rPr>
      </w:pPr>
      <w:r>
        <w:rPr>
          <w:rFonts w:eastAsia="Palatino Linotype" w:cs="Times New Roman"/>
          <w:kern w:val="0"/>
          <w14:ligatures w14:val="none"/>
        </w:rPr>
        <w:t>No comments were received</w:t>
      </w:r>
      <w:r w:rsidR="00C61C53">
        <w:rPr>
          <w:rFonts w:eastAsia="Palatino Linotype"/>
        </w:rPr>
        <w:t>.</w:t>
      </w:r>
    </w:p>
    <w:p w:rsidRPr="001942D0" w:rsidR="001942D0" w:rsidP="00D41A0A" w:rsidRDefault="001942D0" w14:paraId="535CE00C" w14:textId="7A19D4A8">
      <w:pPr>
        <w:pStyle w:val="Heading1"/>
      </w:pPr>
      <w:r w:rsidRPr="001942D0">
        <w:t>Findings</w:t>
      </w:r>
      <w:r w:rsidR="00C61C53">
        <w:t xml:space="preserve"> and Conclusions</w:t>
      </w:r>
    </w:p>
    <w:p w:rsidR="00C61C53" w:rsidP="00C61C53" w:rsidRDefault="00C61C53" w14:paraId="7FE8B457" w14:textId="77777777">
      <w:pPr>
        <w:pStyle w:val="ListNum"/>
      </w:pPr>
      <w:r>
        <w:t>SDMTS requests authority to deviate from the requirements of Commission’s GO 75-D, Section 9.2a to implement the use of latch-out control circuit at 20 crossings in San Diego, National City, Chula Vista, Lemon Grove, La Mesa, and El Cajon, all within San Diego County.</w:t>
      </w:r>
    </w:p>
    <w:p w:rsidR="00C61C53" w:rsidP="00C61C53" w:rsidRDefault="00C61C53" w14:paraId="1D5B64D2" w14:textId="77777777">
      <w:pPr>
        <w:pStyle w:val="ListNum"/>
      </w:pPr>
      <w:r>
        <w:t>Commission Resolutions SX-1, dated January 9, 1990, and SX-37, dated March 15, 2001, granted SDMTS permission to implement the latch-out control circuit at 39 crossings.</w:t>
      </w:r>
    </w:p>
    <w:p w:rsidR="00C61C53" w:rsidP="00C61C53" w:rsidRDefault="00C61C53" w14:paraId="56377F77" w14:textId="77777777">
      <w:pPr>
        <w:pStyle w:val="ListNum"/>
      </w:pPr>
      <w:r>
        <w:t>All 59 requested locations, including the 39 crossings already approved in Commission Resolutions SX-1 and SX-37, are shown in Attachment A.</w:t>
      </w:r>
    </w:p>
    <w:p w:rsidR="00C61C53" w:rsidP="00C61C53" w:rsidRDefault="00C61C53" w14:paraId="2A21D465" w14:textId="77777777">
      <w:pPr>
        <w:pStyle w:val="ListNum"/>
      </w:pPr>
      <w:r>
        <w:t>SDMTS requests to standardize the technical term “latch-out” control circuit in lieu of “forestalling”, “delayed gate down” and other legacy terms from Commission Resolutions SX-1, SX-37, and RTS-10.</w:t>
      </w:r>
    </w:p>
    <w:p w:rsidR="00C61C53" w:rsidP="00C61C53" w:rsidRDefault="00C61C53" w14:paraId="6EDDEA33" w14:textId="77777777">
      <w:pPr>
        <w:pStyle w:val="ListNum"/>
      </w:pPr>
      <w:r>
        <w:lastRenderedPageBreak/>
        <w:t>SDMTS requests all rules and procedures detailed in Commission Resolutions SX-1 and SX-37 to be incorporated into one Resolution.</w:t>
      </w:r>
    </w:p>
    <w:p w:rsidR="00C61C53" w:rsidP="00C61C53" w:rsidRDefault="00C61C53" w14:paraId="526E999E" w14:textId="77777777">
      <w:pPr>
        <w:pStyle w:val="ListNum"/>
      </w:pPr>
      <w:r>
        <w:t>SDMTS implemented Standard Operating Procedure (SOP) 103.11for train operation under Commission Resolution SX-1, then replaced it with SOP 103.13.</w:t>
      </w:r>
    </w:p>
    <w:p w:rsidR="00C61C53" w:rsidP="00C61C53" w:rsidRDefault="00C61C53" w14:paraId="78081C3C" w14:textId="77777777">
      <w:pPr>
        <w:pStyle w:val="ListNum"/>
      </w:pPr>
      <w:r>
        <w:t xml:space="preserve">RSD has reviewed SDMTS’s request for exemption from GO 75-D, Section 9.2a and finds that the request is a practical and reasonable approach for reducing the amount of time that crossings are closed to traffic while trains are stopped at near-side stations. </w:t>
      </w:r>
    </w:p>
    <w:p w:rsidR="0047361C" w:rsidP="00C61C53" w:rsidRDefault="00C61C53" w14:paraId="0BE83EC0" w14:textId="6A3021D4">
      <w:pPr>
        <w:pStyle w:val="ListNum"/>
      </w:pPr>
      <w:r>
        <w:t>RSD recommends that this resolution be adopted.</w:t>
      </w:r>
    </w:p>
    <w:p w:rsidRPr="000464AE" w:rsidR="001942D0" w:rsidP="00D41A0A" w:rsidRDefault="00606460" w14:paraId="77566573" w14:textId="63273AA5">
      <w:pPr>
        <w:pStyle w:val="Heading2"/>
      </w:pPr>
      <w:r w:rsidRPr="00C61C53">
        <w:rPr>
          <w:u w:val="single"/>
        </w:rPr>
        <w:t>THEREFORE, IT IS ORDERED THAT</w:t>
      </w:r>
      <w:r w:rsidRPr="000464AE">
        <w:t>:</w:t>
      </w:r>
    </w:p>
    <w:p w:rsidR="00C61C53" w:rsidP="00C61C53" w:rsidRDefault="00C61C53" w14:paraId="05EAAF62" w14:textId="77777777">
      <w:pPr>
        <w:pStyle w:val="ListNum"/>
        <w:numPr>
          <w:ilvl w:val="0"/>
          <w:numId w:val="27"/>
        </w:numPr>
        <w:tabs>
          <w:tab w:val="clear" w:pos="360"/>
        </w:tabs>
      </w:pPr>
      <w:r>
        <w:t>The San Diego Metropolitan Transit System is authorized to implement latch-out control circuits at 59 at-grade crossings on the San Diego Metropolitan Transit System Trolley system in the Cities of San Diego, National City, Chula Vista, Lemon Grove, La Mesa, and El Cajon, all within San Diego County as shown in Attachment A.</w:t>
      </w:r>
    </w:p>
    <w:p w:rsidR="00C61C53" w:rsidP="00C61C53" w:rsidRDefault="00C61C53" w14:paraId="1756FDDF" w14:textId="77777777">
      <w:pPr>
        <w:pStyle w:val="ListNum"/>
        <w:numPr>
          <w:ilvl w:val="0"/>
          <w:numId w:val="27"/>
        </w:numPr>
      </w:pPr>
      <w:r>
        <w:t>This Resolution shall supersede California Public Utilities Commission Resolutions SX-1 and SX-37.</w:t>
      </w:r>
    </w:p>
    <w:p w:rsidR="00C61C53" w:rsidP="00C61C53" w:rsidRDefault="00C61C53" w14:paraId="7F56217C" w14:textId="77777777">
      <w:pPr>
        <w:pStyle w:val="ListNum"/>
        <w:numPr>
          <w:ilvl w:val="0"/>
          <w:numId w:val="27"/>
        </w:numPr>
      </w:pPr>
      <w:r>
        <w:t>All procedures and rules specified in California Public Utilities Commission Resolutions SX-1 and SX-37 will be incorporated in California Public Utilities Commission Resolution SX-165.</w:t>
      </w:r>
    </w:p>
    <w:p w:rsidR="00C61C53" w:rsidP="00C61C53" w:rsidRDefault="00C61C53" w14:paraId="264F8B35" w14:textId="77777777">
      <w:pPr>
        <w:pStyle w:val="ListNum"/>
        <w:numPr>
          <w:ilvl w:val="0"/>
          <w:numId w:val="27"/>
        </w:numPr>
      </w:pPr>
      <w:r>
        <w:t>The technical term “latch-out” system shall be used to refer to the terminology “forestalling”, “delayed gate down” and other legacy terms from California Public Utilities Commission Resolutions SX-1, SX-37, and RTS-10.</w:t>
      </w:r>
    </w:p>
    <w:p w:rsidR="00AD698B" w:rsidP="00C61C53" w:rsidRDefault="00C61C53" w14:paraId="120FE7AB" w14:textId="549C3F27">
      <w:pPr>
        <w:pStyle w:val="ListNum"/>
        <w:numPr>
          <w:ilvl w:val="0"/>
          <w:numId w:val="27"/>
        </w:numPr>
      </w:pPr>
      <w:r>
        <w:t>The San Diego Metropolitan Transit System shall coordinate with the California Public Utilities Commission Rail Safety Division for testing of the latch-out control circuit.  Rail Safety Division shall witness testing and compliance with the applicable California Public Utilities Commission requirements and Order.</w:t>
      </w:r>
    </w:p>
    <w:p w:rsidR="00C61C53" w:rsidP="00C61C53" w:rsidRDefault="00C61C53" w14:paraId="45D0B111" w14:textId="77777777">
      <w:pPr>
        <w:pStyle w:val="ListNum"/>
        <w:numPr>
          <w:ilvl w:val="0"/>
          <w:numId w:val="0"/>
        </w:numPr>
      </w:pPr>
    </w:p>
    <w:p w:rsidR="00C61C53" w:rsidP="00C61C53" w:rsidRDefault="00C61C53" w14:paraId="2CC44172" w14:textId="77777777">
      <w:pPr>
        <w:pStyle w:val="ListNum"/>
        <w:numPr>
          <w:ilvl w:val="0"/>
          <w:numId w:val="0"/>
        </w:numPr>
      </w:pPr>
    </w:p>
    <w:p w:rsidRPr="0047361C" w:rsidR="00C61C53" w:rsidP="00C61C53" w:rsidRDefault="00C61C53" w14:paraId="6A8824B4" w14:textId="77777777">
      <w:pPr>
        <w:pStyle w:val="ListNum"/>
        <w:numPr>
          <w:ilvl w:val="0"/>
          <w:numId w:val="0"/>
        </w:numPr>
      </w:pPr>
    </w:p>
    <w:p w:rsidRPr="0047361C" w:rsidR="0047361C" w:rsidP="00D41A0A" w:rsidRDefault="00C61C53" w14:paraId="7A351A51" w14:textId="5BA07832">
      <w:pPr>
        <w:pStyle w:val="ListNum"/>
      </w:pPr>
      <w:r>
        <w:lastRenderedPageBreak/>
        <w:t>This Resolution is effective today.</w:t>
      </w:r>
    </w:p>
    <w:p w:rsidR="00567A47" w:rsidP="00567A47" w:rsidRDefault="00567A47" w14:paraId="4C375329" w14:textId="25BE6807">
      <w:pPr>
        <w:pStyle w:val="10sp0"/>
        <w:spacing w:before="240" w:after="0"/>
        <w:jc w:val="both"/>
        <w:rPr>
          <w:rFonts w:ascii="Palatino Linotype" w:hAnsi="Palatino Linotype"/>
        </w:rPr>
      </w:pPr>
      <w:r w:rsidRPr="00511ABE">
        <w:rPr>
          <w:rFonts w:ascii="Palatino Linotype" w:hAnsi="Palatino Linotype"/>
        </w:rPr>
        <w:t xml:space="preserve">The foregoing resolution was duly introduced, passed and adopted </w:t>
      </w:r>
      <w:r w:rsidRPr="002B2A7E">
        <w:rPr>
          <w:rFonts w:ascii="Palatino Linotype" w:hAnsi="Palatino Linotype"/>
        </w:rPr>
        <w:t>by the Commission at its regularly scheduled meeting on</w:t>
      </w:r>
      <w:r w:rsidRPr="00511ABE">
        <w:rPr>
          <w:rFonts w:ascii="Palatino Linotype" w:hAnsi="Palatino Linotype"/>
        </w:rPr>
        <w:t xml:space="preserve"> </w:t>
      </w:r>
      <w:r w:rsidR="004773E4">
        <w:rPr>
          <w:rFonts w:ascii="Palatino Linotype" w:hAnsi="Palatino Linotype"/>
        </w:rPr>
        <w:t>May</w:t>
      </w:r>
      <w:r>
        <w:rPr>
          <w:rFonts w:ascii="Palatino Linotype" w:hAnsi="Palatino Linotype"/>
        </w:rPr>
        <w:t xml:space="preserve"> </w:t>
      </w:r>
      <w:r w:rsidR="004773E4">
        <w:rPr>
          <w:rFonts w:ascii="Palatino Linotype" w:hAnsi="Palatino Linotype"/>
        </w:rPr>
        <w:t>14</w:t>
      </w:r>
      <w:r>
        <w:rPr>
          <w:rFonts w:ascii="Palatino Linotype" w:hAnsi="Palatino Linotype"/>
        </w:rPr>
        <w:t>, 2026.  T</w:t>
      </w:r>
      <w:r w:rsidRPr="00511ABE">
        <w:rPr>
          <w:rFonts w:ascii="Palatino Linotype" w:hAnsi="Palatino Linotype"/>
        </w:rPr>
        <w:t>he following Commissioners voting favorably thereon:</w:t>
      </w:r>
    </w:p>
    <w:p w:rsidRPr="00A04E61" w:rsidR="00D71E32" w:rsidP="00D71E32" w:rsidRDefault="00D71E32" w14:paraId="352232F8" w14:textId="77777777">
      <w:pPr>
        <w:pStyle w:val="BodyText"/>
        <w:spacing w:before="600"/>
        <w:ind w:left="5760" w:right="144"/>
        <w:rPr>
          <w:u w:val="single"/>
        </w:rPr>
      </w:pPr>
      <w:r w:rsidRPr="00A04E61">
        <w:rPr>
          <w:u w:val="single"/>
        </w:rPr>
        <w:t xml:space="preserve">         /s/Leuwam Tesfai              </w:t>
      </w:r>
    </w:p>
    <w:p w:rsidRPr="00A04E61" w:rsidR="00567A47" w:rsidP="00567A47" w:rsidRDefault="00567A47" w14:paraId="5DABA3CA" w14:textId="77777777">
      <w:pPr>
        <w:pStyle w:val="NoSpacing"/>
        <w:ind w:left="5670" w:right="288"/>
        <w:jc w:val="center"/>
        <w:rPr>
          <w:smallCaps/>
        </w:rPr>
      </w:pPr>
      <w:r w:rsidRPr="00A04E61">
        <w:rPr>
          <w:smallCaps/>
        </w:rPr>
        <w:t>Leuwam Tesfai</w:t>
      </w:r>
    </w:p>
    <w:p w:rsidRPr="00A04E61" w:rsidR="00567A47" w:rsidP="00567A47" w:rsidRDefault="00567A47" w14:paraId="1CB76117" w14:textId="77777777">
      <w:pPr>
        <w:pStyle w:val="NoSpacing"/>
        <w:ind w:left="5670" w:right="288"/>
        <w:jc w:val="center"/>
      </w:pPr>
      <w:r w:rsidRPr="00A04E61">
        <w:t>Executive Director</w:t>
      </w:r>
    </w:p>
    <w:p w:rsidRPr="00A04E61" w:rsidR="00567A47" w:rsidP="00567A47" w:rsidRDefault="00567A47" w14:paraId="42147317" w14:textId="77777777">
      <w:pPr>
        <w:pStyle w:val="NoSpacing"/>
        <w:ind w:left="5670" w:right="288"/>
        <w:jc w:val="center"/>
      </w:pPr>
    </w:p>
    <w:p w:rsidRPr="00B044C0" w:rsidR="00567A47" w:rsidP="00567A47" w:rsidRDefault="00567A47" w14:paraId="25901AFD" w14:textId="77777777">
      <w:pPr>
        <w:pStyle w:val="NoSpacing"/>
        <w:ind w:left="5954" w:right="571"/>
        <w:rPr>
          <w:smallCaps/>
        </w:rPr>
      </w:pPr>
      <w:r w:rsidRPr="00B044C0">
        <w:rPr>
          <w:smallCaps/>
        </w:rPr>
        <w:t>John Reynolds</w:t>
      </w:r>
    </w:p>
    <w:p w:rsidRPr="00B044C0" w:rsidR="00567A47" w:rsidP="00567A47" w:rsidRDefault="00567A47" w14:paraId="24682963" w14:textId="77777777">
      <w:pPr>
        <w:pStyle w:val="NoSpacing"/>
        <w:ind w:left="5954" w:right="571"/>
        <w:jc w:val="right"/>
      </w:pPr>
      <w:r w:rsidRPr="00B044C0">
        <w:t>President</w:t>
      </w:r>
    </w:p>
    <w:p w:rsidRPr="00B044C0" w:rsidR="00567A47" w:rsidP="00567A47" w:rsidRDefault="00567A47" w14:paraId="4B088DC3" w14:textId="77777777">
      <w:pPr>
        <w:pStyle w:val="NoSpacing"/>
        <w:ind w:left="5954" w:right="571"/>
        <w:rPr>
          <w:smallCaps/>
        </w:rPr>
      </w:pPr>
      <w:r w:rsidRPr="00B044C0">
        <w:rPr>
          <w:smallCaps/>
        </w:rPr>
        <w:t>Darcie L. Houck</w:t>
      </w:r>
    </w:p>
    <w:p w:rsidRPr="00B044C0" w:rsidR="00567A47" w:rsidP="00567A47" w:rsidRDefault="00567A47" w14:paraId="223340AB" w14:textId="77777777">
      <w:pPr>
        <w:pStyle w:val="NoSpacing"/>
        <w:ind w:left="5954" w:right="571"/>
        <w:rPr>
          <w:smallCaps/>
        </w:rPr>
      </w:pPr>
      <w:r w:rsidRPr="00B044C0">
        <w:rPr>
          <w:smallCaps/>
        </w:rPr>
        <w:t>Karen Douglas</w:t>
      </w:r>
    </w:p>
    <w:p w:rsidRPr="00B044C0" w:rsidR="00567A47" w:rsidP="00567A47" w:rsidRDefault="00567A47" w14:paraId="234496E5" w14:textId="77777777">
      <w:pPr>
        <w:pStyle w:val="NoSpacing"/>
        <w:ind w:left="5954" w:right="571"/>
        <w:rPr>
          <w:smallCaps/>
        </w:rPr>
      </w:pPr>
      <w:r w:rsidRPr="00B044C0">
        <w:rPr>
          <w:smallCaps/>
        </w:rPr>
        <w:t>Matthew Baker</w:t>
      </w:r>
    </w:p>
    <w:p w:rsidRPr="00B044C0" w:rsidR="00567A47" w:rsidP="00567A47" w:rsidRDefault="00567A47" w14:paraId="195DA091" w14:textId="77777777">
      <w:pPr>
        <w:pStyle w:val="NoSpacing"/>
        <w:ind w:left="5954" w:right="571"/>
        <w:rPr>
          <w:smallCaps/>
        </w:rPr>
      </w:pPr>
      <w:r w:rsidRPr="00B044C0">
        <w:rPr>
          <w:smallCaps/>
        </w:rPr>
        <w:t>Christine Harada</w:t>
      </w:r>
    </w:p>
    <w:p w:rsidRPr="00B044C0" w:rsidR="00567A47" w:rsidP="00567A47" w:rsidRDefault="00567A47" w14:paraId="37E59831" w14:textId="77777777">
      <w:pPr>
        <w:pStyle w:val="NoSpacing"/>
        <w:ind w:left="5954" w:right="571"/>
        <w:jc w:val="right"/>
      </w:pPr>
      <w:r w:rsidRPr="00B044C0">
        <w:t>Commissioners</w:t>
      </w:r>
    </w:p>
    <w:p w:rsidR="00C61C53" w:rsidP="00567A47" w:rsidRDefault="00C61C53" w14:paraId="52C5CE84" w14:textId="77777777">
      <w:pPr>
        <w:keepNext/>
        <w:spacing w:before="240"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Pr>
          <w:rFonts w:eastAsia="Palatino Linotype" w:cs="Times New Roman"/>
          <w:u w:val="single"/>
        </w:rPr>
        <w:t>May 14,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C61C53" w:rsidSect="000444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6003" w14:textId="77777777" w:rsidR="000027DB" w:rsidRDefault="000027DB" w:rsidP="00D41A0A">
      <w:r>
        <w:separator/>
      </w:r>
    </w:p>
    <w:p w14:paraId="28AC0F1C" w14:textId="77777777" w:rsidR="000027DB" w:rsidRDefault="000027DB" w:rsidP="00D41A0A"/>
  </w:endnote>
  <w:endnote w:type="continuationSeparator" w:id="0">
    <w:p w14:paraId="1C48E942" w14:textId="77777777" w:rsidR="000027DB" w:rsidRDefault="000027DB" w:rsidP="00D41A0A">
      <w:r>
        <w:continuationSeparator/>
      </w:r>
    </w:p>
    <w:p w14:paraId="34295BA0" w14:textId="77777777" w:rsidR="000027DB" w:rsidRDefault="000027DB" w:rsidP="00D41A0A"/>
  </w:endnote>
  <w:endnote w:type="continuationNotice" w:id="1">
    <w:p w14:paraId="4CCEBA78" w14:textId="77777777" w:rsidR="000027DB" w:rsidRDefault="000027DB" w:rsidP="00D41A0A"/>
    <w:p w14:paraId="31D45E38" w14:textId="77777777" w:rsidR="000027DB" w:rsidRDefault="000027DB"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6A76" w14:textId="77777777" w:rsidR="00D01F49" w:rsidRDefault="00D01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685B562E" w:rsidR="0004449C" w:rsidRPr="000465D4" w:rsidRDefault="003C7777" w:rsidP="00D41A0A">
    <w:pPr>
      <w:pStyle w:val="Footer"/>
    </w:pPr>
    <w:r w:rsidRPr="003C7777">
      <w:rPr>
        <w:rStyle w:val="CSNumChar"/>
      </w:rPr>
      <w:t>6</w:t>
    </w:r>
    <w:r w:rsidR="008C529F" w:rsidRPr="008C529F">
      <w:rPr>
        <w:rStyle w:val="CSNumChar"/>
      </w:rPr>
      <w:t>06871076</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D0E8" w14:textId="77777777" w:rsidR="000027DB" w:rsidRDefault="000027DB" w:rsidP="00D41A0A">
      <w:r>
        <w:separator/>
      </w:r>
    </w:p>
    <w:p w14:paraId="4B1C165E" w14:textId="77777777" w:rsidR="000027DB" w:rsidRDefault="000027DB" w:rsidP="00D41A0A"/>
  </w:footnote>
  <w:footnote w:type="continuationSeparator" w:id="0">
    <w:p w14:paraId="13F186E0" w14:textId="77777777" w:rsidR="000027DB" w:rsidRDefault="000027DB" w:rsidP="00D41A0A">
      <w:r>
        <w:continuationSeparator/>
      </w:r>
    </w:p>
    <w:p w14:paraId="33D009EE" w14:textId="77777777" w:rsidR="000027DB" w:rsidRDefault="000027DB" w:rsidP="00D41A0A"/>
  </w:footnote>
  <w:footnote w:type="continuationNotice" w:id="1">
    <w:p w14:paraId="29C2925D" w14:textId="77777777" w:rsidR="000027DB" w:rsidRDefault="000027DB" w:rsidP="00D41A0A"/>
    <w:p w14:paraId="2875C850" w14:textId="77777777" w:rsidR="000027DB" w:rsidRDefault="000027DB"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48E2" w14:textId="77777777" w:rsidR="00D01F49" w:rsidRDefault="00D01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498A2AFE" w:rsidR="000465D4" w:rsidRPr="000465D4" w:rsidRDefault="00C61C53" w:rsidP="00D571BB">
          <w:pPr>
            <w:pStyle w:val="OutRight"/>
          </w:pPr>
          <w:r w:rsidRPr="00C61C53">
            <w:t>Resolution SX-165</w:t>
          </w:r>
        </w:p>
      </w:tc>
    </w:tr>
  </w:tbl>
  <w:p w14:paraId="2D4CEE7B" w14:textId="77777777" w:rsidR="002A1AD8" w:rsidRPr="00B21332" w:rsidRDefault="002A1AD8" w:rsidP="00C61C53">
    <w:pPr>
      <w:pStyle w:val="OutSpac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3CC51455" w:rsidR="000465D4" w:rsidRPr="00D571BB" w:rsidRDefault="000465D4" w:rsidP="00D571BB">
          <w:pPr>
            <w:pStyle w:val="OutLeft"/>
          </w:pPr>
        </w:p>
        <w:p w14:paraId="3D86AF51" w14:textId="394A6AE7" w:rsidR="00E110B2" w:rsidRPr="00B21332" w:rsidRDefault="00E110B2" w:rsidP="00D571BB">
          <w:pPr>
            <w:pStyle w:val="OutLeft"/>
          </w:pPr>
        </w:p>
      </w:tc>
      <w:tc>
        <w:tcPr>
          <w:tcW w:w="5103" w:type="dxa"/>
        </w:tcPr>
        <w:p w14:paraId="7285BC60" w14:textId="359665E2" w:rsidR="000465D4" w:rsidRPr="00D571BB" w:rsidRDefault="00567A47" w:rsidP="00D571BB">
          <w:pPr>
            <w:pStyle w:val="OutRight"/>
          </w:pPr>
          <w:r>
            <w:t xml:space="preserve">Date </w:t>
          </w:r>
          <w:r w:rsidR="00D33412" w:rsidRPr="00D571BB">
            <w:t>I</w:t>
          </w:r>
          <w:r>
            <w:t>ssued 05/15/2026</w:t>
          </w:r>
          <w:r w:rsidR="00D33412" w:rsidRPr="00D571BB">
            <w:t xml:space="preserve"> </w:t>
          </w:r>
        </w:p>
        <w:p w14:paraId="7300821A" w14:textId="24ADE1EE"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5"/>
  </w:num>
  <w:num w:numId="2" w16cid:durableId="1398943725">
    <w:abstractNumId w:val="9"/>
  </w:num>
  <w:num w:numId="3" w16cid:durableId="517548239">
    <w:abstractNumId w:val="18"/>
  </w:num>
  <w:num w:numId="4" w16cid:durableId="759646399">
    <w:abstractNumId w:val="17"/>
  </w:num>
  <w:num w:numId="5" w16cid:durableId="516389453">
    <w:abstractNumId w:val="1"/>
  </w:num>
  <w:num w:numId="6" w16cid:durableId="1993830643">
    <w:abstractNumId w:val="11"/>
  </w:num>
  <w:num w:numId="7" w16cid:durableId="96147749">
    <w:abstractNumId w:val="12"/>
  </w:num>
  <w:num w:numId="8" w16cid:durableId="944842790">
    <w:abstractNumId w:val="19"/>
  </w:num>
  <w:num w:numId="9" w16cid:durableId="1991593136">
    <w:abstractNumId w:val="2"/>
  </w:num>
  <w:num w:numId="10" w16cid:durableId="1754620235">
    <w:abstractNumId w:val="10"/>
  </w:num>
  <w:num w:numId="11" w16cid:durableId="969365539">
    <w:abstractNumId w:val="25"/>
  </w:num>
  <w:num w:numId="12" w16cid:durableId="468133998">
    <w:abstractNumId w:val="20"/>
  </w:num>
  <w:num w:numId="13" w16cid:durableId="1191455749">
    <w:abstractNumId w:val="14"/>
  </w:num>
  <w:num w:numId="14" w16cid:durableId="795489403">
    <w:abstractNumId w:val="6"/>
  </w:num>
  <w:num w:numId="15" w16cid:durableId="881752679">
    <w:abstractNumId w:val="21"/>
  </w:num>
  <w:num w:numId="16" w16cid:durableId="1589146739">
    <w:abstractNumId w:val="26"/>
  </w:num>
  <w:num w:numId="17" w16cid:durableId="426273653">
    <w:abstractNumId w:val="28"/>
  </w:num>
  <w:num w:numId="18" w16cid:durableId="3558653">
    <w:abstractNumId w:val="4"/>
  </w:num>
  <w:num w:numId="19" w16cid:durableId="868373116">
    <w:abstractNumId w:val="8"/>
  </w:num>
  <w:num w:numId="20" w16cid:durableId="1399746518">
    <w:abstractNumId w:val="23"/>
  </w:num>
  <w:num w:numId="21" w16cid:durableId="995455405">
    <w:abstractNumId w:val="24"/>
  </w:num>
  <w:num w:numId="22" w16cid:durableId="92630419">
    <w:abstractNumId w:val="27"/>
  </w:num>
  <w:num w:numId="23" w16cid:durableId="339936474">
    <w:abstractNumId w:val="16"/>
  </w:num>
  <w:num w:numId="24" w16cid:durableId="2047486766">
    <w:abstractNumId w:val="13"/>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2"/>
  </w:num>
  <w:num w:numId="31" w16cid:durableId="1444348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27DB"/>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8742E"/>
    <w:rsid w:val="00090403"/>
    <w:rsid w:val="00095606"/>
    <w:rsid w:val="00095A3F"/>
    <w:rsid w:val="00097C6E"/>
    <w:rsid w:val="000A06A1"/>
    <w:rsid w:val="000A421B"/>
    <w:rsid w:val="000B26C6"/>
    <w:rsid w:val="000B2EF7"/>
    <w:rsid w:val="000B3CC6"/>
    <w:rsid w:val="000B5088"/>
    <w:rsid w:val="000B6D05"/>
    <w:rsid w:val="000C0CCC"/>
    <w:rsid w:val="000C1566"/>
    <w:rsid w:val="000D27A8"/>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0F50"/>
    <w:rsid w:val="001712F4"/>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2077"/>
    <w:rsid w:val="0022334B"/>
    <w:rsid w:val="0022795A"/>
    <w:rsid w:val="002458DD"/>
    <w:rsid w:val="00250AFF"/>
    <w:rsid w:val="0025275C"/>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A09"/>
    <w:rsid w:val="002B7EAC"/>
    <w:rsid w:val="002C4080"/>
    <w:rsid w:val="002D0ECC"/>
    <w:rsid w:val="002D410B"/>
    <w:rsid w:val="002D65EB"/>
    <w:rsid w:val="002E0290"/>
    <w:rsid w:val="002E11E4"/>
    <w:rsid w:val="002E50DB"/>
    <w:rsid w:val="002E6021"/>
    <w:rsid w:val="002F0E95"/>
    <w:rsid w:val="002F0FF9"/>
    <w:rsid w:val="002F2B14"/>
    <w:rsid w:val="002F466B"/>
    <w:rsid w:val="002F56D4"/>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901EA"/>
    <w:rsid w:val="0039025E"/>
    <w:rsid w:val="00393252"/>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773E4"/>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67A47"/>
    <w:rsid w:val="005708B7"/>
    <w:rsid w:val="00572036"/>
    <w:rsid w:val="00574AE0"/>
    <w:rsid w:val="00576E66"/>
    <w:rsid w:val="00581C36"/>
    <w:rsid w:val="005825E0"/>
    <w:rsid w:val="005841A6"/>
    <w:rsid w:val="0058757B"/>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322"/>
    <w:rsid w:val="00725C3D"/>
    <w:rsid w:val="007306DB"/>
    <w:rsid w:val="00732329"/>
    <w:rsid w:val="0073247C"/>
    <w:rsid w:val="00737DCD"/>
    <w:rsid w:val="00741574"/>
    <w:rsid w:val="0074435B"/>
    <w:rsid w:val="00744695"/>
    <w:rsid w:val="00745679"/>
    <w:rsid w:val="00746EB0"/>
    <w:rsid w:val="007473CD"/>
    <w:rsid w:val="00757464"/>
    <w:rsid w:val="007644AC"/>
    <w:rsid w:val="007668DE"/>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9ED"/>
    <w:rsid w:val="00826B8C"/>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529F"/>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1CD"/>
    <w:rsid w:val="0096264A"/>
    <w:rsid w:val="0096444D"/>
    <w:rsid w:val="00966D01"/>
    <w:rsid w:val="00970335"/>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25301"/>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41E7"/>
    <w:rsid w:val="00C3512F"/>
    <w:rsid w:val="00C367D9"/>
    <w:rsid w:val="00C41D20"/>
    <w:rsid w:val="00C45371"/>
    <w:rsid w:val="00C46FDF"/>
    <w:rsid w:val="00C47BBA"/>
    <w:rsid w:val="00C57EAC"/>
    <w:rsid w:val="00C6090D"/>
    <w:rsid w:val="00C61C53"/>
    <w:rsid w:val="00C650E8"/>
    <w:rsid w:val="00C7464C"/>
    <w:rsid w:val="00C862E8"/>
    <w:rsid w:val="00C8703F"/>
    <w:rsid w:val="00C8748A"/>
    <w:rsid w:val="00C91EA1"/>
    <w:rsid w:val="00C9416E"/>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CF3C7D"/>
    <w:rsid w:val="00D01F49"/>
    <w:rsid w:val="00D0214E"/>
    <w:rsid w:val="00D0280F"/>
    <w:rsid w:val="00D04532"/>
    <w:rsid w:val="00D05F6B"/>
    <w:rsid w:val="00D060E1"/>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1E32"/>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3D7"/>
    <w:rsid w:val="00E33BB5"/>
    <w:rsid w:val="00E378A9"/>
    <w:rsid w:val="00E458F2"/>
    <w:rsid w:val="00E46402"/>
    <w:rsid w:val="00E4793B"/>
    <w:rsid w:val="00E52750"/>
    <w:rsid w:val="00E5507E"/>
    <w:rsid w:val="00E56194"/>
    <w:rsid w:val="00E649DB"/>
    <w:rsid w:val="00E67DCD"/>
    <w:rsid w:val="00E72C80"/>
    <w:rsid w:val="00E74A02"/>
    <w:rsid w:val="00E750BD"/>
    <w:rsid w:val="00E878B0"/>
    <w:rsid w:val="00E92E2D"/>
    <w:rsid w:val="00E96495"/>
    <w:rsid w:val="00E96A8C"/>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53AC5"/>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1571</ap:Words>
  <ap:Characters>8957</ap:Characters>
  <ap:Application>Microsoft Office Word</ap:Application>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10507</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2026-05-15T14:54:04Z</dcterms:created>
  <dcterms:modified xsi:type="dcterms:W3CDTF">2026-05-15T14:54:04Z</dcterms:modified>
</cp:coreProperties>
</file>