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7064" w:rsidR="00BD04CA" w:rsidP="00BD04CA" w:rsidRDefault="00BD04CA" w14:paraId="5975B407" w14:textId="7D5CC0C5">
      <w:pPr>
        <w:suppressAutoHyphens/>
        <w:rPr>
          <w:b/>
          <w:bCs/>
          <w:color w:val="000000"/>
        </w:rPr>
      </w:pPr>
      <w:r>
        <w:rPr>
          <w:color w:val="000000"/>
        </w:rPr>
        <w:t>ALJ/</w:t>
      </w:r>
      <w:r w:rsidR="00487C32">
        <w:rPr>
          <w:color w:val="000000"/>
        </w:rPr>
        <w:t>ADW</w:t>
      </w:r>
      <w:r>
        <w:rPr>
          <w:color w:val="000000"/>
        </w:rPr>
        <w:t>/vj4</w:t>
      </w:r>
      <w:r>
        <w:rPr>
          <w:color w:val="000000"/>
        </w:rPr>
        <w:tab/>
      </w:r>
      <w:r>
        <w:rPr>
          <w:color w:val="000000"/>
        </w:rPr>
        <w:tab/>
      </w:r>
      <w:r>
        <w:rPr>
          <w:color w:val="000000"/>
        </w:rPr>
        <w:tab/>
      </w:r>
      <w:r w:rsidR="00E12F02">
        <w:rPr>
          <w:b/>
          <w:bCs/>
          <w:color w:val="000000"/>
        </w:rPr>
        <w:tab/>
      </w:r>
      <w:r w:rsidR="00E12F02">
        <w:rPr>
          <w:b/>
          <w:bCs/>
          <w:color w:val="000000"/>
        </w:rPr>
        <w:tab/>
      </w:r>
      <w:r w:rsidR="00E12F02">
        <w:rPr>
          <w:b/>
          <w:bCs/>
          <w:color w:val="000000"/>
        </w:rPr>
        <w:tab/>
      </w:r>
      <w:r>
        <w:rPr>
          <w:color w:val="000000"/>
        </w:rPr>
        <w:tab/>
      </w:r>
      <w:r w:rsidR="00E12F02">
        <w:rPr>
          <w:color w:val="000000"/>
        </w:rPr>
        <w:tab/>
      </w:r>
      <w:r w:rsidR="00E12F02">
        <w:rPr>
          <w:b/>
          <w:bCs/>
          <w:color w:val="000000"/>
        </w:rPr>
        <w:t>Date of Issuance 5/18/2026</w:t>
      </w:r>
    </w:p>
    <w:p w:rsidRPr="00D17064" w:rsidR="00BD04CA" w:rsidP="00BD04CA" w:rsidRDefault="00BD04CA" w14:paraId="13886642" w14:textId="07E8E6AF">
      <w:pPr>
        <w:suppressAutoHyphens/>
        <w:rPr>
          <w:b/>
          <w:bCs/>
          <w:color w:val="000000"/>
        </w:rPr>
      </w:pP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Pr>
          <w:b/>
          <w:bCs/>
          <w:color w:val="000000"/>
        </w:rPr>
        <w:t xml:space="preserve">      </w:t>
      </w:r>
    </w:p>
    <w:p w:rsidR="00BD04CA" w:rsidP="00625B30" w:rsidRDefault="00BD04CA" w14:paraId="55D0D289" w14:textId="77777777">
      <w:pPr>
        <w:suppressAutoHyphens/>
        <w:rPr>
          <w:color w:val="000000"/>
        </w:rPr>
      </w:pPr>
    </w:p>
    <w:p w:rsidR="00BD04CA" w:rsidP="00625B30" w:rsidRDefault="00BD04CA" w14:paraId="24B1F0F5" w14:textId="77777777">
      <w:pPr>
        <w:suppressAutoHyphens/>
        <w:rPr>
          <w:color w:val="000000"/>
        </w:rPr>
      </w:pPr>
    </w:p>
    <w:p w:rsidRPr="00E43CCD" w:rsidR="00625B30" w:rsidP="00625B30" w:rsidRDefault="00625B30" w14:paraId="25D36F66" w14:textId="4C004044">
      <w:pPr>
        <w:suppressAutoHyphens/>
        <w:rPr>
          <w:color w:val="000000"/>
        </w:rPr>
      </w:pPr>
      <w:r w:rsidRPr="007F620E">
        <w:rPr>
          <w:color w:val="000000"/>
        </w:rPr>
        <w:t xml:space="preserve">Decision </w:t>
      </w:r>
      <w:r w:rsidRPr="00E43CCD" w:rsidR="00E43CCD">
        <w:rPr>
          <w:color w:val="000000"/>
        </w:rPr>
        <w:t>26-05-</w:t>
      </w:r>
      <w:proofErr w:type="gramStart"/>
      <w:r w:rsidRPr="00E43CCD" w:rsidR="00E43CCD">
        <w:rPr>
          <w:color w:val="000000"/>
        </w:rPr>
        <w:t>030</w:t>
      </w:r>
      <w:r w:rsidR="00B22CB4">
        <w:rPr>
          <w:color w:val="000000"/>
        </w:rPr>
        <w:t xml:space="preserve">  May</w:t>
      </w:r>
      <w:proofErr w:type="gramEnd"/>
      <w:r w:rsidR="00B22CB4">
        <w:rPr>
          <w:color w:val="000000"/>
        </w:rPr>
        <w:t xml:space="preserve"> 14, 2026</w:t>
      </w:r>
    </w:p>
    <w:p w:rsidRPr="007F620E" w:rsidR="00625B30" w:rsidP="00625B30" w:rsidRDefault="00625B30" w14:paraId="3B656E07" w14:textId="77777777">
      <w:pPr>
        <w:pStyle w:val="titlebar"/>
        <w:rPr>
          <w:rFonts w:ascii="Times New Roman" w:hAnsi="Times New Roman"/>
          <w:color w:val="000000"/>
          <w:sz w:val="24"/>
          <w:szCs w:val="24"/>
        </w:rPr>
      </w:pPr>
    </w:p>
    <w:p w:rsidRPr="007F620E" w:rsidR="00625B30" w:rsidP="00625B30" w:rsidRDefault="00625B30" w14:paraId="3D3AD171" w14:textId="77777777">
      <w:pPr>
        <w:pStyle w:val="titlebar"/>
        <w:rPr>
          <w:rFonts w:ascii="Times New Roman" w:hAnsi="Times New Roman"/>
          <w:color w:val="000000"/>
          <w:sz w:val="24"/>
          <w:szCs w:val="24"/>
        </w:rPr>
      </w:pPr>
    </w:p>
    <w:p w:rsidRPr="0057088A" w:rsidR="00625B30" w:rsidP="00625B30" w:rsidRDefault="00625B30" w14:paraId="1481C028"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625B30" w:rsidP="00625B30" w:rsidRDefault="00625B30" w14:paraId="50B58BC8" w14:textId="77777777">
      <w:pPr>
        <w:suppressAutoHyphens/>
        <w:rPr>
          <w:color w:val="000000"/>
        </w:rPr>
      </w:pPr>
    </w:p>
    <w:tbl>
      <w:tblPr>
        <w:tblW w:w="9828" w:type="dxa"/>
        <w:jc w:val="center"/>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958"/>
        <w:gridCol w:w="3870"/>
      </w:tblGrid>
      <w:tr w:rsidRPr="007F620E" w:rsidR="00625B30" w:rsidTr="00CF1A6E" w14:paraId="3118FF93" w14:textId="77777777">
        <w:trPr>
          <w:jc w:val="center"/>
        </w:trPr>
        <w:tc>
          <w:tcPr>
            <w:tcW w:w="5958" w:type="dxa"/>
          </w:tcPr>
          <w:p w:rsidRPr="007F620E" w:rsidR="00625B30" w:rsidP="008A19C8" w:rsidRDefault="007F09A7" w14:paraId="7192D4D4" w14:textId="5045AA7C">
            <w:pPr>
              <w:rPr>
                <w:color w:val="000000"/>
              </w:rPr>
            </w:pPr>
            <w:r w:rsidRPr="007F09A7">
              <w:rPr>
                <w:color w:val="000000"/>
              </w:rPr>
              <w:t>Order Instituting Rulemaking to Establish Energization Timelines.</w:t>
            </w:r>
          </w:p>
        </w:tc>
        <w:tc>
          <w:tcPr>
            <w:tcW w:w="3870" w:type="dxa"/>
            <w:tcBorders>
              <w:top w:val="nil"/>
              <w:bottom w:val="nil"/>
            </w:tcBorders>
            <w:vAlign w:val="center"/>
          </w:tcPr>
          <w:p w:rsidRPr="00850E6F" w:rsidR="00625B30" w:rsidP="0036244B" w:rsidRDefault="007F09A7" w14:paraId="28FBCB65" w14:textId="2E508632">
            <w:pPr>
              <w:tabs>
                <w:tab w:val="left" w:pos="1440"/>
                <w:tab w:val="left" w:pos="3600"/>
              </w:tabs>
              <w:jc w:val="center"/>
              <w:rPr>
                <w:color w:val="000000"/>
              </w:rPr>
            </w:pPr>
            <w:r>
              <w:rPr>
                <w:color w:val="000000"/>
              </w:rPr>
              <w:t>Rulemaking</w:t>
            </w:r>
            <w:r w:rsidRPr="00850E6F" w:rsidR="00625B30">
              <w:rPr>
                <w:color w:val="000000"/>
              </w:rPr>
              <w:t xml:space="preserve"> </w:t>
            </w:r>
            <w:r w:rsidR="00042267">
              <w:rPr>
                <w:color w:val="000000"/>
              </w:rPr>
              <w:t>2</w:t>
            </w:r>
            <w:r w:rsidR="00646E16">
              <w:rPr>
                <w:color w:val="000000"/>
              </w:rPr>
              <w:t>4</w:t>
            </w:r>
            <w:r w:rsidR="00042267">
              <w:rPr>
                <w:color w:val="000000"/>
              </w:rPr>
              <w:t>-</w:t>
            </w:r>
            <w:r w:rsidR="00646E16">
              <w:rPr>
                <w:color w:val="000000"/>
              </w:rPr>
              <w:t>0</w:t>
            </w:r>
            <w:r>
              <w:rPr>
                <w:color w:val="000000"/>
              </w:rPr>
              <w:t>1</w:t>
            </w:r>
            <w:r w:rsidR="00042267">
              <w:rPr>
                <w:color w:val="000000"/>
              </w:rPr>
              <w:t>-0</w:t>
            </w:r>
            <w:r w:rsidR="00646E16">
              <w:rPr>
                <w:color w:val="000000"/>
              </w:rPr>
              <w:t>1</w:t>
            </w:r>
            <w:r>
              <w:rPr>
                <w:color w:val="000000"/>
              </w:rPr>
              <w:t>8</w:t>
            </w:r>
          </w:p>
          <w:p w:rsidRPr="007F620E" w:rsidR="00625B30" w:rsidP="00C01856" w:rsidRDefault="00625B30" w14:paraId="1DD5E0AD" w14:textId="1A78CA19">
            <w:pPr>
              <w:tabs>
                <w:tab w:val="left" w:pos="1440"/>
                <w:tab w:val="left" w:pos="3600"/>
              </w:tabs>
              <w:spacing w:after="120"/>
              <w:jc w:val="center"/>
              <w:rPr>
                <w:color w:val="000000"/>
              </w:rPr>
            </w:pPr>
            <w:r w:rsidRPr="00850E6F">
              <w:rPr>
                <w:color w:val="000000"/>
              </w:rPr>
              <w:t>(</w:t>
            </w:r>
            <w:bookmarkStart w:name="OLE_LINK1" w:id="0"/>
            <w:bookmarkStart w:name="OLE_LINK2" w:id="1"/>
            <w:r w:rsidRPr="00850E6F">
              <w:rPr>
                <w:color w:val="000000"/>
              </w:rPr>
              <w:t xml:space="preserve">Filed </w:t>
            </w:r>
            <w:bookmarkEnd w:id="0"/>
            <w:bookmarkEnd w:id="1"/>
            <w:r w:rsidRPr="007F09A7" w:rsidR="007F09A7">
              <w:rPr>
                <w:color w:val="000000"/>
              </w:rPr>
              <w:t>January 25, 2024</w:t>
            </w:r>
            <w:r w:rsidRPr="00850E6F">
              <w:rPr>
                <w:color w:val="000000"/>
              </w:rPr>
              <w:t>)</w:t>
            </w:r>
          </w:p>
        </w:tc>
      </w:tr>
    </w:tbl>
    <w:p w:rsidRPr="007F620E" w:rsidR="00625B30" w:rsidP="00625B30" w:rsidRDefault="00625B30" w14:paraId="2711831F" w14:textId="77777777">
      <w:pPr>
        <w:jc w:val="center"/>
        <w:rPr>
          <w:b/>
          <w:color w:val="000000"/>
        </w:rPr>
      </w:pPr>
    </w:p>
    <w:p w:rsidR="003F1C48" w:rsidP="003F1C48" w:rsidRDefault="003F1C48" w14:paraId="055DA3BA" w14:textId="1461C6CD">
      <w:pPr>
        <w:widowControl w:val="0"/>
        <w:jc w:val="center"/>
        <w:rPr>
          <w:b/>
          <w:color w:val="000000"/>
        </w:rPr>
      </w:pPr>
      <w:r w:rsidRPr="00EA2385">
        <w:rPr>
          <w:b/>
          <w:color w:val="000000"/>
        </w:rPr>
        <w:t xml:space="preserve">DECISION GRANTING COMPENSATION TO </w:t>
      </w:r>
      <w:r>
        <w:rPr>
          <w:b/>
          <w:color w:val="000000"/>
        </w:rPr>
        <w:t xml:space="preserve">THE UTILITY REFORM NETWORK </w:t>
      </w:r>
      <w:r w:rsidRPr="00EA2385">
        <w:rPr>
          <w:b/>
          <w:color w:val="000000"/>
        </w:rPr>
        <w:t xml:space="preserve"> FOR SUBSTANTIAL CONTRIBUTION TO DECISION </w:t>
      </w:r>
      <w:r w:rsidR="001A5288">
        <w:rPr>
          <w:b/>
          <w:color w:val="000000"/>
        </w:rPr>
        <w:t xml:space="preserve">(D.) </w:t>
      </w:r>
      <w:r w:rsidRPr="00EA2385">
        <w:rPr>
          <w:b/>
          <w:color w:val="000000"/>
        </w:rPr>
        <w:t>2</w:t>
      </w:r>
      <w:r>
        <w:rPr>
          <w:b/>
          <w:color w:val="000000"/>
        </w:rPr>
        <w:t>5</w:t>
      </w:r>
      <w:r w:rsidRPr="00EA2385">
        <w:rPr>
          <w:b/>
          <w:color w:val="000000"/>
        </w:rPr>
        <w:t>-0</w:t>
      </w:r>
      <w:r>
        <w:rPr>
          <w:b/>
          <w:color w:val="000000"/>
        </w:rPr>
        <w:t>8</w:t>
      </w:r>
      <w:r w:rsidRPr="00EA2385">
        <w:rPr>
          <w:b/>
          <w:color w:val="000000"/>
        </w:rPr>
        <w:t>-0</w:t>
      </w:r>
      <w:r>
        <w:rPr>
          <w:b/>
          <w:color w:val="000000"/>
        </w:rPr>
        <w:t>36</w:t>
      </w:r>
    </w:p>
    <w:p w:rsidRPr="007F620E" w:rsidR="00625B30" w:rsidP="00625B30" w:rsidRDefault="00625B30" w14:paraId="1D4406A6" w14:textId="77777777">
      <w:pPr>
        <w:suppressAutoHyphens/>
        <w:rPr>
          <w:color w:val="000000"/>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63"/>
        <w:gridCol w:w="5842"/>
      </w:tblGrid>
      <w:tr w:rsidRPr="007F620E" w:rsidR="00625B30" w:rsidTr="00173B3D" w14:paraId="0E272B2D" w14:textId="77777777">
        <w:tc>
          <w:tcPr>
            <w:tcW w:w="3963" w:type="dxa"/>
          </w:tcPr>
          <w:p w:rsidRPr="00691528" w:rsidR="00625B30" w:rsidP="0036244B" w:rsidRDefault="00625B30" w14:paraId="55BFC873" w14:textId="77777777">
            <w:pPr>
              <w:tabs>
                <w:tab w:val="left" w:pos="1620"/>
                <w:tab w:val="right" w:pos="4500"/>
              </w:tabs>
              <w:rPr>
                <w:color w:val="000000"/>
              </w:rPr>
            </w:pPr>
            <w:r w:rsidRPr="007F620E">
              <w:rPr>
                <w:b/>
                <w:color w:val="000000"/>
              </w:rPr>
              <w:t>Intervenor:</w:t>
            </w:r>
            <w:r>
              <w:rPr>
                <w:b/>
                <w:color w:val="000000"/>
              </w:rPr>
              <w:t xml:space="preserve"> </w:t>
            </w:r>
            <w:r>
              <w:rPr>
                <w:bCs/>
                <w:color w:val="000000"/>
              </w:rPr>
              <w:t>The Utility Reform Network (TURN)</w:t>
            </w:r>
          </w:p>
        </w:tc>
        <w:tc>
          <w:tcPr>
            <w:tcW w:w="5842" w:type="dxa"/>
          </w:tcPr>
          <w:p w:rsidRPr="007F620E" w:rsidR="00625B30" w:rsidP="0036244B" w:rsidRDefault="00625B30" w14:paraId="3979BBD2" w14:textId="3FF7E5E8">
            <w:pPr>
              <w:tabs>
                <w:tab w:val="left" w:pos="1872"/>
                <w:tab w:val="right" w:pos="3672"/>
              </w:tabs>
              <w:rPr>
                <w:b/>
                <w:color w:val="000000"/>
              </w:rPr>
            </w:pPr>
            <w:r w:rsidRPr="007F620E">
              <w:rPr>
                <w:b/>
                <w:color w:val="000000"/>
              </w:rPr>
              <w:t xml:space="preserve">For contribution </w:t>
            </w:r>
            <w:r w:rsidRPr="00CD0AFB">
              <w:rPr>
                <w:b/>
                <w:color w:val="000000"/>
              </w:rPr>
              <w:t xml:space="preserve">to </w:t>
            </w:r>
            <w:r w:rsidRPr="00CD0AFB" w:rsidR="001928EB">
              <w:rPr>
                <w:b/>
                <w:color w:val="000000"/>
              </w:rPr>
              <w:t>(</w:t>
            </w:r>
            <w:r w:rsidRPr="00CD0AFB" w:rsidR="00FE673A">
              <w:rPr>
                <w:b/>
                <w:color w:val="000000"/>
              </w:rPr>
              <w:t>D.</w:t>
            </w:r>
            <w:r w:rsidRPr="00CD0AFB" w:rsidR="00CD0AFB">
              <w:rPr>
                <w:b/>
                <w:color w:val="000000"/>
              </w:rPr>
              <w:t xml:space="preserve">) </w:t>
            </w:r>
            <w:r w:rsidRPr="00CD0AFB" w:rsidR="00FE673A">
              <w:rPr>
                <w:b/>
                <w:color w:val="000000"/>
              </w:rPr>
              <w:t>25-0</w:t>
            </w:r>
            <w:r w:rsidRPr="00CD0AFB" w:rsidR="001F67FF">
              <w:rPr>
                <w:b/>
                <w:color w:val="000000"/>
              </w:rPr>
              <w:t>8</w:t>
            </w:r>
            <w:r w:rsidRPr="00CD0AFB" w:rsidR="00FE673A">
              <w:rPr>
                <w:b/>
                <w:color w:val="000000"/>
              </w:rPr>
              <w:t>-0</w:t>
            </w:r>
            <w:r w:rsidRPr="00CD0AFB" w:rsidR="00E3006D">
              <w:rPr>
                <w:b/>
                <w:color w:val="000000"/>
              </w:rPr>
              <w:t>36</w:t>
            </w:r>
          </w:p>
        </w:tc>
      </w:tr>
      <w:tr w:rsidRPr="007F620E" w:rsidR="00625B30" w:rsidTr="00173B3D" w14:paraId="3BAE7DD6" w14:textId="77777777">
        <w:tc>
          <w:tcPr>
            <w:tcW w:w="3963" w:type="dxa"/>
          </w:tcPr>
          <w:p w:rsidRPr="00C50837" w:rsidR="00625B30" w:rsidP="0036244B" w:rsidRDefault="00625B30" w14:paraId="0FB0268E" w14:textId="64304625">
            <w:pPr>
              <w:tabs>
                <w:tab w:val="left" w:pos="1620"/>
                <w:tab w:val="right" w:pos="4500"/>
              </w:tabs>
              <w:rPr>
                <w:b/>
                <w:color w:val="000000"/>
              </w:rPr>
            </w:pPr>
            <w:r w:rsidRPr="00C50837">
              <w:rPr>
                <w:b/>
                <w:color w:val="000000"/>
              </w:rPr>
              <w:t xml:space="preserve">Claimed:  </w:t>
            </w:r>
            <w:r w:rsidRPr="006C4DF7" w:rsidR="002D05CE">
              <w:rPr>
                <w:bCs/>
                <w:color w:val="000000"/>
              </w:rPr>
              <w:t>$2</w:t>
            </w:r>
            <w:r w:rsidRPr="006C4DF7" w:rsidR="00C50837">
              <w:rPr>
                <w:bCs/>
                <w:color w:val="000000"/>
              </w:rPr>
              <w:t>89,380.00</w:t>
            </w:r>
          </w:p>
        </w:tc>
        <w:tc>
          <w:tcPr>
            <w:tcW w:w="5842" w:type="dxa"/>
            <w:tcBorders>
              <w:bottom w:val="single" w:color="auto" w:sz="4" w:space="0"/>
            </w:tcBorders>
          </w:tcPr>
          <w:p w:rsidRPr="007F620E" w:rsidR="00625B30" w:rsidP="0036244B" w:rsidRDefault="00625B30" w14:paraId="73C3DAD1" w14:textId="47DD4895">
            <w:pPr>
              <w:tabs>
                <w:tab w:val="left" w:pos="1872"/>
                <w:tab w:val="right" w:pos="3672"/>
              </w:tabs>
              <w:rPr>
                <w:b/>
                <w:color w:val="000000"/>
                <w:u w:val="single"/>
              </w:rPr>
            </w:pPr>
            <w:r w:rsidRPr="007F620E">
              <w:rPr>
                <w:b/>
                <w:color w:val="000000"/>
              </w:rPr>
              <w:t xml:space="preserve">Awarded:  </w:t>
            </w:r>
            <w:r w:rsidRPr="006C4DF7" w:rsidR="00CC7DA2">
              <w:rPr>
                <w:bCs/>
                <w:color w:val="000000"/>
              </w:rPr>
              <w:t>$289,380.00</w:t>
            </w:r>
          </w:p>
        </w:tc>
      </w:tr>
      <w:tr w:rsidRPr="007F620E" w:rsidR="00625B30" w:rsidTr="00173B3D" w14:paraId="243EB11B" w14:textId="77777777">
        <w:tc>
          <w:tcPr>
            <w:tcW w:w="3963" w:type="dxa"/>
          </w:tcPr>
          <w:p w:rsidRPr="00691528" w:rsidR="00625B30" w:rsidP="0036244B" w:rsidRDefault="00625B30" w14:paraId="301E429A" w14:textId="222A81BF">
            <w:pPr>
              <w:tabs>
                <w:tab w:val="left" w:pos="3060"/>
                <w:tab w:val="right" w:pos="4500"/>
              </w:tabs>
              <w:rPr>
                <w:color w:val="000000"/>
                <w:u w:val="single"/>
              </w:rPr>
            </w:pPr>
            <w:r w:rsidRPr="007F620E">
              <w:rPr>
                <w:b/>
                <w:color w:val="000000"/>
              </w:rPr>
              <w:t xml:space="preserve">Assigned Commissioner: </w:t>
            </w:r>
            <w:r w:rsidR="002125D3">
              <w:rPr>
                <w:bCs/>
                <w:color w:val="000000"/>
              </w:rPr>
              <w:t>John Reynolds</w:t>
            </w:r>
            <w:r w:rsidR="002125D3">
              <w:rPr>
                <w:rStyle w:val="FootnoteReference"/>
                <w:bCs/>
                <w:color w:val="000000"/>
              </w:rPr>
              <w:footnoteReference w:id="1"/>
            </w:r>
          </w:p>
        </w:tc>
        <w:tc>
          <w:tcPr>
            <w:tcW w:w="5842" w:type="dxa"/>
          </w:tcPr>
          <w:p w:rsidRPr="00691528" w:rsidR="00625B30" w:rsidP="0036244B" w:rsidRDefault="00625B30" w14:paraId="13EDC8D8" w14:textId="21B44AF9">
            <w:pPr>
              <w:tabs>
                <w:tab w:val="left" w:pos="1872"/>
                <w:tab w:val="right" w:pos="3672"/>
              </w:tabs>
              <w:rPr>
                <w:color w:val="000000"/>
                <w:u w:val="single"/>
              </w:rPr>
            </w:pPr>
            <w:r w:rsidRPr="007F620E">
              <w:rPr>
                <w:b/>
                <w:color w:val="000000"/>
              </w:rPr>
              <w:t xml:space="preserve">Assigned ALJ: </w:t>
            </w:r>
            <w:r w:rsidRPr="006C4DF7" w:rsidR="00484E77">
              <w:rPr>
                <w:bCs/>
                <w:color w:val="000000"/>
              </w:rPr>
              <w:t>Andrew Dugowson</w:t>
            </w:r>
          </w:p>
        </w:tc>
      </w:tr>
    </w:tbl>
    <w:p w:rsidR="00625B30" w:rsidP="00C44F68" w:rsidRDefault="00625B30" w14:paraId="560B5342" w14:textId="3E70FD5D">
      <w:pPr>
        <w:keepNext/>
        <w:spacing w:before="360"/>
        <w:jc w:val="center"/>
        <w:rPr>
          <w:b/>
          <w:i/>
          <w:color w:val="000000"/>
          <w:u w:val="single"/>
        </w:rPr>
      </w:pPr>
      <w:r w:rsidRPr="007F620E">
        <w:rPr>
          <w:b/>
          <w:color w:val="000000"/>
        </w:rPr>
        <w:t>PART I</w:t>
      </w:r>
      <w:proofErr w:type="gramStart"/>
      <w:r w:rsidRPr="007F620E">
        <w:rPr>
          <w:b/>
          <w:color w:val="000000"/>
        </w:rPr>
        <w:t>:</w:t>
      </w:r>
      <w:r>
        <w:rPr>
          <w:b/>
          <w:color w:val="000000"/>
        </w:rPr>
        <w:t xml:space="preserve">  </w:t>
      </w:r>
      <w:r w:rsidRPr="007F620E">
        <w:rPr>
          <w:b/>
          <w:color w:val="000000"/>
        </w:rPr>
        <w:t>PROCEDURAL</w:t>
      </w:r>
      <w:proofErr w:type="gramEnd"/>
      <w:r w:rsidRPr="007F620E">
        <w:rPr>
          <w:b/>
          <w:color w:val="000000"/>
        </w:rPr>
        <w:t xml:space="preserve"> ISSUES</w:t>
      </w:r>
    </w:p>
    <w:p w:rsidRPr="00625B30" w:rsidR="00625B30" w:rsidP="00625B30" w:rsidRDefault="00625B30" w14:paraId="4FA04D13" w14:textId="77777777">
      <w:pPr>
        <w:keepNext/>
        <w:jc w:val="center"/>
        <w:rPr>
          <w:i/>
          <w:color w:val="000000"/>
          <w:u w:val="single"/>
        </w:rPr>
      </w:pPr>
    </w:p>
    <w:tbl>
      <w:tblPr>
        <w:tblpPr w:leftFromText="187" w:rightFromText="187" w:vertAnchor="text" w:tblpY="1"/>
        <w:tblOverlap w:val="neve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625B30" w:rsidTr="00A3535F" w14:paraId="23E65303" w14:textId="77777777">
        <w:tc>
          <w:tcPr>
            <w:tcW w:w="3708" w:type="dxa"/>
          </w:tcPr>
          <w:p w:rsidRPr="007F620E" w:rsidR="00625B30" w:rsidP="00ED55FC" w:rsidRDefault="00625B30" w14:paraId="7EF356D2" w14:textId="77777777">
            <w:pPr>
              <w:rPr>
                <w:b/>
                <w:color w:val="000000"/>
              </w:rPr>
            </w:pPr>
            <w:r w:rsidRPr="007F620E">
              <w:rPr>
                <w:b/>
                <w:color w:val="000000"/>
              </w:rPr>
              <w:t xml:space="preserve">A.  Brief description of Decision: </w:t>
            </w:r>
          </w:p>
        </w:tc>
        <w:tc>
          <w:tcPr>
            <w:tcW w:w="6120" w:type="dxa"/>
          </w:tcPr>
          <w:p w:rsidRPr="00D6593B" w:rsidR="00625B30" w:rsidP="00D6593B" w:rsidRDefault="00037366" w14:paraId="0ED531DB" w14:textId="3D5A7051">
            <w:pPr>
              <w:rPr>
                <w:bCs/>
                <w:color w:val="000000"/>
              </w:rPr>
            </w:pPr>
            <w:r w:rsidRPr="00037366">
              <w:rPr>
                <w:bCs/>
                <w:color w:val="000000"/>
              </w:rPr>
              <w:t xml:space="preserve">In D.25-08-036, the Commission </w:t>
            </w:r>
            <w:r w:rsidR="00E93B16">
              <w:rPr>
                <w:bCs/>
                <w:color w:val="000000"/>
              </w:rPr>
              <w:t xml:space="preserve">addressed </w:t>
            </w:r>
            <w:r w:rsidRPr="00037366">
              <w:rPr>
                <w:bCs/>
                <w:color w:val="000000"/>
              </w:rPr>
              <w:t>Pacific Gas and Electric Company’s</w:t>
            </w:r>
            <w:r w:rsidR="00E93B16">
              <w:rPr>
                <w:bCs/>
                <w:color w:val="000000"/>
              </w:rPr>
              <w:t xml:space="preserve"> (PG&amp;E’s)</w:t>
            </w:r>
            <w:r w:rsidRPr="00037366">
              <w:rPr>
                <w:bCs/>
                <w:color w:val="000000"/>
              </w:rPr>
              <w:t xml:space="preserve"> motion to revise the energization cost caps adopted in D.24-07-008</w:t>
            </w:r>
            <w:r w:rsidR="00E93B16">
              <w:rPr>
                <w:bCs/>
                <w:color w:val="000000"/>
              </w:rPr>
              <w:t xml:space="preserve"> pursuant to SB 410</w:t>
            </w:r>
            <w:r w:rsidRPr="00037366">
              <w:rPr>
                <w:bCs/>
                <w:color w:val="000000"/>
              </w:rPr>
              <w:t xml:space="preserve">. </w:t>
            </w:r>
            <w:r w:rsidRPr="00E41252" w:rsidR="00E41252">
              <w:rPr>
                <w:rFonts w:ascii="Helvetica" w:hAnsi="Helvetica"/>
                <w:color w:val="000000"/>
                <w:sz w:val="20"/>
                <w:szCs w:val="20"/>
                <w:lang w:eastAsia="zh-CN"/>
              </w:rPr>
              <w:t xml:space="preserve"> </w:t>
            </w:r>
            <w:r w:rsidRPr="00E41252" w:rsidR="00E41252">
              <w:rPr>
                <w:bCs/>
                <w:color w:val="000000"/>
              </w:rPr>
              <w:t>This decision denies the amounts requested by PG&amp;E for 2025 and 2026</w:t>
            </w:r>
            <w:r w:rsidR="00D6593B">
              <w:rPr>
                <w:bCs/>
                <w:color w:val="000000"/>
              </w:rPr>
              <w:t xml:space="preserve"> </w:t>
            </w:r>
            <w:r w:rsidRPr="00E41252" w:rsidR="00E41252">
              <w:rPr>
                <w:bCs/>
                <w:color w:val="000000"/>
              </w:rPr>
              <w:t>cap increases and grants lower amounts</w:t>
            </w:r>
            <w:r w:rsidR="00D6593B">
              <w:rPr>
                <w:bCs/>
                <w:color w:val="000000"/>
              </w:rPr>
              <w:t>,</w:t>
            </w:r>
            <w:r w:rsidR="00322DF8">
              <w:rPr>
                <w:bCs/>
                <w:color w:val="000000"/>
              </w:rPr>
              <w:t xml:space="preserve"> </w:t>
            </w:r>
            <w:r w:rsidRPr="00037366">
              <w:rPr>
                <w:bCs/>
                <w:color w:val="000000"/>
              </w:rPr>
              <w:t>increas</w:t>
            </w:r>
            <w:r w:rsidR="00D6593B">
              <w:rPr>
                <w:bCs/>
                <w:color w:val="000000"/>
              </w:rPr>
              <w:t>ing</w:t>
            </w:r>
            <w:r>
              <w:rPr>
                <w:bCs/>
                <w:color w:val="000000"/>
              </w:rPr>
              <w:t xml:space="preserve"> </w:t>
            </w:r>
            <w:r w:rsidRPr="00037366">
              <w:rPr>
                <w:bCs/>
                <w:color w:val="000000"/>
              </w:rPr>
              <w:t>PG&amp;E’s capital cost caps by $456 million for 2025 and $1,015.7 million for 2026</w:t>
            </w:r>
            <w:r>
              <w:rPr>
                <w:bCs/>
                <w:color w:val="000000"/>
              </w:rPr>
              <w:t xml:space="preserve">. </w:t>
            </w:r>
            <w:r w:rsidRPr="00037366">
              <w:rPr>
                <w:bCs/>
                <w:color w:val="000000"/>
              </w:rPr>
              <w:t>The Commission also approved PG&amp;E’s request for inter-year flexibility between the 2025 and 2026 caps and eliminated the secondary annual revenue requirement caps, while maintaining that all recovered costs remain subject to refund pending reasonableness review in PG&amp;E’s General Rate Case.</w:t>
            </w:r>
          </w:p>
        </w:tc>
      </w:tr>
    </w:tbl>
    <w:p w:rsidR="00625B30" w:rsidRDefault="00625B30" w14:paraId="3074DED3" w14:textId="77777777"/>
    <w:p w:rsidRPr="007F620E" w:rsidR="00625B30" w:rsidP="00C44F68" w:rsidRDefault="00625B30" w14:paraId="6916740E" w14:textId="77777777">
      <w:pPr>
        <w:keepNext/>
        <w:numPr>
          <w:ilvl w:val="0"/>
          <w:numId w:val="1"/>
        </w:numPr>
        <w:spacing w:after="240"/>
        <w:rPr>
          <w:b/>
          <w:color w:val="000000"/>
        </w:rPr>
      </w:pPr>
      <w:r w:rsidRPr="007F620E">
        <w:rPr>
          <w:b/>
          <w:color w:val="000000"/>
        </w:rPr>
        <w:lastRenderedPageBreak/>
        <w:t>Intervenor must satisfy intervenor compensation requirements set forth in Pub. Util. Code §§ 1801-1812</w:t>
      </w:r>
      <w:r>
        <w:rPr>
          <w:rStyle w:val="FootnoteReference"/>
          <w:rFonts w:eastAsiaTheme="majorEastAsia"/>
          <w:b/>
          <w:color w:val="000000"/>
        </w:rPr>
        <w:footnoteReference w:id="2"/>
      </w:r>
      <w:r w:rsidRPr="007F620E">
        <w:rPr>
          <w:b/>
          <w:color w:val="000000"/>
        </w:rPr>
        <w:t>:</w:t>
      </w:r>
    </w:p>
    <w:tbl>
      <w:tblPr>
        <w:tblpPr w:leftFromText="187" w:rightFromText="187" w:vertAnchor="text" w:tblpY="1"/>
        <w:tblOverlap w:val="neve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625B30" w:rsidTr="00ED55FC" w14:paraId="399A957E" w14:textId="77777777">
        <w:trPr>
          <w:tblHeader/>
        </w:trPr>
        <w:tc>
          <w:tcPr>
            <w:tcW w:w="4817" w:type="dxa"/>
            <w:tcBorders>
              <w:bottom w:val="single" w:color="auto" w:sz="4" w:space="0"/>
            </w:tcBorders>
          </w:tcPr>
          <w:p w:rsidRPr="007F620E" w:rsidR="00625B30" w:rsidP="00ED55FC" w:rsidRDefault="00625B30" w14:paraId="1D6F2E4E" w14:textId="77777777">
            <w:pPr>
              <w:tabs>
                <w:tab w:val="left" w:pos="360"/>
              </w:tabs>
              <w:jc w:val="center"/>
              <w:rPr>
                <w:color w:val="000000"/>
              </w:rPr>
            </w:pPr>
          </w:p>
        </w:tc>
        <w:tc>
          <w:tcPr>
            <w:tcW w:w="2267" w:type="dxa"/>
            <w:tcBorders>
              <w:bottom w:val="single" w:color="auto" w:sz="4" w:space="0"/>
            </w:tcBorders>
          </w:tcPr>
          <w:p w:rsidRPr="007F620E" w:rsidR="00625B30" w:rsidP="00ED55FC" w:rsidRDefault="00625B30" w14:paraId="4D502B6B"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625B30" w:rsidP="00ED55FC" w:rsidRDefault="00625B30" w14:paraId="179E93D8" w14:textId="77777777">
            <w:pPr>
              <w:tabs>
                <w:tab w:val="left" w:pos="360"/>
              </w:tabs>
              <w:jc w:val="center"/>
              <w:rPr>
                <w:b/>
                <w:color w:val="000000"/>
              </w:rPr>
            </w:pPr>
            <w:r w:rsidRPr="007F620E">
              <w:rPr>
                <w:b/>
                <w:color w:val="000000"/>
              </w:rPr>
              <w:t xml:space="preserve">CPUC </w:t>
            </w:r>
            <w:r>
              <w:rPr>
                <w:b/>
                <w:color w:val="000000"/>
              </w:rPr>
              <w:t>Verification</w:t>
            </w:r>
          </w:p>
        </w:tc>
      </w:tr>
      <w:tr w:rsidRPr="007F620E" w:rsidR="00625B30" w:rsidTr="00ED55FC" w14:paraId="30C1C53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625B30" w:rsidP="00ED55FC" w:rsidRDefault="00625B30" w14:paraId="7A65DC4F" w14:textId="77777777">
            <w:pPr>
              <w:keepNext/>
              <w:tabs>
                <w:tab w:val="left" w:pos="360"/>
              </w:tabs>
              <w:jc w:val="center"/>
              <w:rPr>
                <w:b/>
              </w:rPr>
            </w:pPr>
            <w:r w:rsidRPr="007F620E">
              <w:rPr>
                <w:b/>
              </w:rPr>
              <w:t>Timely filing of notice of intent to claim compensation (NOI) (§ 1804(a)):</w:t>
            </w:r>
          </w:p>
        </w:tc>
      </w:tr>
      <w:tr w:rsidRPr="007F620E" w:rsidR="00625B30" w:rsidTr="00A3535F" w14:paraId="29C972CE" w14:textId="77777777">
        <w:tc>
          <w:tcPr>
            <w:tcW w:w="4817" w:type="dxa"/>
            <w:tcBorders>
              <w:top w:val="single" w:color="auto" w:sz="4" w:space="0"/>
            </w:tcBorders>
          </w:tcPr>
          <w:p w:rsidRPr="007F620E" w:rsidR="00625B30" w:rsidP="00ED55FC" w:rsidRDefault="00625B30" w14:paraId="14B80595" w14:textId="77777777">
            <w:pPr>
              <w:keepNext/>
              <w:tabs>
                <w:tab w:val="left" w:pos="360"/>
              </w:tabs>
              <w:ind w:left="360" w:hanging="360"/>
              <w:rPr>
                <w:color w:val="000000"/>
              </w:rPr>
            </w:pPr>
            <w:r w:rsidRPr="007F620E">
              <w:rPr>
                <w:color w:val="000000"/>
              </w:rPr>
              <w:t>1.</w:t>
            </w:r>
            <w:r>
              <w:rPr>
                <w:color w:val="000000"/>
              </w:rPr>
              <w:tab/>
            </w:r>
            <w:r w:rsidRPr="007F620E">
              <w:rPr>
                <w:color w:val="000000"/>
              </w:rPr>
              <w:t>Date of Prehearing Conference:</w:t>
            </w:r>
          </w:p>
        </w:tc>
        <w:tc>
          <w:tcPr>
            <w:tcW w:w="2267" w:type="dxa"/>
            <w:tcBorders>
              <w:top w:val="single" w:color="auto" w:sz="4" w:space="0"/>
            </w:tcBorders>
          </w:tcPr>
          <w:p w:rsidRPr="007F620E" w:rsidR="00625B30" w:rsidP="00ED55FC" w:rsidRDefault="00EB5783" w14:paraId="72BAF1DA" w14:textId="1D817EAE">
            <w:pPr>
              <w:keepNext/>
              <w:keepLines/>
              <w:tabs>
                <w:tab w:val="left" w:pos="360"/>
              </w:tabs>
              <w:ind w:left="360" w:hanging="360"/>
              <w:rPr>
                <w:color w:val="000000"/>
              </w:rPr>
            </w:pPr>
            <w:r>
              <w:rPr>
                <w:color w:val="000000"/>
              </w:rPr>
              <w:t>N/A</w:t>
            </w:r>
          </w:p>
        </w:tc>
        <w:tc>
          <w:tcPr>
            <w:tcW w:w="2276" w:type="dxa"/>
            <w:tcBorders>
              <w:top w:val="single" w:color="auto" w:sz="4" w:space="0"/>
            </w:tcBorders>
          </w:tcPr>
          <w:p w:rsidRPr="007F620E" w:rsidR="00625B30" w:rsidP="00FA06E1" w:rsidRDefault="00625B30" w14:paraId="08DD3867" w14:textId="77777777">
            <w:pPr>
              <w:keepNext/>
              <w:tabs>
                <w:tab w:val="left" w:pos="360"/>
              </w:tabs>
              <w:jc w:val="center"/>
              <w:rPr>
                <w:color w:val="000000"/>
              </w:rPr>
            </w:pPr>
          </w:p>
        </w:tc>
      </w:tr>
      <w:tr w:rsidRPr="007F620E" w:rsidR="00625B30" w:rsidTr="00A3535F" w14:paraId="4988EACE" w14:textId="77777777">
        <w:tc>
          <w:tcPr>
            <w:tcW w:w="4817" w:type="dxa"/>
          </w:tcPr>
          <w:p w:rsidRPr="007F620E" w:rsidR="00625B30" w:rsidP="00ED55FC" w:rsidRDefault="00625B30" w14:paraId="304602D5" w14:textId="77777777">
            <w:pPr>
              <w:tabs>
                <w:tab w:val="left" w:pos="360"/>
              </w:tabs>
              <w:ind w:left="360" w:hanging="360"/>
              <w:rPr>
                <w:color w:val="000000"/>
              </w:rPr>
            </w:pPr>
            <w:r w:rsidRPr="007F620E">
              <w:rPr>
                <w:color w:val="000000"/>
              </w:rPr>
              <w:t>2.</w:t>
            </w:r>
            <w:r>
              <w:rPr>
                <w:color w:val="000000"/>
              </w:rPr>
              <w:tab/>
            </w:r>
            <w:r w:rsidRPr="007F620E">
              <w:rPr>
                <w:color w:val="000000"/>
              </w:rPr>
              <w:t>Other specified date for NOI:</w:t>
            </w:r>
          </w:p>
        </w:tc>
        <w:tc>
          <w:tcPr>
            <w:tcW w:w="2267" w:type="dxa"/>
          </w:tcPr>
          <w:p w:rsidRPr="007F620E" w:rsidR="00625B30" w:rsidP="00ED55FC" w:rsidRDefault="005660A6" w14:paraId="08E76F7D" w14:textId="4F81164A">
            <w:pPr>
              <w:keepNext/>
              <w:keepLines/>
              <w:tabs>
                <w:tab w:val="left" w:pos="360"/>
              </w:tabs>
              <w:ind w:left="360" w:hanging="360"/>
              <w:rPr>
                <w:color w:val="000000"/>
              </w:rPr>
            </w:pPr>
            <w:r>
              <w:rPr>
                <w:color w:val="000000"/>
              </w:rPr>
              <w:t>N/A</w:t>
            </w:r>
          </w:p>
        </w:tc>
        <w:tc>
          <w:tcPr>
            <w:tcW w:w="2276" w:type="dxa"/>
          </w:tcPr>
          <w:p w:rsidRPr="007F620E" w:rsidR="00625B30" w:rsidP="00FA06E1" w:rsidRDefault="00FA06E1" w14:paraId="31ACB42D" w14:textId="77E0F02B">
            <w:pPr>
              <w:tabs>
                <w:tab w:val="left" w:pos="360"/>
              </w:tabs>
              <w:jc w:val="center"/>
              <w:rPr>
                <w:color w:val="000000"/>
              </w:rPr>
            </w:pPr>
            <w:r>
              <w:rPr>
                <w:color w:val="000000"/>
              </w:rPr>
              <w:t xml:space="preserve">Amended Scoping </w:t>
            </w:r>
            <w:r w:rsidR="00A3535F">
              <w:rPr>
                <w:color w:val="000000"/>
              </w:rPr>
              <w:t>Ruling issued</w:t>
            </w:r>
            <w:r>
              <w:rPr>
                <w:color w:val="000000"/>
              </w:rPr>
              <w:t xml:space="preserve"> </w:t>
            </w:r>
            <w:r w:rsidR="00A3535F">
              <w:rPr>
                <w:color w:val="000000"/>
              </w:rPr>
              <w:t>10/18/2024 at p</w:t>
            </w:r>
            <w:r w:rsidR="00CB23BB">
              <w:rPr>
                <w:color w:val="000000"/>
              </w:rPr>
              <w:t>age</w:t>
            </w:r>
            <w:r w:rsidR="000A6040">
              <w:rPr>
                <w:color w:val="000000"/>
              </w:rPr>
              <w:t xml:space="preserve"> </w:t>
            </w:r>
            <w:r w:rsidR="00A3535F">
              <w:rPr>
                <w:color w:val="000000"/>
              </w:rPr>
              <w:t>7 states “</w:t>
            </w:r>
            <w:r w:rsidRPr="00A3535F" w:rsidR="00A3535F">
              <w:rPr>
                <w:color w:val="000000"/>
              </w:rPr>
              <w:t>parties seeking intervenor compensation related to this amended Scoping Memo that have not already filed a notice of intent (NOI) to claim intervenor compensation in R.24-01-018 to be authorized to file an NOI within 30 days of the issuance of this amended Scoping Memo.</w:t>
            </w:r>
            <w:r w:rsidR="00A3535F">
              <w:rPr>
                <w:color w:val="000000"/>
              </w:rPr>
              <w:t>”</w:t>
            </w:r>
          </w:p>
        </w:tc>
      </w:tr>
      <w:tr w:rsidRPr="007F620E" w:rsidR="00625B30" w:rsidTr="00A3535F" w14:paraId="62DE5447" w14:textId="77777777">
        <w:tc>
          <w:tcPr>
            <w:tcW w:w="4817" w:type="dxa"/>
          </w:tcPr>
          <w:p w:rsidRPr="007F620E" w:rsidR="00625B30" w:rsidP="00ED55FC" w:rsidRDefault="00625B30" w14:paraId="24A4AD1D" w14:textId="77777777">
            <w:pPr>
              <w:tabs>
                <w:tab w:val="left" w:pos="360"/>
              </w:tabs>
              <w:ind w:left="360" w:hanging="360"/>
              <w:rPr>
                <w:color w:val="000000"/>
              </w:rPr>
            </w:pPr>
            <w:r w:rsidRPr="007F620E">
              <w:rPr>
                <w:color w:val="000000"/>
              </w:rPr>
              <w:t>3.</w:t>
            </w:r>
            <w:r>
              <w:rPr>
                <w:color w:val="000000"/>
              </w:rPr>
              <w:tab/>
            </w:r>
            <w:r w:rsidRPr="007F620E">
              <w:rPr>
                <w:color w:val="000000"/>
              </w:rPr>
              <w:t>Date NOI filed:</w:t>
            </w:r>
          </w:p>
        </w:tc>
        <w:tc>
          <w:tcPr>
            <w:tcW w:w="2267" w:type="dxa"/>
            <w:tcBorders>
              <w:bottom w:val="single" w:color="auto" w:sz="4" w:space="0"/>
            </w:tcBorders>
          </w:tcPr>
          <w:p w:rsidRPr="007F620E" w:rsidR="00625B30" w:rsidP="00ED55FC" w:rsidRDefault="00AD0A1F" w14:paraId="5C9207ED" w14:textId="48AB2142">
            <w:pPr>
              <w:keepNext/>
              <w:keepLines/>
              <w:tabs>
                <w:tab w:val="left" w:pos="360"/>
              </w:tabs>
              <w:ind w:left="360" w:hanging="360"/>
              <w:rPr>
                <w:color w:val="000000"/>
              </w:rPr>
            </w:pPr>
            <w:r>
              <w:rPr>
                <w:color w:val="000000"/>
              </w:rPr>
              <w:t>11</w:t>
            </w:r>
            <w:r w:rsidR="00EA146E">
              <w:rPr>
                <w:color w:val="000000"/>
              </w:rPr>
              <w:t>/</w:t>
            </w:r>
            <w:r>
              <w:rPr>
                <w:color w:val="000000"/>
              </w:rPr>
              <w:t>18</w:t>
            </w:r>
            <w:r w:rsidR="00EA146E">
              <w:rPr>
                <w:color w:val="000000"/>
              </w:rPr>
              <w:t>/2024</w:t>
            </w:r>
          </w:p>
        </w:tc>
        <w:tc>
          <w:tcPr>
            <w:tcW w:w="2276" w:type="dxa"/>
            <w:tcBorders>
              <w:bottom w:val="single" w:color="auto" w:sz="4" w:space="0"/>
            </w:tcBorders>
          </w:tcPr>
          <w:p w:rsidRPr="007F620E" w:rsidR="00625B30" w:rsidP="00FA06E1" w:rsidRDefault="00FA06E1" w14:paraId="6946F97E" w14:textId="3E795053">
            <w:pPr>
              <w:tabs>
                <w:tab w:val="left" w:pos="360"/>
              </w:tabs>
              <w:jc w:val="center"/>
              <w:rPr>
                <w:color w:val="000000"/>
              </w:rPr>
            </w:pPr>
            <w:r>
              <w:rPr>
                <w:color w:val="000000"/>
              </w:rPr>
              <w:t>Verified</w:t>
            </w:r>
          </w:p>
        </w:tc>
      </w:tr>
      <w:tr w:rsidRPr="007F620E" w:rsidR="00625B30" w:rsidTr="00ED55FC" w14:paraId="69CAF72E" w14:textId="77777777">
        <w:tc>
          <w:tcPr>
            <w:tcW w:w="7084" w:type="dxa"/>
            <w:gridSpan w:val="2"/>
            <w:tcBorders>
              <w:bottom w:val="single" w:color="auto" w:sz="4" w:space="0"/>
            </w:tcBorders>
          </w:tcPr>
          <w:p w:rsidRPr="007F620E" w:rsidR="00625B30" w:rsidP="00ED55FC" w:rsidRDefault="00625B30" w14:paraId="06540B27" w14:textId="77777777">
            <w:pPr>
              <w:tabs>
                <w:tab w:val="left" w:pos="360"/>
              </w:tabs>
              <w:ind w:left="360" w:hanging="360"/>
              <w:rPr>
                <w:color w:val="000000"/>
              </w:rPr>
            </w:pPr>
            <w:r w:rsidRPr="007F620E">
              <w:rPr>
                <w:color w:val="000000"/>
              </w:rPr>
              <w:t>4.</w:t>
            </w:r>
            <w:r>
              <w:rPr>
                <w:color w:val="000000"/>
              </w:rPr>
              <w:tab/>
            </w:r>
            <w:r w:rsidRPr="007F620E">
              <w:rPr>
                <w:color w:val="000000"/>
              </w:rPr>
              <w:t>Was the NOI timely filed?</w:t>
            </w:r>
          </w:p>
        </w:tc>
        <w:tc>
          <w:tcPr>
            <w:tcW w:w="2276" w:type="dxa"/>
            <w:tcBorders>
              <w:bottom w:val="single" w:color="auto" w:sz="4" w:space="0"/>
            </w:tcBorders>
          </w:tcPr>
          <w:p w:rsidRPr="007F620E" w:rsidR="00625B30" w:rsidP="00FA06E1" w:rsidRDefault="00FA06E1" w14:paraId="613C8519" w14:textId="1B27BA30">
            <w:pPr>
              <w:tabs>
                <w:tab w:val="left" w:pos="360"/>
              </w:tabs>
              <w:jc w:val="center"/>
              <w:rPr>
                <w:color w:val="000000"/>
              </w:rPr>
            </w:pPr>
            <w:r>
              <w:rPr>
                <w:color w:val="000000"/>
              </w:rPr>
              <w:t>Yes</w:t>
            </w:r>
          </w:p>
        </w:tc>
      </w:tr>
      <w:tr w:rsidRPr="007F620E" w:rsidR="00625B30" w:rsidTr="00ED55FC" w14:paraId="132BA11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625B30" w:rsidP="00ED55FC" w:rsidRDefault="00625B30" w14:paraId="2A799D84" w14:textId="77777777">
            <w:pPr>
              <w:keepNext/>
              <w:keepLines/>
              <w:tabs>
                <w:tab w:val="left" w:pos="360"/>
              </w:tabs>
              <w:jc w:val="center"/>
              <w:rPr>
                <w:b/>
                <w:color w:val="000000"/>
              </w:rPr>
            </w:pPr>
            <w:r w:rsidRPr="007F620E">
              <w:rPr>
                <w:b/>
                <w:color w:val="000000"/>
              </w:rPr>
              <w:t>Showing of eligible customer status (§ 1802(b)</w:t>
            </w:r>
            <w:r>
              <w:rPr>
                <w:b/>
                <w:color w:val="000000"/>
              </w:rPr>
              <w:t>)</w:t>
            </w:r>
          </w:p>
          <w:p w:rsidRPr="007F620E" w:rsidR="00625B30" w:rsidP="00ED55FC" w:rsidRDefault="00625B30" w14:paraId="169CA9D2" w14:textId="77777777">
            <w:pPr>
              <w:keepNext/>
              <w:keepLines/>
              <w:tabs>
                <w:tab w:val="left" w:pos="360"/>
              </w:tabs>
              <w:jc w:val="center"/>
              <w:rPr>
                <w:b/>
                <w:color w:val="000000"/>
              </w:rPr>
            </w:pPr>
            <w:r w:rsidRPr="007F620E">
              <w:rPr>
                <w:b/>
                <w:color w:val="000000"/>
              </w:rPr>
              <w:t xml:space="preserve"> or eligible local government entity </w:t>
            </w:r>
            <w:r>
              <w:rPr>
                <w:b/>
                <w:color w:val="000000"/>
              </w:rPr>
              <w:t xml:space="preserve">status </w:t>
            </w:r>
            <w:r w:rsidRPr="007F620E">
              <w:rPr>
                <w:b/>
                <w:color w:val="000000"/>
              </w:rPr>
              <w:t>(§§ 1802(d), 1802.4):</w:t>
            </w:r>
          </w:p>
        </w:tc>
      </w:tr>
      <w:tr w:rsidRPr="007F620E" w:rsidR="00625B30" w:rsidTr="00A3535F" w14:paraId="4D9BC127" w14:textId="77777777">
        <w:tc>
          <w:tcPr>
            <w:tcW w:w="4817" w:type="dxa"/>
            <w:tcBorders>
              <w:top w:val="single" w:color="auto" w:sz="4" w:space="0"/>
            </w:tcBorders>
          </w:tcPr>
          <w:p w:rsidRPr="007F620E" w:rsidR="00625B30" w:rsidP="00ED55FC" w:rsidRDefault="00625B30" w14:paraId="0BD024AF" w14:textId="77777777">
            <w:pPr>
              <w:keepNext/>
              <w:keepLines/>
              <w:ind w:left="360" w:hanging="360"/>
              <w:rPr>
                <w:color w:val="000000"/>
              </w:rPr>
            </w:pPr>
            <w:r w:rsidRPr="007F620E">
              <w:rPr>
                <w:color w:val="000000"/>
              </w:rPr>
              <w:t>5.</w:t>
            </w:r>
            <w:r>
              <w:rPr>
                <w:color w:val="000000"/>
              </w:rPr>
              <w:tab/>
            </w:r>
            <w:r w:rsidRPr="007F620E">
              <w:rPr>
                <w:color w:val="000000"/>
              </w:rPr>
              <w:t>Based on ALJ ruling issued in proceeding   number:</w:t>
            </w:r>
          </w:p>
        </w:tc>
        <w:tc>
          <w:tcPr>
            <w:tcW w:w="2267" w:type="dxa"/>
            <w:tcBorders>
              <w:top w:val="single" w:color="auto" w:sz="4" w:space="0"/>
            </w:tcBorders>
          </w:tcPr>
          <w:p w:rsidRPr="005660A6" w:rsidR="005660A6" w:rsidP="005660A6" w:rsidRDefault="005660A6" w14:paraId="6B4AE975" w14:textId="06A66B9D">
            <w:pPr>
              <w:rPr>
                <w:color w:val="000000"/>
              </w:rPr>
            </w:pPr>
            <w:r w:rsidRPr="005660A6">
              <w:rPr>
                <w:color w:val="000000"/>
              </w:rPr>
              <w:t>A.</w:t>
            </w:r>
            <w:r w:rsidR="00EA146E">
              <w:rPr>
                <w:color w:val="000000"/>
              </w:rPr>
              <w:t>23-06-008</w:t>
            </w:r>
          </w:p>
          <w:p w:rsidRPr="007F620E" w:rsidR="00625B30" w:rsidP="00ED55FC" w:rsidRDefault="00625B30" w14:paraId="4B1C16EE" w14:textId="70955EBB">
            <w:pPr>
              <w:keepNext/>
              <w:keepLines/>
              <w:tabs>
                <w:tab w:val="left" w:pos="360"/>
              </w:tabs>
              <w:ind w:left="360" w:hanging="360"/>
              <w:rPr>
                <w:color w:val="000000"/>
              </w:rPr>
            </w:pPr>
          </w:p>
        </w:tc>
        <w:tc>
          <w:tcPr>
            <w:tcW w:w="2276" w:type="dxa"/>
            <w:tcBorders>
              <w:top w:val="single" w:color="auto" w:sz="4" w:space="0"/>
            </w:tcBorders>
          </w:tcPr>
          <w:p w:rsidRPr="007F620E" w:rsidR="00625B30" w:rsidP="00A3535F" w:rsidRDefault="00A3535F" w14:paraId="0FA87BA2" w14:textId="18FDA0D8">
            <w:pPr>
              <w:keepNext/>
              <w:keepLines/>
              <w:tabs>
                <w:tab w:val="left" w:pos="360"/>
              </w:tabs>
              <w:jc w:val="center"/>
              <w:rPr>
                <w:color w:val="000000"/>
              </w:rPr>
            </w:pPr>
            <w:r>
              <w:rPr>
                <w:color w:val="000000"/>
              </w:rPr>
              <w:t>Verified</w:t>
            </w:r>
          </w:p>
        </w:tc>
      </w:tr>
      <w:tr w:rsidRPr="007F620E" w:rsidR="00625B30" w:rsidTr="00A3535F" w14:paraId="0DD8BF7E" w14:textId="77777777">
        <w:tc>
          <w:tcPr>
            <w:tcW w:w="4817" w:type="dxa"/>
          </w:tcPr>
          <w:p w:rsidRPr="007F620E" w:rsidR="00625B30" w:rsidP="00ED55FC" w:rsidRDefault="00625B30" w14:paraId="6B4DE40F" w14:textId="77777777">
            <w:pPr>
              <w:tabs>
                <w:tab w:val="left" w:pos="360"/>
              </w:tabs>
              <w:ind w:left="360" w:hanging="360"/>
              <w:rPr>
                <w:color w:val="000000"/>
              </w:rPr>
            </w:pPr>
            <w:r w:rsidRPr="007F620E">
              <w:rPr>
                <w:color w:val="000000"/>
              </w:rPr>
              <w:t>6.</w:t>
            </w:r>
            <w:r>
              <w:rPr>
                <w:color w:val="000000"/>
              </w:rPr>
              <w:tab/>
            </w:r>
            <w:r w:rsidRPr="007F620E">
              <w:rPr>
                <w:color w:val="000000"/>
              </w:rPr>
              <w:t>Date of ALJ ruling:</w:t>
            </w:r>
          </w:p>
        </w:tc>
        <w:tc>
          <w:tcPr>
            <w:tcW w:w="2267" w:type="dxa"/>
          </w:tcPr>
          <w:p w:rsidRPr="007F620E" w:rsidR="00625B30" w:rsidP="00ED55FC" w:rsidRDefault="005660A6" w14:paraId="26330D0F" w14:textId="3B864856">
            <w:pPr>
              <w:tabs>
                <w:tab w:val="left" w:pos="360"/>
              </w:tabs>
              <w:ind w:left="360" w:hanging="360"/>
              <w:rPr>
                <w:color w:val="000000"/>
              </w:rPr>
            </w:pPr>
            <w:r>
              <w:rPr>
                <w:color w:val="000000"/>
              </w:rPr>
              <w:t>3/20/2024</w:t>
            </w:r>
          </w:p>
        </w:tc>
        <w:tc>
          <w:tcPr>
            <w:tcW w:w="2276" w:type="dxa"/>
          </w:tcPr>
          <w:p w:rsidRPr="007F620E" w:rsidR="00625B30" w:rsidP="00A3535F" w:rsidRDefault="00A3535F" w14:paraId="0F88CACC" w14:textId="323ECCEA">
            <w:pPr>
              <w:tabs>
                <w:tab w:val="left" w:pos="360"/>
              </w:tabs>
              <w:jc w:val="center"/>
              <w:rPr>
                <w:color w:val="000000"/>
              </w:rPr>
            </w:pPr>
            <w:r>
              <w:rPr>
                <w:color w:val="000000"/>
              </w:rPr>
              <w:t>Verified</w:t>
            </w:r>
          </w:p>
        </w:tc>
      </w:tr>
      <w:tr w:rsidRPr="007F620E" w:rsidR="00625B30" w:rsidTr="00A3535F" w14:paraId="29CED8DF" w14:textId="77777777">
        <w:tc>
          <w:tcPr>
            <w:tcW w:w="4817" w:type="dxa"/>
          </w:tcPr>
          <w:p w:rsidRPr="007F620E" w:rsidR="00625B30" w:rsidP="00ED55FC" w:rsidRDefault="00625B30" w14:paraId="4F36EDE9" w14:textId="77777777">
            <w:pPr>
              <w:tabs>
                <w:tab w:val="left" w:pos="360"/>
              </w:tabs>
              <w:ind w:left="360" w:hanging="360"/>
              <w:rPr>
                <w:color w:val="000000"/>
              </w:rPr>
            </w:pPr>
            <w:r w:rsidRPr="007F620E">
              <w:rPr>
                <w:color w:val="000000"/>
              </w:rPr>
              <w:t>7.</w:t>
            </w:r>
            <w:r>
              <w:rPr>
                <w:color w:val="000000"/>
              </w:rPr>
              <w:tab/>
            </w:r>
            <w:r w:rsidRPr="007F620E">
              <w:rPr>
                <w:color w:val="000000"/>
              </w:rPr>
              <w:t>Based on another CPUC determination (specify):</w:t>
            </w:r>
          </w:p>
        </w:tc>
        <w:tc>
          <w:tcPr>
            <w:tcW w:w="2267" w:type="dxa"/>
            <w:tcBorders>
              <w:bottom w:val="single" w:color="auto" w:sz="4" w:space="0"/>
            </w:tcBorders>
          </w:tcPr>
          <w:p w:rsidRPr="007F620E" w:rsidR="00625B30" w:rsidP="00ED55FC" w:rsidRDefault="00625B30" w14:paraId="0951D2C6" w14:textId="77777777">
            <w:pPr>
              <w:tabs>
                <w:tab w:val="left" w:pos="360"/>
              </w:tabs>
              <w:ind w:left="360" w:hanging="360"/>
              <w:rPr>
                <w:color w:val="000000"/>
              </w:rPr>
            </w:pPr>
          </w:p>
        </w:tc>
        <w:tc>
          <w:tcPr>
            <w:tcW w:w="2276" w:type="dxa"/>
            <w:tcBorders>
              <w:bottom w:val="single" w:color="auto" w:sz="4" w:space="0"/>
            </w:tcBorders>
          </w:tcPr>
          <w:p w:rsidRPr="007F620E" w:rsidR="00625B30" w:rsidP="00A3535F" w:rsidRDefault="00625B30" w14:paraId="230FA237" w14:textId="77777777">
            <w:pPr>
              <w:tabs>
                <w:tab w:val="left" w:pos="360"/>
              </w:tabs>
              <w:jc w:val="center"/>
              <w:rPr>
                <w:color w:val="000000"/>
              </w:rPr>
            </w:pPr>
          </w:p>
        </w:tc>
      </w:tr>
      <w:tr w:rsidRPr="007F620E" w:rsidR="00625B30" w:rsidTr="00ED55FC" w14:paraId="31F5B12F" w14:textId="77777777">
        <w:tc>
          <w:tcPr>
            <w:tcW w:w="7084" w:type="dxa"/>
            <w:gridSpan w:val="2"/>
            <w:tcBorders>
              <w:bottom w:val="single" w:color="auto" w:sz="4" w:space="0"/>
            </w:tcBorders>
          </w:tcPr>
          <w:p w:rsidRPr="007F620E" w:rsidR="00625B30" w:rsidP="00ED55FC" w:rsidRDefault="00625B30" w14:paraId="7F62A206" w14:textId="77777777">
            <w:pPr>
              <w:tabs>
                <w:tab w:val="left" w:pos="360"/>
              </w:tabs>
              <w:ind w:left="360" w:hanging="360"/>
              <w:rPr>
                <w:color w:val="000000"/>
              </w:rPr>
            </w:pPr>
            <w:r w:rsidRPr="007F620E">
              <w:rPr>
                <w:color w:val="000000"/>
              </w:rPr>
              <w:t>8.</w:t>
            </w:r>
            <w:r>
              <w:rPr>
                <w:color w:val="000000"/>
              </w:rPr>
              <w:tab/>
            </w:r>
            <w:r w:rsidRPr="007F620E">
              <w:rPr>
                <w:color w:val="000000"/>
              </w:rPr>
              <w:t xml:space="preserve">Has the Intervenor demonstrated </w:t>
            </w:r>
            <w:r w:rsidRPr="00ED6B6B">
              <w:t>customer</w:t>
            </w:r>
            <w:r w:rsidRPr="007F620E">
              <w:rPr>
                <w:color w:val="000000"/>
              </w:rPr>
              <w:t xml:space="preserve"> </w:t>
            </w:r>
            <w:r>
              <w:rPr>
                <w:color w:val="000000"/>
              </w:rPr>
              <w:t>status or eligible government entity status</w:t>
            </w:r>
            <w:r w:rsidRPr="007F620E">
              <w:rPr>
                <w:color w:val="000000"/>
              </w:rPr>
              <w:t>?</w:t>
            </w:r>
          </w:p>
        </w:tc>
        <w:tc>
          <w:tcPr>
            <w:tcW w:w="2276" w:type="dxa"/>
            <w:tcBorders>
              <w:bottom w:val="single" w:color="auto" w:sz="4" w:space="0"/>
            </w:tcBorders>
          </w:tcPr>
          <w:p w:rsidRPr="007F620E" w:rsidR="00625B30" w:rsidP="00A3535F" w:rsidRDefault="00A3535F" w14:paraId="05EEB72B" w14:textId="0BC84C12">
            <w:pPr>
              <w:tabs>
                <w:tab w:val="left" w:pos="360"/>
              </w:tabs>
              <w:jc w:val="center"/>
              <w:rPr>
                <w:color w:val="000000"/>
              </w:rPr>
            </w:pPr>
            <w:r>
              <w:rPr>
                <w:color w:val="000000"/>
              </w:rPr>
              <w:t>Yes</w:t>
            </w:r>
          </w:p>
        </w:tc>
      </w:tr>
      <w:tr w:rsidRPr="007F620E" w:rsidR="00625B30" w:rsidTr="00ED55FC" w14:paraId="0D3F0494"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625B30" w:rsidP="00ED55FC" w:rsidRDefault="00625B30" w14:paraId="399B1345" w14:textId="77777777">
            <w:pPr>
              <w:keepNext/>
              <w:tabs>
                <w:tab w:val="left" w:pos="360"/>
              </w:tabs>
              <w:jc w:val="center"/>
              <w:rPr>
                <w:color w:val="000000"/>
              </w:rPr>
            </w:pPr>
            <w:r w:rsidRPr="007F620E">
              <w:rPr>
                <w:b/>
                <w:color w:val="000000"/>
              </w:rPr>
              <w:t>Showing of “significant financial hardship” (§1802(</w:t>
            </w:r>
            <w:r>
              <w:rPr>
                <w:b/>
                <w:color w:val="000000"/>
              </w:rPr>
              <w:t>h</w:t>
            </w:r>
            <w:r w:rsidRPr="007F620E">
              <w:rPr>
                <w:b/>
                <w:color w:val="000000"/>
              </w:rPr>
              <w:t>) or §1803.1(b))</w:t>
            </w:r>
            <w:r>
              <w:rPr>
                <w:b/>
                <w:color w:val="000000"/>
              </w:rPr>
              <w:t>:</w:t>
            </w:r>
          </w:p>
        </w:tc>
      </w:tr>
      <w:tr w:rsidRPr="007F620E" w:rsidR="00625B30" w:rsidTr="00A3535F" w14:paraId="565C1DE7" w14:textId="77777777">
        <w:tc>
          <w:tcPr>
            <w:tcW w:w="4817" w:type="dxa"/>
            <w:tcBorders>
              <w:top w:val="single" w:color="auto" w:sz="4" w:space="0"/>
            </w:tcBorders>
          </w:tcPr>
          <w:p w:rsidRPr="007F620E" w:rsidR="00625B30" w:rsidP="00ED55FC" w:rsidRDefault="00625B30" w14:paraId="459F5252" w14:textId="77777777">
            <w:pPr>
              <w:tabs>
                <w:tab w:val="left" w:pos="315"/>
              </w:tabs>
              <w:ind w:left="360" w:hanging="360"/>
              <w:rPr>
                <w:color w:val="000000"/>
              </w:rPr>
            </w:pPr>
            <w:r w:rsidRPr="007F620E">
              <w:rPr>
                <w:color w:val="000000"/>
              </w:rPr>
              <w:lastRenderedPageBreak/>
              <w:t>9.</w:t>
            </w:r>
            <w:r>
              <w:rPr>
                <w:color w:val="000000"/>
              </w:rPr>
              <w:tab/>
            </w:r>
            <w:r w:rsidRPr="007F620E">
              <w:rPr>
                <w:color w:val="000000"/>
              </w:rPr>
              <w:t>Based on ALJ ruling issued in proceeding number:</w:t>
            </w:r>
          </w:p>
        </w:tc>
        <w:tc>
          <w:tcPr>
            <w:tcW w:w="2267" w:type="dxa"/>
            <w:tcBorders>
              <w:top w:val="single" w:color="auto" w:sz="4" w:space="0"/>
            </w:tcBorders>
          </w:tcPr>
          <w:p w:rsidRPr="005660A6" w:rsidR="005660A6" w:rsidP="005660A6" w:rsidRDefault="005660A6" w14:paraId="171245BB" w14:textId="77777777">
            <w:pPr>
              <w:rPr>
                <w:color w:val="000000"/>
              </w:rPr>
            </w:pPr>
            <w:r w:rsidRPr="005660A6">
              <w:rPr>
                <w:color w:val="000000"/>
              </w:rPr>
              <w:t>A.23-06-008</w:t>
            </w:r>
          </w:p>
          <w:p w:rsidRPr="007F620E" w:rsidR="00625B30" w:rsidP="00ED55FC" w:rsidRDefault="00625B30" w14:paraId="0C25E23E" w14:textId="69C07340">
            <w:pPr>
              <w:tabs>
                <w:tab w:val="left" w:pos="360"/>
              </w:tabs>
              <w:ind w:left="360" w:hanging="360"/>
              <w:rPr>
                <w:color w:val="000000"/>
              </w:rPr>
            </w:pPr>
          </w:p>
        </w:tc>
        <w:tc>
          <w:tcPr>
            <w:tcW w:w="2276" w:type="dxa"/>
            <w:tcBorders>
              <w:top w:val="single" w:color="auto" w:sz="4" w:space="0"/>
            </w:tcBorders>
          </w:tcPr>
          <w:p w:rsidRPr="007F620E" w:rsidR="00625B30" w:rsidP="00A3535F" w:rsidRDefault="00A3535F" w14:paraId="24651ED2" w14:textId="2949C3BE">
            <w:pPr>
              <w:tabs>
                <w:tab w:val="left" w:pos="360"/>
              </w:tabs>
              <w:jc w:val="center"/>
              <w:rPr>
                <w:color w:val="000000"/>
              </w:rPr>
            </w:pPr>
            <w:r>
              <w:rPr>
                <w:color w:val="000000"/>
              </w:rPr>
              <w:t>Verified</w:t>
            </w:r>
          </w:p>
        </w:tc>
      </w:tr>
      <w:tr w:rsidRPr="007F620E" w:rsidR="00625B30" w:rsidTr="00A3535F" w14:paraId="58ECF57D" w14:textId="77777777">
        <w:tc>
          <w:tcPr>
            <w:tcW w:w="4817" w:type="dxa"/>
          </w:tcPr>
          <w:p w:rsidRPr="007F620E" w:rsidR="00625B30" w:rsidP="00ED55FC" w:rsidRDefault="00625B30" w14:paraId="26F408ED" w14:textId="77777777">
            <w:pPr>
              <w:ind w:left="360" w:hanging="360"/>
              <w:rPr>
                <w:color w:val="000000"/>
              </w:rPr>
            </w:pPr>
            <w:r w:rsidRPr="007F620E">
              <w:rPr>
                <w:color w:val="000000"/>
              </w:rPr>
              <w:t>10.</w:t>
            </w:r>
            <w:r>
              <w:rPr>
                <w:color w:val="000000"/>
              </w:rPr>
              <w:tab/>
            </w:r>
            <w:r w:rsidRPr="007F620E">
              <w:rPr>
                <w:color w:val="000000"/>
              </w:rPr>
              <w:t>Date of ALJ ruling:</w:t>
            </w:r>
          </w:p>
        </w:tc>
        <w:tc>
          <w:tcPr>
            <w:tcW w:w="2267" w:type="dxa"/>
          </w:tcPr>
          <w:p w:rsidRPr="007F620E" w:rsidR="00625B30" w:rsidP="00ED55FC" w:rsidRDefault="005660A6" w14:paraId="7B07360C" w14:textId="196EF83E">
            <w:pPr>
              <w:tabs>
                <w:tab w:val="left" w:pos="360"/>
              </w:tabs>
              <w:ind w:left="360" w:hanging="360"/>
              <w:rPr>
                <w:color w:val="000000"/>
              </w:rPr>
            </w:pPr>
            <w:r>
              <w:rPr>
                <w:color w:val="000000"/>
              </w:rPr>
              <w:t>3/20/2024</w:t>
            </w:r>
          </w:p>
        </w:tc>
        <w:tc>
          <w:tcPr>
            <w:tcW w:w="2276" w:type="dxa"/>
          </w:tcPr>
          <w:p w:rsidRPr="007F620E" w:rsidR="00625B30" w:rsidP="00A3535F" w:rsidRDefault="00A3535F" w14:paraId="5EB17546" w14:textId="4A6FDBD3">
            <w:pPr>
              <w:tabs>
                <w:tab w:val="left" w:pos="360"/>
              </w:tabs>
              <w:jc w:val="center"/>
              <w:rPr>
                <w:color w:val="000000"/>
              </w:rPr>
            </w:pPr>
            <w:r>
              <w:rPr>
                <w:color w:val="000000"/>
              </w:rPr>
              <w:t>Verified</w:t>
            </w:r>
          </w:p>
        </w:tc>
      </w:tr>
      <w:tr w:rsidRPr="007F620E" w:rsidR="00625B30" w:rsidTr="00A3535F" w14:paraId="40DCBBF0" w14:textId="77777777">
        <w:tc>
          <w:tcPr>
            <w:tcW w:w="4817" w:type="dxa"/>
          </w:tcPr>
          <w:p w:rsidRPr="007F620E" w:rsidR="00625B30" w:rsidP="00ED55FC" w:rsidRDefault="00625B30" w14:paraId="1592AE4E" w14:textId="77777777">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67" w:type="dxa"/>
          </w:tcPr>
          <w:p w:rsidRPr="007F620E" w:rsidR="00625B30" w:rsidP="00ED55FC" w:rsidRDefault="00625B30" w14:paraId="37359D69" w14:textId="77777777">
            <w:pPr>
              <w:tabs>
                <w:tab w:val="left" w:pos="360"/>
              </w:tabs>
              <w:ind w:left="360" w:hanging="360"/>
              <w:rPr>
                <w:color w:val="000000"/>
              </w:rPr>
            </w:pPr>
          </w:p>
        </w:tc>
        <w:tc>
          <w:tcPr>
            <w:tcW w:w="2276" w:type="dxa"/>
          </w:tcPr>
          <w:p w:rsidRPr="007F620E" w:rsidR="00625B30" w:rsidP="00A3535F" w:rsidRDefault="00625B30" w14:paraId="1EE48C07" w14:textId="77777777">
            <w:pPr>
              <w:tabs>
                <w:tab w:val="left" w:pos="360"/>
              </w:tabs>
              <w:jc w:val="center"/>
              <w:rPr>
                <w:color w:val="000000"/>
              </w:rPr>
            </w:pPr>
          </w:p>
        </w:tc>
      </w:tr>
      <w:tr w:rsidRPr="007F620E" w:rsidR="00625B30" w:rsidTr="00ED55FC" w14:paraId="457CA627" w14:textId="77777777">
        <w:tc>
          <w:tcPr>
            <w:tcW w:w="7084" w:type="dxa"/>
            <w:gridSpan w:val="2"/>
            <w:tcBorders>
              <w:bottom w:val="single" w:color="auto" w:sz="4" w:space="0"/>
            </w:tcBorders>
          </w:tcPr>
          <w:p w:rsidRPr="003439D4" w:rsidR="00625B30" w:rsidP="00ED55FC" w:rsidRDefault="00625B30" w14:paraId="6F22C665" w14:textId="77777777">
            <w:pPr>
              <w:tabs>
                <w:tab w:val="left" w:pos="360"/>
              </w:tabs>
              <w:ind w:left="360" w:hanging="360"/>
              <w:rPr>
                <w:color w:val="000000"/>
              </w:rPr>
            </w:pPr>
            <w:r w:rsidRPr="003439D4">
              <w:rPr>
                <w:color w:val="000000"/>
              </w:rPr>
              <w:t>12.</w:t>
            </w:r>
            <w:r w:rsidRPr="003439D4">
              <w:rPr>
                <w:color w:val="000000"/>
              </w:rPr>
              <w:tab/>
              <w:t>Has the Intervenor demonstrated significant financial hardship?</w:t>
            </w:r>
          </w:p>
        </w:tc>
        <w:tc>
          <w:tcPr>
            <w:tcW w:w="2276" w:type="dxa"/>
            <w:tcBorders>
              <w:bottom w:val="single" w:color="auto" w:sz="4" w:space="0"/>
            </w:tcBorders>
          </w:tcPr>
          <w:p w:rsidRPr="007F620E" w:rsidR="00625B30" w:rsidP="00A3535F" w:rsidRDefault="00A3535F" w14:paraId="2421F339" w14:textId="44B109BE">
            <w:pPr>
              <w:tabs>
                <w:tab w:val="left" w:pos="360"/>
              </w:tabs>
              <w:jc w:val="center"/>
              <w:rPr>
                <w:color w:val="000000"/>
              </w:rPr>
            </w:pPr>
            <w:r>
              <w:rPr>
                <w:color w:val="000000"/>
              </w:rPr>
              <w:t>Yes</w:t>
            </w:r>
          </w:p>
        </w:tc>
      </w:tr>
      <w:tr w:rsidRPr="007F620E" w:rsidR="00625B30" w:rsidTr="00ED55FC" w14:paraId="2503D1A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3439D4" w:rsidR="00625B30" w:rsidP="00ED55FC" w:rsidRDefault="00625B30" w14:paraId="59FEF4D7" w14:textId="77777777">
            <w:pPr>
              <w:keepNext/>
              <w:tabs>
                <w:tab w:val="left" w:pos="360"/>
              </w:tabs>
              <w:jc w:val="center"/>
              <w:rPr>
                <w:color w:val="000000"/>
              </w:rPr>
            </w:pPr>
            <w:r w:rsidRPr="003439D4">
              <w:rPr>
                <w:b/>
                <w:color w:val="000000"/>
              </w:rPr>
              <w:t>Timely request for compensation (§ 1804(c)):</w:t>
            </w:r>
          </w:p>
        </w:tc>
      </w:tr>
      <w:tr w:rsidRPr="007F620E" w:rsidR="00625B30" w:rsidTr="00A3535F" w14:paraId="52477DCC" w14:textId="77777777">
        <w:tc>
          <w:tcPr>
            <w:tcW w:w="4817" w:type="dxa"/>
            <w:tcBorders>
              <w:top w:val="single" w:color="auto" w:sz="4" w:space="0"/>
            </w:tcBorders>
          </w:tcPr>
          <w:p w:rsidRPr="003439D4" w:rsidR="00625B30" w:rsidP="00ED55FC" w:rsidRDefault="00625B30" w14:paraId="1E8F66BD" w14:textId="77777777">
            <w:pPr>
              <w:keepNext/>
              <w:tabs>
                <w:tab w:val="left" w:pos="612"/>
              </w:tabs>
              <w:ind w:left="360" w:hanging="360"/>
              <w:rPr>
                <w:color w:val="000000"/>
              </w:rPr>
            </w:pPr>
            <w:r w:rsidRPr="003439D4">
              <w:rPr>
                <w:color w:val="000000"/>
              </w:rPr>
              <w:t>13.</w:t>
            </w:r>
            <w:r w:rsidRPr="003439D4">
              <w:rPr>
                <w:color w:val="000000"/>
              </w:rPr>
              <w:tab/>
              <w:t>Identify Final Decision:</w:t>
            </w:r>
          </w:p>
        </w:tc>
        <w:tc>
          <w:tcPr>
            <w:tcW w:w="2267" w:type="dxa"/>
            <w:tcBorders>
              <w:top w:val="single" w:color="auto" w:sz="4" w:space="0"/>
            </w:tcBorders>
          </w:tcPr>
          <w:p w:rsidRPr="003439D4" w:rsidR="00625B30" w:rsidP="00ED55FC" w:rsidRDefault="00E3006D" w14:paraId="7E651D6C" w14:textId="6489AA7A">
            <w:pPr>
              <w:tabs>
                <w:tab w:val="left" w:pos="360"/>
              </w:tabs>
              <w:rPr>
                <w:color w:val="000000"/>
              </w:rPr>
            </w:pPr>
            <w:r w:rsidRPr="00FE673A">
              <w:rPr>
                <w:bCs/>
                <w:color w:val="000000"/>
              </w:rPr>
              <w:t>D.25-0</w:t>
            </w:r>
            <w:r>
              <w:rPr>
                <w:bCs/>
                <w:color w:val="000000"/>
              </w:rPr>
              <w:t>8</w:t>
            </w:r>
            <w:r w:rsidRPr="00FE673A">
              <w:rPr>
                <w:bCs/>
                <w:color w:val="000000"/>
              </w:rPr>
              <w:t>-0</w:t>
            </w:r>
            <w:r>
              <w:rPr>
                <w:bCs/>
                <w:color w:val="000000"/>
              </w:rPr>
              <w:t>36</w:t>
            </w:r>
          </w:p>
        </w:tc>
        <w:tc>
          <w:tcPr>
            <w:tcW w:w="2276" w:type="dxa"/>
            <w:tcBorders>
              <w:top w:val="single" w:color="auto" w:sz="4" w:space="0"/>
            </w:tcBorders>
          </w:tcPr>
          <w:p w:rsidRPr="007F620E" w:rsidR="00625B30" w:rsidP="00A3535F" w:rsidRDefault="00A3535F" w14:paraId="0826C45B" w14:textId="481A37FB">
            <w:pPr>
              <w:tabs>
                <w:tab w:val="left" w:pos="360"/>
              </w:tabs>
              <w:jc w:val="center"/>
              <w:rPr>
                <w:color w:val="000000"/>
              </w:rPr>
            </w:pPr>
            <w:r>
              <w:rPr>
                <w:color w:val="000000"/>
              </w:rPr>
              <w:t>Verified</w:t>
            </w:r>
          </w:p>
        </w:tc>
      </w:tr>
      <w:tr w:rsidRPr="007F620E" w:rsidR="00625B30" w:rsidTr="00A3535F" w14:paraId="1C4A82D2" w14:textId="77777777">
        <w:tc>
          <w:tcPr>
            <w:tcW w:w="4817" w:type="dxa"/>
          </w:tcPr>
          <w:p w:rsidRPr="003439D4" w:rsidR="00625B30" w:rsidP="00ED55FC" w:rsidRDefault="00625B30" w14:paraId="1BB1D16E" w14:textId="77777777">
            <w:pPr>
              <w:tabs>
                <w:tab w:val="left" w:pos="612"/>
              </w:tabs>
              <w:ind w:left="360" w:hanging="360"/>
              <w:rPr>
                <w:color w:val="000000"/>
              </w:rPr>
            </w:pPr>
            <w:r w:rsidRPr="003439D4">
              <w:rPr>
                <w:color w:val="000000"/>
              </w:rPr>
              <w:t>14.</w:t>
            </w:r>
            <w:r w:rsidRPr="003439D4">
              <w:rPr>
                <w:color w:val="000000"/>
              </w:rPr>
              <w:tab/>
              <w:t xml:space="preserve">Date of issuance of Final Order or Decision:    </w:t>
            </w:r>
          </w:p>
        </w:tc>
        <w:tc>
          <w:tcPr>
            <w:tcW w:w="2267" w:type="dxa"/>
          </w:tcPr>
          <w:p w:rsidRPr="003439D4" w:rsidR="00625B30" w:rsidP="00ED55FC" w:rsidRDefault="00E3006D" w14:paraId="0FBC2608" w14:textId="454E91C8">
            <w:pPr>
              <w:tabs>
                <w:tab w:val="left" w:pos="360"/>
              </w:tabs>
              <w:rPr>
                <w:color w:val="000000"/>
              </w:rPr>
            </w:pPr>
            <w:r>
              <w:rPr>
                <w:color w:val="000000"/>
              </w:rPr>
              <w:t>9</w:t>
            </w:r>
            <w:r w:rsidR="00EA146E">
              <w:rPr>
                <w:color w:val="000000"/>
              </w:rPr>
              <w:t>/</w:t>
            </w:r>
            <w:r>
              <w:rPr>
                <w:color w:val="000000"/>
              </w:rPr>
              <w:t>4</w:t>
            </w:r>
            <w:r w:rsidRPr="00EC18CA" w:rsidR="00EC18CA">
              <w:rPr>
                <w:color w:val="000000"/>
              </w:rPr>
              <w:t>/2025</w:t>
            </w:r>
          </w:p>
        </w:tc>
        <w:tc>
          <w:tcPr>
            <w:tcW w:w="2276" w:type="dxa"/>
          </w:tcPr>
          <w:p w:rsidRPr="007F620E" w:rsidR="00625B30" w:rsidP="00A3535F" w:rsidRDefault="00A3535F" w14:paraId="400BB5CE" w14:textId="622B7ED2">
            <w:pPr>
              <w:tabs>
                <w:tab w:val="left" w:pos="360"/>
              </w:tabs>
              <w:jc w:val="center"/>
              <w:rPr>
                <w:color w:val="000000"/>
              </w:rPr>
            </w:pPr>
            <w:r>
              <w:rPr>
                <w:color w:val="000000"/>
              </w:rPr>
              <w:t>Verified</w:t>
            </w:r>
          </w:p>
        </w:tc>
      </w:tr>
      <w:tr w:rsidRPr="007F620E" w:rsidR="00625B30" w:rsidTr="00A3535F" w14:paraId="1CDFC2D4" w14:textId="77777777">
        <w:tc>
          <w:tcPr>
            <w:tcW w:w="4817" w:type="dxa"/>
          </w:tcPr>
          <w:p w:rsidRPr="003439D4" w:rsidR="00625B30" w:rsidP="00ED55FC" w:rsidRDefault="00625B30" w14:paraId="718963BD" w14:textId="77777777">
            <w:pPr>
              <w:tabs>
                <w:tab w:val="left" w:pos="612"/>
              </w:tabs>
              <w:ind w:left="360" w:hanging="360"/>
              <w:rPr>
                <w:color w:val="000000"/>
              </w:rPr>
            </w:pPr>
            <w:r w:rsidRPr="003439D4">
              <w:rPr>
                <w:color w:val="000000"/>
              </w:rPr>
              <w:t>15.</w:t>
            </w:r>
            <w:r w:rsidRPr="003439D4">
              <w:rPr>
                <w:color w:val="000000"/>
              </w:rPr>
              <w:tab/>
              <w:t>File date of compensation request:</w:t>
            </w:r>
          </w:p>
        </w:tc>
        <w:tc>
          <w:tcPr>
            <w:tcW w:w="2267" w:type="dxa"/>
          </w:tcPr>
          <w:p w:rsidRPr="003439D4" w:rsidR="00625B30" w:rsidP="00ED55FC" w:rsidRDefault="00EA146E" w14:paraId="3EC4455E" w14:textId="069C1F22">
            <w:pPr>
              <w:tabs>
                <w:tab w:val="left" w:pos="360"/>
              </w:tabs>
              <w:rPr>
                <w:color w:val="000000"/>
              </w:rPr>
            </w:pPr>
            <w:r>
              <w:rPr>
                <w:color w:val="000000"/>
              </w:rPr>
              <w:t>10/</w:t>
            </w:r>
            <w:r w:rsidR="00E3006D">
              <w:rPr>
                <w:color w:val="000000"/>
              </w:rPr>
              <w:t>31</w:t>
            </w:r>
            <w:r w:rsidR="00EC18CA">
              <w:rPr>
                <w:color w:val="000000"/>
              </w:rPr>
              <w:t>/2025</w:t>
            </w:r>
          </w:p>
        </w:tc>
        <w:tc>
          <w:tcPr>
            <w:tcW w:w="2276" w:type="dxa"/>
          </w:tcPr>
          <w:p w:rsidRPr="007F620E" w:rsidR="00625B30" w:rsidP="00A3535F" w:rsidRDefault="00A3535F" w14:paraId="0AA5FCCC" w14:textId="0A15E5A1">
            <w:pPr>
              <w:tabs>
                <w:tab w:val="left" w:pos="360"/>
              </w:tabs>
              <w:jc w:val="center"/>
              <w:rPr>
                <w:color w:val="000000"/>
              </w:rPr>
            </w:pPr>
            <w:r>
              <w:rPr>
                <w:color w:val="000000"/>
              </w:rPr>
              <w:t>Verified</w:t>
            </w:r>
          </w:p>
        </w:tc>
      </w:tr>
      <w:tr w:rsidRPr="007F620E" w:rsidR="00625B30" w:rsidTr="00ED55FC" w14:paraId="7F31CB95" w14:textId="77777777">
        <w:tc>
          <w:tcPr>
            <w:tcW w:w="7084" w:type="dxa"/>
            <w:gridSpan w:val="2"/>
          </w:tcPr>
          <w:p w:rsidRPr="007F620E" w:rsidR="00625B30" w:rsidP="00ED55FC" w:rsidRDefault="00625B30" w14:paraId="4F41F2A4" w14:textId="77777777">
            <w:pPr>
              <w:tabs>
                <w:tab w:val="left" w:pos="360"/>
              </w:tabs>
              <w:ind w:left="360" w:hanging="360"/>
              <w:rPr>
                <w:color w:val="000000"/>
              </w:rPr>
            </w:pPr>
            <w:r w:rsidRPr="007F620E">
              <w:rPr>
                <w:color w:val="000000"/>
              </w:rPr>
              <w:t>16</w:t>
            </w:r>
            <w:r>
              <w:rPr>
                <w:color w:val="000000"/>
              </w:rPr>
              <w:t>.</w:t>
            </w:r>
            <w:r>
              <w:rPr>
                <w:color w:val="000000"/>
              </w:rPr>
              <w:tab/>
            </w:r>
            <w:r w:rsidRPr="007F620E">
              <w:rPr>
                <w:color w:val="000000"/>
              </w:rPr>
              <w:t>Was the request for compensation timely?</w:t>
            </w:r>
          </w:p>
        </w:tc>
        <w:tc>
          <w:tcPr>
            <w:tcW w:w="2276" w:type="dxa"/>
          </w:tcPr>
          <w:p w:rsidRPr="007F620E" w:rsidR="00625B30" w:rsidP="00A3535F" w:rsidRDefault="00A3535F" w14:paraId="30065D30" w14:textId="1A2595FE">
            <w:pPr>
              <w:tabs>
                <w:tab w:val="left" w:pos="360"/>
              </w:tabs>
              <w:jc w:val="center"/>
              <w:rPr>
                <w:color w:val="000000"/>
              </w:rPr>
            </w:pPr>
            <w:r>
              <w:rPr>
                <w:color w:val="000000"/>
              </w:rPr>
              <w:t>Yes</w:t>
            </w:r>
          </w:p>
        </w:tc>
      </w:tr>
    </w:tbl>
    <w:p w:rsidR="00625B30" w:rsidRDefault="00625B30" w14:paraId="29FAD63A" w14:textId="77777777"/>
    <w:p w:rsidR="00ED3016" w:rsidP="00ED3016" w:rsidRDefault="00625B30" w14:paraId="03376BA8" w14:textId="3EAC2666">
      <w:pPr>
        <w:keepNext/>
        <w:keepLines/>
        <w:adjustRightInd w:val="0"/>
        <w:snapToGrid w:val="0"/>
        <w:contextualSpacing/>
        <w:jc w:val="center"/>
        <w:rPr>
          <w:b/>
          <w:color w:val="000000"/>
        </w:rPr>
      </w:pPr>
      <w:r w:rsidRPr="007F620E">
        <w:rPr>
          <w:b/>
          <w:color w:val="000000"/>
        </w:rPr>
        <w:t>PART II</w:t>
      </w:r>
      <w:proofErr w:type="gramStart"/>
      <w:r w:rsidRPr="007F620E">
        <w:rPr>
          <w:b/>
          <w:color w:val="000000"/>
        </w:rPr>
        <w:t>:</w:t>
      </w:r>
      <w:r>
        <w:rPr>
          <w:b/>
          <w:color w:val="000000"/>
        </w:rPr>
        <w:t xml:space="preserve">  </w:t>
      </w:r>
      <w:r w:rsidRPr="007F620E">
        <w:rPr>
          <w:b/>
          <w:color w:val="000000"/>
        </w:rPr>
        <w:t>SUBSTANTIAL</w:t>
      </w:r>
      <w:proofErr w:type="gramEnd"/>
      <w:r w:rsidRPr="007F620E">
        <w:rPr>
          <w:b/>
          <w:color w:val="000000"/>
        </w:rPr>
        <w:t xml:space="preserve"> CONTRIBUTION</w:t>
      </w:r>
    </w:p>
    <w:p w:rsidR="00C934E1" w:rsidP="005D4578" w:rsidRDefault="00C934E1" w14:paraId="0432D6A6" w14:textId="77777777">
      <w:pPr>
        <w:keepNext/>
        <w:keepLines/>
        <w:adjustRightInd w:val="0"/>
        <w:snapToGrid w:val="0"/>
        <w:contextualSpacing/>
        <w:jc w:val="center"/>
        <w:rPr>
          <w:b/>
          <w:color w:val="000000"/>
        </w:rPr>
      </w:pPr>
    </w:p>
    <w:p w:rsidR="00FB5810" w:rsidP="005D4578" w:rsidRDefault="00625B30" w14:paraId="55AB20A7" w14:textId="04DB2E64">
      <w:pPr>
        <w:keepNext/>
        <w:keepLines/>
        <w:numPr>
          <w:ilvl w:val="0"/>
          <w:numId w:val="2"/>
        </w:numPr>
        <w:adjustRightInd w:val="0"/>
        <w:snapToGrid w:val="0"/>
        <w:spacing w:after="240"/>
        <w:contextualSpacing/>
        <w:rPr>
          <w:b/>
          <w:color w:val="000000"/>
        </w:rPr>
      </w:pPr>
      <w:r w:rsidRPr="007F620E">
        <w:rPr>
          <w:b/>
          <w:color w:val="000000"/>
        </w:rPr>
        <w:t>Did the Intervenor substantially contribute to the final decision (</w:t>
      </w:r>
      <w:r w:rsidRPr="007F620E">
        <w:rPr>
          <w:b/>
          <w:i/>
          <w:color w:val="000000"/>
        </w:rPr>
        <w:t>see</w:t>
      </w:r>
      <w:r w:rsidRPr="007F620E">
        <w:rPr>
          <w:b/>
          <w:color w:val="000000"/>
        </w:rPr>
        <w:t xml:space="preserve"> § 1802(</w:t>
      </w:r>
      <w:r>
        <w:rPr>
          <w:b/>
          <w:color w:val="000000"/>
        </w:rPr>
        <w:t>j</w:t>
      </w:r>
      <w:r w:rsidRPr="007F620E">
        <w:rPr>
          <w:b/>
          <w:color w:val="000000"/>
        </w:rPr>
        <w:t xml:space="preserve">), </w:t>
      </w:r>
      <w:r w:rsidRPr="007F620E">
        <w:rPr>
          <w:b/>
          <w:color w:val="000000"/>
        </w:rPr>
        <w:br/>
        <w:t xml:space="preserve">§ 1803(a), </w:t>
      </w:r>
      <w:r>
        <w:rPr>
          <w:b/>
          <w:color w:val="000000"/>
        </w:rPr>
        <w:t xml:space="preserve">1803.1(a) </w:t>
      </w:r>
      <w:r w:rsidRPr="007F620E">
        <w:rPr>
          <w:b/>
          <w:color w:val="000000"/>
        </w:rPr>
        <w:t>and D.98-04-059)</w:t>
      </w:r>
      <w:r>
        <w:rPr>
          <w:b/>
          <w:color w:val="000000"/>
        </w:rPr>
        <w:t>:</w:t>
      </w:r>
      <w:r w:rsidRPr="007F620E">
        <w:rPr>
          <w:b/>
          <w:color w:val="000000"/>
        </w:rPr>
        <w:t xml:space="preserve">  </w:t>
      </w:r>
    </w:p>
    <w:p w:rsidRPr="00FB5810" w:rsidR="00E852CB" w:rsidP="00E852CB" w:rsidRDefault="00E852CB" w14:paraId="7DD69AE8" w14:textId="77777777">
      <w:pPr>
        <w:keepNext/>
        <w:keepLines/>
        <w:adjustRightInd w:val="0"/>
        <w:snapToGrid w:val="0"/>
        <w:spacing w:after="240"/>
        <w:ind w:left="360"/>
        <w:contextualSpacing/>
        <w:rPr>
          <w:b/>
          <w:color w:val="000000"/>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75"/>
        <w:gridCol w:w="2970"/>
        <w:gridCol w:w="2093"/>
      </w:tblGrid>
      <w:tr w:rsidRPr="003349DE" w:rsidR="00FB5810" w:rsidTr="00976E24" w14:paraId="07FA65D8" w14:textId="77777777">
        <w:tc>
          <w:tcPr>
            <w:tcW w:w="4675" w:type="dxa"/>
            <w:tcBorders>
              <w:bottom w:val="single" w:color="auto" w:sz="4" w:space="0"/>
            </w:tcBorders>
            <w:shd w:val="pct12" w:color="auto" w:fill="auto"/>
          </w:tcPr>
          <w:p w:rsidRPr="003349DE" w:rsidR="00FB5810" w:rsidP="00FB5810" w:rsidRDefault="00FB5810" w14:paraId="486D5253" w14:textId="77777777">
            <w:pPr>
              <w:spacing w:before="120"/>
              <w:jc w:val="center"/>
              <w:rPr>
                <w:b/>
                <w:color w:val="000000"/>
              </w:rPr>
            </w:pPr>
            <w:r w:rsidRPr="003349DE">
              <w:rPr>
                <w:b/>
                <w:color w:val="000000"/>
              </w:rPr>
              <w:t>Intervenor’s Claimed Contribution(s)</w:t>
            </w:r>
          </w:p>
        </w:tc>
        <w:tc>
          <w:tcPr>
            <w:tcW w:w="2970" w:type="dxa"/>
            <w:tcBorders>
              <w:bottom w:val="single" w:color="auto" w:sz="4" w:space="0"/>
            </w:tcBorders>
            <w:shd w:val="pct12" w:color="auto" w:fill="auto"/>
          </w:tcPr>
          <w:p w:rsidRPr="003349DE" w:rsidR="00FB5810" w:rsidP="00FB5810" w:rsidRDefault="00FB5810" w14:paraId="24FC2155" w14:textId="77777777">
            <w:pPr>
              <w:spacing w:before="120"/>
              <w:jc w:val="center"/>
              <w:rPr>
                <w:b/>
                <w:color w:val="000000"/>
              </w:rPr>
            </w:pPr>
            <w:r w:rsidRPr="003349DE">
              <w:rPr>
                <w:b/>
                <w:color w:val="000000"/>
              </w:rPr>
              <w:t>Specific References to Intervenor’s Claimed Contribution(s)</w:t>
            </w:r>
          </w:p>
        </w:tc>
        <w:tc>
          <w:tcPr>
            <w:tcW w:w="2093" w:type="dxa"/>
            <w:shd w:val="pct12" w:color="auto" w:fill="auto"/>
          </w:tcPr>
          <w:p w:rsidRPr="003349DE" w:rsidR="00FB5810" w:rsidP="00FB5810" w:rsidRDefault="00FB5810" w14:paraId="779771EC" w14:textId="77777777">
            <w:pPr>
              <w:spacing w:before="120"/>
              <w:jc w:val="center"/>
              <w:rPr>
                <w:b/>
                <w:color w:val="000000"/>
              </w:rPr>
            </w:pPr>
            <w:r w:rsidRPr="003349DE">
              <w:rPr>
                <w:b/>
                <w:color w:val="000000"/>
              </w:rPr>
              <w:t>CPUC Discussion</w:t>
            </w:r>
          </w:p>
        </w:tc>
      </w:tr>
      <w:tr w:rsidRPr="003349DE" w:rsidR="00FB5810" w:rsidTr="00E852CB" w14:paraId="4EAFE7D1" w14:textId="77777777">
        <w:tc>
          <w:tcPr>
            <w:tcW w:w="4675" w:type="dxa"/>
          </w:tcPr>
          <w:p w:rsidR="00B73F4D" w:rsidP="00FB5810" w:rsidRDefault="002C1111" w14:paraId="2471E87A" w14:textId="1BDF5B0A">
            <w:pPr>
              <w:spacing w:before="120"/>
              <w:rPr>
                <w:color w:val="000000"/>
              </w:rPr>
            </w:pPr>
            <w:r>
              <w:rPr>
                <w:b/>
                <w:bCs/>
                <w:color w:val="000000"/>
                <w:u w:val="single"/>
              </w:rPr>
              <w:t>1</w:t>
            </w:r>
            <w:r w:rsidRPr="005F696A" w:rsidR="00FB5810">
              <w:rPr>
                <w:b/>
                <w:bCs/>
                <w:color w:val="000000"/>
                <w:u w:val="single"/>
              </w:rPr>
              <w:t xml:space="preserve">. </w:t>
            </w:r>
            <w:r w:rsidRPr="00E40F0E" w:rsidR="00E40F0E">
              <w:rPr>
                <w:b/>
                <w:bCs/>
                <w:color w:val="000000"/>
                <w:u w:val="single"/>
              </w:rPr>
              <w:t>Project Eligibility and 2026 Cost-Cap Reduction</w:t>
            </w:r>
          </w:p>
          <w:p w:rsidR="009A4444" w:rsidP="00FB5810" w:rsidRDefault="009A4444" w14:paraId="0A3FF7C0" w14:textId="6F68ECFF">
            <w:pPr>
              <w:spacing w:before="120"/>
              <w:rPr>
                <w:color w:val="000000"/>
              </w:rPr>
            </w:pPr>
            <w:r w:rsidRPr="009A4444">
              <w:rPr>
                <w:color w:val="000000"/>
              </w:rPr>
              <w:t xml:space="preserve">TURN argued that PG&amp;E’s forecast was unsupported by data and failed to account for the statutory timelines adopted in D.24-09-020 under Senate Bill 410. TURN recommended establishing an August 1, </w:t>
            </w:r>
            <w:proofErr w:type="gramStart"/>
            <w:r w:rsidRPr="009A4444">
              <w:rPr>
                <w:color w:val="000000"/>
              </w:rPr>
              <w:t>2026</w:t>
            </w:r>
            <w:proofErr w:type="gramEnd"/>
            <w:r w:rsidRPr="009A4444">
              <w:rPr>
                <w:color w:val="000000"/>
              </w:rPr>
              <w:t xml:space="preserve"> cutoff so that only projects capable of completion by December 31, </w:t>
            </w:r>
            <w:proofErr w:type="gramStart"/>
            <w:r w:rsidRPr="009A4444">
              <w:rPr>
                <w:color w:val="000000"/>
              </w:rPr>
              <w:t>2026</w:t>
            </w:r>
            <w:proofErr w:type="gramEnd"/>
            <w:r w:rsidRPr="009A4444">
              <w:rPr>
                <w:color w:val="000000"/>
              </w:rPr>
              <w:t xml:space="preserve"> would be eligible for inclusion in the ECNBIMA. TURN explained that this cutoff would reduce PG&amp;E’s 2026 </w:t>
            </w:r>
            <w:proofErr w:type="gramStart"/>
            <w:r w:rsidRPr="009A4444">
              <w:rPr>
                <w:color w:val="000000"/>
              </w:rPr>
              <w:t>forecast</w:t>
            </w:r>
            <w:proofErr w:type="gramEnd"/>
            <w:r w:rsidRPr="009A4444">
              <w:rPr>
                <w:color w:val="000000"/>
              </w:rPr>
              <w:t xml:space="preserve"> by about 4,660 projects, lowering the 2026 capital cost cap by approximately $510 million. TURN also argued that distributed energy resource projects, such as solar and storage interconnections, are ineligible for recovery </w:t>
            </w:r>
            <w:r w:rsidRPr="009A4444">
              <w:rPr>
                <w:color w:val="000000"/>
              </w:rPr>
              <w:lastRenderedPageBreak/>
              <w:t>under Public Utilities Code Section 931(b) and should be excluded from the ECNBIMA.</w:t>
            </w:r>
          </w:p>
          <w:p w:rsidR="009A4444" w:rsidP="00FB5810" w:rsidRDefault="009A4444" w14:paraId="1B8526AE" w14:textId="77777777">
            <w:pPr>
              <w:spacing w:before="120"/>
              <w:rPr>
                <w:color w:val="000000"/>
              </w:rPr>
            </w:pPr>
          </w:p>
          <w:p w:rsidR="00B73F4D" w:rsidP="00FB5810" w:rsidRDefault="00E40F0E" w14:paraId="0DB2BA60" w14:textId="6CB863B1">
            <w:pPr>
              <w:spacing w:before="120"/>
              <w:rPr>
                <w:color w:val="000000"/>
              </w:rPr>
            </w:pPr>
            <w:r w:rsidRPr="00E40F0E">
              <w:rPr>
                <w:color w:val="000000"/>
              </w:rPr>
              <w:t xml:space="preserve">PG&amp;E and CUE opposed the cutoff, </w:t>
            </w:r>
            <w:r w:rsidR="008A0E12">
              <w:rPr>
                <w:color w:val="000000"/>
              </w:rPr>
              <w:t>and</w:t>
            </w:r>
            <w:r w:rsidRPr="00E40F0E">
              <w:rPr>
                <w:color w:val="000000"/>
              </w:rPr>
              <w:t xml:space="preserve"> PG&amp;E</w:t>
            </w:r>
            <w:r w:rsidR="008A0E12">
              <w:rPr>
                <w:color w:val="000000"/>
              </w:rPr>
              <w:t xml:space="preserve"> opposed TURN’s </w:t>
            </w:r>
            <w:r w:rsidR="00B87C91">
              <w:rPr>
                <w:color w:val="000000"/>
              </w:rPr>
              <w:t>recommendation to</w:t>
            </w:r>
            <w:r w:rsidRPr="00E40F0E">
              <w:rPr>
                <w:color w:val="000000"/>
              </w:rPr>
              <w:t xml:space="preserve"> </w:t>
            </w:r>
            <w:r w:rsidR="00B87C91">
              <w:rPr>
                <w:color w:val="000000"/>
              </w:rPr>
              <w:t>remove</w:t>
            </w:r>
            <w:r w:rsidRPr="00E40F0E">
              <w:rPr>
                <w:color w:val="000000"/>
              </w:rPr>
              <w:t xml:space="preserve"> DER projects </w:t>
            </w:r>
            <w:r w:rsidR="00B87C91">
              <w:rPr>
                <w:color w:val="000000"/>
              </w:rPr>
              <w:t>from</w:t>
            </w:r>
            <w:r w:rsidRPr="00E40F0E">
              <w:rPr>
                <w:color w:val="000000"/>
              </w:rPr>
              <w:t xml:space="preserve"> its forecast as part of its customer connection workload.</w:t>
            </w:r>
          </w:p>
          <w:p w:rsidR="000229F7" w:rsidP="00FB5810" w:rsidRDefault="000229F7" w14:paraId="392FDBA1" w14:textId="77777777">
            <w:pPr>
              <w:spacing w:before="120"/>
              <w:rPr>
                <w:color w:val="000000"/>
              </w:rPr>
            </w:pPr>
          </w:p>
          <w:p w:rsidRPr="003349DE" w:rsidR="00213F70" w:rsidP="000229F7" w:rsidRDefault="00E40F0E" w14:paraId="06B2E117" w14:textId="127E9B8C">
            <w:pPr>
              <w:spacing w:before="120"/>
              <w:rPr>
                <w:color w:val="000000"/>
              </w:rPr>
            </w:pPr>
            <w:r w:rsidRPr="00E40F0E">
              <w:rPr>
                <w:color w:val="000000"/>
              </w:rPr>
              <w:t xml:space="preserve">The Commission agreed with TURN and found that projects with applications completed after August 1, </w:t>
            </w:r>
            <w:proofErr w:type="gramStart"/>
            <w:r w:rsidRPr="00E40F0E">
              <w:rPr>
                <w:color w:val="000000"/>
              </w:rPr>
              <w:t>2026</w:t>
            </w:r>
            <w:proofErr w:type="gramEnd"/>
            <w:r w:rsidRPr="00E40F0E">
              <w:rPr>
                <w:color w:val="000000"/>
              </w:rPr>
              <w:t xml:space="preserve"> were unlikely to be placed in service by December 31, 2026. It limited eligibility to projects with completed applications on or before that date, reducing the 2026 forecast by 4,660 projects and the capital cost cap by $510 million. The Commission also agreed that distributed energy resource projects are ineligible for recovery under Section 931(b) and directed PG&amp;E to exclude them from the ECNBIMA</w:t>
            </w:r>
            <w:r>
              <w:rPr>
                <w:color w:val="000000"/>
              </w:rPr>
              <w:t>.</w:t>
            </w:r>
          </w:p>
        </w:tc>
        <w:tc>
          <w:tcPr>
            <w:tcW w:w="2970" w:type="dxa"/>
          </w:tcPr>
          <w:p w:rsidR="00FB5810" w:rsidP="00FB5810" w:rsidRDefault="00FB5810" w14:paraId="1771DCD7" w14:textId="77777777">
            <w:pPr>
              <w:spacing w:before="120"/>
            </w:pPr>
          </w:p>
          <w:p w:rsidR="00135350" w:rsidP="00FB5810" w:rsidRDefault="00135350" w14:paraId="070FF1F0" w14:textId="77777777">
            <w:pPr>
              <w:spacing w:before="120"/>
            </w:pPr>
          </w:p>
          <w:p w:rsidR="00135350" w:rsidP="00FB5810" w:rsidRDefault="00135350" w14:paraId="53207767" w14:textId="77777777">
            <w:pPr>
              <w:spacing w:before="120"/>
            </w:pPr>
          </w:p>
          <w:p w:rsidR="008539F7" w:rsidP="000229F7" w:rsidRDefault="008539F7" w14:paraId="6E39F454" w14:textId="35F0A60D">
            <w:pPr>
              <w:spacing w:before="120"/>
            </w:pPr>
          </w:p>
          <w:p w:rsidR="00EE59C5" w:rsidP="00EE59C5" w:rsidRDefault="00EE59C5" w14:paraId="5366BD02" w14:textId="1164E000">
            <w:pPr>
              <w:pStyle w:val="ListParagraph"/>
              <w:numPr>
                <w:ilvl w:val="0"/>
                <w:numId w:val="11"/>
              </w:numPr>
              <w:spacing w:before="120"/>
              <w:contextualSpacing w:val="0"/>
            </w:pPr>
            <w:r w:rsidRPr="00FE673A">
              <w:rPr>
                <w:bCs/>
                <w:color w:val="000000"/>
              </w:rPr>
              <w:t>D.25-0</w:t>
            </w:r>
            <w:r>
              <w:rPr>
                <w:bCs/>
                <w:color w:val="000000"/>
              </w:rPr>
              <w:t>8</w:t>
            </w:r>
            <w:r w:rsidRPr="00FE673A">
              <w:rPr>
                <w:bCs/>
                <w:color w:val="000000"/>
              </w:rPr>
              <w:t>-0</w:t>
            </w:r>
            <w:r>
              <w:rPr>
                <w:bCs/>
                <w:color w:val="000000"/>
              </w:rPr>
              <w:t>36</w:t>
            </w:r>
            <w:r w:rsidRPr="00B84531">
              <w:t xml:space="preserve">, </w:t>
            </w:r>
            <w:r>
              <w:t>pp. 2</w:t>
            </w:r>
            <w:r w:rsidR="007767B9">
              <w:t>2</w:t>
            </w:r>
            <w:r>
              <w:t>-2</w:t>
            </w:r>
            <w:r w:rsidR="007767B9">
              <w:t>3</w:t>
            </w:r>
            <w:r>
              <w:t>.</w:t>
            </w:r>
          </w:p>
          <w:p w:rsidR="00EE59C5" w:rsidP="00EE59C5" w:rsidRDefault="00EE59C5" w14:paraId="2251E3B5" w14:textId="399B23C0">
            <w:pPr>
              <w:pStyle w:val="ListParagraph"/>
              <w:numPr>
                <w:ilvl w:val="0"/>
                <w:numId w:val="11"/>
              </w:numPr>
              <w:spacing w:before="120"/>
              <w:contextualSpacing w:val="0"/>
            </w:pPr>
            <w:r w:rsidRPr="00FE673A">
              <w:rPr>
                <w:bCs/>
                <w:color w:val="000000"/>
              </w:rPr>
              <w:t>D.25-0</w:t>
            </w:r>
            <w:r>
              <w:rPr>
                <w:bCs/>
                <w:color w:val="000000"/>
              </w:rPr>
              <w:t>8</w:t>
            </w:r>
            <w:r w:rsidRPr="00FE673A">
              <w:rPr>
                <w:bCs/>
                <w:color w:val="000000"/>
              </w:rPr>
              <w:t>-0</w:t>
            </w:r>
            <w:r>
              <w:rPr>
                <w:bCs/>
                <w:color w:val="000000"/>
              </w:rPr>
              <w:t>36</w:t>
            </w:r>
            <w:r w:rsidRPr="00B84531">
              <w:t xml:space="preserve">, </w:t>
            </w:r>
            <w:r>
              <w:t>pp. 47-49.</w:t>
            </w:r>
          </w:p>
          <w:p w:rsidRPr="00312BD3" w:rsidR="00EE59C5" w:rsidP="00EE59C5" w:rsidRDefault="00EE59C5" w14:paraId="133A56C1" w14:textId="014524E3">
            <w:pPr>
              <w:pStyle w:val="ListParagraph"/>
              <w:numPr>
                <w:ilvl w:val="0"/>
                <w:numId w:val="11"/>
              </w:numPr>
              <w:spacing w:before="120"/>
            </w:pPr>
            <w:r w:rsidRPr="00213F70">
              <w:rPr>
                <w:bCs/>
                <w:color w:val="000000"/>
              </w:rPr>
              <w:t>TURN Opening Brief (</w:t>
            </w:r>
            <w:r w:rsidR="00BD0CDF">
              <w:rPr>
                <w:bCs/>
                <w:color w:val="000000"/>
              </w:rPr>
              <w:t>January 21</w:t>
            </w:r>
            <w:r>
              <w:rPr>
                <w:bCs/>
                <w:color w:val="000000"/>
              </w:rPr>
              <w:t>,</w:t>
            </w:r>
            <w:r w:rsidRPr="00213F70">
              <w:rPr>
                <w:bCs/>
                <w:color w:val="000000"/>
              </w:rPr>
              <w:t xml:space="preserve"> 202</w:t>
            </w:r>
            <w:r w:rsidR="00BD0CDF">
              <w:rPr>
                <w:bCs/>
                <w:color w:val="000000"/>
              </w:rPr>
              <w:t>5</w:t>
            </w:r>
            <w:r w:rsidRPr="00213F70">
              <w:rPr>
                <w:bCs/>
                <w:color w:val="000000"/>
              </w:rPr>
              <w:t xml:space="preserve">) pp. </w:t>
            </w:r>
            <w:r>
              <w:rPr>
                <w:bCs/>
                <w:color w:val="000000"/>
              </w:rPr>
              <w:t>36-43.</w:t>
            </w:r>
          </w:p>
          <w:p w:rsidR="00FB5810" w:rsidP="00135350" w:rsidRDefault="00FB5810" w14:paraId="06AF30CD" w14:textId="77777777">
            <w:pPr>
              <w:spacing w:before="120"/>
              <w:rPr>
                <w:color w:val="000000"/>
              </w:rPr>
            </w:pPr>
          </w:p>
          <w:p w:rsidR="00B73F4D" w:rsidP="00135350" w:rsidRDefault="00B73F4D" w14:paraId="5237868D" w14:textId="77777777">
            <w:pPr>
              <w:spacing w:before="120"/>
              <w:rPr>
                <w:color w:val="000000"/>
              </w:rPr>
            </w:pPr>
          </w:p>
          <w:p w:rsidR="00B73F4D" w:rsidP="00135350" w:rsidRDefault="00B73F4D" w14:paraId="091E063E" w14:textId="77777777">
            <w:pPr>
              <w:spacing w:before="120"/>
              <w:rPr>
                <w:color w:val="000000"/>
              </w:rPr>
            </w:pPr>
          </w:p>
          <w:p w:rsidR="00B73F4D" w:rsidP="00135350" w:rsidRDefault="00B73F4D" w14:paraId="3AB72A7E" w14:textId="77777777">
            <w:pPr>
              <w:spacing w:before="120"/>
              <w:rPr>
                <w:color w:val="000000"/>
              </w:rPr>
            </w:pPr>
          </w:p>
          <w:p w:rsidRPr="00135350" w:rsidR="000229F7" w:rsidP="000229F7" w:rsidRDefault="000229F7" w14:paraId="085F01C7" w14:textId="0E2F53F3">
            <w:pPr>
              <w:pStyle w:val="ListParagraph"/>
              <w:numPr>
                <w:ilvl w:val="0"/>
                <w:numId w:val="11"/>
              </w:numPr>
              <w:spacing w:before="120"/>
              <w:contextualSpacing w:val="0"/>
            </w:pPr>
            <w:r w:rsidRPr="00FE673A">
              <w:rPr>
                <w:bCs/>
                <w:color w:val="000000"/>
              </w:rPr>
              <w:t>D.25-0</w:t>
            </w:r>
            <w:r>
              <w:rPr>
                <w:bCs/>
                <w:color w:val="000000"/>
              </w:rPr>
              <w:t>8</w:t>
            </w:r>
            <w:r w:rsidRPr="00FE673A">
              <w:rPr>
                <w:bCs/>
                <w:color w:val="000000"/>
              </w:rPr>
              <w:t>-0</w:t>
            </w:r>
            <w:r>
              <w:rPr>
                <w:bCs/>
                <w:color w:val="000000"/>
              </w:rPr>
              <w:t>36</w:t>
            </w:r>
            <w:r w:rsidRPr="00B84531">
              <w:t xml:space="preserve">, </w:t>
            </w:r>
            <w:r>
              <w:t xml:space="preserve">pp. </w:t>
            </w:r>
            <w:r w:rsidR="007767B9">
              <w:t>8</w:t>
            </w:r>
            <w:r>
              <w:t>-</w:t>
            </w:r>
            <w:r w:rsidR="007767B9">
              <w:t>14</w:t>
            </w:r>
            <w:r>
              <w:t>.</w:t>
            </w:r>
          </w:p>
          <w:p w:rsidR="007767B9" w:rsidP="007767B9" w:rsidRDefault="007767B9" w14:paraId="4A61D58A" w14:textId="77777777">
            <w:pPr>
              <w:pStyle w:val="ListParagraph"/>
              <w:numPr>
                <w:ilvl w:val="0"/>
                <w:numId w:val="11"/>
              </w:numPr>
              <w:spacing w:before="120"/>
              <w:contextualSpacing w:val="0"/>
            </w:pPr>
            <w:r w:rsidRPr="00FE673A">
              <w:rPr>
                <w:bCs/>
                <w:color w:val="000000"/>
              </w:rPr>
              <w:lastRenderedPageBreak/>
              <w:t>D.25-0</w:t>
            </w:r>
            <w:r>
              <w:rPr>
                <w:bCs/>
                <w:color w:val="000000"/>
              </w:rPr>
              <w:t>8</w:t>
            </w:r>
            <w:r w:rsidRPr="00FE673A">
              <w:rPr>
                <w:bCs/>
                <w:color w:val="000000"/>
              </w:rPr>
              <w:t>-0</w:t>
            </w:r>
            <w:r>
              <w:rPr>
                <w:bCs/>
                <w:color w:val="000000"/>
              </w:rPr>
              <w:t>36</w:t>
            </w:r>
            <w:r w:rsidRPr="00B84531">
              <w:t xml:space="preserve">, </w:t>
            </w:r>
            <w:r>
              <w:t>pp. 47-49.</w:t>
            </w:r>
          </w:p>
          <w:p w:rsidR="000229F7" w:rsidP="00135350" w:rsidRDefault="000229F7" w14:paraId="6EBD5153" w14:textId="77777777">
            <w:pPr>
              <w:spacing w:before="120"/>
              <w:rPr>
                <w:color w:val="000000"/>
              </w:rPr>
            </w:pPr>
          </w:p>
          <w:p w:rsidR="000229F7" w:rsidP="00135350" w:rsidRDefault="000229F7" w14:paraId="5C256EF3" w14:textId="77777777">
            <w:pPr>
              <w:spacing w:before="120"/>
              <w:rPr>
                <w:color w:val="000000"/>
              </w:rPr>
            </w:pPr>
          </w:p>
          <w:p w:rsidR="000229F7" w:rsidP="00135350" w:rsidRDefault="000229F7" w14:paraId="599CE316" w14:textId="77777777">
            <w:pPr>
              <w:spacing w:before="120"/>
              <w:rPr>
                <w:color w:val="000000"/>
              </w:rPr>
            </w:pPr>
          </w:p>
          <w:p w:rsidR="00B73F4D" w:rsidP="00B73F4D" w:rsidRDefault="00B73F4D" w14:paraId="4B7B9F74" w14:textId="77777777">
            <w:pPr>
              <w:pStyle w:val="ListParagraph"/>
              <w:numPr>
                <w:ilvl w:val="0"/>
                <w:numId w:val="11"/>
              </w:numPr>
              <w:spacing w:before="120"/>
              <w:contextualSpacing w:val="0"/>
            </w:pPr>
            <w:r w:rsidRPr="00FE673A">
              <w:rPr>
                <w:bCs/>
                <w:color w:val="000000"/>
              </w:rPr>
              <w:t>D.25-0</w:t>
            </w:r>
            <w:r>
              <w:rPr>
                <w:bCs/>
                <w:color w:val="000000"/>
              </w:rPr>
              <w:t>8</w:t>
            </w:r>
            <w:r w:rsidRPr="00FE673A">
              <w:rPr>
                <w:bCs/>
                <w:color w:val="000000"/>
              </w:rPr>
              <w:t>-0</w:t>
            </w:r>
            <w:r>
              <w:rPr>
                <w:bCs/>
                <w:color w:val="000000"/>
              </w:rPr>
              <w:t>36</w:t>
            </w:r>
            <w:r w:rsidRPr="00B84531">
              <w:t xml:space="preserve">, </w:t>
            </w:r>
            <w:r>
              <w:t>pp. 47-49.</w:t>
            </w:r>
          </w:p>
          <w:p w:rsidRPr="00135350" w:rsidR="00B73F4D" w:rsidP="00135350" w:rsidRDefault="00B73F4D" w14:paraId="01E24515" w14:textId="77777777">
            <w:pPr>
              <w:spacing w:before="120"/>
              <w:rPr>
                <w:color w:val="000000"/>
              </w:rPr>
            </w:pPr>
          </w:p>
        </w:tc>
        <w:tc>
          <w:tcPr>
            <w:tcW w:w="2093" w:type="dxa"/>
          </w:tcPr>
          <w:p w:rsidR="00FB5810" w:rsidP="00E852CB" w:rsidRDefault="00FB5810" w14:paraId="34F38E1B" w14:textId="77777777">
            <w:pPr>
              <w:spacing w:before="120"/>
              <w:jc w:val="center"/>
              <w:rPr>
                <w:color w:val="000000"/>
              </w:rPr>
            </w:pPr>
          </w:p>
          <w:p w:rsidR="00E852CB" w:rsidP="00E852CB" w:rsidRDefault="00E852CB" w14:paraId="46CA8750" w14:textId="77777777">
            <w:pPr>
              <w:spacing w:before="120"/>
              <w:jc w:val="center"/>
              <w:rPr>
                <w:color w:val="000000"/>
              </w:rPr>
            </w:pPr>
          </w:p>
          <w:p w:rsidR="00E852CB" w:rsidP="00E852CB" w:rsidRDefault="00E852CB" w14:paraId="781DDBC6" w14:textId="77777777">
            <w:pPr>
              <w:spacing w:before="120"/>
              <w:jc w:val="center"/>
              <w:rPr>
                <w:color w:val="000000"/>
              </w:rPr>
            </w:pPr>
          </w:p>
          <w:p w:rsidR="00E852CB" w:rsidP="00E852CB" w:rsidRDefault="00E852CB" w14:paraId="0E5CD78D" w14:textId="77777777">
            <w:pPr>
              <w:spacing w:before="120"/>
              <w:jc w:val="center"/>
              <w:rPr>
                <w:color w:val="000000"/>
              </w:rPr>
            </w:pPr>
          </w:p>
          <w:p w:rsidR="00E852CB" w:rsidP="00E852CB" w:rsidRDefault="00E852CB" w14:paraId="35DA1F97" w14:textId="77777777">
            <w:pPr>
              <w:spacing w:before="120"/>
              <w:jc w:val="center"/>
              <w:rPr>
                <w:color w:val="000000"/>
              </w:rPr>
            </w:pPr>
          </w:p>
          <w:p w:rsidR="00E852CB" w:rsidP="00E852CB" w:rsidRDefault="00E852CB" w14:paraId="2AA8A5BB" w14:textId="77777777">
            <w:pPr>
              <w:spacing w:before="120"/>
              <w:jc w:val="center"/>
              <w:rPr>
                <w:color w:val="000000"/>
              </w:rPr>
            </w:pPr>
          </w:p>
          <w:p w:rsidR="00E852CB" w:rsidP="00E852CB" w:rsidRDefault="00E852CB" w14:paraId="0C4FD1D6" w14:textId="77777777">
            <w:pPr>
              <w:spacing w:before="120"/>
              <w:jc w:val="center"/>
              <w:rPr>
                <w:color w:val="000000"/>
              </w:rPr>
            </w:pPr>
            <w:r>
              <w:rPr>
                <w:color w:val="000000"/>
              </w:rPr>
              <w:t>Verified</w:t>
            </w:r>
          </w:p>
          <w:p w:rsidR="00E852CB" w:rsidP="00E852CB" w:rsidRDefault="00E852CB" w14:paraId="25416F05" w14:textId="77777777">
            <w:pPr>
              <w:spacing w:before="120"/>
              <w:jc w:val="center"/>
              <w:rPr>
                <w:color w:val="000000"/>
              </w:rPr>
            </w:pPr>
          </w:p>
          <w:p w:rsidR="00E852CB" w:rsidP="00E852CB" w:rsidRDefault="00E852CB" w14:paraId="50FADEEA" w14:textId="77777777">
            <w:pPr>
              <w:spacing w:before="120"/>
              <w:jc w:val="center"/>
              <w:rPr>
                <w:color w:val="000000"/>
              </w:rPr>
            </w:pPr>
          </w:p>
          <w:p w:rsidR="00E852CB" w:rsidP="00E852CB" w:rsidRDefault="00E852CB" w14:paraId="0591621C" w14:textId="77777777">
            <w:pPr>
              <w:spacing w:before="120"/>
              <w:jc w:val="center"/>
              <w:rPr>
                <w:color w:val="000000"/>
              </w:rPr>
            </w:pPr>
          </w:p>
          <w:p w:rsidR="00E852CB" w:rsidP="00E852CB" w:rsidRDefault="00E852CB" w14:paraId="46B53EBB" w14:textId="77777777">
            <w:pPr>
              <w:spacing w:before="120"/>
              <w:jc w:val="center"/>
              <w:rPr>
                <w:color w:val="000000"/>
              </w:rPr>
            </w:pPr>
          </w:p>
          <w:p w:rsidR="00E852CB" w:rsidP="00E852CB" w:rsidRDefault="00E852CB" w14:paraId="22224CB8" w14:textId="77777777">
            <w:pPr>
              <w:spacing w:before="120"/>
              <w:jc w:val="center"/>
              <w:rPr>
                <w:color w:val="000000"/>
              </w:rPr>
            </w:pPr>
          </w:p>
          <w:p w:rsidR="00E852CB" w:rsidP="00E852CB" w:rsidRDefault="00E852CB" w14:paraId="4B01FD97" w14:textId="77777777">
            <w:pPr>
              <w:spacing w:before="120"/>
              <w:jc w:val="center"/>
              <w:rPr>
                <w:color w:val="000000"/>
              </w:rPr>
            </w:pPr>
          </w:p>
          <w:p w:rsidR="00E852CB" w:rsidP="00E852CB" w:rsidRDefault="00E852CB" w14:paraId="5DD80ECC" w14:textId="77777777">
            <w:pPr>
              <w:spacing w:before="120"/>
              <w:jc w:val="center"/>
              <w:rPr>
                <w:color w:val="000000"/>
              </w:rPr>
            </w:pPr>
          </w:p>
          <w:p w:rsidR="00E852CB" w:rsidP="00E852CB" w:rsidRDefault="00E852CB" w14:paraId="0EAF9A81" w14:textId="77777777">
            <w:pPr>
              <w:spacing w:before="120"/>
              <w:jc w:val="center"/>
              <w:rPr>
                <w:color w:val="000000"/>
              </w:rPr>
            </w:pPr>
          </w:p>
          <w:p w:rsidR="00E852CB" w:rsidP="00E852CB" w:rsidRDefault="00E852CB" w14:paraId="1401644A" w14:textId="77777777">
            <w:pPr>
              <w:spacing w:before="120"/>
              <w:jc w:val="center"/>
              <w:rPr>
                <w:color w:val="000000"/>
              </w:rPr>
            </w:pPr>
            <w:r>
              <w:rPr>
                <w:color w:val="000000"/>
              </w:rPr>
              <w:t>Verified</w:t>
            </w:r>
          </w:p>
          <w:p w:rsidR="00E852CB" w:rsidP="00E852CB" w:rsidRDefault="00E852CB" w14:paraId="535E78D1" w14:textId="77777777">
            <w:pPr>
              <w:spacing w:before="120"/>
              <w:jc w:val="center"/>
              <w:rPr>
                <w:color w:val="000000"/>
              </w:rPr>
            </w:pPr>
          </w:p>
          <w:p w:rsidR="00E852CB" w:rsidP="00E852CB" w:rsidRDefault="00E852CB" w14:paraId="4502C060" w14:textId="77777777">
            <w:pPr>
              <w:spacing w:before="120"/>
              <w:jc w:val="center"/>
              <w:rPr>
                <w:color w:val="000000"/>
              </w:rPr>
            </w:pPr>
          </w:p>
          <w:p w:rsidR="00E852CB" w:rsidP="00E852CB" w:rsidRDefault="00E852CB" w14:paraId="74795A30" w14:textId="77777777">
            <w:pPr>
              <w:spacing w:before="120"/>
              <w:jc w:val="center"/>
              <w:rPr>
                <w:color w:val="000000"/>
              </w:rPr>
            </w:pPr>
          </w:p>
          <w:p w:rsidR="00E852CB" w:rsidP="00E852CB" w:rsidRDefault="00E852CB" w14:paraId="1D814A1C" w14:textId="77777777">
            <w:pPr>
              <w:spacing w:before="120"/>
              <w:jc w:val="center"/>
              <w:rPr>
                <w:color w:val="000000"/>
              </w:rPr>
            </w:pPr>
          </w:p>
          <w:p w:rsidR="00E852CB" w:rsidP="00E852CB" w:rsidRDefault="00E852CB" w14:paraId="47912FC9" w14:textId="77777777">
            <w:pPr>
              <w:spacing w:before="120"/>
              <w:jc w:val="center"/>
              <w:rPr>
                <w:color w:val="000000"/>
              </w:rPr>
            </w:pPr>
          </w:p>
          <w:p w:rsidRPr="003349DE" w:rsidR="00E852CB" w:rsidP="00E852CB" w:rsidRDefault="00E852CB" w14:paraId="6080F7D1" w14:textId="0B39990B">
            <w:pPr>
              <w:spacing w:before="120"/>
              <w:jc w:val="center"/>
              <w:rPr>
                <w:color w:val="000000"/>
              </w:rPr>
            </w:pPr>
            <w:r>
              <w:rPr>
                <w:color w:val="000000"/>
              </w:rPr>
              <w:t>Verified</w:t>
            </w:r>
          </w:p>
        </w:tc>
      </w:tr>
      <w:tr w:rsidRPr="003349DE" w:rsidR="00FB5810" w:rsidTr="00E852CB" w14:paraId="2EA2C723" w14:textId="77777777">
        <w:tc>
          <w:tcPr>
            <w:tcW w:w="4675" w:type="dxa"/>
          </w:tcPr>
          <w:p w:rsidRPr="005F696A" w:rsidR="00FB5810" w:rsidP="00FB5810" w:rsidRDefault="00BC18A8" w14:paraId="4D5D1411" w14:textId="5182B91D">
            <w:pPr>
              <w:spacing w:before="120"/>
              <w:rPr>
                <w:b/>
                <w:bCs/>
                <w:color w:val="000000"/>
                <w:u w:val="single"/>
              </w:rPr>
            </w:pPr>
            <w:r>
              <w:rPr>
                <w:b/>
                <w:bCs/>
                <w:color w:val="000000"/>
                <w:u w:val="single"/>
              </w:rPr>
              <w:lastRenderedPageBreak/>
              <w:t>2</w:t>
            </w:r>
            <w:r w:rsidRPr="005F696A" w:rsidR="00FB5810">
              <w:rPr>
                <w:b/>
                <w:bCs/>
                <w:color w:val="000000"/>
                <w:u w:val="single"/>
              </w:rPr>
              <w:t xml:space="preserve">. </w:t>
            </w:r>
            <w:r w:rsidRPr="009A4444" w:rsidR="009A4444">
              <w:rPr>
                <w:b/>
                <w:bCs/>
                <w:color w:val="000000"/>
                <w:u w:val="single"/>
              </w:rPr>
              <w:t>Forecast Reasonableness and Cost-Cap Adjustments</w:t>
            </w:r>
          </w:p>
          <w:p w:rsidR="00650800" w:rsidP="00FB5810" w:rsidRDefault="00D42EB9" w14:paraId="28AFA91B" w14:textId="0FD9C05E">
            <w:pPr>
              <w:spacing w:before="120"/>
            </w:pPr>
            <w:r w:rsidRPr="00D42EB9">
              <w:t xml:space="preserve">TURN </w:t>
            </w:r>
            <w:r>
              <w:t>argued</w:t>
            </w:r>
            <w:r w:rsidRPr="00D42EB9">
              <w:t xml:space="preserve"> that PG&amp;E’s proposed increases to the 2025 and 2026 cost caps were based on overstated demand growth</w:t>
            </w:r>
            <w:r w:rsidR="00817062">
              <w:t xml:space="preserve"> in the MWC 16</w:t>
            </w:r>
            <w:r w:rsidRPr="00D42EB9">
              <w:t xml:space="preserve"> </w:t>
            </w:r>
            <w:r w:rsidR="00817062">
              <w:t xml:space="preserve">cost category </w:t>
            </w:r>
            <w:r w:rsidRPr="00D42EB9">
              <w:t>and cost escalation assumptions. TURN recommended applying a one-percent annual growth rate derived from historical trends and argued that PG&amp;E’s obligations under Senate Bill 410 and D.24-09-020 could be achieved within the existing funding levels authorized in D.24-07-008.</w:t>
            </w:r>
          </w:p>
          <w:p w:rsidR="00D42EB9" w:rsidP="00FB5810" w:rsidRDefault="00D42EB9" w14:paraId="06FC2F77" w14:textId="77777777">
            <w:pPr>
              <w:spacing w:before="120"/>
            </w:pPr>
          </w:p>
          <w:p w:rsidR="00650800" w:rsidP="00FB5810" w:rsidRDefault="00D42EB9" w14:paraId="673B72D4" w14:textId="65BB8A7D">
            <w:pPr>
              <w:spacing w:before="120"/>
            </w:pPr>
            <w:r w:rsidRPr="00D42EB9">
              <w:t>PG&amp;E maintained that the higher funding levels were necessary to accelerate new-customer energizations, meet statutory targets, and address backlog projects.</w:t>
            </w:r>
          </w:p>
          <w:p w:rsidR="00D42EB9" w:rsidP="00FB5810" w:rsidRDefault="00D42EB9" w14:paraId="229E6B83" w14:textId="77777777">
            <w:pPr>
              <w:spacing w:before="120"/>
            </w:pPr>
          </w:p>
          <w:p w:rsidR="00FB5810" w:rsidP="00FB5810" w:rsidRDefault="00D42EB9" w14:paraId="68188FD3" w14:textId="6F0C575C">
            <w:pPr>
              <w:spacing w:before="120"/>
              <w:rPr>
                <w:color w:val="000000"/>
              </w:rPr>
            </w:pPr>
            <w:r w:rsidRPr="00D42EB9">
              <w:rPr>
                <w:color w:val="000000"/>
              </w:rPr>
              <w:t xml:space="preserve">The Commission agreed with TURN that PG&amp;E had not presented adequate evidence to justify the requested increases and that its forecasts overstated the capital expenditures </w:t>
            </w:r>
            <w:r w:rsidRPr="00D42EB9">
              <w:rPr>
                <w:color w:val="000000"/>
              </w:rPr>
              <w:lastRenderedPageBreak/>
              <w:t xml:space="preserve">needed to meet statutory obligations. </w:t>
            </w:r>
            <w:r>
              <w:rPr>
                <w:color w:val="000000"/>
              </w:rPr>
              <w:t>Thus, the</w:t>
            </w:r>
            <w:r w:rsidRPr="00D42EB9">
              <w:rPr>
                <w:color w:val="000000"/>
              </w:rPr>
              <w:t xml:space="preserve"> Commission adopted a one-percent growth rate to adjust PG&amp;E’s forecasts and reduced the 2025 and 2026 cost caps by more than $1.2 billion in total</w:t>
            </w:r>
            <w:r w:rsidRPr="00902954" w:rsidR="00902954">
              <w:rPr>
                <w:color w:val="000000"/>
              </w:rPr>
              <w:t>.</w:t>
            </w:r>
          </w:p>
        </w:tc>
        <w:tc>
          <w:tcPr>
            <w:tcW w:w="2970" w:type="dxa"/>
          </w:tcPr>
          <w:p w:rsidR="00A60E06" w:rsidP="00FB5810" w:rsidRDefault="00A60E06" w14:paraId="4BF01CE4" w14:textId="77777777">
            <w:pPr>
              <w:spacing w:before="120"/>
            </w:pPr>
          </w:p>
          <w:p w:rsidR="00213F70" w:rsidP="00FB5810" w:rsidRDefault="00213F70" w14:paraId="2B7BE12F" w14:textId="77777777">
            <w:pPr>
              <w:spacing w:before="120"/>
            </w:pPr>
          </w:p>
          <w:p w:rsidR="00D42EB9" w:rsidP="00FB5810" w:rsidRDefault="00D42EB9" w14:paraId="14E811EB" w14:textId="77777777">
            <w:pPr>
              <w:spacing w:before="120"/>
            </w:pPr>
          </w:p>
          <w:p w:rsidR="00D42EB9" w:rsidP="00D42EB9" w:rsidRDefault="00D42EB9" w14:paraId="3B636E51" w14:textId="0EC580EE">
            <w:pPr>
              <w:pStyle w:val="ListParagraph"/>
              <w:numPr>
                <w:ilvl w:val="0"/>
                <w:numId w:val="11"/>
              </w:numPr>
              <w:spacing w:before="120"/>
              <w:contextualSpacing w:val="0"/>
            </w:pPr>
            <w:r w:rsidRPr="00FE673A">
              <w:rPr>
                <w:bCs/>
                <w:color w:val="000000"/>
              </w:rPr>
              <w:t>D.25-0</w:t>
            </w:r>
            <w:r>
              <w:rPr>
                <w:bCs/>
                <w:color w:val="000000"/>
              </w:rPr>
              <w:t>8</w:t>
            </w:r>
            <w:r w:rsidRPr="00FE673A">
              <w:rPr>
                <w:bCs/>
                <w:color w:val="000000"/>
              </w:rPr>
              <w:t>-0</w:t>
            </w:r>
            <w:r>
              <w:rPr>
                <w:bCs/>
                <w:color w:val="000000"/>
              </w:rPr>
              <w:t>36</w:t>
            </w:r>
            <w:r w:rsidRPr="00B84531">
              <w:t xml:space="preserve">, </w:t>
            </w:r>
            <w:r>
              <w:t>pp. 24-26.</w:t>
            </w:r>
          </w:p>
          <w:p w:rsidRPr="00312BD3" w:rsidR="00D42EB9" w:rsidP="00D42EB9" w:rsidRDefault="00D42EB9" w14:paraId="08B17360" w14:textId="3A667C4A">
            <w:pPr>
              <w:pStyle w:val="ListParagraph"/>
              <w:numPr>
                <w:ilvl w:val="0"/>
                <w:numId w:val="11"/>
              </w:numPr>
              <w:spacing w:before="120"/>
            </w:pPr>
            <w:r w:rsidRPr="00213F70">
              <w:rPr>
                <w:bCs/>
                <w:color w:val="000000"/>
              </w:rPr>
              <w:t>TURN Opening Brief (</w:t>
            </w:r>
            <w:r>
              <w:rPr>
                <w:bCs/>
                <w:color w:val="000000"/>
              </w:rPr>
              <w:t>January 21,</w:t>
            </w:r>
            <w:r w:rsidRPr="00213F70">
              <w:rPr>
                <w:bCs/>
                <w:color w:val="000000"/>
              </w:rPr>
              <w:t xml:space="preserve"> 202</w:t>
            </w:r>
            <w:r>
              <w:rPr>
                <w:bCs/>
                <w:color w:val="000000"/>
              </w:rPr>
              <w:t>5</w:t>
            </w:r>
            <w:r w:rsidRPr="00213F70">
              <w:rPr>
                <w:bCs/>
                <w:color w:val="000000"/>
              </w:rPr>
              <w:t xml:space="preserve">) pp. </w:t>
            </w:r>
            <w:r>
              <w:rPr>
                <w:bCs/>
                <w:color w:val="000000"/>
              </w:rPr>
              <w:t>9-16.</w:t>
            </w:r>
          </w:p>
          <w:p w:rsidRPr="00B84531" w:rsidR="00A60E06" w:rsidP="00A60E06" w:rsidRDefault="00A60E06" w14:paraId="02F6F2E0" w14:textId="77777777">
            <w:pPr>
              <w:pStyle w:val="ListParagraph"/>
              <w:spacing w:before="120"/>
              <w:contextualSpacing w:val="0"/>
            </w:pPr>
          </w:p>
          <w:p w:rsidR="00FB5810" w:rsidP="00FB5810" w:rsidRDefault="00FB5810" w14:paraId="609A1143" w14:textId="77777777">
            <w:pPr>
              <w:spacing w:before="120"/>
              <w:ind w:left="720"/>
            </w:pPr>
          </w:p>
          <w:p w:rsidR="00FB5810" w:rsidP="00FB5810" w:rsidRDefault="00FB5810" w14:paraId="11952902" w14:textId="77777777">
            <w:pPr>
              <w:spacing w:before="120"/>
            </w:pPr>
          </w:p>
          <w:p w:rsidRPr="00213F70" w:rsidR="00312BD3" w:rsidP="009A4444" w:rsidRDefault="009A4444" w14:paraId="1D44B019" w14:textId="49230C14">
            <w:pPr>
              <w:pStyle w:val="ListParagraph"/>
              <w:numPr>
                <w:ilvl w:val="0"/>
                <w:numId w:val="11"/>
              </w:numPr>
              <w:spacing w:before="120"/>
              <w:contextualSpacing w:val="0"/>
            </w:pPr>
            <w:r w:rsidRPr="00FE673A">
              <w:rPr>
                <w:bCs/>
                <w:color w:val="000000"/>
              </w:rPr>
              <w:t>D.25-0</w:t>
            </w:r>
            <w:r>
              <w:rPr>
                <w:bCs/>
                <w:color w:val="000000"/>
              </w:rPr>
              <w:t>8</w:t>
            </w:r>
            <w:r w:rsidRPr="00FE673A">
              <w:rPr>
                <w:bCs/>
                <w:color w:val="000000"/>
              </w:rPr>
              <w:t>-0</w:t>
            </w:r>
            <w:r>
              <w:rPr>
                <w:bCs/>
                <w:color w:val="000000"/>
              </w:rPr>
              <w:t>36</w:t>
            </w:r>
            <w:r w:rsidRPr="00B84531">
              <w:t xml:space="preserve">, </w:t>
            </w:r>
            <w:r>
              <w:t>pp. 9-10.</w:t>
            </w:r>
          </w:p>
          <w:p w:rsidR="009A4444" w:rsidP="009A4444" w:rsidRDefault="009A4444" w14:paraId="4FE2FF50" w14:textId="6E415621">
            <w:pPr>
              <w:pStyle w:val="ListParagraph"/>
              <w:numPr>
                <w:ilvl w:val="0"/>
                <w:numId w:val="11"/>
              </w:numPr>
              <w:spacing w:before="120"/>
              <w:contextualSpacing w:val="0"/>
            </w:pPr>
            <w:r w:rsidRPr="00FE673A">
              <w:rPr>
                <w:bCs/>
                <w:color w:val="000000"/>
              </w:rPr>
              <w:t>D.25-0</w:t>
            </w:r>
            <w:r>
              <w:rPr>
                <w:bCs/>
                <w:color w:val="000000"/>
              </w:rPr>
              <w:t>8</w:t>
            </w:r>
            <w:r w:rsidRPr="00FE673A">
              <w:rPr>
                <w:bCs/>
                <w:color w:val="000000"/>
              </w:rPr>
              <w:t>-0</w:t>
            </w:r>
            <w:r>
              <w:rPr>
                <w:bCs/>
                <w:color w:val="000000"/>
              </w:rPr>
              <w:t>36</w:t>
            </w:r>
            <w:r w:rsidRPr="00B84531">
              <w:t xml:space="preserve">, </w:t>
            </w:r>
            <w:r>
              <w:t>p. 58.</w:t>
            </w:r>
          </w:p>
          <w:p w:rsidR="00FB5810" w:rsidP="00976E24" w:rsidRDefault="00FB5810" w14:paraId="0D3821FB" w14:textId="77777777">
            <w:pPr>
              <w:spacing w:before="120"/>
            </w:pPr>
          </w:p>
          <w:p w:rsidR="009A4444" w:rsidP="00976E24" w:rsidRDefault="009A4444" w14:paraId="70FD3C58" w14:textId="77777777">
            <w:pPr>
              <w:spacing w:before="120"/>
            </w:pPr>
          </w:p>
          <w:p w:rsidR="009A4444" w:rsidP="009A4444" w:rsidRDefault="009A4444" w14:paraId="38409140" w14:textId="0453A1B3">
            <w:pPr>
              <w:pStyle w:val="ListParagraph"/>
              <w:numPr>
                <w:ilvl w:val="0"/>
                <w:numId w:val="11"/>
              </w:numPr>
              <w:spacing w:before="120"/>
              <w:contextualSpacing w:val="0"/>
            </w:pPr>
            <w:r w:rsidRPr="00FE673A">
              <w:rPr>
                <w:bCs/>
                <w:color w:val="000000"/>
              </w:rPr>
              <w:t>D.25-0</w:t>
            </w:r>
            <w:r>
              <w:rPr>
                <w:bCs/>
                <w:color w:val="000000"/>
              </w:rPr>
              <w:t>8</w:t>
            </w:r>
            <w:r w:rsidRPr="00FE673A">
              <w:rPr>
                <w:bCs/>
                <w:color w:val="000000"/>
              </w:rPr>
              <w:t>-0</w:t>
            </w:r>
            <w:r>
              <w:rPr>
                <w:bCs/>
                <w:color w:val="000000"/>
              </w:rPr>
              <w:t>36</w:t>
            </w:r>
            <w:r w:rsidRPr="00B84531">
              <w:t xml:space="preserve">, </w:t>
            </w:r>
            <w:r>
              <w:t>pp. 57-58.</w:t>
            </w:r>
          </w:p>
          <w:p w:rsidRPr="00213F70" w:rsidR="009A4444" w:rsidP="009A4444" w:rsidRDefault="009A4444" w14:paraId="4013F2E1" w14:textId="31703807">
            <w:pPr>
              <w:pStyle w:val="ListParagraph"/>
              <w:numPr>
                <w:ilvl w:val="0"/>
                <w:numId w:val="11"/>
              </w:numPr>
              <w:spacing w:before="120"/>
              <w:contextualSpacing w:val="0"/>
            </w:pPr>
            <w:r w:rsidRPr="00FE673A">
              <w:rPr>
                <w:bCs/>
                <w:color w:val="000000"/>
              </w:rPr>
              <w:t>D.25-0</w:t>
            </w:r>
            <w:r>
              <w:rPr>
                <w:bCs/>
                <w:color w:val="000000"/>
              </w:rPr>
              <w:t>8</w:t>
            </w:r>
            <w:r w:rsidRPr="00FE673A">
              <w:rPr>
                <w:bCs/>
                <w:color w:val="000000"/>
              </w:rPr>
              <w:t>-0</w:t>
            </w:r>
            <w:r>
              <w:rPr>
                <w:bCs/>
                <w:color w:val="000000"/>
              </w:rPr>
              <w:t>36</w:t>
            </w:r>
            <w:r w:rsidRPr="00B84531">
              <w:t xml:space="preserve">, </w:t>
            </w:r>
            <w:r>
              <w:t>pp. 49-50.</w:t>
            </w:r>
          </w:p>
          <w:p w:rsidRPr="00213F70" w:rsidR="009A4444" w:rsidP="009A4444" w:rsidRDefault="009A4444" w14:paraId="193C79A8" w14:textId="77777777">
            <w:pPr>
              <w:spacing w:before="120"/>
              <w:ind w:left="360"/>
            </w:pPr>
          </w:p>
          <w:p w:rsidR="009A4444" w:rsidP="00976E24" w:rsidRDefault="009A4444" w14:paraId="43C3592B" w14:textId="77777777">
            <w:pPr>
              <w:spacing w:before="120"/>
            </w:pPr>
          </w:p>
          <w:p w:rsidR="00FB5810" w:rsidP="00902954" w:rsidRDefault="00FB5810" w14:paraId="7DF095B9" w14:textId="77777777">
            <w:pPr>
              <w:spacing w:before="120"/>
            </w:pPr>
          </w:p>
        </w:tc>
        <w:tc>
          <w:tcPr>
            <w:tcW w:w="2093" w:type="dxa"/>
          </w:tcPr>
          <w:p w:rsidR="00FB5810" w:rsidP="00E852CB" w:rsidRDefault="00FB5810" w14:paraId="0D159101" w14:textId="77777777">
            <w:pPr>
              <w:spacing w:before="120"/>
              <w:jc w:val="center"/>
              <w:rPr>
                <w:color w:val="000000"/>
              </w:rPr>
            </w:pPr>
          </w:p>
          <w:p w:rsidR="00E852CB" w:rsidP="00E852CB" w:rsidRDefault="00E852CB" w14:paraId="38AD9068" w14:textId="77777777">
            <w:pPr>
              <w:spacing w:before="120"/>
              <w:jc w:val="center"/>
              <w:rPr>
                <w:color w:val="000000"/>
              </w:rPr>
            </w:pPr>
          </w:p>
          <w:p w:rsidR="00E852CB" w:rsidP="00E852CB" w:rsidRDefault="00E852CB" w14:paraId="3FC2B15B" w14:textId="77777777">
            <w:pPr>
              <w:spacing w:before="120"/>
              <w:jc w:val="center"/>
              <w:rPr>
                <w:color w:val="000000"/>
              </w:rPr>
            </w:pPr>
          </w:p>
          <w:p w:rsidR="00E852CB" w:rsidP="00E852CB" w:rsidRDefault="00E852CB" w14:paraId="40107396" w14:textId="77777777">
            <w:pPr>
              <w:spacing w:before="120"/>
              <w:jc w:val="center"/>
              <w:rPr>
                <w:color w:val="000000"/>
              </w:rPr>
            </w:pPr>
          </w:p>
          <w:p w:rsidR="00E852CB" w:rsidP="00E852CB" w:rsidRDefault="00E852CB" w14:paraId="736966DC" w14:textId="77777777">
            <w:pPr>
              <w:spacing w:before="120"/>
              <w:jc w:val="center"/>
              <w:rPr>
                <w:color w:val="000000"/>
              </w:rPr>
            </w:pPr>
          </w:p>
          <w:p w:rsidR="00E852CB" w:rsidP="00E852CB" w:rsidRDefault="00E852CB" w14:paraId="46C1CC97" w14:textId="77777777">
            <w:pPr>
              <w:spacing w:before="120"/>
              <w:jc w:val="center"/>
              <w:rPr>
                <w:color w:val="000000"/>
              </w:rPr>
            </w:pPr>
            <w:r>
              <w:rPr>
                <w:color w:val="000000"/>
              </w:rPr>
              <w:t>Verified</w:t>
            </w:r>
          </w:p>
          <w:p w:rsidR="00E852CB" w:rsidP="00E852CB" w:rsidRDefault="00E852CB" w14:paraId="11A6D3EF" w14:textId="77777777">
            <w:pPr>
              <w:spacing w:before="120"/>
              <w:jc w:val="center"/>
              <w:rPr>
                <w:color w:val="000000"/>
              </w:rPr>
            </w:pPr>
          </w:p>
          <w:p w:rsidR="00E852CB" w:rsidP="00E852CB" w:rsidRDefault="00E852CB" w14:paraId="221B9A42" w14:textId="77777777">
            <w:pPr>
              <w:spacing w:before="120"/>
              <w:jc w:val="center"/>
              <w:rPr>
                <w:color w:val="000000"/>
              </w:rPr>
            </w:pPr>
          </w:p>
          <w:p w:rsidR="00E852CB" w:rsidP="00E852CB" w:rsidRDefault="00E852CB" w14:paraId="5EEF2CB6" w14:textId="77777777">
            <w:pPr>
              <w:spacing w:before="120"/>
              <w:jc w:val="center"/>
              <w:rPr>
                <w:color w:val="000000"/>
              </w:rPr>
            </w:pPr>
          </w:p>
          <w:p w:rsidR="00E852CB" w:rsidP="00E852CB" w:rsidRDefault="00E852CB" w14:paraId="60B26002" w14:textId="77777777">
            <w:pPr>
              <w:spacing w:before="120"/>
              <w:jc w:val="center"/>
              <w:rPr>
                <w:color w:val="000000"/>
              </w:rPr>
            </w:pPr>
          </w:p>
          <w:p w:rsidR="00E852CB" w:rsidP="00E852CB" w:rsidRDefault="00E852CB" w14:paraId="2160847E" w14:textId="77777777">
            <w:pPr>
              <w:spacing w:before="120"/>
              <w:jc w:val="center"/>
              <w:rPr>
                <w:color w:val="000000"/>
              </w:rPr>
            </w:pPr>
          </w:p>
          <w:p w:rsidR="00E852CB" w:rsidP="00E852CB" w:rsidRDefault="00E852CB" w14:paraId="446867ED" w14:textId="77777777">
            <w:pPr>
              <w:spacing w:before="120"/>
              <w:jc w:val="center"/>
              <w:rPr>
                <w:color w:val="000000"/>
              </w:rPr>
            </w:pPr>
            <w:r>
              <w:rPr>
                <w:color w:val="000000"/>
              </w:rPr>
              <w:t>Verified</w:t>
            </w:r>
          </w:p>
          <w:p w:rsidR="00E852CB" w:rsidP="00E852CB" w:rsidRDefault="00E852CB" w14:paraId="4CFECC13" w14:textId="77777777">
            <w:pPr>
              <w:spacing w:before="120"/>
              <w:jc w:val="center"/>
              <w:rPr>
                <w:color w:val="000000"/>
              </w:rPr>
            </w:pPr>
          </w:p>
          <w:p w:rsidR="00E852CB" w:rsidP="00E852CB" w:rsidRDefault="00E852CB" w14:paraId="090A1FAA" w14:textId="77777777">
            <w:pPr>
              <w:spacing w:before="120"/>
              <w:jc w:val="center"/>
              <w:rPr>
                <w:color w:val="000000"/>
              </w:rPr>
            </w:pPr>
          </w:p>
          <w:p w:rsidR="00E852CB" w:rsidP="00E852CB" w:rsidRDefault="00E852CB" w14:paraId="563536EF" w14:textId="77777777">
            <w:pPr>
              <w:spacing w:before="120"/>
              <w:jc w:val="center"/>
              <w:rPr>
                <w:color w:val="000000"/>
              </w:rPr>
            </w:pPr>
          </w:p>
          <w:p w:rsidR="00E852CB" w:rsidP="00E852CB" w:rsidRDefault="00E852CB" w14:paraId="29890E1F" w14:textId="77777777">
            <w:pPr>
              <w:spacing w:before="120"/>
              <w:jc w:val="center"/>
              <w:rPr>
                <w:color w:val="000000"/>
              </w:rPr>
            </w:pPr>
            <w:r>
              <w:rPr>
                <w:color w:val="000000"/>
              </w:rPr>
              <w:t>Verified</w:t>
            </w:r>
          </w:p>
          <w:p w:rsidR="00E852CB" w:rsidP="00E852CB" w:rsidRDefault="00E852CB" w14:paraId="452CAFA8" w14:textId="77777777">
            <w:pPr>
              <w:spacing w:before="120"/>
              <w:jc w:val="center"/>
              <w:rPr>
                <w:color w:val="000000"/>
              </w:rPr>
            </w:pPr>
          </w:p>
          <w:p w:rsidR="00E852CB" w:rsidP="00E852CB" w:rsidRDefault="00E852CB" w14:paraId="78847034" w14:textId="392A28AF">
            <w:pPr>
              <w:spacing w:before="120"/>
              <w:jc w:val="center"/>
              <w:rPr>
                <w:color w:val="000000"/>
              </w:rPr>
            </w:pPr>
            <w:r>
              <w:rPr>
                <w:color w:val="000000"/>
              </w:rPr>
              <w:lastRenderedPageBreak/>
              <w:t>Verified</w:t>
            </w:r>
          </w:p>
          <w:p w:rsidR="00E852CB" w:rsidP="00E852CB" w:rsidRDefault="00E852CB" w14:paraId="7AA0852D" w14:textId="77777777">
            <w:pPr>
              <w:spacing w:before="120"/>
              <w:jc w:val="center"/>
              <w:rPr>
                <w:color w:val="000000"/>
              </w:rPr>
            </w:pPr>
          </w:p>
          <w:p w:rsidRPr="003349DE" w:rsidR="00E852CB" w:rsidP="00E852CB" w:rsidRDefault="00E852CB" w14:paraId="11ACD637" w14:textId="531150B8">
            <w:pPr>
              <w:spacing w:before="120"/>
              <w:jc w:val="center"/>
              <w:rPr>
                <w:color w:val="000000"/>
              </w:rPr>
            </w:pPr>
          </w:p>
        </w:tc>
      </w:tr>
      <w:tr w:rsidRPr="003349DE" w:rsidR="00DC7CE8" w:rsidTr="00E852CB" w14:paraId="6C2312C6" w14:textId="77777777">
        <w:tc>
          <w:tcPr>
            <w:tcW w:w="4675" w:type="dxa"/>
          </w:tcPr>
          <w:p w:rsidRPr="00AB0893" w:rsidR="00DC7CE8" w:rsidP="00DC7CE8" w:rsidRDefault="00563875" w14:paraId="17DB7179" w14:textId="0CF2D320">
            <w:pPr>
              <w:spacing w:after="80"/>
              <w:rPr>
                <w:b/>
                <w:bCs/>
                <w:color w:val="000000"/>
              </w:rPr>
            </w:pPr>
            <w:r>
              <w:rPr>
                <w:b/>
                <w:bCs/>
                <w:color w:val="000000"/>
              </w:rPr>
              <w:lastRenderedPageBreak/>
              <w:t>3</w:t>
            </w:r>
            <w:r w:rsidRPr="00AB0893" w:rsidR="00DC7CE8">
              <w:rPr>
                <w:b/>
                <w:bCs/>
                <w:color w:val="000000"/>
              </w:rPr>
              <w:t>. Affordability</w:t>
            </w:r>
          </w:p>
          <w:p w:rsidRPr="00121F82" w:rsidR="00DC7CE8" w:rsidP="00DC7CE8" w:rsidRDefault="00DC7CE8" w14:paraId="589CE8CD" w14:textId="77777777">
            <w:r w:rsidRPr="00AB0893">
              <w:rPr>
                <w:color w:val="000000"/>
              </w:rPr>
              <w:t xml:space="preserve">TURN raised concerns about the </w:t>
            </w:r>
            <w:r>
              <w:rPr>
                <w:color w:val="000000"/>
              </w:rPr>
              <w:t xml:space="preserve">impact of PG&amp;E’s request on affordability, stating that PG&amp;E’s assertion that the requested cost cap increase would increase average bundled rates by 1.8%.  TURN noted that this </w:t>
            </w:r>
            <w:r>
              <w:t>misrepresents the full annual revenue requirement associated with the SB 410 cap by ignoring the $295 million revenue requirement associated with the energization caps already approved in D.24-07-008.</w:t>
            </w:r>
          </w:p>
          <w:p w:rsidR="00DC7CE8" w:rsidP="00DC7CE8" w:rsidRDefault="00DC7CE8" w14:paraId="169BE302" w14:textId="77777777">
            <w:pPr>
              <w:rPr>
                <w:color w:val="000000"/>
              </w:rPr>
            </w:pPr>
          </w:p>
          <w:p w:rsidR="00DC7CE8" w:rsidP="00DC7CE8" w:rsidRDefault="00DC7CE8" w14:paraId="756071BB" w14:textId="77777777">
            <w:pPr>
              <w:rPr>
                <w:color w:val="000000"/>
              </w:rPr>
            </w:pPr>
            <w:r>
              <w:rPr>
                <w:color w:val="000000"/>
              </w:rPr>
              <w:t>The Commission adopts this position, stating in Finding of Fact 45 that “</w:t>
            </w:r>
            <w:r>
              <w:t>PG&amp;E’s evidence does not support its claim that the rate impact of the full request in its motion is an increase of 1.8 percent for an average residential customer.”</w:t>
            </w:r>
            <w:r>
              <w:rPr>
                <w:color w:val="000000"/>
              </w:rPr>
              <w:t xml:space="preserve">  </w:t>
            </w:r>
          </w:p>
          <w:p w:rsidR="00DC7CE8" w:rsidP="00DC7CE8" w:rsidRDefault="00DC7CE8" w14:paraId="0FF80102" w14:textId="77777777">
            <w:pPr>
              <w:rPr>
                <w:color w:val="000000"/>
              </w:rPr>
            </w:pPr>
          </w:p>
          <w:p w:rsidRPr="00AB0893" w:rsidR="00DC7CE8" w:rsidP="00DC7CE8" w:rsidRDefault="00DC7CE8" w14:paraId="384B56C2" w14:textId="77777777">
            <w:pPr>
              <w:rPr>
                <w:color w:val="000000"/>
              </w:rPr>
            </w:pPr>
            <w:r>
              <w:rPr>
                <w:color w:val="000000"/>
              </w:rPr>
              <w:t>TURN also discusses the need to balance energization goals with affordability concerns, as the Commission previously did in D.24-07-008.  Though the decision does not address this point in detail, it acknowledges the need for an affordability analysis, while deferring it to a future cost recovery proceeding.</w:t>
            </w:r>
          </w:p>
          <w:p w:rsidRPr="00AB0893" w:rsidR="00DC7CE8" w:rsidP="00DC7CE8" w:rsidRDefault="00DC7CE8" w14:paraId="3D4C30AF" w14:textId="77777777"/>
          <w:p w:rsidRPr="00D924EC" w:rsidR="00DC7CE8" w:rsidP="00DC7CE8" w:rsidRDefault="00DC7CE8" w14:paraId="2EF48C1B" w14:textId="77777777">
            <w:r>
              <w:t xml:space="preserve">Based on extensive discovery, TURN also explained that PG&amp;E failed to provide evidence or analysis to support its claim that increased energization would lead to downward pressure on rates, disproving PG&amp;E’s claims throughout its motion that affordability impacts would be mitigated by such downward pressure on rates.  </w:t>
            </w:r>
            <w:r w:rsidRPr="00D924EC">
              <w:t>TURN reviewed PG&amp;E’s analysis and identified several significant</w:t>
            </w:r>
            <w:r>
              <w:t xml:space="preserve"> </w:t>
            </w:r>
            <w:r w:rsidRPr="00D924EC">
              <w:t xml:space="preserve">deficiencies, including the omission of incremental costs related to serving new customers beyond initial energization, the presentation of multiple </w:t>
            </w:r>
            <w:r w:rsidRPr="00D924EC">
              <w:lastRenderedPageBreak/>
              <w:t>energization scenarios that may not be cost-effective, and the inclusion of  projects that connect distributed energy resources (DER) to the grid from its energization project forecasts.</w:t>
            </w:r>
          </w:p>
          <w:p w:rsidR="00DC7CE8" w:rsidP="00D85BB3" w:rsidRDefault="00DC7CE8" w14:paraId="4ED2F86B" w14:textId="4E82DD5C">
            <w:r>
              <w:t xml:space="preserve"> </w:t>
            </w:r>
          </w:p>
          <w:p w:rsidRPr="00AF6E2D" w:rsidR="00DC7CE8" w:rsidP="00DC7CE8" w:rsidRDefault="00DC7CE8" w14:paraId="72A73937" w14:textId="0E90F445">
            <w:pPr>
              <w:spacing w:before="120"/>
              <w:rPr>
                <w:color w:val="000000"/>
                <w:sz w:val="22"/>
                <w:szCs w:val="22"/>
              </w:rPr>
            </w:pPr>
            <w:r>
              <w:t>D.25-08-036 includes a lengthy discussion of this issue, and consistent with TURN’s position, finds that “[t]he bill impacts of the cost of energizing new customers based on our modifications to PG&amp;E’s motion in this decision, cannot be quantified without data related to the increased energy usage from completed energization projects,” And that “PG&amp;E’s motion and supporting documentation cannot adequately model the affordability impacts on customers.”</w:t>
            </w:r>
          </w:p>
        </w:tc>
        <w:tc>
          <w:tcPr>
            <w:tcW w:w="2970" w:type="dxa"/>
          </w:tcPr>
          <w:p w:rsidR="00DC7CE8" w:rsidP="00DC7CE8" w:rsidRDefault="00DC7CE8" w14:paraId="37002DF6" w14:textId="77777777">
            <w:pPr>
              <w:rPr>
                <w:color w:val="000000"/>
              </w:rPr>
            </w:pPr>
          </w:p>
          <w:p w:rsidR="00DC7CE8" w:rsidP="00DC7CE8" w:rsidRDefault="00DC7CE8" w14:paraId="1CF01A06" w14:textId="77777777">
            <w:pPr>
              <w:rPr>
                <w:color w:val="000000"/>
              </w:rPr>
            </w:pPr>
          </w:p>
          <w:p w:rsidR="00DC7CE8" w:rsidP="00DC7CE8" w:rsidRDefault="00DC7CE8" w14:paraId="422321FC" w14:textId="77777777">
            <w:pPr>
              <w:rPr>
                <w:color w:val="000000"/>
              </w:rPr>
            </w:pPr>
          </w:p>
          <w:p w:rsidR="00DC7CE8" w:rsidP="00DC7CE8" w:rsidRDefault="00DC7CE8" w14:paraId="3DCF171F" w14:textId="77777777">
            <w:pPr>
              <w:rPr>
                <w:color w:val="000000"/>
              </w:rPr>
            </w:pPr>
          </w:p>
          <w:p w:rsidR="00DC7CE8" w:rsidP="00DC7CE8" w:rsidRDefault="00DC7CE8" w14:paraId="58DB972A" w14:textId="77777777">
            <w:pPr>
              <w:rPr>
                <w:color w:val="000000"/>
              </w:rPr>
            </w:pPr>
          </w:p>
          <w:p w:rsidRPr="00AB0893" w:rsidR="00DC7CE8" w:rsidP="00DC7CE8" w:rsidRDefault="00DC7CE8" w14:paraId="7B42FF32" w14:textId="77777777">
            <w:pPr>
              <w:pStyle w:val="ListParagraph"/>
              <w:numPr>
                <w:ilvl w:val="0"/>
                <w:numId w:val="13"/>
              </w:numPr>
              <w:spacing w:after="120"/>
              <w:ind w:left="230" w:hanging="288"/>
              <w:contextualSpacing w:val="0"/>
            </w:pPr>
            <w:r>
              <w:t>TURN’s reply brief, p. 5.</w:t>
            </w:r>
          </w:p>
          <w:p w:rsidR="00DC7CE8" w:rsidP="00DC7CE8" w:rsidRDefault="00DC7CE8" w14:paraId="5445124E" w14:textId="77777777">
            <w:pPr>
              <w:rPr>
                <w:color w:val="000000"/>
              </w:rPr>
            </w:pPr>
          </w:p>
          <w:p w:rsidR="00DC7CE8" w:rsidP="00DC7CE8" w:rsidRDefault="00DC7CE8" w14:paraId="33A84546" w14:textId="77777777">
            <w:pPr>
              <w:rPr>
                <w:color w:val="000000"/>
              </w:rPr>
            </w:pPr>
          </w:p>
          <w:p w:rsidR="00D12626" w:rsidP="00DC7CE8" w:rsidRDefault="00D12626" w14:paraId="3C437085" w14:textId="77777777">
            <w:pPr>
              <w:rPr>
                <w:color w:val="000000"/>
              </w:rPr>
            </w:pPr>
          </w:p>
          <w:p w:rsidR="00D12626" w:rsidP="00DC7CE8" w:rsidRDefault="00D12626" w14:paraId="3B455C06" w14:textId="77777777">
            <w:pPr>
              <w:rPr>
                <w:color w:val="000000"/>
              </w:rPr>
            </w:pPr>
          </w:p>
          <w:p w:rsidRPr="00AB0893" w:rsidR="00DC7CE8" w:rsidP="00DC7CE8" w:rsidRDefault="00DC7CE8" w14:paraId="597658D5" w14:textId="77777777">
            <w:pPr>
              <w:rPr>
                <w:color w:val="000000"/>
              </w:rPr>
            </w:pPr>
          </w:p>
          <w:p w:rsidRPr="00AB0893" w:rsidR="00DC7CE8" w:rsidP="00DC7CE8" w:rsidRDefault="00DC7CE8" w14:paraId="2C3ACB62" w14:textId="77777777">
            <w:pPr>
              <w:pStyle w:val="ListParagraph"/>
              <w:numPr>
                <w:ilvl w:val="0"/>
                <w:numId w:val="13"/>
              </w:numPr>
              <w:spacing w:after="120"/>
              <w:ind w:left="230" w:hanging="288"/>
              <w:contextualSpacing w:val="0"/>
              <w:rPr>
                <w:color w:val="000000"/>
              </w:rPr>
            </w:pPr>
            <w:r>
              <w:t>D. 25-08-036, Finding of Fact 45.</w:t>
            </w:r>
          </w:p>
          <w:p w:rsidR="00DC7CE8" w:rsidP="00DC7CE8" w:rsidRDefault="00DC7CE8" w14:paraId="66992692" w14:textId="77777777">
            <w:pPr>
              <w:rPr>
                <w:color w:val="000000"/>
              </w:rPr>
            </w:pPr>
          </w:p>
          <w:p w:rsidR="00DC7CE8" w:rsidP="00DC7CE8" w:rsidRDefault="00DC7CE8" w14:paraId="1C69A32E" w14:textId="77777777">
            <w:pPr>
              <w:rPr>
                <w:color w:val="000000"/>
              </w:rPr>
            </w:pPr>
          </w:p>
          <w:p w:rsidR="00DC7CE8" w:rsidP="00DC7CE8" w:rsidRDefault="00DC7CE8" w14:paraId="1BA5E405" w14:textId="77777777">
            <w:pPr>
              <w:rPr>
                <w:color w:val="000000"/>
              </w:rPr>
            </w:pPr>
          </w:p>
          <w:p w:rsidR="00DC7CE8" w:rsidP="00DC7CE8" w:rsidRDefault="00DC7CE8" w14:paraId="1FAE740A" w14:textId="77777777">
            <w:pPr>
              <w:rPr>
                <w:color w:val="000000"/>
              </w:rPr>
            </w:pPr>
          </w:p>
          <w:p w:rsidR="00D12626" w:rsidP="00DC7CE8" w:rsidRDefault="00D12626" w14:paraId="310853FA" w14:textId="77777777">
            <w:pPr>
              <w:rPr>
                <w:color w:val="000000"/>
              </w:rPr>
            </w:pPr>
          </w:p>
          <w:p w:rsidR="00D12626" w:rsidP="00DC7CE8" w:rsidRDefault="00D12626" w14:paraId="3A30E121" w14:textId="77777777">
            <w:pPr>
              <w:rPr>
                <w:color w:val="000000"/>
              </w:rPr>
            </w:pPr>
          </w:p>
          <w:p w:rsidR="00DC7CE8" w:rsidP="00DC7CE8" w:rsidRDefault="00DC7CE8" w14:paraId="46295228" w14:textId="77777777">
            <w:pPr>
              <w:rPr>
                <w:color w:val="000000"/>
              </w:rPr>
            </w:pPr>
          </w:p>
          <w:p w:rsidRPr="00AB0893" w:rsidR="00DC7CE8" w:rsidP="00DC7CE8" w:rsidRDefault="00DC7CE8" w14:paraId="3A41A72B" w14:textId="77777777">
            <w:pPr>
              <w:pStyle w:val="ListParagraph"/>
              <w:numPr>
                <w:ilvl w:val="0"/>
                <w:numId w:val="13"/>
              </w:numPr>
              <w:spacing w:after="120"/>
              <w:ind w:left="230" w:hanging="288"/>
              <w:contextualSpacing w:val="0"/>
              <w:rPr>
                <w:color w:val="000000"/>
              </w:rPr>
            </w:pPr>
            <w:r>
              <w:t>Opening brief p. 8, Reply brief at p. 15.</w:t>
            </w:r>
          </w:p>
          <w:p w:rsidR="00DC7CE8" w:rsidP="00DC7CE8" w:rsidRDefault="00DC7CE8" w14:paraId="03B6DFE9" w14:textId="77777777">
            <w:pPr>
              <w:rPr>
                <w:color w:val="000000"/>
              </w:rPr>
            </w:pPr>
          </w:p>
          <w:p w:rsidRPr="00AB0893" w:rsidR="00DC7CE8" w:rsidP="00DC7CE8" w:rsidRDefault="00DC7CE8" w14:paraId="19B8A578" w14:textId="77777777">
            <w:pPr>
              <w:pStyle w:val="ListParagraph"/>
              <w:numPr>
                <w:ilvl w:val="0"/>
                <w:numId w:val="13"/>
              </w:numPr>
              <w:spacing w:after="120"/>
              <w:ind w:left="230" w:hanging="288"/>
              <w:contextualSpacing w:val="0"/>
              <w:rPr>
                <w:color w:val="000000"/>
              </w:rPr>
            </w:pPr>
            <w:r>
              <w:t>D. 25-08-036, pp. 56-57.</w:t>
            </w:r>
          </w:p>
          <w:p w:rsidR="00DC7CE8" w:rsidP="00DC7CE8" w:rsidRDefault="00DC7CE8" w14:paraId="5BB0AC6E" w14:textId="77777777">
            <w:pPr>
              <w:rPr>
                <w:color w:val="000000"/>
              </w:rPr>
            </w:pPr>
          </w:p>
          <w:p w:rsidR="00DC7CE8" w:rsidP="00DC7CE8" w:rsidRDefault="00DC7CE8" w14:paraId="23D3EEE0" w14:textId="77777777">
            <w:pPr>
              <w:rPr>
                <w:color w:val="000000"/>
              </w:rPr>
            </w:pPr>
          </w:p>
          <w:p w:rsidR="00DC7CE8" w:rsidP="00DC7CE8" w:rsidRDefault="00DC7CE8" w14:paraId="147FC4F8" w14:textId="77777777">
            <w:pPr>
              <w:rPr>
                <w:color w:val="000000"/>
              </w:rPr>
            </w:pPr>
          </w:p>
          <w:p w:rsidR="00DC7CE8" w:rsidP="00DC7CE8" w:rsidRDefault="00DC7CE8" w14:paraId="04B41D69" w14:textId="77777777">
            <w:pPr>
              <w:rPr>
                <w:color w:val="000000"/>
              </w:rPr>
            </w:pPr>
          </w:p>
          <w:p w:rsidR="00DC7CE8" w:rsidP="00DC7CE8" w:rsidRDefault="00DC7CE8" w14:paraId="0CD90B48" w14:textId="77777777">
            <w:pPr>
              <w:rPr>
                <w:color w:val="000000"/>
              </w:rPr>
            </w:pPr>
          </w:p>
          <w:p w:rsidRPr="00AB0893" w:rsidR="00DC7CE8" w:rsidP="00DC7CE8" w:rsidRDefault="00DC7CE8" w14:paraId="7D927D3A" w14:textId="77777777">
            <w:pPr>
              <w:rPr>
                <w:color w:val="000000"/>
              </w:rPr>
            </w:pPr>
          </w:p>
          <w:p w:rsidR="00DC7CE8" w:rsidP="00DC7CE8" w:rsidRDefault="00DC7CE8" w14:paraId="50660318" w14:textId="77777777">
            <w:pPr>
              <w:pStyle w:val="ListParagraph"/>
              <w:numPr>
                <w:ilvl w:val="0"/>
                <w:numId w:val="13"/>
              </w:numPr>
              <w:spacing w:after="120"/>
              <w:ind w:left="230" w:hanging="288"/>
              <w:contextualSpacing w:val="0"/>
            </w:pPr>
            <w:r>
              <w:t>Opening brief pp.22-23</w:t>
            </w:r>
          </w:p>
          <w:p w:rsidR="00DC7CE8" w:rsidP="00DC7CE8" w:rsidRDefault="00DC7CE8" w14:paraId="0CBBF71E" w14:textId="77777777">
            <w:pPr>
              <w:spacing w:after="120"/>
            </w:pPr>
          </w:p>
          <w:p w:rsidR="00DC7CE8" w:rsidP="00DC7CE8" w:rsidRDefault="00DC7CE8" w14:paraId="2BAC5C52" w14:textId="77777777">
            <w:pPr>
              <w:spacing w:after="120"/>
            </w:pPr>
          </w:p>
          <w:p w:rsidR="00DC7CE8" w:rsidP="00DC7CE8" w:rsidRDefault="00DC7CE8" w14:paraId="57E4DCC5" w14:textId="77777777">
            <w:pPr>
              <w:spacing w:after="120"/>
            </w:pPr>
          </w:p>
          <w:p w:rsidR="00DC7CE8" w:rsidP="00DC7CE8" w:rsidRDefault="00DC7CE8" w14:paraId="144AD716" w14:textId="30809878">
            <w:pPr>
              <w:pStyle w:val="ListParagraph"/>
              <w:numPr>
                <w:ilvl w:val="0"/>
                <w:numId w:val="13"/>
              </w:numPr>
              <w:spacing w:after="120"/>
              <w:ind w:left="230" w:hanging="288"/>
              <w:contextualSpacing w:val="0"/>
            </w:pPr>
            <w:r>
              <w:t>D. 25-08-036, at 55 (and surrounding discussion)</w:t>
            </w:r>
          </w:p>
        </w:tc>
        <w:tc>
          <w:tcPr>
            <w:tcW w:w="2093" w:type="dxa"/>
          </w:tcPr>
          <w:p w:rsidR="00DC7CE8" w:rsidP="00E852CB" w:rsidRDefault="00DC7CE8" w14:paraId="020F60D6" w14:textId="77777777">
            <w:pPr>
              <w:spacing w:before="120"/>
              <w:jc w:val="center"/>
              <w:rPr>
                <w:color w:val="000000"/>
              </w:rPr>
            </w:pPr>
          </w:p>
          <w:p w:rsidR="00E852CB" w:rsidP="00E852CB" w:rsidRDefault="00E852CB" w14:paraId="3483E9CF" w14:textId="77777777">
            <w:pPr>
              <w:spacing w:before="120"/>
              <w:jc w:val="center"/>
              <w:rPr>
                <w:color w:val="000000"/>
              </w:rPr>
            </w:pPr>
          </w:p>
          <w:p w:rsidR="00E852CB" w:rsidP="00E852CB" w:rsidRDefault="00E852CB" w14:paraId="6FB86772" w14:textId="77777777">
            <w:pPr>
              <w:spacing w:before="120"/>
              <w:jc w:val="center"/>
              <w:rPr>
                <w:color w:val="000000"/>
              </w:rPr>
            </w:pPr>
          </w:p>
          <w:p w:rsidR="00E852CB" w:rsidP="00E852CB" w:rsidRDefault="00E852CB" w14:paraId="7C2FBF92" w14:textId="77777777">
            <w:pPr>
              <w:spacing w:before="120"/>
              <w:jc w:val="center"/>
              <w:rPr>
                <w:color w:val="000000"/>
              </w:rPr>
            </w:pPr>
            <w:r>
              <w:rPr>
                <w:color w:val="000000"/>
              </w:rPr>
              <w:t>Verified</w:t>
            </w:r>
          </w:p>
          <w:p w:rsidR="00E852CB" w:rsidP="00E852CB" w:rsidRDefault="00E852CB" w14:paraId="64CD85AF" w14:textId="77777777">
            <w:pPr>
              <w:spacing w:before="120"/>
              <w:jc w:val="center"/>
              <w:rPr>
                <w:color w:val="000000"/>
              </w:rPr>
            </w:pPr>
          </w:p>
          <w:p w:rsidR="00E852CB" w:rsidP="00E852CB" w:rsidRDefault="00E852CB" w14:paraId="611F2322" w14:textId="77777777">
            <w:pPr>
              <w:spacing w:before="120"/>
              <w:jc w:val="center"/>
              <w:rPr>
                <w:color w:val="000000"/>
              </w:rPr>
            </w:pPr>
          </w:p>
          <w:p w:rsidR="00E852CB" w:rsidP="00E852CB" w:rsidRDefault="00E852CB" w14:paraId="7A663993" w14:textId="77777777">
            <w:pPr>
              <w:spacing w:before="120"/>
              <w:jc w:val="center"/>
              <w:rPr>
                <w:color w:val="000000"/>
              </w:rPr>
            </w:pPr>
          </w:p>
          <w:p w:rsidR="00E852CB" w:rsidP="00E852CB" w:rsidRDefault="00E852CB" w14:paraId="438D0B91" w14:textId="77777777">
            <w:pPr>
              <w:spacing w:before="120"/>
              <w:jc w:val="center"/>
              <w:rPr>
                <w:color w:val="000000"/>
              </w:rPr>
            </w:pPr>
          </w:p>
          <w:p w:rsidR="00E852CB" w:rsidP="00E852CB" w:rsidRDefault="00E852CB" w14:paraId="78B5DE6C" w14:textId="77777777">
            <w:pPr>
              <w:spacing w:before="120"/>
              <w:jc w:val="center"/>
              <w:rPr>
                <w:color w:val="000000"/>
              </w:rPr>
            </w:pPr>
          </w:p>
          <w:p w:rsidR="00E852CB" w:rsidP="00E852CB" w:rsidRDefault="00E852CB" w14:paraId="785190C6" w14:textId="77777777">
            <w:pPr>
              <w:spacing w:before="120"/>
              <w:jc w:val="center"/>
              <w:rPr>
                <w:color w:val="000000"/>
              </w:rPr>
            </w:pPr>
          </w:p>
          <w:p w:rsidR="00E852CB" w:rsidP="00E852CB" w:rsidRDefault="00E852CB" w14:paraId="6B389B58" w14:textId="77777777">
            <w:pPr>
              <w:spacing w:before="120"/>
              <w:jc w:val="center"/>
              <w:rPr>
                <w:color w:val="000000"/>
              </w:rPr>
            </w:pPr>
          </w:p>
          <w:p w:rsidR="00E852CB" w:rsidP="00E852CB" w:rsidRDefault="00E852CB" w14:paraId="7078C7B3" w14:textId="77777777">
            <w:pPr>
              <w:spacing w:before="120"/>
              <w:jc w:val="center"/>
              <w:rPr>
                <w:color w:val="000000"/>
              </w:rPr>
            </w:pPr>
          </w:p>
          <w:p w:rsidR="00E852CB" w:rsidP="00E852CB" w:rsidRDefault="00E852CB" w14:paraId="558484D5" w14:textId="77777777">
            <w:pPr>
              <w:spacing w:before="120"/>
              <w:jc w:val="center"/>
              <w:rPr>
                <w:color w:val="000000"/>
              </w:rPr>
            </w:pPr>
          </w:p>
          <w:p w:rsidR="00E852CB" w:rsidP="00E852CB" w:rsidRDefault="00E852CB" w14:paraId="196664DE" w14:textId="77777777">
            <w:pPr>
              <w:spacing w:before="120"/>
              <w:jc w:val="center"/>
              <w:rPr>
                <w:color w:val="000000"/>
              </w:rPr>
            </w:pPr>
          </w:p>
          <w:p w:rsidR="00E852CB" w:rsidP="00E852CB" w:rsidRDefault="00E852CB" w14:paraId="74850582" w14:textId="77777777">
            <w:pPr>
              <w:spacing w:before="120"/>
              <w:jc w:val="center"/>
              <w:rPr>
                <w:color w:val="000000"/>
              </w:rPr>
            </w:pPr>
          </w:p>
          <w:p w:rsidR="00E852CB" w:rsidP="00E852CB" w:rsidRDefault="00E852CB" w14:paraId="31BBA766" w14:textId="1474ACE6">
            <w:pPr>
              <w:spacing w:before="120"/>
              <w:jc w:val="center"/>
              <w:rPr>
                <w:color w:val="000000"/>
              </w:rPr>
            </w:pPr>
            <w:r>
              <w:rPr>
                <w:color w:val="000000"/>
              </w:rPr>
              <w:t>Verified</w:t>
            </w:r>
          </w:p>
          <w:p w:rsidR="00E852CB" w:rsidP="00E852CB" w:rsidRDefault="00E852CB" w14:paraId="04295890" w14:textId="77777777">
            <w:pPr>
              <w:spacing w:before="120"/>
              <w:jc w:val="center"/>
              <w:rPr>
                <w:color w:val="000000"/>
              </w:rPr>
            </w:pPr>
          </w:p>
          <w:p w:rsidR="00E852CB" w:rsidP="00E852CB" w:rsidRDefault="00E852CB" w14:paraId="7ED382D8" w14:textId="77777777">
            <w:pPr>
              <w:spacing w:before="120"/>
              <w:jc w:val="center"/>
              <w:rPr>
                <w:color w:val="000000"/>
              </w:rPr>
            </w:pPr>
          </w:p>
          <w:p w:rsidR="00E852CB" w:rsidP="00E852CB" w:rsidRDefault="00E852CB" w14:paraId="714FFCD4" w14:textId="77777777">
            <w:pPr>
              <w:spacing w:before="120"/>
              <w:jc w:val="center"/>
              <w:rPr>
                <w:color w:val="000000"/>
              </w:rPr>
            </w:pPr>
          </w:p>
          <w:p w:rsidR="00E852CB" w:rsidP="00E852CB" w:rsidRDefault="00E852CB" w14:paraId="28C2FF44" w14:textId="77777777">
            <w:pPr>
              <w:spacing w:before="120"/>
              <w:jc w:val="center"/>
              <w:rPr>
                <w:color w:val="000000"/>
              </w:rPr>
            </w:pPr>
          </w:p>
          <w:p w:rsidR="00E852CB" w:rsidP="00E852CB" w:rsidRDefault="00E852CB" w14:paraId="159EA794" w14:textId="77777777">
            <w:pPr>
              <w:spacing w:before="120"/>
              <w:jc w:val="center"/>
              <w:rPr>
                <w:color w:val="000000"/>
              </w:rPr>
            </w:pPr>
          </w:p>
          <w:p w:rsidR="00E852CB" w:rsidP="00E852CB" w:rsidRDefault="00E852CB" w14:paraId="57D8DA22" w14:textId="77777777">
            <w:pPr>
              <w:spacing w:before="120"/>
              <w:jc w:val="center"/>
              <w:rPr>
                <w:color w:val="000000"/>
              </w:rPr>
            </w:pPr>
          </w:p>
          <w:p w:rsidR="00E852CB" w:rsidP="00E852CB" w:rsidRDefault="00E852CB" w14:paraId="562CCCC6" w14:textId="77777777">
            <w:pPr>
              <w:spacing w:before="120"/>
              <w:jc w:val="center"/>
              <w:rPr>
                <w:color w:val="000000"/>
              </w:rPr>
            </w:pPr>
          </w:p>
          <w:p w:rsidR="00E852CB" w:rsidP="00E852CB" w:rsidRDefault="00E852CB" w14:paraId="37D5633E" w14:textId="77777777">
            <w:pPr>
              <w:spacing w:before="120"/>
              <w:jc w:val="center"/>
              <w:rPr>
                <w:color w:val="000000"/>
              </w:rPr>
            </w:pPr>
          </w:p>
          <w:p w:rsidR="00E852CB" w:rsidP="00E852CB" w:rsidRDefault="00E852CB" w14:paraId="75F4F4ED" w14:textId="404B2545">
            <w:pPr>
              <w:spacing w:before="120"/>
              <w:jc w:val="center"/>
              <w:rPr>
                <w:color w:val="000000"/>
              </w:rPr>
            </w:pPr>
            <w:r>
              <w:rPr>
                <w:color w:val="000000"/>
              </w:rPr>
              <w:t>Verified</w:t>
            </w:r>
          </w:p>
          <w:p w:rsidRPr="003349DE" w:rsidR="00E852CB" w:rsidP="00E852CB" w:rsidRDefault="00E852CB" w14:paraId="162A343F" w14:textId="0B2273FD">
            <w:pPr>
              <w:spacing w:before="120"/>
              <w:jc w:val="center"/>
              <w:rPr>
                <w:color w:val="000000"/>
              </w:rPr>
            </w:pPr>
          </w:p>
        </w:tc>
      </w:tr>
      <w:tr w:rsidRPr="003349DE" w:rsidR="00DC7CE8" w:rsidTr="00E852CB" w14:paraId="5D8C3692" w14:textId="77777777">
        <w:tc>
          <w:tcPr>
            <w:tcW w:w="4675" w:type="dxa"/>
          </w:tcPr>
          <w:p w:rsidRPr="00D85BB3" w:rsidR="00DC7CE8" w:rsidP="00DC7CE8" w:rsidRDefault="00563875" w14:paraId="4CF0C2AB" w14:textId="579652ED">
            <w:pPr>
              <w:spacing w:before="120"/>
              <w:rPr>
                <w:b/>
                <w:bCs/>
                <w:color w:val="000000"/>
              </w:rPr>
            </w:pPr>
            <w:r w:rsidRPr="00D85BB3">
              <w:rPr>
                <w:b/>
                <w:bCs/>
                <w:color w:val="000000"/>
              </w:rPr>
              <w:t>4.</w:t>
            </w:r>
            <w:r w:rsidRPr="00D85BB3" w:rsidR="00DC7CE8">
              <w:rPr>
                <w:b/>
                <w:bCs/>
                <w:color w:val="000000"/>
              </w:rPr>
              <w:t xml:space="preserve"> Compliance with Past Decisions</w:t>
            </w:r>
            <w:r w:rsidRPr="00D85BB3" w:rsidR="007F3DA8">
              <w:rPr>
                <w:b/>
                <w:bCs/>
                <w:color w:val="000000"/>
              </w:rPr>
              <w:t xml:space="preserve"> Requirements</w:t>
            </w:r>
          </w:p>
          <w:p w:rsidRPr="00D85BB3" w:rsidR="00DC7CE8" w:rsidP="00DC7CE8" w:rsidRDefault="00A35234" w14:paraId="62168E96" w14:textId="24E893BF">
            <w:pPr>
              <w:spacing w:before="120"/>
              <w:rPr>
                <w:b/>
                <w:bCs/>
                <w:color w:val="000000"/>
              </w:rPr>
            </w:pPr>
            <w:r w:rsidRPr="00D85BB3">
              <w:rPr>
                <w:b/>
                <w:bCs/>
                <w:color w:val="000000"/>
              </w:rPr>
              <w:t>D.24-09-020</w:t>
            </w:r>
          </w:p>
          <w:p w:rsidRPr="00A35234" w:rsidR="00DC7CE8" w:rsidP="00935452" w:rsidRDefault="00DC7CE8" w14:paraId="14876B57" w14:textId="7FACDB42">
            <w:pPr>
              <w:pStyle w:val="p1"/>
              <w:rPr>
                <w:sz w:val="24"/>
                <w:szCs w:val="24"/>
              </w:rPr>
            </w:pPr>
            <w:r w:rsidRPr="00A35234">
              <w:rPr>
                <w:sz w:val="24"/>
                <w:szCs w:val="24"/>
              </w:rPr>
              <w:t>In response to PG&amp;E’s claims that it could not meet the required energization timelines, TURN argued that the Commission should affirm that  PG&amp;E is required to comply with the</w:t>
            </w:r>
            <w:r w:rsidR="00A35234">
              <w:rPr>
                <w:sz w:val="24"/>
                <w:szCs w:val="24"/>
              </w:rPr>
              <w:t xml:space="preserve"> </w:t>
            </w:r>
            <w:r w:rsidRPr="00A35234">
              <w:rPr>
                <w:sz w:val="24"/>
                <w:szCs w:val="24"/>
              </w:rPr>
              <w:t xml:space="preserve">energization targets and reporting required in D.24-09-020 regardless of receiving additional funding. </w:t>
            </w:r>
          </w:p>
          <w:p w:rsidR="00DC7CE8" w:rsidP="00DC7CE8" w:rsidRDefault="00DC7CE8" w14:paraId="581DB9FC" w14:textId="766D1D51">
            <w:pPr>
              <w:spacing w:before="120"/>
            </w:pPr>
            <w:r w:rsidRPr="00A35234">
              <w:t>The Commission agreed</w:t>
            </w:r>
            <w:r w:rsidRPr="00A35234">
              <w:rPr>
                <w:rStyle w:val="apple-converted-space"/>
                <w:rFonts w:eastAsiaTheme="majorEastAsia"/>
              </w:rPr>
              <w:t>, including a finding of fact affirming “</w:t>
            </w:r>
            <w:r w:rsidRPr="00A35234">
              <w:t>Nothing in this decision prevents PG&amp;E from complying with the targets and timelines adopted in D.24-09-020.”</w:t>
            </w:r>
          </w:p>
          <w:p w:rsidR="006A4772" w:rsidP="007F3DA8" w:rsidRDefault="006A4772" w14:paraId="0112D450" w14:textId="77777777">
            <w:pPr>
              <w:spacing w:after="80"/>
              <w:rPr>
                <w:b/>
                <w:bCs/>
                <w:color w:val="000000"/>
              </w:rPr>
            </w:pPr>
          </w:p>
          <w:p w:rsidRPr="00AB0893" w:rsidR="007F3DA8" w:rsidP="007F3DA8" w:rsidRDefault="007F3DA8" w14:paraId="015974FD" w14:textId="270EE278">
            <w:pPr>
              <w:spacing w:after="80"/>
              <w:rPr>
                <w:b/>
                <w:bCs/>
                <w:color w:val="000000"/>
              </w:rPr>
            </w:pPr>
            <w:r>
              <w:rPr>
                <w:b/>
                <w:bCs/>
                <w:color w:val="000000"/>
              </w:rPr>
              <w:t>D.24-07-008</w:t>
            </w:r>
          </w:p>
          <w:p w:rsidRPr="00121F82" w:rsidR="007F3DA8" w:rsidP="007F3DA8" w:rsidRDefault="007F3DA8" w14:paraId="5FE9BE3D" w14:textId="77777777">
            <w:r w:rsidRPr="00AB0893">
              <w:rPr>
                <w:color w:val="000000"/>
              </w:rPr>
              <w:t xml:space="preserve">TURN </w:t>
            </w:r>
            <w:r>
              <w:rPr>
                <w:color w:val="000000"/>
              </w:rPr>
              <w:t>evaluated PG&amp;E’s compliance with OP 28 and other requirements of D.24-07-008</w:t>
            </w:r>
            <w:r>
              <w:t xml:space="preserve"> that require PG&amp;E to provide new evidence to support any request to increase their cost caps.  TURN noted that  “PG&amp;E’s showing does not provide ‘new evidence supporting PG&amp;E’s accelerated scenario forecast’ sufficient to justify an increase to the annual cost caps.”  Specifically, TURN found that, “PG&amp;E has not provided even preliminary </w:t>
            </w:r>
            <w:r>
              <w:lastRenderedPageBreak/>
              <w:t xml:space="preserve">data on most of the information identified in OP 28 or on the specific tracking and reporting requirements in D.24-07-008.” </w:t>
            </w:r>
          </w:p>
          <w:p w:rsidR="007F3DA8" w:rsidP="007F3DA8" w:rsidRDefault="007F3DA8" w14:paraId="25340A12" w14:textId="77777777">
            <w:pPr>
              <w:rPr>
                <w:color w:val="000000"/>
              </w:rPr>
            </w:pPr>
          </w:p>
          <w:p w:rsidRPr="007F3DA8" w:rsidR="00DC7CE8" w:rsidP="007F3DA8" w:rsidRDefault="007F3DA8" w14:paraId="3B61FFA2" w14:textId="0B6C0117">
            <w:r>
              <w:rPr>
                <w:color w:val="000000"/>
              </w:rPr>
              <w:t xml:space="preserve">While the Commission does not adopt TURN’s position that PG&amp;E did not present sufficient new evidence, </w:t>
            </w:r>
            <w:r>
              <w:t xml:space="preserve">TURN contributed to the Commission’s deliberative process and TURN’s pleadings made sure the Commission had a robust record to assess the sufficiency of PG&amp;E’s showing and compliance with the Commission’s specified standard in D.24-07-008 for PG&amp;E to request an increase to the cost caps. </w:t>
            </w:r>
            <w:r>
              <w:rPr>
                <w:color w:val="000000"/>
              </w:rPr>
              <w:t xml:space="preserve">D.25-08-036 acknowledges the requirements and assesses the sufficiency of PG&amp;E’s showing, demonstrating that TURN’s argument made a significant contribution to the Commission’s deliberation.   </w:t>
            </w:r>
          </w:p>
          <w:p w:rsidR="00DC7CE8" w:rsidP="00DC7CE8" w:rsidRDefault="00DC7CE8" w14:paraId="4D233C70" w14:textId="39B3E32C">
            <w:pPr>
              <w:spacing w:before="120"/>
              <w:rPr>
                <w:b/>
                <w:bCs/>
                <w:color w:val="000000"/>
                <w:sz w:val="22"/>
                <w:szCs w:val="22"/>
              </w:rPr>
            </w:pPr>
          </w:p>
        </w:tc>
        <w:tc>
          <w:tcPr>
            <w:tcW w:w="2970" w:type="dxa"/>
          </w:tcPr>
          <w:p w:rsidR="00DC7CE8" w:rsidP="00DC7CE8" w:rsidRDefault="00DC7CE8" w14:paraId="34797363" w14:textId="77777777">
            <w:pPr>
              <w:spacing w:before="120"/>
            </w:pPr>
          </w:p>
          <w:p w:rsidR="00935452" w:rsidP="00DC7CE8" w:rsidRDefault="00935452" w14:paraId="175ED796" w14:textId="77777777">
            <w:pPr>
              <w:spacing w:before="120"/>
            </w:pPr>
          </w:p>
          <w:p w:rsidR="00935452" w:rsidP="00DC7CE8" w:rsidRDefault="00935452" w14:paraId="76188C6D" w14:textId="77777777">
            <w:pPr>
              <w:spacing w:before="120"/>
            </w:pPr>
          </w:p>
          <w:p w:rsidR="00DC7CE8" w:rsidP="00DC7CE8" w:rsidRDefault="00DC7CE8" w14:paraId="5A11FF4E" w14:textId="311E5C5D">
            <w:pPr>
              <w:spacing w:before="120"/>
            </w:pPr>
            <w:r>
              <w:t>TURN Opening Brief, p</w:t>
            </w:r>
            <w:r w:rsidR="00386383">
              <w:t>p</w:t>
            </w:r>
            <w:r>
              <w:t xml:space="preserve">. </w:t>
            </w:r>
            <w:r w:rsidR="008802C2">
              <w:t>13</w:t>
            </w:r>
            <w:r w:rsidR="00386383">
              <w:t>-14.</w:t>
            </w:r>
          </w:p>
          <w:p w:rsidR="00DC7CE8" w:rsidP="00DC7CE8" w:rsidRDefault="00DC7CE8" w14:paraId="3740737F" w14:textId="77777777">
            <w:pPr>
              <w:spacing w:before="120"/>
            </w:pPr>
          </w:p>
          <w:p w:rsidR="00DC7CE8" w:rsidP="00DC7CE8" w:rsidRDefault="00DC7CE8" w14:paraId="1FA2E11A" w14:textId="77777777">
            <w:pPr>
              <w:spacing w:before="120"/>
            </w:pPr>
            <w:r>
              <w:t xml:space="preserve">D. 25-08-036, p. 73, FOF 25. </w:t>
            </w:r>
          </w:p>
          <w:p w:rsidR="00146921" w:rsidP="00DC7CE8" w:rsidRDefault="00146921" w14:paraId="5F22C3A2" w14:textId="77777777">
            <w:pPr>
              <w:spacing w:before="120"/>
            </w:pPr>
          </w:p>
          <w:p w:rsidR="00146921" w:rsidP="00DC7CE8" w:rsidRDefault="00146921" w14:paraId="55667ECC" w14:textId="77777777">
            <w:pPr>
              <w:spacing w:before="120"/>
            </w:pPr>
          </w:p>
          <w:p w:rsidR="00146921" w:rsidP="00DC7CE8" w:rsidRDefault="00146921" w14:paraId="27AB39B1" w14:textId="77777777">
            <w:pPr>
              <w:spacing w:before="120"/>
            </w:pPr>
          </w:p>
          <w:p w:rsidR="00146921" w:rsidP="00DC7CE8" w:rsidRDefault="00146921" w14:paraId="62310545" w14:textId="77777777">
            <w:pPr>
              <w:spacing w:before="120"/>
            </w:pPr>
          </w:p>
          <w:p w:rsidR="00146921" w:rsidP="00DC7CE8" w:rsidRDefault="00146921" w14:paraId="6C847DED" w14:textId="77777777">
            <w:pPr>
              <w:spacing w:before="120"/>
            </w:pPr>
          </w:p>
          <w:p w:rsidR="00146921" w:rsidP="00DC7CE8" w:rsidRDefault="00146921" w14:paraId="63187A80" w14:textId="77777777">
            <w:pPr>
              <w:spacing w:before="120"/>
            </w:pPr>
          </w:p>
          <w:p w:rsidR="00146921" w:rsidP="00DC7CE8" w:rsidRDefault="00146921" w14:paraId="214FBE13" w14:textId="77777777">
            <w:pPr>
              <w:spacing w:before="120"/>
            </w:pPr>
          </w:p>
          <w:p w:rsidR="00146921" w:rsidP="00DC7CE8" w:rsidRDefault="00146921" w14:paraId="764EF856" w14:textId="77777777">
            <w:pPr>
              <w:spacing w:before="120"/>
            </w:pPr>
          </w:p>
          <w:p w:rsidRPr="00AB0893" w:rsidR="00146921" w:rsidP="00146921" w:rsidRDefault="00146921" w14:paraId="4E9A0243" w14:textId="77777777">
            <w:pPr>
              <w:pStyle w:val="ListParagraph"/>
              <w:numPr>
                <w:ilvl w:val="0"/>
                <w:numId w:val="13"/>
              </w:numPr>
              <w:spacing w:after="120"/>
              <w:ind w:left="230" w:hanging="288"/>
              <w:contextualSpacing w:val="0"/>
            </w:pPr>
            <w:r>
              <w:t>TURN’s opening brief, p.12</w:t>
            </w:r>
          </w:p>
          <w:p w:rsidR="00146921" w:rsidP="00146921" w:rsidRDefault="00146921" w14:paraId="6EB6B747" w14:textId="77777777">
            <w:pPr>
              <w:rPr>
                <w:color w:val="000000"/>
              </w:rPr>
            </w:pPr>
          </w:p>
          <w:p w:rsidR="00146921" w:rsidP="00146921" w:rsidRDefault="00146921" w14:paraId="72A20358" w14:textId="77777777">
            <w:pPr>
              <w:rPr>
                <w:color w:val="000000"/>
              </w:rPr>
            </w:pPr>
          </w:p>
          <w:p w:rsidR="00146921" w:rsidP="00146921" w:rsidRDefault="00146921" w14:paraId="18F8309E" w14:textId="77777777">
            <w:pPr>
              <w:rPr>
                <w:color w:val="000000"/>
              </w:rPr>
            </w:pPr>
          </w:p>
          <w:p w:rsidR="00146921" w:rsidP="00146921" w:rsidRDefault="00146921" w14:paraId="046DCAE2" w14:textId="77777777">
            <w:pPr>
              <w:rPr>
                <w:color w:val="000000"/>
              </w:rPr>
            </w:pPr>
          </w:p>
          <w:p w:rsidR="00146921" w:rsidP="00146921" w:rsidRDefault="00146921" w14:paraId="030CFD66" w14:textId="77777777">
            <w:pPr>
              <w:rPr>
                <w:color w:val="000000"/>
              </w:rPr>
            </w:pPr>
          </w:p>
          <w:p w:rsidRPr="00AB0893" w:rsidR="00146921" w:rsidP="00146921" w:rsidRDefault="00146921" w14:paraId="2461D57F" w14:textId="77777777">
            <w:pPr>
              <w:pStyle w:val="ListParagraph"/>
              <w:numPr>
                <w:ilvl w:val="0"/>
                <w:numId w:val="13"/>
              </w:numPr>
              <w:spacing w:after="120"/>
              <w:ind w:left="230" w:hanging="288"/>
              <w:contextualSpacing w:val="0"/>
              <w:rPr>
                <w:color w:val="000000"/>
              </w:rPr>
            </w:pPr>
            <w:r>
              <w:t xml:space="preserve">D. 25-08-036, at pp. 45-46 </w:t>
            </w:r>
          </w:p>
          <w:p w:rsidR="00146921" w:rsidP="00DC7CE8" w:rsidRDefault="00146921" w14:paraId="5BD26B4E" w14:textId="78006024">
            <w:pPr>
              <w:spacing w:before="120"/>
            </w:pPr>
          </w:p>
        </w:tc>
        <w:tc>
          <w:tcPr>
            <w:tcW w:w="2093" w:type="dxa"/>
          </w:tcPr>
          <w:p w:rsidR="00DC7CE8" w:rsidP="00E852CB" w:rsidRDefault="00DC7CE8" w14:paraId="71EDCB65" w14:textId="77777777">
            <w:pPr>
              <w:spacing w:before="120"/>
              <w:jc w:val="center"/>
              <w:rPr>
                <w:color w:val="000000"/>
              </w:rPr>
            </w:pPr>
          </w:p>
          <w:p w:rsidR="00E852CB" w:rsidP="00E852CB" w:rsidRDefault="00E852CB" w14:paraId="14F36ED0" w14:textId="77777777">
            <w:pPr>
              <w:spacing w:before="120"/>
              <w:jc w:val="center"/>
              <w:rPr>
                <w:color w:val="000000"/>
              </w:rPr>
            </w:pPr>
          </w:p>
          <w:p w:rsidR="00E852CB" w:rsidP="00E852CB" w:rsidRDefault="00E852CB" w14:paraId="3A55D378" w14:textId="77777777">
            <w:pPr>
              <w:spacing w:before="120"/>
              <w:jc w:val="center"/>
              <w:rPr>
                <w:color w:val="000000"/>
              </w:rPr>
            </w:pPr>
          </w:p>
          <w:p w:rsidR="00E852CB" w:rsidP="00E852CB" w:rsidRDefault="00E852CB" w14:paraId="1FD662F9" w14:textId="77777777">
            <w:pPr>
              <w:spacing w:before="120"/>
              <w:jc w:val="center"/>
              <w:rPr>
                <w:color w:val="000000"/>
              </w:rPr>
            </w:pPr>
          </w:p>
          <w:p w:rsidR="00E852CB" w:rsidP="00E852CB" w:rsidRDefault="00E852CB" w14:paraId="712DBB18" w14:textId="77777777">
            <w:pPr>
              <w:spacing w:before="120"/>
              <w:jc w:val="center"/>
              <w:rPr>
                <w:color w:val="000000"/>
              </w:rPr>
            </w:pPr>
            <w:r>
              <w:rPr>
                <w:color w:val="000000"/>
              </w:rPr>
              <w:t>Verified</w:t>
            </w:r>
          </w:p>
          <w:p w:rsidR="00E852CB" w:rsidP="00E852CB" w:rsidRDefault="00E852CB" w14:paraId="071DEFC4" w14:textId="77777777">
            <w:pPr>
              <w:spacing w:before="120"/>
              <w:jc w:val="center"/>
              <w:rPr>
                <w:color w:val="000000"/>
              </w:rPr>
            </w:pPr>
          </w:p>
          <w:p w:rsidR="00E852CB" w:rsidP="00E852CB" w:rsidRDefault="00E852CB" w14:paraId="3B84B08E" w14:textId="77777777">
            <w:pPr>
              <w:spacing w:before="120"/>
              <w:jc w:val="center"/>
              <w:rPr>
                <w:color w:val="000000"/>
              </w:rPr>
            </w:pPr>
          </w:p>
          <w:p w:rsidR="00E852CB" w:rsidP="00E852CB" w:rsidRDefault="00E852CB" w14:paraId="078BCF8D" w14:textId="77777777">
            <w:pPr>
              <w:spacing w:before="120"/>
              <w:jc w:val="center"/>
              <w:rPr>
                <w:color w:val="000000"/>
              </w:rPr>
            </w:pPr>
          </w:p>
          <w:p w:rsidR="00E852CB" w:rsidP="00E852CB" w:rsidRDefault="00E852CB" w14:paraId="13371C0B" w14:textId="77777777">
            <w:pPr>
              <w:spacing w:before="120"/>
              <w:jc w:val="center"/>
              <w:rPr>
                <w:color w:val="000000"/>
              </w:rPr>
            </w:pPr>
          </w:p>
          <w:p w:rsidR="00E852CB" w:rsidP="00E852CB" w:rsidRDefault="00E852CB" w14:paraId="3E47D8EB" w14:textId="77777777">
            <w:pPr>
              <w:spacing w:before="120"/>
              <w:jc w:val="center"/>
              <w:rPr>
                <w:color w:val="000000"/>
              </w:rPr>
            </w:pPr>
          </w:p>
          <w:p w:rsidR="00E852CB" w:rsidP="00E852CB" w:rsidRDefault="00E852CB" w14:paraId="351A4380" w14:textId="77777777">
            <w:pPr>
              <w:spacing w:before="120"/>
              <w:jc w:val="center"/>
              <w:rPr>
                <w:color w:val="000000"/>
              </w:rPr>
            </w:pPr>
          </w:p>
          <w:p w:rsidR="00E852CB" w:rsidP="00E852CB" w:rsidRDefault="00E852CB" w14:paraId="46BDB867" w14:textId="77777777">
            <w:pPr>
              <w:spacing w:before="120"/>
              <w:jc w:val="center"/>
              <w:rPr>
                <w:color w:val="000000"/>
              </w:rPr>
            </w:pPr>
          </w:p>
          <w:p w:rsidR="00E852CB" w:rsidP="00E852CB" w:rsidRDefault="00E852CB" w14:paraId="0934C758" w14:textId="77777777">
            <w:pPr>
              <w:spacing w:before="120"/>
              <w:jc w:val="center"/>
              <w:rPr>
                <w:color w:val="000000"/>
              </w:rPr>
            </w:pPr>
          </w:p>
          <w:p w:rsidR="00E852CB" w:rsidP="00E852CB" w:rsidRDefault="00E852CB" w14:paraId="769B112F" w14:textId="77777777">
            <w:pPr>
              <w:spacing w:before="120"/>
              <w:jc w:val="center"/>
              <w:rPr>
                <w:color w:val="000000"/>
              </w:rPr>
            </w:pPr>
          </w:p>
          <w:p w:rsidR="00E852CB" w:rsidP="00E852CB" w:rsidRDefault="00E852CB" w14:paraId="35EA068F" w14:textId="77777777">
            <w:pPr>
              <w:spacing w:before="120"/>
              <w:jc w:val="center"/>
              <w:rPr>
                <w:color w:val="000000"/>
              </w:rPr>
            </w:pPr>
          </w:p>
          <w:p w:rsidR="00E852CB" w:rsidP="00E852CB" w:rsidRDefault="00E852CB" w14:paraId="1EB521D4" w14:textId="77777777">
            <w:pPr>
              <w:spacing w:before="120"/>
              <w:jc w:val="center"/>
              <w:rPr>
                <w:color w:val="000000"/>
              </w:rPr>
            </w:pPr>
          </w:p>
          <w:p w:rsidR="00E852CB" w:rsidP="00E852CB" w:rsidRDefault="00E852CB" w14:paraId="444E55D8" w14:textId="77777777">
            <w:pPr>
              <w:spacing w:before="120"/>
              <w:jc w:val="center"/>
              <w:rPr>
                <w:color w:val="000000"/>
              </w:rPr>
            </w:pPr>
            <w:r>
              <w:rPr>
                <w:color w:val="000000"/>
              </w:rPr>
              <w:t>Verified</w:t>
            </w:r>
          </w:p>
          <w:p w:rsidR="00E852CB" w:rsidP="00E852CB" w:rsidRDefault="00E852CB" w14:paraId="124E5AEB" w14:textId="77777777">
            <w:pPr>
              <w:spacing w:before="120"/>
              <w:jc w:val="center"/>
              <w:rPr>
                <w:color w:val="000000"/>
              </w:rPr>
            </w:pPr>
          </w:p>
          <w:p w:rsidR="00E852CB" w:rsidP="00E852CB" w:rsidRDefault="00E852CB" w14:paraId="75FA65FE" w14:textId="77777777">
            <w:pPr>
              <w:spacing w:before="120"/>
              <w:jc w:val="center"/>
              <w:rPr>
                <w:color w:val="000000"/>
              </w:rPr>
            </w:pPr>
          </w:p>
          <w:p w:rsidR="00E852CB" w:rsidP="00E852CB" w:rsidRDefault="00E852CB" w14:paraId="69925E83" w14:textId="77777777">
            <w:pPr>
              <w:spacing w:before="120"/>
              <w:jc w:val="center"/>
              <w:rPr>
                <w:color w:val="000000"/>
              </w:rPr>
            </w:pPr>
          </w:p>
          <w:p w:rsidR="00E852CB" w:rsidP="00E852CB" w:rsidRDefault="00E852CB" w14:paraId="60384B34" w14:textId="77777777">
            <w:pPr>
              <w:spacing w:before="120"/>
              <w:jc w:val="center"/>
              <w:rPr>
                <w:color w:val="000000"/>
              </w:rPr>
            </w:pPr>
          </w:p>
          <w:p w:rsidRPr="003349DE" w:rsidR="00E852CB" w:rsidP="00E852CB" w:rsidRDefault="00E852CB" w14:paraId="326B6847" w14:textId="2A638EEA">
            <w:pPr>
              <w:spacing w:before="120"/>
              <w:jc w:val="center"/>
              <w:rPr>
                <w:color w:val="000000"/>
              </w:rPr>
            </w:pPr>
            <w:r>
              <w:rPr>
                <w:color w:val="000000"/>
              </w:rPr>
              <w:t>Verified</w:t>
            </w:r>
          </w:p>
        </w:tc>
      </w:tr>
      <w:tr w:rsidRPr="003349DE" w:rsidR="00DC7CE8" w:rsidTr="00E852CB" w14:paraId="55114387" w14:textId="77777777">
        <w:tc>
          <w:tcPr>
            <w:tcW w:w="4675" w:type="dxa"/>
          </w:tcPr>
          <w:p w:rsidRPr="00EB0399" w:rsidR="00DC7CE8" w:rsidP="00DC7CE8" w:rsidRDefault="00EB0399" w14:paraId="658EEC9D" w14:textId="5C8C7FEE">
            <w:pPr>
              <w:spacing w:before="120"/>
              <w:rPr>
                <w:b/>
                <w:bCs/>
                <w:color w:val="000000"/>
              </w:rPr>
            </w:pPr>
            <w:r w:rsidRPr="00EB0399">
              <w:rPr>
                <w:b/>
                <w:bCs/>
                <w:color w:val="000000"/>
              </w:rPr>
              <w:lastRenderedPageBreak/>
              <w:t xml:space="preserve">5. </w:t>
            </w:r>
            <w:r w:rsidRPr="00EB0399" w:rsidR="00DC7CE8">
              <w:rPr>
                <w:b/>
                <w:bCs/>
                <w:color w:val="000000"/>
              </w:rPr>
              <w:t>Reporting/ Information for GRCs</w:t>
            </w:r>
          </w:p>
          <w:p w:rsidRPr="00EB0399" w:rsidR="009B3A2E" w:rsidP="00D12626" w:rsidRDefault="00DC7CE8" w14:paraId="7B1C008F" w14:textId="33A4BABB">
            <w:pPr>
              <w:pStyle w:val="p1"/>
              <w:rPr>
                <w:sz w:val="24"/>
                <w:szCs w:val="24"/>
              </w:rPr>
            </w:pPr>
            <w:r w:rsidRPr="00EB0399">
              <w:rPr>
                <w:sz w:val="24"/>
                <w:szCs w:val="24"/>
              </w:rPr>
              <w:t xml:space="preserve">TURN </w:t>
            </w:r>
            <w:r w:rsidRPr="00EB0399" w:rsidR="007559E3">
              <w:rPr>
                <w:sz w:val="24"/>
                <w:szCs w:val="24"/>
              </w:rPr>
              <w:t xml:space="preserve">noted its appreciation for the </w:t>
            </w:r>
            <w:r w:rsidR="005A2FD0">
              <w:rPr>
                <w:sz w:val="24"/>
                <w:szCs w:val="24"/>
              </w:rPr>
              <w:t>work</w:t>
            </w:r>
            <w:r w:rsidRPr="00EB0399" w:rsidR="005A2FD0">
              <w:rPr>
                <w:sz w:val="24"/>
                <w:szCs w:val="24"/>
              </w:rPr>
              <w:t xml:space="preserve"> </w:t>
            </w:r>
            <w:r w:rsidRPr="00EB0399" w:rsidR="007559E3">
              <w:rPr>
                <w:sz w:val="24"/>
                <w:szCs w:val="24"/>
              </w:rPr>
              <w:t>done by the auditor but noted that</w:t>
            </w:r>
            <w:r w:rsidRPr="00EB0399" w:rsidR="006E2E3A">
              <w:rPr>
                <w:rStyle w:val="apple-converted-space"/>
                <w:rFonts w:eastAsiaTheme="majorEastAsia"/>
                <w:sz w:val="24"/>
                <w:szCs w:val="24"/>
              </w:rPr>
              <w:t> </w:t>
            </w:r>
            <w:r w:rsidRPr="00EB0399" w:rsidR="006E2E3A">
              <w:rPr>
                <w:sz w:val="24"/>
                <w:szCs w:val="24"/>
              </w:rPr>
              <w:t xml:space="preserve">there is no basis for finding that </w:t>
            </w:r>
            <w:r w:rsidR="005A2FD0">
              <w:rPr>
                <w:sz w:val="24"/>
                <w:szCs w:val="24"/>
              </w:rPr>
              <w:t>the auditor</w:t>
            </w:r>
            <w:r w:rsidRPr="00EB0399" w:rsidR="006E2E3A">
              <w:rPr>
                <w:sz w:val="24"/>
                <w:szCs w:val="24"/>
              </w:rPr>
              <w:t xml:space="preserve"> will evaluate whether PG&amp;E’s spending is wasteful, if PG&amp;E should have pursued alternative approaches to</w:t>
            </w:r>
            <w:r w:rsidR="00D12626">
              <w:rPr>
                <w:sz w:val="24"/>
                <w:szCs w:val="24"/>
              </w:rPr>
              <w:t xml:space="preserve"> </w:t>
            </w:r>
            <w:r w:rsidRPr="00EB0399" w:rsidR="006E2E3A">
              <w:rPr>
                <w:sz w:val="24"/>
                <w:szCs w:val="24"/>
              </w:rPr>
              <w:t>completing the work, or if PG&amp;E was imprudent in its management of these projects and r</w:t>
            </w:r>
            <w:r w:rsidRPr="00EB0399" w:rsidR="009B3A2E">
              <w:rPr>
                <w:sz w:val="24"/>
                <w:szCs w:val="24"/>
              </w:rPr>
              <w:t>aised the fact</w:t>
            </w:r>
            <w:r w:rsidRPr="00EB0399" w:rsidR="006E2E3A">
              <w:rPr>
                <w:sz w:val="24"/>
                <w:szCs w:val="24"/>
              </w:rPr>
              <w:t xml:space="preserve"> that </w:t>
            </w:r>
            <w:r w:rsidRPr="00EB0399" w:rsidR="009B3A2E">
              <w:rPr>
                <w:sz w:val="24"/>
                <w:szCs w:val="24"/>
              </w:rPr>
              <w:t>the existence of the auditor is not sufficient to prevent</w:t>
            </w:r>
            <w:r w:rsidR="00D12626">
              <w:rPr>
                <w:sz w:val="24"/>
                <w:szCs w:val="24"/>
              </w:rPr>
              <w:t xml:space="preserve"> </w:t>
            </w:r>
            <w:r w:rsidRPr="00EB0399" w:rsidR="009B3A2E">
              <w:rPr>
                <w:sz w:val="24"/>
                <w:szCs w:val="24"/>
              </w:rPr>
              <w:t>wasteful spending and that</w:t>
            </w:r>
            <w:r w:rsidRPr="00EB0399" w:rsidR="001A22DA">
              <w:rPr>
                <w:sz w:val="24"/>
                <w:szCs w:val="24"/>
              </w:rPr>
              <w:t xml:space="preserve"> the Commission affirm the reasonableness and prudence of PG&amp;E’s spending</w:t>
            </w:r>
            <w:r w:rsidRPr="00EB0399" w:rsidR="009B3A2E">
              <w:rPr>
                <w:sz w:val="24"/>
                <w:szCs w:val="24"/>
              </w:rPr>
              <w:t xml:space="preserve"> will occur in the 2027 GRC.</w:t>
            </w:r>
          </w:p>
          <w:p w:rsidRPr="00EB0399" w:rsidR="006E2E3A" w:rsidP="006E2E3A" w:rsidRDefault="006E2E3A" w14:paraId="359645C5" w14:textId="7C4E7784">
            <w:pPr>
              <w:pStyle w:val="p1"/>
              <w:rPr>
                <w:sz w:val="24"/>
                <w:szCs w:val="24"/>
              </w:rPr>
            </w:pPr>
          </w:p>
          <w:p w:rsidRPr="00EB0399" w:rsidR="001B68C7" w:rsidP="001B68C7" w:rsidRDefault="00AE1B96" w14:paraId="1EFFEB93" w14:textId="7A2E7EF5">
            <w:pPr>
              <w:pStyle w:val="p1"/>
              <w:rPr>
                <w:sz w:val="24"/>
                <w:szCs w:val="24"/>
              </w:rPr>
            </w:pPr>
            <w:r w:rsidRPr="00EB0399">
              <w:rPr>
                <w:sz w:val="24"/>
                <w:szCs w:val="24"/>
              </w:rPr>
              <w:t xml:space="preserve"> </w:t>
            </w:r>
            <w:r w:rsidRPr="00EB0399" w:rsidR="00DC7CE8">
              <w:rPr>
                <w:sz w:val="24"/>
                <w:szCs w:val="24"/>
              </w:rPr>
              <w:t xml:space="preserve">The Commission </w:t>
            </w:r>
            <w:r w:rsidRPr="00EB0399" w:rsidR="005150B7">
              <w:rPr>
                <w:sz w:val="24"/>
                <w:szCs w:val="24"/>
              </w:rPr>
              <w:t xml:space="preserve">shared TURN’s concern and reiterated that it will review all costs in </w:t>
            </w:r>
            <w:r w:rsidRPr="00EB0399" w:rsidR="00DB5463">
              <w:rPr>
                <w:sz w:val="24"/>
                <w:szCs w:val="24"/>
              </w:rPr>
              <w:t>PG&amp;E’s 2027 GRC and that “PG&amp;E is expected to ensure that all amounts recovered through the interim memorandum account</w:t>
            </w:r>
            <w:r w:rsidRPr="00EB0399" w:rsidR="001B68C7">
              <w:rPr>
                <w:sz w:val="24"/>
                <w:szCs w:val="24"/>
              </w:rPr>
              <w:t xml:space="preserve"> reflect prudent investment. If PG&amp;E does not provide evidence proving that the investments tracked in its interim memorandum account are prudent, the Commission will exercise its authority to disallow and require refund of any costs deemed unreasonable.</w:t>
            </w:r>
            <w:r w:rsidRPr="00EB0399" w:rsidR="001B68C7">
              <w:rPr>
                <w:rStyle w:val="apple-converted-space"/>
                <w:rFonts w:eastAsiaTheme="majorEastAsia"/>
                <w:sz w:val="24"/>
                <w:szCs w:val="24"/>
              </w:rPr>
              <w:t xml:space="preserve">” </w:t>
            </w:r>
          </w:p>
          <w:p w:rsidRPr="00EB0399" w:rsidR="00DC7CE8" w:rsidP="00DC7CE8" w:rsidRDefault="00DC7CE8" w14:paraId="353E91FA" w14:textId="315EFC37">
            <w:pPr>
              <w:pStyle w:val="p1"/>
              <w:tabs>
                <w:tab w:val="left" w:pos="2695"/>
              </w:tabs>
              <w:rPr>
                <w:sz w:val="24"/>
                <w:szCs w:val="24"/>
              </w:rPr>
            </w:pPr>
          </w:p>
          <w:p w:rsidRPr="00EB0399" w:rsidR="00DC7CE8" w:rsidP="00DC7CE8" w:rsidRDefault="00DC7CE8" w14:paraId="12DF34C9" w14:textId="2804D571">
            <w:pPr>
              <w:pStyle w:val="p1"/>
              <w:rPr>
                <w:sz w:val="24"/>
                <w:szCs w:val="24"/>
              </w:rPr>
            </w:pPr>
            <w:r w:rsidRPr="00EB0399">
              <w:rPr>
                <w:sz w:val="24"/>
                <w:szCs w:val="24"/>
              </w:rPr>
              <w:t>The Commission also directed PG&amp;E to provide a separate exhibit in its current GRC (A.25-05-009), supported</w:t>
            </w:r>
          </w:p>
          <w:p w:rsidRPr="00EB0399" w:rsidR="00DC7CE8" w:rsidP="00EB0399" w:rsidRDefault="00DC7CE8" w14:paraId="2F3AB6A5" w14:textId="481A826D">
            <w:pPr>
              <w:pStyle w:val="p1"/>
              <w:rPr>
                <w:sz w:val="24"/>
                <w:szCs w:val="24"/>
              </w:rPr>
            </w:pPr>
            <w:r w:rsidRPr="00EB0399">
              <w:rPr>
                <w:sz w:val="24"/>
                <w:szCs w:val="24"/>
              </w:rPr>
              <w:t>by witness testimony that discusses how any costs tracked in the interim</w:t>
            </w:r>
            <w:r w:rsidRPr="00EB0399" w:rsidR="00EB0399">
              <w:rPr>
                <w:sz w:val="24"/>
                <w:szCs w:val="24"/>
              </w:rPr>
              <w:t xml:space="preserve"> </w:t>
            </w:r>
            <w:r w:rsidRPr="00EB0399">
              <w:rPr>
                <w:sz w:val="24"/>
                <w:szCs w:val="24"/>
              </w:rPr>
              <w:t>memorandum account were spent, which projects were completed, and</w:t>
            </w:r>
            <w:r w:rsidRPr="00EB0399" w:rsidR="00EB0399">
              <w:rPr>
                <w:sz w:val="24"/>
                <w:szCs w:val="24"/>
              </w:rPr>
              <w:t xml:space="preserve"> </w:t>
            </w:r>
            <w:r w:rsidRPr="00EB0399">
              <w:rPr>
                <w:sz w:val="24"/>
                <w:szCs w:val="24"/>
              </w:rPr>
              <w:t>summarizes the outcome of each audit of its interim memorandum account.</w:t>
            </w:r>
          </w:p>
          <w:p w:rsidRPr="00EB0399" w:rsidR="00DC7CE8" w:rsidP="00DC7CE8" w:rsidRDefault="00DC7CE8" w14:paraId="4FA5A604" w14:textId="7A7D9382">
            <w:pPr>
              <w:pStyle w:val="p1"/>
              <w:rPr>
                <w:b/>
                <w:bCs/>
                <w:sz w:val="24"/>
                <w:szCs w:val="24"/>
              </w:rPr>
            </w:pPr>
            <w:r w:rsidRPr="00EB0399">
              <w:rPr>
                <w:sz w:val="24"/>
                <w:szCs w:val="24"/>
              </w:rPr>
              <w:t xml:space="preserve"> </w:t>
            </w:r>
          </w:p>
        </w:tc>
        <w:tc>
          <w:tcPr>
            <w:tcW w:w="2970" w:type="dxa"/>
          </w:tcPr>
          <w:p w:rsidRPr="00EB0399" w:rsidR="00DC7CE8" w:rsidP="00DC7CE8" w:rsidRDefault="00DC7CE8" w14:paraId="1DAD515A" w14:textId="77777777">
            <w:pPr>
              <w:pStyle w:val="p1"/>
              <w:rPr>
                <w:sz w:val="24"/>
                <w:szCs w:val="24"/>
              </w:rPr>
            </w:pPr>
          </w:p>
          <w:p w:rsidRPr="00EB0399" w:rsidR="00DC7CE8" w:rsidP="00DC7CE8" w:rsidRDefault="00DC7CE8" w14:paraId="07F46E86" w14:textId="77777777">
            <w:pPr>
              <w:pStyle w:val="p1"/>
              <w:rPr>
                <w:sz w:val="24"/>
                <w:szCs w:val="24"/>
              </w:rPr>
            </w:pPr>
          </w:p>
          <w:p w:rsidRPr="00EB0399" w:rsidR="00DC7CE8" w:rsidP="00DC7CE8" w:rsidRDefault="00DC7CE8" w14:paraId="1736B3F3" w14:textId="77777777">
            <w:pPr>
              <w:pStyle w:val="p1"/>
              <w:rPr>
                <w:sz w:val="24"/>
                <w:szCs w:val="24"/>
              </w:rPr>
            </w:pPr>
          </w:p>
          <w:p w:rsidR="00DC7CE8" w:rsidP="00DC7CE8" w:rsidRDefault="00DC7CE8" w14:paraId="736823BE" w14:textId="77777777">
            <w:pPr>
              <w:pStyle w:val="p1"/>
              <w:rPr>
                <w:sz w:val="24"/>
                <w:szCs w:val="24"/>
              </w:rPr>
            </w:pPr>
          </w:p>
          <w:p w:rsidR="00D12626" w:rsidP="00DC7CE8" w:rsidRDefault="00D12626" w14:paraId="61077C1C" w14:textId="77777777">
            <w:pPr>
              <w:pStyle w:val="p1"/>
              <w:rPr>
                <w:sz w:val="24"/>
                <w:szCs w:val="24"/>
              </w:rPr>
            </w:pPr>
          </w:p>
          <w:p w:rsidR="00D12626" w:rsidP="00DC7CE8" w:rsidRDefault="00D12626" w14:paraId="10AD576C" w14:textId="77777777">
            <w:pPr>
              <w:pStyle w:val="p1"/>
              <w:rPr>
                <w:sz w:val="24"/>
                <w:szCs w:val="24"/>
              </w:rPr>
            </w:pPr>
          </w:p>
          <w:p w:rsidR="00D12626" w:rsidP="00DC7CE8" w:rsidRDefault="00D12626" w14:paraId="2D090F96" w14:textId="77777777">
            <w:pPr>
              <w:pStyle w:val="p1"/>
              <w:rPr>
                <w:sz w:val="24"/>
                <w:szCs w:val="24"/>
              </w:rPr>
            </w:pPr>
          </w:p>
          <w:p w:rsidR="00D12626" w:rsidP="00DC7CE8" w:rsidRDefault="00D12626" w14:paraId="3B51003A" w14:textId="77777777">
            <w:pPr>
              <w:pStyle w:val="p1"/>
              <w:rPr>
                <w:sz w:val="24"/>
                <w:szCs w:val="24"/>
              </w:rPr>
            </w:pPr>
          </w:p>
          <w:p w:rsidRPr="00EB0399" w:rsidR="00D12626" w:rsidP="00DC7CE8" w:rsidRDefault="00D12626" w14:paraId="0123E055" w14:textId="77777777">
            <w:pPr>
              <w:pStyle w:val="p1"/>
              <w:rPr>
                <w:sz w:val="24"/>
                <w:szCs w:val="24"/>
              </w:rPr>
            </w:pPr>
          </w:p>
          <w:p w:rsidRPr="00EB0399" w:rsidR="00DC7CE8" w:rsidP="00D12626" w:rsidRDefault="00D12626" w14:paraId="3B4143A1" w14:textId="166567A2">
            <w:pPr>
              <w:pStyle w:val="p1"/>
              <w:rPr>
                <w:sz w:val="24"/>
                <w:szCs w:val="24"/>
              </w:rPr>
            </w:pPr>
            <w:r w:rsidRPr="00D12626">
              <w:rPr>
                <w:sz w:val="24"/>
                <w:szCs w:val="24"/>
              </w:rPr>
              <w:t>-</w:t>
            </w:r>
            <w:r>
              <w:rPr>
                <w:sz w:val="24"/>
                <w:szCs w:val="24"/>
              </w:rPr>
              <w:t xml:space="preserve"> </w:t>
            </w:r>
            <w:r w:rsidRPr="00EB0399" w:rsidR="004B66E2">
              <w:rPr>
                <w:sz w:val="24"/>
                <w:szCs w:val="24"/>
              </w:rPr>
              <w:t>TURN Reply Brief, pp. 15-16.</w:t>
            </w:r>
          </w:p>
          <w:p w:rsidRPr="00EB0399" w:rsidR="00DC7CE8" w:rsidP="00DC7CE8" w:rsidRDefault="00DC7CE8" w14:paraId="27220C23" w14:textId="77777777">
            <w:pPr>
              <w:pStyle w:val="p1"/>
              <w:rPr>
                <w:sz w:val="24"/>
                <w:szCs w:val="24"/>
              </w:rPr>
            </w:pPr>
          </w:p>
          <w:p w:rsidRPr="00EB0399" w:rsidR="00DC7CE8" w:rsidP="00DC7CE8" w:rsidRDefault="00DC7CE8" w14:paraId="6DCE606F" w14:textId="77777777">
            <w:pPr>
              <w:pStyle w:val="p1"/>
              <w:rPr>
                <w:sz w:val="24"/>
                <w:szCs w:val="24"/>
              </w:rPr>
            </w:pPr>
          </w:p>
          <w:p w:rsidR="00DC7CE8" w:rsidP="00DC7CE8" w:rsidRDefault="00DC7CE8" w14:paraId="0A4B3B4D" w14:textId="77777777">
            <w:pPr>
              <w:pStyle w:val="p1"/>
              <w:rPr>
                <w:sz w:val="24"/>
                <w:szCs w:val="24"/>
              </w:rPr>
            </w:pPr>
          </w:p>
          <w:p w:rsidR="00D12626" w:rsidP="00DC7CE8" w:rsidRDefault="00D12626" w14:paraId="1140BA89" w14:textId="77777777">
            <w:pPr>
              <w:pStyle w:val="p1"/>
              <w:rPr>
                <w:sz w:val="24"/>
                <w:szCs w:val="24"/>
              </w:rPr>
            </w:pPr>
          </w:p>
          <w:p w:rsidR="00D12626" w:rsidP="00DC7CE8" w:rsidRDefault="00D12626" w14:paraId="5F686C2C" w14:textId="77777777">
            <w:pPr>
              <w:pStyle w:val="p1"/>
              <w:rPr>
                <w:sz w:val="24"/>
                <w:szCs w:val="24"/>
              </w:rPr>
            </w:pPr>
          </w:p>
          <w:p w:rsidRPr="00EB0399" w:rsidR="00D12626" w:rsidP="00DC7CE8" w:rsidRDefault="00D12626" w14:paraId="1FC7DFA3" w14:textId="77777777">
            <w:pPr>
              <w:pStyle w:val="p1"/>
              <w:rPr>
                <w:sz w:val="24"/>
                <w:szCs w:val="24"/>
              </w:rPr>
            </w:pPr>
          </w:p>
          <w:p w:rsidRPr="00EB0399" w:rsidR="00DC7CE8" w:rsidP="00D12626" w:rsidRDefault="00D12626" w14:paraId="20DEC591" w14:textId="2239E295">
            <w:pPr>
              <w:pStyle w:val="p1"/>
              <w:rPr>
                <w:sz w:val="24"/>
                <w:szCs w:val="24"/>
              </w:rPr>
            </w:pPr>
            <w:r w:rsidRPr="00D12626">
              <w:rPr>
                <w:sz w:val="24"/>
                <w:szCs w:val="24"/>
              </w:rPr>
              <w:t>-</w:t>
            </w:r>
            <w:r>
              <w:rPr>
                <w:sz w:val="24"/>
                <w:szCs w:val="24"/>
              </w:rPr>
              <w:t xml:space="preserve"> </w:t>
            </w:r>
            <w:r w:rsidRPr="00EB0399" w:rsidR="00DC7CE8">
              <w:rPr>
                <w:sz w:val="24"/>
                <w:szCs w:val="24"/>
              </w:rPr>
              <w:t>D. 25-08-036, pp. 66-67 &amp; 78 COL 8</w:t>
            </w:r>
          </w:p>
        </w:tc>
        <w:tc>
          <w:tcPr>
            <w:tcW w:w="2093" w:type="dxa"/>
          </w:tcPr>
          <w:p w:rsidR="00DC7CE8" w:rsidP="00E852CB" w:rsidRDefault="00DC7CE8" w14:paraId="4E836258" w14:textId="77777777">
            <w:pPr>
              <w:spacing w:before="120"/>
              <w:jc w:val="center"/>
              <w:rPr>
                <w:color w:val="000000"/>
              </w:rPr>
            </w:pPr>
          </w:p>
          <w:p w:rsidR="00E852CB" w:rsidP="00E852CB" w:rsidRDefault="00E852CB" w14:paraId="15CC131A" w14:textId="77777777">
            <w:pPr>
              <w:spacing w:before="120"/>
              <w:jc w:val="center"/>
              <w:rPr>
                <w:color w:val="000000"/>
              </w:rPr>
            </w:pPr>
          </w:p>
          <w:p w:rsidR="00E852CB" w:rsidP="00E852CB" w:rsidRDefault="00E852CB" w14:paraId="5F5C009D" w14:textId="77777777">
            <w:pPr>
              <w:spacing w:before="120"/>
              <w:jc w:val="center"/>
              <w:rPr>
                <w:color w:val="000000"/>
              </w:rPr>
            </w:pPr>
          </w:p>
          <w:p w:rsidR="00E852CB" w:rsidP="00E852CB" w:rsidRDefault="00E852CB" w14:paraId="2C81B947" w14:textId="77777777">
            <w:pPr>
              <w:spacing w:before="120"/>
              <w:jc w:val="center"/>
              <w:rPr>
                <w:color w:val="000000"/>
              </w:rPr>
            </w:pPr>
          </w:p>
          <w:p w:rsidR="00E852CB" w:rsidP="00E852CB" w:rsidRDefault="00E852CB" w14:paraId="29975178" w14:textId="77777777">
            <w:pPr>
              <w:spacing w:before="120"/>
              <w:jc w:val="center"/>
              <w:rPr>
                <w:color w:val="000000"/>
              </w:rPr>
            </w:pPr>
          </w:p>
          <w:p w:rsidR="00E852CB" w:rsidP="00E852CB" w:rsidRDefault="00E852CB" w14:paraId="56708F29" w14:textId="77777777">
            <w:pPr>
              <w:spacing w:before="120"/>
              <w:jc w:val="center"/>
              <w:rPr>
                <w:color w:val="000000"/>
              </w:rPr>
            </w:pPr>
          </w:p>
          <w:p w:rsidR="00E852CB" w:rsidP="00E852CB" w:rsidRDefault="00E852CB" w14:paraId="49090229" w14:textId="77777777">
            <w:pPr>
              <w:spacing w:before="120"/>
              <w:jc w:val="center"/>
              <w:rPr>
                <w:color w:val="000000"/>
              </w:rPr>
            </w:pPr>
            <w:r>
              <w:rPr>
                <w:color w:val="000000"/>
              </w:rPr>
              <w:t>Verified</w:t>
            </w:r>
          </w:p>
          <w:p w:rsidR="00E852CB" w:rsidP="00E852CB" w:rsidRDefault="00E852CB" w14:paraId="3DC8FE8F" w14:textId="77777777">
            <w:pPr>
              <w:spacing w:before="120"/>
              <w:jc w:val="center"/>
              <w:rPr>
                <w:color w:val="000000"/>
              </w:rPr>
            </w:pPr>
          </w:p>
          <w:p w:rsidR="00E852CB" w:rsidP="00E852CB" w:rsidRDefault="00E852CB" w14:paraId="7794F7FF" w14:textId="77777777">
            <w:pPr>
              <w:spacing w:before="120"/>
              <w:jc w:val="center"/>
              <w:rPr>
                <w:color w:val="000000"/>
              </w:rPr>
            </w:pPr>
          </w:p>
          <w:p w:rsidR="00E852CB" w:rsidP="00E852CB" w:rsidRDefault="00E852CB" w14:paraId="3E281656" w14:textId="77777777">
            <w:pPr>
              <w:spacing w:before="120"/>
              <w:jc w:val="center"/>
              <w:rPr>
                <w:color w:val="000000"/>
              </w:rPr>
            </w:pPr>
          </w:p>
          <w:p w:rsidR="00E852CB" w:rsidP="00E852CB" w:rsidRDefault="00E852CB" w14:paraId="13B09781" w14:textId="77777777">
            <w:pPr>
              <w:spacing w:before="120"/>
              <w:jc w:val="center"/>
              <w:rPr>
                <w:color w:val="000000"/>
              </w:rPr>
            </w:pPr>
          </w:p>
          <w:p w:rsidR="00E852CB" w:rsidP="00E852CB" w:rsidRDefault="00E852CB" w14:paraId="36A3A00B" w14:textId="77777777">
            <w:pPr>
              <w:spacing w:before="120"/>
              <w:jc w:val="center"/>
              <w:rPr>
                <w:color w:val="000000"/>
              </w:rPr>
            </w:pPr>
          </w:p>
          <w:p w:rsidRPr="003349DE" w:rsidR="00E852CB" w:rsidP="00E852CB" w:rsidRDefault="00E852CB" w14:paraId="1D4E048C" w14:textId="41DE93E0">
            <w:pPr>
              <w:spacing w:before="120"/>
              <w:jc w:val="center"/>
              <w:rPr>
                <w:color w:val="000000"/>
              </w:rPr>
            </w:pPr>
            <w:r>
              <w:rPr>
                <w:color w:val="000000"/>
              </w:rPr>
              <w:t>Verified</w:t>
            </w:r>
          </w:p>
        </w:tc>
      </w:tr>
    </w:tbl>
    <w:p w:rsidR="00625B30" w:rsidRDefault="00625B30" w14:paraId="6DAC5D2E" w14:textId="77777777"/>
    <w:p w:rsidRPr="00625B30" w:rsidR="00625B30" w:rsidP="00C44F68" w:rsidRDefault="00625B30" w14:paraId="47A7A716" w14:textId="415CF369">
      <w:pPr>
        <w:keepNext/>
        <w:numPr>
          <w:ilvl w:val="0"/>
          <w:numId w:val="2"/>
        </w:numPr>
        <w:spacing w:after="240"/>
        <w:rPr>
          <w:b/>
          <w:color w:val="000000"/>
        </w:rPr>
      </w:pPr>
      <w:r w:rsidRPr="007F620E">
        <w:rPr>
          <w:b/>
          <w:color w:val="000000"/>
        </w:rPr>
        <w:t xml:space="preserve">Duplication of Effort (§ 1801.3(f) and § </w:t>
      </w:r>
      <w:r>
        <w:rPr>
          <w:b/>
          <w:color w:val="000000"/>
        </w:rPr>
        <w:t>1802.5):</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625B30" w:rsidTr="002A2F43" w14:paraId="5289BD89" w14:textId="77777777">
        <w:tc>
          <w:tcPr>
            <w:tcW w:w="6048" w:type="dxa"/>
            <w:shd w:val="clear" w:color="auto" w:fill="D9D9D9" w:themeFill="background1" w:themeFillShade="D9"/>
          </w:tcPr>
          <w:p w:rsidRPr="007F620E" w:rsidR="00625B30" w:rsidP="00625B30" w:rsidRDefault="00625B30" w14:paraId="003FE68B"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625B30" w:rsidP="00625B30" w:rsidRDefault="00625B30" w14:paraId="2E7C1F0A" w14:textId="77777777">
            <w:pPr>
              <w:keepNext/>
              <w:keepLines/>
              <w:jc w:val="center"/>
              <w:rPr>
                <w:b/>
                <w:color w:val="000000"/>
              </w:rPr>
            </w:pPr>
            <w:r w:rsidRPr="007F620E">
              <w:rPr>
                <w:b/>
                <w:color w:val="000000"/>
              </w:rPr>
              <w:t>Intervenor’s Assertion</w:t>
            </w:r>
          </w:p>
        </w:tc>
        <w:tc>
          <w:tcPr>
            <w:tcW w:w="1980" w:type="dxa"/>
            <w:shd w:val="clear" w:color="auto" w:fill="D9D9D9" w:themeFill="background1" w:themeFillShade="D9"/>
          </w:tcPr>
          <w:p w:rsidRPr="007F620E" w:rsidR="00625B30" w:rsidP="00625B30" w:rsidRDefault="00625B30" w14:paraId="6ABF937B" w14:textId="77777777">
            <w:pPr>
              <w:keepNext/>
              <w:keepLines/>
              <w:jc w:val="center"/>
              <w:rPr>
                <w:b/>
                <w:color w:val="000000"/>
              </w:rPr>
            </w:pPr>
            <w:r w:rsidRPr="007F620E">
              <w:rPr>
                <w:b/>
                <w:color w:val="000000"/>
              </w:rPr>
              <w:t>CPUC Discussion</w:t>
            </w:r>
          </w:p>
        </w:tc>
      </w:tr>
      <w:tr w:rsidRPr="007F620E" w:rsidR="00625B30" w:rsidTr="005356B0" w14:paraId="0398D72D" w14:textId="77777777">
        <w:tc>
          <w:tcPr>
            <w:tcW w:w="6048" w:type="dxa"/>
          </w:tcPr>
          <w:p w:rsidRPr="007F620E" w:rsidR="00625B30" w:rsidP="00625B30" w:rsidRDefault="00625B30" w14:paraId="0939012C" w14:textId="7B0B6D1A">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Pr>
                <w:b/>
                <w:color w:val="000000"/>
                <w:sz w:val="22"/>
                <w:szCs w:val="22"/>
              </w:rPr>
              <w:t>Public Advocate</w:t>
            </w:r>
            <w:r>
              <w:rPr>
                <w:b/>
                <w:color w:val="000000"/>
                <w:sz w:val="22"/>
                <w:szCs w:val="22"/>
              </w:rPr>
              <w:t>’</w:t>
            </w:r>
            <w:r w:rsidRPr="009E48E4">
              <w:rPr>
                <w:b/>
                <w:color w:val="000000"/>
                <w:sz w:val="22"/>
                <w:szCs w:val="22"/>
              </w:rPr>
              <w:t>s Office of the Public Utilities Commission</w:t>
            </w:r>
            <w:r w:rsidRPr="009E48E4">
              <w:rPr>
                <w:b/>
              </w:rPr>
              <w:t xml:space="preserve"> </w:t>
            </w:r>
            <w:r w:rsidRP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625B30" w:rsidP="00625B30" w:rsidRDefault="00625B30" w14:paraId="6AEEA4A3" w14:textId="77777777">
            <w:pPr>
              <w:keepNext/>
              <w:keepLines/>
              <w:rPr>
                <w:color w:val="000000"/>
              </w:rPr>
            </w:pPr>
            <w:r>
              <w:rPr>
                <w:color w:val="000000"/>
              </w:rPr>
              <w:t>Yes.</w:t>
            </w:r>
          </w:p>
        </w:tc>
        <w:tc>
          <w:tcPr>
            <w:tcW w:w="1980" w:type="dxa"/>
          </w:tcPr>
          <w:p w:rsidRPr="00E25078" w:rsidR="00625B30" w:rsidP="00A3535F" w:rsidRDefault="008E0EC9" w14:paraId="602EEF22" w14:textId="2B910D04">
            <w:pPr>
              <w:keepNext/>
              <w:keepLines/>
              <w:jc w:val="center"/>
              <w:rPr>
                <w:color w:val="000000"/>
              </w:rPr>
            </w:pPr>
            <w:r>
              <w:rPr>
                <w:color w:val="000000"/>
              </w:rPr>
              <w:t>Verified</w:t>
            </w:r>
          </w:p>
        </w:tc>
      </w:tr>
      <w:tr w:rsidRPr="007F620E" w:rsidR="00625B30" w:rsidTr="005356B0" w14:paraId="14CDEB43" w14:textId="77777777">
        <w:tc>
          <w:tcPr>
            <w:tcW w:w="6048" w:type="dxa"/>
          </w:tcPr>
          <w:p w:rsidRPr="007F620E" w:rsidR="00625B30" w:rsidP="00625B30" w:rsidRDefault="00625B30" w14:paraId="19839B70"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625B30" w:rsidP="00625B30" w:rsidRDefault="00F148AA" w14:paraId="68EED31A" w14:textId="7C509556">
            <w:pPr>
              <w:rPr>
                <w:color w:val="000000"/>
              </w:rPr>
            </w:pPr>
            <w:r>
              <w:rPr>
                <w:color w:val="000000"/>
              </w:rPr>
              <w:t>No.</w:t>
            </w:r>
          </w:p>
        </w:tc>
        <w:tc>
          <w:tcPr>
            <w:tcW w:w="1980" w:type="dxa"/>
          </w:tcPr>
          <w:p w:rsidRPr="00E25078" w:rsidR="00625B30" w:rsidP="00A3535F" w:rsidRDefault="008E0EC9" w14:paraId="2D258E39" w14:textId="3F54319C">
            <w:pPr>
              <w:jc w:val="center"/>
              <w:rPr>
                <w:color w:val="000000"/>
              </w:rPr>
            </w:pPr>
            <w:r>
              <w:rPr>
                <w:color w:val="000000"/>
              </w:rPr>
              <w:t>Verified</w:t>
            </w:r>
          </w:p>
        </w:tc>
      </w:tr>
      <w:tr w:rsidRPr="007F620E" w:rsidR="00625B30" w:rsidTr="005356B0" w14:paraId="09B667B4" w14:textId="77777777">
        <w:tc>
          <w:tcPr>
            <w:tcW w:w="7758" w:type="dxa"/>
            <w:gridSpan w:val="2"/>
          </w:tcPr>
          <w:p w:rsidRPr="00E25078" w:rsidR="00625B30" w:rsidP="00395C4E" w:rsidRDefault="00625B30" w14:paraId="3AC738EA" w14:textId="7E062423">
            <w:pPr>
              <w:ind w:left="360" w:hanging="360"/>
              <w:rPr>
                <w:color w:val="000000"/>
              </w:rPr>
            </w:pPr>
            <w:r w:rsidRPr="00E25078">
              <w:rPr>
                <w:b/>
                <w:color w:val="000000"/>
              </w:rPr>
              <w:t>c.</w:t>
            </w:r>
            <w:r w:rsidRPr="00E25078">
              <w:rPr>
                <w:b/>
                <w:color w:val="000000"/>
              </w:rPr>
              <w:tab/>
              <w:t>If so, provide name of other parties:</w:t>
            </w:r>
            <w:r w:rsidRPr="00E25078">
              <w:rPr>
                <w:color w:val="000000"/>
              </w:rPr>
              <w:t xml:space="preserve"> </w:t>
            </w:r>
          </w:p>
          <w:p w:rsidRPr="00E25078" w:rsidR="00625B30" w:rsidP="00F148AA" w:rsidRDefault="00625B30" w14:paraId="1A8496F9" w14:textId="77777777">
            <w:pPr>
              <w:ind w:left="360" w:hanging="360"/>
              <w:rPr>
                <w:color w:val="000000"/>
              </w:rPr>
            </w:pPr>
          </w:p>
        </w:tc>
        <w:tc>
          <w:tcPr>
            <w:tcW w:w="1980" w:type="dxa"/>
          </w:tcPr>
          <w:p w:rsidRPr="00E25078" w:rsidR="00625B30" w:rsidP="00A3535F" w:rsidRDefault="00625B30" w14:paraId="6BA08FB8" w14:textId="77777777">
            <w:pPr>
              <w:jc w:val="center"/>
              <w:rPr>
                <w:color w:val="000000"/>
              </w:rPr>
            </w:pPr>
          </w:p>
        </w:tc>
      </w:tr>
      <w:tr w:rsidRPr="007F620E" w:rsidR="00625B30" w:rsidTr="005356B0" w14:paraId="69B28CF2" w14:textId="77777777">
        <w:tc>
          <w:tcPr>
            <w:tcW w:w="7758" w:type="dxa"/>
            <w:gridSpan w:val="2"/>
          </w:tcPr>
          <w:p w:rsidR="00265F10" w:rsidP="003912DD" w:rsidRDefault="00625B30" w14:paraId="7F722544" w14:textId="77777777">
            <w:pPr>
              <w:tabs>
                <w:tab w:val="left" w:pos="360"/>
              </w:tabs>
              <w:rPr>
                <w:color w:val="000000"/>
              </w:rPr>
            </w:pPr>
            <w:r w:rsidRPr="00E25078">
              <w:rPr>
                <w:b/>
                <w:color w:val="000000"/>
              </w:rPr>
              <w:t>d.</w:t>
            </w:r>
            <w:r w:rsidRPr="00E25078">
              <w:rPr>
                <w:b/>
                <w:color w:val="000000"/>
              </w:rPr>
              <w:tab/>
              <w:t>Intervenor’s claim of non-duplication:</w:t>
            </w:r>
            <w:r w:rsidRPr="00E25078">
              <w:rPr>
                <w:color w:val="000000"/>
              </w:rPr>
              <w:t xml:space="preserve"> </w:t>
            </w:r>
          </w:p>
          <w:p w:rsidR="00265F10" w:rsidP="003912DD" w:rsidRDefault="00265F10" w14:paraId="5319A522" w14:textId="77777777">
            <w:pPr>
              <w:tabs>
                <w:tab w:val="left" w:pos="360"/>
              </w:tabs>
              <w:rPr>
                <w:color w:val="000000"/>
              </w:rPr>
            </w:pPr>
          </w:p>
          <w:p w:rsidR="003912DD" w:rsidP="00C12481" w:rsidRDefault="00F148AA" w14:paraId="58FDBF8C" w14:textId="1D836CF7">
            <w:pPr>
              <w:tabs>
                <w:tab w:val="left" w:pos="360"/>
              </w:tabs>
            </w:pPr>
            <w:r w:rsidRPr="00F148AA">
              <w:t xml:space="preserve">TURN coordinated with Cal Advocates throughout the proceeding to avoid duplicative efforts. </w:t>
            </w:r>
            <w:r w:rsidR="00745952">
              <w:t>A</w:t>
            </w:r>
            <w:r w:rsidRPr="005F1BBF" w:rsidR="005F1BBF">
              <w:t>lthough TURN and Cal Advocates</w:t>
            </w:r>
            <w:r w:rsidR="006C5EE3">
              <w:t xml:space="preserve"> </w:t>
            </w:r>
            <w:r w:rsidRPr="005F1BBF" w:rsidR="005F1BBF">
              <w:t>both recommended lower cost caps than PG&amp;E, the two parties conducted</w:t>
            </w:r>
            <w:r w:rsidR="006C5EE3">
              <w:t xml:space="preserve"> </w:t>
            </w:r>
            <w:r w:rsidRPr="005F1BBF" w:rsidR="005F1BBF">
              <w:t>completely different analyses and arrived at different recommended caps. In</w:t>
            </w:r>
            <w:r w:rsidR="006C5EE3">
              <w:t xml:space="preserve"> </w:t>
            </w:r>
            <w:r w:rsidRPr="005F1BBF" w:rsidR="005F1BBF">
              <w:t>evaluating the reasonableness of PG&amp;E’s proposed cap, TURN’s testimony</w:t>
            </w:r>
            <w:r w:rsidR="006C5EE3">
              <w:t xml:space="preserve"> f</w:t>
            </w:r>
            <w:r w:rsidRPr="005F1BBF" w:rsidR="005F1BBF">
              <w:t xml:space="preserve">ocused on the extent to which the specific activities </w:t>
            </w:r>
            <w:r w:rsidR="001308CA">
              <w:t>were</w:t>
            </w:r>
            <w:r w:rsidRPr="005F1BBF" w:rsidR="005F1BBF">
              <w:t xml:space="preserve"> </w:t>
            </w:r>
            <w:r w:rsidR="001308CA">
              <w:t>appropriate to include in</w:t>
            </w:r>
            <w:r w:rsidRPr="005F1BBF" w:rsidR="005F1BBF">
              <w:t xml:space="preserve"> </w:t>
            </w:r>
            <w:r w:rsidR="004B04C7">
              <w:t xml:space="preserve">energization work </w:t>
            </w:r>
            <w:r w:rsidR="001308CA">
              <w:t>forecasts</w:t>
            </w:r>
            <w:r w:rsidR="00F11521">
              <w:t>,</w:t>
            </w:r>
            <w:r w:rsidR="001308CA">
              <w:t xml:space="preserve"> the reasonableness of PG&amp;E </w:t>
            </w:r>
            <w:r w:rsidR="004B04C7">
              <w:t>forecasts</w:t>
            </w:r>
            <w:r w:rsidR="00F11521">
              <w:t xml:space="preserve">, including customer growth rates and </w:t>
            </w:r>
            <w:r w:rsidR="00C12481">
              <w:t xml:space="preserve"> </w:t>
            </w:r>
            <w:r w:rsidRPr="005A1F29" w:rsidR="005A1F29">
              <w:t>ensuring that project eligibility</w:t>
            </w:r>
            <w:r w:rsidR="00F11521">
              <w:t xml:space="preserve"> and </w:t>
            </w:r>
            <w:r w:rsidRPr="005A1F29" w:rsidR="005A1F29">
              <w:t>cost forecasting</w:t>
            </w:r>
            <w:r w:rsidR="00F11521">
              <w:t xml:space="preserve"> </w:t>
            </w:r>
            <w:r w:rsidRPr="005A1F29" w:rsidR="005A1F29">
              <w:t xml:space="preserve">were consistent with statutory requirements under Senate Bill 410 and prior </w:t>
            </w:r>
            <w:r w:rsidR="00F11521">
              <w:t xml:space="preserve">the </w:t>
            </w:r>
            <w:r w:rsidRPr="005A1F29" w:rsidR="005A1F29">
              <w:t>Commission</w:t>
            </w:r>
            <w:r w:rsidR="00F11521">
              <w:t>’s prior</w:t>
            </w:r>
            <w:r w:rsidRPr="005A1F29" w:rsidR="005A1F29">
              <w:t xml:space="preserve"> decision</w:t>
            </w:r>
            <w:r w:rsidR="00F11521">
              <w:t>, D.24-07-008</w:t>
            </w:r>
            <w:r w:rsidRPr="005A1F29" w:rsidR="005A1F29">
              <w:t xml:space="preserve">. TURN’s analysis </w:t>
            </w:r>
            <w:r w:rsidR="0014730D">
              <w:t xml:space="preserve">also </w:t>
            </w:r>
            <w:r w:rsidRPr="005A1F29" w:rsidR="005A1F29">
              <w:t xml:space="preserve">provided distinct quantitative and policy recommendations, including the August 1, </w:t>
            </w:r>
            <w:proofErr w:type="gramStart"/>
            <w:r w:rsidRPr="005A1F29" w:rsidR="005A1F29">
              <w:t>2026</w:t>
            </w:r>
            <w:proofErr w:type="gramEnd"/>
            <w:r w:rsidRPr="005A1F29" w:rsidR="005A1F29">
              <w:t xml:space="preserve"> cutoff for eligible projects, the one-percent forecast growth rate, and the exclusion of distributed energy resource projects under Public Utilities Code § 931(b). The Commission</w:t>
            </w:r>
            <w:r w:rsidR="000E3832">
              <w:t xml:space="preserve"> </w:t>
            </w:r>
            <w:r w:rsidRPr="005A1F29" w:rsidR="005A1F29">
              <w:t>adopted</w:t>
            </w:r>
            <w:r w:rsidR="008D000E">
              <w:t xml:space="preserve"> many of</w:t>
            </w:r>
            <w:r w:rsidRPr="005A1F29" w:rsidR="005A1F29">
              <w:t xml:space="preserve"> TURN’s recommendations in D.25-08-036, reducing PG&amp;E’s 2026 capital cost cap by approximately $510 million and lowering the overall cost authorizations for 2025 and 2026 by more than $1.2 billion.</w:t>
            </w:r>
          </w:p>
          <w:p w:rsidRPr="00DA4419" w:rsidR="005A1F29" w:rsidP="003912DD" w:rsidRDefault="005A1F29" w14:paraId="5F000DCC" w14:textId="77777777">
            <w:pPr>
              <w:tabs>
                <w:tab w:val="left" w:pos="360"/>
              </w:tabs>
              <w:rPr>
                <w:color w:val="000000"/>
              </w:rPr>
            </w:pPr>
          </w:p>
          <w:p w:rsidRPr="00E25078" w:rsidR="00625B30" w:rsidP="00C44F68" w:rsidRDefault="003912DD" w14:paraId="6951DA0D" w14:textId="53750CA8">
            <w:pPr>
              <w:autoSpaceDE w:val="0"/>
              <w:autoSpaceDN w:val="0"/>
              <w:adjustRightInd w:val="0"/>
              <w:rPr>
                <w:color w:val="000000"/>
              </w:rPr>
            </w:pPr>
            <w:r w:rsidRPr="00DA4419">
              <w:lastRenderedPageBreak/>
              <w:t>The Commission should find that TURN’s participation was efficiently coordinated with the participation of Cal Advocates</w:t>
            </w:r>
            <w:r w:rsidR="005C2051">
              <w:t xml:space="preserve"> </w:t>
            </w:r>
            <w:proofErr w:type="gramStart"/>
            <w:r w:rsidRPr="00DA4419">
              <w:t>so as to</w:t>
            </w:r>
            <w:proofErr w:type="gramEnd"/>
            <w:r w:rsidRPr="00DA4419">
              <w:t xml:space="preserve"> avoid undue duplication and to ensure that to the extent duplication occurred, it served to supplement, complement, or contribute to the showing of the other intervenor.  And consistent with such a finding, the Commission should determine that all of TURN’s work is compensable consistent with the conditions set forth in Section 1802.5. </w:t>
            </w:r>
          </w:p>
        </w:tc>
        <w:tc>
          <w:tcPr>
            <w:tcW w:w="1980" w:type="dxa"/>
          </w:tcPr>
          <w:p w:rsidR="00625B30" w:rsidP="00A3535F" w:rsidRDefault="00625B30" w14:paraId="56FE1F17" w14:textId="77777777">
            <w:pPr>
              <w:tabs>
                <w:tab w:val="left" w:pos="360"/>
              </w:tabs>
              <w:ind w:left="360" w:hanging="360"/>
              <w:jc w:val="center"/>
              <w:rPr>
                <w:color w:val="000000"/>
              </w:rPr>
            </w:pPr>
          </w:p>
          <w:p w:rsidR="00A3535F" w:rsidP="00A3535F" w:rsidRDefault="00A3535F" w14:paraId="68FBA874" w14:textId="77777777">
            <w:pPr>
              <w:tabs>
                <w:tab w:val="left" w:pos="360"/>
              </w:tabs>
              <w:ind w:left="360" w:hanging="360"/>
              <w:jc w:val="center"/>
              <w:rPr>
                <w:color w:val="000000"/>
              </w:rPr>
            </w:pPr>
          </w:p>
          <w:p w:rsidR="00A3535F" w:rsidP="00A3535F" w:rsidRDefault="00A3535F" w14:paraId="0301C0B0" w14:textId="77777777">
            <w:pPr>
              <w:tabs>
                <w:tab w:val="left" w:pos="360"/>
              </w:tabs>
              <w:ind w:left="360" w:hanging="360"/>
              <w:jc w:val="center"/>
              <w:rPr>
                <w:color w:val="000000"/>
              </w:rPr>
            </w:pPr>
          </w:p>
          <w:p w:rsidRPr="00E25078" w:rsidR="00A3535F" w:rsidP="00A3535F" w:rsidRDefault="00A3535F" w14:paraId="0427108C" w14:textId="3D5C0843">
            <w:pPr>
              <w:tabs>
                <w:tab w:val="left" w:pos="360"/>
              </w:tabs>
              <w:ind w:left="360" w:hanging="360"/>
              <w:jc w:val="center"/>
              <w:rPr>
                <w:color w:val="000000"/>
              </w:rPr>
            </w:pPr>
            <w:r>
              <w:rPr>
                <w:color w:val="000000"/>
              </w:rPr>
              <w:t>Noted</w:t>
            </w:r>
          </w:p>
        </w:tc>
      </w:tr>
    </w:tbl>
    <w:p w:rsidR="00625B30" w:rsidRDefault="00625B30" w14:paraId="5766D8AD" w14:textId="77777777"/>
    <w:p w:rsidR="00625B30" w:rsidP="000D7CEC" w:rsidRDefault="00625B30" w14:paraId="1814927E" w14:textId="5552034F">
      <w:pPr>
        <w:keepNext/>
        <w:tabs>
          <w:tab w:val="left" w:pos="1260"/>
        </w:tabs>
        <w:ind w:left="1267" w:hanging="1267"/>
        <w:jc w:val="center"/>
        <w:rPr>
          <w:b/>
          <w:color w:val="000000"/>
        </w:rPr>
      </w:pPr>
      <w:r w:rsidRPr="007F620E">
        <w:rPr>
          <w:b/>
          <w:color w:val="000000"/>
        </w:rPr>
        <w:t>PART III:</w:t>
      </w:r>
      <w:r>
        <w:rPr>
          <w:b/>
          <w:color w:val="000000"/>
        </w:rPr>
        <w:t xml:space="preserve">  </w:t>
      </w:r>
      <w:r w:rsidRPr="007F620E">
        <w:rPr>
          <w:b/>
          <w:color w:val="000000"/>
        </w:rPr>
        <w:t>REASONABLENESS OF REQUESTED COMPENSATION</w:t>
      </w:r>
    </w:p>
    <w:p w:rsidRPr="007F620E" w:rsidR="00C934E1" w:rsidP="000D7CEC" w:rsidRDefault="00C934E1" w14:paraId="02E8EC81" w14:textId="77777777">
      <w:pPr>
        <w:keepNext/>
        <w:tabs>
          <w:tab w:val="left" w:pos="1260"/>
        </w:tabs>
        <w:ind w:left="1267" w:hanging="1267"/>
        <w:jc w:val="center"/>
        <w:rPr>
          <w:b/>
          <w:color w:val="000000"/>
        </w:rPr>
      </w:pPr>
    </w:p>
    <w:p w:rsidR="00B80E2F" w:rsidP="00C44F68" w:rsidRDefault="00625B30" w14:paraId="7A419A6F" w14:textId="450C2317">
      <w:pPr>
        <w:pStyle w:val="ListParagraph"/>
        <w:numPr>
          <w:ilvl w:val="0"/>
          <w:numId w:val="7"/>
        </w:numPr>
        <w:spacing w:after="240"/>
      </w:pPr>
      <w:r w:rsidRPr="00625B30">
        <w:rPr>
          <w:b/>
          <w:color w:val="000000"/>
        </w:rPr>
        <w:t>General Claim of Reasonableness (§ 1801 and § 1806):</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555"/>
        <w:gridCol w:w="2183"/>
      </w:tblGrid>
      <w:tr w:rsidRPr="003349DE" w:rsidR="00B80E2F" w:rsidTr="009C6C3E" w14:paraId="328DF00F" w14:textId="77777777">
        <w:tc>
          <w:tcPr>
            <w:tcW w:w="7555" w:type="dxa"/>
            <w:tcBorders>
              <w:bottom w:val="single" w:color="auto" w:sz="4" w:space="0"/>
            </w:tcBorders>
            <w:shd w:val="clear" w:color="auto" w:fill="D9D9D9" w:themeFill="background1" w:themeFillShade="D9"/>
          </w:tcPr>
          <w:p w:rsidRPr="003349DE" w:rsidR="00B80E2F" w:rsidP="00902BA2" w:rsidRDefault="00B80E2F" w14:paraId="549819DE" w14:textId="77777777">
            <w:pPr>
              <w:rPr>
                <w:b/>
                <w:color w:val="000000"/>
              </w:rPr>
            </w:pPr>
          </w:p>
        </w:tc>
        <w:tc>
          <w:tcPr>
            <w:tcW w:w="2183" w:type="dxa"/>
            <w:shd w:val="clear" w:color="auto" w:fill="D9D9D9" w:themeFill="background1" w:themeFillShade="D9"/>
          </w:tcPr>
          <w:p w:rsidRPr="003349DE" w:rsidR="00B80E2F" w:rsidP="00902BA2" w:rsidRDefault="00B80E2F" w14:paraId="6A254326" w14:textId="77777777">
            <w:pPr>
              <w:spacing w:before="120"/>
              <w:rPr>
                <w:color w:val="000000"/>
              </w:rPr>
            </w:pPr>
            <w:r w:rsidRPr="003349DE">
              <w:rPr>
                <w:b/>
                <w:color w:val="000000"/>
              </w:rPr>
              <w:t>CPUC Discussion</w:t>
            </w:r>
          </w:p>
        </w:tc>
      </w:tr>
      <w:tr w:rsidRPr="003349DE" w:rsidR="00B80E2F" w:rsidTr="005356B0" w14:paraId="6EB05F49" w14:textId="77777777">
        <w:tc>
          <w:tcPr>
            <w:tcW w:w="7555" w:type="dxa"/>
            <w:tcBorders>
              <w:bottom w:val="single" w:color="auto" w:sz="4" w:space="0"/>
            </w:tcBorders>
          </w:tcPr>
          <w:p w:rsidRPr="003349DE" w:rsidR="00B80E2F" w:rsidP="00902BA2" w:rsidRDefault="00B80E2F" w14:paraId="0A3F2E78" w14:textId="77777777">
            <w:pPr>
              <w:rPr>
                <w:color w:val="000000"/>
              </w:rPr>
            </w:pPr>
            <w:r w:rsidRPr="003349DE">
              <w:rPr>
                <w:b/>
                <w:color w:val="000000"/>
              </w:rPr>
              <w:t>a. Intervenor’s claim of cost reasonableness:</w:t>
            </w:r>
            <w:r w:rsidRPr="003349DE">
              <w:rPr>
                <w:color w:val="000000"/>
              </w:rPr>
              <w:t xml:space="preserve"> </w:t>
            </w:r>
          </w:p>
          <w:p w:rsidR="00B80E2F" w:rsidP="00902BA2" w:rsidRDefault="00B80E2F" w14:paraId="34E65BDB" w14:textId="77777777">
            <w:pPr>
              <w:spacing w:before="120"/>
            </w:pPr>
          </w:p>
          <w:p w:rsidRPr="005A2AAA" w:rsidR="00B80E2F" w:rsidP="00902BA2" w:rsidRDefault="00B80E2F" w14:paraId="045EA51F" w14:textId="77777777">
            <w:pPr>
              <w:rPr>
                <w:color w:val="000000"/>
              </w:rPr>
            </w:pPr>
            <w:r w:rsidRPr="005A2AAA">
              <w:rPr>
                <w:color w:val="000000"/>
              </w:rPr>
              <w:t>TURN’s request for intervenor compensation seeks an award of</w:t>
            </w:r>
          </w:p>
          <w:p w:rsidRPr="005A2AAA" w:rsidR="00B80E2F" w:rsidP="00902BA2" w:rsidRDefault="00B80E2F" w14:paraId="3DF15175" w14:textId="4E723659">
            <w:pPr>
              <w:rPr>
                <w:color w:val="000000"/>
              </w:rPr>
            </w:pPr>
            <w:r w:rsidRPr="005A2AAA">
              <w:rPr>
                <w:color w:val="000000"/>
              </w:rPr>
              <w:t xml:space="preserve">approximately </w:t>
            </w:r>
            <w:r w:rsidRPr="00D12626">
              <w:rPr>
                <w:color w:val="000000"/>
              </w:rPr>
              <w:t>$</w:t>
            </w:r>
            <w:r w:rsidRPr="00D12626" w:rsidR="002D05CE">
              <w:rPr>
                <w:color w:val="000000"/>
              </w:rPr>
              <w:t>2</w:t>
            </w:r>
            <w:r w:rsidRPr="00D12626" w:rsidR="00D12626">
              <w:rPr>
                <w:color w:val="000000"/>
              </w:rPr>
              <w:t>89</w:t>
            </w:r>
            <w:r w:rsidRPr="00D12626">
              <w:rPr>
                <w:color w:val="000000"/>
              </w:rPr>
              <w:t>,</w:t>
            </w:r>
            <w:r w:rsidRPr="00D12626" w:rsidR="00461905">
              <w:rPr>
                <w:color w:val="000000"/>
              </w:rPr>
              <w:t>000</w:t>
            </w:r>
            <w:r w:rsidRPr="005A2AAA">
              <w:rPr>
                <w:color w:val="000000"/>
              </w:rPr>
              <w:t xml:space="preserve"> as the reasonable cost of our participation in </w:t>
            </w:r>
          </w:p>
          <w:p w:rsidR="00325BF8" w:rsidP="007C44E9" w:rsidRDefault="00B80E2F" w14:paraId="606A97D8" w14:textId="77777777">
            <w:pPr>
              <w:pStyle w:val="p1"/>
              <w:rPr>
                <w:sz w:val="24"/>
                <w:szCs w:val="24"/>
              </w:rPr>
            </w:pPr>
            <w:r w:rsidRPr="00BA29FD">
              <w:rPr>
                <w:sz w:val="24"/>
                <w:szCs w:val="24"/>
              </w:rPr>
              <w:t xml:space="preserve">this proceeding.  </w:t>
            </w:r>
            <w:r w:rsidRPr="00BA29FD" w:rsidR="001A17D4">
              <w:rPr>
                <w:sz w:val="24"/>
                <w:szCs w:val="24"/>
              </w:rPr>
              <w:t xml:space="preserve">The Commission should conclude that the amount requested is reasonable under the circumstances here. </w:t>
            </w:r>
          </w:p>
          <w:p w:rsidR="00325BF8" w:rsidP="007C44E9" w:rsidRDefault="00325BF8" w14:paraId="442A1B4E" w14:textId="77777777">
            <w:pPr>
              <w:pStyle w:val="p1"/>
              <w:rPr>
                <w:sz w:val="24"/>
                <w:szCs w:val="24"/>
              </w:rPr>
            </w:pPr>
          </w:p>
          <w:p w:rsidR="00325BF8" w:rsidP="00521ADE" w:rsidRDefault="00521ADE" w14:paraId="5A0467A9" w14:textId="4FF724E9">
            <w:pPr>
              <w:pStyle w:val="p1"/>
              <w:rPr>
                <w:sz w:val="24"/>
                <w:szCs w:val="24"/>
              </w:rPr>
            </w:pPr>
            <w:r w:rsidRPr="00521ADE">
              <w:rPr>
                <w:sz w:val="24"/>
                <w:szCs w:val="24"/>
              </w:rPr>
              <w:t>D.25-08-036 addressed significant issues concerning PG&amp;E’s proposal to increase the</w:t>
            </w:r>
            <w:r>
              <w:rPr>
                <w:sz w:val="24"/>
                <w:szCs w:val="24"/>
              </w:rPr>
              <w:t xml:space="preserve"> 2025 </w:t>
            </w:r>
            <w:r w:rsidRPr="00521ADE">
              <w:rPr>
                <w:sz w:val="24"/>
                <w:szCs w:val="24"/>
              </w:rPr>
              <w:t xml:space="preserve">and 2026 </w:t>
            </w:r>
            <w:r>
              <w:rPr>
                <w:sz w:val="24"/>
                <w:szCs w:val="24"/>
              </w:rPr>
              <w:t xml:space="preserve">interim energization </w:t>
            </w:r>
            <w:r w:rsidRPr="00521ADE">
              <w:rPr>
                <w:sz w:val="24"/>
                <w:szCs w:val="24"/>
              </w:rPr>
              <w:t>cost caps established in D.24-07-008</w:t>
            </w:r>
            <w:r w:rsidR="006209A5">
              <w:rPr>
                <w:sz w:val="24"/>
                <w:szCs w:val="24"/>
              </w:rPr>
              <w:t xml:space="preserve"> by over $3 billion</w:t>
            </w:r>
            <w:r>
              <w:rPr>
                <w:sz w:val="24"/>
                <w:szCs w:val="24"/>
              </w:rPr>
              <w:t>.</w:t>
            </w:r>
          </w:p>
          <w:p w:rsidR="00521ADE" w:rsidP="00521ADE" w:rsidRDefault="00521ADE" w14:paraId="4F067CDD" w14:textId="77777777">
            <w:pPr>
              <w:pStyle w:val="p1"/>
              <w:rPr>
                <w:sz w:val="24"/>
                <w:szCs w:val="24"/>
              </w:rPr>
            </w:pPr>
          </w:p>
          <w:p w:rsidR="008A10B3" w:rsidP="00A02715" w:rsidRDefault="001A17D4" w14:paraId="252D7A38" w14:textId="33BBFE32">
            <w:pPr>
              <w:pStyle w:val="p1"/>
              <w:rPr>
                <w:sz w:val="24"/>
                <w:szCs w:val="24"/>
              </w:rPr>
            </w:pPr>
            <w:r w:rsidRPr="00BA29FD">
              <w:rPr>
                <w:sz w:val="24"/>
                <w:szCs w:val="24"/>
              </w:rPr>
              <w:t>As is more fully described in the substantial contribution section above, TURN’s participation in the proceeding was instrumental in</w:t>
            </w:r>
            <w:r w:rsidR="00D51778">
              <w:rPr>
                <w:sz w:val="24"/>
                <w:szCs w:val="24"/>
              </w:rPr>
              <w:t xml:space="preserve"> evaluating </w:t>
            </w:r>
            <w:r w:rsidRPr="00BA29FD">
              <w:rPr>
                <w:sz w:val="24"/>
                <w:szCs w:val="24"/>
              </w:rPr>
              <w:t>eligib</w:t>
            </w:r>
            <w:r w:rsidR="00EE2014">
              <w:rPr>
                <w:sz w:val="24"/>
                <w:szCs w:val="24"/>
              </w:rPr>
              <w:t xml:space="preserve">ility </w:t>
            </w:r>
            <w:r w:rsidR="00177739">
              <w:rPr>
                <w:sz w:val="24"/>
                <w:szCs w:val="24"/>
              </w:rPr>
              <w:t xml:space="preserve">of PG&amp;E’s forecasts </w:t>
            </w:r>
            <w:r w:rsidR="00EE2014">
              <w:rPr>
                <w:sz w:val="24"/>
                <w:szCs w:val="24"/>
              </w:rPr>
              <w:t>for</w:t>
            </w:r>
            <w:r w:rsidRPr="00BA29FD">
              <w:rPr>
                <w:sz w:val="24"/>
                <w:szCs w:val="24"/>
              </w:rPr>
              <w:t xml:space="preserve"> SB 410 interim cost recovery and reducing the annual cost recovery cap, thus </w:t>
            </w:r>
            <w:r w:rsidR="00EE2014">
              <w:rPr>
                <w:sz w:val="24"/>
                <w:szCs w:val="24"/>
              </w:rPr>
              <w:t>reducing</w:t>
            </w:r>
            <w:r w:rsidR="007C44E9">
              <w:rPr>
                <w:sz w:val="24"/>
                <w:szCs w:val="24"/>
              </w:rPr>
              <w:t xml:space="preserve"> </w:t>
            </w:r>
            <w:r w:rsidRPr="00BA29FD">
              <w:rPr>
                <w:sz w:val="24"/>
                <w:szCs w:val="24"/>
              </w:rPr>
              <w:t>potential rate increases faced by PG&amp;E’s customers.</w:t>
            </w:r>
            <w:r w:rsidR="00A02715">
              <w:rPr>
                <w:sz w:val="24"/>
                <w:szCs w:val="24"/>
              </w:rPr>
              <w:t xml:space="preserve"> </w:t>
            </w:r>
            <w:r w:rsidRPr="00BA29FD" w:rsidR="00325BF8">
              <w:rPr>
                <w:sz w:val="24"/>
                <w:szCs w:val="24"/>
              </w:rPr>
              <w:t xml:space="preserve">The Commission agreed with TURN that PG&amp;E’s requested increases were not supported by adequate evidence and that its forecasts overstated the capital expenditures required to meet statutory energization obligations under Senate Bill 410. Consistent with TURN’s recommendations, the Commission adopted a one-percent forecast growth rate, established an August 1, </w:t>
            </w:r>
            <w:proofErr w:type="gramStart"/>
            <w:r w:rsidRPr="00BA29FD" w:rsidR="00325BF8">
              <w:rPr>
                <w:sz w:val="24"/>
                <w:szCs w:val="24"/>
              </w:rPr>
              <w:t>2026</w:t>
            </w:r>
            <w:proofErr w:type="gramEnd"/>
            <w:r w:rsidRPr="00BA29FD" w:rsidR="00325BF8">
              <w:rPr>
                <w:sz w:val="24"/>
                <w:szCs w:val="24"/>
              </w:rPr>
              <w:t xml:space="preserve"> cutoff for eligible projects, and excluded distributed energy resource projects under Public Utilities Code § 931(b). </w:t>
            </w:r>
          </w:p>
          <w:p w:rsidR="008A10B3" w:rsidP="00A02715" w:rsidRDefault="008A10B3" w14:paraId="7A5F2095" w14:textId="77777777">
            <w:pPr>
              <w:pStyle w:val="p1"/>
              <w:rPr>
                <w:sz w:val="24"/>
                <w:szCs w:val="24"/>
              </w:rPr>
            </w:pPr>
          </w:p>
          <w:p w:rsidRPr="00BA29FD" w:rsidR="00325BF8" w:rsidP="00D12626" w:rsidRDefault="008A10B3" w14:paraId="25C74187" w14:textId="3A1A073A">
            <w:pPr>
              <w:pStyle w:val="p1"/>
              <w:rPr>
                <w:sz w:val="24"/>
                <w:szCs w:val="24"/>
              </w:rPr>
            </w:pPr>
            <w:r w:rsidRPr="00F313F2">
              <w:rPr>
                <w:sz w:val="24"/>
                <w:szCs w:val="24"/>
              </w:rPr>
              <w:t xml:space="preserve">It is difficult to estimate </w:t>
            </w:r>
            <w:r w:rsidR="005A2FD0">
              <w:rPr>
                <w:sz w:val="24"/>
                <w:szCs w:val="24"/>
              </w:rPr>
              <w:t xml:space="preserve">with certainty </w:t>
            </w:r>
            <w:r w:rsidRPr="00F313F2">
              <w:rPr>
                <w:sz w:val="24"/>
                <w:szCs w:val="24"/>
              </w:rPr>
              <w:t>the actual financial benefits to ratepayers from</w:t>
            </w:r>
            <w:r w:rsidR="00D12626">
              <w:rPr>
                <w:sz w:val="24"/>
                <w:szCs w:val="24"/>
              </w:rPr>
              <w:t xml:space="preserve"> </w:t>
            </w:r>
            <w:r w:rsidRPr="00F313F2">
              <w:rPr>
                <w:sz w:val="24"/>
                <w:szCs w:val="24"/>
              </w:rPr>
              <w:t>TURN’s participation because PG&amp;E may not record incremental customer</w:t>
            </w:r>
            <w:r w:rsidR="00D12626">
              <w:rPr>
                <w:sz w:val="24"/>
                <w:szCs w:val="24"/>
              </w:rPr>
              <w:t xml:space="preserve"> </w:t>
            </w:r>
            <w:r w:rsidRPr="00F313F2">
              <w:rPr>
                <w:sz w:val="24"/>
                <w:szCs w:val="24"/>
              </w:rPr>
              <w:t>energization costs up to the authorized ECNBIMA cap in any year.</w:t>
            </w:r>
            <w:r w:rsidR="00D12626">
              <w:rPr>
                <w:sz w:val="24"/>
                <w:szCs w:val="24"/>
              </w:rPr>
              <w:t xml:space="preserve"> </w:t>
            </w:r>
            <w:r w:rsidRPr="00F313F2">
              <w:rPr>
                <w:sz w:val="24"/>
                <w:szCs w:val="24"/>
              </w:rPr>
              <w:t>However,</w:t>
            </w:r>
            <w:r w:rsidR="001C0BC1">
              <w:t xml:space="preserve"> </w:t>
            </w:r>
            <w:r>
              <w:rPr>
                <w:sz w:val="24"/>
                <w:szCs w:val="24"/>
              </w:rPr>
              <w:t xml:space="preserve">TURN’s participation supported the Commission’s </w:t>
            </w:r>
            <w:r w:rsidRPr="00BA29FD" w:rsidR="00325BF8">
              <w:rPr>
                <w:sz w:val="24"/>
                <w:szCs w:val="24"/>
              </w:rPr>
              <w:t>determination</w:t>
            </w:r>
            <w:r>
              <w:rPr>
                <w:sz w:val="24"/>
                <w:szCs w:val="24"/>
              </w:rPr>
              <w:t xml:space="preserve"> to </w:t>
            </w:r>
            <w:r w:rsidRPr="00BA29FD" w:rsidR="00325BF8">
              <w:rPr>
                <w:sz w:val="24"/>
                <w:szCs w:val="24"/>
              </w:rPr>
              <w:t xml:space="preserve">reduce PG&amp;E’s authorized capital cost caps by more than $1.7 billion for 2025 and 2026 combined. </w:t>
            </w:r>
          </w:p>
          <w:p w:rsidR="00344546" w:rsidP="00902BA2" w:rsidRDefault="00344546" w14:paraId="606AF6F6" w14:textId="77777777">
            <w:pPr>
              <w:rPr>
                <w:color w:val="000000"/>
              </w:rPr>
            </w:pPr>
          </w:p>
          <w:p w:rsidR="00344546" w:rsidP="00902BA2" w:rsidRDefault="00344546" w14:paraId="35C4E11C" w14:textId="7388C00B">
            <w:pPr>
              <w:rPr>
                <w:color w:val="000000"/>
              </w:rPr>
            </w:pPr>
            <w:r w:rsidRPr="00344546">
              <w:rPr>
                <w:color w:val="000000"/>
              </w:rPr>
              <w:lastRenderedPageBreak/>
              <w:t>As a result of TURN’s participation, the Commission</w:t>
            </w:r>
            <w:r w:rsidR="00651A70">
              <w:rPr>
                <w:color w:val="000000"/>
              </w:rPr>
              <w:t xml:space="preserve"> also</w:t>
            </w:r>
            <w:r w:rsidRPr="00344546">
              <w:rPr>
                <w:color w:val="000000"/>
              </w:rPr>
              <w:t xml:space="preserve"> adopted </w:t>
            </w:r>
            <w:r w:rsidR="00EE2365">
              <w:rPr>
                <w:color w:val="000000"/>
              </w:rPr>
              <w:t>l</w:t>
            </w:r>
            <w:r w:rsidR="00FD1ADA">
              <w:rPr>
                <w:color w:val="000000"/>
              </w:rPr>
              <w:t xml:space="preserve">imited </w:t>
            </w:r>
            <w:r w:rsidR="00651A70">
              <w:rPr>
                <w:color w:val="000000"/>
              </w:rPr>
              <w:t>PG&amp;E’s forecast</w:t>
            </w:r>
            <w:r w:rsidR="003010AC">
              <w:rPr>
                <w:color w:val="000000"/>
              </w:rPr>
              <w:t xml:space="preserve">s for interim cost recovery under SB 410 </w:t>
            </w:r>
            <w:r w:rsidR="00651A70">
              <w:rPr>
                <w:color w:val="000000"/>
              </w:rPr>
              <w:t xml:space="preserve">to </w:t>
            </w:r>
            <w:r w:rsidRPr="00344546">
              <w:rPr>
                <w:color w:val="000000"/>
              </w:rPr>
              <w:t xml:space="preserve">only </w:t>
            </w:r>
            <w:r w:rsidR="00651A70">
              <w:rPr>
                <w:color w:val="000000"/>
              </w:rPr>
              <w:t xml:space="preserve">include </w:t>
            </w:r>
            <w:r w:rsidRPr="00344546">
              <w:rPr>
                <w:color w:val="000000"/>
              </w:rPr>
              <w:t>projects capable of completion by December 31, 2026. The Decision also reinforced refundability and reasonableness-review safeguards to protect ratepayers from bearing premature or duplicative costs.</w:t>
            </w:r>
            <w:r w:rsidR="000E3832">
              <w:rPr>
                <w:color w:val="000000"/>
              </w:rPr>
              <w:t xml:space="preserve"> </w:t>
            </w:r>
          </w:p>
          <w:p w:rsidRPr="00DA70DD" w:rsidR="00A87FA5" w:rsidP="00902BA2" w:rsidRDefault="00A87FA5" w14:paraId="076EAC9C" w14:textId="77777777">
            <w:pPr>
              <w:rPr>
                <w:color w:val="000000"/>
              </w:rPr>
            </w:pPr>
          </w:p>
          <w:p w:rsidRPr="00BA29FD" w:rsidR="005174F3" w:rsidP="005174F3" w:rsidRDefault="005174F3" w14:paraId="22B85338" w14:textId="77777777">
            <w:pPr>
              <w:pStyle w:val="p1"/>
              <w:rPr>
                <w:sz w:val="24"/>
                <w:szCs w:val="24"/>
              </w:rPr>
            </w:pPr>
            <w:r w:rsidRPr="00BA29FD">
              <w:rPr>
                <w:sz w:val="24"/>
                <w:szCs w:val="24"/>
              </w:rPr>
              <w:t>TURN’s costs requested in this intervenor compensation claim -- less</w:t>
            </w:r>
          </w:p>
          <w:p w:rsidR="005174F3" w:rsidP="008A5D61" w:rsidRDefault="005174F3" w14:paraId="79E11933" w14:textId="0D6554BB">
            <w:pPr>
              <w:pStyle w:val="p1"/>
              <w:rPr>
                <w:sz w:val="24"/>
                <w:szCs w:val="24"/>
              </w:rPr>
            </w:pPr>
            <w:r w:rsidRPr="00BA29FD">
              <w:rPr>
                <w:sz w:val="24"/>
                <w:szCs w:val="24"/>
              </w:rPr>
              <w:t xml:space="preserve">than </w:t>
            </w:r>
            <w:r w:rsidRPr="00D12626" w:rsidR="00282AFA">
              <w:rPr>
                <w:sz w:val="24"/>
                <w:szCs w:val="24"/>
              </w:rPr>
              <w:t>$2</w:t>
            </w:r>
            <w:r w:rsidRPr="00D12626" w:rsidR="00D12626">
              <w:rPr>
                <w:sz w:val="24"/>
                <w:szCs w:val="24"/>
              </w:rPr>
              <w:t>89</w:t>
            </w:r>
            <w:r w:rsidRPr="00D12626" w:rsidR="00282AFA">
              <w:rPr>
                <w:sz w:val="24"/>
                <w:szCs w:val="24"/>
              </w:rPr>
              <w:t>,000</w:t>
            </w:r>
            <w:r w:rsidRPr="005A2AAA" w:rsidR="00282AFA">
              <w:rPr>
                <w:sz w:val="24"/>
                <w:szCs w:val="24"/>
              </w:rPr>
              <w:t xml:space="preserve"> </w:t>
            </w:r>
            <w:r w:rsidR="00717128">
              <w:rPr>
                <w:sz w:val="24"/>
                <w:szCs w:val="24"/>
              </w:rPr>
              <w:t xml:space="preserve">– </w:t>
            </w:r>
            <w:r w:rsidR="00A87FA5">
              <w:rPr>
                <w:sz w:val="24"/>
                <w:szCs w:val="24"/>
              </w:rPr>
              <w:t xml:space="preserve">are </w:t>
            </w:r>
            <w:r w:rsidR="00717128">
              <w:rPr>
                <w:sz w:val="24"/>
                <w:szCs w:val="24"/>
              </w:rPr>
              <w:t xml:space="preserve">reasonable </w:t>
            </w:r>
            <w:proofErr w:type="gramStart"/>
            <w:r w:rsidR="00717128">
              <w:rPr>
                <w:sz w:val="24"/>
                <w:szCs w:val="24"/>
              </w:rPr>
              <w:t xml:space="preserve">in light </w:t>
            </w:r>
            <w:r w:rsidRPr="00BA29FD">
              <w:rPr>
                <w:sz w:val="24"/>
                <w:szCs w:val="24"/>
              </w:rPr>
              <w:t>of</w:t>
            </w:r>
            <w:proofErr w:type="gramEnd"/>
            <w:r w:rsidRPr="00BA29FD">
              <w:rPr>
                <w:sz w:val="24"/>
                <w:szCs w:val="24"/>
              </w:rPr>
              <w:t xml:space="preserve"> these</w:t>
            </w:r>
            <w:r w:rsidR="008A5D61">
              <w:rPr>
                <w:sz w:val="24"/>
                <w:szCs w:val="24"/>
              </w:rPr>
              <w:t xml:space="preserve"> strong cost controls and</w:t>
            </w:r>
            <w:r w:rsidRPr="00BA29FD">
              <w:rPr>
                <w:sz w:val="24"/>
                <w:szCs w:val="24"/>
              </w:rPr>
              <w:t xml:space="preserve"> potential </w:t>
            </w:r>
            <w:r w:rsidR="00296209">
              <w:rPr>
                <w:sz w:val="24"/>
                <w:szCs w:val="24"/>
              </w:rPr>
              <w:t xml:space="preserve">significant </w:t>
            </w:r>
            <w:r w:rsidRPr="00BA29FD">
              <w:rPr>
                <w:sz w:val="24"/>
                <w:szCs w:val="24"/>
              </w:rPr>
              <w:t>financial benefits</w:t>
            </w:r>
            <w:r w:rsidR="008A5D61">
              <w:rPr>
                <w:sz w:val="24"/>
                <w:szCs w:val="24"/>
              </w:rPr>
              <w:t xml:space="preserve"> </w:t>
            </w:r>
            <w:r w:rsidRPr="00BA29FD">
              <w:rPr>
                <w:sz w:val="24"/>
                <w:szCs w:val="24"/>
              </w:rPr>
              <w:t xml:space="preserve">to ratepayers. </w:t>
            </w:r>
            <w:r w:rsidR="003451EC">
              <w:rPr>
                <w:sz w:val="24"/>
                <w:szCs w:val="24"/>
              </w:rPr>
              <w:t>R</w:t>
            </w:r>
            <w:r w:rsidRPr="00BA29FD">
              <w:rPr>
                <w:sz w:val="24"/>
                <w:szCs w:val="24"/>
              </w:rPr>
              <w:t>atepayers may also reap financial benefits</w:t>
            </w:r>
            <w:r w:rsidR="008A5D61">
              <w:rPr>
                <w:sz w:val="24"/>
                <w:szCs w:val="24"/>
              </w:rPr>
              <w:t xml:space="preserve"> f</w:t>
            </w:r>
            <w:r w:rsidRPr="00BA29FD">
              <w:rPr>
                <w:sz w:val="24"/>
                <w:szCs w:val="24"/>
              </w:rPr>
              <w:t xml:space="preserve">rom </w:t>
            </w:r>
            <w:r w:rsidR="003451EC">
              <w:rPr>
                <w:sz w:val="24"/>
                <w:szCs w:val="24"/>
              </w:rPr>
              <w:t xml:space="preserve">the </w:t>
            </w:r>
            <w:r w:rsidR="008D1F4B">
              <w:rPr>
                <w:sz w:val="24"/>
                <w:szCs w:val="24"/>
              </w:rPr>
              <w:t xml:space="preserve">cost caps encouraging </w:t>
            </w:r>
            <w:r w:rsidRPr="00BA29FD">
              <w:rPr>
                <w:sz w:val="24"/>
                <w:szCs w:val="24"/>
              </w:rPr>
              <w:t>PG&amp;E’s use of alternative funding sources or operational strategies to</w:t>
            </w:r>
            <w:r w:rsidR="008A5D61">
              <w:rPr>
                <w:sz w:val="24"/>
                <w:szCs w:val="24"/>
              </w:rPr>
              <w:t xml:space="preserve"> </w:t>
            </w:r>
            <w:r w:rsidRPr="00BA29FD">
              <w:rPr>
                <w:sz w:val="24"/>
                <w:szCs w:val="24"/>
              </w:rPr>
              <w:t>avoid the need for capacity upgrades</w:t>
            </w:r>
            <w:r w:rsidR="008D1F4B">
              <w:rPr>
                <w:sz w:val="24"/>
                <w:szCs w:val="24"/>
              </w:rPr>
              <w:t xml:space="preserve"> while still complying with the energization timelines set in D.24-09-020. </w:t>
            </w:r>
          </w:p>
          <w:p w:rsidRPr="00BA29FD" w:rsidR="008A5AE4" w:rsidP="005174F3" w:rsidRDefault="008A5AE4" w14:paraId="7F9CCC87" w14:textId="77777777">
            <w:pPr>
              <w:pStyle w:val="p1"/>
              <w:rPr>
                <w:sz w:val="24"/>
                <w:szCs w:val="24"/>
              </w:rPr>
            </w:pPr>
          </w:p>
          <w:p w:rsidRPr="00BA29FD" w:rsidR="005174F3" w:rsidP="005174F3" w:rsidRDefault="005174F3" w14:paraId="4B90C5DE" w14:textId="67BE59BF">
            <w:pPr>
              <w:pStyle w:val="p1"/>
              <w:rPr>
                <w:sz w:val="24"/>
                <w:szCs w:val="24"/>
              </w:rPr>
            </w:pPr>
            <w:proofErr w:type="gramStart"/>
            <w:r w:rsidRPr="00BA29FD">
              <w:rPr>
                <w:sz w:val="24"/>
                <w:szCs w:val="24"/>
              </w:rPr>
              <w:t>In light of</w:t>
            </w:r>
            <w:proofErr w:type="gramEnd"/>
            <w:r w:rsidRPr="00BA29FD">
              <w:rPr>
                <w:sz w:val="24"/>
                <w:szCs w:val="24"/>
              </w:rPr>
              <w:t xml:space="preserve"> these clear and very substantial potential financial benefits</w:t>
            </w:r>
          </w:p>
          <w:p w:rsidRPr="00BA29FD" w:rsidR="005174F3" w:rsidP="005174F3" w:rsidRDefault="005174F3" w14:paraId="0C03B7BC" w14:textId="77777777">
            <w:pPr>
              <w:pStyle w:val="p1"/>
              <w:rPr>
                <w:sz w:val="24"/>
                <w:szCs w:val="24"/>
              </w:rPr>
            </w:pPr>
            <w:r w:rsidRPr="00BA29FD">
              <w:rPr>
                <w:sz w:val="24"/>
                <w:szCs w:val="24"/>
              </w:rPr>
              <w:t>coupled with the ratepayer benefits from improved oversight and</w:t>
            </w:r>
          </w:p>
          <w:p w:rsidRPr="00BA29FD" w:rsidR="005174F3" w:rsidP="008A5AE4" w:rsidRDefault="005174F3" w14:paraId="3ECD1EFE" w14:textId="136C1DB4">
            <w:pPr>
              <w:pStyle w:val="p1"/>
              <w:rPr>
                <w:sz w:val="24"/>
                <w:szCs w:val="24"/>
              </w:rPr>
            </w:pPr>
            <w:r w:rsidRPr="00BA29FD">
              <w:rPr>
                <w:sz w:val="24"/>
                <w:szCs w:val="24"/>
              </w:rPr>
              <w:t>transparency</w:t>
            </w:r>
            <w:r w:rsidR="008A5AE4">
              <w:rPr>
                <w:sz w:val="24"/>
                <w:szCs w:val="24"/>
              </w:rPr>
              <w:t xml:space="preserve"> when these costs are reviewed in the GRC,</w:t>
            </w:r>
            <w:r w:rsidRPr="00BA29FD">
              <w:rPr>
                <w:sz w:val="24"/>
                <w:szCs w:val="24"/>
              </w:rPr>
              <w:t xml:space="preserve"> the Commission should conclude that the requested amount</w:t>
            </w:r>
            <w:r w:rsidR="008A5AE4">
              <w:rPr>
                <w:sz w:val="24"/>
                <w:szCs w:val="24"/>
              </w:rPr>
              <w:t xml:space="preserve"> </w:t>
            </w:r>
            <w:r w:rsidRPr="00BA29FD">
              <w:rPr>
                <w:sz w:val="24"/>
                <w:szCs w:val="24"/>
              </w:rPr>
              <w:t>of compensation is reasonable.</w:t>
            </w:r>
          </w:p>
          <w:p w:rsidRPr="003349DE" w:rsidR="00B80E2F" w:rsidP="00902BA2" w:rsidRDefault="00B80E2F" w14:paraId="7679BFFC" w14:textId="77777777">
            <w:pPr>
              <w:rPr>
                <w:color w:val="000000"/>
              </w:rPr>
            </w:pPr>
          </w:p>
        </w:tc>
        <w:tc>
          <w:tcPr>
            <w:tcW w:w="2183" w:type="dxa"/>
          </w:tcPr>
          <w:p w:rsidR="00B80E2F" w:rsidP="005356B0" w:rsidRDefault="00B80E2F" w14:paraId="2E478B02" w14:textId="77777777">
            <w:pPr>
              <w:spacing w:before="120"/>
              <w:jc w:val="center"/>
              <w:rPr>
                <w:color w:val="000000"/>
              </w:rPr>
            </w:pPr>
          </w:p>
          <w:p w:rsidR="005356B0" w:rsidP="005356B0" w:rsidRDefault="005356B0" w14:paraId="3D1C7715" w14:textId="77777777">
            <w:pPr>
              <w:spacing w:before="120"/>
              <w:jc w:val="center"/>
              <w:rPr>
                <w:color w:val="000000"/>
              </w:rPr>
            </w:pPr>
          </w:p>
          <w:p w:rsidR="005356B0" w:rsidP="005356B0" w:rsidRDefault="005356B0" w14:paraId="1A166716" w14:textId="77777777">
            <w:pPr>
              <w:spacing w:before="120"/>
              <w:jc w:val="center"/>
              <w:rPr>
                <w:color w:val="000000"/>
              </w:rPr>
            </w:pPr>
          </w:p>
          <w:p w:rsidR="005356B0" w:rsidP="005356B0" w:rsidRDefault="005356B0" w14:paraId="2DD7B5DD" w14:textId="77777777">
            <w:pPr>
              <w:spacing w:before="120"/>
              <w:jc w:val="center"/>
              <w:rPr>
                <w:color w:val="000000"/>
              </w:rPr>
            </w:pPr>
          </w:p>
          <w:p w:rsidR="005356B0" w:rsidP="005356B0" w:rsidRDefault="005356B0" w14:paraId="1482159B" w14:textId="77777777">
            <w:pPr>
              <w:spacing w:before="120"/>
              <w:jc w:val="center"/>
              <w:rPr>
                <w:color w:val="000000"/>
              </w:rPr>
            </w:pPr>
          </w:p>
          <w:p w:rsidR="005356B0" w:rsidP="005356B0" w:rsidRDefault="005356B0" w14:paraId="1CD851DF" w14:textId="77777777">
            <w:pPr>
              <w:spacing w:before="120"/>
              <w:jc w:val="center"/>
              <w:rPr>
                <w:color w:val="000000"/>
              </w:rPr>
            </w:pPr>
          </w:p>
          <w:p w:rsidR="005356B0" w:rsidP="005356B0" w:rsidRDefault="005356B0" w14:paraId="1FF57E2C" w14:textId="77777777">
            <w:pPr>
              <w:spacing w:before="120"/>
              <w:jc w:val="center"/>
              <w:rPr>
                <w:color w:val="000000"/>
              </w:rPr>
            </w:pPr>
          </w:p>
          <w:p w:rsidR="005356B0" w:rsidP="005356B0" w:rsidRDefault="005356B0" w14:paraId="2AF0D506" w14:textId="77777777">
            <w:pPr>
              <w:spacing w:before="120"/>
              <w:jc w:val="center"/>
              <w:rPr>
                <w:color w:val="000000"/>
              </w:rPr>
            </w:pPr>
          </w:p>
          <w:p w:rsidR="005356B0" w:rsidP="005356B0" w:rsidRDefault="005356B0" w14:paraId="6926AB83" w14:textId="77777777">
            <w:pPr>
              <w:spacing w:before="120"/>
              <w:jc w:val="center"/>
              <w:rPr>
                <w:color w:val="000000"/>
              </w:rPr>
            </w:pPr>
          </w:p>
          <w:p w:rsidR="005356B0" w:rsidP="005356B0" w:rsidRDefault="005356B0" w14:paraId="7BC3DD3B" w14:textId="77777777">
            <w:pPr>
              <w:spacing w:before="120"/>
              <w:jc w:val="center"/>
              <w:rPr>
                <w:color w:val="000000"/>
              </w:rPr>
            </w:pPr>
          </w:p>
          <w:p w:rsidR="005356B0" w:rsidP="005356B0" w:rsidRDefault="005356B0" w14:paraId="569185C2" w14:textId="77777777">
            <w:pPr>
              <w:spacing w:before="120"/>
              <w:jc w:val="center"/>
              <w:rPr>
                <w:color w:val="000000"/>
              </w:rPr>
            </w:pPr>
          </w:p>
          <w:p w:rsidR="005356B0" w:rsidP="005356B0" w:rsidRDefault="005356B0" w14:paraId="5715A3D8" w14:textId="77777777">
            <w:pPr>
              <w:spacing w:before="120"/>
              <w:jc w:val="center"/>
              <w:rPr>
                <w:color w:val="000000"/>
              </w:rPr>
            </w:pPr>
          </w:p>
          <w:p w:rsidRPr="003349DE" w:rsidR="005356B0" w:rsidP="005356B0" w:rsidRDefault="005356B0" w14:paraId="37C72A59" w14:textId="3EB79E67">
            <w:pPr>
              <w:spacing w:before="120"/>
              <w:jc w:val="center"/>
              <w:rPr>
                <w:color w:val="000000"/>
              </w:rPr>
            </w:pPr>
            <w:r>
              <w:rPr>
                <w:color w:val="000000"/>
              </w:rPr>
              <w:t>Noted</w:t>
            </w:r>
          </w:p>
        </w:tc>
      </w:tr>
      <w:tr w:rsidRPr="003349DE" w:rsidR="00B80E2F" w:rsidTr="005356B0" w14:paraId="2D088171" w14:textId="77777777">
        <w:tc>
          <w:tcPr>
            <w:tcW w:w="7555" w:type="dxa"/>
          </w:tcPr>
          <w:p w:rsidRPr="003349DE" w:rsidR="00B80E2F" w:rsidP="00902BA2" w:rsidRDefault="00B80E2F" w14:paraId="7F44743E" w14:textId="77777777">
            <w:pPr>
              <w:rPr>
                <w:color w:val="000000"/>
              </w:rPr>
            </w:pPr>
            <w:r w:rsidRPr="00080A79">
              <w:rPr>
                <w:b/>
                <w:color w:val="000000"/>
              </w:rPr>
              <w:t>b. Reasonableness of hours claimed:</w:t>
            </w:r>
            <w:r w:rsidRPr="003349DE">
              <w:rPr>
                <w:color w:val="000000"/>
              </w:rPr>
              <w:t xml:space="preserve"> </w:t>
            </w:r>
          </w:p>
          <w:p w:rsidRPr="003349DE" w:rsidR="00B80E2F" w:rsidP="00902BA2" w:rsidRDefault="00B80E2F" w14:paraId="002C7121" w14:textId="77777777">
            <w:pPr>
              <w:rPr>
                <w:color w:val="000000"/>
              </w:rPr>
            </w:pPr>
          </w:p>
          <w:p w:rsidR="000F4D3E" w:rsidP="00880EAA" w:rsidRDefault="00B80E2F" w14:paraId="7811D502" w14:textId="2EBEAACE">
            <w:pPr>
              <w:rPr>
                <w:color w:val="000000"/>
              </w:rPr>
            </w:pPr>
            <w:r w:rsidRPr="0055737E">
              <w:rPr>
                <w:color w:val="000000"/>
              </w:rPr>
              <w:t xml:space="preserve">This Request for Compensation includes </w:t>
            </w:r>
            <w:r w:rsidR="006001CE">
              <w:rPr>
                <w:color w:val="000000"/>
              </w:rPr>
              <w:t>almost</w:t>
            </w:r>
            <w:r w:rsidRPr="0055737E" w:rsidR="006001CE">
              <w:rPr>
                <w:color w:val="000000"/>
              </w:rPr>
              <w:t xml:space="preserve"> </w:t>
            </w:r>
            <w:r w:rsidRPr="00C53C7E" w:rsidR="00843CAF">
              <w:rPr>
                <w:color w:val="000000"/>
              </w:rPr>
              <w:t xml:space="preserve">490 </w:t>
            </w:r>
            <w:r w:rsidRPr="00C53C7E">
              <w:rPr>
                <w:color w:val="000000"/>
              </w:rPr>
              <w:t>hours</w:t>
            </w:r>
            <w:r w:rsidRPr="0055737E">
              <w:rPr>
                <w:color w:val="000000"/>
              </w:rPr>
              <w:t xml:space="preserve"> of</w:t>
            </w:r>
            <w:r>
              <w:rPr>
                <w:color w:val="000000"/>
              </w:rPr>
              <w:t xml:space="preserve"> </w:t>
            </w:r>
            <w:r w:rsidRPr="0055737E">
              <w:rPr>
                <w:color w:val="000000"/>
              </w:rPr>
              <w:t>TURN’s attorney</w:t>
            </w:r>
            <w:r w:rsidR="001D366B">
              <w:rPr>
                <w:color w:val="000000"/>
              </w:rPr>
              <w:t xml:space="preserve"> and expert</w:t>
            </w:r>
            <w:r w:rsidRPr="0055737E">
              <w:rPr>
                <w:color w:val="000000"/>
              </w:rPr>
              <w:t xml:space="preserve"> time</w:t>
            </w:r>
            <w:r w:rsidR="00D87560">
              <w:rPr>
                <w:color w:val="000000"/>
              </w:rPr>
              <w:t xml:space="preserve">. </w:t>
            </w:r>
          </w:p>
          <w:p w:rsidR="00E37967" w:rsidP="00902BA2" w:rsidRDefault="00E37967" w14:paraId="41DBD2E7" w14:textId="77777777">
            <w:pPr>
              <w:rPr>
                <w:color w:val="000000"/>
              </w:rPr>
            </w:pPr>
          </w:p>
          <w:p w:rsidRPr="00E44719" w:rsidR="00E44719" w:rsidP="00E44719" w:rsidRDefault="00E37967" w14:paraId="236947A9" w14:textId="3606AB4E">
            <w:r>
              <w:t>TURN Senior Staff</w:t>
            </w:r>
            <w:r w:rsidR="002C3397">
              <w:t xml:space="preserve"> </w:t>
            </w:r>
            <w:r>
              <w:t>Attorney, Elise Torres</w:t>
            </w:r>
            <w:r w:rsidR="00E44719">
              <w:t>, s</w:t>
            </w:r>
            <w:r w:rsidRPr="00E44719" w:rsidR="00E44719">
              <w:t>erved as TURN’s primary attorney</w:t>
            </w:r>
            <w:r w:rsidR="00E44719">
              <w:t xml:space="preserve"> </w:t>
            </w:r>
            <w:r w:rsidRPr="00E44719" w:rsidR="00E44719">
              <w:t xml:space="preserve">throughout </w:t>
            </w:r>
            <w:r w:rsidR="00E44719">
              <w:t>the proceeding</w:t>
            </w:r>
            <w:r w:rsidRPr="00E44719" w:rsidR="00E44719">
              <w:t xml:space="preserve">, with </w:t>
            </w:r>
            <w:r w:rsidR="003F11CF">
              <w:t>Senior Staff Attorney</w:t>
            </w:r>
            <w:r w:rsidRPr="00E44719" w:rsidR="003F11CF">
              <w:t xml:space="preserve"> </w:t>
            </w:r>
            <w:r w:rsidRPr="00E44719" w:rsidR="00E44719">
              <w:t xml:space="preserve">Matthew Freedman serving as TURN’s </w:t>
            </w:r>
            <w:r w:rsidR="005A2FD0">
              <w:t xml:space="preserve">primary </w:t>
            </w:r>
            <w:r w:rsidRPr="00E44719" w:rsidR="00E44719">
              <w:t>expert witness.</w:t>
            </w:r>
            <w:r w:rsidR="002C3397">
              <w:t xml:space="preserve"> Given the compressed schedule for this proceeding</w:t>
            </w:r>
            <w:r w:rsidR="001F0949">
              <w:t>, the fact that PG&amp;E requested authorization for over $3 billion</w:t>
            </w:r>
            <w:r w:rsidR="002C3397">
              <w:t xml:space="preserve"> </w:t>
            </w:r>
            <w:r w:rsidR="001F0949">
              <w:t xml:space="preserve">in additional spending, </w:t>
            </w:r>
            <w:r w:rsidR="002C3397">
              <w:t xml:space="preserve">and the </w:t>
            </w:r>
            <w:proofErr w:type="gramStart"/>
            <w:r w:rsidR="002C3397">
              <w:t>myriad</w:t>
            </w:r>
            <w:proofErr w:type="gramEnd"/>
            <w:r w:rsidR="002C3397">
              <w:t xml:space="preserve"> of important issues, TURN also retained a consultant to serve as an expert witness, Jessica Hetch, covering different issues than Mr. Freedman</w:t>
            </w:r>
            <w:r w:rsidR="007B7915">
              <w:t>.</w:t>
            </w:r>
          </w:p>
          <w:p w:rsidR="00D87560" w:rsidP="00902BA2" w:rsidRDefault="00D87560" w14:paraId="0F83AC05" w14:textId="18EEEB46">
            <w:pPr>
              <w:rPr>
                <w:color w:val="000000"/>
              </w:rPr>
            </w:pPr>
          </w:p>
          <w:p w:rsidRPr="00DE32BA" w:rsidR="00C2497B" w:rsidP="00C53C7E" w:rsidRDefault="007748A9" w14:paraId="754DEA40" w14:textId="072D16E0">
            <w:pPr>
              <w:pStyle w:val="p1"/>
              <w:rPr>
                <w:sz w:val="24"/>
                <w:szCs w:val="24"/>
              </w:rPr>
            </w:pPr>
            <w:r w:rsidRPr="00DE32BA">
              <w:rPr>
                <w:sz w:val="24"/>
                <w:szCs w:val="24"/>
              </w:rPr>
              <w:t>Mr. Freedman generally took the</w:t>
            </w:r>
            <w:r w:rsidR="00C53C7E">
              <w:rPr>
                <w:sz w:val="24"/>
                <w:szCs w:val="24"/>
              </w:rPr>
              <w:t xml:space="preserve"> </w:t>
            </w:r>
            <w:r w:rsidRPr="00DE32BA">
              <w:rPr>
                <w:sz w:val="24"/>
                <w:szCs w:val="24"/>
              </w:rPr>
              <w:t>lead on evaluating the activities PG&amp;E proposed to include in the new SB</w:t>
            </w:r>
            <w:r w:rsidR="00C53C7E">
              <w:rPr>
                <w:sz w:val="24"/>
                <w:szCs w:val="24"/>
              </w:rPr>
              <w:t xml:space="preserve"> </w:t>
            </w:r>
            <w:r w:rsidRPr="00DE32BA">
              <w:rPr>
                <w:sz w:val="24"/>
                <w:szCs w:val="24"/>
              </w:rPr>
              <w:t xml:space="preserve">410 ratemaking mechanism and </w:t>
            </w:r>
            <w:r w:rsidR="00DE32BA">
              <w:rPr>
                <w:sz w:val="24"/>
                <w:szCs w:val="24"/>
              </w:rPr>
              <w:t>the reasonableness of PG&amp;E’s forecasts</w:t>
            </w:r>
            <w:r w:rsidRPr="00DE32BA">
              <w:rPr>
                <w:sz w:val="24"/>
                <w:szCs w:val="24"/>
              </w:rPr>
              <w:t xml:space="preserve">. Mr. Freedman also covered </w:t>
            </w:r>
            <w:r w:rsidR="00AA53E2">
              <w:rPr>
                <w:sz w:val="24"/>
                <w:szCs w:val="24"/>
              </w:rPr>
              <w:t xml:space="preserve">PG&amp;E’s labor forecast and the inclusion of DER projects. </w:t>
            </w:r>
            <w:r w:rsidRPr="00DE32BA">
              <w:rPr>
                <w:sz w:val="24"/>
                <w:szCs w:val="24"/>
              </w:rPr>
              <w:t>Mr. Freedman took</w:t>
            </w:r>
            <w:r w:rsidR="00DE32BA">
              <w:rPr>
                <w:sz w:val="24"/>
                <w:szCs w:val="24"/>
              </w:rPr>
              <w:t xml:space="preserve"> </w:t>
            </w:r>
            <w:r w:rsidRPr="00DE32BA">
              <w:rPr>
                <w:sz w:val="24"/>
                <w:szCs w:val="24"/>
              </w:rPr>
              <w:t>primary responsibility for drafting TURN’s testimony, briefs</w:t>
            </w:r>
            <w:r w:rsidR="00C2497B">
              <w:rPr>
                <w:sz w:val="24"/>
                <w:szCs w:val="24"/>
              </w:rPr>
              <w:t xml:space="preserve">, and </w:t>
            </w:r>
            <w:r w:rsidRPr="00DE32BA" w:rsidR="00C2497B">
              <w:rPr>
                <w:sz w:val="24"/>
                <w:szCs w:val="24"/>
              </w:rPr>
              <w:t>comments on the proposed decision</w:t>
            </w:r>
            <w:r w:rsidR="00DE32BA">
              <w:rPr>
                <w:sz w:val="24"/>
                <w:szCs w:val="24"/>
              </w:rPr>
              <w:t xml:space="preserve"> on </w:t>
            </w:r>
            <w:proofErr w:type="gramStart"/>
            <w:r w:rsidR="00DE32BA">
              <w:rPr>
                <w:sz w:val="24"/>
                <w:szCs w:val="24"/>
              </w:rPr>
              <w:t>the these</w:t>
            </w:r>
            <w:proofErr w:type="gramEnd"/>
            <w:r w:rsidR="00DE32BA">
              <w:rPr>
                <w:sz w:val="24"/>
                <w:szCs w:val="24"/>
              </w:rPr>
              <w:t xml:space="preserve"> issues.</w:t>
            </w:r>
            <w:r w:rsidR="00AA53E2">
              <w:rPr>
                <w:sz w:val="24"/>
                <w:szCs w:val="24"/>
              </w:rPr>
              <w:t xml:space="preserve"> </w:t>
            </w:r>
            <w:r w:rsidRPr="00DE32BA">
              <w:rPr>
                <w:sz w:val="24"/>
                <w:szCs w:val="24"/>
              </w:rPr>
              <w:t xml:space="preserve">Ms. </w:t>
            </w:r>
            <w:r w:rsidR="00DE32BA">
              <w:rPr>
                <w:sz w:val="24"/>
                <w:szCs w:val="24"/>
              </w:rPr>
              <w:t xml:space="preserve">Hecht </w:t>
            </w:r>
            <w:r w:rsidRPr="00DE32BA">
              <w:rPr>
                <w:sz w:val="24"/>
                <w:szCs w:val="24"/>
              </w:rPr>
              <w:t>generally took the lead on developing TURN’s positions related</w:t>
            </w:r>
            <w:r w:rsidR="00AA53E2">
              <w:rPr>
                <w:sz w:val="24"/>
                <w:szCs w:val="24"/>
              </w:rPr>
              <w:t xml:space="preserve"> </w:t>
            </w:r>
            <w:r w:rsidRPr="00DE32BA">
              <w:rPr>
                <w:sz w:val="24"/>
                <w:szCs w:val="24"/>
              </w:rPr>
              <w:t xml:space="preserve">to the </w:t>
            </w:r>
            <w:r w:rsidR="00DE32BA">
              <w:rPr>
                <w:sz w:val="24"/>
                <w:szCs w:val="24"/>
              </w:rPr>
              <w:t xml:space="preserve">compliance with past decisions </w:t>
            </w:r>
            <w:r w:rsidRPr="00DE32BA">
              <w:rPr>
                <w:sz w:val="24"/>
                <w:szCs w:val="24"/>
              </w:rPr>
              <w:t>as well as the affordability of</w:t>
            </w:r>
            <w:r w:rsidR="00AA53E2">
              <w:rPr>
                <w:sz w:val="24"/>
                <w:szCs w:val="24"/>
              </w:rPr>
              <w:t xml:space="preserve"> </w:t>
            </w:r>
            <w:r w:rsidRPr="00DE32BA">
              <w:rPr>
                <w:sz w:val="24"/>
                <w:szCs w:val="24"/>
              </w:rPr>
              <w:t>PG&amp;E’s proposed cap</w:t>
            </w:r>
            <w:r w:rsidR="00AA53E2">
              <w:rPr>
                <w:sz w:val="24"/>
                <w:szCs w:val="24"/>
              </w:rPr>
              <w:t>s</w:t>
            </w:r>
            <w:r w:rsidRPr="00DE32BA">
              <w:rPr>
                <w:sz w:val="24"/>
                <w:szCs w:val="24"/>
              </w:rPr>
              <w:t xml:space="preserve"> and associated policy implications. </w:t>
            </w:r>
            <w:r w:rsidR="00C2497B">
              <w:rPr>
                <w:sz w:val="24"/>
                <w:szCs w:val="24"/>
              </w:rPr>
              <w:t xml:space="preserve">Ms. Hecht </w:t>
            </w:r>
            <w:r w:rsidRPr="00DE32BA" w:rsidR="00C2497B">
              <w:rPr>
                <w:sz w:val="24"/>
                <w:szCs w:val="24"/>
              </w:rPr>
              <w:t>took</w:t>
            </w:r>
            <w:r w:rsidR="00C2497B">
              <w:rPr>
                <w:sz w:val="24"/>
                <w:szCs w:val="24"/>
              </w:rPr>
              <w:t xml:space="preserve"> </w:t>
            </w:r>
            <w:r w:rsidRPr="00DE32BA" w:rsidR="00C2497B">
              <w:rPr>
                <w:sz w:val="24"/>
                <w:szCs w:val="24"/>
              </w:rPr>
              <w:t>primary responsibility for drafting TURN’s testimony</w:t>
            </w:r>
            <w:r w:rsidR="00C2497B">
              <w:rPr>
                <w:sz w:val="24"/>
                <w:szCs w:val="24"/>
              </w:rPr>
              <w:t xml:space="preserve"> on </w:t>
            </w:r>
            <w:proofErr w:type="gramStart"/>
            <w:r w:rsidR="00C2497B">
              <w:rPr>
                <w:sz w:val="24"/>
                <w:szCs w:val="24"/>
              </w:rPr>
              <w:t>the these</w:t>
            </w:r>
            <w:proofErr w:type="gramEnd"/>
            <w:r w:rsidR="00C2497B">
              <w:rPr>
                <w:sz w:val="24"/>
                <w:szCs w:val="24"/>
              </w:rPr>
              <w:t xml:space="preserve"> issues and worked with Ms. Torres to brief these issues.</w:t>
            </w:r>
          </w:p>
          <w:p w:rsidR="00C2497B" w:rsidP="00C2497B" w:rsidRDefault="00C2497B" w14:paraId="4D847048" w14:textId="77777777">
            <w:pPr>
              <w:pStyle w:val="p1"/>
              <w:rPr>
                <w:sz w:val="24"/>
                <w:szCs w:val="24"/>
              </w:rPr>
            </w:pPr>
          </w:p>
          <w:p w:rsidRPr="00E65D20" w:rsidR="00427DED" w:rsidP="00E65D20" w:rsidRDefault="00C2497B" w14:paraId="43894046" w14:textId="3E5412A1">
            <w:pPr>
              <w:rPr>
                <w:rFonts w:asciiTheme="majorBidi" w:hAnsiTheme="majorBidi" w:cstheme="majorBidi"/>
                <w:color w:val="000000" w:themeColor="text1"/>
              </w:rPr>
            </w:pPr>
            <w:r w:rsidRPr="00DE32BA">
              <w:t>Consistent with her primary role as TURN’s attorney,</w:t>
            </w:r>
            <w:r w:rsidR="00AA53E2">
              <w:t xml:space="preserve"> Ms. Torres</w:t>
            </w:r>
            <w:r w:rsidRPr="00DE32BA">
              <w:t xml:space="preserve"> represented TURN in interactions with the Commission and other parties,</w:t>
            </w:r>
            <w:r>
              <w:t xml:space="preserve"> </w:t>
            </w:r>
            <w:r>
              <w:lastRenderedPageBreak/>
              <w:t>i</w:t>
            </w:r>
            <w:r w:rsidRPr="00DE32BA">
              <w:t>ncluding at the PHC, status conferences, and various</w:t>
            </w:r>
            <w:r>
              <w:t xml:space="preserve"> </w:t>
            </w:r>
            <w:r w:rsidRPr="00DE32BA">
              <w:t>meet and confers required by the ALJs</w:t>
            </w:r>
            <w:r>
              <w:t xml:space="preserve">. </w:t>
            </w:r>
            <w:r w:rsidRPr="00DE32BA" w:rsidR="007748A9">
              <w:t xml:space="preserve">Ms. Torres took primary responsibility for drafting TURN’s </w:t>
            </w:r>
            <w:r>
              <w:t>response to PG&amp;E’s motion (</w:t>
            </w:r>
            <w:r w:rsidRPr="00DE32BA">
              <w:t xml:space="preserve">with </w:t>
            </w:r>
            <w:r>
              <w:t xml:space="preserve">help and </w:t>
            </w:r>
            <w:r w:rsidRPr="00DE32BA">
              <w:t>feedback from Ms. Goodson</w:t>
            </w:r>
            <w:r w:rsidR="00D94DC7">
              <w:t xml:space="preserve"> and assistance from Ms. Montoya</w:t>
            </w:r>
            <w:r>
              <w:t>), legal issues in the brief</w:t>
            </w:r>
            <w:r w:rsidR="009B76F3">
              <w:t>,</w:t>
            </w:r>
            <w:r>
              <w:t xml:space="preserve"> </w:t>
            </w:r>
            <w:r w:rsidRPr="00DE32BA" w:rsidR="007748A9">
              <w:t xml:space="preserve">and comments on the proposed decision related to </w:t>
            </w:r>
            <w:r>
              <w:t xml:space="preserve">compliance and affordability. </w:t>
            </w:r>
            <w:r w:rsidRPr="00DE32BA" w:rsidR="007748A9">
              <w:t>Ms.</w:t>
            </w:r>
            <w:r w:rsidR="00D94DC7">
              <w:t xml:space="preserve"> Torres </w:t>
            </w:r>
            <w:r w:rsidRPr="00DE32BA" w:rsidR="007748A9">
              <w:t xml:space="preserve">further advised Mr. Freedman and Ms. </w:t>
            </w:r>
            <w:r w:rsidR="00D94DC7">
              <w:t>Hecht</w:t>
            </w:r>
            <w:r w:rsidR="00650296">
              <w:t xml:space="preserve"> on testimony</w:t>
            </w:r>
            <w:r w:rsidR="00D94DC7">
              <w:t xml:space="preserve"> </w:t>
            </w:r>
            <w:r w:rsidRPr="00DE32BA" w:rsidR="007748A9">
              <w:t>and oversaw the</w:t>
            </w:r>
            <w:r w:rsidR="00D94DC7">
              <w:t xml:space="preserve"> </w:t>
            </w:r>
            <w:r w:rsidRPr="00DE32BA" w:rsidR="007748A9">
              <w:t>development of TURN’s positions. She guided the allocation of work</w:t>
            </w:r>
            <w:r w:rsidR="00D94DC7">
              <w:t xml:space="preserve"> r</w:t>
            </w:r>
            <w:r w:rsidRPr="00DE32BA" w:rsidR="007748A9">
              <w:t xml:space="preserve">esponsibilities between Mr. Freedman and Ms. </w:t>
            </w:r>
            <w:r w:rsidR="00D94DC7">
              <w:t xml:space="preserve">Hecht </w:t>
            </w:r>
            <w:r w:rsidRPr="00DE32BA" w:rsidR="007748A9">
              <w:t>and coordination of</w:t>
            </w:r>
            <w:r w:rsidR="00D94DC7">
              <w:t xml:space="preserve"> T</w:t>
            </w:r>
            <w:r w:rsidRPr="00DE32BA" w:rsidR="007748A9">
              <w:t xml:space="preserve">URN’s efforts across the small team, </w:t>
            </w:r>
            <w:proofErr w:type="gramStart"/>
            <w:r w:rsidRPr="00DE32BA" w:rsidR="007748A9">
              <w:t>so as to</w:t>
            </w:r>
            <w:proofErr w:type="gramEnd"/>
            <w:r w:rsidRPr="00DE32BA" w:rsidR="007748A9">
              <w:t xml:space="preserve"> allow TURN to </w:t>
            </w:r>
            <w:proofErr w:type="gramStart"/>
            <w:r w:rsidRPr="00DE32BA" w:rsidR="007748A9">
              <w:t>efficiency</w:t>
            </w:r>
            <w:proofErr w:type="gramEnd"/>
            <w:r w:rsidR="00D94DC7">
              <w:t xml:space="preserve"> </w:t>
            </w:r>
            <w:r w:rsidRPr="00DE32BA" w:rsidR="007748A9">
              <w:t xml:space="preserve">examine and address as many issues as possible. Ms. </w:t>
            </w:r>
            <w:r w:rsidR="00D94DC7">
              <w:t xml:space="preserve">Torres </w:t>
            </w:r>
            <w:r w:rsidRPr="00DE32BA" w:rsidR="007748A9">
              <w:t>also provid</w:t>
            </w:r>
            <w:r w:rsidR="00D94DC7">
              <w:t>ed</w:t>
            </w:r>
            <w:r w:rsidRPr="00DE32BA" w:rsidR="007748A9">
              <w:t xml:space="preserve"> strategic guidance related to</w:t>
            </w:r>
            <w:r w:rsidR="00D94DC7">
              <w:t xml:space="preserve"> r</w:t>
            </w:r>
            <w:r w:rsidRPr="00DE32BA" w:rsidR="007748A9">
              <w:t xml:space="preserve">esponding to other parties’ briefs and </w:t>
            </w:r>
            <w:proofErr w:type="gramStart"/>
            <w:r w:rsidRPr="00DE32BA" w:rsidR="007748A9">
              <w:t>comments, and</w:t>
            </w:r>
            <w:proofErr w:type="gramEnd"/>
            <w:r w:rsidRPr="00DE32BA" w:rsidR="007748A9">
              <w:t xml:space="preserve"> otherwise ensuring</w:t>
            </w:r>
            <w:r w:rsidR="00D94DC7">
              <w:t xml:space="preserve"> </w:t>
            </w:r>
            <w:r w:rsidRPr="00DE32BA" w:rsidR="007748A9">
              <w:t>that TURN’s participation in this proceeding would result in quality</w:t>
            </w:r>
            <w:r w:rsidR="00D94DC7">
              <w:t xml:space="preserve"> </w:t>
            </w:r>
            <w:r w:rsidRPr="00DE32BA" w:rsidR="00650296">
              <w:t>work product</w:t>
            </w:r>
            <w:r w:rsidRPr="00DE32BA" w:rsidR="007748A9">
              <w:t xml:space="preserve"> and assist the Commission in making its decision</w:t>
            </w:r>
            <w:r w:rsidR="00D94DC7">
              <w:t xml:space="preserve">. Ms. Torres also oversaw Ms. Montoya’s work on </w:t>
            </w:r>
            <w:r w:rsidR="002D3298">
              <w:t xml:space="preserve">discovery, the sections of the response to PG&amp;E’s motion that were assigned to her, and her </w:t>
            </w:r>
            <w:r w:rsidR="002D3298">
              <w:rPr>
                <w:rFonts w:asciiTheme="majorBidi" w:hAnsiTheme="majorBidi" w:cstheme="majorBidi"/>
                <w:color w:val="000000" w:themeColor="text1"/>
              </w:rPr>
              <w:t xml:space="preserve">drafting of TURN’s motion for party status and motion to admit exhibits. </w:t>
            </w:r>
            <w:r w:rsidRPr="00DB7B16" w:rsidR="00E65D20">
              <w:rPr>
                <w:rFonts w:asciiTheme="majorBidi" w:hAnsiTheme="majorBidi" w:cstheme="majorBidi"/>
                <w:color w:val="000000" w:themeColor="text1"/>
              </w:rPr>
              <w:t xml:space="preserve">Given Ms. Montoya's junior status and lower billing rate, it is reasonable for </w:t>
            </w:r>
            <w:r w:rsidR="00E65D20">
              <w:rPr>
                <w:rFonts w:asciiTheme="majorBidi" w:hAnsiTheme="majorBidi" w:cstheme="majorBidi"/>
                <w:color w:val="000000" w:themeColor="text1"/>
              </w:rPr>
              <w:t xml:space="preserve">a senior attorney to oversee her work. </w:t>
            </w:r>
          </w:p>
          <w:p w:rsidR="00120803" w:rsidP="007B21D5" w:rsidRDefault="00120803" w14:paraId="7773B0A2" w14:textId="17B944B4">
            <w:pPr>
              <w:rPr>
                <w:color w:val="000000"/>
              </w:rPr>
            </w:pPr>
          </w:p>
          <w:p w:rsidR="00CE4BA3" w:rsidP="00611B2D" w:rsidRDefault="00606BBC" w14:paraId="0AF4D8A3" w14:textId="0548F25B">
            <w:pPr>
              <w:autoSpaceDE w:val="0"/>
              <w:autoSpaceDN w:val="0"/>
              <w:adjustRightInd w:val="0"/>
              <w:rPr>
                <w:rFonts w:asciiTheme="majorBidi" w:hAnsiTheme="majorBidi" w:cstheme="majorBidi"/>
                <w:color w:val="000000" w:themeColor="text1"/>
              </w:rPr>
            </w:pPr>
            <w:r>
              <w:rPr>
                <w:rFonts w:asciiTheme="majorBidi" w:hAnsiTheme="majorBidi" w:cstheme="majorBidi"/>
                <w:color w:val="000000" w:themeColor="text1"/>
              </w:rPr>
              <w:t>Isabella</w:t>
            </w:r>
            <w:r w:rsidRPr="00313191" w:rsidR="00CE4BA3">
              <w:rPr>
                <w:rFonts w:asciiTheme="majorBidi" w:hAnsiTheme="majorBidi" w:cstheme="majorBidi"/>
                <w:color w:val="000000" w:themeColor="text1"/>
              </w:rPr>
              <w:t xml:space="preserve"> Montoya</w:t>
            </w:r>
            <w:r w:rsidR="002A0189">
              <w:rPr>
                <w:rFonts w:asciiTheme="majorBidi" w:hAnsiTheme="majorBidi" w:cstheme="majorBidi"/>
                <w:color w:val="000000" w:themeColor="text1"/>
              </w:rPr>
              <w:t>, TURN’s U</w:t>
            </w:r>
            <w:r w:rsidRPr="00313191" w:rsidR="00CE4BA3">
              <w:rPr>
                <w:rFonts w:asciiTheme="majorBidi" w:hAnsiTheme="majorBidi" w:cstheme="majorBidi"/>
                <w:color w:val="000000" w:themeColor="text1"/>
              </w:rPr>
              <w:t>tility Justice Legal Fellow</w:t>
            </w:r>
            <w:r w:rsidR="00D7749A">
              <w:rPr>
                <w:rFonts w:asciiTheme="majorBidi" w:hAnsiTheme="majorBidi" w:cstheme="majorBidi"/>
                <w:color w:val="000000" w:themeColor="text1"/>
              </w:rPr>
              <w:t>,</w:t>
            </w:r>
            <w:r w:rsidRPr="00313191" w:rsidR="00CE4BA3">
              <w:rPr>
                <w:rFonts w:asciiTheme="majorBidi" w:hAnsiTheme="majorBidi" w:cstheme="majorBidi"/>
                <w:color w:val="000000" w:themeColor="text1"/>
              </w:rPr>
              <w:t xml:space="preserve"> who has a JD and Masters in Energy Regulation and Law</w:t>
            </w:r>
            <w:r w:rsidR="00650296">
              <w:rPr>
                <w:rFonts w:asciiTheme="majorBidi" w:hAnsiTheme="majorBidi" w:cstheme="majorBidi"/>
                <w:color w:val="000000" w:themeColor="text1"/>
              </w:rPr>
              <w:t>,</w:t>
            </w:r>
            <w:r w:rsidRPr="00313191" w:rsidR="00CE4BA3">
              <w:rPr>
                <w:rFonts w:asciiTheme="majorBidi" w:hAnsiTheme="majorBidi" w:cstheme="majorBidi"/>
                <w:color w:val="000000" w:themeColor="text1"/>
              </w:rPr>
              <w:t xml:space="preserve"> assisted Ms. Torres</w:t>
            </w:r>
            <w:r w:rsidR="002A0189">
              <w:rPr>
                <w:rFonts w:asciiTheme="majorBidi" w:hAnsiTheme="majorBidi" w:cstheme="majorBidi"/>
                <w:color w:val="000000" w:themeColor="text1"/>
              </w:rPr>
              <w:t xml:space="preserve"> and Mr. Free</w:t>
            </w:r>
            <w:r w:rsidR="005A2FD0">
              <w:rPr>
                <w:rFonts w:asciiTheme="majorBidi" w:hAnsiTheme="majorBidi" w:cstheme="majorBidi"/>
                <w:color w:val="000000" w:themeColor="text1"/>
              </w:rPr>
              <w:t>d</w:t>
            </w:r>
            <w:r w:rsidR="002A0189">
              <w:rPr>
                <w:rFonts w:asciiTheme="majorBidi" w:hAnsiTheme="majorBidi" w:cstheme="majorBidi"/>
                <w:color w:val="000000" w:themeColor="text1"/>
              </w:rPr>
              <w:t>man</w:t>
            </w:r>
            <w:r w:rsidRPr="00313191" w:rsidR="00CE4BA3">
              <w:rPr>
                <w:rFonts w:asciiTheme="majorBidi" w:hAnsiTheme="majorBidi" w:cstheme="majorBidi"/>
                <w:color w:val="000000" w:themeColor="text1"/>
              </w:rPr>
              <w:t xml:space="preserve"> with </w:t>
            </w:r>
            <w:r w:rsidR="00611B2D">
              <w:rPr>
                <w:rFonts w:asciiTheme="majorBidi" w:hAnsiTheme="majorBidi" w:cstheme="majorBidi"/>
                <w:color w:val="000000" w:themeColor="text1"/>
              </w:rPr>
              <w:t xml:space="preserve">this proceeding including drafting data requests and reviewing responses and </w:t>
            </w:r>
            <w:r w:rsidRPr="00313191" w:rsidR="00CE4BA3">
              <w:rPr>
                <w:rFonts w:asciiTheme="majorBidi" w:hAnsiTheme="majorBidi" w:cstheme="majorBidi"/>
                <w:color w:val="000000" w:themeColor="text1"/>
              </w:rPr>
              <w:t xml:space="preserve">researching and drafting TURN’s Response to </w:t>
            </w:r>
            <w:r w:rsidR="00611B2D">
              <w:rPr>
                <w:rFonts w:asciiTheme="majorBidi" w:hAnsiTheme="majorBidi" w:cstheme="majorBidi"/>
                <w:color w:val="000000" w:themeColor="text1"/>
              </w:rPr>
              <w:t xml:space="preserve">PG&amp;E’s </w:t>
            </w:r>
            <w:r w:rsidR="002A0189">
              <w:rPr>
                <w:rFonts w:asciiTheme="majorBidi" w:hAnsiTheme="majorBidi" w:cstheme="majorBidi"/>
                <w:color w:val="000000" w:themeColor="text1"/>
              </w:rPr>
              <w:t>Motion</w:t>
            </w:r>
            <w:r w:rsidR="00611B2D">
              <w:rPr>
                <w:rFonts w:asciiTheme="majorBidi" w:hAnsiTheme="majorBidi" w:cstheme="majorBidi"/>
                <w:color w:val="000000" w:themeColor="text1"/>
              </w:rPr>
              <w:t xml:space="preserve"> to Increase its 2025 and 2026 Cost Caps</w:t>
            </w:r>
            <w:r w:rsidR="00653212">
              <w:rPr>
                <w:rFonts w:asciiTheme="majorBidi" w:hAnsiTheme="majorBidi" w:cstheme="majorBidi"/>
                <w:color w:val="000000" w:themeColor="text1"/>
              </w:rPr>
              <w:t xml:space="preserve">. She </w:t>
            </w:r>
            <w:r w:rsidR="00611B2D">
              <w:rPr>
                <w:rFonts w:asciiTheme="majorBidi" w:hAnsiTheme="majorBidi" w:cstheme="majorBidi"/>
                <w:color w:val="000000" w:themeColor="text1"/>
              </w:rPr>
              <w:t xml:space="preserve">also </w:t>
            </w:r>
            <w:r w:rsidR="00D04BF8">
              <w:rPr>
                <w:rFonts w:asciiTheme="majorBidi" w:hAnsiTheme="majorBidi" w:cstheme="majorBidi"/>
                <w:color w:val="000000" w:themeColor="text1"/>
              </w:rPr>
              <w:t xml:space="preserve">researched and </w:t>
            </w:r>
            <w:r w:rsidR="00653212">
              <w:rPr>
                <w:rFonts w:asciiTheme="majorBidi" w:hAnsiTheme="majorBidi" w:cstheme="majorBidi"/>
                <w:color w:val="000000" w:themeColor="text1"/>
              </w:rPr>
              <w:t xml:space="preserve">drafted TURN’s motion for party status and </w:t>
            </w:r>
            <w:r w:rsidR="00D133FD">
              <w:rPr>
                <w:rFonts w:asciiTheme="majorBidi" w:hAnsiTheme="majorBidi" w:cstheme="majorBidi"/>
                <w:color w:val="000000" w:themeColor="text1"/>
              </w:rPr>
              <w:t xml:space="preserve">motion to admit exhibits. </w:t>
            </w:r>
          </w:p>
          <w:p w:rsidR="00880EAA" w:rsidP="00611B2D" w:rsidRDefault="00880EAA" w14:paraId="3985CDAD" w14:textId="77777777">
            <w:pPr>
              <w:autoSpaceDE w:val="0"/>
              <w:autoSpaceDN w:val="0"/>
              <w:adjustRightInd w:val="0"/>
              <w:rPr>
                <w:rFonts w:asciiTheme="majorBidi" w:hAnsiTheme="majorBidi" w:cstheme="majorBidi"/>
                <w:color w:val="000000" w:themeColor="text1"/>
              </w:rPr>
            </w:pPr>
          </w:p>
          <w:p w:rsidRPr="006228B9" w:rsidR="00880EAA" w:rsidP="006228B9" w:rsidRDefault="00880EAA" w14:paraId="1F5B70DC" w14:textId="3C63B34E">
            <w:pPr>
              <w:pStyle w:val="p1"/>
              <w:rPr>
                <w:sz w:val="24"/>
                <w:szCs w:val="24"/>
              </w:rPr>
            </w:pPr>
            <w:r w:rsidRPr="009943BD">
              <w:rPr>
                <w:sz w:val="24"/>
                <w:szCs w:val="24"/>
              </w:rPr>
              <w:t>This request also includes limited time</w:t>
            </w:r>
            <w:r w:rsidR="006A10DC">
              <w:rPr>
                <w:sz w:val="24"/>
                <w:szCs w:val="24"/>
              </w:rPr>
              <w:t xml:space="preserve"> (9.5 hours)</w:t>
            </w:r>
            <w:r w:rsidRPr="009943BD">
              <w:rPr>
                <w:sz w:val="24"/>
                <w:szCs w:val="24"/>
              </w:rPr>
              <w:t xml:space="preserve"> for TURN Managing Attorney Hayley Goodson</w:t>
            </w:r>
            <w:r w:rsidR="00D04BF8">
              <w:rPr>
                <w:sz w:val="24"/>
                <w:szCs w:val="24"/>
              </w:rPr>
              <w:t>,</w:t>
            </w:r>
            <w:r w:rsidRPr="009943BD">
              <w:rPr>
                <w:sz w:val="24"/>
                <w:szCs w:val="24"/>
              </w:rPr>
              <w:t xml:space="preserve"> who served as TURN’s primary attorney </w:t>
            </w:r>
            <w:r w:rsidR="00D04BF8">
              <w:rPr>
                <w:sz w:val="24"/>
                <w:szCs w:val="24"/>
              </w:rPr>
              <w:t xml:space="preserve">in the </w:t>
            </w:r>
            <w:r w:rsidR="002570D1">
              <w:rPr>
                <w:sz w:val="24"/>
                <w:szCs w:val="24"/>
              </w:rPr>
              <w:t xml:space="preserve">proceeding addressing </w:t>
            </w:r>
            <w:r w:rsidRPr="009943BD">
              <w:rPr>
                <w:sz w:val="24"/>
                <w:szCs w:val="24"/>
              </w:rPr>
              <w:t xml:space="preserve">PG&amp;E’s first request for interim funding authorization for energization projects. Ms. Goodson primarily devoted time to this proceeding when </w:t>
            </w:r>
            <w:r w:rsidRPr="009943BD" w:rsidR="00D22B82">
              <w:rPr>
                <w:sz w:val="24"/>
                <w:szCs w:val="24"/>
              </w:rPr>
              <w:t>PG&amp;E’s M</w:t>
            </w:r>
            <w:r w:rsidRPr="009943BD">
              <w:rPr>
                <w:sz w:val="24"/>
                <w:szCs w:val="24"/>
              </w:rPr>
              <w:t xml:space="preserve">otion </w:t>
            </w:r>
            <w:r w:rsidRPr="009943BD" w:rsidR="00D22B82">
              <w:rPr>
                <w:sz w:val="24"/>
                <w:szCs w:val="24"/>
              </w:rPr>
              <w:t xml:space="preserve">to increase the cost caps </w:t>
            </w:r>
            <w:r w:rsidRPr="009943BD">
              <w:rPr>
                <w:sz w:val="24"/>
                <w:szCs w:val="24"/>
              </w:rPr>
              <w:t xml:space="preserve">was first filed </w:t>
            </w:r>
            <w:r w:rsidR="009943BD">
              <w:rPr>
                <w:sz w:val="24"/>
                <w:szCs w:val="24"/>
              </w:rPr>
              <w:t xml:space="preserve">and </w:t>
            </w:r>
            <w:r w:rsidRPr="009943BD" w:rsidR="00B748C5">
              <w:rPr>
                <w:sz w:val="24"/>
                <w:szCs w:val="24"/>
              </w:rPr>
              <w:t>TURN’s resources were already spread very thin due to other casework</w:t>
            </w:r>
            <w:r w:rsidR="00C12D74">
              <w:rPr>
                <w:sz w:val="24"/>
                <w:szCs w:val="24"/>
              </w:rPr>
              <w:t xml:space="preserve"> and Mr. Freedman was </w:t>
            </w:r>
            <w:r w:rsidR="006228B9">
              <w:rPr>
                <w:sz w:val="24"/>
                <w:szCs w:val="24"/>
              </w:rPr>
              <w:t>unavailable</w:t>
            </w:r>
            <w:r w:rsidR="009943BD">
              <w:rPr>
                <w:sz w:val="24"/>
                <w:szCs w:val="24"/>
              </w:rPr>
              <w:t>.</w:t>
            </w:r>
            <w:r w:rsidRPr="00EB302A">
              <w:rPr>
                <w:sz w:val="24"/>
                <w:szCs w:val="24"/>
              </w:rPr>
              <w:t xml:space="preserve"> </w:t>
            </w:r>
            <w:r w:rsidR="00390F3C">
              <w:rPr>
                <w:sz w:val="24"/>
                <w:szCs w:val="24"/>
              </w:rPr>
              <w:t xml:space="preserve">Given the short period of time TURN had to prepare a response to the motion addressing </w:t>
            </w:r>
            <w:r w:rsidR="008F7549">
              <w:rPr>
                <w:sz w:val="24"/>
                <w:szCs w:val="24"/>
              </w:rPr>
              <w:t>many issues</w:t>
            </w:r>
            <w:r w:rsidR="00C252A3">
              <w:rPr>
                <w:sz w:val="24"/>
                <w:szCs w:val="24"/>
              </w:rPr>
              <w:t xml:space="preserve"> and requesting </w:t>
            </w:r>
            <w:r w:rsidR="005B2B1A">
              <w:rPr>
                <w:sz w:val="24"/>
                <w:szCs w:val="24"/>
              </w:rPr>
              <w:t xml:space="preserve">authorization to spend </w:t>
            </w:r>
            <w:r w:rsidR="00875319">
              <w:rPr>
                <w:sz w:val="24"/>
                <w:szCs w:val="24"/>
              </w:rPr>
              <w:t>an addition $3 billion</w:t>
            </w:r>
            <w:r w:rsidR="00E51812">
              <w:rPr>
                <w:sz w:val="24"/>
                <w:szCs w:val="24"/>
              </w:rPr>
              <w:t xml:space="preserve">, it was reasonable for Ms. Goodson </w:t>
            </w:r>
            <w:r w:rsidR="008B1140">
              <w:rPr>
                <w:sz w:val="24"/>
                <w:szCs w:val="24"/>
              </w:rPr>
              <w:t>to assist Ms. Torres</w:t>
            </w:r>
            <w:r w:rsidR="006228B9">
              <w:rPr>
                <w:sz w:val="24"/>
                <w:szCs w:val="24"/>
              </w:rPr>
              <w:t xml:space="preserve"> with evaluating PG&amp;E’s motion and drafting the response, given her familiarity with PG&amp;E’s original request and D.24-07-008.</w:t>
            </w:r>
          </w:p>
          <w:p w:rsidR="006B05CA" w:rsidP="007B21D5" w:rsidRDefault="006B05CA" w14:paraId="21F0B968" w14:textId="77777777">
            <w:pPr>
              <w:rPr>
                <w:color w:val="000000"/>
              </w:rPr>
            </w:pPr>
          </w:p>
          <w:p w:rsidR="00D87560" w:rsidP="006A10DC" w:rsidRDefault="00EB302A" w14:paraId="4096E7D9" w14:textId="64B1FC7A">
            <w:pPr>
              <w:pStyle w:val="p1"/>
              <w:rPr>
                <w:sz w:val="24"/>
                <w:szCs w:val="24"/>
              </w:rPr>
            </w:pPr>
            <w:r w:rsidRPr="00C561E9">
              <w:rPr>
                <w:sz w:val="24"/>
                <w:szCs w:val="24"/>
              </w:rPr>
              <w:t xml:space="preserve">This request also includes limited time </w:t>
            </w:r>
            <w:r w:rsidR="00E03D82">
              <w:rPr>
                <w:sz w:val="24"/>
                <w:szCs w:val="24"/>
              </w:rPr>
              <w:t xml:space="preserve">(3.5 hours) </w:t>
            </w:r>
            <w:r w:rsidRPr="00C561E9">
              <w:rPr>
                <w:sz w:val="24"/>
                <w:szCs w:val="24"/>
              </w:rPr>
              <w:t xml:space="preserve">for TURN </w:t>
            </w:r>
            <w:r w:rsidR="0028748F">
              <w:rPr>
                <w:sz w:val="24"/>
                <w:szCs w:val="24"/>
              </w:rPr>
              <w:t>E</w:t>
            </w:r>
            <w:r w:rsidRPr="00C561E9" w:rsidR="00606BBC">
              <w:rPr>
                <w:sz w:val="24"/>
                <w:szCs w:val="24"/>
              </w:rPr>
              <w:t xml:space="preserve">nergy and </w:t>
            </w:r>
            <w:r w:rsidR="0028748F">
              <w:rPr>
                <w:sz w:val="24"/>
                <w:szCs w:val="24"/>
              </w:rPr>
              <w:t>Cl</w:t>
            </w:r>
            <w:r w:rsidRPr="00C561E9" w:rsidR="00606BBC">
              <w:rPr>
                <w:sz w:val="24"/>
                <w:szCs w:val="24"/>
              </w:rPr>
              <w:t xml:space="preserve">imate </w:t>
            </w:r>
            <w:r w:rsidR="0028748F">
              <w:rPr>
                <w:sz w:val="24"/>
                <w:szCs w:val="24"/>
              </w:rPr>
              <w:t>A</w:t>
            </w:r>
            <w:r w:rsidRPr="00C561E9" w:rsidR="00606BBC">
              <w:rPr>
                <w:sz w:val="24"/>
                <w:szCs w:val="24"/>
              </w:rPr>
              <w:t>naly</w:t>
            </w:r>
            <w:r w:rsidR="0028748F">
              <w:rPr>
                <w:sz w:val="24"/>
                <w:szCs w:val="24"/>
              </w:rPr>
              <w:t>st,</w:t>
            </w:r>
            <w:r w:rsidRPr="00C561E9" w:rsidR="00606BBC">
              <w:rPr>
                <w:sz w:val="24"/>
                <w:szCs w:val="24"/>
              </w:rPr>
              <w:t xml:space="preserve"> Sylvie Ashford</w:t>
            </w:r>
            <w:r w:rsidR="0028748F">
              <w:rPr>
                <w:sz w:val="24"/>
                <w:szCs w:val="24"/>
              </w:rPr>
              <w:t>,</w:t>
            </w:r>
            <w:r w:rsidRPr="00C561E9" w:rsidR="00606BBC">
              <w:rPr>
                <w:sz w:val="24"/>
                <w:szCs w:val="24"/>
              </w:rPr>
              <w:t xml:space="preserve"> </w:t>
            </w:r>
            <w:r w:rsidRPr="00C561E9">
              <w:rPr>
                <w:sz w:val="24"/>
                <w:szCs w:val="24"/>
              </w:rPr>
              <w:t>who</w:t>
            </w:r>
            <w:r w:rsidR="008A04CD">
              <w:rPr>
                <w:sz w:val="24"/>
                <w:szCs w:val="24"/>
              </w:rPr>
              <w:t xml:space="preserve"> analyzed a new argument raised in briefing by CUE regarding </w:t>
            </w:r>
            <w:r w:rsidR="00A13499">
              <w:rPr>
                <w:sz w:val="24"/>
                <w:szCs w:val="24"/>
              </w:rPr>
              <w:t>requir</w:t>
            </w:r>
            <w:r w:rsidRPr="007A7D91" w:rsidR="00A13499">
              <w:rPr>
                <w:sz w:val="24"/>
                <w:szCs w:val="24"/>
              </w:rPr>
              <w:t>ements</w:t>
            </w:r>
            <w:r w:rsidRPr="007A7D91" w:rsidR="007A7D91">
              <w:rPr>
                <w:sz w:val="24"/>
                <w:szCs w:val="24"/>
              </w:rPr>
              <w:t xml:space="preserve"> </w:t>
            </w:r>
            <w:r w:rsidR="00A13499">
              <w:rPr>
                <w:sz w:val="24"/>
                <w:szCs w:val="24"/>
              </w:rPr>
              <w:t xml:space="preserve">for </w:t>
            </w:r>
            <w:r w:rsidRPr="007A7D91" w:rsidR="007A7D91">
              <w:rPr>
                <w:sz w:val="24"/>
                <w:szCs w:val="24"/>
              </w:rPr>
              <w:t>distribution capacity upgrade deferrals</w:t>
            </w:r>
            <w:r w:rsidR="00E03D82">
              <w:rPr>
                <w:sz w:val="24"/>
                <w:szCs w:val="24"/>
              </w:rPr>
              <w:t xml:space="preserve"> and drafted a response</w:t>
            </w:r>
            <w:r w:rsidR="00CF729E">
              <w:rPr>
                <w:sz w:val="24"/>
                <w:szCs w:val="24"/>
              </w:rPr>
              <w:t xml:space="preserve"> to CUE</w:t>
            </w:r>
            <w:r w:rsidR="00E03D82">
              <w:rPr>
                <w:sz w:val="24"/>
                <w:szCs w:val="24"/>
              </w:rPr>
              <w:t xml:space="preserve"> for the reply brief. Ms. Ashford is </w:t>
            </w:r>
            <w:r w:rsidRPr="00C561E9" w:rsidR="00E03D82">
              <w:rPr>
                <w:sz w:val="24"/>
                <w:szCs w:val="24"/>
              </w:rPr>
              <w:t xml:space="preserve">TURN’s primary </w:t>
            </w:r>
            <w:r w:rsidR="00E03D82">
              <w:rPr>
                <w:sz w:val="24"/>
                <w:szCs w:val="24"/>
              </w:rPr>
              <w:t>expert in the High DER proceeding (R.21-06-017),</w:t>
            </w:r>
            <w:r w:rsidR="00A42FA0">
              <w:rPr>
                <w:sz w:val="24"/>
                <w:szCs w:val="24"/>
              </w:rPr>
              <w:t xml:space="preserve"> giving </w:t>
            </w:r>
            <w:r w:rsidR="00A42FA0">
              <w:rPr>
                <w:sz w:val="24"/>
                <w:szCs w:val="24"/>
              </w:rPr>
              <w:lastRenderedPageBreak/>
              <w:t>her the appropriate knowledge base</w:t>
            </w:r>
            <w:r w:rsidR="00A13499">
              <w:rPr>
                <w:sz w:val="24"/>
                <w:szCs w:val="24"/>
              </w:rPr>
              <w:t xml:space="preserve"> and expertise</w:t>
            </w:r>
            <w:r w:rsidR="00A42FA0">
              <w:rPr>
                <w:sz w:val="24"/>
                <w:szCs w:val="24"/>
              </w:rPr>
              <w:t xml:space="preserve"> to assess CUE’s </w:t>
            </w:r>
            <w:r w:rsidRPr="007A7D91" w:rsidR="00A42FA0">
              <w:rPr>
                <w:sz w:val="24"/>
                <w:szCs w:val="24"/>
              </w:rPr>
              <w:t>distribution capacity upgrade deferrals</w:t>
            </w:r>
            <w:r w:rsidR="00A42FA0">
              <w:rPr>
                <w:sz w:val="24"/>
                <w:szCs w:val="24"/>
              </w:rPr>
              <w:t xml:space="preserve"> argument</w:t>
            </w:r>
            <w:r w:rsidR="00A13499">
              <w:rPr>
                <w:sz w:val="24"/>
                <w:szCs w:val="24"/>
              </w:rPr>
              <w:t xml:space="preserve"> and respond.</w:t>
            </w:r>
          </w:p>
          <w:p w:rsidR="0028748F" w:rsidP="006A10DC" w:rsidRDefault="0028748F" w14:paraId="6530858A" w14:textId="77777777">
            <w:pPr>
              <w:pStyle w:val="p1"/>
              <w:rPr>
                <w:sz w:val="24"/>
                <w:szCs w:val="24"/>
              </w:rPr>
            </w:pPr>
          </w:p>
          <w:p w:rsidR="0028748F" w:rsidP="0028748F" w:rsidRDefault="0028748F" w14:paraId="3964E65C" w14:textId="12A13253">
            <w:pPr>
              <w:pStyle w:val="p1"/>
              <w:rPr>
                <w:sz w:val="24"/>
                <w:szCs w:val="24"/>
              </w:rPr>
            </w:pPr>
            <w:r w:rsidRPr="00C561E9">
              <w:rPr>
                <w:sz w:val="24"/>
                <w:szCs w:val="24"/>
              </w:rPr>
              <w:t xml:space="preserve">This request also includes limited time </w:t>
            </w:r>
            <w:r>
              <w:rPr>
                <w:sz w:val="24"/>
                <w:szCs w:val="24"/>
              </w:rPr>
              <w:t xml:space="preserve">(5 hours) </w:t>
            </w:r>
            <w:r w:rsidRPr="00C561E9">
              <w:rPr>
                <w:sz w:val="24"/>
                <w:szCs w:val="24"/>
              </w:rPr>
              <w:t>for TURN</w:t>
            </w:r>
            <w:r>
              <w:rPr>
                <w:sz w:val="24"/>
                <w:szCs w:val="24"/>
              </w:rPr>
              <w:t xml:space="preserve"> paralegal, Reina </w:t>
            </w:r>
            <w:proofErr w:type="spellStart"/>
            <w:r>
              <w:rPr>
                <w:sz w:val="24"/>
                <w:szCs w:val="24"/>
              </w:rPr>
              <w:t>Yanagiba</w:t>
            </w:r>
            <w:proofErr w:type="spellEnd"/>
            <w:r w:rsidRPr="00C561E9">
              <w:rPr>
                <w:sz w:val="24"/>
                <w:szCs w:val="24"/>
              </w:rPr>
              <w:t xml:space="preserve"> who</w:t>
            </w:r>
            <w:r>
              <w:rPr>
                <w:sz w:val="24"/>
                <w:szCs w:val="24"/>
              </w:rPr>
              <w:t xml:space="preserve"> assisted TURN attorneys</w:t>
            </w:r>
            <w:r w:rsidR="00D7749A">
              <w:rPr>
                <w:sz w:val="24"/>
                <w:szCs w:val="24"/>
              </w:rPr>
              <w:t xml:space="preserve"> and experts</w:t>
            </w:r>
            <w:r>
              <w:rPr>
                <w:sz w:val="24"/>
                <w:szCs w:val="24"/>
              </w:rPr>
              <w:t xml:space="preserve"> with discovery. </w:t>
            </w:r>
          </w:p>
          <w:p w:rsidR="00E65D20" w:rsidP="006A10DC" w:rsidRDefault="00E65D20" w14:paraId="6A0E7C07" w14:textId="77777777">
            <w:pPr>
              <w:pStyle w:val="p1"/>
              <w:rPr>
                <w:sz w:val="24"/>
                <w:szCs w:val="24"/>
              </w:rPr>
            </w:pPr>
          </w:p>
          <w:p w:rsidRPr="00427DED" w:rsidR="00E65D20" w:rsidP="00E65D20" w:rsidRDefault="00E65D20" w14:paraId="56765D5B" w14:textId="77777777">
            <w:pPr>
              <w:rPr>
                <w:color w:val="000000"/>
              </w:rPr>
            </w:pPr>
            <w:r w:rsidRPr="00427DED">
              <w:rPr>
                <w:color w:val="000000"/>
              </w:rPr>
              <w:t>This request for compensation includes time that the TURN team devoted</w:t>
            </w:r>
          </w:p>
          <w:p w:rsidRPr="00427DED" w:rsidR="00E65D20" w:rsidP="00E65D20" w:rsidRDefault="00E65D20" w14:paraId="15E83EB5" w14:textId="77777777">
            <w:pPr>
              <w:rPr>
                <w:color w:val="000000"/>
              </w:rPr>
            </w:pPr>
            <w:r w:rsidRPr="00427DED">
              <w:rPr>
                <w:color w:val="000000"/>
              </w:rPr>
              <w:t>to internal meetings to address issue coverage, division of labor, the</w:t>
            </w:r>
          </w:p>
          <w:p w:rsidRPr="00427DED" w:rsidR="00E65D20" w:rsidP="00E65D20" w:rsidRDefault="00E65D20" w14:paraId="09BA66A5" w14:textId="77777777">
            <w:pPr>
              <w:rPr>
                <w:color w:val="000000"/>
              </w:rPr>
            </w:pPr>
            <w:r w:rsidRPr="00427DED">
              <w:rPr>
                <w:color w:val="000000"/>
              </w:rPr>
              <w:t>development and evolution of TURN’s recommendations, and strategy.</w:t>
            </w:r>
          </w:p>
          <w:p w:rsidRPr="00427DED" w:rsidR="00E65D20" w:rsidP="00E65D20" w:rsidRDefault="00E65D20" w14:paraId="4F0086F5" w14:textId="77777777">
            <w:pPr>
              <w:rPr>
                <w:color w:val="000000"/>
              </w:rPr>
            </w:pPr>
            <w:r w:rsidRPr="00427DED">
              <w:rPr>
                <w:color w:val="000000"/>
              </w:rPr>
              <w:t xml:space="preserve">Usually Ms. </w:t>
            </w:r>
            <w:proofErr w:type="gramStart"/>
            <w:r w:rsidRPr="00427DED">
              <w:rPr>
                <w:color w:val="000000"/>
              </w:rPr>
              <w:t>Torres,</w:t>
            </w:r>
            <w:proofErr w:type="gramEnd"/>
            <w:r w:rsidRPr="00427DED">
              <w:rPr>
                <w:color w:val="000000"/>
              </w:rPr>
              <w:t xml:space="preserve"> and Mr. Freedman participated in these</w:t>
            </w:r>
          </w:p>
          <w:p w:rsidRPr="006A10DC" w:rsidR="00E65D20" w:rsidP="00E65D20" w:rsidRDefault="00E65D20" w14:paraId="7B7F1C87" w14:textId="1A18D953">
            <w:pPr>
              <w:rPr>
                <w:color w:val="000000"/>
              </w:rPr>
            </w:pPr>
            <w:r w:rsidRPr="00427DED">
              <w:rPr>
                <w:color w:val="000000"/>
              </w:rPr>
              <w:t xml:space="preserve">meetings, </w:t>
            </w:r>
            <w:r>
              <w:rPr>
                <w:color w:val="000000"/>
              </w:rPr>
              <w:t xml:space="preserve">during testimony development and briefing, Ms. Hecht participated in some meetings as well </w:t>
            </w:r>
            <w:r w:rsidRPr="00427DED">
              <w:rPr>
                <w:color w:val="000000"/>
              </w:rPr>
              <w:t>and TURN has included time for all participants in this claim.</w:t>
            </w:r>
            <w:r>
              <w:rPr>
                <w:color w:val="000000"/>
              </w:rPr>
              <w:t xml:space="preserve"> </w:t>
            </w:r>
            <w:r w:rsidRPr="00427DED">
              <w:rPr>
                <w:color w:val="000000"/>
              </w:rPr>
              <w:t>Because of the way TURN staffed this matter by necessity, each person</w:t>
            </w:r>
            <w:r>
              <w:rPr>
                <w:color w:val="000000"/>
              </w:rPr>
              <w:t xml:space="preserve"> </w:t>
            </w:r>
            <w:r w:rsidRPr="00427DED">
              <w:rPr>
                <w:color w:val="000000"/>
              </w:rPr>
              <w:t xml:space="preserve">needed to participate in these </w:t>
            </w:r>
            <w:r>
              <w:rPr>
                <w:color w:val="000000"/>
              </w:rPr>
              <w:t>team</w:t>
            </w:r>
            <w:r w:rsidRPr="00427DED">
              <w:rPr>
                <w:color w:val="000000"/>
              </w:rPr>
              <w:t xml:space="preserve"> meetings </w:t>
            </w:r>
            <w:proofErr w:type="gramStart"/>
            <w:r w:rsidRPr="00427DED">
              <w:rPr>
                <w:color w:val="000000"/>
              </w:rPr>
              <w:t>in order to</w:t>
            </w:r>
            <w:proofErr w:type="gramEnd"/>
            <w:r w:rsidRPr="00427DED">
              <w:rPr>
                <w:color w:val="000000"/>
              </w:rPr>
              <w:t xml:space="preserve"> share the results</w:t>
            </w:r>
            <w:r>
              <w:rPr>
                <w:color w:val="000000"/>
              </w:rPr>
              <w:t xml:space="preserve"> o</w:t>
            </w:r>
            <w:r w:rsidRPr="00427DED">
              <w:rPr>
                <w:color w:val="000000"/>
              </w:rPr>
              <w:t>f their analysis and avoid internal duplication in the preparation of</w:t>
            </w:r>
            <w:r>
              <w:rPr>
                <w:color w:val="000000"/>
              </w:rPr>
              <w:t xml:space="preserve"> T</w:t>
            </w:r>
            <w:r w:rsidRPr="00427DED">
              <w:rPr>
                <w:color w:val="000000"/>
              </w:rPr>
              <w:t>URN’s testimony, briefs, and comments. Given these circumstances,</w:t>
            </w:r>
            <w:r>
              <w:rPr>
                <w:color w:val="000000"/>
              </w:rPr>
              <w:t xml:space="preserve"> </w:t>
            </w:r>
            <w:r w:rsidRPr="00C75F31">
              <w:rPr>
                <w:color w:val="000000"/>
              </w:rPr>
              <w:t>TURN submits that this time was necessary to support the efficient</w:t>
            </w:r>
            <w:r>
              <w:rPr>
                <w:color w:val="000000"/>
              </w:rPr>
              <w:t xml:space="preserve"> </w:t>
            </w:r>
            <w:r w:rsidRPr="00C75F31">
              <w:rPr>
                <w:color w:val="000000"/>
              </w:rPr>
              <w:t>development and presentation of TURN’s positions through testimony,</w:t>
            </w:r>
            <w:r>
              <w:rPr>
                <w:color w:val="000000"/>
              </w:rPr>
              <w:t xml:space="preserve"> </w:t>
            </w:r>
            <w:r w:rsidRPr="00C75F31">
              <w:rPr>
                <w:color w:val="000000"/>
              </w:rPr>
              <w:t>briefing, and comments and does not reflect “internal duplication.” TURN</w:t>
            </w:r>
            <w:r>
              <w:rPr>
                <w:color w:val="000000"/>
              </w:rPr>
              <w:t xml:space="preserve"> </w:t>
            </w:r>
            <w:r w:rsidRPr="00C75F31">
              <w:rPr>
                <w:color w:val="000000"/>
              </w:rPr>
              <w:t xml:space="preserve">also includes </w:t>
            </w:r>
            <w:r>
              <w:rPr>
                <w:color w:val="000000"/>
              </w:rPr>
              <w:t xml:space="preserve">approximately 5 </w:t>
            </w:r>
            <w:r w:rsidRPr="00C75F31">
              <w:rPr>
                <w:color w:val="000000"/>
              </w:rPr>
              <w:t>hours that TURN spent coordinating with Cal</w:t>
            </w:r>
            <w:r>
              <w:rPr>
                <w:color w:val="000000"/>
              </w:rPr>
              <w:t xml:space="preserve"> A</w:t>
            </w:r>
            <w:r w:rsidRPr="00C75F31">
              <w:rPr>
                <w:color w:val="000000"/>
              </w:rPr>
              <w:t>dvocates</w:t>
            </w:r>
            <w:r>
              <w:rPr>
                <w:color w:val="000000"/>
              </w:rPr>
              <w:t>.</w:t>
            </w:r>
          </w:p>
          <w:p w:rsidR="00B80E2F" w:rsidP="00902BA2" w:rsidRDefault="00B80E2F" w14:paraId="22F6ADBB" w14:textId="77777777">
            <w:pPr>
              <w:autoSpaceDE w:val="0"/>
              <w:autoSpaceDN w:val="0"/>
              <w:adjustRightInd w:val="0"/>
            </w:pPr>
          </w:p>
          <w:p w:rsidRPr="00DB7B16" w:rsidR="00287D33" w:rsidP="00287D33" w:rsidRDefault="0011058B" w14:paraId="35F52705" w14:textId="4514004C">
            <w:pPr>
              <w:rPr>
                <w:rFonts w:asciiTheme="majorBidi" w:hAnsiTheme="majorBidi" w:cstheme="majorBidi"/>
                <w:color w:val="000000" w:themeColor="text1"/>
              </w:rPr>
            </w:pPr>
            <w:r>
              <w:rPr>
                <w:rFonts w:asciiTheme="majorBidi" w:hAnsiTheme="majorBidi" w:cstheme="majorBidi"/>
                <w:color w:val="000000" w:themeColor="text1"/>
              </w:rPr>
              <w:t>T</w:t>
            </w:r>
            <w:r w:rsidRPr="00313191" w:rsidR="00287D33">
              <w:rPr>
                <w:rFonts w:asciiTheme="majorBidi" w:hAnsiTheme="majorBidi" w:cstheme="majorBidi"/>
                <w:color w:val="000000" w:themeColor="text1"/>
              </w:rPr>
              <w:t xml:space="preserve">URN is also requesting compensation for </w:t>
            </w:r>
            <w:r w:rsidR="0028748F">
              <w:rPr>
                <w:rFonts w:asciiTheme="majorBidi" w:hAnsiTheme="majorBidi" w:cstheme="majorBidi"/>
                <w:color w:val="000000" w:themeColor="text1"/>
              </w:rPr>
              <w:t>21</w:t>
            </w:r>
            <w:r w:rsidRPr="00252C25" w:rsidR="00287D33">
              <w:rPr>
                <w:rFonts w:asciiTheme="majorBidi" w:hAnsiTheme="majorBidi" w:cstheme="majorBidi"/>
                <w:color w:val="000000" w:themeColor="text1"/>
              </w:rPr>
              <w:t>.75 hours of intervenor compensation-related efforts associated with preparation of this request for compensation</w:t>
            </w:r>
            <w:r w:rsidR="0028748F">
              <w:rPr>
                <w:rFonts w:asciiTheme="majorBidi" w:hAnsiTheme="majorBidi" w:cstheme="majorBidi"/>
                <w:color w:val="000000" w:themeColor="text1"/>
              </w:rPr>
              <w:t>, primarily</w:t>
            </w:r>
            <w:r w:rsidRPr="00252C25" w:rsidR="00287D33">
              <w:rPr>
                <w:rFonts w:asciiTheme="majorBidi" w:hAnsiTheme="majorBidi" w:cstheme="majorBidi"/>
                <w:color w:val="000000" w:themeColor="text1"/>
              </w:rPr>
              <w:t xml:space="preserve"> by Ms. Torres. </w:t>
            </w:r>
            <w:r w:rsidR="0028748F">
              <w:rPr>
                <w:rFonts w:asciiTheme="majorBidi" w:hAnsiTheme="majorBidi" w:cstheme="majorBidi"/>
                <w:color w:val="000000" w:themeColor="text1"/>
              </w:rPr>
              <w:t xml:space="preserve">2 or the total hours are for Ms. </w:t>
            </w:r>
            <w:proofErr w:type="spellStart"/>
            <w:r w:rsidR="0028748F">
              <w:t>Yanagiba’s</w:t>
            </w:r>
            <w:proofErr w:type="spellEnd"/>
            <w:r w:rsidR="0028748F">
              <w:t xml:space="preserve"> drafting of Parts I and IV of the </w:t>
            </w:r>
            <w:proofErr w:type="gramStart"/>
            <w:r w:rsidRPr="00252C25" w:rsidR="0028748F">
              <w:rPr>
                <w:rFonts w:asciiTheme="majorBidi" w:hAnsiTheme="majorBidi" w:cstheme="majorBidi"/>
                <w:color w:val="000000" w:themeColor="text1"/>
              </w:rPr>
              <w:t>request</w:t>
            </w:r>
            <w:proofErr w:type="gramEnd"/>
            <w:r w:rsidRPr="00252C25" w:rsidR="0028748F">
              <w:rPr>
                <w:rFonts w:asciiTheme="majorBidi" w:hAnsiTheme="majorBidi" w:cstheme="majorBidi"/>
                <w:color w:val="000000" w:themeColor="text1"/>
              </w:rPr>
              <w:t xml:space="preserve"> for compensation</w:t>
            </w:r>
            <w:r w:rsidR="0028748F">
              <w:rPr>
                <w:rFonts w:asciiTheme="majorBidi" w:hAnsiTheme="majorBidi" w:cstheme="majorBidi"/>
                <w:color w:val="000000" w:themeColor="text1"/>
              </w:rPr>
              <w:t>.</w:t>
            </w:r>
            <w:r w:rsidRPr="00C561E9" w:rsidR="0028748F">
              <w:t xml:space="preserve"> </w:t>
            </w:r>
            <w:r w:rsidR="004424FF">
              <w:rPr>
                <w:rFonts w:asciiTheme="majorBidi" w:hAnsiTheme="majorBidi" w:cstheme="majorBidi"/>
                <w:color w:val="000000" w:themeColor="text1"/>
              </w:rPr>
              <w:t>Ms. Mon</w:t>
            </w:r>
            <w:r w:rsidR="00AA69EA">
              <w:rPr>
                <w:rFonts w:asciiTheme="majorBidi" w:hAnsiTheme="majorBidi" w:cstheme="majorBidi"/>
                <w:color w:val="000000" w:themeColor="text1"/>
              </w:rPr>
              <w:t xml:space="preserve">toya drafted TURN’s notice of </w:t>
            </w:r>
            <w:r w:rsidR="00102BEE">
              <w:rPr>
                <w:rFonts w:asciiTheme="majorBidi" w:hAnsiTheme="majorBidi" w:cstheme="majorBidi"/>
                <w:color w:val="000000" w:themeColor="text1"/>
              </w:rPr>
              <w:t>intent</w:t>
            </w:r>
            <w:r w:rsidR="00AA69EA">
              <w:rPr>
                <w:rFonts w:asciiTheme="majorBidi" w:hAnsiTheme="majorBidi" w:cstheme="majorBidi"/>
                <w:color w:val="000000" w:themeColor="text1"/>
              </w:rPr>
              <w:t xml:space="preserve"> to claim compensation (NOI) and </w:t>
            </w:r>
            <w:r w:rsidRPr="00DB7B16" w:rsidR="00287D33">
              <w:rPr>
                <w:rFonts w:asciiTheme="majorBidi" w:hAnsiTheme="majorBidi" w:cstheme="majorBidi"/>
                <w:color w:val="000000" w:themeColor="text1"/>
              </w:rPr>
              <w:t xml:space="preserve">TURN is claiming more hours for preparing </w:t>
            </w:r>
            <w:r w:rsidR="00AA69EA">
              <w:rPr>
                <w:rFonts w:asciiTheme="majorBidi" w:hAnsiTheme="majorBidi" w:cstheme="majorBidi"/>
                <w:color w:val="000000" w:themeColor="text1"/>
              </w:rPr>
              <w:t>the NOI</w:t>
            </w:r>
            <w:r w:rsidRPr="00DB7B16" w:rsidR="00287D33">
              <w:rPr>
                <w:rFonts w:asciiTheme="majorBidi" w:hAnsiTheme="majorBidi" w:cstheme="majorBidi"/>
                <w:color w:val="000000" w:themeColor="text1"/>
              </w:rPr>
              <w:t xml:space="preserve"> than </w:t>
            </w:r>
            <w:r w:rsidR="00287D33">
              <w:rPr>
                <w:rFonts w:asciiTheme="majorBidi" w:hAnsiTheme="majorBidi" w:cstheme="majorBidi"/>
                <w:color w:val="000000" w:themeColor="text1"/>
              </w:rPr>
              <w:t>may be</w:t>
            </w:r>
            <w:r w:rsidRPr="00DB7B16" w:rsidR="00287D33">
              <w:rPr>
                <w:rFonts w:asciiTheme="majorBidi" w:hAnsiTheme="majorBidi" w:cstheme="majorBidi"/>
                <w:color w:val="000000" w:themeColor="text1"/>
              </w:rPr>
              <w:t xml:space="preserve"> typica</w:t>
            </w:r>
            <w:r w:rsidR="007A0364">
              <w:rPr>
                <w:rFonts w:asciiTheme="majorBidi" w:hAnsiTheme="majorBidi" w:cstheme="majorBidi"/>
                <w:color w:val="000000" w:themeColor="text1"/>
              </w:rPr>
              <w:t xml:space="preserve">l, given </w:t>
            </w:r>
            <w:r w:rsidRPr="00DB7B16" w:rsidR="00287D33">
              <w:rPr>
                <w:rFonts w:asciiTheme="majorBidi" w:hAnsiTheme="majorBidi" w:cstheme="majorBidi"/>
                <w:color w:val="000000" w:themeColor="text1"/>
              </w:rPr>
              <w:t>that Ms. Montoya is new to</w:t>
            </w:r>
            <w:r w:rsidR="007A0364">
              <w:rPr>
                <w:rFonts w:asciiTheme="majorBidi" w:hAnsiTheme="majorBidi" w:cstheme="majorBidi"/>
                <w:color w:val="000000" w:themeColor="text1"/>
              </w:rPr>
              <w:t xml:space="preserve"> the Commission’s </w:t>
            </w:r>
            <w:proofErr w:type="spellStart"/>
            <w:r w:rsidR="007A0364">
              <w:rPr>
                <w:rFonts w:asciiTheme="majorBidi" w:hAnsiTheme="majorBidi" w:cstheme="majorBidi"/>
                <w:color w:val="000000" w:themeColor="text1"/>
              </w:rPr>
              <w:t>iComp</w:t>
            </w:r>
            <w:proofErr w:type="spellEnd"/>
            <w:r w:rsidR="007A0364">
              <w:rPr>
                <w:rFonts w:asciiTheme="majorBidi" w:hAnsiTheme="majorBidi" w:cstheme="majorBidi"/>
                <w:color w:val="000000" w:themeColor="text1"/>
              </w:rPr>
              <w:t xml:space="preserve"> program requirements and</w:t>
            </w:r>
            <w:r w:rsidRPr="00DB7B16" w:rsidR="00287D33">
              <w:rPr>
                <w:rFonts w:asciiTheme="majorBidi" w:hAnsiTheme="majorBidi" w:cstheme="majorBidi"/>
                <w:color w:val="000000" w:themeColor="text1"/>
              </w:rPr>
              <w:t xml:space="preserve"> preparing</w:t>
            </w:r>
            <w:r w:rsidR="00B3452E">
              <w:rPr>
                <w:rFonts w:asciiTheme="majorBidi" w:hAnsiTheme="majorBidi" w:cstheme="majorBidi"/>
                <w:color w:val="000000" w:themeColor="text1"/>
              </w:rPr>
              <w:t xml:space="preserve"> NOIs</w:t>
            </w:r>
            <w:r w:rsidRPr="00DB7B16" w:rsidR="00287D33">
              <w:rPr>
                <w:rFonts w:asciiTheme="majorBidi" w:hAnsiTheme="majorBidi" w:cstheme="majorBidi"/>
                <w:color w:val="000000" w:themeColor="text1"/>
              </w:rPr>
              <w:t xml:space="preserve">.  Given Ms. Montoya's junior status and lower billing rate, it is reasonable for her to take longer to prepare </w:t>
            </w:r>
            <w:r w:rsidR="00B3452E">
              <w:rPr>
                <w:rFonts w:asciiTheme="majorBidi" w:hAnsiTheme="majorBidi" w:cstheme="majorBidi"/>
                <w:color w:val="000000" w:themeColor="text1"/>
              </w:rPr>
              <w:t>a NOI</w:t>
            </w:r>
            <w:r w:rsidRPr="00DB7B16" w:rsidR="00287D33">
              <w:rPr>
                <w:rFonts w:asciiTheme="majorBidi" w:hAnsiTheme="majorBidi" w:cstheme="majorBidi"/>
                <w:color w:val="000000" w:themeColor="text1"/>
              </w:rPr>
              <w:t xml:space="preserve"> than a more experienced TURN attorney would take.</w:t>
            </w:r>
          </w:p>
          <w:p w:rsidR="00287D33" w:rsidP="00902BA2" w:rsidRDefault="00287D33" w14:paraId="435F0706" w14:textId="77777777">
            <w:pPr>
              <w:autoSpaceDE w:val="0"/>
              <w:autoSpaceDN w:val="0"/>
              <w:adjustRightInd w:val="0"/>
            </w:pPr>
          </w:p>
          <w:p w:rsidR="00B80E2F" w:rsidP="00902BA2" w:rsidRDefault="00B80E2F" w14:paraId="106C8D5C" w14:textId="47BFB9B2">
            <w:pPr>
              <w:rPr>
                <w:color w:val="000000"/>
              </w:rPr>
            </w:pPr>
            <w:r w:rsidRPr="001C6763">
              <w:rPr>
                <w:color w:val="000000"/>
              </w:rPr>
              <w:t xml:space="preserve">TURN suggests that the Commission should find that the number of issues addressed </w:t>
            </w:r>
            <w:r>
              <w:rPr>
                <w:color w:val="000000"/>
              </w:rPr>
              <w:t>by TURN in this proceeding</w:t>
            </w:r>
            <w:r w:rsidRPr="001C6763">
              <w:rPr>
                <w:color w:val="000000"/>
              </w:rPr>
              <w:t>, the time necessary for preparing various</w:t>
            </w:r>
            <w:r>
              <w:rPr>
                <w:color w:val="000000"/>
              </w:rPr>
              <w:t xml:space="preserve"> </w:t>
            </w:r>
            <w:r w:rsidRPr="001C6763">
              <w:rPr>
                <w:color w:val="000000"/>
              </w:rPr>
              <w:t>pleadings</w:t>
            </w:r>
            <w:r w:rsidR="00287D33">
              <w:rPr>
                <w:color w:val="000000"/>
              </w:rPr>
              <w:t>,</w:t>
            </w:r>
            <w:r w:rsidR="00C2237A">
              <w:rPr>
                <w:color w:val="000000"/>
              </w:rPr>
              <w:t xml:space="preserve"> and TURN’s</w:t>
            </w:r>
            <w:r w:rsidR="00287D33">
              <w:rPr>
                <w:color w:val="000000"/>
              </w:rPr>
              <w:t xml:space="preserve"> extensive </w:t>
            </w:r>
            <w:r>
              <w:rPr>
                <w:color w:val="000000"/>
              </w:rPr>
              <w:t>testimon</w:t>
            </w:r>
            <w:r w:rsidR="00287D33">
              <w:rPr>
                <w:color w:val="000000"/>
              </w:rPr>
              <w:t>y and</w:t>
            </w:r>
            <w:r w:rsidR="00C2237A">
              <w:rPr>
                <w:color w:val="000000"/>
              </w:rPr>
              <w:t xml:space="preserve"> briefing all</w:t>
            </w:r>
            <w:r w:rsidR="00287D33">
              <w:rPr>
                <w:color w:val="000000"/>
              </w:rPr>
              <w:t xml:space="preserve"> </w:t>
            </w:r>
            <w:r w:rsidR="00B3452E">
              <w:rPr>
                <w:color w:val="000000"/>
              </w:rPr>
              <w:t>warrant</w:t>
            </w:r>
            <w:r w:rsidRPr="001C6763">
              <w:rPr>
                <w:color w:val="000000"/>
              </w:rPr>
              <w:t xml:space="preserve"> finding that the hours spent were reasonable. </w:t>
            </w:r>
            <w:r>
              <w:rPr>
                <w:color w:val="000000"/>
              </w:rPr>
              <w:t xml:space="preserve"> </w:t>
            </w:r>
            <w:r w:rsidRPr="00D6023D">
              <w:rPr>
                <w:color w:val="000000"/>
              </w:rPr>
              <w:t>However, should the Commission believe that</w:t>
            </w:r>
            <w:r>
              <w:rPr>
                <w:color w:val="000000"/>
              </w:rPr>
              <w:t xml:space="preserve"> </w:t>
            </w:r>
            <w:r w:rsidRPr="00D6023D">
              <w:rPr>
                <w:color w:val="000000"/>
              </w:rPr>
              <w:t>more information is needed or that a different approach to discussing the</w:t>
            </w:r>
            <w:r>
              <w:rPr>
                <w:color w:val="000000"/>
              </w:rPr>
              <w:t xml:space="preserve"> </w:t>
            </w:r>
            <w:r w:rsidRPr="00D6023D">
              <w:rPr>
                <w:color w:val="000000"/>
              </w:rPr>
              <w:t>reasonableness of the requested hours is warranted here, TURN requests</w:t>
            </w:r>
            <w:r>
              <w:rPr>
                <w:color w:val="000000"/>
              </w:rPr>
              <w:t xml:space="preserve"> </w:t>
            </w:r>
            <w:r w:rsidRPr="00D6023D">
              <w:rPr>
                <w:color w:val="000000"/>
              </w:rPr>
              <w:t>the opportunity to supplement this section of the request.</w:t>
            </w:r>
          </w:p>
          <w:p w:rsidRPr="003349DE" w:rsidR="00B80E2F" w:rsidP="00902BA2" w:rsidRDefault="00B80E2F" w14:paraId="2F77ABA2" w14:textId="77777777">
            <w:pPr>
              <w:rPr>
                <w:color w:val="000000"/>
              </w:rPr>
            </w:pPr>
          </w:p>
        </w:tc>
        <w:tc>
          <w:tcPr>
            <w:tcW w:w="2183" w:type="dxa"/>
          </w:tcPr>
          <w:p w:rsidR="00B80E2F" w:rsidP="005356B0" w:rsidRDefault="00B80E2F" w14:paraId="5546BCB1" w14:textId="77777777">
            <w:pPr>
              <w:spacing w:before="120"/>
              <w:jc w:val="center"/>
              <w:rPr>
                <w:color w:val="000000"/>
              </w:rPr>
            </w:pPr>
          </w:p>
          <w:p w:rsidR="005356B0" w:rsidP="005356B0" w:rsidRDefault="005356B0" w14:paraId="45A1A876" w14:textId="77777777">
            <w:pPr>
              <w:spacing w:before="120"/>
              <w:jc w:val="center"/>
              <w:rPr>
                <w:color w:val="000000"/>
              </w:rPr>
            </w:pPr>
          </w:p>
          <w:p w:rsidR="005356B0" w:rsidP="005356B0" w:rsidRDefault="005356B0" w14:paraId="59982A9B" w14:textId="77777777">
            <w:pPr>
              <w:spacing w:before="120"/>
              <w:jc w:val="center"/>
              <w:rPr>
                <w:color w:val="000000"/>
              </w:rPr>
            </w:pPr>
          </w:p>
          <w:p w:rsidR="005356B0" w:rsidP="005356B0" w:rsidRDefault="005356B0" w14:paraId="5B2A38BD" w14:textId="77777777">
            <w:pPr>
              <w:spacing w:before="120"/>
              <w:jc w:val="center"/>
              <w:rPr>
                <w:color w:val="000000"/>
              </w:rPr>
            </w:pPr>
          </w:p>
          <w:p w:rsidR="005356B0" w:rsidP="005356B0" w:rsidRDefault="005356B0" w14:paraId="1DF84A37" w14:textId="77777777">
            <w:pPr>
              <w:spacing w:before="120"/>
              <w:jc w:val="center"/>
              <w:rPr>
                <w:color w:val="000000"/>
              </w:rPr>
            </w:pPr>
          </w:p>
          <w:p w:rsidR="005356B0" w:rsidP="005356B0" w:rsidRDefault="005356B0" w14:paraId="1E35D196" w14:textId="77777777">
            <w:pPr>
              <w:spacing w:before="120"/>
              <w:jc w:val="center"/>
              <w:rPr>
                <w:color w:val="000000"/>
              </w:rPr>
            </w:pPr>
          </w:p>
          <w:p w:rsidR="005356B0" w:rsidP="005356B0" w:rsidRDefault="005356B0" w14:paraId="14D60F82" w14:textId="77777777">
            <w:pPr>
              <w:spacing w:before="120"/>
              <w:jc w:val="center"/>
              <w:rPr>
                <w:color w:val="000000"/>
              </w:rPr>
            </w:pPr>
          </w:p>
          <w:p w:rsidR="005356B0" w:rsidP="005356B0" w:rsidRDefault="005356B0" w14:paraId="51F6D1E4" w14:textId="77777777">
            <w:pPr>
              <w:spacing w:before="120"/>
              <w:jc w:val="center"/>
              <w:rPr>
                <w:color w:val="000000"/>
              </w:rPr>
            </w:pPr>
          </w:p>
          <w:p w:rsidR="005356B0" w:rsidP="005356B0" w:rsidRDefault="005356B0" w14:paraId="78CFF472" w14:textId="77777777">
            <w:pPr>
              <w:spacing w:before="120"/>
              <w:jc w:val="center"/>
              <w:rPr>
                <w:color w:val="000000"/>
              </w:rPr>
            </w:pPr>
          </w:p>
          <w:p w:rsidR="005356B0" w:rsidP="005356B0" w:rsidRDefault="005356B0" w14:paraId="571F9C3C" w14:textId="77777777">
            <w:pPr>
              <w:spacing w:before="120"/>
              <w:jc w:val="center"/>
              <w:rPr>
                <w:color w:val="000000"/>
              </w:rPr>
            </w:pPr>
          </w:p>
          <w:p w:rsidR="005356B0" w:rsidP="005356B0" w:rsidRDefault="005356B0" w14:paraId="54B096B8" w14:textId="77777777">
            <w:pPr>
              <w:spacing w:before="120"/>
              <w:jc w:val="center"/>
              <w:rPr>
                <w:color w:val="000000"/>
              </w:rPr>
            </w:pPr>
          </w:p>
          <w:p w:rsidRPr="003349DE" w:rsidR="005356B0" w:rsidP="005356B0" w:rsidRDefault="005356B0" w14:paraId="1D003BF2" w14:textId="47BE0FC2">
            <w:pPr>
              <w:spacing w:before="120"/>
              <w:jc w:val="center"/>
              <w:rPr>
                <w:color w:val="000000"/>
              </w:rPr>
            </w:pPr>
            <w:r>
              <w:rPr>
                <w:color w:val="000000"/>
              </w:rPr>
              <w:t>Noted</w:t>
            </w:r>
          </w:p>
        </w:tc>
      </w:tr>
      <w:tr w:rsidRPr="007F3D00" w:rsidR="00B80E2F" w:rsidTr="005356B0" w14:paraId="5E9C8D11" w14:textId="77777777">
        <w:tc>
          <w:tcPr>
            <w:tcW w:w="7555" w:type="dxa"/>
          </w:tcPr>
          <w:p w:rsidRPr="007F3D00" w:rsidR="00B80E2F" w:rsidP="00902BA2" w:rsidRDefault="00B80E2F" w14:paraId="3A5A8D50" w14:textId="77777777">
            <w:pPr>
              <w:rPr>
                <w:color w:val="000000"/>
              </w:rPr>
            </w:pPr>
            <w:r w:rsidRPr="007F3D00">
              <w:rPr>
                <w:b/>
                <w:color w:val="000000"/>
              </w:rPr>
              <w:lastRenderedPageBreak/>
              <w:t>c. Allocation of hours by issue:</w:t>
            </w:r>
            <w:r w:rsidRPr="007F3D00">
              <w:rPr>
                <w:color w:val="000000"/>
              </w:rPr>
              <w:t xml:space="preserve"> </w:t>
            </w:r>
          </w:p>
          <w:p w:rsidR="00B80E2F" w:rsidP="00902BA2" w:rsidRDefault="00B80E2F" w14:paraId="3EEC17EB" w14:textId="12182CFD">
            <w:pPr>
              <w:tabs>
                <w:tab w:val="left" w:pos="1260"/>
              </w:tabs>
              <w:spacing w:before="120"/>
              <w:rPr>
                <w:color w:val="000000"/>
              </w:rPr>
            </w:pPr>
            <w:r w:rsidRPr="007F3D00">
              <w:rPr>
                <w:color w:val="000000"/>
              </w:rPr>
              <w:t xml:space="preserve">TURN has allocated </w:t>
            </w:r>
            <w:proofErr w:type="gramStart"/>
            <w:r w:rsidRPr="007F3D00">
              <w:rPr>
                <w:color w:val="000000"/>
              </w:rPr>
              <w:t>all of</w:t>
            </w:r>
            <w:proofErr w:type="gramEnd"/>
            <w:r w:rsidRPr="007F3D00">
              <w:rPr>
                <w:color w:val="000000"/>
              </w:rPr>
              <w:t xml:space="preserve"> our attorney and expert time by issue area or activity, as is evident on our attached timesheets (Attachment 2) and in Attachment </w:t>
            </w:r>
            <w:r>
              <w:rPr>
                <w:color w:val="000000"/>
              </w:rPr>
              <w:t>3</w:t>
            </w:r>
            <w:r w:rsidRPr="007F3D00">
              <w:rPr>
                <w:color w:val="000000"/>
              </w:rPr>
              <w:t xml:space="preserve">, which shows the allocation of TURN’s time included in this </w:t>
            </w:r>
            <w:r w:rsidRPr="007F3D00">
              <w:rPr>
                <w:color w:val="000000"/>
              </w:rPr>
              <w:lastRenderedPageBreak/>
              <w:t xml:space="preserve">request by attorney or expert and issue / activity area.  The following codes relate to specific substantive issue and activity areas addressed by TURN. </w:t>
            </w:r>
          </w:p>
          <w:p w:rsidR="00CD2E77" w:rsidP="00902BA2" w:rsidRDefault="00CD2E77" w14:paraId="6C493830" w14:textId="77777777">
            <w:pPr>
              <w:tabs>
                <w:tab w:val="left" w:pos="1260"/>
              </w:tabs>
              <w:spacing w:before="120"/>
              <w:rPr>
                <w:color w:val="000000"/>
              </w:rPr>
            </w:pPr>
          </w:p>
          <w:tbl>
            <w:tblPr>
              <w:tblW w:w="7256" w:type="dxa"/>
              <w:tblLayout w:type="fixed"/>
              <w:tblLook w:val="04A0" w:firstRow="1" w:lastRow="0" w:firstColumn="1" w:lastColumn="0" w:noHBand="0" w:noVBand="1"/>
            </w:tblPr>
            <w:tblGrid>
              <w:gridCol w:w="1596"/>
              <w:gridCol w:w="3857"/>
              <w:gridCol w:w="1803"/>
            </w:tblGrid>
            <w:tr w:rsidR="004F64A7" w:rsidTr="009C6C3E" w14:paraId="6A0862C8" w14:textId="77777777">
              <w:trPr>
                <w:trHeight w:val="624"/>
              </w:trPr>
              <w:tc>
                <w:tcPr>
                  <w:tcW w:w="1596" w:type="dxa"/>
                  <w:tcBorders>
                    <w:top w:val="single" w:color="auto" w:sz="4" w:space="0"/>
                    <w:left w:val="single" w:color="auto" w:sz="4" w:space="0"/>
                    <w:bottom w:val="single" w:color="auto" w:sz="4" w:space="0"/>
                    <w:right w:val="single" w:color="auto" w:sz="4" w:space="0"/>
                  </w:tcBorders>
                  <w:noWrap/>
                  <w:vAlign w:val="bottom"/>
                  <w:hideMark/>
                </w:tcPr>
                <w:p w:rsidR="004F64A7" w:rsidP="004F64A7" w:rsidRDefault="004F64A7" w14:paraId="5D9A3D0D" w14:textId="77777777">
                  <w:pPr>
                    <w:jc w:val="center"/>
                    <w:rPr>
                      <w:b/>
                      <w:bCs/>
                      <w:color w:val="000000"/>
                      <w:lang w:eastAsia="zh-TW"/>
                    </w:rPr>
                  </w:pPr>
                  <w:r>
                    <w:rPr>
                      <w:b/>
                      <w:bCs/>
                      <w:color w:val="000000"/>
                    </w:rPr>
                    <w:t>Code</w:t>
                  </w:r>
                </w:p>
              </w:tc>
              <w:tc>
                <w:tcPr>
                  <w:tcW w:w="3857" w:type="dxa"/>
                  <w:tcBorders>
                    <w:top w:val="single" w:color="auto" w:sz="4" w:space="0"/>
                    <w:left w:val="nil"/>
                    <w:bottom w:val="single" w:color="auto" w:sz="4" w:space="0"/>
                    <w:right w:val="single" w:color="auto" w:sz="4" w:space="0"/>
                  </w:tcBorders>
                  <w:noWrap/>
                  <w:vAlign w:val="bottom"/>
                  <w:hideMark/>
                </w:tcPr>
                <w:p w:rsidR="004F64A7" w:rsidP="004F64A7" w:rsidRDefault="004F64A7" w14:paraId="0124F86A" w14:textId="77777777">
                  <w:pPr>
                    <w:jc w:val="center"/>
                    <w:rPr>
                      <w:b/>
                      <w:bCs/>
                      <w:color w:val="000000"/>
                    </w:rPr>
                  </w:pPr>
                  <w:r>
                    <w:rPr>
                      <w:b/>
                      <w:bCs/>
                      <w:color w:val="000000"/>
                    </w:rPr>
                    <w:t>Description</w:t>
                  </w:r>
                </w:p>
              </w:tc>
              <w:tc>
                <w:tcPr>
                  <w:tcW w:w="1803" w:type="dxa"/>
                  <w:tcBorders>
                    <w:top w:val="single" w:color="auto" w:sz="4" w:space="0"/>
                    <w:left w:val="nil"/>
                    <w:bottom w:val="single" w:color="auto" w:sz="4" w:space="0"/>
                    <w:right w:val="single" w:color="auto" w:sz="4" w:space="0"/>
                  </w:tcBorders>
                  <w:vAlign w:val="bottom"/>
                  <w:hideMark/>
                </w:tcPr>
                <w:p w:rsidR="004F64A7" w:rsidP="004F64A7" w:rsidRDefault="004F64A7" w14:paraId="025AA213" w14:textId="77777777">
                  <w:pPr>
                    <w:jc w:val="center"/>
                    <w:rPr>
                      <w:b/>
                      <w:bCs/>
                      <w:color w:val="000000"/>
                    </w:rPr>
                  </w:pPr>
                  <w:r>
                    <w:rPr>
                      <w:b/>
                      <w:bCs/>
                      <w:color w:val="000000"/>
                    </w:rPr>
                    <w:t>Allocation</w:t>
                  </w:r>
                  <w:r>
                    <w:rPr>
                      <w:b/>
                      <w:bCs/>
                      <w:color w:val="000000"/>
                    </w:rPr>
                    <w:br/>
                    <w:t>of Time</w:t>
                  </w:r>
                </w:p>
              </w:tc>
            </w:tr>
            <w:tr w:rsidR="00345EC1" w:rsidTr="009C6C3E" w14:paraId="1BCCD8D1" w14:textId="77777777">
              <w:trPr>
                <w:trHeight w:val="624"/>
              </w:trPr>
              <w:tc>
                <w:tcPr>
                  <w:tcW w:w="1596" w:type="dxa"/>
                  <w:tcBorders>
                    <w:top w:val="nil"/>
                    <w:left w:val="single" w:color="auto" w:sz="4" w:space="0"/>
                    <w:bottom w:val="single" w:color="auto" w:sz="4" w:space="0"/>
                    <w:right w:val="single" w:color="auto" w:sz="4" w:space="0"/>
                  </w:tcBorders>
                  <w:hideMark/>
                </w:tcPr>
                <w:p w:rsidR="00345EC1" w:rsidP="00345EC1" w:rsidRDefault="00345EC1" w14:paraId="5EC27A9E" w14:textId="0DB579D1">
                  <w:pPr>
                    <w:jc w:val="center"/>
                    <w:rPr>
                      <w:color w:val="000000"/>
                    </w:rPr>
                  </w:pPr>
                  <w:r>
                    <w:t>Cost Caps (</w:t>
                  </w:r>
                  <w:r w:rsidR="009C6C3E">
                    <w:t>C</w:t>
                  </w:r>
                  <w:r>
                    <w:t>ompliance)</w:t>
                  </w:r>
                </w:p>
              </w:tc>
              <w:tc>
                <w:tcPr>
                  <w:tcW w:w="3857" w:type="dxa"/>
                  <w:tcBorders>
                    <w:top w:val="nil"/>
                    <w:left w:val="nil"/>
                    <w:bottom w:val="single" w:color="auto" w:sz="4" w:space="0"/>
                    <w:right w:val="single" w:color="auto" w:sz="4" w:space="0"/>
                  </w:tcBorders>
                  <w:hideMark/>
                </w:tcPr>
                <w:p w:rsidR="00345EC1" w:rsidP="00345EC1" w:rsidRDefault="00345EC1" w14:paraId="65E6D677" w14:textId="1932EAF4">
                  <w:pPr>
                    <w:rPr>
                      <w:color w:val="000000"/>
                    </w:rPr>
                  </w:pPr>
                  <w:r>
                    <w:t xml:space="preserve">Work related to compliance with the directives in D.24-07-008 and the energization timelines decision (D.24-09-020), and post decision compliance issues including the </w:t>
                  </w:r>
                  <w:proofErr w:type="gramStart"/>
                  <w:r>
                    <w:t>third party</w:t>
                  </w:r>
                  <w:proofErr w:type="gramEnd"/>
                  <w:r>
                    <w:t xml:space="preserve"> auditor and GRC reporting.</w:t>
                  </w:r>
                </w:p>
              </w:tc>
              <w:tc>
                <w:tcPr>
                  <w:tcW w:w="1803" w:type="dxa"/>
                  <w:tcBorders>
                    <w:top w:val="nil"/>
                    <w:left w:val="nil"/>
                    <w:bottom w:val="single" w:color="auto" w:sz="4" w:space="0"/>
                    <w:right w:val="single" w:color="auto" w:sz="4" w:space="0"/>
                  </w:tcBorders>
                  <w:hideMark/>
                </w:tcPr>
                <w:p w:rsidRPr="00F94833" w:rsidR="00345EC1" w:rsidP="009C6C3E" w:rsidRDefault="00345EC1" w14:paraId="63BE6F9D" w14:textId="1A3EAF0F">
                  <w:pPr>
                    <w:jc w:val="right"/>
                    <w:rPr>
                      <w:color w:val="000000"/>
                      <w:highlight w:val="yellow"/>
                    </w:rPr>
                  </w:pPr>
                  <w:r>
                    <w:rPr>
                      <w:color w:val="000000"/>
                    </w:rPr>
                    <w:t>6.</w:t>
                  </w:r>
                  <w:r w:rsidR="005A0878">
                    <w:rPr>
                      <w:color w:val="000000"/>
                    </w:rPr>
                    <w:t>4</w:t>
                  </w:r>
                  <w:r>
                    <w:rPr>
                      <w:color w:val="000000"/>
                    </w:rPr>
                    <w:t>3%</w:t>
                  </w:r>
                </w:p>
              </w:tc>
            </w:tr>
            <w:tr w:rsidR="00345EC1" w:rsidTr="009C6C3E" w14:paraId="5E91097C" w14:textId="77777777">
              <w:trPr>
                <w:trHeight w:val="624"/>
              </w:trPr>
              <w:tc>
                <w:tcPr>
                  <w:tcW w:w="1596" w:type="dxa"/>
                  <w:tcBorders>
                    <w:top w:val="nil"/>
                    <w:left w:val="single" w:color="auto" w:sz="4" w:space="0"/>
                    <w:bottom w:val="single" w:color="auto" w:sz="4" w:space="0"/>
                    <w:right w:val="single" w:color="auto" w:sz="4" w:space="0"/>
                  </w:tcBorders>
                  <w:hideMark/>
                </w:tcPr>
                <w:p w:rsidR="00345EC1" w:rsidP="00345EC1" w:rsidRDefault="00345EC1" w14:paraId="1CA68A4B" w14:textId="478D02F5">
                  <w:pPr>
                    <w:jc w:val="center"/>
                    <w:rPr>
                      <w:color w:val="000000"/>
                    </w:rPr>
                  </w:pPr>
                  <w:r>
                    <w:t>Cost Caps (Proc)</w:t>
                  </w:r>
                </w:p>
              </w:tc>
              <w:tc>
                <w:tcPr>
                  <w:tcW w:w="3857" w:type="dxa"/>
                  <w:tcBorders>
                    <w:top w:val="nil"/>
                    <w:left w:val="nil"/>
                    <w:bottom w:val="single" w:color="auto" w:sz="4" w:space="0"/>
                    <w:right w:val="single" w:color="auto" w:sz="4" w:space="0"/>
                  </w:tcBorders>
                  <w:hideMark/>
                </w:tcPr>
                <w:p w:rsidR="00345EC1" w:rsidP="00345EC1" w:rsidRDefault="00345EC1" w14:paraId="3C1413D9" w14:textId="6B1ACEC8">
                  <w:pPr>
                    <w:rPr>
                      <w:color w:val="000000"/>
                    </w:rPr>
                  </w:pPr>
                  <w:r>
                    <w:t>Procedural work required by ALJs, including meet and confers, status conferences, PHCs</w:t>
                  </w:r>
                  <w:r w:rsidR="008F5646">
                    <w:t>,</w:t>
                  </w:r>
                  <w:r>
                    <w:t xml:space="preserve"> research</w:t>
                  </w:r>
                  <w:r w:rsidR="008F5646">
                    <w:t>ing</w:t>
                  </w:r>
                  <w:r>
                    <w:t xml:space="preserve"> and drafting comments on 9/25/24 ALJ Ruling, motion to admit exhibits &amp; addressing issues with other parties' exhibits.</w:t>
                  </w:r>
                </w:p>
              </w:tc>
              <w:tc>
                <w:tcPr>
                  <w:tcW w:w="1803" w:type="dxa"/>
                  <w:tcBorders>
                    <w:top w:val="nil"/>
                    <w:left w:val="nil"/>
                    <w:bottom w:val="single" w:color="auto" w:sz="4" w:space="0"/>
                    <w:right w:val="single" w:color="auto" w:sz="4" w:space="0"/>
                  </w:tcBorders>
                  <w:hideMark/>
                </w:tcPr>
                <w:p w:rsidRPr="00F94833" w:rsidR="00345EC1" w:rsidP="009C6C3E" w:rsidRDefault="005A0878" w14:paraId="694A32F0" w14:textId="1EDA25E6">
                  <w:pPr>
                    <w:jc w:val="right"/>
                    <w:rPr>
                      <w:color w:val="000000"/>
                      <w:highlight w:val="yellow"/>
                    </w:rPr>
                  </w:pPr>
                  <w:r>
                    <w:rPr>
                      <w:color w:val="000000"/>
                    </w:rPr>
                    <w:t>5</w:t>
                  </w:r>
                  <w:r w:rsidR="00345EC1">
                    <w:rPr>
                      <w:color w:val="000000"/>
                    </w:rPr>
                    <w:t>.</w:t>
                  </w:r>
                  <w:r>
                    <w:rPr>
                      <w:color w:val="000000"/>
                    </w:rPr>
                    <w:t>5</w:t>
                  </w:r>
                  <w:r w:rsidR="002A4360">
                    <w:rPr>
                      <w:color w:val="000000"/>
                    </w:rPr>
                    <w:t>6</w:t>
                  </w:r>
                  <w:r w:rsidR="00345EC1">
                    <w:rPr>
                      <w:color w:val="000000"/>
                    </w:rPr>
                    <w:t>%</w:t>
                  </w:r>
                </w:p>
              </w:tc>
            </w:tr>
            <w:tr w:rsidR="00345EC1" w:rsidTr="009C6C3E" w14:paraId="484B509F" w14:textId="77777777">
              <w:trPr>
                <w:trHeight w:val="936"/>
              </w:trPr>
              <w:tc>
                <w:tcPr>
                  <w:tcW w:w="1596" w:type="dxa"/>
                  <w:tcBorders>
                    <w:top w:val="nil"/>
                    <w:left w:val="single" w:color="auto" w:sz="4" w:space="0"/>
                    <w:bottom w:val="single" w:color="auto" w:sz="4" w:space="0"/>
                    <w:right w:val="single" w:color="auto" w:sz="4" w:space="0"/>
                  </w:tcBorders>
                  <w:hideMark/>
                </w:tcPr>
                <w:p w:rsidR="00345EC1" w:rsidP="00345EC1" w:rsidRDefault="00345EC1" w14:paraId="3954C336" w14:textId="74ECEF54">
                  <w:pPr>
                    <w:jc w:val="center"/>
                    <w:rPr>
                      <w:color w:val="000000"/>
                    </w:rPr>
                  </w:pPr>
                  <w:r>
                    <w:t>Cost Caps (GP)</w:t>
                  </w:r>
                </w:p>
              </w:tc>
              <w:tc>
                <w:tcPr>
                  <w:tcW w:w="3857" w:type="dxa"/>
                  <w:tcBorders>
                    <w:top w:val="nil"/>
                    <w:left w:val="nil"/>
                    <w:bottom w:val="single" w:color="auto" w:sz="4" w:space="0"/>
                    <w:right w:val="single" w:color="auto" w:sz="4" w:space="0"/>
                  </w:tcBorders>
                  <w:hideMark/>
                </w:tcPr>
                <w:p w:rsidR="00345EC1" w:rsidP="00345EC1" w:rsidRDefault="00345EC1" w14:paraId="03D1BA26" w14:textId="646B045B">
                  <w:pPr>
                    <w:rPr>
                      <w:color w:val="000000"/>
                    </w:rPr>
                  </w:pPr>
                  <w:r>
                    <w:t xml:space="preserve">General participation related to </w:t>
                  </w:r>
                  <w:r w:rsidR="0014649A">
                    <w:t>the proceeding</w:t>
                  </w:r>
                  <w:r>
                    <w:t>, such as reviewing</w:t>
                  </w:r>
                  <w:r w:rsidR="0008779B">
                    <w:t xml:space="preserve"> PG&amp;E’s motion to raise the 2025 and 2026 cost caps,</w:t>
                  </w:r>
                  <w:r w:rsidR="0014649A">
                    <w:t xml:space="preserve"> party testimonies,</w:t>
                  </w:r>
                  <w:r>
                    <w:t xml:space="preserve"> rulings on scope and schedule</w:t>
                  </w:r>
                  <w:r w:rsidR="0014649A">
                    <w:t xml:space="preserve"> </w:t>
                  </w:r>
                  <w:r>
                    <w:t>, researching and drafting the motion for party status.</w:t>
                  </w:r>
                </w:p>
              </w:tc>
              <w:tc>
                <w:tcPr>
                  <w:tcW w:w="1803" w:type="dxa"/>
                  <w:tcBorders>
                    <w:top w:val="nil"/>
                    <w:left w:val="nil"/>
                    <w:bottom w:val="single" w:color="auto" w:sz="4" w:space="0"/>
                    <w:right w:val="single" w:color="auto" w:sz="4" w:space="0"/>
                  </w:tcBorders>
                  <w:hideMark/>
                </w:tcPr>
                <w:p w:rsidRPr="00F94833" w:rsidR="00345EC1" w:rsidP="009C6C3E" w:rsidRDefault="00345EC1" w14:paraId="1FDEFAE1" w14:textId="790A271A">
                  <w:pPr>
                    <w:jc w:val="right"/>
                    <w:rPr>
                      <w:color w:val="000000"/>
                      <w:highlight w:val="yellow"/>
                    </w:rPr>
                  </w:pPr>
                  <w:r>
                    <w:rPr>
                      <w:color w:val="000000"/>
                    </w:rPr>
                    <w:t>1</w:t>
                  </w:r>
                  <w:r w:rsidR="002A4360">
                    <w:rPr>
                      <w:color w:val="000000"/>
                    </w:rPr>
                    <w:t>1.58</w:t>
                  </w:r>
                  <w:r>
                    <w:rPr>
                      <w:color w:val="000000"/>
                    </w:rPr>
                    <w:t>%</w:t>
                  </w:r>
                </w:p>
              </w:tc>
            </w:tr>
            <w:tr w:rsidR="00345EC1" w:rsidTr="009C6C3E" w14:paraId="0A7C4E40" w14:textId="77777777">
              <w:trPr>
                <w:trHeight w:val="624"/>
              </w:trPr>
              <w:tc>
                <w:tcPr>
                  <w:tcW w:w="1596" w:type="dxa"/>
                  <w:tcBorders>
                    <w:top w:val="nil"/>
                    <w:left w:val="single" w:color="auto" w:sz="4" w:space="0"/>
                    <w:bottom w:val="single" w:color="auto" w:sz="4" w:space="0"/>
                    <w:right w:val="single" w:color="auto" w:sz="4" w:space="0"/>
                  </w:tcBorders>
                  <w:hideMark/>
                </w:tcPr>
                <w:p w:rsidR="00345EC1" w:rsidP="00345EC1" w:rsidRDefault="00345EC1" w14:paraId="0C60B729" w14:textId="05B869CF">
                  <w:pPr>
                    <w:jc w:val="center"/>
                    <w:rPr>
                      <w:color w:val="000000"/>
                    </w:rPr>
                  </w:pPr>
                  <w:r>
                    <w:t>Cost Caps (OP 28)</w:t>
                  </w:r>
                </w:p>
              </w:tc>
              <w:tc>
                <w:tcPr>
                  <w:tcW w:w="3857" w:type="dxa"/>
                  <w:tcBorders>
                    <w:top w:val="nil"/>
                    <w:left w:val="nil"/>
                    <w:bottom w:val="single" w:color="auto" w:sz="4" w:space="0"/>
                    <w:right w:val="single" w:color="auto" w:sz="4" w:space="0"/>
                  </w:tcBorders>
                  <w:hideMark/>
                </w:tcPr>
                <w:p w:rsidR="00345EC1" w:rsidP="00345EC1" w:rsidRDefault="00345EC1" w14:paraId="755F59BC" w14:textId="375EE923">
                  <w:pPr>
                    <w:rPr>
                      <w:color w:val="000000"/>
                    </w:rPr>
                  </w:pPr>
                  <w:r>
                    <w:t>Work related to evaluating PG&amp;E’s compliance with OP 28 of D.24-07-008 regarding  evidence to support any request to increase their cost caps.</w:t>
                  </w:r>
                </w:p>
              </w:tc>
              <w:tc>
                <w:tcPr>
                  <w:tcW w:w="1803" w:type="dxa"/>
                  <w:tcBorders>
                    <w:top w:val="nil"/>
                    <w:left w:val="nil"/>
                    <w:bottom w:val="single" w:color="auto" w:sz="4" w:space="0"/>
                    <w:right w:val="single" w:color="auto" w:sz="4" w:space="0"/>
                  </w:tcBorders>
                  <w:hideMark/>
                </w:tcPr>
                <w:p w:rsidRPr="00F94833" w:rsidR="00345EC1" w:rsidP="009C6C3E" w:rsidRDefault="00345EC1" w14:paraId="66028A30" w14:textId="40F4F58D">
                  <w:pPr>
                    <w:jc w:val="right"/>
                    <w:rPr>
                      <w:color w:val="000000"/>
                      <w:highlight w:val="yellow"/>
                    </w:rPr>
                  </w:pPr>
                  <w:r>
                    <w:rPr>
                      <w:color w:val="000000"/>
                    </w:rPr>
                    <w:t>4.</w:t>
                  </w:r>
                  <w:r w:rsidR="005A0878">
                    <w:rPr>
                      <w:color w:val="000000"/>
                    </w:rPr>
                    <w:t>54</w:t>
                  </w:r>
                  <w:r>
                    <w:rPr>
                      <w:color w:val="000000"/>
                    </w:rPr>
                    <w:t>%</w:t>
                  </w:r>
                </w:p>
              </w:tc>
            </w:tr>
            <w:tr w:rsidR="00345EC1" w:rsidTr="009C6C3E" w14:paraId="7EBF0104" w14:textId="77777777">
              <w:trPr>
                <w:trHeight w:val="624"/>
              </w:trPr>
              <w:tc>
                <w:tcPr>
                  <w:tcW w:w="1596" w:type="dxa"/>
                  <w:tcBorders>
                    <w:top w:val="nil"/>
                    <w:left w:val="single" w:color="auto" w:sz="4" w:space="0"/>
                    <w:bottom w:val="single" w:color="auto" w:sz="4" w:space="0"/>
                    <w:right w:val="single" w:color="auto" w:sz="4" w:space="0"/>
                  </w:tcBorders>
                  <w:hideMark/>
                </w:tcPr>
                <w:p w:rsidR="00345EC1" w:rsidP="00345EC1" w:rsidRDefault="00345EC1" w14:paraId="5DD2958F" w14:textId="3A32C891">
                  <w:pPr>
                    <w:jc w:val="center"/>
                    <w:rPr>
                      <w:color w:val="000000"/>
                    </w:rPr>
                  </w:pPr>
                  <w:r>
                    <w:t>Cost Caps (Coord)</w:t>
                  </w:r>
                </w:p>
              </w:tc>
              <w:tc>
                <w:tcPr>
                  <w:tcW w:w="3857" w:type="dxa"/>
                  <w:tcBorders>
                    <w:top w:val="nil"/>
                    <w:left w:val="nil"/>
                    <w:bottom w:val="single" w:color="auto" w:sz="4" w:space="0"/>
                    <w:right w:val="single" w:color="auto" w:sz="4" w:space="0"/>
                  </w:tcBorders>
                  <w:hideMark/>
                </w:tcPr>
                <w:p w:rsidR="00345EC1" w:rsidP="00345EC1" w:rsidRDefault="00345EC1" w14:paraId="72C08482" w14:textId="4F22AB6C">
                  <w:pPr>
                    <w:rPr>
                      <w:color w:val="000000"/>
                    </w:rPr>
                  </w:pPr>
                  <w:r>
                    <w:t>Work related to external coordination with other parties to inform TURN's efficient and effective participation that was not specific to one of the major issue areas addressed by TURN.</w:t>
                  </w:r>
                </w:p>
              </w:tc>
              <w:tc>
                <w:tcPr>
                  <w:tcW w:w="1803" w:type="dxa"/>
                  <w:tcBorders>
                    <w:top w:val="nil"/>
                    <w:left w:val="nil"/>
                    <w:bottom w:val="single" w:color="auto" w:sz="4" w:space="0"/>
                    <w:right w:val="single" w:color="auto" w:sz="4" w:space="0"/>
                  </w:tcBorders>
                  <w:hideMark/>
                </w:tcPr>
                <w:p w:rsidRPr="00F94833" w:rsidR="00345EC1" w:rsidP="009C6C3E" w:rsidRDefault="00345EC1" w14:paraId="5EA86F34" w14:textId="25D623E0">
                  <w:pPr>
                    <w:jc w:val="right"/>
                    <w:rPr>
                      <w:color w:val="000000"/>
                      <w:highlight w:val="yellow"/>
                    </w:rPr>
                  </w:pPr>
                  <w:r>
                    <w:rPr>
                      <w:color w:val="000000"/>
                    </w:rPr>
                    <w:t>1.5</w:t>
                  </w:r>
                  <w:r w:rsidR="005A0878">
                    <w:rPr>
                      <w:color w:val="000000"/>
                    </w:rPr>
                    <w:t>8</w:t>
                  </w:r>
                  <w:r>
                    <w:rPr>
                      <w:color w:val="000000"/>
                    </w:rPr>
                    <w:t>%</w:t>
                  </w:r>
                </w:p>
              </w:tc>
            </w:tr>
            <w:tr w:rsidR="00345EC1" w:rsidTr="009C6C3E" w14:paraId="5F3DFC5D" w14:textId="77777777">
              <w:trPr>
                <w:trHeight w:val="648"/>
              </w:trPr>
              <w:tc>
                <w:tcPr>
                  <w:tcW w:w="1596" w:type="dxa"/>
                  <w:tcBorders>
                    <w:top w:val="nil"/>
                    <w:left w:val="single" w:color="auto" w:sz="4" w:space="0"/>
                    <w:bottom w:val="single" w:color="auto" w:sz="4" w:space="0"/>
                    <w:right w:val="single" w:color="auto" w:sz="4" w:space="0"/>
                  </w:tcBorders>
                  <w:hideMark/>
                </w:tcPr>
                <w:p w:rsidR="00345EC1" w:rsidP="00345EC1" w:rsidRDefault="00345EC1" w14:paraId="00970293" w14:textId="69535CD6">
                  <w:pPr>
                    <w:jc w:val="center"/>
                    <w:rPr>
                      <w:color w:val="000000"/>
                    </w:rPr>
                  </w:pPr>
                  <w:r>
                    <w:t>Cost Caps (Response)</w:t>
                  </w:r>
                </w:p>
              </w:tc>
              <w:tc>
                <w:tcPr>
                  <w:tcW w:w="3857" w:type="dxa"/>
                  <w:tcBorders>
                    <w:top w:val="nil"/>
                    <w:left w:val="nil"/>
                    <w:bottom w:val="single" w:color="auto" w:sz="4" w:space="0"/>
                    <w:right w:val="single" w:color="auto" w:sz="4" w:space="0"/>
                  </w:tcBorders>
                  <w:hideMark/>
                </w:tcPr>
                <w:p w:rsidR="00345EC1" w:rsidP="00345EC1" w:rsidRDefault="00345EC1" w14:paraId="3C4A684A" w14:textId="0017218F">
                  <w:pPr>
                    <w:rPr>
                      <w:color w:val="000000"/>
                    </w:rPr>
                  </w:pPr>
                  <w:r>
                    <w:t>Researching and drafting response to PG&amp;E Motion to revise 2025 and 2026 energization cost caps covering multiple issues or not easily allocated to specific issue areas.</w:t>
                  </w:r>
                </w:p>
              </w:tc>
              <w:tc>
                <w:tcPr>
                  <w:tcW w:w="1803" w:type="dxa"/>
                  <w:tcBorders>
                    <w:top w:val="nil"/>
                    <w:left w:val="nil"/>
                    <w:bottom w:val="single" w:color="auto" w:sz="4" w:space="0"/>
                    <w:right w:val="single" w:color="auto" w:sz="4" w:space="0"/>
                  </w:tcBorders>
                  <w:hideMark/>
                </w:tcPr>
                <w:p w:rsidRPr="00F94833" w:rsidR="00345EC1" w:rsidP="009C6C3E" w:rsidRDefault="002A4360" w14:paraId="0D8FC324" w14:textId="72269F07">
                  <w:pPr>
                    <w:jc w:val="right"/>
                    <w:rPr>
                      <w:color w:val="000000"/>
                      <w:highlight w:val="yellow"/>
                    </w:rPr>
                  </w:pPr>
                  <w:r>
                    <w:rPr>
                      <w:color w:val="000000"/>
                    </w:rPr>
                    <w:t>4.08</w:t>
                  </w:r>
                  <w:r w:rsidR="00345EC1">
                    <w:rPr>
                      <w:color w:val="000000"/>
                    </w:rPr>
                    <w:t>%</w:t>
                  </w:r>
                </w:p>
              </w:tc>
            </w:tr>
            <w:tr w:rsidR="00345EC1" w:rsidTr="009C6C3E" w14:paraId="7139D79C" w14:textId="77777777">
              <w:trPr>
                <w:trHeight w:val="624"/>
              </w:trPr>
              <w:tc>
                <w:tcPr>
                  <w:tcW w:w="1596" w:type="dxa"/>
                  <w:tcBorders>
                    <w:top w:val="nil"/>
                    <w:left w:val="single" w:color="auto" w:sz="4" w:space="0"/>
                    <w:bottom w:val="single" w:color="auto" w:sz="4" w:space="0"/>
                    <w:right w:val="single" w:color="auto" w:sz="4" w:space="0"/>
                  </w:tcBorders>
                </w:tcPr>
                <w:p w:rsidR="00345EC1" w:rsidP="00345EC1" w:rsidRDefault="00345EC1" w14:paraId="77BBCFEA" w14:textId="0616A533">
                  <w:pPr>
                    <w:jc w:val="center"/>
                    <w:rPr>
                      <w:color w:val="000000"/>
                    </w:rPr>
                  </w:pPr>
                  <w:r>
                    <w:t>Cost Caps (</w:t>
                  </w:r>
                  <w:r w:rsidR="009C6C3E">
                    <w:t>F</w:t>
                  </w:r>
                  <w:r>
                    <w:t>orecasts)</w:t>
                  </w:r>
                </w:p>
              </w:tc>
              <w:tc>
                <w:tcPr>
                  <w:tcW w:w="3857" w:type="dxa"/>
                  <w:tcBorders>
                    <w:top w:val="nil"/>
                    <w:left w:val="nil"/>
                    <w:bottom w:val="single" w:color="auto" w:sz="4" w:space="0"/>
                    <w:right w:val="single" w:color="auto" w:sz="4" w:space="0"/>
                  </w:tcBorders>
                </w:tcPr>
                <w:p w:rsidR="00345EC1" w:rsidP="00345EC1" w:rsidRDefault="00345EC1" w14:paraId="7B244149" w14:textId="126F1DD4">
                  <w:pPr>
                    <w:rPr>
                      <w:color w:val="000000"/>
                    </w:rPr>
                  </w:pPr>
                  <w:r>
                    <w:t xml:space="preserve">Work related to determining cost forecasts eligibility for tracking in the SB 410 account and the interim cost recovery cap. Including issues with </w:t>
                  </w:r>
                  <w:r>
                    <w:lastRenderedPageBreak/>
                    <w:t>PG&amp;E's cost forecasts, forecasts of new customer applications &amp; MWC 16 work forecasting.</w:t>
                  </w:r>
                </w:p>
              </w:tc>
              <w:tc>
                <w:tcPr>
                  <w:tcW w:w="1803" w:type="dxa"/>
                  <w:tcBorders>
                    <w:top w:val="nil"/>
                    <w:left w:val="nil"/>
                    <w:bottom w:val="single" w:color="auto" w:sz="4" w:space="0"/>
                    <w:right w:val="single" w:color="auto" w:sz="4" w:space="0"/>
                  </w:tcBorders>
                </w:tcPr>
                <w:p w:rsidRPr="00F94833" w:rsidR="00345EC1" w:rsidP="009C6C3E" w:rsidRDefault="00345EC1" w14:paraId="38E98255" w14:textId="75EB830F">
                  <w:pPr>
                    <w:jc w:val="right"/>
                    <w:rPr>
                      <w:color w:val="000000"/>
                      <w:highlight w:val="yellow"/>
                    </w:rPr>
                  </w:pPr>
                  <w:r>
                    <w:rPr>
                      <w:color w:val="000000"/>
                    </w:rPr>
                    <w:lastRenderedPageBreak/>
                    <w:t>1</w:t>
                  </w:r>
                  <w:r w:rsidR="005A0878">
                    <w:rPr>
                      <w:color w:val="000000"/>
                    </w:rPr>
                    <w:t>4</w:t>
                  </w:r>
                  <w:r>
                    <w:rPr>
                      <w:color w:val="000000"/>
                    </w:rPr>
                    <w:t>.</w:t>
                  </w:r>
                  <w:r w:rsidR="005A0878">
                    <w:rPr>
                      <w:color w:val="000000"/>
                    </w:rPr>
                    <w:t>0</w:t>
                  </w:r>
                  <w:r>
                    <w:rPr>
                      <w:color w:val="000000"/>
                    </w:rPr>
                    <w:t>7%</w:t>
                  </w:r>
                </w:p>
              </w:tc>
            </w:tr>
            <w:tr w:rsidR="00345EC1" w:rsidTr="009C6C3E" w14:paraId="6E67CE8A" w14:textId="77777777">
              <w:trPr>
                <w:trHeight w:val="624"/>
              </w:trPr>
              <w:tc>
                <w:tcPr>
                  <w:tcW w:w="1596" w:type="dxa"/>
                  <w:tcBorders>
                    <w:top w:val="nil"/>
                    <w:left w:val="single" w:color="auto" w:sz="4" w:space="0"/>
                    <w:bottom w:val="single" w:color="auto" w:sz="4" w:space="0"/>
                    <w:right w:val="single" w:color="auto" w:sz="4" w:space="0"/>
                  </w:tcBorders>
                </w:tcPr>
                <w:p w:rsidR="00345EC1" w:rsidP="00345EC1" w:rsidRDefault="00345EC1" w14:paraId="218FF816" w14:textId="3A32D376">
                  <w:pPr>
                    <w:jc w:val="center"/>
                    <w:rPr>
                      <w:color w:val="000000"/>
                    </w:rPr>
                  </w:pPr>
                  <w:r>
                    <w:t>Cost Caps (</w:t>
                  </w:r>
                  <w:r w:rsidR="009C6C3E">
                    <w:t>D</w:t>
                  </w:r>
                  <w:r>
                    <w:t>isc)</w:t>
                  </w:r>
                </w:p>
              </w:tc>
              <w:tc>
                <w:tcPr>
                  <w:tcW w:w="3857" w:type="dxa"/>
                  <w:tcBorders>
                    <w:top w:val="nil"/>
                    <w:left w:val="nil"/>
                    <w:bottom w:val="single" w:color="auto" w:sz="4" w:space="0"/>
                    <w:right w:val="single" w:color="auto" w:sz="4" w:space="0"/>
                  </w:tcBorders>
                </w:tcPr>
                <w:p w:rsidR="00345EC1" w:rsidP="00345EC1" w:rsidRDefault="00345EC1" w14:paraId="2B2D2A5A" w14:textId="24B06A18">
                  <w:pPr>
                    <w:rPr>
                      <w:color w:val="000000"/>
                    </w:rPr>
                  </w:pPr>
                  <w:r>
                    <w:t>Work related to discovery, including the preparation and review of discovery documents, including responding to and analyzing data requests from other parties.</w:t>
                  </w:r>
                </w:p>
              </w:tc>
              <w:tc>
                <w:tcPr>
                  <w:tcW w:w="1803" w:type="dxa"/>
                  <w:tcBorders>
                    <w:top w:val="nil"/>
                    <w:left w:val="nil"/>
                    <w:bottom w:val="single" w:color="auto" w:sz="4" w:space="0"/>
                    <w:right w:val="single" w:color="auto" w:sz="4" w:space="0"/>
                  </w:tcBorders>
                </w:tcPr>
                <w:p w:rsidRPr="00F94833" w:rsidR="00345EC1" w:rsidP="009C6C3E" w:rsidRDefault="00345EC1" w14:paraId="7EBE87AC" w14:textId="3CD6094E">
                  <w:pPr>
                    <w:jc w:val="right"/>
                    <w:rPr>
                      <w:color w:val="000000"/>
                      <w:highlight w:val="yellow"/>
                    </w:rPr>
                  </w:pPr>
                  <w:r>
                    <w:rPr>
                      <w:color w:val="000000"/>
                    </w:rPr>
                    <w:t>18.</w:t>
                  </w:r>
                  <w:r w:rsidR="005A0878">
                    <w:rPr>
                      <w:color w:val="000000"/>
                    </w:rPr>
                    <w:t>71</w:t>
                  </w:r>
                  <w:r>
                    <w:rPr>
                      <w:color w:val="000000"/>
                    </w:rPr>
                    <w:t>%</w:t>
                  </w:r>
                </w:p>
              </w:tc>
            </w:tr>
            <w:tr w:rsidR="00345EC1" w:rsidTr="009C6C3E" w14:paraId="5985BF3D" w14:textId="77777777">
              <w:trPr>
                <w:trHeight w:val="624"/>
              </w:trPr>
              <w:tc>
                <w:tcPr>
                  <w:tcW w:w="1596" w:type="dxa"/>
                  <w:tcBorders>
                    <w:top w:val="nil"/>
                    <w:left w:val="single" w:color="auto" w:sz="4" w:space="0"/>
                    <w:bottom w:val="single" w:color="auto" w:sz="4" w:space="0"/>
                    <w:right w:val="single" w:color="auto" w:sz="4" w:space="0"/>
                  </w:tcBorders>
                </w:tcPr>
                <w:p w:rsidR="00345EC1" w:rsidP="00345EC1" w:rsidRDefault="00345EC1" w14:paraId="44DBF6A5" w14:textId="1E5DEF9F">
                  <w:pPr>
                    <w:jc w:val="center"/>
                    <w:rPr>
                      <w:color w:val="000000"/>
                    </w:rPr>
                  </w:pPr>
                  <w:r>
                    <w:t>Cost Caps (</w:t>
                  </w:r>
                  <w:r w:rsidR="009C6C3E">
                    <w:t>A</w:t>
                  </w:r>
                  <w:r>
                    <w:t>fford)</w:t>
                  </w:r>
                </w:p>
              </w:tc>
              <w:tc>
                <w:tcPr>
                  <w:tcW w:w="3857" w:type="dxa"/>
                  <w:tcBorders>
                    <w:top w:val="nil"/>
                    <w:left w:val="nil"/>
                    <w:bottom w:val="single" w:color="auto" w:sz="4" w:space="0"/>
                    <w:right w:val="single" w:color="auto" w:sz="4" w:space="0"/>
                  </w:tcBorders>
                </w:tcPr>
                <w:p w:rsidR="00345EC1" w:rsidP="00345EC1" w:rsidRDefault="00345EC1" w14:paraId="4591FB25" w14:textId="199E5A85">
                  <w:pPr>
                    <w:rPr>
                      <w:color w:val="000000"/>
                    </w:rPr>
                  </w:pPr>
                  <w:r>
                    <w:t>Work related to evaluating total costs, bill impacts, consistency with afford guidance from D.24-07-008 and PG&amp;E's contribution to margin analysis and addressing these issues in the response to PG&amp;E's motion to raise its cost caps, testimony and briefs.</w:t>
                  </w:r>
                </w:p>
              </w:tc>
              <w:tc>
                <w:tcPr>
                  <w:tcW w:w="1803" w:type="dxa"/>
                  <w:tcBorders>
                    <w:top w:val="nil"/>
                    <w:left w:val="nil"/>
                    <w:bottom w:val="single" w:color="auto" w:sz="4" w:space="0"/>
                    <w:right w:val="single" w:color="auto" w:sz="4" w:space="0"/>
                  </w:tcBorders>
                </w:tcPr>
                <w:p w:rsidRPr="00F94833" w:rsidR="00345EC1" w:rsidP="009C6C3E" w:rsidRDefault="00345EC1" w14:paraId="0C5CA72A" w14:textId="0D7FB15D">
                  <w:pPr>
                    <w:jc w:val="right"/>
                    <w:rPr>
                      <w:color w:val="000000"/>
                      <w:highlight w:val="yellow"/>
                    </w:rPr>
                  </w:pPr>
                  <w:r>
                    <w:rPr>
                      <w:color w:val="000000"/>
                    </w:rPr>
                    <w:t>9.</w:t>
                  </w:r>
                  <w:r w:rsidR="005A0878">
                    <w:rPr>
                      <w:color w:val="000000"/>
                    </w:rPr>
                    <w:t>59</w:t>
                  </w:r>
                  <w:r>
                    <w:rPr>
                      <w:color w:val="000000"/>
                    </w:rPr>
                    <w:t>%</w:t>
                  </w:r>
                </w:p>
              </w:tc>
            </w:tr>
            <w:tr w:rsidR="00345EC1" w:rsidTr="009C6C3E" w14:paraId="63997786" w14:textId="77777777">
              <w:trPr>
                <w:trHeight w:val="624"/>
              </w:trPr>
              <w:tc>
                <w:tcPr>
                  <w:tcW w:w="1596" w:type="dxa"/>
                  <w:tcBorders>
                    <w:top w:val="nil"/>
                    <w:left w:val="single" w:color="auto" w:sz="4" w:space="0"/>
                    <w:bottom w:val="single" w:color="auto" w:sz="4" w:space="0"/>
                    <w:right w:val="single" w:color="auto" w:sz="4" w:space="0"/>
                  </w:tcBorders>
                </w:tcPr>
                <w:p w:rsidR="00345EC1" w:rsidP="00345EC1" w:rsidRDefault="00345EC1" w14:paraId="4EB97CD7" w14:textId="6B4F9DCC">
                  <w:pPr>
                    <w:jc w:val="center"/>
                    <w:rPr>
                      <w:color w:val="000000"/>
                    </w:rPr>
                  </w:pPr>
                  <w:r>
                    <w:t>Cost Caps (Test)</w:t>
                  </w:r>
                </w:p>
              </w:tc>
              <w:tc>
                <w:tcPr>
                  <w:tcW w:w="3857" w:type="dxa"/>
                  <w:tcBorders>
                    <w:top w:val="nil"/>
                    <w:left w:val="nil"/>
                    <w:bottom w:val="single" w:color="auto" w:sz="4" w:space="0"/>
                    <w:right w:val="single" w:color="auto" w:sz="4" w:space="0"/>
                  </w:tcBorders>
                </w:tcPr>
                <w:p w:rsidR="00345EC1" w:rsidP="00345EC1" w:rsidRDefault="00345EC1" w14:paraId="3CF72669" w14:textId="083C0B18">
                  <w:pPr>
                    <w:rPr>
                      <w:color w:val="000000"/>
                    </w:rPr>
                  </w:pPr>
                  <w:r>
                    <w:t>Work related to developing TURN's testimony covering multiple issues or not easily allocated to specific major issue areas; also includes time spent reviewing and analyzing other parties' testimony, &amp; PG&amp;E</w:t>
                  </w:r>
                  <w:r w:rsidR="000E7E95">
                    <w:t>’</w:t>
                  </w:r>
                  <w:r>
                    <w:t>s rebuttal testimony and taking notes for discovery and briefs.</w:t>
                  </w:r>
                </w:p>
              </w:tc>
              <w:tc>
                <w:tcPr>
                  <w:tcW w:w="1803" w:type="dxa"/>
                  <w:tcBorders>
                    <w:top w:val="nil"/>
                    <w:left w:val="nil"/>
                    <w:bottom w:val="single" w:color="auto" w:sz="4" w:space="0"/>
                    <w:right w:val="single" w:color="auto" w:sz="4" w:space="0"/>
                  </w:tcBorders>
                </w:tcPr>
                <w:p w:rsidRPr="00F94833" w:rsidR="00345EC1" w:rsidP="009C6C3E" w:rsidRDefault="00345EC1" w14:paraId="70896FF8" w14:textId="7977B64E">
                  <w:pPr>
                    <w:jc w:val="right"/>
                    <w:rPr>
                      <w:color w:val="000000"/>
                      <w:highlight w:val="yellow"/>
                    </w:rPr>
                  </w:pPr>
                  <w:r>
                    <w:rPr>
                      <w:color w:val="000000"/>
                    </w:rPr>
                    <w:t>6.</w:t>
                  </w:r>
                  <w:r w:rsidR="005A0878">
                    <w:rPr>
                      <w:color w:val="000000"/>
                    </w:rPr>
                    <w:t>22</w:t>
                  </w:r>
                  <w:r>
                    <w:rPr>
                      <w:color w:val="000000"/>
                    </w:rPr>
                    <w:t>%</w:t>
                  </w:r>
                </w:p>
              </w:tc>
            </w:tr>
            <w:tr w:rsidR="00345EC1" w:rsidTr="009C6C3E" w14:paraId="17A465DF" w14:textId="77777777">
              <w:trPr>
                <w:trHeight w:val="624"/>
              </w:trPr>
              <w:tc>
                <w:tcPr>
                  <w:tcW w:w="1596" w:type="dxa"/>
                  <w:tcBorders>
                    <w:top w:val="nil"/>
                    <w:left w:val="single" w:color="auto" w:sz="4" w:space="0"/>
                    <w:bottom w:val="single" w:color="auto" w:sz="4" w:space="0"/>
                    <w:right w:val="single" w:color="auto" w:sz="4" w:space="0"/>
                  </w:tcBorders>
                </w:tcPr>
                <w:p w:rsidR="00345EC1" w:rsidP="00345EC1" w:rsidRDefault="00345EC1" w14:paraId="29C506BD" w14:textId="6906C0D1">
                  <w:pPr>
                    <w:jc w:val="center"/>
                    <w:rPr>
                      <w:color w:val="000000"/>
                    </w:rPr>
                  </w:pPr>
                  <w:r>
                    <w:t>Cost Caps (</w:t>
                  </w:r>
                  <w:r w:rsidR="009C6C3E">
                    <w:t>C</w:t>
                  </w:r>
                  <w:r>
                    <w:t xml:space="preserve">ut </w:t>
                  </w:r>
                  <w:r w:rsidR="009C6C3E">
                    <w:t>O</w:t>
                  </w:r>
                  <w:r>
                    <w:t>ff)</w:t>
                  </w:r>
                </w:p>
              </w:tc>
              <w:tc>
                <w:tcPr>
                  <w:tcW w:w="3857" w:type="dxa"/>
                  <w:tcBorders>
                    <w:top w:val="nil"/>
                    <w:left w:val="nil"/>
                    <w:bottom w:val="single" w:color="auto" w:sz="4" w:space="0"/>
                    <w:right w:val="single" w:color="auto" w:sz="4" w:space="0"/>
                  </w:tcBorders>
                </w:tcPr>
                <w:p w:rsidR="00345EC1" w:rsidP="00345EC1" w:rsidRDefault="00345EC1" w14:paraId="06A0534F" w14:textId="074C35C8">
                  <w:pPr>
                    <w:rPr>
                      <w:color w:val="000000"/>
                    </w:rPr>
                  </w:pPr>
                  <w:r>
                    <w:t>Work related to the eligibility of post 2026 projects costs for tracking in the SB 410 account.</w:t>
                  </w:r>
                </w:p>
              </w:tc>
              <w:tc>
                <w:tcPr>
                  <w:tcW w:w="1803" w:type="dxa"/>
                  <w:tcBorders>
                    <w:top w:val="nil"/>
                    <w:left w:val="nil"/>
                    <w:bottom w:val="single" w:color="auto" w:sz="4" w:space="0"/>
                    <w:right w:val="single" w:color="auto" w:sz="4" w:space="0"/>
                  </w:tcBorders>
                </w:tcPr>
                <w:p w:rsidRPr="00F94833" w:rsidR="00345EC1" w:rsidP="009C6C3E" w:rsidRDefault="00345EC1" w14:paraId="4FA8BE96" w14:textId="28F9C5D8">
                  <w:pPr>
                    <w:jc w:val="right"/>
                    <w:rPr>
                      <w:color w:val="000000"/>
                      <w:highlight w:val="yellow"/>
                    </w:rPr>
                  </w:pPr>
                  <w:r>
                    <w:rPr>
                      <w:color w:val="000000"/>
                    </w:rPr>
                    <w:t>3.6</w:t>
                  </w:r>
                  <w:r w:rsidR="005A0878">
                    <w:rPr>
                      <w:color w:val="000000"/>
                    </w:rPr>
                    <w:t>7</w:t>
                  </w:r>
                  <w:r>
                    <w:rPr>
                      <w:color w:val="000000"/>
                    </w:rPr>
                    <w:t>%</w:t>
                  </w:r>
                </w:p>
              </w:tc>
            </w:tr>
            <w:tr w:rsidR="00345EC1" w:rsidTr="009C6C3E" w14:paraId="6D1814DF" w14:textId="77777777">
              <w:trPr>
                <w:trHeight w:val="624"/>
              </w:trPr>
              <w:tc>
                <w:tcPr>
                  <w:tcW w:w="1596" w:type="dxa"/>
                  <w:tcBorders>
                    <w:top w:val="nil"/>
                    <w:left w:val="single" w:color="auto" w:sz="4" w:space="0"/>
                    <w:bottom w:val="single" w:color="auto" w:sz="4" w:space="0"/>
                    <w:right w:val="single" w:color="auto" w:sz="4" w:space="0"/>
                  </w:tcBorders>
                </w:tcPr>
                <w:p w:rsidR="00345EC1" w:rsidP="00345EC1" w:rsidRDefault="00345EC1" w14:paraId="71A3B3FA" w14:textId="06CD18DF">
                  <w:pPr>
                    <w:jc w:val="center"/>
                    <w:rPr>
                      <w:color w:val="000000"/>
                    </w:rPr>
                  </w:pPr>
                  <w:r>
                    <w:t>Cost Caps (DER)</w:t>
                  </w:r>
                </w:p>
              </w:tc>
              <w:tc>
                <w:tcPr>
                  <w:tcW w:w="3857" w:type="dxa"/>
                  <w:tcBorders>
                    <w:top w:val="nil"/>
                    <w:left w:val="nil"/>
                    <w:bottom w:val="single" w:color="auto" w:sz="4" w:space="0"/>
                    <w:right w:val="single" w:color="auto" w:sz="4" w:space="0"/>
                  </w:tcBorders>
                </w:tcPr>
                <w:p w:rsidR="00345EC1" w:rsidP="00345EC1" w:rsidRDefault="00345EC1" w14:paraId="303C8272" w14:textId="5781497D">
                  <w:pPr>
                    <w:rPr>
                      <w:color w:val="000000"/>
                    </w:rPr>
                  </w:pPr>
                  <w:r>
                    <w:t>Work related to evaluating the inclusion of DER projects in the cost caps and the impact of High DER decision on PG&amp;E's request.</w:t>
                  </w:r>
                </w:p>
              </w:tc>
              <w:tc>
                <w:tcPr>
                  <w:tcW w:w="1803" w:type="dxa"/>
                  <w:tcBorders>
                    <w:top w:val="nil"/>
                    <w:left w:val="nil"/>
                    <w:bottom w:val="single" w:color="auto" w:sz="4" w:space="0"/>
                    <w:right w:val="single" w:color="auto" w:sz="4" w:space="0"/>
                  </w:tcBorders>
                </w:tcPr>
                <w:p w:rsidRPr="00F94833" w:rsidR="00345EC1" w:rsidP="009C6C3E" w:rsidRDefault="00345EC1" w14:paraId="1C651660" w14:textId="3D8562D5">
                  <w:pPr>
                    <w:jc w:val="right"/>
                    <w:rPr>
                      <w:color w:val="000000"/>
                      <w:highlight w:val="yellow"/>
                    </w:rPr>
                  </w:pPr>
                  <w:r>
                    <w:rPr>
                      <w:color w:val="000000"/>
                    </w:rPr>
                    <w:t>1.5</w:t>
                  </w:r>
                  <w:r w:rsidR="005A0878">
                    <w:rPr>
                      <w:color w:val="000000"/>
                    </w:rPr>
                    <w:t>8</w:t>
                  </w:r>
                  <w:r>
                    <w:rPr>
                      <w:color w:val="000000"/>
                    </w:rPr>
                    <w:t>%</w:t>
                  </w:r>
                </w:p>
              </w:tc>
            </w:tr>
            <w:tr w:rsidR="00345EC1" w:rsidTr="009C6C3E" w14:paraId="630C0642" w14:textId="77777777">
              <w:trPr>
                <w:trHeight w:val="624"/>
              </w:trPr>
              <w:tc>
                <w:tcPr>
                  <w:tcW w:w="1596" w:type="dxa"/>
                  <w:tcBorders>
                    <w:top w:val="nil"/>
                    <w:left w:val="single" w:color="auto" w:sz="4" w:space="0"/>
                    <w:bottom w:val="single" w:color="auto" w:sz="4" w:space="0"/>
                    <w:right w:val="single" w:color="auto" w:sz="4" w:space="0"/>
                  </w:tcBorders>
                </w:tcPr>
                <w:p w:rsidR="00345EC1" w:rsidP="00345EC1" w:rsidRDefault="00345EC1" w14:paraId="41FF6D56" w14:textId="3FAC55F0">
                  <w:pPr>
                    <w:jc w:val="center"/>
                    <w:rPr>
                      <w:color w:val="000000"/>
                    </w:rPr>
                  </w:pPr>
                  <w:r>
                    <w:t>Cost Caps (</w:t>
                  </w:r>
                  <w:r w:rsidR="009C6C3E">
                    <w:t>B</w:t>
                  </w:r>
                  <w:r>
                    <w:t>riefs)</w:t>
                  </w:r>
                </w:p>
              </w:tc>
              <w:tc>
                <w:tcPr>
                  <w:tcW w:w="3857" w:type="dxa"/>
                  <w:tcBorders>
                    <w:top w:val="nil"/>
                    <w:left w:val="nil"/>
                    <w:bottom w:val="single" w:color="auto" w:sz="4" w:space="0"/>
                    <w:right w:val="single" w:color="auto" w:sz="4" w:space="0"/>
                  </w:tcBorders>
                </w:tcPr>
                <w:p w:rsidR="00345EC1" w:rsidP="00345EC1" w:rsidRDefault="00345EC1" w14:paraId="7F1254E1" w14:textId="5160BF89">
                  <w:pPr>
                    <w:rPr>
                      <w:color w:val="000000"/>
                    </w:rPr>
                  </w:pPr>
                  <w:r>
                    <w:t>Work related to briefing that was not</w:t>
                  </w:r>
                  <w:r>
                    <w:br/>
                    <w:t>specific to one of the major issue areas</w:t>
                  </w:r>
                  <w:r w:rsidR="00DF671F">
                    <w:t xml:space="preserve"> </w:t>
                  </w:r>
                  <w:r>
                    <w:t>addressed by TURN in its testimony.</w:t>
                  </w:r>
                </w:p>
              </w:tc>
              <w:tc>
                <w:tcPr>
                  <w:tcW w:w="1803" w:type="dxa"/>
                  <w:tcBorders>
                    <w:top w:val="nil"/>
                    <w:left w:val="nil"/>
                    <w:bottom w:val="single" w:color="auto" w:sz="4" w:space="0"/>
                    <w:right w:val="single" w:color="auto" w:sz="4" w:space="0"/>
                  </w:tcBorders>
                </w:tcPr>
                <w:p w:rsidRPr="00F94833" w:rsidR="00345EC1" w:rsidP="009C6C3E" w:rsidRDefault="00345EC1" w14:paraId="7D4F375E" w14:textId="029B40CA">
                  <w:pPr>
                    <w:jc w:val="right"/>
                    <w:rPr>
                      <w:color w:val="000000"/>
                      <w:highlight w:val="yellow"/>
                    </w:rPr>
                  </w:pPr>
                  <w:r>
                    <w:rPr>
                      <w:color w:val="000000"/>
                    </w:rPr>
                    <w:t>6.</w:t>
                  </w:r>
                  <w:r w:rsidR="005A0878">
                    <w:rPr>
                      <w:color w:val="000000"/>
                    </w:rPr>
                    <w:t>4</w:t>
                  </w:r>
                  <w:r>
                    <w:rPr>
                      <w:color w:val="000000"/>
                    </w:rPr>
                    <w:t>8%</w:t>
                  </w:r>
                </w:p>
              </w:tc>
            </w:tr>
            <w:tr w:rsidR="00345EC1" w:rsidTr="009C6C3E" w14:paraId="4376DFBA" w14:textId="77777777">
              <w:trPr>
                <w:trHeight w:val="624"/>
              </w:trPr>
              <w:tc>
                <w:tcPr>
                  <w:tcW w:w="1596" w:type="dxa"/>
                  <w:tcBorders>
                    <w:top w:val="nil"/>
                    <w:left w:val="single" w:color="auto" w:sz="4" w:space="0"/>
                    <w:bottom w:val="single" w:color="auto" w:sz="4" w:space="0"/>
                    <w:right w:val="single" w:color="auto" w:sz="4" w:space="0"/>
                  </w:tcBorders>
                  <w:hideMark/>
                </w:tcPr>
                <w:p w:rsidR="00345EC1" w:rsidP="00345EC1" w:rsidRDefault="00345EC1" w14:paraId="68077624" w14:textId="2790DE12">
                  <w:pPr>
                    <w:jc w:val="center"/>
                    <w:rPr>
                      <w:color w:val="000000"/>
                    </w:rPr>
                  </w:pPr>
                  <w:r>
                    <w:t>Cost Caps (PD)</w:t>
                  </w:r>
                </w:p>
              </w:tc>
              <w:tc>
                <w:tcPr>
                  <w:tcW w:w="3857" w:type="dxa"/>
                  <w:tcBorders>
                    <w:top w:val="nil"/>
                    <w:left w:val="nil"/>
                    <w:bottom w:val="single" w:color="auto" w:sz="4" w:space="0"/>
                    <w:right w:val="single" w:color="auto" w:sz="4" w:space="0"/>
                  </w:tcBorders>
                  <w:hideMark/>
                </w:tcPr>
                <w:p w:rsidR="00345EC1" w:rsidP="00345EC1" w:rsidRDefault="00345EC1" w14:paraId="014C34AC" w14:textId="77C0CDF3">
                  <w:pPr>
                    <w:rPr>
                      <w:color w:val="000000"/>
                    </w:rPr>
                  </w:pPr>
                  <w:r>
                    <w:t>Work related to reviewing and</w:t>
                  </w:r>
                  <w:r w:rsidR="00DF671F">
                    <w:t xml:space="preserve"> </w:t>
                  </w:r>
                  <w:r>
                    <w:t>commenting</w:t>
                  </w:r>
                  <w:r w:rsidR="00DF671F">
                    <w:t xml:space="preserve"> </w:t>
                  </w:r>
                  <w:r>
                    <w:t>on the proposed decision that preceded</w:t>
                  </w:r>
                  <w:r w:rsidR="00DF671F">
                    <w:t xml:space="preserve"> </w:t>
                  </w:r>
                  <w:r>
                    <w:t>D.25-08-036</w:t>
                  </w:r>
                  <w:r w:rsidR="0028748F">
                    <w:t xml:space="preserve">, and reviewing other parties opening comments on the PD, </w:t>
                  </w:r>
                  <w:r>
                    <w:t>not easily allocated to specific issue areas</w:t>
                  </w:r>
                  <w:r w:rsidR="0028748F">
                    <w:t xml:space="preserve">. Also includes limited time related to participating in </w:t>
                  </w:r>
                  <w:proofErr w:type="gramStart"/>
                  <w:r w:rsidR="0028748F">
                    <w:t xml:space="preserve">ex </w:t>
                  </w:r>
                  <w:proofErr w:type="spellStart"/>
                  <w:r w:rsidR="0028748F">
                    <w:t>parte</w:t>
                  </w:r>
                  <w:proofErr w:type="spellEnd"/>
                  <w:proofErr w:type="gramEnd"/>
                  <w:r w:rsidR="0028748F">
                    <w:t xml:space="preserve"> meetings with Commission staff regarding the PD and developing materials for the meetings.</w:t>
                  </w:r>
                </w:p>
              </w:tc>
              <w:tc>
                <w:tcPr>
                  <w:tcW w:w="1803" w:type="dxa"/>
                  <w:tcBorders>
                    <w:top w:val="nil"/>
                    <w:left w:val="nil"/>
                    <w:bottom w:val="single" w:color="auto" w:sz="4" w:space="0"/>
                    <w:right w:val="single" w:color="auto" w:sz="4" w:space="0"/>
                  </w:tcBorders>
                  <w:hideMark/>
                </w:tcPr>
                <w:p w:rsidRPr="00F94833" w:rsidR="00345EC1" w:rsidP="009C6C3E" w:rsidRDefault="005A0878" w14:paraId="638D6C0B" w14:textId="17D02A80">
                  <w:pPr>
                    <w:jc w:val="right"/>
                    <w:rPr>
                      <w:color w:val="000000"/>
                      <w:highlight w:val="yellow"/>
                    </w:rPr>
                  </w:pPr>
                  <w:r>
                    <w:rPr>
                      <w:color w:val="000000"/>
                    </w:rPr>
                    <w:t>5</w:t>
                  </w:r>
                  <w:r w:rsidR="00345EC1">
                    <w:rPr>
                      <w:color w:val="000000"/>
                    </w:rPr>
                    <w:t>.9</w:t>
                  </w:r>
                  <w:r>
                    <w:rPr>
                      <w:color w:val="000000"/>
                    </w:rPr>
                    <w:t>2</w:t>
                  </w:r>
                  <w:r w:rsidR="00345EC1">
                    <w:rPr>
                      <w:color w:val="000000"/>
                    </w:rPr>
                    <w:t>%</w:t>
                  </w:r>
                </w:p>
              </w:tc>
            </w:tr>
          </w:tbl>
          <w:p w:rsidR="00DD3CFB" w:rsidP="00902BA2" w:rsidRDefault="00DD3CFB" w14:paraId="0B3985EE" w14:textId="77777777">
            <w:pPr>
              <w:tabs>
                <w:tab w:val="left" w:pos="1260"/>
              </w:tabs>
              <w:spacing w:before="120"/>
              <w:rPr>
                <w:color w:val="000000"/>
              </w:rPr>
            </w:pPr>
          </w:p>
          <w:p w:rsidR="00B80E2F" w:rsidP="00902BA2" w:rsidRDefault="00B80E2F" w14:paraId="48226E7B" w14:textId="77777777">
            <w:pPr>
              <w:tabs>
                <w:tab w:val="left" w:pos="1260"/>
              </w:tabs>
              <w:spacing w:before="120"/>
              <w:rPr>
                <w:color w:val="000000"/>
              </w:rPr>
            </w:pPr>
          </w:p>
          <w:p w:rsidRPr="007F3D00" w:rsidR="00B80E2F" w:rsidP="00902BA2" w:rsidRDefault="00B80E2F" w14:paraId="6BF54B09" w14:textId="77777777">
            <w:pPr>
              <w:tabs>
                <w:tab w:val="left" w:pos="1260"/>
              </w:tabs>
              <w:spacing w:before="120"/>
              <w:rPr>
                <w:color w:val="000000"/>
              </w:rPr>
            </w:pPr>
          </w:p>
        </w:tc>
        <w:tc>
          <w:tcPr>
            <w:tcW w:w="2183" w:type="dxa"/>
          </w:tcPr>
          <w:p w:rsidR="00B80E2F" w:rsidP="005356B0" w:rsidRDefault="00B80E2F" w14:paraId="06FC2B5F" w14:textId="77777777">
            <w:pPr>
              <w:spacing w:before="120"/>
              <w:jc w:val="center"/>
              <w:rPr>
                <w:color w:val="000000"/>
              </w:rPr>
            </w:pPr>
          </w:p>
          <w:p w:rsidR="005356B0" w:rsidP="005356B0" w:rsidRDefault="005356B0" w14:paraId="3029B1F9" w14:textId="77777777">
            <w:pPr>
              <w:spacing w:before="120"/>
              <w:jc w:val="center"/>
              <w:rPr>
                <w:color w:val="000000"/>
              </w:rPr>
            </w:pPr>
          </w:p>
          <w:p w:rsidRPr="007F3D00" w:rsidR="005356B0" w:rsidP="005356B0" w:rsidRDefault="005356B0" w14:paraId="3C4C8524" w14:textId="71994E7D">
            <w:pPr>
              <w:spacing w:before="120"/>
              <w:jc w:val="center"/>
              <w:rPr>
                <w:color w:val="000000"/>
              </w:rPr>
            </w:pPr>
            <w:r>
              <w:rPr>
                <w:color w:val="000000"/>
              </w:rPr>
              <w:t>Noted</w:t>
            </w:r>
          </w:p>
        </w:tc>
      </w:tr>
    </w:tbl>
    <w:p w:rsidR="00625B30" w:rsidP="00625B30" w:rsidRDefault="00625B30" w14:paraId="49CCDC12" w14:textId="77777777"/>
    <w:p w:rsidRPr="00625B30" w:rsidR="00625B30" w:rsidP="00625B30" w:rsidRDefault="00625B30" w14:paraId="3E08D4A7" w14:textId="13495D3D">
      <w:pPr>
        <w:pStyle w:val="ListParagraph"/>
        <w:keepNext/>
        <w:numPr>
          <w:ilvl w:val="0"/>
          <w:numId w:val="7"/>
        </w:numPr>
        <w:spacing w:before="240" w:after="240"/>
        <w:rPr>
          <w:b/>
          <w:color w:val="000000"/>
        </w:rPr>
      </w:pPr>
      <w:r w:rsidRPr="00625B30">
        <w:rPr>
          <w:b/>
          <w:color w:val="000000"/>
        </w:rPr>
        <w:t>Specific Claim:*</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965"/>
        <w:gridCol w:w="382"/>
        <w:gridCol w:w="543"/>
        <w:gridCol w:w="1080"/>
        <w:gridCol w:w="286"/>
        <w:gridCol w:w="1154"/>
        <w:gridCol w:w="1137"/>
        <w:gridCol w:w="286"/>
        <w:gridCol w:w="955"/>
        <w:gridCol w:w="1146"/>
        <w:gridCol w:w="1881"/>
      </w:tblGrid>
      <w:tr w:rsidRPr="007F620E" w:rsidR="00625B30" w:rsidTr="0036244B" w14:paraId="492CE97E" w14:textId="77777777">
        <w:trPr>
          <w:tblHeader/>
          <w:jc w:val="center"/>
        </w:trPr>
        <w:tc>
          <w:tcPr>
            <w:tcW w:w="7178" w:type="dxa"/>
            <w:gridSpan w:val="9"/>
            <w:tcBorders>
              <w:bottom w:val="single" w:color="auto" w:sz="4" w:space="0"/>
              <w:right w:val="single" w:color="auto" w:sz="24" w:space="0"/>
            </w:tcBorders>
          </w:tcPr>
          <w:p w:rsidRPr="007F620E" w:rsidR="00625B30" w:rsidP="00625B30" w:rsidRDefault="00625B30" w14:paraId="09235B0D"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625B30" w:rsidP="00625B30" w:rsidRDefault="00625B30" w14:paraId="2C68BD24" w14:textId="77777777">
            <w:pPr>
              <w:keepNext/>
              <w:keepLines/>
              <w:spacing w:before="60" w:after="60"/>
              <w:jc w:val="center"/>
              <w:rPr>
                <w:b/>
                <w:smallCaps/>
                <w:color w:val="000000"/>
              </w:rPr>
            </w:pPr>
            <w:r w:rsidRPr="007F620E">
              <w:rPr>
                <w:b/>
                <w:smallCaps/>
                <w:color w:val="000000"/>
              </w:rPr>
              <w:t>CPUC Award</w:t>
            </w:r>
          </w:p>
        </w:tc>
      </w:tr>
      <w:tr w:rsidRPr="007F620E" w:rsidR="00625B30" w:rsidTr="0036244B" w14:paraId="1C6AD318"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625B30" w:rsidP="00625B30" w:rsidRDefault="00625B30" w14:paraId="5B065153" w14:textId="77777777">
            <w:pPr>
              <w:keepNext/>
              <w:keepLines/>
              <w:spacing w:before="60" w:after="60"/>
              <w:jc w:val="center"/>
              <w:rPr>
                <w:b/>
              </w:rPr>
            </w:pPr>
            <w:r w:rsidRPr="007F620E">
              <w:rPr>
                <w:b/>
              </w:rPr>
              <w:t>ATTORNEY, EXPERT, AND ADVOCATE FEES</w:t>
            </w:r>
          </w:p>
        </w:tc>
      </w:tr>
      <w:tr w:rsidRPr="00260518" w:rsidR="00625B30" w:rsidTr="001D366B" w14:paraId="7383E4C0" w14:textId="77777777">
        <w:trPr>
          <w:jc w:val="center"/>
        </w:trPr>
        <w:tc>
          <w:tcPr>
            <w:tcW w:w="1345" w:type="dxa"/>
            <w:tcBorders>
              <w:top w:val="single" w:color="auto" w:sz="4" w:space="0"/>
              <w:bottom w:val="single" w:color="auto" w:sz="4" w:space="0"/>
            </w:tcBorders>
            <w:vAlign w:val="bottom"/>
          </w:tcPr>
          <w:p w:rsidRPr="00260518" w:rsidR="00625B30" w:rsidP="00625B30" w:rsidRDefault="00625B30" w14:paraId="4930EF73" w14:textId="77777777">
            <w:pPr>
              <w:keepNext/>
              <w:keepLines/>
              <w:spacing w:before="60" w:after="60"/>
              <w:jc w:val="center"/>
              <w:rPr>
                <w:b/>
                <w:color w:val="000000"/>
                <w:sz w:val="22"/>
                <w:szCs w:val="22"/>
              </w:rPr>
            </w:pPr>
            <w:r w:rsidRPr="00260518">
              <w:rPr>
                <w:b/>
                <w:color w:val="000000"/>
                <w:sz w:val="22"/>
                <w:szCs w:val="22"/>
              </w:rPr>
              <w:t>Item</w:t>
            </w:r>
          </w:p>
        </w:tc>
        <w:tc>
          <w:tcPr>
            <w:tcW w:w="965" w:type="dxa"/>
            <w:tcBorders>
              <w:top w:val="single" w:color="auto" w:sz="4" w:space="0"/>
              <w:bottom w:val="single" w:color="auto" w:sz="4" w:space="0"/>
            </w:tcBorders>
            <w:vAlign w:val="bottom"/>
          </w:tcPr>
          <w:p w:rsidRPr="00260518" w:rsidR="00625B30" w:rsidP="00625B30" w:rsidRDefault="00625B30" w14:paraId="755EDD4D" w14:textId="77777777">
            <w:pPr>
              <w:keepNext/>
              <w:keepLines/>
              <w:spacing w:before="60" w:after="60"/>
              <w:jc w:val="center"/>
              <w:rPr>
                <w:b/>
                <w:color w:val="000000"/>
                <w:sz w:val="22"/>
                <w:szCs w:val="22"/>
              </w:rPr>
            </w:pPr>
            <w:r w:rsidRPr="00260518">
              <w:rPr>
                <w:b/>
                <w:color w:val="000000"/>
                <w:sz w:val="22"/>
                <w:szCs w:val="22"/>
              </w:rPr>
              <w:t>Year</w:t>
            </w:r>
          </w:p>
        </w:tc>
        <w:tc>
          <w:tcPr>
            <w:tcW w:w="925" w:type="dxa"/>
            <w:gridSpan w:val="2"/>
            <w:tcBorders>
              <w:top w:val="single" w:color="auto" w:sz="4" w:space="0"/>
              <w:bottom w:val="single" w:color="auto" w:sz="4" w:space="0"/>
            </w:tcBorders>
            <w:vAlign w:val="bottom"/>
          </w:tcPr>
          <w:p w:rsidRPr="00260518" w:rsidR="00625B30" w:rsidP="00625B30" w:rsidRDefault="00625B30" w14:paraId="535CBA99" w14:textId="77777777">
            <w:pPr>
              <w:keepNext/>
              <w:keepLines/>
              <w:spacing w:before="60" w:after="60"/>
              <w:jc w:val="center"/>
              <w:rPr>
                <w:b/>
                <w:color w:val="000000"/>
                <w:sz w:val="22"/>
                <w:szCs w:val="22"/>
              </w:rPr>
            </w:pPr>
            <w:r w:rsidRPr="00260518">
              <w:rPr>
                <w:b/>
                <w:color w:val="000000"/>
                <w:sz w:val="22"/>
                <w:szCs w:val="22"/>
              </w:rPr>
              <w:t>Hours</w:t>
            </w:r>
          </w:p>
        </w:tc>
        <w:tc>
          <w:tcPr>
            <w:tcW w:w="1080" w:type="dxa"/>
            <w:tcBorders>
              <w:top w:val="single" w:color="auto" w:sz="4" w:space="0"/>
              <w:bottom w:val="single" w:color="auto" w:sz="4" w:space="0"/>
            </w:tcBorders>
            <w:vAlign w:val="bottom"/>
          </w:tcPr>
          <w:p w:rsidRPr="00260518" w:rsidR="00625B30" w:rsidP="00625B30" w:rsidRDefault="00625B30" w14:paraId="276F6184" w14:textId="77777777">
            <w:pPr>
              <w:keepNext/>
              <w:keepLines/>
              <w:spacing w:before="60" w:after="60"/>
              <w:jc w:val="center"/>
              <w:rPr>
                <w:b/>
                <w:color w:val="000000"/>
                <w:sz w:val="22"/>
                <w:szCs w:val="22"/>
              </w:rPr>
            </w:pPr>
            <w:r w:rsidRPr="00260518">
              <w:rPr>
                <w:b/>
                <w:color w:val="000000"/>
                <w:sz w:val="22"/>
                <w:szCs w:val="22"/>
              </w:rPr>
              <w:t>Rate $</w:t>
            </w:r>
          </w:p>
        </w:tc>
        <w:tc>
          <w:tcPr>
            <w:tcW w:w="1440" w:type="dxa"/>
            <w:gridSpan w:val="2"/>
            <w:tcBorders>
              <w:top w:val="single" w:color="auto" w:sz="4" w:space="0"/>
              <w:bottom w:val="single" w:color="auto" w:sz="4" w:space="0"/>
              <w:right w:val="single" w:color="auto" w:sz="4" w:space="0"/>
            </w:tcBorders>
            <w:vAlign w:val="bottom"/>
          </w:tcPr>
          <w:p w:rsidRPr="00260518" w:rsidR="00625B30" w:rsidP="00625B30" w:rsidRDefault="00625B30" w14:paraId="76FCC7F0" w14:textId="77777777">
            <w:pPr>
              <w:keepNext/>
              <w:keepLines/>
              <w:spacing w:before="60" w:after="60"/>
              <w:jc w:val="center"/>
              <w:rPr>
                <w:b/>
                <w:color w:val="000000"/>
                <w:sz w:val="22"/>
                <w:szCs w:val="22"/>
              </w:rPr>
            </w:pPr>
            <w:r w:rsidRPr="00260518">
              <w:rPr>
                <w:b/>
                <w:color w:val="000000"/>
                <w:sz w:val="22"/>
                <w:szCs w:val="22"/>
              </w:rPr>
              <w:t>Basis for Rate*</w:t>
            </w:r>
          </w:p>
        </w:tc>
        <w:tc>
          <w:tcPr>
            <w:tcW w:w="1423" w:type="dxa"/>
            <w:gridSpan w:val="2"/>
            <w:tcBorders>
              <w:top w:val="single" w:color="auto" w:sz="4" w:space="0"/>
              <w:left w:val="single" w:color="auto" w:sz="4" w:space="0"/>
              <w:bottom w:val="single" w:color="auto" w:sz="4" w:space="0"/>
              <w:right w:val="single" w:color="auto" w:sz="24" w:space="0"/>
            </w:tcBorders>
            <w:vAlign w:val="bottom"/>
          </w:tcPr>
          <w:p w:rsidRPr="00260518" w:rsidR="00625B30" w:rsidP="00625B30" w:rsidRDefault="00625B30" w14:paraId="5A8F2ADC"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625B30" w:rsidP="00625B30" w:rsidRDefault="00625B30" w14:paraId="416C30AF"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625B30" w:rsidP="00625B30" w:rsidRDefault="00625B30" w14:paraId="6E947F97" w14:textId="77777777">
            <w:pPr>
              <w:keepNext/>
              <w:keepLines/>
              <w:spacing w:before="60" w:after="60"/>
              <w:jc w:val="center"/>
              <w:rPr>
                <w:b/>
                <w:color w:val="000000"/>
                <w:sz w:val="22"/>
                <w:szCs w:val="22"/>
              </w:rPr>
            </w:pPr>
            <w:r w:rsidRPr="00260518">
              <w:rPr>
                <w:b/>
                <w:color w:val="000000"/>
                <w:sz w:val="22"/>
                <w:szCs w:val="22"/>
              </w:rPr>
              <w:t>Rate $</w:t>
            </w:r>
          </w:p>
        </w:tc>
        <w:tc>
          <w:tcPr>
            <w:tcW w:w="1881" w:type="dxa"/>
            <w:tcBorders>
              <w:top w:val="single" w:color="auto" w:sz="4" w:space="0"/>
            </w:tcBorders>
            <w:vAlign w:val="bottom"/>
          </w:tcPr>
          <w:p w:rsidRPr="00260518" w:rsidR="00625B30" w:rsidP="00625B30" w:rsidRDefault="00625B30" w14:paraId="51EFB1C6" w14:textId="77777777">
            <w:pPr>
              <w:keepNext/>
              <w:keepLines/>
              <w:spacing w:before="60" w:after="60"/>
              <w:jc w:val="center"/>
              <w:rPr>
                <w:b/>
                <w:color w:val="000000"/>
                <w:sz w:val="22"/>
                <w:szCs w:val="22"/>
              </w:rPr>
            </w:pPr>
            <w:r w:rsidRPr="00260518">
              <w:rPr>
                <w:b/>
                <w:color w:val="000000"/>
                <w:sz w:val="22"/>
                <w:szCs w:val="22"/>
              </w:rPr>
              <w:t>Total $</w:t>
            </w:r>
          </w:p>
        </w:tc>
      </w:tr>
      <w:tr w:rsidRPr="007F620E" w:rsidR="00CC7DA2" w:rsidTr="00CC7DA2" w14:paraId="16E12E1D" w14:textId="77777777">
        <w:trPr>
          <w:jc w:val="center"/>
        </w:trPr>
        <w:tc>
          <w:tcPr>
            <w:tcW w:w="1345" w:type="dxa"/>
          </w:tcPr>
          <w:p w:rsidRPr="00F94833" w:rsidR="00CC7DA2" w:rsidP="00CC7DA2" w:rsidRDefault="00CC7DA2" w14:paraId="25EB8234" w14:textId="628C3A6B">
            <w:pPr>
              <w:spacing w:before="60" w:after="60"/>
              <w:rPr>
                <w:color w:val="000000"/>
                <w:highlight w:val="yellow"/>
              </w:rPr>
            </w:pPr>
            <w:r>
              <w:rPr>
                <w:color w:val="000000"/>
              </w:rPr>
              <w:t>Elise Torres, TURN Attorney</w:t>
            </w:r>
          </w:p>
        </w:tc>
        <w:tc>
          <w:tcPr>
            <w:tcW w:w="965" w:type="dxa"/>
          </w:tcPr>
          <w:p w:rsidRPr="00F94833" w:rsidR="00CC7DA2" w:rsidP="00CC7DA2" w:rsidRDefault="00CC7DA2" w14:paraId="56EEC04F" w14:textId="6B90B69D">
            <w:pPr>
              <w:spacing w:before="60" w:after="60"/>
              <w:rPr>
                <w:color w:val="000000"/>
                <w:highlight w:val="yellow"/>
              </w:rPr>
            </w:pPr>
            <w:r>
              <w:rPr>
                <w:color w:val="000000"/>
              </w:rPr>
              <w:t>2024</w:t>
            </w:r>
          </w:p>
        </w:tc>
        <w:tc>
          <w:tcPr>
            <w:tcW w:w="925" w:type="dxa"/>
            <w:gridSpan w:val="2"/>
          </w:tcPr>
          <w:p w:rsidRPr="00F94833" w:rsidR="00CC7DA2" w:rsidP="00CC7DA2" w:rsidRDefault="00CC7DA2" w14:paraId="2054721D" w14:textId="769BBB56">
            <w:pPr>
              <w:spacing w:before="60" w:after="60"/>
              <w:rPr>
                <w:color w:val="000000"/>
                <w:highlight w:val="yellow"/>
              </w:rPr>
            </w:pPr>
            <w:r>
              <w:rPr>
                <w:color w:val="000000"/>
              </w:rPr>
              <w:t xml:space="preserve">  93.75 </w:t>
            </w:r>
          </w:p>
        </w:tc>
        <w:tc>
          <w:tcPr>
            <w:tcW w:w="1080" w:type="dxa"/>
          </w:tcPr>
          <w:p w:rsidRPr="002D05CE" w:rsidR="00CC7DA2" w:rsidP="00CC7DA2" w:rsidRDefault="00CC7DA2" w14:paraId="62AA8D16" w14:textId="791225FE">
            <w:pPr>
              <w:spacing w:before="60" w:after="60"/>
              <w:rPr>
                <w:color w:val="000000"/>
                <w:highlight w:val="yellow"/>
              </w:rPr>
            </w:pPr>
            <w:r w:rsidRPr="002D05CE">
              <w:rPr>
                <w:color w:val="000000"/>
              </w:rPr>
              <w:t>$555.00</w:t>
            </w:r>
          </w:p>
        </w:tc>
        <w:tc>
          <w:tcPr>
            <w:tcW w:w="1440" w:type="dxa"/>
            <w:gridSpan w:val="2"/>
            <w:tcBorders>
              <w:right w:val="single" w:color="auto" w:sz="4" w:space="0"/>
            </w:tcBorders>
          </w:tcPr>
          <w:p w:rsidRPr="00F94833" w:rsidR="00CC7DA2" w:rsidP="00CC7DA2" w:rsidRDefault="00CC7DA2" w14:paraId="43F37AEE" w14:textId="347946A1">
            <w:pPr>
              <w:spacing w:before="60" w:after="60"/>
              <w:rPr>
                <w:color w:val="000000"/>
                <w:highlight w:val="yellow"/>
              </w:rPr>
            </w:pPr>
            <w:r>
              <w:rPr>
                <w:color w:val="000000"/>
              </w:rPr>
              <w:t>D.25-03-022</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6EBFD28D" w14:textId="6A2594B6">
            <w:pPr>
              <w:spacing w:before="60" w:after="60"/>
              <w:rPr>
                <w:color w:val="000000"/>
                <w:highlight w:val="yellow"/>
              </w:rPr>
            </w:pPr>
            <w:r>
              <w:rPr>
                <w:color w:val="000000"/>
              </w:rPr>
              <w:t xml:space="preserve"> $ 52,031.25 </w:t>
            </w:r>
          </w:p>
        </w:tc>
        <w:tc>
          <w:tcPr>
            <w:tcW w:w="955" w:type="dxa"/>
            <w:tcBorders>
              <w:left w:val="single" w:color="auto" w:sz="4" w:space="0"/>
            </w:tcBorders>
          </w:tcPr>
          <w:p w:rsidRPr="007F620E" w:rsidR="00CC7DA2" w:rsidP="00CC7DA2" w:rsidRDefault="00CC7DA2" w14:paraId="4FFD601C" w14:textId="4BDA87F6">
            <w:pPr>
              <w:spacing w:before="60" w:after="60"/>
              <w:jc w:val="center"/>
              <w:rPr>
                <w:color w:val="000000"/>
              </w:rPr>
            </w:pPr>
            <w:r>
              <w:rPr>
                <w:color w:val="000000"/>
              </w:rPr>
              <w:t>93.75</w:t>
            </w:r>
          </w:p>
        </w:tc>
        <w:tc>
          <w:tcPr>
            <w:tcW w:w="1146" w:type="dxa"/>
          </w:tcPr>
          <w:p w:rsidRPr="007F620E" w:rsidR="00CC7DA2" w:rsidP="00CC7DA2" w:rsidRDefault="00CC7DA2" w14:paraId="465CF9CC" w14:textId="09C2A943">
            <w:pPr>
              <w:spacing w:before="60" w:after="60"/>
              <w:jc w:val="center"/>
              <w:rPr>
                <w:color w:val="000000"/>
              </w:rPr>
            </w:pPr>
            <w:r>
              <w:rPr>
                <w:color w:val="000000"/>
              </w:rPr>
              <w:t>$555.00 [1]</w:t>
            </w:r>
          </w:p>
        </w:tc>
        <w:tc>
          <w:tcPr>
            <w:tcW w:w="1881" w:type="dxa"/>
          </w:tcPr>
          <w:p w:rsidRPr="007F620E" w:rsidR="00CC7DA2" w:rsidP="00CC7DA2" w:rsidRDefault="00CC7DA2" w14:paraId="77E7E8F6" w14:textId="4E7C9488">
            <w:pPr>
              <w:spacing w:before="60" w:after="60"/>
              <w:jc w:val="right"/>
              <w:rPr>
                <w:color w:val="000000"/>
              </w:rPr>
            </w:pPr>
            <w:r w:rsidRPr="00152D7C">
              <w:t xml:space="preserve">$52,031.25 </w:t>
            </w:r>
          </w:p>
        </w:tc>
      </w:tr>
      <w:tr w:rsidRPr="007F620E" w:rsidR="00CC7DA2" w:rsidTr="00CC7DA2" w14:paraId="0DB0F52D" w14:textId="77777777">
        <w:trPr>
          <w:jc w:val="center"/>
        </w:trPr>
        <w:tc>
          <w:tcPr>
            <w:tcW w:w="1345" w:type="dxa"/>
          </w:tcPr>
          <w:p w:rsidRPr="00F94833" w:rsidR="00CC7DA2" w:rsidP="00CC7DA2" w:rsidRDefault="00CC7DA2" w14:paraId="57B2D50B" w14:textId="7370EE24">
            <w:pPr>
              <w:spacing w:before="60" w:after="60"/>
              <w:rPr>
                <w:color w:val="000000"/>
                <w:highlight w:val="yellow"/>
              </w:rPr>
            </w:pPr>
            <w:r>
              <w:rPr>
                <w:color w:val="000000"/>
              </w:rPr>
              <w:t>Elise Torres, TURN Attorney</w:t>
            </w:r>
          </w:p>
        </w:tc>
        <w:tc>
          <w:tcPr>
            <w:tcW w:w="965" w:type="dxa"/>
          </w:tcPr>
          <w:p w:rsidRPr="00F94833" w:rsidR="00CC7DA2" w:rsidP="00CC7DA2" w:rsidRDefault="00CC7DA2" w14:paraId="02A3DDEB" w14:textId="4042150C">
            <w:pPr>
              <w:spacing w:before="60" w:after="60"/>
              <w:rPr>
                <w:color w:val="000000"/>
                <w:highlight w:val="yellow"/>
              </w:rPr>
            </w:pPr>
            <w:r>
              <w:rPr>
                <w:color w:val="000000"/>
              </w:rPr>
              <w:t>2025</w:t>
            </w:r>
          </w:p>
        </w:tc>
        <w:tc>
          <w:tcPr>
            <w:tcW w:w="925" w:type="dxa"/>
            <w:gridSpan w:val="2"/>
          </w:tcPr>
          <w:p w:rsidRPr="00F94833" w:rsidR="00CC7DA2" w:rsidP="00CC7DA2" w:rsidRDefault="00CC7DA2" w14:paraId="63852875" w14:textId="016903FE">
            <w:pPr>
              <w:spacing w:before="60" w:after="60"/>
              <w:rPr>
                <w:color w:val="000000"/>
                <w:highlight w:val="yellow"/>
              </w:rPr>
            </w:pPr>
            <w:r>
              <w:rPr>
                <w:color w:val="000000"/>
              </w:rPr>
              <w:t xml:space="preserve">  91.00 </w:t>
            </w:r>
          </w:p>
        </w:tc>
        <w:tc>
          <w:tcPr>
            <w:tcW w:w="1080" w:type="dxa"/>
          </w:tcPr>
          <w:p w:rsidRPr="002D05CE" w:rsidR="00CC7DA2" w:rsidP="00CC7DA2" w:rsidRDefault="00CC7DA2" w14:paraId="066DF12B" w14:textId="2170AD80">
            <w:pPr>
              <w:spacing w:before="60" w:after="60"/>
              <w:rPr>
                <w:color w:val="000000"/>
                <w:highlight w:val="yellow"/>
              </w:rPr>
            </w:pPr>
            <w:r w:rsidRPr="002D05CE">
              <w:rPr>
                <w:color w:val="000000"/>
              </w:rPr>
              <w:t>$600.00</w:t>
            </w:r>
          </w:p>
        </w:tc>
        <w:tc>
          <w:tcPr>
            <w:tcW w:w="1440" w:type="dxa"/>
            <w:gridSpan w:val="2"/>
            <w:tcBorders>
              <w:right w:val="single" w:color="auto" w:sz="4" w:space="0"/>
            </w:tcBorders>
          </w:tcPr>
          <w:p w:rsidRPr="00F94833" w:rsidR="00CC7DA2" w:rsidP="00CC7DA2" w:rsidRDefault="00CC7DA2" w14:paraId="42C9AEE0" w14:textId="15BFFAA5">
            <w:pPr>
              <w:spacing w:before="60" w:after="60"/>
              <w:rPr>
                <w:color w:val="000000"/>
                <w:highlight w:val="yellow"/>
              </w:rPr>
            </w:pPr>
            <w:r>
              <w:rPr>
                <w:color w:val="000000"/>
              </w:rPr>
              <w:t>Res. ALJ-393, 2024 rate plus 3.46% COLA and additional  increase for move to Attorney - Level IV experience tier. See Comment 1</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4E46A050" w14:textId="385D8071">
            <w:pPr>
              <w:spacing w:before="60" w:after="60"/>
              <w:rPr>
                <w:color w:val="000000"/>
                <w:highlight w:val="yellow"/>
              </w:rPr>
            </w:pPr>
            <w:r>
              <w:rPr>
                <w:color w:val="000000"/>
              </w:rPr>
              <w:t xml:space="preserve"> $54,600.00 </w:t>
            </w:r>
          </w:p>
        </w:tc>
        <w:tc>
          <w:tcPr>
            <w:tcW w:w="955" w:type="dxa"/>
            <w:tcBorders>
              <w:left w:val="single" w:color="auto" w:sz="4" w:space="0"/>
            </w:tcBorders>
          </w:tcPr>
          <w:p w:rsidRPr="007F620E" w:rsidR="00CC7DA2" w:rsidP="00CC7DA2" w:rsidRDefault="00CC7DA2" w14:paraId="06810E35" w14:textId="11A70E1F">
            <w:pPr>
              <w:spacing w:before="60" w:after="60"/>
              <w:jc w:val="center"/>
              <w:rPr>
                <w:color w:val="000000"/>
              </w:rPr>
            </w:pPr>
            <w:r>
              <w:rPr>
                <w:color w:val="000000"/>
              </w:rPr>
              <w:t>91.00</w:t>
            </w:r>
          </w:p>
        </w:tc>
        <w:tc>
          <w:tcPr>
            <w:tcW w:w="1146" w:type="dxa"/>
          </w:tcPr>
          <w:p w:rsidRPr="007F620E" w:rsidR="00CC7DA2" w:rsidP="00CC7DA2" w:rsidRDefault="00CC7DA2" w14:paraId="200AC55F" w14:textId="256ACB03">
            <w:pPr>
              <w:spacing w:before="60" w:after="60"/>
              <w:jc w:val="center"/>
              <w:rPr>
                <w:color w:val="000000"/>
              </w:rPr>
            </w:pPr>
            <w:r>
              <w:rPr>
                <w:color w:val="000000"/>
              </w:rPr>
              <w:t>$600.00 [1]</w:t>
            </w:r>
          </w:p>
        </w:tc>
        <w:tc>
          <w:tcPr>
            <w:tcW w:w="1881" w:type="dxa"/>
          </w:tcPr>
          <w:p w:rsidRPr="007F620E" w:rsidR="00CC7DA2" w:rsidP="00CC7DA2" w:rsidRDefault="00CC7DA2" w14:paraId="5842973D" w14:textId="1C5B12A7">
            <w:pPr>
              <w:spacing w:before="60" w:after="60"/>
              <w:jc w:val="right"/>
              <w:rPr>
                <w:color w:val="000000"/>
              </w:rPr>
            </w:pPr>
            <w:r w:rsidRPr="00152D7C">
              <w:t xml:space="preserve">$54,600.00 </w:t>
            </w:r>
          </w:p>
        </w:tc>
      </w:tr>
      <w:tr w:rsidRPr="007F620E" w:rsidR="00CC7DA2" w:rsidTr="00CC7DA2" w14:paraId="6EA8AF38" w14:textId="77777777">
        <w:trPr>
          <w:jc w:val="center"/>
        </w:trPr>
        <w:tc>
          <w:tcPr>
            <w:tcW w:w="1345" w:type="dxa"/>
          </w:tcPr>
          <w:p w:rsidRPr="00F94833" w:rsidR="00CC7DA2" w:rsidP="00CC7DA2" w:rsidRDefault="00CC7DA2" w14:paraId="3F0508E7" w14:textId="0179373A">
            <w:pPr>
              <w:spacing w:before="60" w:after="60"/>
              <w:rPr>
                <w:color w:val="000000"/>
                <w:highlight w:val="yellow"/>
              </w:rPr>
            </w:pPr>
            <w:r>
              <w:rPr>
                <w:color w:val="000000"/>
              </w:rPr>
              <w:t>Hayley Goodson, TURN Attorney</w:t>
            </w:r>
          </w:p>
        </w:tc>
        <w:tc>
          <w:tcPr>
            <w:tcW w:w="965" w:type="dxa"/>
          </w:tcPr>
          <w:p w:rsidRPr="00F94833" w:rsidR="00CC7DA2" w:rsidP="00CC7DA2" w:rsidRDefault="00CC7DA2" w14:paraId="3F33592A" w14:textId="4C473DE3">
            <w:pPr>
              <w:spacing w:before="60" w:after="60"/>
              <w:rPr>
                <w:color w:val="000000"/>
                <w:highlight w:val="yellow"/>
              </w:rPr>
            </w:pPr>
            <w:r>
              <w:rPr>
                <w:color w:val="000000"/>
              </w:rPr>
              <w:t>2024</w:t>
            </w:r>
          </w:p>
        </w:tc>
        <w:tc>
          <w:tcPr>
            <w:tcW w:w="925" w:type="dxa"/>
            <w:gridSpan w:val="2"/>
          </w:tcPr>
          <w:p w:rsidRPr="00F94833" w:rsidR="00CC7DA2" w:rsidP="00CC7DA2" w:rsidRDefault="00CC7DA2" w14:paraId="2FF07288" w14:textId="78364B7B">
            <w:pPr>
              <w:spacing w:before="60" w:after="60"/>
              <w:rPr>
                <w:color w:val="000000"/>
                <w:highlight w:val="yellow"/>
              </w:rPr>
            </w:pPr>
            <w:r>
              <w:rPr>
                <w:color w:val="000000"/>
              </w:rPr>
              <w:t xml:space="preserve">  9.50 </w:t>
            </w:r>
          </w:p>
        </w:tc>
        <w:tc>
          <w:tcPr>
            <w:tcW w:w="1080" w:type="dxa"/>
          </w:tcPr>
          <w:p w:rsidRPr="002D05CE" w:rsidR="00CC7DA2" w:rsidP="00CC7DA2" w:rsidRDefault="00CC7DA2" w14:paraId="36668FD1" w14:textId="36A2ABE1">
            <w:pPr>
              <w:spacing w:before="60" w:after="60"/>
              <w:rPr>
                <w:color w:val="000000"/>
                <w:highlight w:val="yellow"/>
              </w:rPr>
            </w:pPr>
            <w:r w:rsidRPr="002D05CE">
              <w:rPr>
                <w:color w:val="000000"/>
              </w:rPr>
              <w:t>$680.00</w:t>
            </w:r>
          </w:p>
        </w:tc>
        <w:tc>
          <w:tcPr>
            <w:tcW w:w="1440" w:type="dxa"/>
            <w:gridSpan w:val="2"/>
            <w:tcBorders>
              <w:right w:val="single" w:color="auto" w:sz="4" w:space="0"/>
            </w:tcBorders>
          </w:tcPr>
          <w:p w:rsidRPr="00F94833" w:rsidR="00CC7DA2" w:rsidP="00CC7DA2" w:rsidRDefault="00CC7DA2" w14:paraId="17A8188C" w14:textId="79D759C4">
            <w:pPr>
              <w:spacing w:before="60" w:after="60"/>
              <w:rPr>
                <w:color w:val="000000"/>
                <w:highlight w:val="yellow"/>
              </w:rPr>
            </w:pPr>
            <w:r>
              <w:rPr>
                <w:color w:val="000000"/>
              </w:rPr>
              <w:t>D.24-09-017</w:t>
            </w:r>
          </w:p>
        </w:tc>
        <w:tc>
          <w:tcPr>
            <w:tcW w:w="1423" w:type="dxa"/>
            <w:gridSpan w:val="2"/>
            <w:tcBorders>
              <w:top w:val="single" w:color="auto" w:sz="4" w:space="0"/>
              <w:left w:val="single" w:color="auto" w:sz="4" w:space="0"/>
              <w:bottom w:val="single" w:color="auto" w:sz="4" w:space="0"/>
              <w:right w:val="single" w:color="auto" w:sz="24" w:space="0"/>
            </w:tcBorders>
          </w:tcPr>
          <w:p w:rsidRPr="005A0878" w:rsidR="00CC7DA2" w:rsidP="00CC7DA2" w:rsidRDefault="00CC7DA2" w14:paraId="092B0A3B" w14:textId="2D1CA5DB">
            <w:pPr>
              <w:spacing w:before="60" w:after="60"/>
              <w:rPr>
                <w:color w:val="000000"/>
              </w:rPr>
            </w:pPr>
            <w:r w:rsidRPr="005A0878">
              <w:rPr>
                <w:color w:val="000000"/>
              </w:rPr>
              <w:t xml:space="preserve">$6,460.00 </w:t>
            </w:r>
          </w:p>
          <w:p w:rsidRPr="00F94833" w:rsidR="00CC7DA2" w:rsidP="00CC7DA2" w:rsidRDefault="00CC7DA2" w14:paraId="26C2819C" w14:textId="6F9AA82B">
            <w:pPr>
              <w:spacing w:before="60" w:after="60"/>
              <w:rPr>
                <w:color w:val="000000"/>
                <w:highlight w:val="yellow"/>
              </w:rPr>
            </w:pPr>
          </w:p>
        </w:tc>
        <w:tc>
          <w:tcPr>
            <w:tcW w:w="955" w:type="dxa"/>
            <w:tcBorders>
              <w:left w:val="single" w:color="auto" w:sz="4" w:space="0"/>
            </w:tcBorders>
          </w:tcPr>
          <w:p w:rsidRPr="007F620E" w:rsidR="00CC7DA2" w:rsidP="00CC7DA2" w:rsidRDefault="00CC7DA2" w14:paraId="0EF313D8" w14:textId="14E760D1">
            <w:pPr>
              <w:spacing w:before="60" w:after="60"/>
              <w:jc w:val="center"/>
              <w:rPr>
                <w:color w:val="000000"/>
              </w:rPr>
            </w:pPr>
            <w:r>
              <w:rPr>
                <w:color w:val="000000"/>
              </w:rPr>
              <w:t>9.50</w:t>
            </w:r>
          </w:p>
        </w:tc>
        <w:tc>
          <w:tcPr>
            <w:tcW w:w="1146" w:type="dxa"/>
          </w:tcPr>
          <w:p w:rsidRPr="007F620E" w:rsidR="00CC7DA2" w:rsidP="00CC7DA2" w:rsidRDefault="00CC7DA2" w14:paraId="1E4CF49A" w14:textId="6A9BA44B">
            <w:pPr>
              <w:spacing w:before="60" w:after="60"/>
              <w:jc w:val="center"/>
              <w:rPr>
                <w:color w:val="000000"/>
              </w:rPr>
            </w:pPr>
            <w:r>
              <w:rPr>
                <w:color w:val="000000"/>
              </w:rPr>
              <w:t>$680.00 [2]</w:t>
            </w:r>
          </w:p>
        </w:tc>
        <w:tc>
          <w:tcPr>
            <w:tcW w:w="1881" w:type="dxa"/>
          </w:tcPr>
          <w:p w:rsidRPr="007F620E" w:rsidR="00CC7DA2" w:rsidP="00CC7DA2" w:rsidRDefault="00CC7DA2" w14:paraId="09507517" w14:textId="6CE76410">
            <w:pPr>
              <w:spacing w:before="60" w:after="60"/>
              <w:jc w:val="right"/>
              <w:rPr>
                <w:color w:val="000000"/>
              </w:rPr>
            </w:pPr>
            <w:r w:rsidRPr="00152D7C">
              <w:t xml:space="preserve">$6,460.00 </w:t>
            </w:r>
          </w:p>
        </w:tc>
      </w:tr>
      <w:tr w:rsidRPr="007F620E" w:rsidR="00CC7DA2" w:rsidTr="00CC7DA2" w14:paraId="0EEED71B" w14:textId="77777777">
        <w:trPr>
          <w:jc w:val="center"/>
        </w:trPr>
        <w:tc>
          <w:tcPr>
            <w:tcW w:w="1345" w:type="dxa"/>
          </w:tcPr>
          <w:p w:rsidRPr="00F94833" w:rsidR="00CC7DA2" w:rsidP="00CC7DA2" w:rsidRDefault="00CC7DA2" w14:paraId="7ED4A37B" w14:textId="6F86AC99">
            <w:pPr>
              <w:spacing w:before="60" w:after="60"/>
              <w:rPr>
                <w:color w:val="000000"/>
                <w:highlight w:val="yellow"/>
              </w:rPr>
            </w:pPr>
            <w:r>
              <w:rPr>
                <w:color w:val="000000"/>
              </w:rPr>
              <w:t>Isabella Montoya, TURN Legal Fellow</w:t>
            </w:r>
          </w:p>
        </w:tc>
        <w:tc>
          <w:tcPr>
            <w:tcW w:w="965" w:type="dxa"/>
          </w:tcPr>
          <w:p w:rsidRPr="00F94833" w:rsidR="00CC7DA2" w:rsidP="00CC7DA2" w:rsidRDefault="00CC7DA2" w14:paraId="3E909B9F" w14:textId="1AD1FBCA">
            <w:pPr>
              <w:spacing w:before="60" w:after="60"/>
              <w:rPr>
                <w:color w:val="000000"/>
                <w:highlight w:val="yellow"/>
              </w:rPr>
            </w:pPr>
            <w:r>
              <w:rPr>
                <w:color w:val="000000"/>
              </w:rPr>
              <w:t>2024</w:t>
            </w:r>
          </w:p>
        </w:tc>
        <w:tc>
          <w:tcPr>
            <w:tcW w:w="925" w:type="dxa"/>
            <w:gridSpan w:val="2"/>
          </w:tcPr>
          <w:p w:rsidRPr="00F94833" w:rsidR="00CC7DA2" w:rsidP="00CC7DA2" w:rsidRDefault="00CC7DA2" w14:paraId="4CAEF901" w14:textId="3919A2CE">
            <w:pPr>
              <w:spacing w:before="60" w:after="60"/>
              <w:rPr>
                <w:color w:val="000000"/>
                <w:highlight w:val="yellow"/>
              </w:rPr>
            </w:pPr>
            <w:r>
              <w:rPr>
                <w:color w:val="000000"/>
              </w:rPr>
              <w:t xml:space="preserve">  84.00 </w:t>
            </w:r>
          </w:p>
        </w:tc>
        <w:tc>
          <w:tcPr>
            <w:tcW w:w="1080" w:type="dxa"/>
          </w:tcPr>
          <w:p w:rsidRPr="002D05CE" w:rsidR="00CC7DA2" w:rsidP="00CC7DA2" w:rsidRDefault="00CC7DA2" w14:paraId="6F9377D2" w14:textId="76B07943">
            <w:pPr>
              <w:spacing w:before="60" w:after="60"/>
              <w:rPr>
                <w:color w:val="000000"/>
                <w:highlight w:val="yellow"/>
              </w:rPr>
            </w:pPr>
            <w:r w:rsidRPr="002D05CE">
              <w:rPr>
                <w:color w:val="000000"/>
              </w:rPr>
              <w:t>$210.00</w:t>
            </w:r>
          </w:p>
        </w:tc>
        <w:tc>
          <w:tcPr>
            <w:tcW w:w="1440" w:type="dxa"/>
            <w:gridSpan w:val="2"/>
            <w:tcBorders>
              <w:right w:val="single" w:color="auto" w:sz="4" w:space="0"/>
            </w:tcBorders>
          </w:tcPr>
          <w:p w:rsidRPr="00F94833" w:rsidR="00CC7DA2" w:rsidP="00CC7DA2" w:rsidRDefault="00CC7DA2" w14:paraId="0768B90A" w14:textId="17AA0AA9">
            <w:pPr>
              <w:spacing w:before="60" w:after="60"/>
              <w:rPr>
                <w:color w:val="000000"/>
                <w:highlight w:val="yellow"/>
              </w:rPr>
            </w:pPr>
            <w:r>
              <w:rPr>
                <w:color w:val="000000"/>
              </w:rPr>
              <w:t>D.25-10-023</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578F70F3" w14:textId="4C87358E">
            <w:pPr>
              <w:spacing w:before="60" w:after="60"/>
              <w:rPr>
                <w:color w:val="000000"/>
                <w:highlight w:val="yellow"/>
              </w:rPr>
            </w:pPr>
            <w:r>
              <w:rPr>
                <w:color w:val="000000"/>
              </w:rPr>
              <w:t xml:space="preserve"> $17,640.00 </w:t>
            </w:r>
          </w:p>
        </w:tc>
        <w:tc>
          <w:tcPr>
            <w:tcW w:w="955" w:type="dxa"/>
            <w:tcBorders>
              <w:left w:val="single" w:color="auto" w:sz="4" w:space="0"/>
            </w:tcBorders>
          </w:tcPr>
          <w:p w:rsidRPr="007F620E" w:rsidR="00CC7DA2" w:rsidP="00CC7DA2" w:rsidRDefault="00CC7DA2" w14:paraId="34ECFC96" w14:textId="6D40CBF6">
            <w:pPr>
              <w:spacing w:before="60" w:after="60"/>
              <w:jc w:val="center"/>
              <w:rPr>
                <w:color w:val="000000"/>
              </w:rPr>
            </w:pPr>
            <w:r>
              <w:rPr>
                <w:color w:val="000000"/>
              </w:rPr>
              <w:t>84.00</w:t>
            </w:r>
          </w:p>
        </w:tc>
        <w:tc>
          <w:tcPr>
            <w:tcW w:w="1146" w:type="dxa"/>
          </w:tcPr>
          <w:p w:rsidRPr="007F620E" w:rsidR="00CC7DA2" w:rsidP="00CC7DA2" w:rsidRDefault="00CC7DA2" w14:paraId="02A2C5F6" w14:textId="59973619">
            <w:pPr>
              <w:spacing w:before="60" w:after="60"/>
              <w:jc w:val="center"/>
              <w:rPr>
                <w:color w:val="000000"/>
              </w:rPr>
            </w:pPr>
            <w:r>
              <w:rPr>
                <w:color w:val="000000"/>
              </w:rPr>
              <w:t>$210.00 [3]</w:t>
            </w:r>
          </w:p>
        </w:tc>
        <w:tc>
          <w:tcPr>
            <w:tcW w:w="1881" w:type="dxa"/>
          </w:tcPr>
          <w:p w:rsidRPr="007F620E" w:rsidR="00CC7DA2" w:rsidP="00CC7DA2" w:rsidRDefault="00CC7DA2" w14:paraId="39911C13" w14:textId="03F69A06">
            <w:pPr>
              <w:spacing w:before="60" w:after="60"/>
              <w:jc w:val="right"/>
              <w:rPr>
                <w:color w:val="000000"/>
              </w:rPr>
            </w:pPr>
            <w:r w:rsidRPr="00152D7C">
              <w:t xml:space="preserve">$17,640.00 </w:t>
            </w:r>
          </w:p>
        </w:tc>
      </w:tr>
      <w:tr w:rsidRPr="007F620E" w:rsidR="00CC7DA2" w:rsidTr="00CC7DA2" w14:paraId="6C36AFED" w14:textId="77777777">
        <w:trPr>
          <w:jc w:val="center"/>
        </w:trPr>
        <w:tc>
          <w:tcPr>
            <w:tcW w:w="1345" w:type="dxa"/>
          </w:tcPr>
          <w:p w:rsidRPr="00F94833" w:rsidR="00CC7DA2" w:rsidP="00CC7DA2" w:rsidRDefault="00CC7DA2" w14:paraId="5173DC37" w14:textId="60CC0E05">
            <w:pPr>
              <w:spacing w:before="60" w:after="60"/>
              <w:rPr>
                <w:color w:val="000000"/>
                <w:highlight w:val="yellow"/>
              </w:rPr>
            </w:pPr>
            <w:r>
              <w:rPr>
                <w:color w:val="000000"/>
              </w:rPr>
              <w:t>Isabella Montoya, TURN Legal Fellow</w:t>
            </w:r>
          </w:p>
        </w:tc>
        <w:tc>
          <w:tcPr>
            <w:tcW w:w="965" w:type="dxa"/>
          </w:tcPr>
          <w:p w:rsidRPr="00F94833" w:rsidR="00CC7DA2" w:rsidP="00CC7DA2" w:rsidRDefault="00CC7DA2" w14:paraId="64D409A9" w14:textId="0F42CE01">
            <w:pPr>
              <w:spacing w:before="60" w:after="60"/>
              <w:rPr>
                <w:color w:val="000000"/>
                <w:highlight w:val="yellow"/>
              </w:rPr>
            </w:pPr>
            <w:r>
              <w:rPr>
                <w:color w:val="000000"/>
              </w:rPr>
              <w:t>2025</w:t>
            </w:r>
          </w:p>
        </w:tc>
        <w:tc>
          <w:tcPr>
            <w:tcW w:w="925" w:type="dxa"/>
            <w:gridSpan w:val="2"/>
          </w:tcPr>
          <w:p w:rsidRPr="00F94833" w:rsidR="00CC7DA2" w:rsidP="00CC7DA2" w:rsidRDefault="00CC7DA2" w14:paraId="358396E0" w14:textId="10E5BD54">
            <w:pPr>
              <w:spacing w:before="60" w:after="60"/>
              <w:rPr>
                <w:color w:val="000000"/>
                <w:highlight w:val="yellow"/>
              </w:rPr>
            </w:pPr>
            <w:r>
              <w:rPr>
                <w:color w:val="000000"/>
              </w:rPr>
              <w:t xml:space="preserve">    8.75 </w:t>
            </w:r>
          </w:p>
        </w:tc>
        <w:tc>
          <w:tcPr>
            <w:tcW w:w="1080" w:type="dxa"/>
          </w:tcPr>
          <w:p w:rsidRPr="002D05CE" w:rsidR="00CC7DA2" w:rsidP="00CC7DA2" w:rsidRDefault="00CC7DA2" w14:paraId="143FDA3B" w14:textId="1FC07F28">
            <w:pPr>
              <w:spacing w:before="60" w:after="60"/>
              <w:rPr>
                <w:color w:val="000000"/>
                <w:highlight w:val="yellow"/>
              </w:rPr>
            </w:pPr>
            <w:r w:rsidRPr="002D05CE">
              <w:rPr>
                <w:color w:val="000000"/>
              </w:rPr>
              <w:t>$230.00</w:t>
            </w:r>
          </w:p>
        </w:tc>
        <w:tc>
          <w:tcPr>
            <w:tcW w:w="1440" w:type="dxa"/>
            <w:gridSpan w:val="2"/>
            <w:tcBorders>
              <w:right w:val="single" w:color="auto" w:sz="4" w:space="0"/>
            </w:tcBorders>
          </w:tcPr>
          <w:p w:rsidRPr="00F94833" w:rsidR="00CC7DA2" w:rsidP="00CC7DA2" w:rsidRDefault="00CC7DA2" w14:paraId="70A3CE84" w14:textId="405765DE">
            <w:pPr>
              <w:spacing w:before="60" w:after="60"/>
              <w:rPr>
                <w:color w:val="000000"/>
                <w:highlight w:val="yellow"/>
              </w:rPr>
            </w:pPr>
            <w:r>
              <w:rPr>
                <w:color w:val="000000"/>
              </w:rPr>
              <w:t xml:space="preserve">Res. ALJ-393, 2024 rate plus 3.46% COLA and </w:t>
            </w:r>
            <w:r>
              <w:rPr>
                <w:color w:val="000000"/>
              </w:rPr>
              <w:lastRenderedPageBreak/>
              <w:t>5% step increase. See Comment 2</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573689EC" w14:textId="2B07279B">
            <w:pPr>
              <w:spacing w:before="60" w:after="60"/>
              <w:rPr>
                <w:color w:val="000000"/>
                <w:highlight w:val="yellow"/>
              </w:rPr>
            </w:pPr>
            <w:r>
              <w:rPr>
                <w:color w:val="000000"/>
              </w:rPr>
              <w:lastRenderedPageBreak/>
              <w:t xml:space="preserve"> $2,012.50 </w:t>
            </w:r>
          </w:p>
        </w:tc>
        <w:tc>
          <w:tcPr>
            <w:tcW w:w="955" w:type="dxa"/>
            <w:tcBorders>
              <w:left w:val="single" w:color="auto" w:sz="4" w:space="0"/>
            </w:tcBorders>
          </w:tcPr>
          <w:p w:rsidRPr="007F620E" w:rsidR="00CC7DA2" w:rsidP="00CC7DA2" w:rsidRDefault="00CC7DA2" w14:paraId="62561932" w14:textId="4B51FB92">
            <w:pPr>
              <w:spacing w:before="60" w:after="60"/>
              <w:jc w:val="center"/>
              <w:rPr>
                <w:color w:val="000000"/>
              </w:rPr>
            </w:pPr>
            <w:r>
              <w:rPr>
                <w:color w:val="000000"/>
              </w:rPr>
              <w:t>8.75</w:t>
            </w:r>
          </w:p>
        </w:tc>
        <w:tc>
          <w:tcPr>
            <w:tcW w:w="1146" w:type="dxa"/>
          </w:tcPr>
          <w:p w:rsidRPr="007F620E" w:rsidR="00CC7DA2" w:rsidP="00CC7DA2" w:rsidRDefault="00CC7DA2" w14:paraId="1C1173AD" w14:textId="2A565EE6">
            <w:pPr>
              <w:spacing w:before="60" w:after="60"/>
              <w:jc w:val="center"/>
              <w:rPr>
                <w:color w:val="000000"/>
              </w:rPr>
            </w:pPr>
            <w:r>
              <w:rPr>
                <w:color w:val="000000"/>
              </w:rPr>
              <w:t>$230.00 [3]</w:t>
            </w:r>
          </w:p>
        </w:tc>
        <w:tc>
          <w:tcPr>
            <w:tcW w:w="1881" w:type="dxa"/>
          </w:tcPr>
          <w:p w:rsidRPr="007F620E" w:rsidR="00CC7DA2" w:rsidP="00CC7DA2" w:rsidRDefault="00CC7DA2" w14:paraId="648F6586" w14:textId="267F9459">
            <w:pPr>
              <w:spacing w:before="60" w:after="60"/>
              <w:jc w:val="right"/>
              <w:rPr>
                <w:color w:val="000000"/>
              </w:rPr>
            </w:pPr>
            <w:r w:rsidRPr="00152D7C">
              <w:t xml:space="preserve">$2,012.50 </w:t>
            </w:r>
          </w:p>
        </w:tc>
      </w:tr>
      <w:tr w:rsidRPr="007F620E" w:rsidR="00CC7DA2" w:rsidTr="00CC7DA2" w14:paraId="4A18E7E8" w14:textId="77777777">
        <w:trPr>
          <w:jc w:val="center"/>
        </w:trPr>
        <w:tc>
          <w:tcPr>
            <w:tcW w:w="1345" w:type="dxa"/>
          </w:tcPr>
          <w:p w:rsidRPr="00F94833" w:rsidR="00CC7DA2" w:rsidP="00CC7DA2" w:rsidRDefault="00CC7DA2" w14:paraId="03B801AF" w14:textId="0D0FCCA6">
            <w:pPr>
              <w:spacing w:before="60" w:after="60"/>
              <w:rPr>
                <w:color w:val="000000"/>
                <w:highlight w:val="yellow"/>
              </w:rPr>
            </w:pPr>
            <w:r>
              <w:rPr>
                <w:color w:val="000000"/>
              </w:rPr>
              <w:t>Matthew Freedman, TURN Attorney</w:t>
            </w:r>
          </w:p>
        </w:tc>
        <w:tc>
          <w:tcPr>
            <w:tcW w:w="965" w:type="dxa"/>
          </w:tcPr>
          <w:p w:rsidRPr="00F94833" w:rsidR="00CC7DA2" w:rsidP="00CC7DA2" w:rsidRDefault="00CC7DA2" w14:paraId="45254D46" w14:textId="322AAE48">
            <w:pPr>
              <w:spacing w:before="60" w:after="60"/>
              <w:rPr>
                <w:color w:val="000000"/>
                <w:highlight w:val="yellow"/>
              </w:rPr>
            </w:pPr>
            <w:r>
              <w:rPr>
                <w:color w:val="000000"/>
              </w:rPr>
              <w:t>2024</w:t>
            </w:r>
          </w:p>
        </w:tc>
        <w:tc>
          <w:tcPr>
            <w:tcW w:w="925" w:type="dxa"/>
            <w:gridSpan w:val="2"/>
          </w:tcPr>
          <w:p w:rsidRPr="00F94833" w:rsidR="00CC7DA2" w:rsidP="00CC7DA2" w:rsidRDefault="00CC7DA2" w14:paraId="431240D5" w14:textId="2A6CDFEB">
            <w:pPr>
              <w:spacing w:before="60" w:after="60"/>
              <w:rPr>
                <w:color w:val="000000"/>
                <w:highlight w:val="yellow"/>
              </w:rPr>
            </w:pPr>
            <w:r>
              <w:rPr>
                <w:color w:val="000000"/>
              </w:rPr>
              <w:t xml:space="preserve">  45.50 </w:t>
            </w:r>
          </w:p>
        </w:tc>
        <w:tc>
          <w:tcPr>
            <w:tcW w:w="1080" w:type="dxa"/>
          </w:tcPr>
          <w:p w:rsidRPr="002D05CE" w:rsidR="00CC7DA2" w:rsidP="00CC7DA2" w:rsidRDefault="00CC7DA2" w14:paraId="2E4E1361" w14:textId="08B98AE5">
            <w:pPr>
              <w:spacing w:before="60" w:after="60"/>
              <w:rPr>
                <w:color w:val="000000"/>
                <w:highlight w:val="yellow"/>
              </w:rPr>
            </w:pPr>
            <w:r w:rsidRPr="002D05CE">
              <w:rPr>
                <w:color w:val="000000"/>
              </w:rPr>
              <w:t>$740.00</w:t>
            </w:r>
          </w:p>
        </w:tc>
        <w:tc>
          <w:tcPr>
            <w:tcW w:w="1440" w:type="dxa"/>
            <w:gridSpan w:val="2"/>
            <w:tcBorders>
              <w:right w:val="single" w:color="auto" w:sz="4" w:space="0"/>
            </w:tcBorders>
          </w:tcPr>
          <w:p w:rsidRPr="00F94833" w:rsidR="00CC7DA2" w:rsidP="00CC7DA2" w:rsidRDefault="00CC7DA2" w14:paraId="044A4E94" w14:textId="2A38A674">
            <w:pPr>
              <w:spacing w:before="60" w:after="60"/>
              <w:rPr>
                <w:color w:val="000000"/>
                <w:highlight w:val="yellow"/>
              </w:rPr>
            </w:pPr>
            <w:r>
              <w:rPr>
                <w:color w:val="000000"/>
              </w:rPr>
              <w:t>D.24-09-015</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31B52B2E" w14:textId="741984ED">
            <w:pPr>
              <w:spacing w:before="60" w:after="60"/>
              <w:rPr>
                <w:color w:val="000000"/>
                <w:highlight w:val="yellow"/>
              </w:rPr>
            </w:pPr>
            <w:r>
              <w:rPr>
                <w:color w:val="000000"/>
              </w:rPr>
              <w:t xml:space="preserve"> $33,670.00 </w:t>
            </w:r>
          </w:p>
        </w:tc>
        <w:tc>
          <w:tcPr>
            <w:tcW w:w="955" w:type="dxa"/>
            <w:tcBorders>
              <w:left w:val="single" w:color="auto" w:sz="4" w:space="0"/>
            </w:tcBorders>
          </w:tcPr>
          <w:p w:rsidRPr="007F620E" w:rsidR="00CC7DA2" w:rsidP="00CC7DA2" w:rsidRDefault="00CC7DA2" w14:paraId="0E464C05" w14:textId="472C1FE0">
            <w:pPr>
              <w:spacing w:before="60" w:after="60"/>
              <w:jc w:val="center"/>
              <w:rPr>
                <w:color w:val="000000"/>
              </w:rPr>
            </w:pPr>
            <w:r>
              <w:rPr>
                <w:color w:val="000000"/>
              </w:rPr>
              <w:t>45.50</w:t>
            </w:r>
          </w:p>
        </w:tc>
        <w:tc>
          <w:tcPr>
            <w:tcW w:w="1146" w:type="dxa"/>
          </w:tcPr>
          <w:p w:rsidRPr="007F620E" w:rsidR="00CC7DA2" w:rsidP="00CC7DA2" w:rsidRDefault="00CC7DA2" w14:paraId="39DF1A28" w14:textId="00FFCB7A">
            <w:pPr>
              <w:spacing w:before="60" w:after="60"/>
              <w:jc w:val="center"/>
              <w:rPr>
                <w:color w:val="000000"/>
              </w:rPr>
            </w:pPr>
            <w:r>
              <w:rPr>
                <w:color w:val="000000"/>
              </w:rPr>
              <w:t>$740.00 [4]</w:t>
            </w:r>
          </w:p>
        </w:tc>
        <w:tc>
          <w:tcPr>
            <w:tcW w:w="1881" w:type="dxa"/>
          </w:tcPr>
          <w:p w:rsidRPr="007F620E" w:rsidR="00CC7DA2" w:rsidP="00CC7DA2" w:rsidRDefault="00CC7DA2" w14:paraId="3EFB4F2B" w14:textId="076AEEB4">
            <w:pPr>
              <w:spacing w:before="60" w:after="60"/>
              <w:jc w:val="right"/>
              <w:rPr>
                <w:color w:val="000000"/>
              </w:rPr>
            </w:pPr>
            <w:r w:rsidRPr="00152D7C">
              <w:t xml:space="preserve">$33,670.00 </w:t>
            </w:r>
          </w:p>
        </w:tc>
      </w:tr>
      <w:tr w:rsidRPr="007F620E" w:rsidR="00CC7DA2" w:rsidTr="00CC7DA2" w14:paraId="5E26742A" w14:textId="77777777">
        <w:trPr>
          <w:jc w:val="center"/>
        </w:trPr>
        <w:tc>
          <w:tcPr>
            <w:tcW w:w="1345" w:type="dxa"/>
          </w:tcPr>
          <w:p w:rsidRPr="00F94833" w:rsidR="00CC7DA2" w:rsidP="00CC7DA2" w:rsidRDefault="00CC7DA2" w14:paraId="243D2EFE" w14:textId="41EA5708">
            <w:pPr>
              <w:spacing w:before="60" w:after="60"/>
              <w:rPr>
                <w:color w:val="000000"/>
                <w:highlight w:val="yellow"/>
              </w:rPr>
            </w:pPr>
            <w:r>
              <w:rPr>
                <w:color w:val="000000"/>
              </w:rPr>
              <w:t>Matthew Freedman, TURN Attorney</w:t>
            </w:r>
          </w:p>
        </w:tc>
        <w:tc>
          <w:tcPr>
            <w:tcW w:w="965" w:type="dxa"/>
          </w:tcPr>
          <w:p w:rsidRPr="00F94833" w:rsidR="00CC7DA2" w:rsidP="00CC7DA2" w:rsidRDefault="00CC7DA2" w14:paraId="5A408968" w14:textId="5619AFB0">
            <w:pPr>
              <w:spacing w:before="60" w:after="60"/>
              <w:rPr>
                <w:color w:val="000000"/>
                <w:highlight w:val="yellow"/>
              </w:rPr>
            </w:pPr>
            <w:r>
              <w:rPr>
                <w:color w:val="000000"/>
              </w:rPr>
              <w:t>2025</w:t>
            </w:r>
          </w:p>
        </w:tc>
        <w:tc>
          <w:tcPr>
            <w:tcW w:w="925" w:type="dxa"/>
            <w:gridSpan w:val="2"/>
          </w:tcPr>
          <w:p w:rsidRPr="00F94833" w:rsidR="00CC7DA2" w:rsidP="00CC7DA2" w:rsidRDefault="00CC7DA2" w14:paraId="78E45164" w14:textId="3275CE5A">
            <w:pPr>
              <w:spacing w:before="60" w:after="60"/>
              <w:rPr>
                <w:color w:val="000000"/>
                <w:highlight w:val="yellow"/>
              </w:rPr>
            </w:pPr>
            <w:r>
              <w:rPr>
                <w:color w:val="000000"/>
              </w:rPr>
              <w:t xml:space="preserve">  69.75 </w:t>
            </w:r>
          </w:p>
        </w:tc>
        <w:tc>
          <w:tcPr>
            <w:tcW w:w="1080" w:type="dxa"/>
          </w:tcPr>
          <w:p w:rsidRPr="002D05CE" w:rsidR="00CC7DA2" w:rsidP="00CC7DA2" w:rsidRDefault="00CC7DA2" w14:paraId="6A1357C5" w14:textId="428A26F6">
            <w:pPr>
              <w:spacing w:before="60" w:after="60"/>
              <w:rPr>
                <w:color w:val="000000"/>
                <w:highlight w:val="yellow"/>
              </w:rPr>
            </w:pPr>
            <w:r w:rsidRPr="002D05CE">
              <w:rPr>
                <w:color w:val="000000"/>
              </w:rPr>
              <w:t>$805.00</w:t>
            </w:r>
          </w:p>
        </w:tc>
        <w:tc>
          <w:tcPr>
            <w:tcW w:w="1440" w:type="dxa"/>
            <w:gridSpan w:val="2"/>
            <w:tcBorders>
              <w:right w:val="single" w:color="auto" w:sz="4" w:space="0"/>
            </w:tcBorders>
          </w:tcPr>
          <w:p w:rsidRPr="00F94833" w:rsidR="00CC7DA2" w:rsidP="00CC7DA2" w:rsidRDefault="00CC7DA2" w14:paraId="031B16E2" w14:textId="23C0EFD3">
            <w:pPr>
              <w:spacing w:before="60" w:after="60"/>
              <w:rPr>
                <w:color w:val="000000"/>
                <w:highlight w:val="yellow"/>
              </w:rPr>
            </w:pPr>
            <w:r>
              <w:rPr>
                <w:color w:val="000000"/>
              </w:rPr>
              <w:t>D.25-05-018</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4149884F" w14:textId="25CE3D7C">
            <w:pPr>
              <w:spacing w:before="60" w:after="60"/>
              <w:rPr>
                <w:color w:val="000000"/>
                <w:highlight w:val="yellow"/>
              </w:rPr>
            </w:pPr>
            <w:r>
              <w:rPr>
                <w:color w:val="000000"/>
              </w:rPr>
              <w:t xml:space="preserve"> $56,148.75 </w:t>
            </w:r>
          </w:p>
        </w:tc>
        <w:tc>
          <w:tcPr>
            <w:tcW w:w="955" w:type="dxa"/>
            <w:tcBorders>
              <w:left w:val="single" w:color="auto" w:sz="4" w:space="0"/>
            </w:tcBorders>
          </w:tcPr>
          <w:p w:rsidRPr="007F620E" w:rsidR="00CC7DA2" w:rsidP="00CC7DA2" w:rsidRDefault="00CC7DA2" w14:paraId="3CFF1EFC" w14:textId="5086F6C5">
            <w:pPr>
              <w:spacing w:before="60" w:after="60"/>
              <w:jc w:val="center"/>
              <w:rPr>
                <w:color w:val="000000"/>
              </w:rPr>
            </w:pPr>
            <w:r>
              <w:rPr>
                <w:color w:val="000000"/>
              </w:rPr>
              <w:t>69.75</w:t>
            </w:r>
          </w:p>
        </w:tc>
        <w:tc>
          <w:tcPr>
            <w:tcW w:w="1146" w:type="dxa"/>
          </w:tcPr>
          <w:p w:rsidRPr="007F620E" w:rsidR="00CC7DA2" w:rsidP="00CC7DA2" w:rsidRDefault="00CC7DA2" w14:paraId="225483B0" w14:textId="0DF50307">
            <w:pPr>
              <w:spacing w:before="60" w:after="60"/>
              <w:jc w:val="center"/>
              <w:rPr>
                <w:color w:val="000000"/>
              </w:rPr>
            </w:pPr>
            <w:r>
              <w:rPr>
                <w:color w:val="000000"/>
              </w:rPr>
              <w:t>$805.00 [4]</w:t>
            </w:r>
          </w:p>
        </w:tc>
        <w:tc>
          <w:tcPr>
            <w:tcW w:w="1881" w:type="dxa"/>
          </w:tcPr>
          <w:p w:rsidRPr="007F620E" w:rsidR="00CC7DA2" w:rsidP="00CC7DA2" w:rsidRDefault="00CC7DA2" w14:paraId="1F4CBE1F" w14:textId="2C543719">
            <w:pPr>
              <w:spacing w:before="60" w:after="60"/>
              <w:jc w:val="right"/>
              <w:rPr>
                <w:color w:val="000000"/>
              </w:rPr>
            </w:pPr>
            <w:r w:rsidRPr="00152D7C">
              <w:t xml:space="preserve">$56,148.75 </w:t>
            </w:r>
          </w:p>
        </w:tc>
      </w:tr>
      <w:tr w:rsidRPr="007F620E" w:rsidR="00CC7DA2" w:rsidTr="00CC7DA2" w14:paraId="02007E8B" w14:textId="77777777">
        <w:trPr>
          <w:jc w:val="center"/>
        </w:trPr>
        <w:tc>
          <w:tcPr>
            <w:tcW w:w="1345" w:type="dxa"/>
          </w:tcPr>
          <w:p w:rsidRPr="00F94833" w:rsidR="00CC7DA2" w:rsidP="00CC7DA2" w:rsidRDefault="00CC7DA2" w14:paraId="603D0961" w14:textId="19FEFE0E">
            <w:pPr>
              <w:spacing w:before="60" w:after="60"/>
              <w:rPr>
                <w:color w:val="000000"/>
                <w:highlight w:val="yellow"/>
              </w:rPr>
            </w:pPr>
            <w:r>
              <w:rPr>
                <w:color w:val="000000"/>
              </w:rPr>
              <w:t>Reina Yanagiba, TURN Legal Assistant</w:t>
            </w:r>
          </w:p>
        </w:tc>
        <w:tc>
          <w:tcPr>
            <w:tcW w:w="965" w:type="dxa"/>
          </w:tcPr>
          <w:p w:rsidRPr="00F94833" w:rsidR="00CC7DA2" w:rsidP="00CC7DA2" w:rsidRDefault="00CC7DA2" w14:paraId="209DAD66" w14:textId="4FD640DA">
            <w:pPr>
              <w:spacing w:before="60" w:after="60"/>
              <w:rPr>
                <w:color w:val="000000"/>
                <w:highlight w:val="yellow"/>
              </w:rPr>
            </w:pPr>
            <w:r>
              <w:rPr>
                <w:color w:val="000000"/>
              </w:rPr>
              <w:t>2024</w:t>
            </w:r>
          </w:p>
        </w:tc>
        <w:tc>
          <w:tcPr>
            <w:tcW w:w="925" w:type="dxa"/>
            <w:gridSpan w:val="2"/>
          </w:tcPr>
          <w:p w:rsidRPr="00F94833" w:rsidR="00CC7DA2" w:rsidP="00CC7DA2" w:rsidRDefault="00CC7DA2" w14:paraId="5C11EFC1" w14:textId="5B37C023">
            <w:pPr>
              <w:spacing w:before="60" w:after="60"/>
              <w:rPr>
                <w:color w:val="000000"/>
                <w:highlight w:val="yellow"/>
              </w:rPr>
            </w:pPr>
            <w:r>
              <w:rPr>
                <w:color w:val="000000"/>
              </w:rPr>
              <w:t xml:space="preserve">    4.25 </w:t>
            </w:r>
          </w:p>
        </w:tc>
        <w:tc>
          <w:tcPr>
            <w:tcW w:w="1080" w:type="dxa"/>
          </w:tcPr>
          <w:p w:rsidRPr="002D05CE" w:rsidR="00CC7DA2" w:rsidP="00CC7DA2" w:rsidRDefault="00CC7DA2" w14:paraId="3727A6D1" w14:textId="75EABBDE">
            <w:pPr>
              <w:spacing w:before="60" w:after="60"/>
              <w:rPr>
                <w:color w:val="000000"/>
                <w:highlight w:val="yellow"/>
              </w:rPr>
            </w:pPr>
            <w:r w:rsidRPr="002D05CE">
              <w:rPr>
                <w:color w:val="000000"/>
              </w:rPr>
              <w:t>$100.00</w:t>
            </w:r>
          </w:p>
        </w:tc>
        <w:tc>
          <w:tcPr>
            <w:tcW w:w="1440" w:type="dxa"/>
            <w:gridSpan w:val="2"/>
            <w:tcBorders>
              <w:right w:val="single" w:color="auto" w:sz="4" w:space="0"/>
            </w:tcBorders>
          </w:tcPr>
          <w:p w:rsidRPr="00F94833" w:rsidR="00CC7DA2" w:rsidP="00CC7DA2" w:rsidRDefault="00CC7DA2" w14:paraId="07376264" w14:textId="171F2B39">
            <w:pPr>
              <w:spacing w:before="60" w:after="60"/>
              <w:rPr>
                <w:color w:val="000000"/>
                <w:highlight w:val="yellow"/>
              </w:rPr>
            </w:pPr>
            <w:r>
              <w:rPr>
                <w:color w:val="000000"/>
              </w:rPr>
              <w:t>D.24-06-021</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72C64E39" w14:textId="0987477D">
            <w:pPr>
              <w:spacing w:before="60" w:after="60"/>
              <w:rPr>
                <w:color w:val="000000"/>
                <w:highlight w:val="yellow"/>
              </w:rPr>
            </w:pPr>
            <w:r>
              <w:rPr>
                <w:color w:val="000000"/>
              </w:rPr>
              <w:t xml:space="preserve"> $425.00 </w:t>
            </w:r>
          </w:p>
        </w:tc>
        <w:tc>
          <w:tcPr>
            <w:tcW w:w="955" w:type="dxa"/>
            <w:tcBorders>
              <w:left w:val="single" w:color="auto" w:sz="4" w:space="0"/>
            </w:tcBorders>
          </w:tcPr>
          <w:p w:rsidRPr="007F620E" w:rsidR="00CC7DA2" w:rsidP="00CC7DA2" w:rsidRDefault="00CC7DA2" w14:paraId="3CB3CDE1" w14:textId="5F6207C6">
            <w:pPr>
              <w:spacing w:before="60" w:after="60"/>
              <w:jc w:val="center"/>
              <w:rPr>
                <w:color w:val="000000"/>
              </w:rPr>
            </w:pPr>
            <w:r>
              <w:rPr>
                <w:color w:val="000000"/>
              </w:rPr>
              <w:t>4.25</w:t>
            </w:r>
          </w:p>
        </w:tc>
        <w:tc>
          <w:tcPr>
            <w:tcW w:w="1146" w:type="dxa"/>
          </w:tcPr>
          <w:p w:rsidRPr="007F620E" w:rsidR="00CC7DA2" w:rsidP="00CC7DA2" w:rsidRDefault="00CC7DA2" w14:paraId="58EDFD3D" w14:textId="3EEB5D64">
            <w:pPr>
              <w:spacing w:before="60" w:after="60"/>
              <w:jc w:val="center"/>
              <w:rPr>
                <w:color w:val="000000"/>
              </w:rPr>
            </w:pPr>
            <w:r>
              <w:rPr>
                <w:color w:val="000000"/>
              </w:rPr>
              <w:t>$100.00 [5]</w:t>
            </w:r>
          </w:p>
        </w:tc>
        <w:tc>
          <w:tcPr>
            <w:tcW w:w="1881" w:type="dxa"/>
          </w:tcPr>
          <w:p w:rsidRPr="007F620E" w:rsidR="00CC7DA2" w:rsidP="00CC7DA2" w:rsidRDefault="00CC7DA2" w14:paraId="3D18F875" w14:textId="35D28D67">
            <w:pPr>
              <w:spacing w:before="60" w:after="60"/>
              <w:jc w:val="right"/>
              <w:rPr>
                <w:color w:val="000000"/>
              </w:rPr>
            </w:pPr>
            <w:r w:rsidRPr="00152D7C">
              <w:t xml:space="preserve">$425.00 </w:t>
            </w:r>
          </w:p>
        </w:tc>
      </w:tr>
      <w:tr w:rsidRPr="007F620E" w:rsidR="00CC7DA2" w:rsidTr="00CC7DA2" w14:paraId="64C451DE" w14:textId="77777777">
        <w:trPr>
          <w:jc w:val="center"/>
        </w:trPr>
        <w:tc>
          <w:tcPr>
            <w:tcW w:w="1345" w:type="dxa"/>
          </w:tcPr>
          <w:p w:rsidRPr="00F94833" w:rsidR="00CC7DA2" w:rsidP="00CC7DA2" w:rsidRDefault="00CC7DA2" w14:paraId="5B747347" w14:textId="1AF4AF83">
            <w:pPr>
              <w:spacing w:before="60" w:after="60"/>
              <w:rPr>
                <w:color w:val="000000"/>
                <w:highlight w:val="yellow"/>
              </w:rPr>
            </w:pPr>
            <w:r>
              <w:rPr>
                <w:color w:val="000000"/>
              </w:rPr>
              <w:t>Reina Yanagiba, TURN Legal Assistant</w:t>
            </w:r>
          </w:p>
        </w:tc>
        <w:tc>
          <w:tcPr>
            <w:tcW w:w="965" w:type="dxa"/>
          </w:tcPr>
          <w:p w:rsidRPr="00F94833" w:rsidR="00CC7DA2" w:rsidP="00CC7DA2" w:rsidRDefault="00CC7DA2" w14:paraId="1D7752A5" w14:textId="37FDEC7D">
            <w:pPr>
              <w:spacing w:before="60" w:after="60"/>
              <w:rPr>
                <w:color w:val="000000"/>
                <w:highlight w:val="yellow"/>
              </w:rPr>
            </w:pPr>
            <w:r>
              <w:rPr>
                <w:color w:val="000000"/>
              </w:rPr>
              <w:t>2025</w:t>
            </w:r>
          </w:p>
        </w:tc>
        <w:tc>
          <w:tcPr>
            <w:tcW w:w="925" w:type="dxa"/>
            <w:gridSpan w:val="2"/>
          </w:tcPr>
          <w:p w:rsidRPr="00F94833" w:rsidR="00CC7DA2" w:rsidP="00CC7DA2" w:rsidRDefault="00CC7DA2" w14:paraId="05AA5458" w14:textId="23663E38">
            <w:pPr>
              <w:spacing w:before="60" w:after="60"/>
              <w:rPr>
                <w:color w:val="000000"/>
                <w:highlight w:val="yellow"/>
              </w:rPr>
            </w:pPr>
            <w:r>
              <w:rPr>
                <w:color w:val="000000"/>
              </w:rPr>
              <w:t xml:space="preserve">    0.75 </w:t>
            </w:r>
          </w:p>
        </w:tc>
        <w:tc>
          <w:tcPr>
            <w:tcW w:w="1080" w:type="dxa"/>
          </w:tcPr>
          <w:p w:rsidRPr="002D05CE" w:rsidR="00CC7DA2" w:rsidP="00CC7DA2" w:rsidRDefault="00CC7DA2" w14:paraId="7272639F" w14:textId="3F7B836D">
            <w:pPr>
              <w:spacing w:before="60" w:after="60"/>
              <w:rPr>
                <w:color w:val="000000"/>
                <w:highlight w:val="yellow"/>
              </w:rPr>
            </w:pPr>
            <w:r w:rsidRPr="002D05CE">
              <w:rPr>
                <w:color w:val="000000"/>
              </w:rPr>
              <w:t>$125.00</w:t>
            </w:r>
          </w:p>
        </w:tc>
        <w:tc>
          <w:tcPr>
            <w:tcW w:w="1440" w:type="dxa"/>
            <w:gridSpan w:val="2"/>
            <w:tcBorders>
              <w:right w:val="single" w:color="auto" w:sz="4" w:space="0"/>
            </w:tcBorders>
          </w:tcPr>
          <w:p w:rsidRPr="00F94833" w:rsidR="00CC7DA2" w:rsidP="00CC7DA2" w:rsidRDefault="00CC7DA2" w14:paraId="2964B8AF" w14:textId="08F74287">
            <w:pPr>
              <w:spacing w:before="60" w:after="60"/>
              <w:rPr>
                <w:color w:val="000000"/>
                <w:highlight w:val="yellow"/>
              </w:rPr>
            </w:pPr>
            <w:r>
              <w:rPr>
                <w:color w:val="000000"/>
              </w:rPr>
              <w:t>Res. ALJ-393; Bottom of range for Paralegal - Level II. See Comment 3</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180DD709" w14:textId="76152FB6">
            <w:pPr>
              <w:spacing w:before="60" w:after="60"/>
              <w:rPr>
                <w:color w:val="000000"/>
                <w:highlight w:val="yellow"/>
              </w:rPr>
            </w:pPr>
            <w:r>
              <w:rPr>
                <w:color w:val="000000"/>
              </w:rPr>
              <w:t xml:space="preserve"> $93.75 </w:t>
            </w:r>
          </w:p>
        </w:tc>
        <w:tc>
          <w:tcPr>
            <w:tcW w:w="955" w:type="dxa"/>
            <w:tcBorders>
              <w:left w:val="single" w:color="auto" w:sz="4" w:space="0"/>
            </w:tcBorders>
          </w:tcPr>
          <w:p w:rsidRPr="007F620E" w:rsidR="00CC7DA2" w:rsidP="00CC7DA2" w:rsidRDefault="00CC7DA2" w14:paraId="65FF365B" w14:textId="7B409B68">
            <w:pPr>
              <w:spacing w:before="60" w:after="60"/>
              <w:jc w:val="center"/>
              <w:rPr>
                <w:color w:val="000000"/>
              </w:rPr>
            </w:pPr>
            <w:r>
              <w:rPr>
                <w:color w:val="000000"/>
              </w:rPr>
              <w:t>0.75</w:t>
            </w:r>
          </w:p>
        </w:tc>
        <w:tc>
          <w:tcPr>
            <w:tcW w:w="1146" w:type="dxa"/>
          </w:tcPr>
          <w:p w:rsidRPr="007F620E" w:rsidR="00CC7DA2" w:rsidP="00CC7DA2" w:rsidRDefault="00CC7DA2" w14:paraId="0AD522D8" w14:textId="62E55226">
            <w:pPr>
              <w:spacing w:before="60" w:after="60"/>
              <w:jc w:val="center"/>
              <w:rPr>
                <w:color w:val="000000"/>
              </w:rPr>
            </w:pPr>
            <w:r>
              <w:rPr>
                <w:color w:val="000000"/>
              </w:rPr>
              <w:t>$125.00 [5]</w:t>
            </w:r>
          </w:p>
        </w:tc>
        <w:tc>
          <w:tcPr>
            <w:tcW w:w="1881" w:type="dxa"/>
          </w:tcPr>
          <w:p w:rsidRPr="007F620E" w:rsidR="00CC7DA2" w:rsidP="00CC7DA2" w:rsidRDefault="00CC7DA2" w14:paraId="2DA66D85" w14:textId="698781A8">
            <w:pPr>
              <w:spacing w:before="60" w:after="60"/>
              <w:jc w:val="right"/>
              <w:rPr>
                <w:color w:val="000000"/>
              </w:rPr>
            </w:pPr>
            <w:r w:rsidRPr="00152D7C">
              <w:t xml:space="preserve">$93.75 </w:t>
            </w:r>
          </w:p>
        </w:tc>
      </w:tr>
      <w:tr w:rsidRPr="007F620E" w:rsidR="00CC7DA2" w:rsidTr="00CC7DA2" w14:paraId="3C933ADD" w14:textId="77777777">
        <w:trPr>
          <w:jc w:val="center"/>
        </w:trPr>
        <w:tc>
          <w:tcPr>
            <w:tcW w:w="1345" w:type="dxa"/>
          </w:tcPr>
          <w:p w:rsidRPr="00F94833" w:rsidR="00CC7DA2" w:rsidP="00CC7DA2" w:rsidRDefault="00CC7DA2" w14:paraId="4E01254C" w14:textId="1D145EBB">
            <w:pPr>
              <w:spacing w:before="60" w:after="60"/>
              <w:rPr>
                <w:color w:val="000000"/>
                <w:highlight w:val="yellow"/>
              </w:rPr>
            </w:pPr>
            <w:r>
              <w:rPr>
                <w:color w:val="000000"/>
              </w:rPr>
              <w:t>Sylvie Ashford, Energy Policy Analyst</w:t>
            </w:r>
          </w:p>
        </w:tc>
        <w:tc>
          <w:tcPr>
            <w:tcW w:w="965" w:type="dxa"/>
          </w:tcPr>
          <w:p w:rsidRPr="00F94833" w:rsidR="00CC7DA2" w:rsidP="00CC7DA2" w:rsidRDefault="00CC7DA2" w14:paraId="1D00BEA3" w14:textId="3182FA62">
            <w:pPr>
              <w:spacing w:before="60" w:after="60"/>
              <w:rPr>
                <w:color w:val="000000"/>
                <w:highlight w:val="yellow"/>
              </w:rPr>
            </w:pPr>
            <w:r>
              <w:rPr>
                <w:color w:val="000000"/>
              </w:rPr>
              <w:t>2025</w:t>
            </w:r>
          </w:p>
        </w:tc>
        <w:tc>
          <w:tcPr>
            <w:tcW w:w="925" w:type="dxa"/>
            <w:gridSpan w:val="2"/>
          </w:tcPr>
          <w:p w:rsidRPr="00F94833" w:rsidR="00CC7DA2" w:rsidP="00CC7DA2" w:rsidRDefault="00CC7DA2" w14:paraId="409E2784" w14:textId="08CC6243">
            <w:pPr>
              <w:spacing w:before="60" w:after="60"/>
              <w:rPr>
                <w:color w:val="000000"/>
                <w:highlight w:val="yellow"/>
              </w:rPr>
            </w:pPr>
            <w:r>
              <w:rPr>
                <w:color w:val="000000"/>
              </w:rPr>
              <w:t xml:space="preserve">    3.50 </w:t>
            </w:r>
          </w:p>
        </w:tc>
        <w:tc>
          <w:tcPr>
            <w:tcW w:w="1080" w:type="dxa"/>
          </w:tcPr>
          <w:p w:rsidRPr="002D05CE" w:rsidR="00CC7DA2" w:rsidP="00CC7DA2" w:rsidRDefault="00CC7DA2" w14:paraId="0E5EC48E" w14:textId="3303FC53">
            <w:pPr>
              <w:spacing w:before="60" w:after="60"/>
              <w:rPr>
                <w:color w:val="000000"/>
                <w:highlight w:val="yellow"/>
              </w:rPr>
            </w:pPr>
            <w:r w:rsidRPr="002D05CE">
              <w:rPr>
                <w:color w:val="000000"/>
              </w:rPr>
              <w:t>$265.00</w:t>
            </w:r>
          </w:p>
        </w:tc>
        <w:tc>
          <w:tcPr>
            <w:tcW w:w="1440" w:type="dxa"/>
            <w:gridSpan w:val="2"/>
            <w:tcBorders>
              <w:right w:val="single" w:color="auto" w:sz="4" w:space="0"/>
            </w:tcBorders>
          </w:tcPr>
          <w:p w:rsidRPr="00F94833" w:rsidR="00CC7DA2" w:rsidP="00CC7DA2" w:rsidRDefault="00CC7DA2" w14:paraId="64A727A4" w14:textId="43575C5F">
            <w:pPr>
              <w:spacing w:before="60" w:after="60"/>
              <w:rPr>
                <w:color w:val="000000"/>
                <w:highlight w:val="yellow"/>
              </w:rPr>
            </w:pPr>
            <w:r>
              <w:rPr>
                <w:color w:val="000000"/>
              </w:rPr>
              <w:t>Res. ALJ-393, 2024 rate plus 3.46% COLA plus 5% step increase. See Comment 4</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7BA8B749" w14:textId="355243AB">
            <w:pPr>
              <w:spacing w:before="60" w:after="60"/>
              <w:rPr>
                <w:color w:val="000000"/>
                <w:highlight w:val="yellow"/>
              </w:rPr>
            </w:pPr>
            <w:r>
              <w:rPr>
                <w:color w:val="000000"/>
              </w:rPr>
              <w:t xml:space="preserve"> $927.50 </w:t>
            </w:r>
          </w:p>
        </w:tc>
        <w:tc>
          <w:tcPr>
            <w:tcW w:w="955" w:type="dxa"/>
            <w:tcBorders>
              <w:left w:val="single" w:color="auto" w:sz="4" w:space="0"/>
            </w:tcBorders>
          </w:tcPr>
          <w:p w:rsidRPr="007F620E" w:rsidR="00CC7DA2" w:rsidP="00CC7DA2" w:rsidRDefault="00CC7DA2" w14:paraId="128C5D44" w14:textId="0D653B92">
            <w:pPr>
              <w:spacing w:before="60" w:after="60"/>
              <w:jc w:val="center"/>
              <w:rPr>
                <w:color w:val="000000"/>
              </w:rPr>
            </w:pPr>
            <w:r>
              <w:rPr>
                <w:color w:val="000000"/>
              </w:rPr>
              <w:t>3.50</w:t>
            </w:r>
          </w:p>
        </w:tc>
        <w:tc>
          <w:tcPr>
            <w:tcW w:w="1146" w:type="dxa"/>
          </w:tcPr>
          <w:p w:rsidRPr="007F620E" w:rsidR="00CC7DA2" w:rsidP="00CC7DA2" w:rsidRDefault="00CC7DA2" w14:paraId="2DE2A2FD" w14:textId="7C8FAE70">
            <w:pPr>
              <w:spacing w:before="60" w:after="60"/>
              <w:jc w:val="center"/>
              <w:rPr>
                <w:color w:val="000000"/>
              </w:rPr>
            </w:pPr>
            <w:r>
              <w:rPr>
                <w:color w:val="000000"/>
              </w:rPr>
              <w:t>$265.00 [6]</w:t>
            </w:r>
          </w:p>
        </w:tc>
        <w:tc>
          <w:tcPr>
            <w:tcW w:w="1881" w:type="dxa"/>
          </w:tcPr>
          <w:p w:rsidRPr="007F620E" w:rsidR="00CC7DA2" w:rsidP="00CC7DA2" w:rsidRDefault="00CC7DA2" w14:paraId="6A93A0F8" w14:textId="17B56A00">
            <w:pPr>
              <w:spacing w:before="60" w:after="60"/>
              <w:jc w:val="right"/>
              <w:rPr>
                <w:color w:val="000000"/>
              </w:rPr>
            </w:pPr>
            <w:r w:rsidRPr="00152D7C">
              <w:t xml:space="preserve">$927.50 </w:t>
            </w:r>
          </w:p>
        </w:tc>
      </w:tr>
      <w:tr w:rsidRPr="007F620E" w:rsidR="00CC7DA2" w:rsidTr="00CC7DA2" w14:paraId="7BD5473B" w14:textId="77777777">
        <w:trPr>
          <w:jc w:val="center"/>
        </w:trPr>
        <w:tc>
          <w:tcPr>
            <w:tcW w:w="1345" w:type="dxa"/>
          </w:tcPr>
          <w:p w:rsidRPr="00F94833" w:rsidR="00CC7DA2" w:rsidP="00CC7DA2" w:rsidRDefault="00CC7DA2" w14:paraId="117326A5" w14:textId="21C1FB88">
            <w:pPr>
              <w:spacing w:before="60" w:after="60"/>
              <w:rPr>
                <w:color w:val="000000"/>
                <w:highlight w:val="yellow"/>
              </w:rPr>
            </w:pPr>
            <w:r>
              <w:rPr>
                <w:color w:val="000000"/>
              </w:rPr>
              <w:t>Jessica Hecht</w:t>
            </w:r>
          </w:p>
        </w:tc>
        <w:tc>
          <w:tcPr>
            <w:tcW w:w="965" w:type="dxa"/>
          </w:tcPr>
          <w:p w:rsidRPr="00F94833" w:rsidR="00CC7DA2" w:rsidP="00CC7DA2" w:rsidRDefault="00CC7DA2" w14:paraId="099E52F3" w14:textId="29DB6141">
            <w:pPr>
              <w:spacing w:before="60" w:after="60"/>
              <w:rPr>
                <w:color w:val="000000"/>
                <w:highlight w:val="yellow"/>
              </w:rPr>
            </w:pPr>
            <w:r>
              <w:rPr>
                <w:color w:val="000000"/>
              </w:rPr>
              <w:t>2024</w:t>
            </w:r>
          </w:p>
        </w:tc>
        <w:tc>
          <w:tcPr>
            <w:tcW w:w="925" w:type="dxa"/>
            <w:gridSpan w:val="2"/>
          </w:tcPr>
          <w:p w:rsidRPr="00F94833" w:rsidR="00CC7DA2" w:rsidP="00CC7DA2" w:rsidRDefault="00CC7DA2" w14:paraId="19E0E0F0" w14:textId="602ED413">
            <w:pPr>
              <w:spacing w:before="60" w:after="60"/>
              <w:rPr>
                <w:color w:val="000000"/>
                <w:highlight w:val="yellow"/>
              </w:rPr>
            </w:pPr>
            <w:r>
              <w:rPr>
                <w:color w:val="000000"/>
              </w:rPr>
              <w:t xml:space="preserve">  67.00 </w:t>
            </w:r>
          </w:p>
        </w:tc>
        <w:tc>
          <w:tcPr>
            <w:tcW w:w="1080" w:type="dxa"/>
          </w:tcPr>
          <w:p w:rsidRPr="002D05CE" w:rsidR="00CC7DA2" w:rsidP="00CC7DA2" w:rsidRDefault="00CC7DA2" w14:paraId="6322148D" w14:textId="32EEA65A">
            <w:pPr>
              <w:spacing w:before="60" w:after="60"/>
              <w:rPr>
                <w:color w:val="000000"/>
                <w:highlight w:val="yellow"/>
              </w:rPr>
            </w:pPr>
            <w:r w:rsidRPr="002D05CE">
              <w:rPr>
                <w:color w:val="000000"/>
              </w:rPr>
              <w:t>$750.00</w:t>
            </w:r>
          </w:p>
        </w:tc>
        <w:tc>
          <w:tcPr>
            <w:tcW w:w="1440" w:type="dxa"/>
            <w:gridSpan w:val="2"/>
            <w:tcBorders>
              <w:right w:val="single" w:color="auto" w:sz="4" w:space="0"/>
            </w:tcBorders>
          </w:tcPr>
          <w:p w:rsidRPr="002D05CE" w:rsidR="00CC7DA2" w:rsidP="00CC7DA2" w:rsidRDefault="00CC7DA2" w14:paraId="2D7B5C5C" w14:textId="23810F60">
            <w:pPr>
              <w:spacing w:before="60" w:after="60"/>
              <w:jc w:val="center"/>
              <w:rPr>
                <w:color w:val="000000"/>
                <w:highlight w:val="yellow"/>
              </w:rPr>
            </w:pPr>
            <w:r>
              <w:rPr>
                <w:color w:val="000000"/>
              </w:rPr>
              <w:t>Res. ALJ-393 – New Rate, See Comment 5</w:t>
            </w:r>
            <w:r w:rsidRPr="002D05CE">
              <w:rPr>
                <w:color w:val="000000"/>
                <w:highlight w:val="yellow"/>
              </w:rPr>
              <w:t xml:space="preserve">    </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709307EA" w14:textId="3FF0AFED">
            <w:pPr>
              <w:spacing w:before="60" w:after="60"/>
              <w:rPr>
                <w:color w:val="000000"/>
                <w:highlight w:val="yellow"/>
              </w:rPr>
            </w:pPr>
            <w:r>
              <w:rPr>
                <w:color w:val="000000"/>
              </w:rPr>
              <w:t xml:space="preserve"> $50,250.00 </w:t>
            </w:r>
          </w:p>
        </w:tc>
        <w:tc>
          <w:tcPr>
            <w:tcW w:w="955" w:type="dxa"/>
            <w:tcBorders>
              <w:left w:val="single" w:color="auto" w:sz="4" w:space="0"/>
            </w:tcBorders>
          </w:tcPr>
          <w:p w:rsidRPr="007F620E" w:rsidR="00CC7DA2" w:rsidP="00CC7DA2" w:rsidRDefault="00CC7DA2" w14:paraId="53A39BAF" w14:textId="202D34B9">
            <w:pPr>
              <w:spacing w:before="60" w:after="60"/>
              <w:jc w:val="center"/>
              <w:rPr>
                <w:color w:val="000000"/>
              </w:rPr>
            </w:pPr>
            <w:r>
              <w:rPr>
                <w:color w:val="000000"/>
              </w:rPr>
              <w:t>67.00</w:t>
            </w:r>
          </w:p>
        </w:tc>
        <w:tc>
          <w:tcPr>
            <w:tcW w:w="1146" w:type="dxa"/>
          </w:tcPr>
          <w:p w:rsidRPr="007F620E" w:rsidR="00CC7DA2" w:rsidP="00CC7DA2" w:rsidRDefault="00CC7DA2" w14:paraId="46987632" w14:textId="4D6ADEF7">
            <w:pPr>
              <w:spacing w:before="60" w:after="60"/>
              <w:jc w:val="center"/>
              <w:rPr>
                <w:color w:val="000000"/>
              </w:rPr>
            </w:pPr>
            <w:r>
              <w:rPr>
                <w:color w:val="000000"/>
              </w:rPr>
              <w:t>$750.00 [7</w:t>
            </w:r>
            <w:r w:rsidR="00524518">
              <w:rPr>
                <w:color w:val="000000"/>
              </w:rPr>
              <w:t>,8</w:t>
            </w:r>
            <w:r>
              <w:rPr>
                <w:color w:val="000000"/>
              </w:rPr>
              <w:t>]</w:t>
            </w:r>
          </w:p>
        </w:tc>
        <w:tc>
          <w:tcPr>
            <w:tcW w:w="1881" w:type="dxa"/>
          </w:tcPr>
          <w:p w:rsidRPr="007F620E" w:rsidR="00CC7DA2" w:rsidP="00CC7DA2" w:rsidRDefault="00CC7DA2" w14:paraId="61FB2C09" w14:textId="436F3D92">
            <w:pPr>
              <w:spacing w:before="60" w:after="60"/>
              <w:jc w:val="right"/>
              <w:rPr>
                <w:color w:val="000000"/>
              </w:rPr>
            </w:pPr>
            <w:r w:rsidRPr="00152D7C">
              <w:t xml:space="preserve">$50,250.00 </w:t>
            </w:r>
          </w:p>
        </w:tc>
      </w:tr>
      <w:tr w:rsidRPr="007F620E" w:rsidR="00CC7DA2" w:rsidTr="00CC7DA2" w14:paraId="0BF84921" w14:textId="77777777">
        <w:trPr>
          <w:jc w:val="center"/>
        </w:trPr>
        <w:tc>
          <w:tcPr>
            <w:tcW w:w="1345" w:type="dxa"/>
          </w:tcPr>
          <w:p w:rsidRPr="00F94833" w:rsidR="00CC7DA2" w:rsidP="00CC7DA2" w:rsidRDefault="00CC7DA2" w14:paraId="58BA760B" w14:textId="0566388F">
            <w:pPr>
              <w:spacing w:before="60" w:after="60"/>
              <w:rPr>
                <w:color w:val="000000"/>
                <w:highlight w:val="yellow"/>
              </w:rPr>
            </w:pPr>
            <w:r>
              <w:rPr>
                <w:color w:val="000000"/>
              </w:rPr>
              <w:t>Jessica Hecht</w:t>
            </w:r>
          </w:p>
        </w:tc>
        <w:tc>
          <w:tcPr>
            <w:tcW w:w="965" w:type="dxa"/>
          </w:tcPr>
          <w:p w:rsidRPr="00F94833" w:rsidR="00CC7DA2" w:rsidP="00CC7DA2" w:rsidRDefault="00CC7DA2" w14:paraId="044F74C4" w14:textId="05E046CE">
            <w:pPr>
              <w:spacing w:before="60" w:after="60"/>
              <w:rPr>
                <w:color w:val="000000"/>
                <w:highlight w:val="yellow"/>
              </w:rPr>
            </w:pPr>
            <w:r>
              <w:rPr>
                <w:color w:val="000000"/>
              </w:rPr>
              <w:t>2025</w:t>
            </w:r>
          </w:p>
        </w:tc>
        <w:tc>
          <w:tcPr>
            <w:tcW w:w="925" w:type="dxa"/>
            <w:gridSpan w:val="2"/>
          </w:tcPr>
          <w:p w:rsidRPr="00F94833" w:rsidR="00CC7DA2" w:rsidP="00CC7DA2" w:rsidRDefault="00CC7DA2" w14:paraId="773F44D6" w14:textId="5D43C463">
            <w:pPr>
              <w:spacing w:before="60" w:after="60"/>
              <w:rPr>
                <w:color w:val="000000"/>
                <w:highlight w:val="yellow"/>
              </w:rPr>
            </w:pPr>
            <w:r>
              <w:rPr>
                <w:color w:val="000000"/>
              </w:rPr>
              <w:t xml:space="preserve">  12.50 </w:t>
            </w:r>
          </w:p>
        </w:tc>
        <w:tc>
          <w:tcPr>
            <w:tcW w:w="1080" w:type="dxa"/>
          </w:tcPr>
          <w:p w:rsidRPr="002D05CE" w:rsidR="00CC7DA2" w:rsidP="00CC7DA2" w:rsidRDefault="00CC7DA2" w14:paraId="5140CA71" w14:textId="657BC0E5">
            <w:pPr>
              <w:spacing w:before="60" w:after="60"/>
              <w:rPr>
                <w:color w:val="000000"/>
                <w:highlight w:val="yellow"/>
              </w:rPr>
            </w:pPr>
            <w:r w:rsidRPr="002D05CE">
              <w:rPr>
                <w:color w:val="000000"/>
              </w:rPr>
              <w:t>$750.00</w:t>
            </w:r>
          </w:p>
        </w:tc>
        <w:tc>
          <w:tcPr>
            <w:tcW w:w="1440" w:type="dxa"/>
            <w:gridSpan w:val="2"/>
            <w:tcBorders>
              <w:right w:val="single" w:color="auto" w:sz="4" w:space="0"/>
            </w:tcBorders>
          </w:tcPr>
          <w:p w:rsidRPr="002D05CE" w:rsidR="00CC7DA2" w:rsidP="00CC7DA2" w:rsidRDefault="00CC7DA2" w14:paraId="3DA31EE7" w14:textId="01DD32D3">
            <w:pPr>
              <w:spacing w:before="60" w:after="60"/>
              <w:rPr>
                <w:color w:val="000000"/>
                <w:highlight w:val="yellow"/>
              </w:rPr>
            </w:pPr>
            <w:r>
              <w:rPr>
                <w:color w:val="000000"/>
              </w:rPr>
              <w:t>Res. ALJ-393 – New Rate, See Comment 5</w:t>
            </w:r>
            <w:r w:rsidRPr="002D05CE">
              <w:rPr>
                <w:color w:val="000000"/>
                <w:highlight w:val="yellow"/>
              </w:rPr>
              <w:t xml:space="preserve">   </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35E55331" w14:textId="2FFAB4A3">
            <w:pPr>
              <w:spacing w:before="60" w:after="60"/>
              <w:rPr>
                <w:color w:val="000000"/>
                <w:highlight w:val="yellow"/>
              </w:rPr>
            </w:pPr>
            <w:r>
              <w:rPr>
                <w:color w:val="000000"/>
              </w:rPr>
              <w:t xml:space="preserve"> $9,375.00 </w:t>
            </w:r>
          </w:p>
        </w:tc>
        <w:tc>
          <w:tcPr>
            <w:tcW w:w="955" w:type="dxa"/>
            <w:tcBorders>
              <w:left w:val="single" w:color="auto" w:sz="4" w:space="0"/>
            </w:tcBorders>
          </w:tcPr>
          <w:p w:rsidRPr="007F620E" w:rsidR="00CC7DA2" w:rsidP="00CC7DA2" w:rsidRDefault="00CC7DA2" w14:paraId="39B55F62" w14:textId="2DA1DDAA">
            <w:pPr>
              <w:spacing w:before="60" w:after="60"/>
              <w:jc w:val="center"/>
              <w:rPr>
                <w:color w:val="000000"/>
              </w:rPr>
            </w:pPr>
            <w:r>
              <w:rPr>
                <w:color w:val="000000"/>
              </w:rPr>
              <w:t>12.50</w:t>
            </w:r>
          </w:p>
        </w:tc>
        <w:tc>
          <w:tcPr>
            <w:tcW w:w="1146" w:type="dxa"/>
          </w:tcPr>
          <w:p w:rsidRPr="007F620E" w:rsidR="00CC7DA2" w:rsidP="00CC7DA2" w:rsidRDefault="00CC7DA2" w14:paraId="7E19119B" w14:textId="7DB25465">
            <w:pPr>
              <w:spacing w:before="60" w:after="60"/>
              <w:jc w:val="center"/>
              <w:rPr>
                <w:color w:val="000000"/>
              </w:rPr>
            </w:pPr>
            <w:r>
              <w:rPr>
                <w:color w:val="000000"/>
              </w:rPr>
              <w:t>$750.00 [7]</w:t>
            </w:r>
          </w:p>
        </w:tc>
        <w:tc>
          <w:tcPr>
            <w:tcW w:w="1881" w:type="dxa"/>
          </w:tcPr>
          <w:p w:rsidRPr="007F620E" w:rsidR="00CC7DA2" w:rsidP="00CC7DA2" w:rsidRDefault="00CC7DA2" w14:paraId="22C573CD" w14:textId="1D99D545">
            <w:pPr>
              <w:spacing w:before="60" w:after="60"/>
              <w:jc w:val="right"/>
              <w:rPr>
                <w:color w:val="000000"/>
              </w:rPr>
            </w:pPr>
            <w:r w:rsidRPr="00152D7C">
              <w:t xml:space="preserve">$9,375.00 </w:t>
            </w:r>
          </w:p>
        </w:tc>
      </w:tr>
      <w:tr w:rsidRPr="007F620E" w:rsidR="00625B30" w:rsidTr="0036244B" w14:paraId="2C59CE5E" w14:textId="77777777">
        <w:trPr>
          <w:jc w:val="center"/>
        </w:trPr>
        <w:tc>
          <w:tcPr>
            <w:tcW w:w="7178" w:type="dxa"/>
            <w:gridSpan w:val="9"/>
            <w:tcBorders>
              <w:bottom w:val="single" w:color="auto" w:sz="4" w:space="0"/>
              <w:right w:val="single" w:color="auto" w:sz="24" w:space="0"/>
            </w:tcBorders>
            <w:vAlign w:val="bottom"/>
          </w:tcPr>
          <w:p w:rsidRPr="00374FD1" w:rsidR="00625B30" w:rsidP="00CC7DA2" w:rsidRDefault="00625B30" w14:paraId="4F1A3FAB" w14:textId="7749B513">
            <w:pPr>
              <w:tabs>
                <w:tab w:val="left" w:pos="957"/>
              </w:tabs>
              <w:spacing w:before="60" w:after="60"/>
              <w:ind w:right="162"/>
              <w:jc w:val="right"/>
              <w:rPr>
                <w:b/>
                <w:i/>
                <w:color w:val="000000"/>
              </w:rPr>
            </w:pPr>
            <w:r w:rsidRPr="007F620E">
              <w:rPr>
                <w:b/>
                <w:i/>
                <w:color w:val="000000"/>
              </w:rPr>
              <w:lastRenderedPageBreak/>
              <w:t xml:space="preserve">Subtotal: </w:t>
            </w:r>
            <w:r w:rsidRPr="005A0878" w:rsidR="005A0878">
              <w:rPr>
                <w:b/>
                <w:i/>
                <w:color w:val="000000"/>
              </w:rPr>
              <w:t>$283,633.75</w:t>
            </w:r>
          </w:p>
        </w:tc>
        <w:tc>
          <w:tcPr>
            <w:tcW w:w="3982" w:type="dxa"/>
            <w:gridSpan w:val="3"/>
            <w:tcBorders>
              <w:left w:val="single" w:color="auto" w:sz="24" w:space="0"/>
              <w:bottom w:val="single" w:color="auto" w:sz="4" w:space="0"/>
            </w:tcBorders>
            <w:vAlign w:val="bottom"/>
          </w:tcPr>
          <w:p w:rsidRPr="006C4DF7" w:rsidR="00625B30" w:rsidP="00CC7DA2" w:rsidRDefault="00625B30" w14:paraId="3D09644E" w14:textId="6D8C9F02">
            <w:pPr>
              <w:tabs>
                <w:tab w:val="left" w:pos="957"/>
              </w:tabs>
              <w:spacing w:before="60" w:after="60"/>
              <w:ind w:right="162"/>
              <w:jc w:val="right"/>
              <w:rPr>
                <w:i/>
                <w:color w:val="000000"/>
              </w:rPr>
            </w:pPr>
            <w:r w:rsidRPr="00630910">
              <w:rPr>
                <w:b/>
                <w:i/>
                <w:color w:val="000000"/>
              </w:rPr>
              <w:t xml:space="preserve">Subtotal: </w:t>
            </w:r>
            <w:r w:rsidRPr="006C4DF7" w:rsidR="00CC7DA2">
              <w:rPr>
                <w:b/>
                <w:i/>
                <w:color w:val="000000"/>
              </w:rPr>
              <w:t>$283,633.75</w:t>
            </w:r>
          </w:p>
        </w:tc>
      </w:tr>
      <w:tr w:rsidRPr="007F620E" w:rsidR="00625B30" w:rsidTr="0036244B" w14:paraId="09A7632E"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625B30" w:rsidP="00625B30" w:rsidRDefault="00625B30" w14:paraId="1AF02425" w14:textId="77777777">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Pr="00260518" w:rsidR="00625B30" w:rsidTr="001D366B" w14:paraId="1907DE32" w14:textId="77777777">
        <w:trPr>
          <w:jc w:val="center"/>
        </w:trPr>
        <w:tc>
          <w:tcPr>
            <w:tcW w:w="1345" w:type="dxa"/>
            <w:tcBorders>
              <w:top w:val="single" w:color="auto" w:sz="4" w:space="0"/>
              <w:bottom w:val="single" w:color="auto" w:sz="4" w:space="0"/>
            </w:tcBorders>
            <w:vAlign w:val="bottom"/>
          </w:tcPr>
          <w:p w:rsidRPr="00260518" w:rsidR="00625B30" w:rsidP="00625B30" w:rsidRDefault="00625B30" w14:paraId="759496FA" w14:textId="77777777">
            <w:pPr>
              <w:keepNext/>
              <w:spacing w:before="60" w:after="60"/>
              <w:jc w:val="center"/>
              <w:rPr>
                <w:b/>
                <w:color w:val="000000"/>
                <w:sz w:val="22"/>
                <w:szCs w:val="22"/>
              </w:rPr>
            </w:pPr>
            <w:r w:rsidRPr="00260518">
              <w:rPr>
                <w:b/>
                <w:color w:val="000000"/>
                <w:sz w:val="22"/>
                <w:szCs w:val="22"/>
              </w:rPr>
              <w:t>Item</w:t>
            </w:r>
          </w:p>
        </w:tc>
        <w:tc>
          <w:tcPr>
            <w:tcW w:w="965" w:type="dxa"/>
            <w:tcBorders>
              <w:top w:val="single" w:color="auto" w:sz="4" w:space="0"/>
              <w:bottom w:val="single" w:color="auto" w:sz="4" w:space="0"/>
            </w:tcBorders>
            <w:vAlign w:val="bottom"/>
          </w:tcPr>
          <w:p w:rsidRPr="00260518" w:rsidR="00625B30" w:rsidP="00625B30" w:rsidRDefault="00625B30" w14:paraId="6070E8A8" w14:textId="77777777">
            <w:pPr>
              <w:keepNext/>
              <w:spacing w:before="60" w:after="60"/>
              <w:jc w:val="center"/>
              <w:rPr>
                <w:b/>
                <w:color w:val="000000"/>
                <w:sz w:val="22"/>
                <w:szCs w:val="22"/>
              </w:rPr>
            </w:pPr>
            <w:r w:rsidRPr="00260518">
              <w:rPr>
                <w:b/>
                <w:color w:val="000000"/>
                <w:sz w:val="22"/>
                <w:szCs w:val="22"/>
              </w:rPr>
              <w:t>Year</w:t>
            </w:r>
          </w:p>
        </w:tc>
        <w:tc>
          <w:tcPr>
            <w:tcW w:w="925" w:type="dxa"/>
            <w:gridSpan w:val="2"/>
            <w:tcBorders>
              <w:top w:val="single" w:color="auto" w:sz="4" w:space="0"/>
              <w:bottom w:val="single" w:color="auto" w:sz="4" w:space="0"/>
            </w:tcBorders>
            <w:vAlign w:val="bottom"/>
          </w:tcPr>
          <w:p w:rsidRPr="00260518" w:rsidR="00625B30" w:rsidP="00625B30" w:rsidRDefault="00625B30" w14:paraId="669A6E30" w14:textId="77777777">
            <w:pPr>
              <w:keepNext/>
              <w:spacing w:before="60" w:after="60"/>
              <w:jc w:val="center"/>
              <w:rPr>
                <w:b/>
                <w:color w:val="000000"/>
                <w:sz w:val="22"/>
                <w:szCs w:val="22"/>
              </w:rPr>
            </w:pPr>
            <w:r w:rsidRPr="00260518">
              <w:rPr>
                <w:b/>
                <w:color w:val="000000"/>
                <w:sz w:val="22"/>
                <w:szCs w:val="22"/>
              </w:rPr>
              <w:t>Hours</w:t>
            </w:r>
          </w:p>
        </w:tc>
        <w:tc>
          <w:tcPr>
            <w:tcW w:w="1080" w:type="dxa"/>
            <w:tcBorders>
              <w:top w:val="single" w:color="auto" w:sz="4" w:space="0"/>
              <w:bottom w:val="single" w:color="auto" w:sz="4" w:space="0"/>
            </w:tcBorders>
            <w:vAlign w:val="bottom"/>
          </w:tcPr>
          <w:p w:rsidRPr="00260518" w:rsidR="00625B30" w:rsidP="00625B30" w:rsidRDefault="00625B30" w14:paraId="4D821CA0" w14:textId="77777777">
            <w:pPr>
              <w:keepNext/>
              <w:spacing w:before="60" w:after="60"/>
              <w:jc w:val="center"/>
              <w:rPr>
                <w:b/>
                <w:color w:val="000000"/>
                <w:sz w:val="22"/>
                <w:szCs w:val="22"/>
              </w:rPr>
            </w:pPr>
            <w:r w:rsidRPr="00260518">
              <w:rPr>
                <w:b/>
                <w:color w:val="000000"/>
                <w:sz w:val="22"/>
                <w:szCs w:val="22"/>
              </w:rPr>
              <w:t>Rate $</w:t>
            </w:r>
          </w:p>
        </w:tc>
        <w:tc>
          <w:tcPr>
            <w:tcW w:w="1440" w:type="dxa"/>
            <w:gridSpan w:val="2"/>
            <w:tcBorders>
              <w:top w:val="single" w:color="auto" w:sz="4" w:space="0"/>
              <w:bottom w:val="single" w:color="auto" w:sz="4" w:space="0"/>
              <w:right w:val="single" w:color="auto" w:sz="4" w:space="0"/>
            </w:tcBorders>
            <w:vAlign w:val="bottom"/>
          </w:tcPr>
          <w:p w:rsidRPr="00260518" w:rsidR="00625B30" w:rsidP="00625B30" w:rsidRDefault="00625B30" w14:paraId="13910344" w14:textId="77777777">
            <w:pPr>
              <w:keepNext/>
              <w:spacing w:before="60" w:after="60"/>
              <w:jc w:val="center"/>
              <w:rPr>
                <w:b/>
                <w:color w:val="000000"/>
                <w:sz w:val="22"/>
                <w:szCs w:val="22"/>
              </w:rPr>
            </w:pPr>
            <w:r w:rsidRPr="00260518">
              <w:rPr>
                <w:b/>
                <w:color w:val="000000"/>
                <w:sz w:val="22"/>
                <w:szCs w:val="22"/>
              </w:rPr>
              <w:t>Basis for Rate*</w:t>
            </w:r>
          </w:p>
        </w:tc>
        <w:tc>
          <w:tcPr>
            <w:tcW w:w="1423" w:type="dxa"/>
            <w:gridSpan w:val="2"/>
            <w:tcBorders>
              <w:top w:val="single" w:color="auto" w:sz="4" w:space="0"/>
              <w:left w:val="single" w:color="auto" w:sz="4" w:space="0"/>
              <w:bottom w:val="single" w:color="auto" w:sz="4" w:space="0"/>
              <w:right w:val="single" w:color="auto" w:sz="24" w:space="0"/>
            </w:tcBorders>
            <w:vAlign w:val="bottom"/>
          </w:tcPr>
          <w:p w:rsidRPr="00260518" w:rsidR="00625B30" w:rsidP="00625B30" w:rsidRDefault="00625B30" w14:paraId="3D36F2B6"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625B30" w:rsidP="00625B30" w:rsidRDefault="00625B30" w14:paraId="000A1400"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625B30" w:rsidP="00625B30" w:rsidRDefault="00625B30" w14:paraId="1DADFC59" w14:textId="77777777">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881" w:type="dxa"/>
            <w:tcBorders>
              <w:top w:val="single" w:color="auto" w:sz="4" w:space="0"/>
            </w:tcBorders>
            <w:vAlign w:val="bottom"/>
          </w:tcPr>
          <w:p w:rsidRPr="00260518" w:rsidR="00625B30" w:rsidP="00625B30" w:rsidRDefault="00625B30" w14:paraId="36B6AC97" w14:textId="77777777">
            <w:pPr>
              <w:keepNext/>
              <w:spacing w:before="60" w:after="60"/>
              <w:jc w:val="center"/>
              <w:rPr>
                <w:b/>
                <w:color w:val="000000"/>
                <w:sz w:val="22"/>
                <w:szCs w:val="22"/>
              </w:rPr>
            </w:pPr>
            <w:r w:rsidRPr="00260518">
              <w:rPr>
                <w:b/>
                <w:color w:val="000000"/>
                <w:sz w:val="22"/>
                <w:szCs w:val="22"/>
              </w:rPr>
              <w:t>Total $</w:t>
            </w:r>
          </w:p>
        </w:tc>
      </w:tr>
      <w:tr w:rsidRPr="007F620E" w:rsidR="00CC7DA2" w:rsidTr="00CC7DA2" w14:paraId="480E051E" w14:textId="77777777">
        <w:trPr>
          <w:jc w:val="center"/>
        </w:trPr>
        <w:tc>
          <w:tcPr>
            <w:tcW w:w="1345" w:type="dxa"/>
          </w:tcPr>
          <w:p w:rsidRPr="00F94833" w:rsidR="00CC7DA2" w:rsidP="00CC7DA2" w:rsidRDefault="00CC7DA2" w14:paraId="5DE3E6A0" w14:textId="049AC574">
            <w:pPr>
              <w:spacing w:before="60" w:after="60"/>
              <w:rPr>
                <w:color w:val="000000"/>
                <w:sz w:val="22"/>
                <w:szCs w:val="22"/>
                <w:highlight w:val="yellow"/>
              </w:rPr>
            </w:pPr>
            <w:r>
              <w:rPr>
                <w:color w:val="000000"/>
              </w:rPr>
              <w:t>Elise Torres, TURN Attorney</w:t>
            </w:r>
          </w:p>
        </w:tc>
        <w:tc>
          <w:tcPr>
            <w:tcW w:w="965" w:type="dxa"/>
          </w:tcPr>
          <w:p w:rsidRPr="00F94833" w:rsidR="00CC7DA2" w:rsidP="00CC7DA2" w:rsidRDefault="00CC7DA2" w14:paraId="0B136663" w14:textId="49E638E5">
            <w:pPr>
              <w:spacing w:before="60" w:after="60"/>
              <w:rPr>
                <w:color w:val="000000"/>
                <w:sz w:val="22"/>
                <w:szCs w:val="22"/>
                <w:highlight w:val="yellow"/>
              </w:rPr>
            </w:pPr>
            <w:r>
              <w:rPr>
                <w:color w:val="000000"/>
              </w:rPr>
              <w:t>2024</w:t>
            </w:r>
          </w:p>
        </w:tc>
        <w:tc>
          <w:tcPr>
            <w:tcW w:w="925" w:type="dxa"/>
            <w:gridSpan w:val="2"/>
          </w:tcPr>
          <w:p w:rsidRPr="00F94833" w:rsidR="00CC7DA2" w:rsidP="00CC7DA2" w:rsidRDefault="00CC7DA2" w14:paraId="024BAAC7" w14:textId="43E0C1FC">
            <w:pPr>
              <w:spacing w:before="60" w:after="60"/>
              <w:rPr>
                <w:color w:val="000000"/>
                <w:sz w:val="22"/>
                <w:szCs w:val="22"/>
                <w:highlight w:val="yellow"/>
              </w:rPr>
            </w:pPr>
            <w:r>
              <w:rPr>
                <w:color w:val="000000"/>
              </w:rPr>
              <w:t>0.50</w:t>
            </w:r>
          </w:p>
        </w:tc>
        <w:tc>
          <w:tcPr>
            <w:tcW w:w="1080" w:type="dxa"/>
          </w:tcPr>
          <w:p w:rsidRPr="002D05CE" w:rsidR="00CC7DA2" w:rsidP="00CC7DA2" w:rsidRDefault="00CC7DA2" w14:paraId="2BE33A5C" w14:textId="44990008">
            <w:pPr>
              <w:spacing w:before="60" w:after="60"/>
              <w:rPr>
                <w:color w:val="000000"/>
                <w:highlight w:val="yellow"/>
              </w:rPr>
            </w:pPr>
            <w:r w:rsidRPr="002D05CE">
              <w:rPr>
                <w:color w:val="000000"/>
              </w:rPr>
              <w:t>$277.50</w:t>
            </w:r>
          </w:p>
        </w:tc>
        <w:tc>
          <w:tcPr>
            <w:tcW w:w="1440" w:type="dxa"/>
            <w:gridSpan w:val="2"/>
            <w:tcBorders>
              <w:right w:val="single" w:color="auto" w:sz="4" w:space="0"/>
            </w:tcBorders>
          </w:tcPr>
          <w:p w:rsidRPr="00F94833" w:rsidR="00CC7DA2" w:rsidP="00CC7DA2" w:rsidRDefault="00CC7DA2" w14:paraId="47429964" w14:textId="2F2EFA5F">
            <w:pPr>
              <w:spacing w:before="60" w:after="60"/>
              <w:rPr>
                <w:color w:val="000000"/>
                <w:sz w:val="22"/>
                <w:szCs w:val="22"/>
                <w:highlight w:val="yellow"/>
              </w:rPr>
            </w:pPr>
            <w:r>
              <w:rPr>
                <w:color w:val="000000"/>
              </w:rPr>
              <w:t>50% of 2024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6103641F" w14:textId="0F99E15B">
            <w:pPr>
              <w:spacing w:before="60" w:after="60"/>
              <w:rPr>
                <w:color w:val="000000"/>
                <w:sz w:val="22"/>
                <w:szCs w:val="22"/>
                <w:highlight w:val="yellow"/>
              </w:rPr>
            </w:pPr>
            <w:r>
              <w:rPr>
                <w:color w:val="000000"/>
              </w:rPr>
              <w:t xml:space="preserve"> $138.75 </w:t>
            </w:r>
          </w:p>
        </w:tc>
        <w:tc>
          <w:tcPr>
            <w:tcW w:w="955" w:type="dxa"/>
            <w:tcBorders>
              <w:left w:val="single" w:color="auto" w:sz="4" w:space="0"/>
              <w:right w:val="single" w:color="auto" w:sz="4" w:space="0"/>
            </w:tcBorders>
          </w:tcPr>
          <w:p w:rsidRPr="007F620E" w:rsidR="00CC7DA2" w:rsidP="00CC7DA2" w:rsidRDefault="00CC7DA2" w14:paraId="5A24EE73" w14:textId="27F27F9C">
            <w:pPr>
              <w:spacing w:before="60" w:after="60"/>
              <w:jc w:val="center"/>
              <w:rPr>
                <w:color w:val="000000"/>
              </w:rPr>
            </w:pPr>
            <w:r>
              <w:rPr>
                <w:color w:val="000000"/>
              </w:rPr>
              <w:t>0.50</w:t>
            </w:r>
          </w:p>
        </w:tc>
        <w:tc>
          <w:tcPr>
            <w:tcW w:w="1146" w:type="dxa"/>
            <w:tcBorders>
              <w:left w:val="single" w:color="auto" w:sz="4" w:space="0"/>
            </w:tcBorders>
          </w:tcPr>
          <w:p w:rsidRPr="007F620E" w:rsidR="00CC7DA2" w:rsidP="00CC7DA2" w:rsidRDefault="00CC7DA2" w14:paraId="55DC8EEA" w14:textId="67FD74D3">
            <w:pPr>
              <w:spacing w:before="60" w:after="60"/>
              <w:jc w:val="center"/>
              <w:rPr>
                <w:color w:val="000000"/>
              </w:rPr>
            </w:pPr>
            <w:r>
              <w:rPr>
                <w:color w:val="000000"/>
              </w:rPr>
              <w:t>$277.50 [1]</w:t>
            </w:r>
          </w:p>
        </w:tc>
        <w:tc>
          <w:tcPr>
            <w:tcW w:w="1881" w:type="dxa"/>
          </w:tcPr>
          <w:p w:rsidRPr="007F620E" w:rsidR="00CC7DA2" w:rsidP="00CC7DA2" w:rsidRDefault="00CC7DA2" w14:paraId="09637862" w14:textId="02DA7E83">
            <w:pPr>
              <w:spacing w:before="60" w:after="60"/>
              <w:jc w:val="right"/>
              <w:rPr>
                <w:color w:val="000000"/>
              </w:rPr>
            </w:pPr>
            <w:r w:rsidRPr="00CD3B14">
              <w:t xml:space="preserve">$138.75 </w:t>
            </w:r>
          </w:p>
        </w:tc>
      </w:tr>
      <w:tr w:rsidRPr="007F620E" w:rsidR="00CC7DA2" w:rsidTr="00CC7DA2" w14:paraId="1BBFB342" w14:textId="77777777">
        <w:trPr>
          <w:jc w:val="center"/>
        </w:trPr>
        <w:tc>
          <w:tcPr>
            <w:tcW w:w="1345" w:type="dxa"/>
          </w:tcPr>
          <w:p w:rsidRPr="00F94833" w:rsidR="00CC7DA2" w:rsidP="00CC7DA2" w:rsidRDefault="00CC7DA2" w14:paraId="5CD681C1" w14:textId="7AF04FAD">
            <w:pPr>
              <w:spacing w:before="60" w:after="60"/>
              <w:rPr>
                <w:color w:val="000000"/>
                <w:sz w:val="22"/>
                <w:szCs w:val="22"/>
                <w:highlight w:val="yellow"/>
              </w:rPr>
            </w:pPr>
            <w:r>
              <w:rPr>
                <w:color w:val="000000"/>
              </w:rPr>
              <w:t>Elise Torres, TURN Attorney</w:t>
            </w:r>
          </w:p>
        </w:tc>
        <w:tc>
          <w:tcPr>
            <w:tcW w:w="965" w:type="dxa"/>
          </w:tcPr>
          <w:p w:rsidRPr="00F94833" w:rsidR="00CC7DA2" w:rsidP="00CC7DA2" w:rsidRDefault="00CC7DA2" w14:paraId="2C3CA61A" w14:textId="228CD706">
            <w:pPr>
              <w:spacing w:before="60" w:after="60"/>
              <w:rPr>
                <w:color w:val="000000"/>
                <w:sz w:val="22"/>
                <w:szCs w:val="22"/>
                <w:highlight w:val="yellow"/>
              </w:rPr>
            </w:pPr>
            <w:r>
              <w:rPr>
                <w:color w:val="000000"/>
              </w:rPr>
              <w:t>2025</w:t>
            </w:r>
          </w:p>
        </w:tc>
        <w:tc>
          <w:tcPr>
            <w:tcW w:w="925" w:type="dxa"/>
            <w:gridSpan w:val="2"/>
          </w:tcPr>
          <w:p w:rsidRPr="00F94833" w:rsidR="00CC7DA2" w:rsidP="00CC7DA2" w:rsidRDefault="00CC7DA2" w14:paraId="2DBCF6E2" w14:textId="63DD5A47">
            <w:pPr>
              <w:spacing w:before="60" w:after="60"/>
              <w:rPr>
                <w:color w:val="000000"/>
                <w:sz w:val="22"/>
                <w:szCs w:val="22"/>
                <w:highlight w:val="yellow"/>
              </w:rPr>
            </w:pPr>
            <w:r>
              <w:rPr>
                <w:color w:val="000000"/>
              </w:rPr>
              <w:t>17.75</w:t>
            </w:r>
          </w:p>
        </w:tc>
        <w:tc>
          <w:tcPr>
            <w:tcW w:w="1080" w:type="dxa"/>
          </w:tcPr>
          <w:p w:rsidRPr="002D05CE" w:rsidR="00CC7DA2" w:rsidP="00CC7DA2" w:rsidRDefault="00CC7DA2" w14:paraId="455801DC" w14:textId="56C80613">
            <w:pPr>
              <w:spacing w:before="60" w:after="60"/>
              <w:rPr>
                <w:color w:val="000000"/>
                <w:highlight w:val="yellow"/>
              </w:rPr>
            </w:pPr>
            <w:r w:rsidRPr="002D05CE">
              <w:rPr>
                <w:color w:val="000000"/>
              </w:rPr>
              <w:t>$300.00</w:t>
            </w:r>
          </w:p>
        </w:tc>
        <w:tc>
          <w:tcPr>
            <w:tcW w:w="1440" w:type="dxa"/>
            <w:gridSpan w:val="2"/>
            <w:tcBorders>
              <w:right w:val="single" w:color="auto" w:sz="4" w:space="0"/>
            </w:tcBorders>
          </w:tcPr>
          <w:p w:rsidRPr="00F94833" w:rsidR="00CC7DA2" w:rsidP="00CC7DA2" w:rsidRDefault="00CC7DA2" w14:paraId="5C4C32E1" w14:textId="6DB4DE4B">
            <w:pPr>
              <w:spacing w:before="60" w:after="60"/>
              <w:rPr>
                <w:color w:val="000000"/>
                <w:sz w:val="22"/>
                <w:szCs w:val="22"/>
                <w:highlight w:val="yellow"/>
              </w:rPr>
            </w:pPr>
            <w:r>
              <w:rPr>
                <w:color w:val="000000"/>
              </w:rPr>
              <w:t>50% of 2025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5A0878" w:rsidR="00CC7DA2" w:rsidP="00CC7DA2" w:rsidRDefault="00CC7DA2" w14:paraId="6F3D8278" w14:textId="3F8F1130">
            <w:pPr>
              <w:spacing w:before="60" w:after="60"/>
              <w:rPr>
                <w:color w:val="000000"/>
              </w:rPr>
            </w:pPr>
            <w:r w:rsidRPr="005A0878">
              <w:rPr>
                <w:color w:val="000000"/>
              </w:rPr>
              <w:t xml:space="preserve">$5,325.00 </w:t>
            </w:r>
          </w:p>
          <w:p w:rsidRPr="00F94833" w:rsidR="00CC7DA2" w:rsidP="00CC7DA2" w:rsidRDefault="00CC7DA2" w14:paraId="7248D965" w14:textId="2B4B9433">
            <w:pPr>
              <w:spacing w:before="60" w:after="60"/>
              <w:rPr>
                <w:color w:val="000000"/>
                <w:sz w:val="22"/>
                <w:szCs w:val="22"/>
                <w:highlight w:val="yellow"/>
              </w:rPr>
            </w:pPr>
          </w:p>
        </w:tc>
        <w:tc>
          <w:tcPr>
            <w:tcW w:w="955" w:type="dxa"/>
            <w:tcBorders>
              <w:left w:val="single" w:color="auto" w:sz="4" w:space="0"/>
              <w:right w:val="single" w:color="auto" w:sz="4" w:space="0"/>
            </w:tcBorders>
          </w:tcPr>
          <w:p w:rsidRPr="007F620E" w:rsidR="00CC7DA2" w:rsidP="00CC7DA2" w:rsidRDefault="00CC7DA2" w14:paraId="6FC8FAF7" w14:textId="3306A855">
            <w:pPr>
              <w:spacing w:before="60" w:after="60"/>
              <w:jc w:val="center"/>
              <w:rPr>
                <w:color w:val="000000"/>
              </w:rPr>
            </w:pPr>
            <w:r>
              <w:rPr>
                <w:color w:val="000000"/>
              </w:rPr>
              <w:t>17.75</w:t>
            </w:r>
          </w:p>
        </w:tc>
        <w:tc>
          <w:tcPr>
            <w:tcW w:w="1146" w:type="dxa"/>
            <w:tcBorders>
              <w:left w:val="single" w:color="auto" w:sz="4" w:space="0"/>
            </w:tcBorders>
          </w:tcPr>
          <w:p w:rsidRPr="007F620E" w:rsidR="00CC7DA2" w:rsidP="00CC7DA2" w:rsidRDefault="00CC7DA2" w14:paraId="0C50B890" w14:textId="112AF534">
            <w:pPr>
              <w:spacing w:before="60" w:after="60"/>
              <w:jc w:val="center"/>
              <w:rPr>
                <w:color w:val="000000"/>
              </w:rPr>
            </w:pPr>
            <w:r>
              <w:rPr>
                <w:color w:val="000000"/>
              </w:rPr>
              <w:t>$300.00 [1]</w:t>
            </w:r>
          </w:p>
        </w:tc>
        <w:tc>
          <w:tcPr>
            <w:tcW w:w="1881" w:type="dxa"/>
          </w:tcPr>
          <w:p w:rsidRPr="007F620E" w:rsidR="00CC7DA2" w:rsidP="00CC7DA2" w:rsidRDefault="00CC7DA2" w14:paraId="0FC53645" w14:textId="133423E9">
            <w:pPr>
              <w:spacing w:before="60" w:after="60"/>
              <w:jc w:val="right"/>
              <w:rPr>
                <w:color w:val="000000"/>
              </w:rPr>
            </w:pPr>
            <w:r w:rsidRPr="00CD3B14">
              <w:t xml:space="preserve">$5,325.00 </w:t>
            </w:r>
          </w:p>
        </w:tc>
      </w:tr>
      <w:tr w:rsidRPr="007F620E" w:rsidR="00CC7DA2" w:rsidTr="00CC7DA2" w14:paraId="224DA4BB" w14:textId="77777777">
        <w:trPr>
          <w:jc w:val="center"/>
        </w:trPr>
        <w:tc>
          <w:tcPr>
            <w:tcW w:w="1345" w:type="dxa"/>
          </w:tcPr>
          <w:p w:rsidRPr="00F94833" w:rsidR="00CC7DA2" w:rsidP="00CC7DA2" w:rsidRDefault="00CC7DA2" w14:paraId="00CC4290" w14:textId="791D1C39">
            <w:pPr>
              <w:spacing w:before="60" w:after="60"/>
              <w:rPr>
                <w:color w:val="000000"/>
                <w:highlight w:val="yellow"/>
              </w:rPr>
            </w:pPr>
            <w:r>
              <w:rPr>
                <w:color w:val="000000"/>
              </w:rPr>
              <w:t>Isabella Montoya, TURN Legal Fellow</w:t>
            </w:r>
          </w:p>
        </w:tc>
        <w:tc>
          <w:tcPr>
            <w:tcW w:w="965" w:type="dxa"/>
          </w:tcPr>
          <w:p w:rsidRPr="00F94833" w:rsidR="00CC7DA2" w:rsidP="00CC7DA2" w:rsidRDefault="00CC7DA2" w14:paraId="3722477C" w14:textId="6CD0B7A8">
            <w:pPr>
              <w:spacing w:before="60" w:after="60"/>
              <w:rPr>
                <w:color w:val="000000"/>
                <w:highlight w:val="yellow"/>
              </w:rPr>
            </w:pPr>
            <w:r>
              <w:rPr>
                <w:color w:val="000000"/>
              </w:rPr>
              <w:t>2024</w:t>
            </w:r>
          </w:p>
        </w:tc>
        <w:tc>
          <w:tcPr>
            <w:tcW w:w="925" w:type="dxa"/>
            <w:gridSpan w:val="2"/>
          </w:tcPr>
          <w:p w:rsidRPr="00F94833" w:rsidR="00CC7DA2" w:rsidP="00CC7DA2" w:rsidRDefault="00CC7DA2" w14:paraId="391D2A3A" w14:textId="20ABB840">
            <w:pPr>
              <w:spacing w:before="60" w:after="60"/>
              <w:rPr>
                <w:color w:val="000000"/>
                <w:highlight w:val="yellow"/>
              </w:rPr>
            </w:pPr>
            <w:r>
              <w:rPr>
                <w:color w:val="000000"/>
              </w:rPr>
              <w:t>1.5</w:t>
            </w:r>
          </w:p>
        </w:tc>
        <w:tc>
          <w:tcPr>
            <w:tcW w:w="1080" w:type="dxa"/>
          </w:tcPr>
          <w:p w:rsidRPr="002D05CE" w:rsidR="00CC7DA2" w:rsidP="00CC7DA2" w:rsidRDefault="00CC7DA2" w14:paraId="2EE9D1A2" w14:textId="0ED79E49">
            <w:pPr>
              <w:spacing w:before="60" w:after="60"/>
              <w:rPr>
                <w:color w:val="000000"/>
                <w:highlight w:val="yellow"/>
              </w:rPr>
            </w:pPr>
            <w:r w:rsidRPr="002D05CE">
              <w:rPr>
                <w:color w:val="000000"/>
              </w:rPr>
              <w:t>$105.00</w:t>
            </w:r>
          </w:p>
        </w:tc>
        <w:tc>
          <w:tcPr>
            <w:tcW w:w="1440" w:type="dxa"/>
            <w:gridSpan w:val="2"/>
            <w:tcBorders>
              <w:right w:val="single" w:color="auto" w:sz="4" w:space="0"/>
            </w:tcBorders>
          </w:tcPr>
          <w:p w:rsidRPr="00F94833" w:rsidR="00CC7DA2" w:rsidP="00CC7DA2" w:rsidRDefault="00CC7DA2" w14:paraId="5B1BF02B" w14:textId="427641F1">
            <w:pPr>
              <w:spacing w:before="60" w:after="60"/>
              <w:rPr>
                <w:color w:val="000000"/>
                <w:highlight w:val="yellow"/>
              </w:rPr>
            </w:pPr>
            <w:r>
              <w:rPr>
                <w:color w:val="000000"/>
              </w:rPr>
              <w:t>50% of 2024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F5265B" w:rsidR="00CC7DA2" w:rsidP="00CC7DA2" w:rsidRDefault="00CC7DA2" w14:paraId="717C5CDD" w14:textId="6E7DCDF0">
            <w:pPr>
              <w:spacing w:before="60" w:after="60"/>
              <w:rPr>
                <w:color w:val="000000"/>
              </w:rPr>
            </w:pPr>
            <w:r w:rsidRPr="00F5265B">
              <w:rPr>
                <w:color w:val="000000"/>
              </w:rPr>
              <w:t xml:space="preserve">$ 157.50 </w:t>
            </w:r>
          </w:p>
          <w:p w:rsidRPr="00F94833" w:rsidR="00CC7DA2" w:rsidP="00CC7DA2" w:rsidRDefault="00CC7DA2" w14:paraId="59D983ED" w14:textId="1493B2D7">
            <w:pPr>
              <w:spacing w:before="60" w:after="60"/>
              <w:rPr>
                <w:color w:val="000000"/>
                <w:highlight w:val="yellow"/>
              </w:rPr>
            </w:pPr>
          </w:p>
        </w:tc>
        <w:tc>
          <w:tcPr>
            <w:tcW w:w="955" w:type="dxa"/>
            <w:tcBorders>
              <w:left w:val="single" w:color="auto" w:sz="4" w:space="0"/>
              <w:right w:val="single" w:color="auto" w:sz="4" w:space="0"/>
            </w:tcBorders>
          </w:tcPr>
          <w:p w:rsidRPr="007F620E" w:rsidR="00CC7DA2" w:rsidP="00CC7DA2" w:rsidRDefault="00CC7DA2" w14:paraId="08A700EE" w14:textId="1CD7A7F1">
            <w:pPr>
              <w:spacing w:before="60" w:after="60"/>
              <w:jc w:val="center"/>
              <w:rPr>
                <w:color w:val="000000"/>
              </w:rPr>
            </w:pPr>
            <w:r>
              <w:rPr>
                <w:color w:val="000000"/>
              </w:rPr>
              <w:t>1.5</w:t>
            </w:r>
            <w:r w:rsidR="00215555">
              <w:rPr>
                <w:color w:val="000000"/>
              </w:rPr>
              <w:t>0</w:t>
            </w:r>
          </w:p>
        </w:tc>
        <w:tc>
          <w:tcPr>
            <w:tcW w:w="1146" w:type="dxa"/>
            <w:tcBorders>
              <w:left w:val="single" w:color="auto" w:sz="4" w:space="0"/>
            </w:tcBorders>
          </w:tcPr>
          <w:p w:rsidRPr="007F620E" w:rsidR="00CC7DA2" w:rsidP="00CC7DA2" w:rsidRDefault="00CC7DA2" w14:paraId="09DB582C" w14:textId="3282832A">
            <w:pPr>
              <w:spacing w:before="60" w:after="60"/>
              <w:jc w:val="center"/>
              <w:rPr>
                <w:color w:val="000000"/>
              </w:rPr>
            </w:pPr>
            <w:r>
              <w:rPr>
                <w:color w:val="000000"/>
              </w:rPr>
              <w:t>$105.00 [3]</w:t>
            </w:r>
          </w:p>
        </w:tc>
        <w:tc>
          <w:tcPr>
            <w:tcW w:w="1881" w:type="dxa"/>
          </w:tcPr>
          <w:p w:rsidRPr="007F620E" w:rsidR="00CC7DA2" w:rsidP="00CC7DA2" w:rsidRDefault="00CC7DA2" w14:paraId="3ED23BD1" w14:textId="52525D97">
            <w:pPr>
              <w:spacing w:before="60" w:after="60"/>
              <w:jc w:val="right"/>
              <w:rPr>
                <w:color w:val="000000"/>
              </w:rPr>
            </w:pPr>
            <w:r w:rsidRPr="00CD3B14">
              <w:t xml:space="preserve">$157.50 </w:t>
            </w:r>
          </w:p>
        </w:tc>
      </w:tr>
      <w:tr w:rsidRPr="007F620E" w:rsidR="00CC7DA2" w:rsidTr="00CC7DA2" w14:paraId="0A21068A" w14:textId="77777777">
        <w:trPr>
          <w:jc w:val="center"/>
        </w:trPr>
        <w:tc>
          <w:tcPr>
            <w:tcW w:w="1345" w:type="dxa"/>
          </w:tcPr>
          <w:p w:rsidRPr="00F94833" w:rsidR="00CC7DA2" w:rsidP="00CC7DA2" w:rsidRDefault="00CC7DA2" w14:paraId="7F35C6E2" w14:textId="31B5D0D2">
            <w:pPr>
              <w:spacing w:before="60" w:after="60"/>
              <w:rPr>
                <w:color w:val="000000"/>
                <w:sz w:val="22"/>
                <w:szCs w:val="22"/>
                <w:highlight w:val="yellow"/>
              </w:rPr>
            </w:pPr>
            <w:r>
              <w:rPr>
                <w:color w:val="000000"/>
              </w:rPr>
              <w:t>Reina Yanagiba, TURN Legal Assistant</w:t>
            </w:r>
          </w:p>
        </w:tc>
        <w:tc>
          <w:tcPr>
            <w:tcW w:w="965" w:type="dxa"/>
          </w:tcPr>
          <w:p w:rsidRPr="00F94833" w:rsidR="00CC7DA2" w:rsidP="00CC7DA2" w:rsidRDefault="00CC7DA2" w14:paraId="4D1BD931" w14:textId="7F68CC03">
            <w:pPr>
              <w:spacing w:before="60" w:after="60"/>
              <w:rPr>
                <w:color w:val="000000"/>
                <w:sz w:val="22"/>
                <w:szCs w:val="22"/>
                <w:highlight w:val="yellow"/>
              </w:rPr>
            </w:pPr>
            <w:r>
              <w:rPr>
                <w:color w:val="000000"/>
              </w:rPr>
              <w:t>2025</w:t>
            </w:r>
          </w:p>
        </w:tc>
        <w:tc>
          <w:tcPr>
            <w:tcW w:w="925" w:type="dxa"/>
            <w:gridSpan w:val="2"/>
          </w:tcPr>
          <w:p w:rsidRPr="00F94833" w:rsidR="00CC7DA2" w:rsidP="00CC7DA2" w:rsidRDefault="00CC7DA2" w14:paraId="406807D7" w14:textId="31726F8F">
            <w:pPr>
              <w:spacing w:before="60" w:after="60"/>
              <w:rPr>
                <w:color w:val="000000"/>
                <w:sz w:val="22"/>
                <w:szCs w:val="22"/>
                <w:highlight w:val="yellow"/>
              </w:rPr>
            </w:pPr>
            <w:r>
              <w:rPr>
                <w:color w:val="000000"/>
              </w:rPr>
              <w:t>2.00</w:t>
            </w:r>
          </w:p>
        </w:tc>
        <w:tc>
          <w:tcPr>
            <w:tcW w:w="1080" w:type="dxa"/>
          </w:tcPr>
          <w:p w:rsidRPr="002D05CE" w:rsidR="00CC7DA2" w:rsidP="00CC7DA2" w:rsidRDefault="00CC7DA2" w14:paraId="7201912E" w14:textId="2C0F22C7">
            <w:pPr>
              <w:spacing w:before="60" w:after="60"/>
              <w:rPr>
                <w:color w:val="000000"/>
                <w:highlight w:val="yellow"/>
              </w:rPr>
            </w:pPr>
            <w:r w:rsidRPr="002D05CE">
              <w:rPr>
                <w:color w:val="000000"/>
              </w:rPr>
              <w:t>$62.50</w:t>
            </w:r>
          </w:p>
        </w:tc>
        <w:tc>
          <w:tcPr>
            <w:tcW w:w="1440" w:type="dxa"/>
            <w:gridSpan w:val="2"/>
            <w:tcBorders>
              <w:right w:val="single" w:color="auto" w:sz="4" w:space="0"/>
            </w:tcBorders>
          </w:tcPr>
          <w:p w:rsidRPr="00F94833" w:rsidR="00CC7DA2" w:rsidP="00CC7DA2" w:rsidRDefault="00CC7DA2" w14:paraId="412B75E4" w14:textId="1B04ED97">
            <w:pPr>
              <w:spacing w:before="60" w:after="60"/>
              <w:rPr>
                <w:color w:val="000000"/>
                <w:sz w:val="22"/>
                <w:szCs w:val="22"/>
                <w:highlight w:val="yellow"/>
              </w:rPr>
            </w:pPr>
            <w:r>
              <w:rPr>
                <w:color w:val="000000"/>
              </w:rPr>
              <w:t>50% of 2025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F94833" w:rsidR="00CC7DA2" w:rsidP="00CC7DA2" w:rsidRDefault="00CC7DA2" w14:paraId="3B568020" w14:textId="1039461E">
            <w:pPr>
              <w:spacing w:before="60" w:after="60"/>
              <w:rPr>
                <w:color w:val="000000"/>
                <w:sz w:val="22"/>
                <w:szCs w:val="22"/>
                <w:highlight w:val="yellow"/>
              </w:rPr>
            </w:pPr>
            <w:r>
              <w:rPr>
                <w:color w:val="000000"/>
              </w:rPr>
              <w:t xml:space="preserve"> $125.00 </w:t>
            </w:r>
          </w:p>
        </w:tc>
        <w:tc>
          <w:tcPr>
            <w:tcW w:w="955" w:type="dxa"/>
            <w:tcBorders>
              <w:left w:val="single" w:color="auto" w:sz="4" w:space="0"/>
              <w:right w:val="single" w:color="auto" w:sz="4" w:space="0"/>
            </w:tcBorders>
          </w:tcPr>
          <w:p w:rsidRPr="007F620E" w:rsidR="00CC7DA2" w:rsidP="00CC7DA2" w:rsidRDefault="00CC7DA2" w14:paraId="007E0C5E" w14:textId="37CB40A6">
            <w:pPr>
              <w:spacing w:before="60" w:after="60"/>
              <w:jc w:val="center"/>
              <w:rPr>
                <w:color w:val="000000"/>
              </w:rPr>
            </w:pPr>
            <w:r>
              <w:rPr>
                <w:color w:val="000000"/>
              </w:rPr>
              <w:t>2.00</w:t>
            </w:r>
          </w:p>
        </w:tc>
        <w:tc>
          <w:tcPr>
            <w:tcW w:w="1146" w:type="dxa"/>
            <w:tcBorders>
              <w:left w:val="single" w:color="auto" w:sz="4" w:space="0"/>
            </w:tcBorders>
          </w:tcPr>
          <w:p w:rsidRPr="007F620E" w:rsidR="00CC7DA2" w:rsidP="00CC7DA2" w:rsidRDefault="00CC7DA2" w14:paraId="7EAD2339" w14:textId="29AD8767">
            <w:pPr>
              <w:spacing w:before="60" w:after="60"/>
              <w:jc w:val="center"/>
              <w:rPr>
                <w:color w:val="000000"/>
              </w:rPr>
            </w:pPr>
            <w:r>
              <w:rPr>
                <w:color w:val="000000"/>
              </w:rPr>
              <w:t>$62.50 [5]</w:t>
            </w:r>
          </w:p>
        </w:tc>
        <w:tc>
          <w:tcPr>
            <w:tcW w:w="1881" w:type="dxa"/>
          </w:tcPr>
          <w:p w:rsidRPr="007F620E" w:rsidR="00CC7DA2" w:rsidP="00CC7DA2" w:rsidRDefault="00CC7DA2" w14:paraId="532D40F0" w14:textId="3CDD4053">
            <w:pPr>
              <w:spacing w:before="60" w:after="60"/>
              <w:jc w:val="right"/>
              <w:rPr>
                <w:color w:val="000000"/>
              </w:rPr>
            </w:pPr>
            <w:r w:rsidRPr="00CD3B14">
              <w:t xml:space="preserve">$125.00 </w:t>
            </w:r>
          </w:p>
        </w:tc>
      </w:tr>
      <w:tr w:rsidRPr="00374FD1" w:rsidR="00625B30" w:rsidTr="0036244B" w14:paraId="4608BE29" w14:textId="77777777">
        <w:trPr>
          <w:jc w:val="center"/>
        </w:trPr>
        <w:tc>
          <w:tcPr>
            <w:tcW w:w="7178" w:type="dxa"/>
            <w:gridSpan w:val="9"/>
            <w:tcBorders>
              <w:bottom w:val="single" w:color="auto" w:sz="4" w:space="0"/>
              <w:right w:val="single" w:color="auto" w:sz="24" w:space="0"/>
            </w:tcBorders>
            <w:vAlign w:val="bottom"/>
          </w:tcPr>
          <w:p w:rsidRPr="00374FD1" w:rsidR="00625B30" w:rsidP="00C934E1" w:rsidRDefault="00625B30" w14:paraId="5CE72E9B" w14:textId="3CC5BF05">
            <w:pPr>
              <w:tabs>
                <w:tab w:val="left" w:pos="957"/>
              </w:tabs>
              <w:spacing w:before="60" w:after="60"/>
              <w:ind w:right="162"/>
              <w:jc w:val="right"/>
              <w:rPr>
                <w:b/>
                <w:i/>
                <w:color w:val="000000"/>
              </w:rPr>
            </w:pPr>
            <w:r w:rsidRPr="007F620E">
              <w:rPr>
                <w:b/>
                <w:i/>
                <w:color w:val="000000"/>
              </w:rPr>
              <w:t>Subtotal</w:t>
            </w:r>
            <w:r w:rsidRPr="00002EFC">
              <w:rPr>
                <w:b/>
                <w:i/>
                <w:color w:val="000000"/>
              </w:rPr>
              <w:t xml:space="preserve">: </w:t>
            </w:r>
            <w:r w:rsidRPr="00F5265B" w:rsidR="00F5265B">
              <w:rPr>
                <w:b/>
                <w:i/>
                <w:color w:val="000000"/>
              </w:rPr>
              <w:t>$5,746.25</w:t>
            </w:r>
          </w:p>
        </w:tc>
        <w:tc>
          <w:tcPr>
            <w:tcW w:w="3982" w:type="dxa"/>
            <w:gridSpan w:val="3"/>
            <w:tcBorders>
              <w:left w:val="single" w:color="auto" w:sz="24" w:space="0"/>
              <w:bottom w:val="single" w:color="auto" w:sz="4" w:space="0"/>
            </w:tcBorders>
            <w:vAlign w:val="bottom"/>
          </w:tcPr>
          <w:p w:rsidRPr="00374FD1" w:rsidR="00625B30" w:rsidP="00625B30" w:rsidRDefault="00625B30" w14:paraId="2BF3E0ED" w14:textId="1EF4D500">
            <w:pPr>
              <w:tabs>
                <w:tab w:val="left" w:pos="957"/>
              </w:tabs>
              <w:spacing w:before="60" w:after="60"/>
              <w:ind w:right="162"/>
              <w:jc w:val="right"/>
              <w:rPr>
                <w:b/>
                <w:i/>
                <w:color w:val="000000"/>
              </w:rPr>
            </w:pPr>
            <w:r w:rsidRPr="007F620E">
              <w:rPr>
                <w:b/>
                <w:i/>
                <w:color w:val="000000"/>
              </w:rPr>
              <w:t xml:space="preserve">Subtotal: </w:t>
            </w:r>
            <w:r w:rsidRPr="00CC7DA2" w:rsidR="00CC7DA2">
              <w:rPr>
                <w:b/>
                <w:i/>
                <w:color w:val="000000"/>
              </w:rPr>
              <w:t>$5,746.25</w:t>
            </w:r>
          </w:p>
        </w:tc>
      </w:tr>
      <w:tr w:rsidRPr="00FE3BAE" w:rsidR="00625B30" w:rsidTr="0036244B" w14:paraId="75C517AB"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CC7DA2" w:rsidR="00625B30" w:rsidP="00CC7DA2" w:rsidRDefault="00625B30" w14:paraId="48F9E637" w14:textId="319C123B">
            <w:pPr>
              <w:tabs>
                <w:tab w:val="left" w:pos="957"/>
              </w:tabs>
              <w:spacing w:before="60" w:after="60"/>
              <w:ind w:right="72"/>
              <w:jc w:val="right"/>
              <w:rPr>
                <w:b/>
                <w:i/>
                <w:color w:val="000000"/>
              </w:rPr>
            </w:pPr>
            <w:r w:rsidRPr="00374FD1">
              <w:rPr>
                <w:b/>
                <w:i/>
                <w:color w:val="000000"/>
              </w:rPr>
              <w:t>TOTAL REQUEST</w:t>
            </w:r>
            <w:r w:rsidRPr="00B05ABD">
              <w:rPr>
                <w:b/>
                <w:i/>
                <w:color w:val="000000"/>
              </w:rPr>
              <w:t xml:space="preserve">: </w:t>
            </w:r>
            <w:r w:rsidRPr="00F5265B" w:rsidR="00F5265B">
              <w:rPr>
                <w:b/>
                <w:i/>
                <w:color w:val="000000"/>
              </w:rPr>
              <w:t>$289,380.00</w:t>
            </w:r>
          </w:p>
        </w:tc>
        <w:tc>
          <w:tcPr>
            <w:tcW w:w="3982" w:type="dxa"/>
            <w:gridSpan w:val="3"/>
            <w:tcBorders>
              <w:left w:val="single" w:color="auto" w:sz="24" w:space="0"/>
            </w:tcBorders>
            <w:shd w:val="clear" w:color="auto" w:fill="E6E6E6"/>
            <w:vAlign w:val="bottom"/>
          </w:tcPr>
          <w:p w:rsidRPr="00FE3BAE" w:rsidR="00625B30" w:rsidP="00625B30" w:rsidRDefault="00625B30" w14:paraId="36019530" w14:textId="5B305A1B">
            <w:pPr>
              <w:tabs>
                <w:tab w:val="left" w:pos="957"/>
              </w:tabs>
              <w:spacing w:before="60" w:after="60"/>
              <w:ind w:right="72"/>
              <w:jc w:val="right"/>
              <w:rPr>
                <w:b/>
                <w:color w:val="000000"/>
              </w:rPr>
            </w:pPr>
            <w:r w:rsidRPr="00374FD1">
              <w:rPr>
                <w:b/>
                <w:i/>
                <w:color w:val="000000"/>
              </w:rPr>
              <w:t xml:space="preserve">TOTAL AWARD: </w:t>
            </w:r>
            <w:r w:rsidRPr="00CC7DA2" w:rsidR="00CC7DA2">
              <w:rPr>
                <w:b/>
                <w:i/>
                <w:color w:val="000000"/>
              </w:rPr>
              <w:t>$289,380.00</w:t>
            </w:r>
          </w:p>
        </w:tc>
      </w:tr>
      <w:tr w:rsidRPr="007F620E" w:rsidR="00625B30" w:rsidTr="0036244B" w14:paraId="752C4918" w14:textId="77777777">
        <w:trPr>
          <w:jc w:val="center"/>
        </w:trPr>
        <w:tc>
          <w:tcPr>
            <w:tcW w:w="11160" w:type="dxa"/>
            <w:gridSpan w:val="12"/>
            <w:tcBorders>
              <w:top w:val="single" w:color="auto" w:sz="4" w:space="0"/>
              <w:bottom w:val="single" w:color="auto" w:sz="4" w:space="0"/>
            </w:tcBorders>
          </w:tcPr>
          <w:p w:rsidRPr="007F620E" w:rsidR="00625B30" w:rsidP="00625B30" w:rsidRDefault="00625B30" w14:paraId="2529F508"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625B30" w:rsidP="00625B30" w:rsidRDefault="00625B30" w14:paraId="55A9FBC3"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625B30" w:rsidTr="0036244B" w14:paraId="0E1E87BF"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625B30" w:rsidP="00625B30" w:rsidRDefault="00625B30" w14:paraId="3EFD1514" w14:textId="77777777">
            <w:pPr>
              <w:keepNext/>
              <w:spacing w:before="60" w:after="60"/>
              <w:jc w:val="center"/>
              <w:rPr>
                <w:b/>
                <w:smallCaps/>
                <w:color w:val="000000"/>
              </w:rPr>
            </w:pPr>
            <w:r w:rsidRPr="007F620E">
              <w:rPr>
                <w:b/>
                <w:smallCaps/>
                <w:color w:val="000000"/>
              </w:rPr>
              <w:lastRenderedPageBreak/>
              <w:t>ATTORNEY INFORMATION</w:t>
            </w:r>
          </w:p>
        </w:tc>
      </w:tr>
      <w:tr w:rsidRPr="00C16981" w:rsidR="00625B30" w:rsidTr="0036244B" w14:paraId="44CA80FE"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625B30" w:rsidP="00625B30" w:rsidRDefault="00625B30" w14:paraId="444A57F1"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625B30" w:rsidP="00625B30" w:rsidRDefault="00625B30" w14:paraId="731CA32C"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rFonts w:eastAsiaTheme="majorEastAsia"/>
                <w:b/>
                <w:sz w:val="22"/>
                <w:szCs w:val="22"/>
              </w:rPr>
              <w:footnoteReference w:id="3"/>
            </w:r>
          </w:p>
        </w:tc>
        <w:tc>
          <w:tcPr>
            <w:tcW w:w="2291" w:type="dxa"/>
            <w:gridSpan w:val="2"/>
            <w:tcBorders>
              <w:top w:val="single" w:color="auto" w:sz="4" w:space="0"/>
              <w:bottom w:val="single" w:color="auto" w:sz="4" w:space="0"/>
            </w:tcBorders>
            <w:shd w:val="clear" w:color="auto" w:fill="FFFFFF"/>
            <w:vAlign w:val="bottom"/>
          </w:tcPr>
          <w:p w:rsidRPr="00C16981" w:rsidR="00625B30" w:rsidP="00625B30" w:rsidRDefault="00625B30" w14:paraId="2CACBB08"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625B30" w:rsidP="00625B30" w:rsidRDefault="00625B30" w14:paraId="798FF8E5" w14:textId="77777777">
            <w:pPr>
              <w:keepNext/>
              <w:keepLines/>
              <w:spacing w:before="60" w:after="60"/>
              <w:jc w:val="center"/>
              <w:rPr>
                <w:b/>
                <w:sz w:val="22"/>
                <w:szCs w:val="22"/>
              </w:rPr>
            </w:pPr>
            <w:r w:rsidRPr="00C16981">
              <w:rPr>
                <w:b/>
                <w:sz w:val="22"/>
                <w:szCs w:val="22"/>
              </w:rPr>
              <w:t>Actions Affecting Eligibility (Yes/No?)</w:t>
            </w:r>
          </w:p>
          <w:p w:rsidRPr="00C16981" w:rsidR="00625B30" w:rsidP="00625B30" w:rsidRDefault="00625B30" w14:paraId="234C64FA" w14:textId="77777777">
            <w:pPr>
              <w:keepNext/>
              <w:keepLines/>
              <w:spacing w:before="60" w:after="60"/>
              <w:jc w:val="center"/>
              <w:rPr>
                <w:b/>
                <w:color w:val="000000"/>
                <w:sz w:val="22"/>
                <w:szCs w:val="22"/>
              </w:rPr>
            </w:pPr>
            <w:r w:rsidRPr="00C16981">
              <w:rPr>
                <w:b/>
                <w:sz w:val="22"/>
                <w:szCs w:val="22"/>
              </w:rPr>
              <w:t>If “Yes”, attach explanation</w:t>
            </w:r>
          </w:p>
        </w:tc>
      </w:tr>
      <w:tr w:rsidRPr="007F620E" w:rsidR="002E49BA" w:rsidTr="00E852CB" w14:paraId="139C1A00" w14:textId="77777777">
        <w:trPr>
          <w:trHeight w:val="172"/>
          <w:jc w:val="center"/>
        </w:trPr>
        <w:tc>
          <w:tcPr>
            <w:tcW w:w="2692" w:type="dxa"/>
            <w:gridSpan w:val="3"/>
            <w:tcBorders>
              <w:top w:val="single" w:color="auto" w:sz="4" w:space="0"/>
              <w:bottom w:val="single" w:color="auto" w:sz="4" w:space="0"/>
            </w:tcBorders>
          </w:tcPr>
          <w:p w:rsidRPr="007F620E" w:rsidR="002E49BA" w:rsidP="002E49BA" w:rsidRDefault="002E49BA" w14:paraId="27C376A1" w14:textId="151D10F6">
            <w:pPr>
              <w:keepLines/>
              <w:spacing w:before="60" w:after="60"/>
              <w:jc w:val="center"/>
              <w:rPr>
                <w:color w:val="000000"/>
              </w:rPr>
            </w:pPr>
            <w:r w:rsidRPr="002E49BA">
              <w:rPr>
                <w:color w:val="000000"/>
              </w:rPr>
              <w:t>Elise Torres</w:t>
            </w:r>
          </w:p>
        </w:tc>
        <w:tc>
          <w:tcPr>
            <w:tcW w:w="1909" w:type="dxa"/>
            <w:gridSpan w:val="3"/>
            <w:tcBorders>
              <w:top w:val="single" w:color="auto" w:sz="4" w:space="0"/>
              <w:bottom w:val="single" w:color="auto" w:sz="4" w:space="0"/>
            </w:tcBorders>
            <w:vAlign w:val="bottom"/>
          </w:tcPr>
          <w:p w:rsidRPr="007F620E" w:rsidR="002E49BA" w:rsidP="002E49BA" w:rsidRDefault="002E49BA" w14:paraId="10AAB69D" w14:textId="4EC020B2">
            <w:pPr>
              <w:keepLines/>
              <w:spacing w:before="60" w:after="60"/>
              <w:jc w:val="center"/>
              <w:rPr>
                <w:color w:val="000000"/>
              </w:rPr>
            </w:pPr>
            <w:r w:rsidRPr="002E49BA">
              <w:rPr>
                <w:color w:val="000000"/>
              </w:rPr>
              <w:t>December 2011</w:t>
            </w:r>
          </w:p>
        </w:tc>
        <w:tc>
          <w:tcPr>
            <w:tcW w:w="2291" w:type="dxa"/>
            <w:gridSpan w:val="2"/>
            <w:tcBorders>
              <w:top w:val="single" w:color="auto" w:sz="4" w:space="0"/>
              <w:bottom w:val="single" w:color="auto" w:sz="4" w:space="0"/>
            </w:tcBorders>
            <w:vAlign w:val="bottom"/>
          </w:tcPr>
          <w:p w:rsidRPr="007F620E" w:rsidR="002E49BA" w:rsidP="002E49BA" w:rsidRDefault="002E49BA" w14:paraId="002C5A63" w14:textId="6157C5DD">
            <w:pPr>
              <w:keepLines/>
              <w:spacing w:before="60" w:after="60"/>
              <w:jc w:val="center"/>
              <w:rPr>
                <w:color w:val="000000"/>
              </w:rPr>
            </w:pPr>
            <w:r w:rsidRPr="002E49BA">
              <w:rPr>
                <w:color w:val="000000"/>
              </w:rPr>
              <w:t>280443</w:t>
            </w:r>
          </w:p>
        </w:tc>
        <w:tc>
          <w:tcPr>
            <w:tcW w:w="4268" w:type="dxa"/>
            <w:gridSpan w:val="4"/>
            <w:tcBorders>
              <w:top w:val="single" w:color="auto" w:sz="4" w:space="0"/>
              <w:bottom w:val="single" w:color="auto" w:sz="4" w:space="0"/>
            </w:tcBorders>
            <w:vAlign w:val="bottom"/>
          </w:tcPr>
          <w:p w:rsidRPr="007F620E" w:rsidR="002E49BA" w:rsidP="002E49BA" w:rsidRDefault="002E49BA" w14:paraId="40944807" w14:textId="0522C8F4">
            <w:pPr>
              <w:keepLines/>
              <w:spacing w:before="60" w:after="60"/>
              <w:jc w:val="center"/>
              <w:rPr>
                <w:color w:val="000000"/>
              </w:rPr>
            </w:pPr>
            <w:r w:rsidRPr="002E49BA">
              <w:rPr>
                <w:color w:val="000000"/>
              </w:rPr>
              <w:t>No</w:t>
            </w:r>
          </w:p>
        </w:tc>
      </w:tr>
      <w:tr w:rsidRPr="007F620E" w:rsidR="007F21E0" w:rsidTr="00E852CB" w14:paraId="489BD1E5" w14:textId="77777777">
        <w:trPr>
          <w:trHeight w:val="172"/>
          <w:jc w:val="center"/>
        </w:trPr>
        <w:tc>
          <w:tcPr>
            <w:tcW w:w="2692" w:type="dxa"/>
            <w:gridSpan w:val="3"/>
            <w:tcBorders>
              <w:top w:val="single" w:color="auto" w:sz="4" w:space="0"/>
              <w:bottom w:val="single" w:color="auto" w:sz="4" w:space="0"/>
            </w:tcBorders>
          </w:tcPr>
          <w:p w:rsidR="007F21E0" w:rsidP="007F21E0" w:rsidRDefault="007F21E0" w14:paraId="731122A5" w14:textId="3E7631C3">
            <w:pPr>
              <w:keepLines/>
              <w:spacing w:before="60" w:after="60"/>
              <w:jc w:val="center"/>
              <w:rPr>
                <w:color w:val="000000"/>
              </w:rPr>
            </w:pPr>
            <w:r w:rsidRPr="007F21E0">
              <w:rPr>
                <w:color w:val="000000"/>
              </w:rPr>
              <w:t>Hayley Goodson</w:t>
            </w:r>
          </w:p>
        </w:tc>
        <w:tc>
          <w:tcPr>
            <w:tcW w:w="1909" w:type="dxa"/>
            <w:gridSpan w:val="3"/>
            <w:tcBorders>
              <w:top w:val="single" w:color="auto" w:sz="4" w:space="0"/>
              <w:bottom w:val="single" w:color="auto" w:sz="4" w:space="0"/>
            </w:tcBorders>
            <w:vAlign w:val="bottom"/>
          </w:tcPr>
          <w:p w:rsidRPr="00301393" w:rsidR="007F21E0" w:rsidP="007F21E0" w:rsidRDefault="007F21E0" w14:paraId="736B0A7A" w14:textId="575FDF61">
            <w:pPr>
              <w:keepLines/>
              <w:spacing w:before="60" w:after="60"/>
              <w:jc w:val="center"/>
              <w:rPr>
                <w:color w:val="000000"/>
              </w:rPr>
            </w:pPr>
            <w:r w:rsidRPr="007F21E0">
              <w:rPr>
                <w:color w:val="000000"/>
              </w:rPr>
              <w:t>December 2003</w:t>
            </w:r>
          </w:p>
        </w:tc>
        <w:tc>
          <w:tcPr>
            <w:tcW w:w="2291" w:type="dxa"/>
            <w:gridSpan w:val="2"/>
            <w:tcBorders>
              <w:top w:val="single" w:color="auto" w:sz="4" w:space="0"/>
              <w:bottom w:val="single" w:color="auto" w:sz="4" w:space="0"/>
            </w:tcBorders>
            <w:vAlign w:val="bottom"/>
          </w:tcPr>
          <w:p w:rsidRPr="00301393" w:rsidR="007F21E0" w:rsidP="007F21E0" w:rsidRDefault="007F21E0" w14:paraId="6C7DD1F2" w14:textId="14096867">
            <w:pPr>
              <w:keepLines/>
              <w:spacing w:before="60" w:after="60"/>
              <w:jc w:val="center"/>
              <w:rPr>
                <w:color w:val="000000"/>
              </w:rPr>
            </w:pPr>
            <w:r w:rsidRPr="007F21E0">
              <w:rPr>
                <w:color w:val="000000"/>
              </w:rPr>
              <w:t>228535</w:t>
            </w:r>
          </w:p>
        </w:tc>
        <w:tc>
          <w:tcPr>
            <w:tcW w:w="4268" w:type="dxa"/>
            <w:gridSpan w:val="4"/>
            <w:tcBorders>
              <w:top w:val="single" w:color="auto" w:sz="4" w:space="0"/>
              <w:bottom w:val="single" w:color="auto" w:sz="4" w:space="0"/>
            </w:tcBorders>
            <w:vAlign w:val="bottom"/>
          </w:tcPr>
          <w:p w:rsidR="007F21E0" w:rsidP="007F21E0" w:rsidRDefault="007F21E0" w14:paraId="31EC12D9" w14:textId="47F6FAEE">
            <w:pPr>
              <w:keepLines/>
              <w:spacing w:before="60" w:after="60"/>
              <w:jc w:val="center"/>
              <w:rPr>
                <w:color w:val="000000"/>
              </w:rPr>
            </w:pPr>
            <w:r w:rsidRPr="007F21E0">
              <w:rPr>
                <w:color w:val="000000"/>
              </w:rPr>
              <w:t>No</w:t>
            </w:r>
          </w:p>
        </w:tc>
      </w:tr>
      <w:tr w:rsidRPr="007F620E" w:rsidR="002E49BA" w:rsidTr="00E852CB" w14:paraId="167FCEB6" w14:textId="77777777">
        <w:trPr>
          <w:trHeight w:val="172"/>
          <w:jc w:val="center"/>
        </w:trPr>
        <w:tc>
          <w:tcPr>
            <w:tcW w:w="2692" w:type="dxa"/>
            <w:gridSpan w:val="3"/>
            <w:tcBorders>
              <w:top w:val="single" w:color="auto" w:sz="4" w:space="0"/>
              <w:bottom w:val="single" w:color="auto" w:sz="4" w:space="0"/>
            </w:tcBorders>
          </w:tcPr>
          <w:p w:rsidR="002E49BA" w:rsidP="002E49BA" w:rsidRDefault="002E49BA" w14:paraId="351480FA" w14:textId="4A56FD59">
            <w:pPr>
              <w:keepLines/>
              <w:spacing w:before="60" w:after="60"/>
              <w:jc w:val="center"/>
              <w:rPr>
                <w:color w:val="000000"/>
              </w:rPr>
            </w:pPr>
            <w:r w:rsidRPr="002E49BA">
              <w:rPr>
                <w:color w:val="000000"/>
              </w:rPr>
              <w:t>Matthew Freedman</w:t>
            </w:r>
          </w:p>
        </w:tc>
        <w:tc>
          <w:tcPr>
            <w:tcW w:w="1909" w:type="dxa"/>
            <w:gridSpan w:val="3"/>
            <w:tcBorders>
              <w:top w:val="single" w:color="auto" w:sz="4" w:space="0"/>
              <w:bottom w:val="single" w:color="auto" w:sz="4" w:space="0"/>
            </w:tcBorders>
            <w:vAlign w:val="bottom"/>
          </w:tcPr>
          <w:p w:rsidRPr="00301393" w:rsidR="002E49BA" w:rsidP="002E49BA" w:rsidRDefault="002E49BA" w14:paraId="6EA4C32C" w14:textId="2E5CBAB9">
            <w:pPr>
              <w:keepLines/>
              <w:spacing w:before="60" w:after="60"/>
              <w:jc w:val="center"/>
              <w:rPr>
                <w:color w:val="000000"/>
              </w:rPr>
            </w:pPr>
            <w:r w:rsidRPr="002E49BA">
              <w:rPr>
                <w:color w:val="000000"/>
              </w:rPr>
              <w:t>March 2001</w:t>
            </w:r>
          </w:p>
        </w:tc>
        <w:tc>
          <w:tcPr>
            <w:tcW w:w="2291" w:type="dxa"/>
            <w:gridSpan w:val="2"/>
            <w:tcBorders>
              <w:top w:val="single" w:color="auto" w:sz="4" w:space="0"/>
              <w:bottom w:val="single" w:color="auto" w:sz="4" w:space="0"/>
            </w:tcBorders>
            <w:vAlign w:val="bottom"/>
          </w:tcPr>
          <w:p w:rsidRPr="00301393" w:rsidR="002E49BA" w:rsidP="002E49BA" w:rsidRDefault="002E49BA" w14:paraId="41E06359" w14:textId="1CB61D76">
            <w:pPr>
              <w:keepLines/>
              <w:spacing w:before="60" w:after="60"/>
              <w:jc w:val="center"/>
              <w:rPr>
                <w:color w:val="000000"/>
              </w:rPr>
            </w:pPr>
            <w:r w:rsidRPr="002E49BA">
              <w:rPr>
                <w:color w:val="000000"/>
              </w:rPr>
              <w:t>214812</w:t>
            </w:r>
          </w:p>
        </w:tc>
        <w:tc>
          <w:tcPr>
            <w:tcW w:w="4268" w:type="dxa"/>
            <w:gridSpan w:val="4"/>
            <w:tcBorders>
              <w:top w:val="single" w:color="auto" w:sz="4" w:space="0"/>
              <w:bottom w:val="single" w:color="auto" w:sz="4" w:space="0"/>
            </w:tcBorders>
            <w:vAlign w:val="bottom"/>
          </w:tcPr>
          <w:p w:rsidR="002E49BA" w:rsidP="002E49BA" w:rsidRDefault="002E49BA" w14:paraId="58502A9E" w14:textId="1C42DC0B">
            <w:pPr>
              <w:keepLines/>
              <w:spacing w:before="60" w:after="60"/>
              <w:jc w:val="center"/>
              <w:rPr>
                <w:color w:val="000000"/>
              </w:rPr>
            </w:pPr>
            <w:r w:rsidRPr="002E49BA">
              <w:rPr>
                <w:color w:val="000000"/>
              </w:rPr>
              <w:t>No</w:t>
            </w:r>
          </w:p>
        </w:tc>
      </w:tr>
    </w:tbl>
    <w:p w:rsidR="00625B30" w:rsidP="00625B30" w:rsidRDefault="00625B30" w14:paraId="0F67090A" w14:textId="77777777">
      <w:pPr>
        <w:rPr>
          <w:b/>
          <w:color w:val="000000"/>
        </w:rPr>
      </w:pPr>
    </w:p>
    <w:p w:rsidRPr="00C44F68" w:rsidR="00625B30" w:rsidP="00C44F68" w:rsidRDefault="00625B30" w14:paraId="7E93547F" w14:textId="3CD79D41">
      <w:pPr>
        <w:pStyle w:val="ListParagraph"/>
        <w:keepNext/>
        <w:numPr>
          <w:ilvl w:val="0"/>
          <w:numId w:val="7"/>
        </w:numPr>
        <w:spacing w:after="240"/>
        <w:rPr>
          <w:b/>
          <w:i/>
          <w:color w:val="000000"/>
          <w:u w:val="single"/>
        </w:rPr>
      </w:pPr>
      <w:r w:rsidRPr="00625B30">
        <w:rPr>
          <w:b/>
          <w:color w:val="000000"/>
        </w:rPr>
        <w:t>Attachments</w:t>
      </w:r>
      <w:r w:rsidRPr="00625B30">
        <w:rPr>
          <w:b/>
        </w:rPr>
        <w:t xml:space="preserve"> Documenting Specific Claim and Comments on Part III</w:t>
      </w:r>
      <w:r w:rsidR="003F1C48">
        <w:rPr>
          <w:rStyle w:val="FootnoteReference"/>
          <w:b/>
        </w:rPr>
        <w:footnoteReference w:id="4"/>
      </w:r>
      <w:r w:rsidRPr="00625B30">
        <w:rPr>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625B30" w:rsidTr="0036244B" w14:paraId="1D1D972E" w14:textId="77777777">
        <w:trPr>
          <w:tblHeader/>
        </w:trPr>
        <w:tc>
          <w:tcPr>
            <w:tcW w:w="1795" w:type="dxa"/>
            <w:shd w:val="clear" w:color="auto" w:fill="D9D9D9" w:themeFill="background1" w:themeFillShade="D9"/>
            <w:vAlign w:val="bottom"/>
          </w:tcPr>
          <w:p w:rsidRPr="007F620E" w:rsidR="00625B30" w:rsidP="00625B30" w:rsidRDefault="00625B30" w14:paraId="272B427F" w14:textId="77777777">
            <w:pPr>
              <w:tabs>
                <w:tab w:val="left" w:pos="1260"/>
              </w:tabs>
              <w:jc w:val="center"/>
              <w:rPr>
                <w:b/>
                <w:color w:val="000000"/>
              </w:rPr>
            </w:pPr>
            <w:r w:rsidRPr="007F620E">
              <w:rPr>
                <w:b/>
                <w:color w:val="000000"/>
              </w:rPr>
              <w:t>Attachment or Comment  #</w:t>
            </w:r>
          </w:p>
        </w:tc>
        <w:tc>
          <w:tcPr>
            <w:tcW w:w="7565" w:type="dxa"/>
            <w:tcBorders>
              <w:bottom w:val="single" w:color="auto" w:sz="4" w:space="0"/>
            </w:tcBorders>
            <w:shd w:val="clear" w:color="auto" w:fill="D9D9D9" w:themeFill="background1" w:themeFillShade="D9"/>
            <w:vAlign w:val="bottom"/>
          </w:tcPr>
          <w:p w:rsidRPr="007F620E" w:rsidR="00625B30" w:rsidP="00625B30" w:rsidRDefault="00625B30" w14:paraId="41A2C99E" w14:textId="77777777">
            <w:pPr>
              <w:tabs>
                <w:tab w:val="left" w:pos="1260"/>
              </w:tabs>
              <w:jc w:val="center"/>
              <w:rPr>
                <w:b/>
                <w:color w:val="000000"/>
              </w:rPr>
            </w:pPr>
            <w:r w:rsidRPr="007F620E">
              <w:rPr>
                <w:b/>
                <w:color w:val="000000"/>
              </w:rPr>
              <w:t>Description/Comment</w:t>
            </w:r>
          </w:p>
        </w:tc>
      </w:tr>
      <w:tr w:rsidRPr="001C0DD1" w:rsidR="00625B30" w:rsidTr="00757D76" w14:paraId="511D5E65" w14:textId="77777777">
        <w:tc>
          <w:tcPr>
            <w:tcW w:w="1795" w:type="dxa"/>
            <w:tcBorders>
              <w:bottom w:val="single" w:color="auto" w:sz="4" w:space="0"/>
            </w:tcBorders>
          </w:tcPr>
          <w:p w:rsidRPr="008E4742" w:rsidR="00625B30" w:rsidP="00625B30" w:rsidRDefault="00625B30" w14:paraId="133D7EF4" w14:textId="77777777">
            <w:pPr>
              <w:tabs>
                <w:tab w:val="left" w:pos="1260"/>
              </w:tabs>
              <w:rPr>
                <w:rFonts w:asciiTheme="majorBidi" w:hAnsiTheme="majorBidi" w:cstheme="majorBidi"/>
                <w:color w:val="000000"/>
              </w:rPr>
            </w:pPr>
            <w:r w:rsidRPr="008E4742">
              <w:rPr>
                <w:rFonts w:asciiTheme="majorBidi" w:hAnsiTheme="majorBidi" w:cstheme="majorBidi"/>
                <w:color w:val="000000"/>
              </w:rPr>
              <w:t>Attachment 1</w:t>
            </w:r>
          </w:p>
        </w:tc>
        <w:tc>
          <w:tcPr>
            <w:tcW w:w="7565" w:type="dxa"/>
            <w:tcBorders>
              <w:bottom w:val="single" w:color="auto" w:sz="4" w:space="0"/>
            </w:tcBorders>
          </w:tcPr>
          <w:p w:rsidRPr="008E4742" w:rsidR="00625B30" w:rsidP="00625B30" w:rsidRDefault="00625B30" w14:paraId="393C15CE" w14:textId="77777777">
            <w:pPr>
              <w:tabs>
                <w:tab w:val="left" w:pos="1260"/>
              </w:tabs>
              <w:rPr>
                <w:rFonts w:asciiTheme="majorBidi" w:hAnsiTheme="majorBidi" w:cstheme="majorBidi"/>
                <w:color w:val="000000"/>
              </w:rPr>
            </w:pPr>
            <w:r w:rsidRPr="008E4742">
              <w:rPr>
                <w:rFonts w:asciiTheme="majorBidi" w:hAnsiTheme="majorBidi" w:cstheme="majorBidi"/>
                <w:color w:val="000000"/>
              </w:rPr>
              <w:t>Certificate of Service</w:t>
            </w:r>
          </w:p>
        </w:tc>
      </w:tr>
      <w:tr w:rsidRPr="007F620E" w:rsidR="00625B30" w:rsidTr="00757D76" w14:paraId="2F2DE0C1" w14:textId="77777777">
        <w:tc>
          <w:tcPr>
            <w:tcW w:w="1795" w:type="dxa"/>
          </w:tcPr>
          <w:p w:rsidRPr="008E4742" w:rsidR="00625B30" w:rsidP="00625B30" w:rsidRDefault="00625B30" w14:paraId="6EBB2B5F" w14:textId="77777777">
            <w:pPr>
              <w:tabs>
                <w:tab w:val="left" w:pos="1260"/>
              </w:tabs>
              <w:rPr>
                <w:rFonts w:asciiTheme="majorBidi" w:hAnsiTheme="majorBidi" w:cstheme="majorBidi"/>
                <w:color w:val="000000"/>
              </w:rPr>
            </w:pPr>
            <w:r w:rsidRPr="008E4742">
              <w:rPr>
                <w:rFonts w:asciiTheme="majorBidi" w:hAnsiTheme="majorBidi" w:cstheme="majorBidi"/>
                <w:color w:val="000000"/>
              </w:rPr>
              <w:t>Attachment 2</w:t>
            </w:r>
          </w:p>
        </w:tc>
        <w:tc>
          <w:tcPr>
            <w:tcW w:w="7565" w:type="dxa"/>
          </w:tcPr>
          <w:p w:rsidRPr="008E4742" w:rsidR="00625B30" w:rsidP="00625B30" w:rsidRDefault="00625B30" w14:paraId="1D7BBDD2" w14:textId="77777777">
            <w:pPr>
              <w:tabs>
                <w:tab w:val="left" w:pos="1260"/>
              </w:tabs>
              <w:rPr>
                <w:rFonts w:asciiTheme="majorBidi" w:hAnsiTheme="majorBidi" w:cstheme="majorBidi"/>
                <w:b/>
                <w:color w:val="000000"/>
              </w:rPr>
            </w:pPr>
            <w:r w:rsidRPr="008E4742">
              <w:rPr>
                <w:rFonts w:asciiTheme="majorBidi" w:hAnsiTheme="majorBidi" w:cstheme="majorBidi"/>
                <w:bCs/>
                <w:color w:val="000000"/>
              </w:rPr>
              <w:t>Timesheets for TURN Attorneys/Experts</w:t>
            </w:r>
          </w:p>
        </w:tc>
      </w:tr>
      <w:tr w:rsidRPr="007F620E" w:rsidR="00625B30" w:rsidTr="00757D76" w14:paraId="2D89A3DF" w14:textId="77777777">
        <w:tc>
          <w:tcPr>
            <w:tcW w:w="1795" w:type="dxa"/>
          </w:tcPr>
          <w:p w:rsidRPr="008E4742" w:rsidR="00625B30" w:rsidP="00625B30" w:rsidRDefault="00625B30" w14:paraId="0E142030" w14:textId="77777777">
            <w:pPr>
              <w:tabs>
                <w:tab w:val="left" w:pos="1260"/>
              </w:tabs>
              <w:rPr>
                <w:rFonts w:asciiTheme="majorBidi" w:hAnsiTheme="majorBidi" w:cstheme="majorBidi"/>
                <w:color w:val="000000"/>
              </w:rPr>
            </w:pPr>
            <w:r w:rsidRPr="008E4742">
              <w:rPr>
                <w:rFonts w:asciiTheme="majorBidi" w:hAnsiTheme="majorBidi" w:cstheme="majorBidi"/>
                <w:color w:val="000000"/>
              </w:rPr>
              <w:t>Attachment 3</w:t>
            </w:r>
          </w:p>
        </w:tc>
        <w:tc>
          <w:tcPr>
            <w:tcW w:w="7565" w:type="dxa"/>
          </w:tcPr>
          <w:p w:rsidRPr="008E4742" w:rsidR="00625B30" w:rsidP="00625B30" w:rsidRDefault="00625B30" w14:paraId="35237D46" w14:textId="77777777">
            <w:pPr>
              <w:tabs>
                <w:tab w:val="left" w:pos="1260"/>
              </w:tabs>
              <w:rPr>
                <w:rFonts w:asciiTheme="majorBidi" w:hAnsiTheme="majorBidi" w:cstheme="majorBidi"/>
                <w:b/>
                <w:color w:val="000000"/>
              </w:rPr>
            </w:pPr>
            <w:r w:rsidRPr="008E4742">
              <w:rPr>
                <w:rFonts w:asciiTheme="majorBidi" w:hAnsiTheme="majorBidi" w:cstheme="majorBidi"/>
                <w:bCs/>
                <w:color w:val="000000"/>
              </w:rPr>
              <w:t>TURN hours allocated by issue</w:t>
            </w:r>
          </w:p>
        </w:tc>
      </w:tr>
      <w:tr w:rsidRPr="007F620E" w:rsidR="00C203C9" w:rsidTr="00757D76" w14:paraId="5119424F" w14:textId="77777777">
        <w:tc>
          <w:tcPr>
            <w:tcW w:w="1795" w:type="dxa"/>
          </w:tcPr>
          <w:p w:rsidRPr="008E4742" w:rsidR="00C203C9" w:rsidP="00625B30" w:rsidRDefault="00C203C9" w14:paraId="7448A634" w14:textId="0CCD8839">
            <w:pPr>
              <w:tabs>
                <w:tab w:val="left" w:pos="1260"/>
              </w:tabs>
              <w:rPr>
                <w:rFonts w:asciiTheme="majorBidi" w:hAnsiTheme="majorBidi" w:cstheme="majorBidi"/>
                <w:color w:val="000000"/>
              </w:rPr>
            </w:pPr>
            <w:r w:rsidRPr="008E4742">
              <w:rPr>
                <w:rFonts w:asciiTheme="majorBidi" w:hAnsiTheme="majorBidi" w:cstheme="majorBidi"/>
                <w:color w:val="000000"/>
              </w:rPr>
              <w:t>Attachment 4</w:t>
            </w:r>
          </w:p>
        </w:tc>
        <w:tc>
          <w:tcPr>
            <w:tcW w:w="7565" w:type="dxa"/>
          </w:tcPr>
          <w:p w:rsidRPr="008E4742" w:rsidR="00C203C9" w:rsidP="00625B30" w:rsidRDefault="00C203C9" w14:paraId="221D1772" w14:textId="0560D65D">
            <w:pPr>
              <w:tabs>
                <w:tab w:val="left" w:pos="1260"/>
              </w:tabs>
              <w:rPr>
                <w:rFonts w:asciiTheme="majorBidi" w:hAnsiTheme="majorBidi" w:cstheme="majorBidi"/>
                <w:bCs/>
                <w:color w:val="000000"/>
              </w:rPr>
            </w:pPr>
            <w:r w:rsidRPr="008E4742">
              <w:rPr>
                <w:rFonts w:asciiTheme="majorBidi" w:hAnsiTheme="majorBidi" w:cstheme="majorBidi"/>
                <w:bCs/>
                <w:color w:val="000000"/>
              </w:rPr>
              <w:t>Jessica Hecht Resume</w:t>
            </w:r>
          </w:p>
        </w:tc>
      </w:tr>
      <w:tr w:rsidRPr="007F620E" w:rsidR="00C203C9" w:rsidTr="00757D76" w14:paraId="09693C0C" w14:textId="77777777">
        <w:tc>
          <w:tcPr>
            <w:tcW w:w="1795" w:type="dxa"/>
          </w:tcPr>
          <w:p w:rsidRPr="008E4742" w:rsidR="00C203C9" w:rsidP="00625B30" w:rsidRDefault="00C203C9" w14:paraId="1875895A" w14:textId="5EBB3FBA">
            <w:pPr>
              <w:tabs>
                <w:tab w:val="left" w:pos="1260"/>
              </w:tabs>
              <w:rPr>
                <w:rFonts w:asciiTheme="majorBidi" w:hAnsiTheme="majorBidi" w:cstheme="majorBidi"/>
                <w:color w:val="000000"/>
              </w:rPr>
            </w:pPr>
            <w:r w:rsidRPr="008E4742">
              <w:rPr>
                <w:rFonts w:asciiTheme="majorBidi" w:hAnsiTheme="majorBidi" w:cstheme="majorBidi"/>
                <w:color w:val="000000"/>
              </w:rPr>
              <w:t>Attachment 5</w:t>
            </w:r>
          </w:p>
        </w:tc>
        <w:tc>
          <w:tcPr>
            <w:tcW w:w="7565" w:type="dxa"/>
          </w:tcPr>
          <w:p w:rsidRPr="008E4742" w:rsidR="00C203C9" w:rsidP="00625B30" w:rsidRDefault="00C203C9" w14:paraId="7022FDA3" w14:textId="69222AA6">
            <w:pPr>
              <w:tabs>
                <w:tab w:val="left" w:pos="1260"/>
              </w:tabs>
              <w:rPr>
                <w:rFonts w:asciiTheme="majorBidi" w:hAnsiTheme="majorBidi" w:cstheme="majorBidi"/>
                <w:bCs/>
                <w:color w:val="000000"/>
              </w:rPr>
            </w:pPr>
            <w:r w:rsidRPr="008E4742">
              <w:rPr>
                <w:rFonts w:asciiTheme="majorBidi" w:hAnsiTheme="majorBidi" w:cstheme="majorBidi"/>
                <w:bCs/>
                <w:color w:val="000000"/>
              </w:rPr>
              <w:t>Jessica Hecht – TURN Consulting Agreement</w:t>
            </w:r>
          </w:p>
        </w:tc>
      </w:tr>
      <w:tr w:rsidRPr="006B5CF2" w:rsidR="00625B30" w:rsidTr="00757D76" w14:paraId="244F5BEA" w14:textId="77777777">
        <w:tc>
          <w:tcPr>
            <w:tcW w:w="1795" w:type="dxa"/>
          </w:tcPr>
          <w:p w:rsidRPr="008E4742" w:rsidR="00625B30" w:rsidP="00625B30" w:rsidRDefault="00625B30" w14:paraId="1DB55FE4" w14:textId="77777777">
            <w:pPr>
              <w:tabs>
                <w:tab w:val="left" w:pos="1260"/>
              </w:tabs>
              <w:rPr>
                <w:rFonts w:asciiTheme="majorBidi" w:hAnsiTheme="majorBidi" w:cstheme="majorBidi"/>
                <w:color w:val="000000"/>
              </w:rPr>
            </w:pPr>
            <w:r w:rsidRPr="008E4742">
              <w:rPr>
                <w:rFonts w:asciiTheme="majorBidi" w:hAnsiTheme="majorBidi" w:cstheme="majorBidi"/>
                <w:color w:val="000000"/>
              </w:rPr>
              <w:t>Comment #1</w:t>
            </w:r>
          </w:p>
        </w:tc>
        <w:tc>
          <w:tcPr>
            <w:tcW w:w="7565" w:type="dxa"/>
          </w:tcPr>
          <w:p w:rsidRPr="00D12626" w:rsidR="008E4742" w:rsidP="008E4742" w:rsidRDefault="008E4742" w14:paraId="5D8AAD47" w14:textId="77777777">
            <w:pPr>
              <w:pStyle w:val="NormalWeb"/>
              <w:rPr>
                <w:rFonts w:asciiTheme="majorBidi" w:hAnsiTheme="majorBidi" w:cstheme="majorBidi"/>
                <w:b/>
                <w:bCs/>
                <w:color w:val="000000"/>
              </w:rPr>
            </w:pPr>
            <w:r w:rsidRPr="00D12626">
              <w:rPr>
                <w:rFonts w:asciiTheme="majorBidi" w:hAnsiTheme="majorBidi" w:cstheme="majorBidi"/>
                <w:b/>
                <w:bCs/>
                <w:color w:val="000000"/>
              </w:rPr>
              <w:t>2025 Rate for Elise Torres</w:t>
            </w:r>
            <w:r w:rsidRPr="00D12626">
              <w:rPr>
                <w:rStyle w:val="apple-converted-space"/>
                <w:rFonts w:asciiTheme="majorBidi" w:hAnsiTheme="majorBidi" w:eastAsiaTheme="majorEastAsia" w:cstheme="majorBidi"/>
                <w:b/>
                <w:bCs/>
                <w:color w:val="000000"/>
              </w:rPr>
              <w:t> </w:t>
            </w:r>
          </w:p>
          <w:p w:rsidRPr="008E4742" w:rsidR="008E4742" w:rsidP="008E4742" w:rsidRDefault="008E4742" w14:paraId="2C266A6A" w14:textId="77777777">
            <w:pPr>
              <w:pStyle w:val="NormalWeb"/>
              <w:rPr>
                <w:rFonts w:asciiTheme="majorBidi" w:hAnsiTheme="majorBidi" w:cstheme="majorBidi"/>
                <w:color w:val="000000"/>
              </w:rPr>
            </w:pPr>
            <w:r w:rsidRPr="008E4742">
              <w:rPr>
                <w:rFonts w:asciiTheme="majorBidi" w:hAnsiTheme="majorBidi" w:cstheme="majorBidi"/>
                <w:color w:val="000000"/>
              </w:rPr>
              <w:t>For Ms. Torres's work in 2025, TURN requests that the Commission adjust her 2024 rate of $555, authorized in D.25-03-022, in two regards: (1) by applying the annual escalation adjustment authorized by Resolution ALJ-393, 3.46%; and (2) further adjusting Ms. Torres's hourly rate by 5% to recognize her move from Attorney - Level III (5-10 years) to Attorney - Level IV (10-15 years). In D.08-04-010, the Commission recognized moving to a higher experience tier as one of the circumstances that qualifies an intervenor representative for a rate increase, apart from annual COLA adjustments and "step" increases. (D.08-04-010, p. 8). The requested rate adjustment for Ms. Torres’s change in experience tier is consistent with the Commission’s adoption of a similar adjustment in setting TURN Attorney David Cheng’s 2024 hourly rate in D.24-07-030. (D.24-07-030, p. 11).</w:t>
            </w:r>
            <w:r w:rsidRPr="008E4742">
              <w:rPr>
                <w:rStyle w:val="apple-converted-space"/>
                <w:rFonts w:asciiTheme="majorBidi" w:hAnsiTheme="majorBidi" w:eastAsiaTheme="majorEastAsia" w:cstheme="majorBidi"/>
                <w:color w:val="000000"/>
              </w:rPr>
              <w:t> </w:t>
            </w:r>
          </w:p>
          <w:p w:rsidRPr="008E4742" w:rsidR="008E4742" w:rsidP="008E4742" w:rsidRDefault="008E4742" w14:paraId="58CD3461" w14:textId="77777777">
            <w:pPr>
              <w:pStyle w:val="NormalWeb"/>
              <w:rPr>
                <w:rFonts w:asciiTheme="majorBidi" w:hAnsiTheme="majorBidi" w:cstheme="majorBidi"/>
                <w:color w:val="000000"/>
              </w:rPr>
            </w:pPr>
            <w:r w:rsidRPr="008E4742">
              <w:rPr>
                <w:rFonts w:asciiTheme="majorBidi" w:hAnsiTheme="majorBidi" w:cstheme="majorBidi"/>
                <w:color w:val="000000"/>
              </w:rPr>
              <w:t xml:space="preserve">Ms. Torres was admitted to the CA bar in December 2011. In D.21-12-049, which authorized the first rate for Ms. Torres pursuant to Resolution ALJ-393, the Commission recognized that Ms. Torres had worked in utility regulation for 9 years and practiced as an attorney for 7 ½ years in setting </w:t>
            </w:r>
            <w:r w:rsidRPr="008E4742">
              <w:rPr>
                <w:rFonts w:asciiTheme="majorBidi" w:hAnsiTheme="majorBidi" w:cstheme="majorBidi"/>
                <w:color w:val="000000"/>
              </w:rPr>
              <w:lastRenderedPageBreak/>
              <w:t>her 2021 rate in the Attorney – Level III labor role. (D.21-12-049, p. 25). By 2025, Ms. Torres has four more years of experience, putting her squarely in the Attorney – Level IV labor role, with 11 ½ years practicing law and 13 ½ years of directly relevant experience working in utility regulation. TURN has not previously requested a rate that recognizes this change in Ms. Torres’ experience. Consistent with prior decisions, the Commission should continue to recognize that “professional experience gained by a practitioner … while employed in a role other than an attorney can nonetheless confer directly relevant skills and expertise which warrant consideration in determining hourly rates for purposes of the Intervenor Compensation Program.” (D.24-07-030, p. 11, citing D.19-04-035, p. 13).</w:t>
            </w:r>
            <w:r w:rsidRPr="008E4742">
              <w:rPr>
                <w:rStyle w:val="apple-converted-space"/>
                <w:rFonts w:asciiTheme="majorBidi" w:hAnsiTheme="majorBidi" w:eastAsiaTheme="majorEastAsia" w:cstheme="majorBidi"/>
                <w:color w:val="000000"/>
              </w:rPr>
              <w:t> </w:t>
            </w:r>
          </w:p>
          <w:p w:rsidRPr="008E4742" w:rsidR="00625B30" w:rsidP="008E4742" w:rsidRDefault="008E4742" w14:paraId="02196BF6" w14:textId="6BF95919">
            <w:pPr>
              <w:pStyle w:val="NormalWeb"/>
              <w:rPr>
                <w:rFonts w:asciiTheme="majorBidi" w:hAnsiTheme="majorBidi" w:cstheme="majorBidi"/>
                <w:color w:val="000000"/>
              </w:rPr>
            </w:pPr>
            <w:r w:rsidRPr="008E4742">
              <w:rPr>
                <w:rFonts w:asciiTheme="majorBidi" w:hAnsiTheme="majorBidi" w:cstheme="majorBidi"/>
                <w:color w:val="000000"/>
              </w:rPr>
              <w:t>TURN accordingly requests a 2025 rate for Ms. Torres of $600. Calculation: $555 x [1.0346 (COLA) + 0.05 (move to higher tier)] = $601.95, rounded to $600</w:t>
            </w:r>
            <w:r w:rsidR="000C3D71">
              <w:rPr>
                <w:rFonts w:asciiTheme="majorBidi" w:hAnsiTheme="majorBidi" w:cstheme="majorBidi"/>
                <w:color w:val="000000"/>
              </w:rPr>
              <w:t>.</w:t>
            </w:r>
          </w:p>
        </w:tc>
      </w:tr>
      <w:tr w:rsidRPr="006C7167" w:rsidR="00625B30" w:rsidTr="00757D76" w14:paraId="0CFF1FED" w14:textId="77777777">
        <w:tc>
          <w:tcPr>
            <w:tcW w:w="1795" w:type="dxa"/>
          </w:tcPr>
          <w:p w:rsidRPr="008E4742" w:rsidR="00625B30" w:rsidP="00625B30" w:rsidRDefault="00625B30" w14:paraId="1385E58C" w14:textId="77777777">
            <w:pPr>
              <w:tabs>
                <w:tab w:val="left" w:pos="1260"/>
              </w:tabs>
              <w:rPr>
                <w:rFonts w:asciiTheme="majorBidi" w:hAnsiTheme="majorBidi" w:cstheme="majorBidi"/>
                <w:color w:val="000000"/>
              </w:rPr>
            </w:pPr>
            <w:r w:rsidRPr="008E4742">
              <w:rPr>
                <w:rFonts w:asciiTheme="majorBidi" w:hAnsiTheme="majorBidi" w:cstheme="majorBidi"/>
                <w:color w:val="000000"/>
              </w:rPr>
              <w:lastRenderedPageBreak/>
              <w:t>Comment #2</w:t>
            </w:r>
          </w:p>
        </w:tc>
        <w:tc>
          <w:tcPr>
            <w:tcW w:w="7565" w:type="dxa"/>
          </w:tcPr>
          <w:p w:rsidRPr="008E4742" w:rsidR="008E4742" w:rsidP="008E4742" w:rsidRDefault="008E4742" w14:paraId="074BF7B0" w14:textId="7465E8A5">
            <w:pPr>
              <w:pStyle w:val="NormalWeb"/>
              <w:rPr>
                <w:rFonts w:asciiTheme="majorBidi" w:hAnsiTheme="majorBidi" w:cstheme="majorBidi"/>
                <w:b/>
                <w:bCs/>
                <w:color w:val="000000"/>
              </w:rPr>
            </w:pPr>
            <w:r w:rsidRPr="008E4742">
              <w:rPr>
                <w:rFonts w:asciiTheme="majorBidi" w:hAnsiTheme="majorBidi" w:cstheme="majorBidi"/>
                <w:b/>
                <w:bCs/>
                <w:color w:val="000000"/>
              </w:rPr>
              <w:t>2025 Rate for Isabella Montoya</w:t>
            </w:r>
            <w:r w:rsidRPr="008E4742">
              <w:rPr>
                <w:rStyle w:val="apple-converted-space"/>
                <w:rFonts w:asciiTheme="majorBidi" w:hAnsiTheme="majorBidi" w:eastAsiaTheme="majorEastAsia" w:cstheme="majorBidi"/>
                <w:b/>
                <w:bCs/>
                <w:color w:val="000000"/>
              </w:rPr>
              <w:t> </w:t>
            </w:r>
          </w:p>
          <w:p w:rsidRPr="008E4742" w:rsidR="00625B30" w:rsidP="00C44F68" w:rsidRDefault="008E4742" w14:paraId="681BC91C" w14:textId="2E0CA4AC">
            <w:pPr>
              <w:pStyle w:val="NormalWeb"/>
            </w:pPr>
            <w:r w:rsidRPr="008E4742">
              <w:rPr>
                <w:rFonts w:asciiTheme="majorBidi" w:hAnsiTheme="majorBidi" w:cstheme="majorBidi"/>
                <w:color w:val="000000"/>
              </w:rPr>
              <w:t>TURN requests an hourly rate of $230 for TURN Legal Fellow Isabella Montoya in 2025. The requested rate is equal to the rate authorized by the Commission in D.25-10-023 for Ms. Montoya’s work as a Public Policy Analyst in 2024, $210, adjusted by both the 2025 escalation rate of 3.46% and the first 5% step increase for Ms. Montoya. Calculation: $210 x [1.0346 (COLA) + 0.05 (step increase)] = $227.77, rounded to $230.</w:t>
            </w:r>
          </w:p>
        </w:tc>
      </w:tr>
      <w:tr w:rsidRPr="003D30FA" w:rsidR="00625B30" w:rsidTr="00757D76" w14:paraId="5084EB2A" w14:textId="77777777">
        <w:tc>
          <w:tcPr>
            <w:tcW w:w="1795" w:type="dxa"/>
          </w:tcPr>
          <w:p w:rsidRPr="008E4742" w:rsidR="00625B30" w:rsidP="00625B30" w:rsidRDefault="00625B30" w14:paraId="32787807" w14:textId="77777777">
            <w:pPr>
              <w:tabs>
                <w:tab w:val="left" w:pos="1260"/>
              </w:tabs>
              <w:rPr>
                <w:rFonts w:asciiTheme="majorBidi" w:hAnsiTheme="majorBidi" w:cstheme="majorBidi"/>
                <w:color w:val="000000"/>
              </w:rPr>
            </w:pPr>
            <w:r w:rsidRPr="008E4742">
              <w:rPr>
                <w:rFonts w:asciiTheme="majorBidi" w:hAnsiTheme="majorBidi" w:cstheme="majorBidi"/>
                <w:color w:val="000000"/>
              </w:rPr>
              <w:t>Comment #3</w:t>
            </w:r>
          </w:p>
        </w:tc>
        <w:tc>
          <w:tcPr>
            <w:tcW w:w="7565" w:type="dxa"/>
          </w:tcPr>
          <w:p w:rsidRPr="008E4742" w:rsidR="008E4742" w:rsidP="008E4742" w:rsidRDefault="00625B30" w14:paraId="67346BBD" w14:textId="77777777">
            <w:pPr>
              <w:pStyle w:val="NormalWeb"/>
              <w:rPr>
                <w:rFonts w:asciiTheme="majorBidi" w:hAnsiTheme="majorBidi" w:cstheme="majorBidi"/>
                <w:b/>
                <w:bCs/>
                <w:color w:val="000000"/>
              </w:rPr>
            </w:pPr>
            <w:r w:rsidRPr="008E4742">
              <w:rPr>
                <w:rFonts w:asciiTheme="majorBidi" w:hAnsiTheme="majorBidi" w:cstheme="majorBidi"/>
                <w:bCs/>
                <w:color w:val="000000"/>
              </w:rPr>
              <w:t xml:space="preserve"> </w:t>
            </w:r>
            <w:r w:rsidRPr="008E4742" w:rsidR="008E4742">
              <w:rPr>
                <w:rFonts w:asciiTheme="majorBidi" w:hAnsiTheme="majorBidi" w:cstheme="majorBidi"/>
                <w:b/>
                <w:bCs/>
                <w:color w:val="000000"/>
              </w:rPr>
              <w:t xml:space="preserve">2025 Rate for Reina </w:t>
            </w:r>
            <w:proofErr w:type="spellStart"/>
            <w:r w:rsidRPr="008E4742" w:rsidR="008E4742">
              <w:rPr>
                <w:rFonts w:asciiTheme="majorBidi" w:hAnsiTheme="majorBidi" w:cstheme="majorBidi"/>
                <w:b/>
                <w:bCs/>
                <w:color w:val="000000"/>
              </w:rPr>
              <w:t>Yanagiba</w:t>
            </w:r>
            <w:proofErr w:type="spellEnd"/>
            <w:r w:rsidRPr="008E4742" w:rsidR="008E4742">
              <w:rPr>
                <w:rStyle w:val="apple-converted-space"/>
                <w:rFonts w:asciiTheme="majorBidi" w:hAnsiTheme="majorBidi" w:eastAsiaTheme="majorEastAsia" w:cstheme="majorBidi"/>
                <w:b/>
                <w:bCs/>
                <w:color w:val="000000"/>
              </w:rPr>
              <w:t> </w:t>
            </w:r>
          </w:p>
          <w:p w:rsidRPr="008E4742" w:rsidR="00625B30" w:rsidP="008E4742" w:rsidRDefault="008E4742" w14:paraId="6D50D193" w14:textId="56AB5875">
            <w:pPr>
              <w:pStyle w:val="NormalWeb"/>
              <w:rPr>
                <w:rFonts w:asciiTheme="majorBidi" w:hAnsiTheme="majorBidi" w:cstheme="majorBidi"/>
                <w:color w:val="000000"/>
              </w:rPr>
            </w:pPr>
            <w:r w:rsidRPr="008E4742">
              <w:rPr>
                <w:rFonts w:asciiTheme="majorBidi" w:hAnsiTheme="majorBidi" w:cstheme="majorBidi"/>
                <w:color w:val="000000"/>
              </w:rPr>
              <w:t xml:space="preserve">TURN requests a 2025 hourly rate of $125 for TURN Paralegal Reina Yanagiba, who joined TURN in October 2022. The Commission adopted a 2023 hourly rate of $95 for Ms. </w:t>
            </w:r>
            <w:proofErr w:type="spellStart"/>
            <w:r w:rsidRPr="008E4742">
              <w:rPr>
                <w:rFonts w:asciiTheme="majorBidi" w:hAnsiTheme="majorBidi" w:cstheme="majorBidi"/>
                <w:color w:val="000000"/>
              </w:rPr>
              <w:t>Yanagiba</w:t>
            </w:r>
            <w:proofErr w:type="spellEnd"/>
            <w:r w:rsidRPr="008E4742">
              <w:rPr>
                <w:rFonts w:asciiTheme="majorBidi" w:hAnsiTheme="majorBidi" w:cstheme="majorBidi"/>
                <w:color w:val="000000"/>
              </w:rPr>
              <w:t xml:space="preserve"> in D.24-04-030 and a 2024 hourly rate of $100 in D.24-06-021. The requested rate of $125 is consistent with the bottom of the 2025 hourly rate range for a Paralegal – Level II ($123.36)</w:t>
            </w:r>
          </w:p>
        </w:tc>
      </w:tr>
      <w:tr w:rsidRPr="003D30FA" w:rsidR="008E4742" w:rsidTr="00757D76" w14:paraId="5D6D6DD0" w14:textId="77777777">
        <w:tc>
          <w:tcPr>
            <w:tcW w:w="1795" w:type="dxa"/>
          </w:tcPr>
          <w:p w:rsidRPr="008E4742" w:rsidR="008E4742" w:rsidP="008E4742" w:rsidRDefault="008E4742" w14:paraId="0528C84A" w14:textId="2C826982">
            <w:pPr>
              <w:tabs>
                <w:tab w:val="left" w:pos="1260"/>
              </w:tabs>
              <w:rPr>
                <w:rFonts w:asciiTheme="majorBidi" w:hAnsiTheme="majorBidi" w:cstheme="majorBidi"/>
                <w:color w:val="000000"/>
              </w:rPr>
            </w:pPr>
            <w:r w:rsidRPr="008E4742">
              <w:rPr>
                <w:rFonts w:asciiTheme="majorBidi" w:hAnsiTheme="majorBidi" w:cstheme="majorBidi"/>
                <w:color w:val="000000"/>
              </w:rPr>
              <w:t>Comment #</w:t>
            </w:r>
            <w:r w:rsidR="006B05CA">
              <w:rPr>
                <w:rFonts w:asciiTheme="majorBidi" w:hAnsiTheme="majorBidi" w:cstheme="majorBidi"/>
                <w:color w:val="000000"/>
              </w:rPr>
              <w:t>4</w:t>
            </w:r>
          </w:p>
        </w:tc>
        <w:tc>
          <w:tcPr>
            <w:tcW w:w="7565" w:type="dxa"/>
          </w:tcPr>
          <w:p w:rsidRPr="008E4742" w:rsidR="008E4742" w:rsidP="008E4742" w:rsidRDefault="008E4742" w14:paraId="35116B96" w14:textId="77777777">
            <w:pPr>
              <w:pStyle w:val="NormalWeb"/>
              <w:rPr>
                <w:rFonts w:asciiTheme="majorBidi" w:hAnsiTheme="majorBidi" w:cstheme="majorBidi"/>
                <w:b/>
                <w:bCs/>
                <w:color w:val="000000"/>
              </w:rPr>
            </w:pPr>
            <w:r w:rsidRPr="008E4742">
              <w:rPr>
                <w:rFonts w:asciiTheme="majorBidi" w:hAnsiTheme="majorBidi" w:cstheme="majorBidi"/>
                <w:b/>
                <w:bCs/>
                <w:color w:val="000000"/>
              </w:rPr>
              <w:t>2025 Rate for Sylvie Ashford</w:t>
            </w:r>
            <w:r w:rsidRPr="008E4742">
              <w:rPr>
                <w:rStyle w:val="apple-converted-space"/>
                <w:rFonts w:asciiTheme="majorBidi" w:hAnsiTheme="majorBidi" w:eastAsiaTheme="majorEastAsia" w:cstheme="majorBidi"/>
                <w:b/>
                <w:bCs/>
                <w:color w:val="000000"/>
              </w:rPr>
              <w:t> </w:t>
            </w:r>
          </w:p>
          <w:p w:rsidRPr="008E4742" w:rsidR="008E4742" w:rsidP="008E4742" w:rsidRDefault="008E4742" w14:paraId="08987FD9" w14:textId="3E1B7D23">
            <w:pPr>
              <w:pStyle w:val="NormalWeb"/>
              <w:rPr>
                <w:rFonts w:asciiTheme="majorBidi" w:hAnsiTheme="majorBidi" w:cstheme="majorBidi"/>
                <w:color w:val="000000"/>
              </w:rPr>
            </w:pPr>
            <w:r w:rsidRPr="008E4742">
              <w:rPr>
                <w:rFonts w:asciiTheme="majorBidi" w:hAnsiTheme="majorBidi" w:cstheme="majorBidi"/>
                <w:color w:val="000000"/>
              </w:rPr>
              <w:t>TURN requests that the Commission adopt a 2025 hourly rate of $265 for TURN Energy Policy Analyst Sylvie Ashford. This rate is equal to the rate authorized by the Commission in D.25-06-030 for Ms. Ashford’s work in 2024, $245, adjusted by both (1) the annual escalation rate of 3.46% for 2025 and (2) the first 5% step increase for Ms. Ashford in the Public Policy Analyst – Level II experience tier. Calculation: $245 x [1.0346 (COLA) + 0.05 (step increase)] = $265.73, rounded to $265.</w:t>
            </w:r>
          </w:p>
        </w:tc>
      </w:tr>
      <w:tr w:rsidRPr="003D30FA" w:rsidR="008E4742" w:rsidTr="00757D76" w14:paraId="2406EEE8" w14:textId="77777777">
        <w:tc>
          <w:tcPr>
            <w:tcW w:w="1795" w:type="dxa"/>
          </w:tcPr>
          <w:p w:rsidRPr="008E4742" w:rsidR="008E4742" w:rsidP="008E4742" w:rsidRDefault="008E4742" w14:paraId="3D641E3A" w14:textId="6DB612C7">
            <w:pPr>
              <w:tabs>
                <w:tab w:val="left" w:pos="1260"/>
              </w:tabs>
              <w:rPr>
                <w:rFonts w:asciiTheme="majorBidi" w:hAnsiTheme="majorBidi" w:cstheme="majorBidi"/>
                <w:color w:val="000000"/>
              </w:rPr>
            </w:pPr>
            <w:r w:rsidRPr="008E4742">
              <w:rPr>
                <w:rFonts w:asciiTheme="majorBidi" w:hAnsiTheme="majorBidi" w:cstheme="majorBidi"/>
                <w:color w:val="000000"/>
              </w:rPr>
              <w:t>Comment #</w:t>
            </w:r>
            <w:r w:rsidR="006B05CA">
              <w:rPr>
                <w:rFonts w:asciiTheme="majorBidi" w:hAnsiTheme="majorBidi" w:cstheme="majorBidi"/>
                <w:color w:val="000000"/>
              </w:rPr>
              <w:t>5</w:t>
            </w:r>
          </w:p>
        </w:tc>
        <w:tc>
          <w:tcPr>
            <w:tcW w:w="7565" w:type="dxa"/>
          </w:tcPr>
          <w:p w:rsidRPr="008E4742" w:rsidR="008E4742" w:rsidP="008E4742" w:rsidRDefault="008E4742" w14:paraId="00031371" w14:textId="77777777">
            <w:pPr>
              <w:rPr>
                <w:rFonts w:asciiTheme="majorBidi" w:hAnsiTheme="majorBidi" w:cstheme="majorBidi"/>
                <w:b/>
                <w:bCs/>
              </w:rPr>
            </w:pPr>
            <w:r w:rsidRPr="008E4742">
              <w:rPr>
                <w:rFonts w:asciiTheme="majorBidi" w:hAnsiTheme="majorBidi" w:cstheme="majorBidi"/>
                <w:b/>
                <w:bCs/>
              </w:rPr>
              <w:t>2024 and 2025 Hourly Rate for Jessica Hecht</w:t>
            </w:r>
          </w:p>
          <w:p w:rsidRPr="008E4742" w:rsidR="008E4742" w:rsidP="008E4742" w:rsidRDefault="008E4742" w14:paraId="110D7DB1" w14:textId="77777777">
            <w:pPr>
              <w:rPr>
                <w:rFonts w:asciiTheme="majorBidi" w:hAnsiTheme="majorBidi" w:cstheme="majorBidi"/>
              </w:rPr>
            </w:pPr>
          </w:p>
          <w:p w:rsidRPr="008E4742" w:rsidR="008E4742" w:rsidP="008E4742" w:rsidRDefault="008E4742" w14:paraId="4D9BA626" w14:textId="77777777">
            <w:pPr>
              <w:rPr>
                <w:rFonts w:asciiTheme="majorBidi" w:hAnsiTheme="majorBidi" w:cstheme="majorBidi"/>
              </w:rPr>
            </w:pPr>
            <w:r w:rsidRPr="008E4742">
              <w:rPr>
                <w:rFonts w:asciiTheme="majorBidi" w:hAnsiTheme="majorBidi" w:cstheme="majorBidi"/>
              </w:rPr>
              <w:lastRenderedPageBreak/>
              <w:t>Pursuant to the requirements of ALJ-393, TURN hereby submits its request for a 2024-2025 hourly rate for TURN Consultant and Expert Witness Jessica Hecht.</w:t>
            </w:r>
          </w:p>
          <w:p w:rsidRPr="008E4742" w:rsidR="008E4742" w:rsidP="008E4742" w:rsidRDefault="008E4742" w14:paraId="6741E5FC" w14:textId="77777777">
            <w:pPr>
              <w:rPr>
                <w:rFonts w:asciiTheme="majorBidi" w:hAnsiTheme="majorBidi" w:cstheme="majorBidi"/>
              </w:rPr>
            </w:pPr>
          </w:p>
          <w:p w:rsidRPr="008E4742" w:rsidR="008E4742" w:rsidP="008E4742" w:rsidRDefault="008E4742" w14:paraId="6620F353" w14:textId="77777777">
            <w:pPr>
              <w:rPr>
                <w:rFonts w:asciiTheme="majorBidi" w:hAnsiTheme="majorBidi" w:cstheme="majorBidi"/>
              </w:rPr>
            </w:pPr>
            <w:r w:rsidRPr="008E4742">
              <w:rPr>
                <w:rFonts w:asciiTheme="majorBidi" w:hAnsiTheme="majorBidi" w:cstheme="majorBidi"/>
                <w:b/>
                <w:bCs/>
              </w:rPr>
              <w:t>Intervenor Representative:</w:t>
            </w:r>
            <w:r w:rsidRPr="008E4742">
              <w:rPr>
                <w:rFonts w:asciiTheme="majorBidi" w:hAnsiTheme="majorBidi" w:cstheme="majorBidi"/>
              </w:rPr>
              <w:t xml:space="preserve">  Jessica Hecht</w:t>
            </w:r>
          </w:p>
          <w:p w:rsidRPr="008E4742" w:rsidR="008E4742" w:rsidP="008E4742" w:rsidRDefault="008E4742" w14:paraId="19239DE2" w14:textId="77777777">
            <w:pPr>
              <w:rPr>
                <w:rFonts w:asciiTheme="majorBidi" w:hAnsiTheme="majorBidi" w:cstheme="majorBidi"/>
              </w:rPr>
            </w:pPr>
            <w:r w:rsidRPr="008E4742">
              <w:rPr>
                <w:rFonts w:asciiTheme="majorBidi" w:hAnsiTheme="majorBidi" w:cstheme="majorBidi"/>
                <w:b/>
                <w:bCs/>
              </w:rPr>
              <w:t>Labor Role:</w:t>
            </w:r>
            <w:r w:rsidRPr="008E4742">
              <w:rPr>
                <w:rFonts w:asciiTheme="majorBidi" w:hAnsiTheme="majorBidi" w:cstheme="majorBidi"/>
              </w:rPr>
              <w:t xml:space="preserve">  Public Policy Analyst</w:t>
            </w:r>
            <w:r w:rsidRPr="008E4742">
              <w:rPr>
                <w:rFonts w:asciiTheme="majorBidi" w:hAnsiTheme="majorBidi" w:cstheme="majorBidi"/>
              </w:rPr>
              <w:tab/>
            </w:r>
          </w:p>
          <w:p w:rsidRPr="008E4742" w:rsidR="008E4742" w:rsidP="008E4742" w:rsidRDefault="008E4742" w14:paraId="066C9BB4" w14:textId="77777777">
            <w:pPr>
              <w:rPr>
                <w:rFonts w:asciiTheme="majorBidi" w:hAnsiTheme="majorBidi" w:cstheme="majorBidi"/>
              </w:rPr>
            </w:pPr>
            <w:r w:rsidRPr="008E4742">
              <w:rPr>
                <w:rFonts w:asciiTheme="majorBidi" w:hAnsiTheme="majorBidi" w:cstheme="majorBidi"/>
                <w:b/>
                <w:bCs/>
              </w:rPr>
              <w:t>Level:</w:t>
            </w:r>
            <w:r w:rsidRPr="008E4742">
              <w:rPr>
                <w:rFonts w:asciiTheme="majorBidi" w:hAnsiTheme="majorBidi" w:cstheme="majorBidi"/>
              </w:rPr>
              <w:t xml:space="preserve">  V</w:t>
            </w:r>
          </w:p>
          <w:p w:rsidRPr="008E4742" w:rsidR="008E4742" w:rsidP="008E4742" w:rsidRDefault="008E4742" w14:paraId="0F9E0F80" w14:textId="77777777">
            <w:pPr>
              <w:rPr>
                <w:rFonts w:asciiTheme="majorBidi" w:hAnsiTheme="majorBidi" w:cstheme="majorBidi"/>
              </w:rPr>
            </w:pPr>
            <w:r w:rsidRPr="008E4742">
              <w:rPr>
                <w:rFonts w:asciiTheme="majorBidi" w:hAnsiTheme="majorBidi" w:cstheme="majorBidi"/>
                <w:b/>
                <w:bCs/>
              </w:rPr>
              <w:t>2024 Hourly Rate Range:</w:t>
            </w:r>
            <w:r w:rsidRPr="008E4742">
              <w:rPr>
                <w:rFonts w:asciiTheme="majorBidi" w:hAnsiTheme="majorBidi" w:cstheme="majorBidi"/>
              </w:rPr>
              <w:t xml:space="preserve">  $572.11 (low) - $731.01 (median) - $948.83 (high)</w:t>
            </w:r>
          </w:p>
          <w:p w:rsidRPr="008E4742" w:rsidR="008E4742" w:rsidP="008E4742" w:rsidRDefault="008E4742" w14:paraId="3DC56370" w14:textId="77777777">
            <w:pPr>
              <w:rPr>
                <w:rFonts w:asciiTheme="majorBidi" w:hAnsiTheme="majorBidi" w:cstheme="majorBidi"/>
              </w:rPr>
            </w:pPr>
            <w:r w:rsidRPr="008E4742">
              <w:rPr>
                <w:rFonts w:asciiTheme="majorBidi" w:hAnsiTheme="majorBidi" w:cstheme="majorBidi"/>
                <w:b/>
                <w:bCs/>
              </w:rPr>
              <w:t xml:space="preserve">2025 Hourly Rate Range:  </w:t>
            </w:r>
            <w:r w:rsidRPr="008E4742">
              <w:rPr>
                <w:rFonts w:asciiTheme="majorBidi" w:hAnsiTheme="majorBidi" w:cstheme="majorBidi"/>
              </w:rPr>
              <w:t>$597.40 (low) - $756.30 (median) - $974.12 (high)</w:t>
            </w:r>
          </w:p>
          <w:p w:rsidRPr="008E4742" w:rsidR="008E4742" w:rsidP="008E4742" w:rsidRDefault="008E4742" w14:paraId="58849388" w14:textId="77777777">
            <w:pPr>
              <w:rPr>
                <w:rFonts w:asciiTheme="majorBidi" w:hAnsiTheme="majorBidi" w:cstheme="majorBidi"/>
              </w:rPr>
            </w:pPr>
            <w:r w:rsidRPr="008E4742">
              <w:rPr>
                <w:rFonts w:asciiTheme="majorBidi" w:hAnsiTheme="majorBidi" w:cstheme="majorBidi"/>
                <w:b/>
                <w:bCs/>
              </w:rPr>
              <w:t>Requested Hourly Rate:</w:t>
            </w:r>
            <w:r w:rsidRPr="008E4742">
              <w:rPr>
                <w:rFonts w:asciiTheme="majorBidi" w:hAnsiTheme="majorBidi" w:cstheme="majorBidi"/>
              </w:rPr>
              <w:t xml:space="preserve">  $750 </w:t>
            </w:r>
          </w:p>
          <w:p w:rsidRPr="008E4742" w:rsidR="008E4742" w:rsidP="008E4742" w:rsidRDefault="008E4742" w14:paraId="711CAC0F" w14:textId="77777777">
            <w:pPr>
              <w:rPr>
                <w:rFonts w:asciiTheme="majorBidi" w:hAnsiTheme="majorBidi" w:cstheme="majorBidi"/>
              </w:rPr>
            </w:pPr>
            <w:r w:rsidRPr="008E4742">
              <w:rPr>
                <w:rFonts w:asciiTheme="majorBidi" w:hAnsiTheme="majorBidi" w:cstheme="majorBidi"/>
                <w:b/>
                <w:bCs/>
              </w:rPr>
              <w:t>Current Resume:</w:t>
            </w:r>
            <w:r w:rsidRPr="008E4742">
              <w:rPr>
                <w:rFonts w:asciiTheme="majorBidi" w:hAnsiTheme="majorBidi" w:cstheme="majorBidi"/>
              </w:rPr>
              <w:t xml:space="preserve">  See Attachment 4.</w:t>
            </w:r>
          </w:p>
          <w:p w:rsidRPr="008E4742" w:rsidR="008E4742" w:rsidP="008E4742" w:rsidRDefault="008E4742" w14:paraId="7401AB9D" w14:textId="77777777">
            <w:pPr>
              <w:rPr>
                <w:rFonts w:asciiTheme="majorBidi" w:hAnsiTheme="majorBidi" w:cstheme="majorBidi"/>
                <w:b/>
                <w:bCs/>
              </w:rPr>
            </w:pPr>
            <w:r w:rsidRPr="008E4742">
              <w:rPr>
                <w:rFonts w:asciiTheme="majorBidi" w:hAnsiTheme="majorBidi" w:cstheme="majorBidi"/>
                <w:b/>
                <w:bCs/>
              </w:rPr>
              <w:t xml:space="preserve">Justification for the Requested Hourly Rate:  </w:t>
            </w:r>
          </w:p>
          <w:p w:rsidRPr="008E4742" w:rsidR="008E4742" w:rsidP="008E4742" w:rsidRDefault="008E4742" w14:paraId="7F21A316" w14:textId="77777777">
            <w:pPr>
              <w:rPr>
                <w:rFonts w:asciiTheme="majorBidi" w:hAnsiTheme="majorBidi" w:cstheme="majorBidi"/>
              </w:rPr>
            </w:pPr>
          </w:p>
          <w:p w:rsidRPr="008E4742" w:rsidR="008E4742" w:rsidP="008E4742" w:rsidRDefault="008E4742" w14:paraId="487A8957" w14:textId="77777777">
            <w:pPr>
              <w:autoSpaceDE w:val="0"/>
              <w:autoSpaceDN w:val="0"/>
              <w:adjustRightInd w:val="0"/>
              <w:rPr>
                <w:rFonts w:asciiTheme="majorBidi" w:hAnsiTheme="majorBidi" w:cstheme="majorBidi"/>
              </w:rPr>
            </w:pPr>
            <w:r w:rsidRPr="008E4742">
              <w:rPr>
                <w:rFonts w:asciiTheme="majorBidi" w:hAnsiTheme="majorBidi" w:cstheme="majorBidi"/>
              </w:rPr>
              <w:t>TURN requests an hourly rate of $750 for consultant Jessica Hecht for her work in 2024 and 2025 in this proceeding.  This is the rate charged to TURN by Ms. Hecht.  The requested rate is comparable to the median hourly rates in 2024 and 2025 for the Public Policy Analyst - Level V labor role.</w:t>
            </w:r>
          </w:p>
          <w:p w:rsidRPr="008E4742" w:rsidR="008E4742" w:rsidP="008E4742" w:rsidRDefault="008E4742" w14:paraId="1FF39C4F" w14:textId="77777777">
            <w:pPr>
              <w:autoSpaceDE w:val="0"/>
              <w:autoSpaceDN w:val="0"/>
              <w:adjustRightInd w:val="0"/>
              <w:rPr>
                <w:rFonts w:asciiTheme="majorBidi" w:hAnsiTheme="majorBidi" w:cstheme="majorBidi"/>
              </w:rPr>
            </w:pPr>
          </w:p>
          <w:p w:rsidRPr="008E4742" w:rsidR="008E4742" w:rsidP="008E4742" w:rsidRDefault="008E4742" w14:paraId="5FC04409" w14:textId="02824DD2">
            <w:pPr>
              <w:autoSpaceDE w:val="0"/>
              <w:autoSpaceDN w:val="0"/>
              <w:adjustRightInd w:val="0"/>
              <w:rPr>
                <w:rFonts w:asciiTheme="majorBidi" w:hAnsiTheme="majorBidi" w:eastAsiaTheme="minorHAnsi" w:cstheme="majorBidi"/>
              </w:rPr>
            </w:pPr>
            <w:r w:rsidRPr="008E4742">
              <w:rPr>
                <w:rFonts w:asciiTheme="majorBidi" w:hAnsiTheme="majorBidi" w:cstheme="majorBidi"/>
              </w:rPr>
              <w:t xml:space="preserve">Jessica Hecht is a senior policy and regulatory analyst with deep experience in utility infrastructure, safety, and energy issues.  Ms. Hecht worked at the </w:t>
            </w:r>
            <w:r w:rsidR="000E7E95">
              <w:rPr>
                <w:rFonts w:asciiTheme="majorBidi" w:hAnsiTheme="majorBidi" w:cstheme="majorBidi"/>
              </w:rPr>
              <w:t>California Public Utilities Commission</w:t>
            </w:r>
            <w:r w:rsidRPr="008E4742" w:rsidR="000E7E95">
              <w:rPr>
                <w:rFonts w:asciiTheme="majorBidi" w:hAnsiTheme="majorBidi" w:cstheme="majorBidi"/>
              </w:rPr>
              <w:t xml:space="preserve"> </w:t>
            </w:r>
            <w:r w:rsidRPr="008E4742">
              <w:rPr>
                <w:rFonts w:asciiTheme="majorBidi" w:hAnsiTheme="majorBidi" w:cstheme="majorBidi"/>
              </w:rPr>
              <w:t xml:space="preserve">from 2001-2023.  </w:t>
            </w:r>
            <w:r w:rsidRPr="008E4742">
              <w:rPr>
                <w:rFonts w:asciiTheme="majorBidi" w:hAnsiTheme="majorBidi" w:eastAsiaTheme="minorHAnsi" w:cstheme="majorBidi"/>
              </w:rPr>
              <w:t xml:space="preserve">During these 22 years, she obtained invaluable knowledge and experience related to energy policy and public utility regulation.  </w:t>
            </w:r>
            <w:r w:rsidRPr="008E4742">
              <w:rPr>
                <w:rFonts w:asciiTheme="majorBidi" w:hAnsiTheme="majorBidi" w:cstheme="majorBidi"/>
              </w:rPr>
              <w:t xml:space="preserve">She initially served as a Public Utilities Regulatory Analyst from 2001-2006, with responsibilities for drafting policies and testimony aimed at making energy and telecommunications services more accessible.  From  2013-2016, she served as a Policy Advisor to a Commissioner and provided expert advice to state utility Commissioners regarding all aspects of California energy, telecommunications, water, and transportation policy issues.  Ms. Hecht spent most of her tenure at the Commission in the Administrative Law Judge Division.  She served as an Administrative Law Judge (ALJ) from 2007-2018 (excluding her time as a Policy Advisor to a Commissioner) and 2020-2023 </w:t>
            </w:r>
            <w:proofErr w:type="gramStart"/>
            <w:r w:rsidRPr="008E4742">
              <w:rPr>
                <w:rFonts w:asciiTheme="majorBidi" w:hAnsiTheme="majorBidi" w:cstheme="majorBidi"/>
              </w:rPr>
              <w:t>and as</w:t>
            </w:r>
            <w:proofErr w:type="gramEnd"/>
            <w:r w:rsidRPr="008E4742">
              <w:rPr>
                <w:rFonts w:asciiTheme="majorBidi" w:hAnsiTheme="majorBidi" w:cstheme="majorBidi"/>
              </w:rPr>
              <w:t xml:space="preserve"> Assistant Chief ALJ from 2018-2020.  As an ALJ, Ms. Hecht was a </w:t>
            </w:r>
            <w:r w:rsidRPr="008E4742">
              <w:rPr>
                <w:rFonts w:asciiTheme="majorBidi" w:hAnsiTheme="majorBidi" w:eastAsiaTheme="minorHAnsi" w:cstheme="majorBidi"/>
              </w:rPr>
              <w:t>substantive decision-maker and process manager focused on utilities and infrastructure.</w:t>
            </w:r>
            <w:r w:rsidRPr="008E4742">
              <w:rPr>
                <w:rFonts w:asciiTheme="majorBidi" w:hAnsiTheme="majorBidi" w:cstheme="majorBidi"/>
              </w:rPr>
              <w:t xml:space="preserve">  She </w:t>
            </w:r>
            <w:r w:rsidRPr="008E4742">
              <w:rPr>
                <w:rFonts w:asciiTheme="majorBidi" w:hAnsiTheme="majorBidi" w:eastAsiaTheme="minorHAnsi" w:cstheme="majorBidi"/>
              </w:rPr>
              <w:t>prepared decisions resolving financial, economic, environmental, and consumer protection</w:t>
            </w:r>
            <w:r w:rsidRPr="008E4742">
              <w:rPr>
                <w:rFonts w:asciiTheme="majorBidi" w:hAnsiTheme="majorBidi" w:cstheme="majorBidi"/>
              </w:rPr>
              <w:t xml:space="preserve"> </w:t>
            </w:r>
            <w:r w:rsidRPr="008E4742">
              <w:rPr>
                <w:rFonts w:asciiTheme="majorBidi" w:hAnsiTheme="majorBidi" w:eastAsiaTheme="minorHAnsi" w:cstheme="majorBidi"/>
              </w:rPr>
              <w:t>issues.  In her capacity as Assistant Chief ALJ, Ms. Hecht served as the ALJ Division lead on safety and wildfire-related policy and case management, with additional responsibility for energy policy and rates.  After leaving the Commission in 2023, Ms. Hecht has been working as a consultant and focusing on complex policy analysis, among other issues.</w:t>
            </w:r>
          </w:p>
          <w:p w:rsidRPr="008E4742" w:rsidR="008E4742" w:rsidP="008E4742" w:rsidRDefault="008E4742" w14:paraId="6DFEF617" w14:textId="77777777">
            <w:pPr>
              <w:rPr>
                <w:rFonts w:asciiTheme="majorBidi" w:hAnsiTheme="majorBidi" w:cstheme="majorBidi"/>
              </w:rPr>
            </w:pPr>
          </w:p>
          <w:p w:rsidRPr="008E4742" w:rsidR="008E4742" w:rsidP="008E4742" w:rsidRDefault="008E4742" w14:paraId="6933D4FA" w14:textId="77777777">
            <w:pPr>
              <w:rPr>
                <w:rFonts w:asciiTheme="majorBidi" w:hAnsiTheme="majorBidi" w:cstheme="majorBidi"/>
              </w:rPr>
            </w:pPr>
            <w:r w:rsidRPr="008E4742">
              <w:rPr>
                <w:rFonts w:asciiTheme="majorBidi" w:hAnsiTheme="majorBidi" w:cstheme="majorBidi"/>
              </w:rPr>
              <w:t xml:space="preserve">Ms. Hecht has a M.A. in Public Affairs and Policy Analysis from the University of Wisconsin – Madison and a B.A. in History from the University of California at Berkeley.  </w:t>
            </w:r>
          </w:p>
          <w:p w:rsidRPr="008E4742" w:rsidR="008E4742" w:rsidP="008E4742" w:rsidRDefault="008E4742" w14:paraId="047E67FF" w14:textId="77777777">
            <w:pPr>
              <w:rPr>
                <w:rFonts w:asciiTheme="majorBidi" w:hAnsiTheme="majorBidi" w:cstheme="majorBidi"/>
              </w:rPr>
            </w:pPr>
          </w:p>
          <w:p w:rsidRPr="008E4742" w:rsidR="008E4742" w:rsidP="008E4742" w:rsidRDefault="008E4742" w14:paraId="006847B4" w14:textId="77777777">
            <w:pPr>
              <w:rPr>
                <w:rFonts w:asciiTheme="majorBidi" w:hAnsiTheme="majorBidi" w:cstheme="majorBidi"/>
              </w:rPr>
            </w:pPr>
            <w:r w:rsidRPr="008E4742">
              <w:rPr>
                <w:rFonts w:asciiTheme="majorBidi" w:hAnsiTheme="majorBidi" w:cstheme="majorBidi"/>
              </w:rPr>
              <w:t>The Market Rate Study Hourly Rate Chart describes a Public Policy Analyst as one who:  “</w:t>
            </w:r>
            <w:r w:rsidRPr="008E4742">
              <w:rPr>
                <w:rFonts w:asciiTheme="majorBidi" w:hAnsiTheme="majorBidi" w:cstheme="majorBidi"/>
                <w:color w:val="000000"/>
              </w:rPr>
              <w:t xml:space="preserve">Reviews the impact of state government policies and regulations. Analyzes proposed legislative actions and determines the potential impact. Reviews policies, plans, and programs to ensure consistency with corresponding government regulations and laws.”  Further, </w:t>
            </w:r>
            <w:r w:rsidRPr="008E4742">
              <w:rPr>
                <w:rFonts w:asciiTheme="majorBidi" w:hAnsiTheme="majorBidi" w:cstheme="majorBidi"/>
              </w:rPr>
              <w:t>a “Public Policy Analyst” in Level V should have a “</w:t>
            </w:r>
            <w:proofErr w:type="gramStart"/>
            <w:r w:rsidRPr="008E4742">
              <w:rPr>
                <w:rFonts w:asciiTheme="majorBidi" w:hAnsiTheme="majorBidi" w:cstheme="majorBidi"/>
              </w:rPr>
              <w:t>Bachelor’s Degree</w:t>
            </w:r>
            <w:proofErr w:type="gramEnd"/>
            <w:r w:rsidRPr="008E4742">
              <w:rPr>
                <w:rFonts w:asciiTheme="majorBidi" w:hAnsiTheme="majorBidi" w:cstheme="majorBidi"/>
              </w:rPr>
              <w:t>” and 15+ years of experience.  Jessica Hecht’s qualifications exceed these requirements.  She has 22 years of experience working on utility regulatory policy issues at the Commission, including many years of preparing proposed decisions evaluating “</w:t>
            </w:r>
            <w:r w:rsidRPr="008E4742">
              <w:rPr>
                <w:rFonts w:asciiTheme="majorBidi" w:hAnsiTheme="majorBidi" w:cstheme="majorBidi"/>
                <w:color w:val="000000"/>
              </w:rPr>
              <w:t>policies, plans, and programs to ensure consistency with corresponding government regulations and laws.”</w:t>
            </w:r>
            <w:r w:rsidRPr="008E4742">
              <w:rPr>
                <w:rFonts w:asciiTheme="majorBidi" w:hAnsiTheme="majorBidi" w:cstheme="majorBidi"/>
              </w:rPr>
              <w:t xml:space="preserve">  She also has a </w:t>
            </w:r>
            <w:proofErr w:type="gramStart"/>
            <w:r w:rsidRPr="008E4742">
              <w:rPr>
                <w:rFonts w:asciiTheme="majorBidi" w:hAnsiTheme="majorBidi" w:cstheme="majorBidi"/>
              </w:rPr>
              <w:t>Master’s Degree in Public Policy</w:t>
            </w:r>
            <w:proofErr w:type="gramEnd"/>
            <w:r w:rsidRPr="008E4742">
              <w:rPr>
                <w:rFonts w:asciiTheme="majorBidi" w:hAnsiTheme="majorBidi" w:cstheme="majorBidi"/>
              </w:rPr>
              <w:t xml:space="preserve">, beyond the required </w:t>
            </w:r>
            <w:proofErr w:type="gramStart"/>
            <w:r w:rsidRPr="008E4742">
              <w:rPr>
                <w:rFonts w:asciiTheme="majorBidi" w:hAnsiTheme="majorBidi" w:cstheme="majorBidi"/>
              </w:rPr>
              <w:t>Bachelor’s Degree</w:t>
            </w:r>
            <w:proofErr w:type="gramEnd"/>
            <w:r w:rsidRPr="008E4742">
              <w:rPr>
                <w:rFonts w:asciiTheme="majorBidi" w:hAnsiTheme="majorBidi" w:cstheme="majorBidi"/>
              </w:rPr>
              <w:t xml:space="preserve">.  </w:t>
            </w:r>
          </w:p>
          <w:p w:rsidRPr="008E4742" w:rsidR="008E4742" w:rsidP="008E4742" w:rsidRDefault="008E4742" w14:paraId="3B93825B" w14:textId="77777777">
            <w:pPr>
              <w:rPr>
                <w:rFonts w:asciiTheme="majorBidi" w:hAnsiTheme="majorBidi" w:cstheme="majorBidi"/>
              </w:rPr>
            </w:pPr>
          </w:p>
          <w:p w:rsidRPr="008E4742" w:rsidR="008E4742" w:rsidP="00C44F68" w:rsidRDefault="008E4742" w14:paraId="44E86F69" w14:textId="210E186D">
            <w:pPr>
              <w:rPr>
                <w:rFonts w:asciiTheme="majorBidi" w:hAnsiTheme="majorBidi" w:cstheme="majorBidi"/>
                <w:bCs/>
                <w:color w:val="000000"/>
              </w:rPr>
            </w:pPr>
            <w:r w:rsidRPr="008E4742">
              <w:rPr>
                <w:rFonts w:asciiTheme="majorBidi" w:hAnsiTheme="majorBidi" w:cstheme="majorBidi"/>
              </w:rPr>
              <w:t>As noted above, the requested hourly rate for 2024 and 2025 is comparable to the median rates for a Public Policy Analysist – Level V in 2024 and 2025.  Given Ms. Hecht’s education and unique experience, TURN submits that a rate of $750 is reasonable for her work on behalf of TURN in this proceeding.</w:t>
            </w:r>
          </w:p>
        </w:tc>
      </w:tr>
    </w:tbl>
    <w:p w:rsidR="00625B30" w:rsidP="00625B30" w:rsidRDefault="00625B30" w14:paraId="24C9F141" w14:textId="77777777"/>
    <w:p w:rsidRPr="00625B30" w:rsidR="00625B30" w:rsidP="00C44F68" w:rsidRDefault="00625B30" w14:paraId="75E64BE4" w14:textId="6C0DBE99">
      <w:pPr>
        <w:keepNext/>
        <w:numPr>
          <w:ilvl w:val="0"/>
          <w:numId w:val="2"/>
        </w:numPr>
        <w:spacing w:after="240"/>
        <w:rPr>
          <w:b/>
          <w:color w:val="000000"/>
        </w:rPr>
      </w:pPr>
      <w:r w:rsidRPr="007F620E">
        <w:rPr>
          <w:b/>
          <w:color w:val="000000"/>
        </w:rPr>
        <w:t xml:space="preserve">CPUC </w:t>
      </w:r>
      <w:r>
        <w:rPr>
          <w:b/>
          <w:color w:val="000000"/>
        </w:rPr>
        <w:t xml:space="preserve">Comments, </w:t>
      </w:r>
      <w:r w:rsidRPr="007F620E">
        <w:rPr>
          <w:b/>
          <w:color w:val="000000"/>
        </w:rPr>
        <w:t>Disallowances</w:t>
      </w:r>
      <w:r>
        <w:rPr>
          <w:b/>
          <w:color w:val="000000"/>
        </w:rPr>
        <w:t>,</w:t>
      </w:r>
      <w:r w:rsidRPr="007F620E">
        <w:rPr>
          <w:b/>
          <w:color w:val="000000"/>
        </w:rPr>
        <w:t xml:space="preserve"> and Adjustments</w:t>
      </w:r>
      <w:r w:rsidR="003F1C48">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625B30" w:rsidTr="00625B30" w14:paraId="59CFEA0C" w14:textId="77777777">
        <w:trPr>
          <w:tblHeader/>
        </w:trPr>
        <w:tc>
          <w:tcPr>
            <w:tcW w:w="1527" w:type="dxa"/>
            <w:shd w:val="pct12" w:color="auto" w:fill="auto"/>
          </w:tcPr>
          <w:p w:rsidRPr="007F620E" w:rsidR="00625B30" w:rsidP="0036244B" w:rsidRDefault="00625B30" w14:paraId="6DD51BEB" w14:textId="77777777">
            <w:pPr>
              <w:tabs>
                <w:tab w:val="left" w:pos="1440"/>
              </w:tabs>
              <w:jc w:val="center"/>
              <w:rPr>
                <w:b/>
                <w:color w:val="000000"/>
              </w:rPr>
            </w:pPr>
            <w:r w:rsidRPr="007F620E">
              <w:rPr>
                <w:b/>
                <w:color w:val="000000"/>
              </w:rPr>
              <w:t>Item</w:t>
            </w:r>
          </w:p>
        </w:tc>
        <w:tc>
          <w:tcPr>
            <w:tcW w:w="7833" w:type="dxa"/>
            <w:shd w:val="pct12" w:color="auto" w:fill="auto"/>
          </w:tcPr>
          <w:p w:rsidRPr="007F620E" w:rsidR="00625B30" w:rsidP="0036244B" w:rsidRDefault="00625B30" w14:paraId="239D04DA" w14:textId="77777777">
            <w:pPr>
              <w:tabs>
                <w:tab w:val="left" w:pos="1440"/>
              </w:tabs>
              <w:jc w:val="center"/>
              <w:rPr>
                <w:b/>
                <w:color w:val="000000"/>
              </w:rPr>
            </w:pPr>
            <w:r w:rsidRPr="007F620E">
              <w:rPr>
                <w:b/>
                <w:color w:val="000000"/>
              </w:rPr>
              <w:t>Reason</w:t>
            </w:r>
          </w:p>
        </w:tc>
      </w:tr>
      <w:tr w:rsidRPr="007F620E" w:rsidR="00625B30" w:rsidTr="00625B30" w14:paraId="2C987839" w14:textId="77777777">
        <w:tc>
          <w:tcPr>
            <w:tcW w:w="1527" w:type="dxa"/>
          </w:tcPr>
          <w:p w:rsidRPr="007F620E" w:rsidR="00625B30" w:rsidP="0036244B" w:rsidRDefault="008404FB" w14:paraId="1852B9CF" w14:textId="7414B616">
            <w:pPr>
              <w:tabs>
                <w:tab w:val="left" w:pos="1440"/>
              </w:tabs>
              <w:rPr>
                <w:color w:val="000000"/>
              </w:rPr>
            </w:pPr>
            <w:r>
              <w:rPr>
                <w:color w:val="000000"/>
              </w:rPr>
              <w:t>[1] Elise Torres 2024 and 2025 Hourly Rate</w:t>
            </w:r>
            <w:r w:rsidR="00C662CF">
              <w:rPr>
                <w:color w:val="000000"/>
              </w:rPr>
              <w:t>s</w:t>
            </w:r>
          </w:p>
        </w:tc>
        <w:tc>
          <w:tcPr>
            <w:tcW w:w="7833" w:type="dxa"/>
          </w:tcPr>
          <w:p w:rsidR="00625B30" w:rsidP="0036244B" w:rsidRDefault="008404FB" w14:paraId="158C13CC" w14:textId="77777777">
            <w:pPr>
              <w:tabs>
                <w:tab w:val="left" w:pos="1440"/>
              </w:tabs>
              <w:rPr>
                <w:color w:val="000000"/>
              </w:rPr>
            </w:pPr>
            <w:r>
              <w:rPr>
                <w:color w:val="000000"/>
              </w:rPr>
              <w:t>TURN requested a 2024 hourly rate of $555.00 as a Legal – Attorney – III and 2025 hourly rate of $600.00 as a Legal – Attorney – IV.</w:t>
            </w:r>
          </w:p>
          <w:p w:rsidR="002631A6" w:rsidP="0036244B" w:rsidRDefault="002631A6" w14:paraId="6A2670A0" w14:textId="77777777">
            <w:pPr>
              <w:tabs>
                <w:tab w:val="left" w:pos="1440"/>
              </w:tabs>
              <w:rPr>
                <w:color w:val="000000"/>
              </w:rPr>
            </w:pPr>
          </w:p>
          <w:p w:rsidR="002631A6" w:rsidP="0036244B" w:rsidRDefault="002631A6" w14:paraId="42861CAC" w14:textId="77777777">
            <w:pPr>
              <w:tabs>
                <w:tab w:val="left" w:pos="1440"/>
              </w:tabs>
              <w:rPr>
                <w:color w:val="000000"/>
              </w:rPr>
            </w:pPr>
            <w:r w:rsidRPr="002631A6">
              <w:rPr>
                <w:color w:val="000000"/>
              </w:rPr>
              <w:t>D.25-03-022</w:t>
            </w:r>
            <w:r>
              <w:rPr>
                <w:color w:val="000000"/>
              </w:rPr>
              <w:t xml:space="preserve"> verified a 2024 hourly rate of $555.00 as a Legal – Attorney – III. We apply the same rate here.</w:t>
            </w:r>
          </w:p>
          <w:p w:rsidR="002631A6" w:rsidP="0036244B" w:rsidRDefault="002631A6" w14:paraId="57A54922" w14:textId="77777777">
            <w:pPr>
              <w:tabs>
                <w:tab w:val="left" w:pos="1440"/>
              </w:tabs>
              <w:rPr>
                <w:color w:val="000000"/>
              </w:rPr>
            </w:pPr>
          </w:p>
          <w:p w:rsidR="002631A6" w:rsidP="0036244B" w:rsidRDefault="004F2707" w14:paraId="2B0EA0D2" w14:textId="418338C6">
            <w:pPr>
              <w:tabs>
                <w:tab w:val="left" w:pos="1440"/>
              </w:tabs>
              <w:rPr>
                <w:color w:val="000000"/>
              </w:rPr>
            </w:pPr>
            <w:r>
              <w:rPr>
                <w:color w:val="000000"/>
              </w:rPr>
              <w:t>Review of the submitted resume reflects</w:t>
            </w:r>
            <w:r w:rsidR="002631A6">
              <w:rPr>
                <w:color w:val="000000"/>
              </w:rPr>
              <w:t xml:space="preserve"> 10+ years of experience </w:t>
            </w:r>
            <w:r>
              <w:rPr>
                <w:color w:val="000000"/>
              </w:rPr>
              <w:t xml:space="preserve">at the time </w:t>
            </w:r>
            <w:r w:rsidR="00692638">
              <w:rPr>
                <w:color w:val="000000"/>
              </w:rPr>
              <w:t xml:space="preserve">of filing </w:t>
            </w:r>
            <w:r>
              <w:rPr>
                <w:color w:val="000000"/>
              </w:rPr>
              <w:t xml:space="preserve">and therefore </w:t>
            </w:r>
            <w:r w:rsidR="00206CA5">
              <w:rPr>
                <w:color w:val="000000"/>
              </w:rPr>
              <w:t xml:space="preserve">Torres </w:t>
            </w:r>
            <w:r>
              <w:rPr>
                <w:color w:val="000000"/>
              </w:rPr>
              <w:t>qualif</w:t>
            </w:r>
            <w:r w:rsidR="00206CA5">
              <w:rPr>
                <w:color w:val="000000"/>
              </w:rPr>
              <w:t>ies</w:t>
            </w:r>
            <w:r>
              <w:rPr>
                <w:color w:val="000000"/>
              </w:rPr>
              <w:t xml:space="preserve"> as a Legal – Attorney – IV. Per the Market Rate Study Hourly Rate Chart, the 2025 rate range for an Attorney – IV is $462.33 to $699.81, with a median of $577.67. </w:t>
            </w:r>
            <w:r w:rsidR="005F3093">
              <w:rPr>
                <w:color w:val="000000"/>
              </w:rPr>
              <w:t>Given Elise Torres’ relevant experience, we find the requested rate of $600.00 to be reasonable and adopt it here.</w:t>
            </w:r>
          </w:p>
          <w:p w:rsidR="005F3093" w:rsidP="0036244B" w:rsidRDefault="005F3093" w14:paraId="05D4119E" w14:textId="77777777">
            <w:pPr>
              <w:tabs>
                <w:tab w:val="left" w:pos="1440"/>
              </w:tabs>
              <w:rPr>
                <w:color w:val="000000"/>
              </w:rPr>
            </w:pPr>
          </w:p>
          <w:p w:rsidRPr="007F620E" w:rsidR="005F3093" w:rsidP="0036244B" w:rsidRDefault="005F3093" w14:paraId="38AEFFCF" w14:textId="00CED18C">
            <w:pPr>
              <w:tabs>
                <w:tab w:val="left" w:pos="1440"/>
              </w:tabs>
              <w:rPr>
                <w:color w:val="000000"/>
              </w:rPr>
            </w:pPr>
            <w:r>
              <w:rPr>
                <w:color w:val="000000"/>
              </w:rPr>
              <w:lastRenderedPageBreak/>
              <w:t>Intervenor Compensation Claim Preparation is rated at ½ preparer’s normal rate, bringing the 2024 and 2025 claim preparation rate to $</w:t>
            </w:r>
            <w:r w:rsidR="00D37097">
              <w:rPr>
                <w:color w:val="000000"/>
              </w:rPr>
              <w:t>277.50 and $300.00, respectively.</w:t>
            </w:r>
          </w:p>
        </w:tc>
      </w:tr>
      <w:tr w:rsidRPr="007F620E" w:rsidR="00625B30" w:rsidTr="00625B30" w14:paraId="50F08B3B" w14:textId="77777777">
        <w:tc>
          <w:tcPr>
            <w:tcW w:w="1527" w:type="dxa"/>
          </w:tcPr>
          <w:p w:rsidRPr="007F620E" w:rsidR="00625B30" w:rsidP="0036244B" w:rsidRDefault="00FF7122" w14:paraId="7048FC3E" w14:textId="7B89C264">
            <w:pPr>
              <w:tabs>
                <w:tab w:val="left" w:pos="1440"/>
              </w:tabs>
              <w:rPr>
                <w:color w:val="000000"/>
              </w:rPr>
            </w:pPr>
            <w:r>
              <w:rPr>
                <w:color w:val="000000"/>
              </w:rPr>
              <w:lastRenderedPageBreak/>
              <w:t>[2] Hayley Goodson 2024 Hourly Rate</w:t>
            </w:r>
          </w:p>
        </w:tc>
        <w:tc>
          <w:tcPr>
            <w:tcW w:w="7833" w:type="dxa"/>
          </w:tcPr>
          <w:p w:rsidRPr="007F620E" w:rsidR="00625B30" w:rsidP="0036244B" w:rsidRDefault="00FF7122" w14:paraId="3B01D90D" w14:textId="46E294AE">
            <w:pPr>
              <w:tabs>
                <w:tab w:val="left" w:pos="1440"/>
              </w:tabs>
              <w:rPr>
                <w:color w:val="000000"/>
              </w:rPr>
            </w:pPr>
            <w:r>
              <w:rPr>
                <w:color w:val="000000"/>
              </w:rPr>
              <w:t>D.24-09-017 verified a 2024 hourly rate of $</w:t>
            </w:r>
            <w:r w:rsidR="00ED449C">
              <w:rPr>
                <w:color w:val="000000"/>
              </w:rPr>
              <w:t>680.00 as a Legal – Attorney – V. We apply the same rate here.</w:t>
            </w:r>
          </w:p>
        </w:tc>
      </w:tr>
      <w:tr w:rsidRPr="007F620E" w:rsidR="003F1C48" w:rsidTr="00625B30" w14:paraId="14477411" w14:textId="77777777">
        <w:tc>
          <w:tcPr>
            <w:tcW w:w="1527" w:type="dxa"/>
          </w:tcPr>
          <w:p w:rsidRPr="007F620E" w:rsidR="003F1C48" w:rsidP="0036244B" w:rsidRDefault="00ED449C" w14:paraId="205CCC06" w14:textId="6BED07E8">
            <w:pPr>
              <w:tabs>
                <w:tab w:val="left" w:pos="1440"/>
              </w:tabs>
              <w:rPr>
                <w:color w:val="000000"/>
              </w:rPr>
            </w:pPr>
            <w:r>
              <w:rPr>
                <w:color w:val="000000"/>
              </w:rPr>
              <w:t xml:space="preserve">[3] </w:t>
            </w:r>
            <w:r w:rsidRPr="00ED449C">
              <w:rPr>
                <w:color w:val="000000"/>
              </w:rPr>
              <w:t>Isabella Montoya</w:t>
            </w:r>
            <w:r>
              <w:rPr>
                <w:color w:val="000000"/>
              </w:rPr>
              <w:t xml:space="preserve"> 2024 and 2025 Hourly Rates</w:t>
            </w:r>
          </w:p>
        </w:tc>
        <w:tc>
          <w:tcPr>
            <w:tcW w:w="7833" w:type="dxa"/>
          </w:tcPr>
          <w:p w:rsidR="00ED449C" w:rsidP="0036244B" w:rsidRDefault="00ED449C" w14:paraId="76E5DBEA" w14:textId="16F06117">
            <w:pPr>
              <w:tabs>
                <w:tab w:val="left" w:pos="1440"/>
              </w:tabs>
              <w:rPr>
                <w:color w:val="000000"/>
              </w:rPr>
            </w:pPr>
            <w:r>
              <w:rPr>
                <w:color w:val="000000"/>
              </w:rPr>
              <w:t>TURN requested a 2024 and 2025 hourly rate of $210.00 and $230.00 for Isabella Montoya. We note the 2025 rate request includes the first available 5% step-increase.</w:t>
            </w:r>
          </w:p>
          <w:p w:rsidR="00ED449C" w:rsidP="0036244B" w:rsidRDefault="00ED449C" w14:paraId="0DA9A6DB" w14:textId="77777777">
            <w:pPr>
              <w:tabs>
                <w:tab w:val="left" w:pos="1440"/>
              </w:tabs>
              <w:rPr>
                <w:color w:val="000000"/>
              </w:rPr>
            </w:pPr>
          </w:p>
          <w:p w:rsidR="003F1C48" w:rsidP="0036244B" w:rsidRDefault="00ED449C" w14:paraId="459CF866" w14:textId="6B328F20">
            <w:pPr>
              <w:tabs>
                <w:tab w:val="left" w:pos="1440"/>
              </w:tabs>
              <w:rPr>
                <w:color w:val="000000"/>
              </w:rPr>
            </w:pPr>
            <w:r>
              <w:rPr>
                <w:color w:val="000000"/>
              </w:rPr>
              <w:t>D.25-10-023 verified a 2024 hourly rate of $210.00 an Expert – Public Policy Analyst – I. We apply the same rate here.</w:t>
            </w:r>
          </w:p>
          <w:p w:rsidR="00ED449C" w:rsidP="0036244B" w:rsidRDefault="00ED449C" w14:paraId="35C7297C" w14:textId="77777777">
            <w:pPr>
              <w:tabs>
                <w:tab w:val="left" w:pos="1440"/>
              </w:tabs>
              <w:rPr>
                <w:color w:val="000000"/>
              </w:rPr>
            </w:pPr>
          </w:p>
          <w:p w:rsidR="00ED449C" w:rsidP="0036244B" w:rsidRDefault="00ED449C" w14:paraId="3267EE72" w14:textId="23846930">
            <w:pPr>
              <w:tabs>
                <w:tab w:val="left" w:pos="1440"/>
              </w:tabs>
              <w:rPr>
                <w:color w:val="000000"/>
              </w:rPr>
            </w:pPr>
            <w:r>
              <w:rPr>
                <w:color w:val="000000"/>
              </w:rPr>
              <w:t>Based on the adopted 2024 rate, the 3.46% 2025 escalation factor, first 5% step-increase and rounding to the nearest allowable $5 increment:</w:t>
            </w:r>
          </w:p>
          <w:p w:rsidR="00ED449C" w:rsidP="0036244B" w:rsidRDefault="00ED449C" w14:paraId="636C28C5" w14:textId="77777777">
            <w:pPr>
              <w:tabs>
                <w:tab w:val="left" w:pos="1440"/>
              </w:tabs>
              <w:rPr>
                <w:color w:val="000000"/>
              </w:rPr>
            </w:pPr>
          </w:p>
          <w:p w:rsidR="00ED449C" w:rsidP="0036244B" w:rsidRDefault="00ED449C" w14:paraId="06DD1DA3" w14:textId="5915EB8C">
            <w:pPr>
              <w:tabs>
                <w:tab w:val="left" w:pos="1440"/>
              </w:tabs>
              <w:rPr>
                <w:color w:val="000000"/>
              </w:rPr>
            </w:pPr>
            <w:r>
              <w:rPr>
                <w:color w:val="000000"/>
              </w:rPr>
              <w:t>2025: $210.00 x 1.0846 = $230.00</w:t>
            </w:r>
          </w:p>
          <w:p w:rsidR="00ED449C" w:rsidP="0036244B" w:rsidRDefault="00ED449C" w14:paraId="734A786D" w14:textId="77777777">
            <w:pPr>
              <w:tabs>
                <w:tab w:val="left" w:pos="1440"/>
              </w:tabs>
              <w:rPr>
                <w:color w:val="000000"/>
              </w:rPr>
            </w:pPr>
          </w:p>
          <w:p w:rsidRPr="007F620E" w:rsidR="00ED449C" w:rsidP="0036244B" w:rsidRDefault="00ED449C" w14:paraId="230BBC67" w14:textId="442B92C6">
            <w:pPr>
              <w:tabs>
                <w:tab w:val="left" w:pos="1440"/>
              </w:tabs>
              <w:rPr>
                <w:color w:val="000000"/>
              </w:rPr>
            </w:pPr>
            <w:r>
              <w:rPr>
                <w:color w:val="000000"/>
              </w:rPr>
              <w:t>We find the requested 2025 hourly rate of $230.00 reasonable and adopt it here.</w:t>
            </w:r>
            <w:r w:rsidR="000E0650">
              <w:rPr>
                <w:color w:val="000000"/>
              </w:rPr>
              <w:t xml:space="preserve"> Intervenor Compensation Claim Preparation is rated at ½ preparer’s normal rate, bringing the 2024 claim preparation rate to $105.00.</w:t>
            </w:r>
          </w:p>
        </w:tc>
      </w:tr>
      <w:tr w:rsidRPr="007F620E" w:rsidR="003F1C48" w:rsidTr="00625B30" w14:paraId="1085EC11" w14:textId="77777777">
        <w:tc>
          <w:tcPr>
            <w:tcW w:w="1527" w:type="dxa"/>
          </w:tcPr>
          <w:p w:rsidRPr="007F620E" w:rsidR="003F1C48" w:rsidP="0036244B" w:rsidRDefault="00AB3E6E" w14:paraId="143C6FF1" w14:textId="2509EDA2">
            <w:pPr>
              <w:tabs>
                <w:tab w:val="left" w:pos="1440"/>
              </w:tabs>
              <w:rPr>
                <w:color w:val="000000"/>
              </w:rPr>
            </w:pPr>
            <w:r>
              <w:rPr>
                <w:color w:val="000000"/>
              </w:rPr>
              <w:t>[4] Matthew Freedman 2024 and 2025 Hourly Rates</w:t>
            </w:r>
          </w:p>
        </w:tc>
        <w:tc>
          <w:tcPr>
            <w:tcW w:w="7833" w:type="dxa"/>
          </w:tcPr>
          <w:p w:rsidR="00AB3E6E" w:rsidP="00AB3E6E" w:rsidRDefault="00AB3E6E" w14:paraId="532B6336" w14:textId="14A15D36">
            <w:pPr>
              <w:tabs>
                <w:tab w:val="left" w:pos="1440"/>
              </w:tabs>
              <w:rPr>
                <w:color w:val="000000"/>
              </w:rPr>
            </w:pPr>
            <w:r w:rsidRPr="00AB3E6E">
              <w:rPr>
                <w:color w:val="000000"/>
              </w:rPr>
              <w:t>D.24-09-015</w:t>
            </w:r>
            <w:r>
              <w:rPr>
                <w:color w:val="000000"/>
              </w:rPr>
              <w:t xml:space="preserve"> verified a 2024 hourly rate of $740.00. We apply the same rate here.</w:t>
            </w:r>
          </w:p>
          <w:p w:rsidRPr="00AB3E6E" w:rsidR="00AB3E6E" w:rsidP="00AB3E6E" w:rsidRDefault="00AB3E6E" w14:paraId="3FB94747" w14:textId="77777777">
            <w:pPr>
              <w:tabs>
                <w:tab w:val="left" w:pos="1440"/>
              </w:tabs>
              <w:rPr>
                <w:color w:val="000000"/>
              </w:rPr>
            </w:pPr>
          </w:p>
          <w:p w:rsidRPr="007F620E" w:rsidR="00AB3E6E" w:rsidP="00AB3E6E" w:rsidRDefault="00AB3E6E" w14:paraId="6D9F3A21" w14:textId="08936F02">
            <w:pPr>
              <w:tabs>
                <w:tab w:val="left" w:pos="1440"/>
              </w:tabs>
              <w:rPr>
                <w:color w:val="000000"/>
              </w:rPr>
            </w:pPr>
            <w:r w:rsidRPr="00AB3E6E">
              <w:rPr>
                <w:color w:val="000000"/>
              </w:rPr>
              <w:t>D.</w:t>
            </w:r>
            <w:r w:rsidR="00DF1FD7">
              <w:rPr>
                <w:color w:val="000000"/>
              </w:rPr>
              <w:t>25-10-059</w:t>
            </w:r>
            <w:r>
              <w:rPr>
                <w:color w:val="000000"/>
              </w:rPr>
              <w:t xml:space="preserve"> </w:t>
            </w:r>
            <w:proofErr w:type="gramStart"/>
            <w:r>
              <w:rPr>
                <w:color w:val="000000"/>
              </w:rPr>
              <w:t>verified</w:t>
            </w:r>
            <w:proofErr w:type="gramEnd"/>
            <w:r>
              <w:rPr>
                <w:color w:val="000000"/>
              </w:rPr>
              <w:t xml:space="preserve"> a 2025 hourly rate of $795.00. We apply the same rate here.</w:t>
            </w:r>
          </w:p>
        </w:tc>
      </w:tr>
      <w:tr w:rsidRPr="007F620E" w:rsidR="003F1C48" w:rsidTr="00625B30" w14:paraId="54D081DD" w14:textId="77777777">
        <w:tc>
          <w:tcPr>
            <w:tcW w:w="1527" w:type="dxa"/>
          </w:tcPr>
          <w:p w:rsidRPr="007F620E" w:rsidR="003F1C48" w:rsidP="0036244B" w:rsidRDefault="009C3F6E" w14:paraId="64BE2128" w14:textId="1318DB6D">
            <w:pPr>
              <w:tabs>
                <w:tab w:val="left" w:pos="1440"/>
              </w:tabs>
              <w:rPr>
                <w:color w:val="000000"/>
              </w:rPr>
            </w:pPr>
            <w:r>
              <w:rPr>
                <w:color w:val="000000"/>
              </w:rPr>
              <w:t xml:space="preserve">[5] </w:t>
            </w:r>
            <w:r w:rsidRPr="009C3F6E">
              <w:rPr>
                <w:color w:val="000000"/>
              </w:rPr>
              <w:t xml:space="preserve">Reina </w:t>
            </w:r>
            <w:proofErr w:type="spellStart"/>
            <w:r w:rsidRPr="009C3F6E">
              <w:rPr>
                <w:color w:val="000000"/>
              </w:rPr>
              <w:t>Yanagiba</w:t>
            </w:r>
            <w:proofErr w:type="spellEnd"/>
            <w:r>
              <w:rPr>
                <w:color w:val="000000"/>
              </w:rPr>
              <w:t xml:space="preserve"> 2024 and 2025 Hourly Rates</w:t>
            </w:r>
          </w:p>
        </w:tc>
        <w:tc>
          <w:tcPr>
            <w:tcW w:w="7833" w:type="dxa"/>
          </w:tcPr>
          <w:p w:rsidR="003F1C48" w:rsidP="0036244B" w:rsidRDefault="009C39F4" w14:paraId="1515EB6C" w14:textId="77777777">
            <w:pPr>
              <w:tabs>
                <w:tab w:val="left" w:pos="1440"/>
              </w:tabs>
              <w:rPr>
                <w:color w:val="000000"/>
              </w:rPr>
            </w:pPr>
            <w:r w:rsidRPr="009C39F4">
              <w:rPr>
                <w:color w:val="000000"/>
              </w:rPr>
              <w:t>TURN requested a 2024 hourly rate of $</w:t>
            </w:r>
            <w:r>
              <w:rPr>
                <w:color w:val="000000"/>
              </w:rPr>
              <w:t>100</w:t>
            </w:r>
            <w:r w:rsidRPr="009C39F4">
              <w:rPr>
                <w:color w:val="000000"/>
              </w:rPr>
              <w:t xml:space="preserve">.00 as a Legal – </w:t>
            </w:r>
            <w:r>
              <w:rPr>
                <w:color w:val="000000"/>
              </w:rPr>
              <w:t>Paralegal</w:t>
            </w:r>
            <w:r w:rsidRPr="009C39F4">
              <w:rPr>
                <w:color w:val="000000"/>
              </w:rPr>
              <w:t xml:space="preserve"> – I and 2025 hourly rate of $</w:t>
            </w:r>
            <w:r>
              <w:rPr>
                <w:color w:val="000000"/>
              </w:rPr>
              <w:t>125</w:t>
            </w:r>
            <w:r w:rsidRPr="009C39F4">
              <w:rPr>
                <w:color w:val="000000"/>
              </w:rPr>
              <w:t xml:space="preserve">.00 as a Legal – </w:t>
            </w:r>
            <w:r>
              <w:rPr>
                <w:color w:val="000000"/>
              </w:rPr>
              <w:t>Paralegal</w:t>
            </w:r>
            <w:r w:rsidRPr="009C39F4">
              <w:rPr>
                <w:color w:val="000000"/>
              </w:rPr>
              <w:t xml:space="preserve"> – </w:t>
            </w:r>
            <w:r>
              <w:rPr>
                <w:color w:val="000000"/>
              </w:rPr>
              <w:t>II</w:t>
            </w:r>
            <w:r w:rsidRPr="009C39F4">
              <w:rPr>
                <w:color w:val="000000"/>
              </w:rPr>
              <w:t>.</w:t>
            </w:r>
          </w:p>
          <w:p w:rsidR="009C39F4" w:rsidP="0036244B" w:rsidRDefault="009C39F4" w14:paraId="502BB1AF" w14:textId="77777777">
            <w:pPr>
              <w:tabs>
                <w:tab w:val="left" w:pos="1440"/>
              </w:tabs>
              <w:rPr>
                <w:color w:val="000000"/>
              </w:rPr>
            </w:pPr>
          </w:p>
          <w:p w:rsidR="009C39F4" w:rsidP="0036244B" w:rsidRDefault="009C39F4" w14:paraId="38A67AFF" w14:textId="77777777">
            <w:pPr>
              <w:tabs>
                <w:tab w:val="left" w:pos="1440"/>
              </w:tabs>
              <w:rPr>
                <w:color w:val="000000"/>
              </w:rPr>
            </w:pPr>
            <w:r>
              <w:rPr>
                <w:color w:val="000000"/>
              </w:rPr>
              <w:t>D.24-06-021 verified a 2024 hourly rate of $100.00 as a Legal – Paralegal – I. We apply the same rate here.</w:t>
            </w:r>
          </w:p>
          <w:p w:rsidR="009C39F4" w:rsidP="0036244B" w:rsidRDefault="009C39F4" w14:paraId="79639908" w14:textId="77777777">
            <w:pPr>
              <w:tabs>
                <w:tab w:val="left" w:pos="1440"/>
              </w:tabs>
              <w:rPr>
                <w:color w:val="000000"/>
              </w:rPr>
            </w:pPr>
          </w:p>
          <w:p w:rsidR="009C39F4" w:rsidP="0036244B" w:rsidRDefault="009C39F4" w14:paraId="3571251E" w14:textId="77777777">
            <w:pPr>
              <w:tabs>
                <w:tab w:val="left" w:pos="1440"/>
              </w:tabs>
              <w:rPr>
                <w:color w:val="000000"/>
              </w:rPr>
            </w:pPr>
            <w:r>
              <w:rPr>
                <w:color w:val="000000"/>
              </w:rPr>
              <w:t>Review of the submitted resume found 2+ years of relevant experience as a Paralegal at the time of filing, qualifying as a Legal – Paralegal – II. Per the Market Rate Study Hourly Rate Chart, the 2025 rate range for a Paralegal – II is $123.36 to $184.32</w:t>
            </w:r>
            <w:r w:rsidR="000E0650">
              <w:rPr>
                <w:color w:val="000000"/>
              </w:rPr>
              <w:t>, with a median of $151.64. We find the requested 2025 hourly rate of $125.00 as a Legal – Paralegal – II reasonable and adopt it here.</w:t>
            </w:r>
          </w:p>
          <w:p w:rsidR="000E0650" w:rsidP="0036244B" w:rsidRDefault="000E0650" w14:paraId="1B2BFAAA" w14:textId="77777777">
            <w:pPr>
              <w:tabs>
                <w:tab w:val="left" w:pos="1440"/>
              </w:tabs>
              <w:rPr>
                <w:color w:val="000000"/>
              </w:rPr>
            </w:pPr>
          </w:p>
          <w:p w:rsidRPr="007F620E" w:rsidR="000E0650" w:rsidP="0036244B" w:rsidRDefault="000E0650" w14:paraId="6D0ADD16" w14:textId="08EE6B18">
            <w:pPr>
              <w:tabs>
                <w:tab w:val="left" w:pos="1440"/>
              </w:tabs>
              <w:rPr>
                <w:color w:val="000000"/>
              </w:rPr>
            </w:pPr>
            <w:r>
              <w:rPr>
                <w:color w:val="000000"/>
              </w:rPr>
              <w:t>Intervenor Compensation Claim Preparation is rated at ½ preparer’s normal rate, bringing the 2025 claim preparation rate to $62.50.</w:t>
            </w:r>
          </w:p>
        </w:tc>
      </w:tr>
      <w:tr w:rsidRPr="007F620E" w:rsidR="003F1C48" w:rsidTr="00625B30" w14:paraId="5E62CB27" w14:textId="77777777">
        <w:tc>
          <w:tcPr>
            <w:tcW w:w="1527" w:type="dxa"/>
          </w:tcPr>
          <w:p w:rsidRPr="007F620E" w:rsidR="003F1C48" w:rsidP="0036244B" w:rsidRDefault="009C3F6E" w14:paraId="5E12D247" w14:textId="7F861D81">
            <w:pPr>
              <w:tabs>
                <w:tab w:val="left" w:pos="1440"/>
              </w:tabs>
              <w:rPr>
                <w:color w:val="000000"/>
              </w:rPr>
            </w:pPr>
            <w:r>
              <w:rPr>
                <w:color w:val="000000"/>
              </w:rPr>
              <w:lastRenderedPageBreak/>
              <w:t>[6] Sylvie Ashford 2024 and 2025 Hourly Rates</w:t>
            </w:r>
          </w:p>
        </w:tc>
        <w:tc>
          <w:tcPr>
            <w:tcW w:w="7833" w:type="dxa"/>
          </w:tcPr>
          <w:p w:rsidR="00E9475E" w:rsidP="0036244B" w:rsidRDefault="00E9475E" w14:paraId="6D072B18" w14:textId="56A001BD">
            <w:pPr>
              <w:tabs>
                <w:tab w:val="left" w:pos="1440"/>
              </w:tabs>
              <w:rPr>
                <w:color w:val="000000"/>
              </w:rPr>
            </w:pPr>
            <w:r w:rsidRPr="00E9475E">
              <w:rPr>
                <w:color w:val="000000"/>
              </w:rPr>
              <w:t xml:space="preserve">TURN </w:t>
            </w:r>
            <w:r w:rsidR="00FF6424">
              <w:rPr>
                <w:color w:val="000000"/>
              </w:rPr>
              <w:t>requested a 2024</w:t>
            </w:r>
            <w:r w:rsidR="00580EF6">
              <w:rPr>
                <w:color w:val="000000"/>
              </w:rPr>
              <w:t xml:space="preserve"> </w:t>
            </w:r>
            <w:r w:rsidR="00FF6424">
              <w:rPr>
                <w:color w:val="000000"/>
              </w:rPr>
              <w:t>hourly rate of $245.00 as a</w:t>
            </w:r>
            <w:r w:rsidR="00580EF6">
              <w:rPr>
                <w:color w:val="000000"/>
              </w:rPr>
              <w:t>n</w:t>
            </w:r>
            <w:r w:rsidR="00FF6424">
              <w:rPr>
                <w:color w:val="000000"/>
              </w:rPr>
              <w:t xml:space="preserve"> </w:t>
            </w:r>
            <w:r w:rsidR="00580EF6">
              <w:rPr>
                <w:color w:val="000000"/>
              </w:rPr>
              <w:t>Expert – Public Policy Analyst - I</w:t>
            </w:r>
            <w:r w:rsidR="00FF6424">
              <w:rPr>
                <w:color w:val="000000"/>
              </w:rPr>
              <w:t xml:space="preserve"> and a 2025 hourly rate of $265.00 as a</w:t>
            </w:r>
            <w:r w:rsidR="00580EF6">
              <w:rPr>
                <w:color w:val="000000"/>
              </w:rPr>
              <w:t>n</w:t>
            </w:r>
            <w:r w:rsidR="00FF6424">
              <w:rPr>
                <w:color w:val="000000"/>
              </w:rPr>
              <w:t xml:space="preserve"> </w:t>
            </w:r>
            <w:r w:rsidR="00580EF6">
              <w:rPr>
                <w:color w:val="000000"/>
              </w:rPr>
              <w:t>Expert – Public Policy Analyst - II</w:t>
            </w:r>
            <w:r w:rsidR="00FF6424">
              <w:rPr>
                <w:color w:val="000000"/>
              </w:rPr>
              <w:t xml:space="preserve">. </w:t>
            </w:r>
            <w:r w:rsidR="00580EF6">
              <w:rPr>
                <w:color w:val="000000"/>
              </w:rPr>
              <w:t xml:space="preserve">We note TURN’s requested hourly rate was based on the 2024 escalation rate of 3.46% and the first available step-increase as an </w:t>
            </w:r>
            <w:r w:rsidR="00427496">
              <w:rPr>
                <w:color w:val="000000"/>
              </w:rPr>
              <w:t xml:space="preserve">Expert – Public Policy </w:t>
            </w:r>
            <w:r w:rsidR="00580EF6">
              <w:rPr>
                <w:color w:val="000000"/>
              </w:rPr>
              <w:t>Analyst – II.</w:t>
            </w:r>
          </w:p>
          <w:p w:rsidR="00E9475E" w:rsidP="0036244B" w:rsidRDefault="00E9475E" w14:paraId="61C8233D" w14:textId="77777777">
            <w:pPr>
              <w:tabs>
                <w:tab w:val="left" w:pos="1440"/>
              </w:tabs>
              <w:rPr>
                <w:color w:val="000000"/>
              </w:rPr>
            </w:pPr>
          </w:p>
          <w:p w:rsidR="00E9475E" w:rsidP="00E9475E" w:rsidRDefault="005F3413" w14:paraId="1EF2F7CC" w14:textId="2511849F">
            <w:pPr>
              <w:tabs>
                <w:tab w:val="left" w:pos="1440"/>
              </w:tabs>
              <w:rPr>
                <w:color w:val="000000"/>
              </w:rPr>
            </w:pPr>
            <w:r w:rsidRPr="005F3413">
              <w:rPr>
                <w:color w:val="000000"/>
              </w:rPr>
              <w:t>D.25-06-030</w:t>
            </w:r>
            <w:r>
              <w:rPr>
                <w:color w:val="000000"/>
              </w:rPr>
              <w:t xml:space="preserve"> verified a 2024 hourly rate of $245.00 as an Expert – Public Policy Analyst – I. We apply the same rate here.</w:t>
            </w:r>
            <w:r w:rsidRPr="00E9475E" w:rsidR="00E9475E">
              <w:rPr>
                <w:color w:val="000000"/>
              </w:rPr>
              <w:t xml:space="preserve"> </w:t>
            </w:r>
          </w:p>
          <w:p w:rsidR="00D26323" w:rsidP="00E9475E" w:rsidRDefault="00D26323" w14:paraId="1E6C16B9" w14:textId="77777777">
            <w:pPr>
              <w:tabs>
                <w:tab w:val="left" w:pos="1440"/>
              </w:tabs>
              <w:rPr>
                <w:color w:val="000000"/>
              </w:rPr>
            </w:pPr>
          </w:p>
          <w:p w:rsidR="003E4D44" w:rsidP="00FF375B" w:rsidRDefault="008D4F95" w14:paraId="211C357F" w14:textId="178086BE">
            <w:pPr>
              <w:tabs>
                <w:tab w:val="left" w:pos="1440"/>
              </w:tabs>
              <w:rPr>
                <w:color w:val="000000"/>
              </w:rPr>
            </w:pPr>
            <w:r>
              <w:rPr>
                <w:color w:val="000000"/>
              </w:rPr>
              <w:t>Review</w:t>
            </w:r>
            <w:r w:rsidRPr="009344F4">
              <w:rPr>
                <w:color w:val="000000"/>
              </w:rPr>
              <w:t xml:space="preserve"> of the submitted resume found 2+ years of relevant experience as a Public Policy Analyst, beginning with NRDC in September 2022, at the time of filing. </w:t>
            </w:r>
            <w:r>
              <w:rPr>
                <w:color w:val="000000"/>
              </w:rPr>
              <w:t xml:space="preserve">We, therefore, find Sylvie Ashford qualifies </w:t>
            </w:r>
            <w:r w:rsidR="00754B8D">
              <w:rPr>
                <w:color w:val="000000"/>
              </w:rPr>
              <w:t>as an Expert – Public Policy Analyst – II at the time of filing and adopt the new experience level</w:t>
            </w:r>
            <w:r w:rsidR="00FF375B">
              <w:rPr>
                <w:color w:val="000000"/>
              </w:rPr>
              <w:t xml:space="preserve"> for 2025</w:t>
            </w:r>
            <w:r w:rsidR="00754B8D">
              <w:rPr>
                <w:color w:val="000000"/>
              </w:rPr>
              <w:t>.</w:t>
            </w:r>
            <w:r w:rsidR="00FF375B">
              <w:rPr>
                <w:color w:val="000000"/>
              </w:rPr>
              <w:t xml:space="preserve"> </w:t>
            </w:r>
            <w:r w:rsidRPr="009344F4">
              <w:rPr>
                <w:color w:val="000000"/>
              </w:rPr>
              <w:t xml:space="preserve">Per the Market Rate Study Hourly Rate Chart, the 2025 rate range for an Expert – Public Policy Analyst – II is $204.98 to $348.40, with a median of $271.94. </w:t>
            </w:r>
            <w:r w:rsidR="00FF375B">
              <w:rPr>
                <w:color w:val="000000"/>
              </w:rPr>
              <w:t>We find a 2025 rate of $250.00 as an Expert – Public Policy Expert – II reasonable and adopt it here.</w:t>
            </w:r>
          </w:p>
          <w:p w:rsidR="00754B8D" w:rsidP="00D41714" w:rsidRDefault="00754B8D" w14:paraId="5A6ED268" w14:textId="77777777">
            <w:pPr>
              <w:tabs>
                <w:tab w:val="left" w:pos="1440"/>
              </w:tabs>
              <w:rPr>
                <w:color w:val="000000"/>
              </w:rPr>
            </w:pPr>
          </w:p>
          <w:p w:rsidR="00754B8D" w:rsidP="00D41714" w:rsidRDefault="00754B8D" w14:paraId="5FA6A3D9" w14:textId="000003F7">
            <w:pPr>
              <w:tabs>
                <w:tab w:val="left" w:pos="1440"/>
              </w:tabs>
              <w:rPr>
                <w:color w:val="000000"/>
              </w:rPr>
            </w:pPr>
            <w:r>
              <w:rPr>
                <w:color w:val="000000"/>
              </w:rPr>
              <w:t xml:space="preserve">Additionally, TURN requested the first 5% step-increase as an Expert – Public Policy Analyst – II, therefore, </w:t>
            </w:r>
            <w:r w:rsidR="003E4D44">
              <w:rPr>
                <w:color w:val="000000"/>
              </w:rPr>
              <w:t>we find the following:</w:t>
            </w:r>
          </w:p>
          <w:p w:rsidR="003E4D44" w:rsidP="00D41714" w:rsidRDefault="003E4D44" w14:paraId="5BDBC988" w14:textId="77777777">
            <w:pPr>
              <w:tabs>
                <w:tab w:val="left" w:pos="1440"/>
              </w:tabs>
              <w:rPr>
                <w:color w:val="000000"/>
              </w:rPr>
            </w:pPr>
          </w:p>
          <w:p w:rsidR="003E4D44" w:rsidP="00D41714" w:rsidRDefault="003E4D44" w14:paraId="4C9F44DC" w14:textId="02F19A78">
            <w:pPr>
              <w:tabs>
                <w:tab w:val="left" w:pos="1440"/>
              </w:tabs>
              <w:rPr>
                <w:color w:val="000000"/>
              </w:rPr>
            </w:pPr>
            <w:r>
              <w:rPr>
                <w:color w:val="000000"/>
              </w:rPr>
              <w:t>2025: $25</w:t>
            </w:r>
            <w:r w:rsidR="00FF375B">
              <w:rPr>
                <w:color w:val="000000"/>
              </w:rPr>
              <w:t>0</w:t>
            </w:r>
            <w:r>
              <w:rPr>
                <w:color w:val="000000"/>
              </w:rPr>
              <w:t>.00 x 1.05 = $2</w:t>
            </w:r>
            <w:r w:rsidR="00FF375B">
              <w:rPr>
                <w:color w:val="000000"/>
              </w:rPr>
              <w:t>65</w:t>
            </w:r>
            <w:r>
              <w:rPr>
                <w:color w:val="000000"/>
              </w:rPr>
              <w:t>.00</w:t>
            </w:r>
          </w:p>
          <w:p w:rsidR="003E4D44" w:rsidP="00D41714" w:rsidRDefault="003E4D44" w14:paraId="6D83434F" w14:textId="77777777">
            <w:pPr>
              <w:tabs>
                <w:tab w:val="left" w:pos="1440"/>
              </w:tabs>
              <w:rPr>
                <w:color w:val="000000"/>
              </w:rPr>
            </w:pPr>
          </w:p>
          <w:p w:rsidRPr="007F620E" w:rsidR="00427496" w:rsidP="00E9475E" w:rsidRDefault="003E4D44" w14:paraId="1319C337" w14:textId="61A92F75">
            <w:pPr>
              <w:tabs>
                <w:tab w:val="left" w:pos="1440"/>
              </w:tabs>
              <w:rPr>
                <w:color w:val="000000"/>
              </w:rPr>
            </w:pPr>
            <w:r>
              <w:rPr>
                <w:color w:val="000000"/>
              </w:rPr>
              <w:t>We find the 2025 hourly rate of $2</w:t>
            </w:r>
            <w:r w:rsidR="00FF375B">
              <w:rPr>
                <w:color w:val="000000"/>
              </w:rPr>
              <w:t>65</w:t>
            </w:r>
            <w:r>
              <w:rPr>
                <w:color w:val="000000"/>
              </w:rPr>
              <w:t xml:space="preserve">.00 for Sylvie Ashford as an Expert – Public Policy Analyst – II reasonable and adopt it here. We reiterate </w:t>
            </w:r>
            <w:r w:rsidR="00EE62E2">
              <w:rPr>
                <w:color w:val="000000"/>
              </w:rPr>
              <w:t xml:space="preserve">the adopted rate </w:t>
            </w:r>
            <w:r w:rsidR="00EE62E2">
              <w:rPr>
                <w:i/>
                <w:iCs/>
                <w:color w:val="000000"/>
              </w:rPr>
              <w:t>includes</w:t>
            </w:r>
            <w:r w:rsidR="00EE62E2">
              <w:rPr>
                <w:color w:val="000000"/>
              </w:rPr>
              <w:t xml:space="preserve"> the first available step-increase in the </w:t>
            </w:r>
            <w:r w:rsidR="00EE62E2">
              <w:rPr>
                <w:i/>
                <w:iCs/>
                <w:color w:val="000000"/>
              </w:rPr>
              <w:t>new</w:t>
            </w:r>
            <w:r w:rsidR="00EE62E2">
              <w:rPr>
                <w:color w:val="000000"/>
              </w:rPr>
              <w:t xml:space="preserve"> experience level of Public Policy Analyst – II.</w:t>
            </w:r>
          </w:p>
        </w:tc>
      </w:tr>
      <w:tr w:rsidRPr="007F620E" w:rsidR="003F1C48" w:rsidTr="00625B30" w14:paraId="05E0D530" w14:textId="77777777">
        <w:tc>
          <w:tcPr>
            <w:tcW w:w="1527" w:type="dxa"/>
          </w:tcPr>
          <w:p w:rsidRPr="007F620E" w:rsidR="003F1C48" w:rsidP="0036244B" w:rsidRDefault="00757D76" w14:paraId="0F187D86" w14:textId="132AA88F">
            <w:pPr>
              <w:tabs>
                <w:tab w:val="left" w:pos="1440"/>
              </w:tabs>
              <w:rPr>
                <w:color w:val="000000"/>
              </w:rPr>
            </w:pPr>
            <w:r>
              <w:rPr>
                <w:color w:val="000000"/>
              </w:rPr>
              <w:t>[7] Jessica Hecht 2024 and 2025 Consultant Rates</w:t>
            </w:r>
          </w:p>
        </w:tc>
        <w:tc>
          <w:tcPr>
            <w:tcW w:w="7833" w:type="dxa"/>
          </w:tcPr>
          <w:p w:rsidRPr="008E0EC9" w:rsidR="008E0EC9" w:rsidP="008E0EC9" w:rsidRDefault="008E0EC9" w14:paraId="08BA389C" w14:textId="204CD0CC">
            <w:pPr>
              <w:tabs>
                <w:tab w:val="left" w:pos="1440"/>
              </w:tabs>
              <w:rPr>
                <w:color w:val="000000"/>
              </w:rPr>
            </w:pPr>
            <w:r>
              <w:rPr>
                <w:color w:val="000000"/>
              </w:rPr>
              <w:t xml:space="preserve">TURN </w:t>
            </w:r>
            <w:r w:rsidRPr="008E0EC9">
              <w:rPr>
                <w:color w:val="000000"/>
              </w:rPr>
              <w:t xml:space="preserve">has confirmed that </w:t>
            </w:r>
            <w:r>
              <w:rPr>
                <w:color w:val="000000"/>
              </w:rPr>
              <w:t>Jessica Hecht</w:t>
            </w:r>
            <w:r w:rsidRPr="008E0EC9">
              <w:rPr>
                <w:color w:val="000000"/>
              </w:rPr>
              <w:t xml:space="preserve"> is a consultant</w:t>
            </w:r>
            <w:r>
              <w:rPr>
                <w:color w:val="000000"/>
              </w:rPr>
              <w:t>.</w:t>
            </w:r>
            <w:r w:rsidRPr="008E0EC9">
              <w:rPr>
                <w:color w:val="000000"/>
              </w:rPr>
              <w:t xml:space="preserve"> </w:t>
            </w:r>
            <w:r w:rsidR="00427496">
              <w:rPr>
                <w:color w:val="000000"/>
              </w:rPr>
              <w:t xml:space="preserve">Pursuant to Commission policy, </w:t>
            </w:r>
            <w:r w:rsidRPr="008E0EC9">
              <w:rPr>
                <w:color w:val="000000"/>
              </w:rPr>
              <w:t xml:space="preserve">the </w:t>
            </w:r>
            <w:proofErr w:type="spellStart"/>
            <w:r w:rsidRPr="008E0EC9">
              <w:rPr>
                <w:color w:val="000000"/>
              </w:rPr>
              <w:t>IComp</w:t>
            </w:r>
            <w:proofErr w:type="spellEnd"/>
            <w:r w:rsidRPr="008E0EC9">
              <w:rPr>
                <w:color w:val="000000"/>
              </w:rPr>
              <w:t xml:space="preserve"> Program Guide at 24, the Commission may audit the records and books of the intervenors to the extent necessary to verify the basis for the award (§ 1804(d)).</w:t>
            </w:r>
          </w:p>
          <w:p w:rsidRPr="008E0EC9" w:rsidR="008E0EC9" w:rsidP="008E0EC9" w:rsidRDefault="008E0EC9" w14:paraId="6B1A7523" w14:textId="77777777">
            <w:pPr>
              <w:tabs>
                <w:tab w:val="left" w:pos="1440"/>
              </w:tabs>
              <w:rPr>
                <w:color w:val="000000"/>
              </w:rPr>
            </w:pPr>
          </w:p>
          <w:p w:rsidRPr="008E0EC9" w:rsidR="008E0EC9" w:rsidP="008E0EC9" w:rsidRDefault="008E0EC9" w14:paraId="710CAFF4" w14:textId="2B194B0D">
            <w:pPr>
              <w:tabs>
                <w:tab w:val="left" w:pos="1440"/>
              </w:tabs>
              <w:rPr>
                <w:color w:val="000000"/>
              </w:rPr>
            </w:pPr>
            <w:r>
              <w:rPr>
                <w:color w:val="000000"/>
              </w:rPr>
              <w:t>TURN</w:t>
            </w:r>
            <w:r w:rsidRPr="008E0EC9">
              <w:rPr>
                <w:color w:val="000000"/>
              </w:rPr>
              <w:t xml:space="preserve"> has confirmed that it paid </w:t>
            </w:r>
            <w:r>
              <w:rPr>
                <w:color w:val="000000"/>
              </w:rPr>
              <w:t>Jessica Hecht</w:t>
            </w:r>
            <w:r w:rsidR="0055073D">
              <w:rPr>
                <w:color w:val="000000"/>
              </w:rPr>
              <w:t xml:space="preserve"> </w:t>
            </w:r>
            <w:r>
              <w:rPr>
                <w:color w:val="000000"/>
              </w:rPr>
              <w:t xml:space="preserve">$750.00 </w:t>
            </w:r>
            <w:r w:rsidRPr="008E0EC9">
              <w:rPr>
                <w:color w:val="000000"/>
              </w:rPr>
              <w:t xml:space="preserve">per hour for work in this proceeding. We find this rate reasonable given </w:t>
            </w:r>
            <w:r w:rsidR="00427496">
              <w:rPr>
                <w:color w:val="000000"/>
              </w:rPr>
              <w:t>Jessica Hecht’s</w:t>
            </w:r>
            <w:r w:rsidRPr="008E0EC9">
              <w:rPr>
                <w:color w:val="000000"/>
              </w:rPr>
              <w:t xml:space="preserve"> </w:t>
            </w:r>
            <w:proofErr w:type="gramStart"/>
            <w:r w:rsidRPr="008E0EC9">
              <w:rPr>
                <w:color w:val="000000"/>
              </w:rPr>
              <w:t>experience, and</w:t>
            </w:r>
            <w:proofErr w:type="gramEnd"/>
            <w:r w:rsidRPr="008E0EC9">
              <w:rPr>
                <w:color w:val="000000"/>
              </w:rPr>
              <w:t xml:space="preserve"> approve this rate here.</w:t>
            </w:r>
          </w:p>
          <w:p w:rsidRPr="008E0EC9" w:rsidR="008E0EC9" w:rsidP="008E0EC9" w:rsidRDefault="008E0EC9" w14:paraId="0EC727BE" w14:textId="77777777">
            <w:pPr>
              <w:tabs>
                <w:tab w:val="left" w:pos="1440"/>
              </w:tabs>
              <w:rPr>
                <w:color w:val="000000"/>
              </w:rPr>
            </w:pPr>
          </w:p>
          <w:p w:rsidRPr="007F620E" w:rsidR="00757D76" w:rsidP="0036244B" w:rsidRDefault="008E0EC9" w14:paraId="399435CD" w14:textId="5F7093CA">
            <w:pPr>
              <w:tabs>
                <w:tab w:val="left" w:pos="1440"/>
              </w:tabs>
              <w:rPr>
                <w:color w:val="000000"/>
              </w:rPr>
            </w:pPr>
            <w:r w:rsidRPr="008E0EC9">
              <w:rPr>
                <w:color w:val="000000"/>
              </w:rPr>
              <w:t xml:space="preserve">The award determined herein for </w:t>
            </w:r>
            <w:r w:rsidR="007878D9">
              <w:rPr>
                <w:color w:val="000000"/>
              </w:rPr>
              <w:t>Jessica Hecht</w:t>
            </w:r>
            <w:r w:rsidRPr="008E0EC9">
              <w:rPr>
                <w:color w:val="000000"/>
              </w:rPr>
              <w:t>’s contribution in this proceeding shall be paid in full to</w:t>
            </w:r>
            <w:r>
              <w:rPr>
                <w:color w:val="000000"/>
              </w:rPr>
              <w:t xml:space="preserve"> Jessica Hecht</w:t>
            </w:r>
            <w:r w:rsidRPr="008E0EC9">
              <w:rPr>
                <w:color w:val="000000"/>
              </w:rPr>
              <w:t xml:space="preserve">, and no portion of this part of the award shall be kept by </w:t>
            </w:r>
            <w:r>
              <w:rPr>
                <w:color w:val="000000"/>
              </w:rPr>
              <w:t>TURN</w:t>
            </w:r>
            <w:r w:rsidRPr="008E0EC9">
              <w:rPr>
                <w:color w:val="000000"/>
              </w:rPr>
              <w:t>. Additionally, the rates approved here are specific to work in this proceeding and the contract terms between the consultant and intervenor, as they are established in accordance with the Commission’s policy on consultant compensation.</w:t>
            </w:r>
          </w:p>
        </w:tc>
      </w:tr>
      <w:tr w:rsidRPr="007F620E" w:rsidR="00D363B1" w:rsidTr="00625B30" w14:paraId="278B28B5" w14:textId="77777777">
        <w:tc>
          <w:tcPr>
            <w:tcW w:w="1527" w:type="dxa"/>
          </w:tcPr>
          <w:p w:rsidR="00D363B1" w:rsidP="0036244B" w:rsidRDefault="00236210" w14:paraId="64A7E08F" w14:textId="26417A6A">
            <w:pPr>
              <w:tabs>
                <w:tab w:val="left" w:pos="1440"/>
              </w:tabs>
              <w:rPr>
                <w:color w:val="000000"/>
              </w:rPr>
            </w:pPr>
            <w:r>
              <w:rPr>
                <w:color w:val="000000"/>
              </w:rPr>
              <w:t>[8]</w:t>
            </w:r>
            <w:r w:rsidR="007627BF">
              <w:t xml:space="preserve"> </w:t>
            </w:r>
            <w:r w:rsidRPr="007627BF" w:rsidR="007627BF">
              <w:rPr>
                <w:color w:val="000000"/>
              </w:rPr>
              <w:t xml:space="preserve">Intervenor Responsibility </w:t>
            </w:r>
            <w:r w:rsidRPr="007627BF" w:rsidR="007627BF">
              <w:rPr>
                <w:color w:val="000000"/>
              </w:rPr>
              <w:lastRenderedPageBreak/>
              <w:t>for Transparency and Accuracy in Compensation Requests</w:t>
            </w:r>
          </w:p>
        </w:tc>
        <w:tc>
          <w:tcPr>
            <w:tcW w:w="7833" w:type="dxa"/>
          </w:tcPr>
          <w:p w:rsidRPr="00524518" w:rsidR="00524518" w:rsidP="00524518" w:rsidRDefault="00524518" w14:paraId="19530431" w14:textId="77777777">
            <w:pPr>
              <w:tabs>
                <w:tab w:val="left" w:pos="1440"/>
              </w:tabs>
              <w:rPr>
                <w:color w:val="000000"/>
              </w:rPr>
            </w:pPr>
            <w:r w:rsidRPr="00524518">
              <w:rPr>
                <w:color w:val="000000"/>
              </w:rPr>
              <w:lastRenderedPageBreak/>
              <w:t xml:space="preserve">The Commission takes this opportunity to remind all intervenors that they bear the burden of providing accurate, complete, and honest information in all </w:t>
            </w:r>
            <w:r w:rsidRPr="00524518">
              <w:rPr>
                <w:color w:val="000000"/>
              </w:rPr>
              <w:lastRenderedPageBreak/>
              <w:t>compensation requests. The Commission relies on intervenors' good faith representations, particularly regarding consultant agreements and payments, as it does not have the resources to review every contract or non-standard arrangement in detail.</w:t>
            </w:r>
          </w:p>
          <w:p w:rsidRPr="00524518" w:rsidR="00524518" w:rsidP="00524518" w:rsidRDefault="00524518" w14:paraId="20D47D2E" w14:textId="77777777">
            <w:pPr>
              <w:tabs>
                <w:tab w:val="left" w:pos="1440"/>
              </w:tabs>
              <w:rPr>
                <w:color w:val="000000"/>
              </w:rPr>
            </w:pPr>
          </w:p>
          <w:p w:rsidRPr="00524518" w:rsidR="00524518" w:rsidP="00524518" w:rsidRDefault="00524518" w14:paraId="12D31C17" w14:textId="77777777">
            <w:pPr>
              <w:tabs>
                <w:tab w:val="left" w:pos="1440"/>
              </w:tabs>
              <w:rPr>
                <w:color w:val="000000"/>
              </w:rPr>
            </w:pPr>
            <w:r w:rsidRPr="00524518">
              <w:rPr>
                <w:color w:val="000000"/>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524518" w:rsidR="00524518" w:rsidP="00524518" w:rsidRDefault="00524518" w14:paraId="47E951AE" w14:textId="77777777">
            <w:pPr>
              <w:tabs>
                <w:tab w:val="left" w:pos="1440"/>
              </w:tabs>
              <w:rPr>
                <w:color w:val="000000"/>
              </w:rPr>
            </w:pPr>
          </w:p>
          <w:p w:rsidR="00D363B1" w:rsidP="00524518" w:rsidRDefault="00524518" w14:paraId="175EB67A" w14:textId="5CEF6A4F">
            <w:pPr>
              <w:tabs>
                <w:tab w:val="left" w:pos="1440"/>
              </w:tabs>
              <w:rPr>
                <w:color w:val="000000"/>
              </w:rPr>
            </w:pPr>
            <w:r w:rsidRPr="00524518">
              <w:rPr>
                <w:color w:val="000000"/>
              </w:rPr>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7F620E" w:rsidR="00ED55FC" w:rsidP="00C44F68" w:rsidRDefault="00ED55FC" w14:paraId="7D44E1A1" w14:textId="430CEE66">
      <w:pPr>
        <w:keepNext/>
        <w:tabs>
          <w:tab w:val="left" w:pos="1260"/>
        </w:tabs>
        <w:spacing w:before="240"/>
        <w:jc w:val="center"/>
        <w:rPr>
          <w:b/>
          <w:color w:val="000000"/>
        </w:rPr>
      </w:pPr>
      <w:r w:rsidRPr="007F620E">
        <w:rPr>
          <w:b/>
          <w:color w:val="000000"/>
        </w:rPr>
        <w:lastRenderedPageBreak/>
        <w:t>PART IV</w:t>
      </w:r>
      <w:proofErr w:type="gramStart"/>
      <w:r w:rsidRPr="007F620E">
        <w:rPr>
          <w:b/>
          <w:color w:val="000000"/>
        </w:rPr>
        <w:t>:</w:t>
      </w:r>
      <w:r>
        <w:rPr>
          <w:b/>
          <w:color w:val="000000"/>
        </w:rPr>
        <w:t xml:space="preserve">  </w:t>
      </w:r>
      <w:r w:rsidRPr="007F620E">
        <w:rPr>
          <w:b/>
          <w:color w:val="000000"/>
        </w:rPr>
        <w:t>OPPOSITIONS</w:t>
      </w:r>
      <w:proofErr w:type="gramEnd"/>
      <w:r w:rsidRPr="007F620E">
        <w:rPr>
          <w:b/>
          <w:color w:val="000000"/>
        </w:rPr>
        <w:t xml:space="preserve"> AND COMMENTS</w:t>
      </w:r>
    </w:p>
    <w:p w:rsidR="00ED55FC" w:rsidP="00ED55FC" w:rsidRDefault="00ED55FC" w14:paraId="5690C7A9"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ED55FC" w:rsidP="00ED55FC" w:rsidRDefault="00ED55FC" w14:paraId="0B488713" w14:textId="77777777">
      <w:pPr>
        <w:keepNext/>
        <w:tabs>
          <w:tab w:val="left" w:pos="1260"/>
        </w:tabs>
        <w:spacing w:after="240"/>
        <w:ind w:left="1267" w:hanging="1267"/>
        <w:jc w:val="center"/>
        <w:rPr>
          <w:b/>
          <w:color w:val="000000"/>
        </w:rPr>
      </w:pPr>
      <w:r>
        <w:rPr>
          <w:b/>
          <w:color w:val="000000"/>
        </w:rPr>
        <w:t xml:space="preserve"> </w:t>
      </w:r>
      <w:r w:rsidRPr="007F620E">
        <w:rPr>
          <w:b/>
          <w:color w:val="000000"/>
        </w:rPr>
        <w:t>or any other party may file a response to the Claim (</w:t>
      </w:r>
      <w:r w:rsidRPr="007F620E">
        <w:rPr>
          <w:b/>
          <w:i/>
          <w:color w:val="000000"/>
        </w:rPr>
        <w:t>see</w:t>
      </w:r>
      <w:r w:rsidRPr="007F620E">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ED55FC" w:rsidTr="0036244B" w14:paraId="60184680" w14:textId="77777777">
        <w:tc>
          <w:tcPr>
            <w:tcW w:w="7336" w:type="dxa"/>
          </w:tcPr>
          <w:p w:rsidRPr="007F620E" w:rsidR="00ED55FC" w:rsidP="0036244B" w:rsidRDefault="00ED55FC" w14:paraId="078B581B" w14:textId="77777777">
            <w:pPr>
              <w:ind w:left="360" w:hanging="360"/>
              <w:rPr>
                <w:color w:val="000000"/>
              </w:rPr>
            </w:pPr>
            <w:r w:rsidRPr="007F620E">
              <w:rPr>
                <w:b/>
                <w:color w:val="000000"/>
              </w:rPr>
              <w:t>A.</w:t>
            </w:r>
            <w:r>
              <w:rPr>
                <w:b/>
                <w:color w:val="000000"/>
              </w:rPr>
              <w:tab/>
            </w:r>
            <w:r w:rsidRPr="007F620E">
              <w:rPr>
                <w:b/>
                <w:color w:val="000000"/>
              </w:rPr>
              <w:t>Opposition:  Did any party oppose the Claim?</w:t>
            </w:r>
          </w:p>
        </w:tc>
        <w:tc>
          <w:tcPr>
            <w:tcW w:w="2024" w:type="dxa"/>
          </w:tcPr>
          <w:p w:rsidRPr="007F620E" w:rsidR="00ED55FC" w:rsidP="003F1C48" w:rsidRDefault="003F1C48" w14:paraId="07BFB1E5" w14:textId="066B6654">
            <w:pPr>
              <w:jc w:val="center"/>
              <w:rPr>
                <w:color w:val="000000"/>
              </w:rPr>
            </w:pPr>
            <w:r>
              <w:rPr>
                <w:color w:val="000000"/>
              </w:rPr>
              <w:t>No</w:t>
            </w:r>
          </w:p>
        </w:tc>
      </w:tr>
    </w:tbl>
    <w:p w:rsidRPr="007F620E" w:rsidR="00ED55FC" w:rsidP="00ED55FC" w:rsidRDefault="00ED55FC" w14:paraId="631BE426"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ED55FC" w:rsidTr="0036244B" w14:paraId="478AE9AB" w14:textId="77777777">
        <w:tc>
          <w:tcPr>
            <w:tcW w:w="7488" w:type="dxa"/>
          </w:tcPr>
          <w:p w:rsidRPr="007F620E" w:rsidR="00ED55FC" w:rsidP="0036244B" w:rsidRDefault="00ED55FC" w14:paraId="4CB08777" w14:textId="77777777">
            <w:pPr>
              <w:ind w:left="360" w:hanging="360"/>
              <w:rPr>
                <w:color w:val="000000"/>
              </w:rPr>
            </w:pPr>
            <w:r w:rsidRPr="007F620E">
              <w:rPr>
                <w:b/>
                <w:color w:val="000000"/>
              </w:rPr>
              <w:t>B.</w:t>
            </w:r>
            <w:r>
              <w:rPr>
                <w:b/>
                <w:color w:val="000000"/>
              </w:rPr>
              <w:tab/>
            </w:r>
            <w:r w:rsidRPr="007F620E">
              <w:rPr>
                <w:b/>
                <w:color w:val="000000"/>
              </w:rPr>
              <w:t>Comment Period:  Was the 30-day comment period waived (</w:t>
            </w:r>
            <w:r w:rsidRPr="007F620E">
              <w:rPr>
                <w:b/>
                <w:i/>
                <w:color w:val="000000"/>
              </w:rPr>
              <w:t>see</w:t>
            </w:r>
            <w:r>
              <w:rPr>
                <w:b/>
                <w:color w:val="000000"/>
              </w:rPr>
              <w:t> </w:t>
            </w:r>
            <w:r w:rsidRPr="007F620E">
              <w:rPr>
                <w:b/>
                <w:color w:val="000000"/>
              </w:rPr>
              <w:t>Rule 14.6(c)(6))?</w:t>
            </w:r>
          </w:p>
        </w:tc>
        <w:tc>
          <w:tcPr>
            <w:tcW w:w="2070" w:type="dxa"/>
          </w:tcPr>
          <w:p w:rsidRPr="007F620E" w:rsidR="00ED55FC" w:rsidP="003F1C48" w:rsidRDefault="003F1C48" w14:paraId="2B49C157" w14:textId="2853A829">
            <w:pPr>
              <w:keepNext/>
              <w:keepLines/>
              <w:spacing w:after="240"/>
              <w:jc w:val="center"/>
              <w:rPr>
                <w:color w:val="000000"/>
              </w:rPr>
            </w:pPr>
            <w:r>
              <w:rPr>
                <w:color w:val="000000"/>
              </w:rPr>
              <w:t>Yes</w:t>
            </w:r>
          </w:p>
        </w:tc>
      </w:tr>
    </w:tbl>
    <w:p w:rsidR="000D7CEC" w:rsidP="00625B30" w:rsidRDefault="000D7CEC" w14:paraId="2BCEE43A" w14:textId="77777777"/>
    <w:p w:rsidRPr="007F620E" w:rsidR="00ED55FC" w:rsidP="00ED55FC" w:rsidRDefault="00ED55FC" w14:paraId="0AD40334" w14:textId="77777777">
      <w:pPr>
        <w:keepNext/>
        <w:spacing w:after="240"/>
        <w:jc w:val="center"/>
        <w:rPr>
          <w:b/>
          <w:color w:val="000000"/>
          <w:u w:val="single"/>
        </w:rPr>
      </w:pPr>
      <w:r w:rsidRPr="007F620E">
        <w:rPr>
          <w:b/>
          <w:color w:val="000000"/>
          <w:u w:val="single"/>
        </w:rPr>
        <w:t>FINDINGS OF FACT</w:t>
      </w:r>
    </w:p>
    <w:p w:rsidRPr="007F620E" w:rsidR="00ED55FC" w:rsidP="00ED55FC" w:rsidRDefault="00ED55FC" w14:paraId="028B9333" w14:textId="7E6A52D6">
      <w:pPr>
        <w:numPr>
          <w:ilvl w:val="0"/>
          <w:numId w:val="8"/>
        </w:numPr>
        <w:tabs>
          <w:tab w:val="num" w:pos="540"/>
        </w:tabs>
        <w:ind w:left="540" w:hanging="540"/>
      </w:pPr>
      <w:r w:rsidRPr="00477B91">
        <w:rPr>
          <w:bCs/>
        </w:rPr>
        <w:t>The Utility Reform Network</w:t>
      </w:r>
      <w:r w:rsidRPr="0022302F">
        <w:t xml:space="preserve"> </w:t>
      </w:r>
      <w:r w:rsidRPr="007F620E">
        <w:t>has made a substantial contribution to</w:t>
      </w:r>
      <w:r w:rsidRPr="00477B91" w:rsidR="00981856">
        <w:t xml:space="preserve"> </w:t>
      </w:r>
      <w:r w:rsidRPr="00477B91" w:rsidR="00F94833">
        <w:t>D.25-08-036</w:t>
      </w:r>
      <w:r w:rsidRPr="00477B91">
        <w:t>.</w:t>
      </w:r>
    </w:p>
    <w:p w:rsidRPr="007F620E" w:rsidR="00ED55FC" w:rsidP="00ED55FC" w:rsidRDefault="008E0EC9" w14:paraId="3F9AAC92" w14:textId="7008B64E">
      <w:pPr>
        <w:numPr>
          <w:ilvl w:val="0"/>
          <w:numId w:val="8"/>
        </w:numPr>
        <w:tabs>
          <w:tab w:val="num" w:pos="540"/>
        </w:tabs>
        <w:spacing w:before="240"/>
      </w:pPr>
      <w:r w:rsidRPr="008E0EC9">
        <w:t xml:space="preserve">The requested hourly rates for </w:t>
      </w:r>
      <w:r w:rsidR="00DF1FD7">
        <w:t>The Utility Reform Network</w:t>
      </w:r>
      <w:r w:rsidRPr="008E0EC9">
        <w:t xml:space="preserve">’s representatives are comparable to market rates paid to experts and </w:t>
      </w:r>
      <w:proofErr w:type="gramStart"/>
      <w:r w:rsidRPr="008E0EC9">
        <w:t>advocates</w:t>
      </w:r>
      <w:proofErr w:type="gramEnd"/>
      <w:r w:rsidRPr="008E0EC9">
        <w:t xml:space="preserve"> having comparable training and experience and offering similar services, and/or </w:t>
      </w:r>
      <w:proofErr w:type="gramStart"/>
      <w:r w:rsidRPr="008E0EC9">
        <w:t>reflect</w:t>
      </w:r>
      <w:proofErr w:type="gramEnd"/>
      <w:r w:rsidRPr="008E0EC9">
        <w:t xml:space="preserve"> the actual rates billed to, and paid by the intervenor, for consultant services rendered</w:t>
      </w:r>
      <w:r w:rsidRPr="007F620E" w:rsidR="00ED55FC">
        <w:t>.</w:t>
      </w:r>
    </w:p>
    <w:p w:rsidRPr="007F620E" w:rsidR="00ED55FC" w:rsidP="00ED55FC" w:rsidRDefault="00ED55FC" w14:paraId="2BDB3ADA" w14:textId="5965973D">
      <w:pPr>
        <w:numPr>
          <w:ilvl w:val="0"/>
          <w:numId w:val="8"/>
        </w:numPr>
        <w:tabs>
          <w:tab w:val="num" w:pos="540"/>
        </w:tabs>
        <w:spacing w:before="240"/>
      </w:pPr>
      <w:r w:rsidRPr="007F620E">
        <w:t>The claimed costs and expenses</w:t>
      </w:r>
      <w:r w:rsidR="00615E7C">
        <w:t xml:space="preserve"> </w:t>
      </w:r>
      <w:r w:rsidRPr="007F620E">
        <w:t xml:space="preserve">are reasonable and commensurate with the work performed. </w:t>
      </w:r>
    </w:p>
    <w:p w:rsidRPr="007F620E" w:rsidR="00ED55FC" w:rsidP="00ED55FC" w:rsidRDefault="00ED55FC" w14:paraId="146D9790" w14:textId="4F76AA2A">
      <w:pPr>
        <w:numPr>
          <w:ilvl w:val="0"/>
          <w:numId w:val="8"/>
        </w:numPr>
        <w:tabs>
          <w:tab w:val="num" w:pos="540"/>
        </w:tabs>
        <w:spacing w:before="240"/>
      </w:pPr>
      <w:r w:rsidRPr="007F620E">
        <w:t xml:space="preserve">The </w:t>
      </w:r>
      <w:proofErr w:type="gramStart"/>
      <w:r w:rsidRPr="007F620E">
        <w:t>total of</w:t>
      </w:r>
      <w:proofErr w:type="gramEnd"/>
      <w:r w:rsidRPr="007F620E">
        <w:t xml:space="preserve"> reasonable compensation is </w:t>
      </w:r>
      <w:r w:rsidRPr="00615E7C" w:rsidR="00615E7C">
        <w:t>$289,380.00</w:t>
      </w:r>
      <w:r w:rsidRPr="007F620E">
        <w:t>.</w:t>
      </w:r>
    </w:p>
    <w:p w:rsidRPr="007F620E" w:rsidR="00ED55FC" w:rsidP="00ED55FC" w:rsidRDefault="00ED55FC" w14:paraId="4B5C2509" w14:textId="77777777">
      <w:pPr>
        <w:keepNext/>
        <w:spacing w:before="480" w:after="240"/>
        <w:jc w:val="center"/>
        <w:rPr>
          <w:b/>
          <w:color w:val="000000"/>
          <w:u w:val="single"/>
        </w:rPr>
      </w:pPr>
      <w:r w:rsidRPr="007F620E">
        <w:rPr>
          <w:b/>
          <w:color w:val="000000"/>
          <w:u w:val="single"/>
        </w:rPr>
        <w:lastRenderedPageBreak/>
        <w:t>CONCLUSION OF LAW</w:t>
      </w:r>
    </w:p>
    <w:p w:rsidRPr="007F620E" w:rsidR="00ED55FC" w:rsidP="00ED55FC" w:rsidRDefault="00ED55FC" w14:paraId="2905AD2D" w14:textId="15D52E08">
      <w:pPr>
        <w:numPr>
          <w:ilvl w:val="0"/>
          <w:numId w:val="10"/>
        </w:numPr>
        <w:spacing w:before="240"/>
        <w:rPr>
          <w:color w:val="000000"/>
        </w:rPr>
      </w:pPr>
      <w:r w:rsidRPr="00575494">
        <w:t>The</w:t>
      </w:r>
      <w:r w:rsidRPr="007F620E">
        <w:rPr>
          <w:color w:val="000000"/>
        </w:rPr>
        <w:t xml:space="preserve"> Claim, with any adjustment set forth above, satisfies all requirements of Pub. Util. Code §§ 1801-1812.</w:t>
      </w:r>
    </w:p>
    <w:p w:rsidRPr="007F620E" w:rsidR="00ED55FC" w:rsidP="00ED55FC" w:rsidRDefault="00ED55FC" w14:paraId="59D16832" w14:textId="77777777">
      <w:pPr>
        <w:keepNext/>
        <w:spacing w:before="480" w:after="240"/>
        <w:jc w:val="center"/>
        <w:rPr>
          <w:b/>
          <w:color w:val="000000"/>
          <w:u w:val="single"/>
        </w:rPr>
      </w:pPr>
      <w:r w:rsidRPr="007F620E">
        <w:rPr>
          <w:b/>
          <w:color w:val="000000"/>
          <w:u w:val="single"/>
        </w:rPr>
        <w:t>ORDER</w:t>
      </w:r>
    </w:p>
    <w:p w:rsidRPr="007F620E" w:rsidR="00ED55FC" w:rsidP="00ED55FC" w:rsidRDefault="00477B91" w14:paraId="51971FA1" w14:textId="4743D928">
      <w:pPr>
        <w:keepNext/>
        <w:numPr>
          <w:ilvl w:val="0"/>
          <w:numId w:val="9"/>
        </w:numPr>
        <w:tabs>
          <w:tab w:val="clear" w:pos="900"/>
          <w:tab w:val="num" w:pos="540"/>
        </w:tabs>
        <w:ind w:left="547" w:hanging="547"/>
        <w:rPr>
          <w:color w:val="000000"/>
        </w:rPr>
      </w:pPr>
      <w:r w:rsidRPr="00477B91">
        <w:rPr>
          <w:bCs/>
        </w:rPr>
        <w:t>The Utility Reform Network</w:t>
      </w:r>
      <w:r w:rsidRPr="0022302F">
        <w:t xml:space="preserve"> </w:t>
      </w:r>
      <w:r w:rsidR="00ED55FC">
        <w:t>is</w:t>
      </w:r>
      <w:r w:rsidRPr="00FE3BAE" w:rsidR="00ED55FC">
        <w:t xml:space="preserve"> </w:t>
      </w:r>
      <w:r w:rsidRPr="00FE3BAE" w:rsidR="00ED55FC">
        <w:rPr>
          <w:color w:val="000000"/>
        </w:rPr>
        <w:t xml:space="preserve">awarded </w:t>
      </w:r>
      <w:r w:rsidRPr="00615E7C" w:rsidR="00615E7C">
        <w:rPr>
          <w:color w:val="000000"/>
        </w:rPr>
        <w:t>$289,380.00</w:t>
      </w:r>
      <w:r w:rsidRPr="007F620E" w:rsidR="00ED55FC">
        <w:rPr>
          <w:color w:val="000000"/>
        </w:rPr>
        <w:t>.</w:t>
      </w:r>
    </w:p>
    <w:p w:rsidR="00ED55FC" w:rsidP="00ED55FC" w:rsidRDefault="00ED55FC" w14:paraId="2DA538AF" w14:textId="26E7ACF5">
      <w:pPr>
        <w:numPr>
          <w:ilvl w:val="0"/>
          <w:numId w:val="9"/>
        </w:numPr>
        <w:tabs>
          <w:tab w:val="clear" w:pos="900"/>
          <w:tab w:val="num" w:pos="540"/>
        </w:tabs>
        <w:spacing w:before="240"/>
        <w:ind w:left="547" w:hanging="547"/>
      </w:pPr>
      <w:r>
        <w:t xml:space="preserve">Within 30 days of the effective date of this decision, </w:t>
      </w:r>
      <w:r w:rsidRPr="00477B91" w:rsidR="00477B91">
        <w:t xml:space="preserve">Southern California Edison Company, San Diego Gas &amp; Electric Company, Bear Valley Electric, Inc., PacifiCorp d.b.a. </w:t>
      </w:r>
      <w:proofErr w:type="spellStart"/>
      <w:r w:rsidRPr="00477B91" w:rsidR="00477B91">
        <w:t>PacificPower</w:t>
      </w:r>
      <w:proofErr w:type="spellEnd"/>
      <w:r w:rsidRPr="00477B91" w:rsidR="00477B91">
        <w:t>, Liberty Utilities, and Pacific Gas and Electric Company</w:t>
      </w:r>
      <w:r>
        <w:t xml:space="preserve"> </w:t>
      </w:r>
      <w:r w:rsidRPr="00831652">
        <w:t>shall</w:t>
      </w:r>
      <w:r>
        <w:t xml:space="preserve"> pay </w:t>
      </w:r>
      <w:r w:rsidRPr="00477B91" w:rsidR="00477B91">
        <w:rPr>
          <w:bCs/>
        </w:rPr>
        <w:t>The Utility Reform Network</w:t>
      </w:r>
      <w:r w:rsidRPr="0022302F" w:rsidR="00477B91">
        <w:t xml:space="preserve"> </w:t>
      </w:r>
      <w:r>
        <w:t xml:space="preserve">their respective shares of the award, based on their California-jurisdictional electric revenues for the </w:t>
      </w:r>
      <w:r w:rsidR="00477B91">
        <w:t>2024</w:t>
      </w:r>
      <w:r>
        <w:t xml:space="preserve"> calendar year, </w:t>
      </w:r>
      <w:r w:rsidRPr="0055228B">
        <w:t xml:space="preserve">to reflect the year in which the proceeding was primarily litigated.  If such data </w:t>
      </w:r>
      <w:r w:rsidR="006C5282">
        <w:t>is</w:t>
      </w:r>
      <w:r w:rsidRPr="0055228B" w:rsidR="006C5282">
        <w:t xml:space="preserve"> </w:t>
      </w:r>
      <w:r w:rsidRPr="0055228B">
        <w:t>unavailable, the most recent electric revenue data shall be used.</w:t>
      </w:r>
      <w:r w:rsidRPr="007F620E">
        <w:t xml:space="preserve"> Payment of the award </w:t>
      </w:r>
      <w:r w:rsidRPr="00831652">
        <w:t>shall</w:t>
      </w:r>
      <w:r w:rsidRPr="007F620E">
        <w:t xml:space="preserve"> include compound interest at the rate earned on prime, three-month non-financial commercial paper as reported in Federal Reserve Statistical Release H.15, beginning </w:t>
      </w:r>
      <w:r w:rsidR="00477B91">
        <w:t>January 14, 2026</w:t>
      </w:r>
      <w:r w:rsidRPr="007F620E">
        <w:t>, the 75</w:t>
      </w:r>
      <w:r w:rsidRPr="007F620E">
        <w:rPr>
          <w:vertAlign w:val="superscript"/>
        </w:rPr>
        <w:t>th</w:t>
      </w:r>
      <w:r w:rsidRPr="007F620E">
        <w:t xml:space="preserve"> day after the filing of </w:t>
      </w:r>
      <w:r w:rsidRPr="00477B91" w:rsidR="00477B91">
        <w:rPr>
          <w:bCs/>
        </w:rPr>
        <w:t>The Utility Reform Network</w:t>
      </w:r>
      <w:r w:rsidRPr="003B6A1B">
        <w:t>’s</w:t>
      </w:r>
      <w:r w:rsidRPr="003B6A1B">
        <w:rPr>
          <w:b/>
        </w:rPr>
        <w:t xml:space="preserve"> </w:t>
      </w:r>
      <w:r w:rsidRPr="007F620E">
        <w:t>request, and continuing until full payment is made.</w:t>
      </w:r>
    </w:p>
    <w:p w:rsidRPr="007F620E" w:rsidR="00ED55FC" w:rsidP="00ED55FC" w:rsidRDefault="00ED55FC" w14:paraId="367C5935" w14:textId="52926A21">
      <w:pPr>
        <w:keepNext/>
        <w:keepLines/>
        <w:numPr>
          <w:ilvl w:val="0"/>
          <w:numId w:val="9"/>
        </w:numPr>
        <w:tabs>
          <w:tab w:val="clear" w:pos="900"/>
          <w:tab w:val="num" w:pos="540"/>
        </w:tabs>
        <w:spacing w:before="240"/>
        <w:ind w:left="547" w:hanging="547"/>
      </w:pPr>
      <w:r w:rsidRPr="007F620E">
        <w:t>The comment period for today’s decision is waived.</w:t>
      </w:r>
    </w:p>
    <w:p w:rsidRPr="007F620E" w:rsidR="00ED55FC" w:rsidP="00ED55FC" w:rsidRDefault="00ED55FC" w14:paraId="5B77129B" w14:textId="77777777">
      <w:pPr>
        <w:keepNext/>
        <w:keepLines/>
        <w:spacing w:before="240"/>
        <w:ind w:left="547"/>
        <w:rPr>
          <w:color w:val="000000"/>
        </w:rPr>
      </w:pPr>
      <w:r w:rsidRPr="007F620E">
        <w:rPr>
          <w:color w:val="000000"/>
        </w:rPr>
        <w:t>This decision is effective today.</w:t>
      </w:r>
    </w:p>
    <w:p w:rsidRPr="007F620E" w:rsidR="00ED55FC" w:rsidP="00ED55FC" w:rsidRDefault="00ED55FC" w14:paraId="0211A1AC" w14:textId="7C22E722">
      <w:pPr>
        <w:keepNext/>
        <w:keepLines/>
        <w:spacing w:before="240"/>
        <w:ind w:left="547"/>
        <w:rPr>
          <w:color w:val="000000"/>
        </w:rPr>
      </w:pPr>
      <w:r w:rsidRPr="007F620E">
        <w:rPr>
          <w:color w:val="000000"/>
        </w:rPr>
        <w:t xml:space="preserve">Dated </w:t>
      </w:r>
      <w:r w:rsidR="0005528F">
        <w:rPr>
          <w:color w:val="000000"/>
        </w:rPr>
        <w:t>May 14, 2026</w:t>
      </w:r>
      <w:r w:rsidRPr="007F620E">
        <w:rPr>
          <w:color w:val="000000"/>
        </w:rPr>
        <w:t>, at San Francisco, California.</w:t>
      </w:r>
    </w:p>
    <w:p w:rsidR="00AE62C2" w:rsidP="00AE62C2" w:rsidRDefault="00AE62C2" w14:paraId="555DC0FA" w14:textId="77777777">
      <w:pPr>
        <w:autoSpaceDE w:val="0"/>
        <w:autoSpaceDN w:val="0"/>
        <w:adjustRightInd w:val="0"/>
        <w:ind w:left="3600" w:firstLine="720"/>
        <w:jc w:val="both"/>
        <w:rPr>
          <w:rFonts w:ascii="Book Antiqua" w:hAnsi="Book Antiqua"/>
          <w:sz w:val="26"/>
          <w:szCs w:val="20"/>
        </w:rPr>
      </w:pPr>
    </w:p>
    <w:p w:rsidR="00AE62C2" w:rsidP="00AE62C2" w:rsidRDefault="00AE62C2" w14:paraId="7415D921" w14:textId="77777777">
      <w:pPr>
        <w:autoSpaceDE w:val="0"/>
        <w:autoSpaceDN w:val="0"/>
        <w:adjustRightInd w:val="0"/>
        <w:ind w:left="3600" w:firstLine="720"/>
        <w:jc w:val="both"/>
        <w:rPr>
          <w:rFonts w:ascii="Book Antiqua" w:hAnsi="Book Antiqua"/>
          <w:sz w:val="26"/>
          <w:szCs w:val="20"/>
        </w:rPr>
      </w:pPr>
    </w:p>
    <w:p w:rsidRPr="00AE62C2" w:rsidR="00AE62C2" w:rsidP="00AE62C2" w:rsidRDefault="00AE62C2" w14:paraId="06070DC0" w14:textId="08C120D9">
      <w:pPr>
        <w:autoSpaceDE w:val="0"/>
        <w:autoSpaceDN w:val="0"/>
        <w:adjustRightInd w:val="0"/>
        <w:ind w:left="4320" w:firstLine="720"/>
        <w:jc w:val="both"/>
      </w:pPr>
      <w:r w:rsidRPr="00AE62C2">
        <w:t>JOHN REYNOLDS</w:t>
      </w:r>
    </w:p>
    <w:p w:rsidRPr="00AE62C2" w:rsidR="00AE62C2" w:rsidP="00AE62C2" w:rsidRDefault="00AE62C2" w14:paraId="57A73C91" w14:textId="77777777">
      <w:pPr>
        <w:autoSpaceDE w:val="0"/>
        <w:autoSpaceDN w:val="0"/>
        <w:adjustRightInd w:val="0"/>
        <w:ind w:left="720" w:firstLine="720"/>
        <w:jc w:val="both"/>
      </w:pPr>
      <w:r w:rsidRPr="00AE62C2">
        <w:tab/>
      </w:r>
      <w:r w:rsidRPr="00AE62C2">
        <w:tab/>
      </w:r>
      <w:r w:rsidRPr="00AE62C2">
        <w:tab/>
      </w:r>
      <w:r w:rsidRPr="00AE62C2">
        <w:tab/>
      </w:r>
      <w:r w:rsidRPr="00AE62C2">
        <w:tab/>
        <w:t xml:space="preserve">                       President</w:t>
      </w:r>
    </w:p>
    <w:p w:rsidRPr="00AE62C2" w:rsidR="00AE62C2" w:rsidP="00AE62C2" w:rsidRDefault="00AE62C2" w14:paraId="45CB5AE5" w14:textId="77777777">
      <w:pPr>
        <w:autoSpaceDE w:val="0"/>
        <w:autoSpaceDN w:val="0"/>
        <w:adjustRightInd w:val="0"/>
        <w:ind w:left="4320" w:firstLine="720"/>
        <w:jc w:val="both"/>
      </w:pPr>
      <w:r w:rsidRPr="00AE62C2">
        <w:t>DARCIE L. HOUCK</w:t>
      </w:r>
    </w:p>
    <w:p w:rsidRPr="00AE62C2" w:rsidR="00AE62C2" w:rsidP="00AE62C2" w:rsidRDefault="00AE62C2" w14:paraId="256AE354" w14:textId="77777777">
      <w:pPr>
        <w:autoSpaceDE w:val="0"/>
        <w:autoSpaceDN w:val="0"/>
        <w:adjustRightInd w:val="0"/>
        <w:ind w:left="4320" w:firstLine="720"/>
        <w:jc w:val="both"/>
        <w:rPr>
          <w:color w:val="000000"/>
        </w:rPr>
      </w:pPr>
      <w:r w:rsidRPr="00AE62C2">
        <w:rPr>
          <w:color w:val="000000"/>
        </w:rPr>
        <w:t>KAREN DOUGLAS</w:t>
      </w:r>
    </w:p>
    <w:p w:rsidRPr="00AE62C2" w:rsidR="00AE62C2" w:rsidP="00AE62C2" w:rsidRDefault="00AE62C2" w14:paraId="109FC2B8" w14:textId="6E8DA75E">
      <w:pPr>
        <w:autoSpaceDE w:val="0"/>
        <w:autoSpaceDN w:val="0"/>
        <w:adjustRightInd w:val="0"/>
        <w:ind w:left="4320" w:firstLine="720"/>
        <w:jc w:val="both"/>
      </w:pPr>
      <w:r w:rsidRPr="00AE62C2">
        <w:t>MATTHEW BAKER</w:t>
      </w:r>
    </w:p>
    <w:p w:rsidRPr="00AE62C2" w:rsidR="00AE62C2" w:rsidP="00AE62C2" w:rsidRDefault="00AE62C2" w14:paraId="5BFDBEF8" w14:textId="77777777">
      <w:pPr>
        <w:autoSpaceDE w:val="0"/>
        <w:autoSpaceDN w:val="0"/>
        <w:adjustRightInd w:val="0"/>
        <w:ind w:left="5040" w:firstLine="720"/>
        <w:jc w:val="both"/>
      </w:pPr>
      <w:r w:rsidRPr="00AE62C2">
        <w:t xml:space="preserve">            Commissioners</w:t>
      </w:r>
    </w:p>
    <w:p w:rsidRPr="00AE62C2" w:rsidR="00AE62C2" w:rsidP="00AE62C2" w:rsidRDefault="00AE62C2" w14:paraId="30941DCA" w14:textId="77777777">
      <w:pPr>
        <w:pStyle w:val="standard"/>
        <w:keepNext/>
        <w:keepLines/>
        <w:ind w:left="720"/>
        <w:rPr>
          <w:rFonts w:ascii="Times New Roman" w:hAnsi="Times New Roman" w:cs="Times New Roman"/>
          <w:sz w:val="24"/>
        </w:rPr>
      </w:pPr>
    </w:p>
    <w:p w:rsidRPr="00AE62C2" w:rsidR="00AE62C2" w:rsidP="00AE62C2" w:rsidRDefault="00AE62C2" w14:paraId="3D47A53A" w14:textId="20977DE2">
      <w:pPr>
        <w:keepNext/>
        <w:keepLines/>
        <w:autoSpaceDE w:val="0"/>
        <w:autoSpaceDN w:val="0"/>
        <w:adjustRightInd w:val="0"/>
        <w:ind w:left="5100"/>
      </w:pPr>
      <w:r w:rsidRPr="00AE62C2">
        <w:t>Commissioner Christine Harada recused herself from this agenda item and was not part of the quorum in its consideration.</w:t>
      </w:r>
    </w:p>
    <w:p w:rsidR="00ED55FC" w:rsidP="00625B30" w:rsidRDefault="00ED55FC" w14:paraId="13464BBB" w14:textId="5A8A3D48"/>
    <w:p w:rsidR="00ED55FC" w:rsidRDefault="00ED55FC" w14:paraId="045DE773" w14:textId="77777777">
      <w:r>
        <w:br w:type="page"/>
      </w:r>
    </w:p>
    <w:p w:rsidRPr="00B803D5" w:rsidR="00ED55FC" w:rsidP="00ED55FC" w:rsidRDefault="00ED55FC" w14:paraId="2184E21F"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ED55FC" w:rsidP="00ED55FC" w:rsidRDefault="00ED55FC" w14:paraId="01E393B6"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ED55FC" w:rsidTr="0036244B" w14:paraId="4CD9F53F"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36244B" w:rsidRDefault="00ED55FC" w14:paraId="12A6556F"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ED55FC" w:rsidP="0036244B" w:rsidRDefault="0005528F" w14:paraId="12282C2A" w14:textId="07B604D3">
            <w:r>
              <w:t>D2605030</w:t>
            </w:r>
          </w:p>
        </w:tc>
        <w:tc>
          <w:tcPr>
            <w:tcW w:w="2475" w:type="dxa"/>
            <w:tcBorders>
              <w:top w:val="single" w:color="auto" w:sz="4" w:space="0"/>
              <w:left w:val="single" w:color="auto" w:sz="4" w:space="0"/>
              <w:bottom w:val="single" w:color="auto" w:sz="4" w:space="0"/>
              <w:right w:val="single" w:color="auto" w:sz="4" w:space="0"/>
            </w:tcBorders>
            <w:hideMark/>
          </w:tcPr>
          <w:p w:rsidRPr="006B0BC7" w:rsidR="00ED55FC" w:rsidP="0036244B" w:rsidRDefault="00ED55FC" w14:paraId="2A331183"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ED55FC" w:rsidP="0036244B" w:rsidRDefault="00477B91" w14:paraId="0433A8A8" w14:textId="58BE03A9">
            <w:pPr>
              <w:jc w:val="center"/>
            </w:pPr>
            <w:r>
              <w:t>No</w:t>
            </w:r>
          </w:p>
        </w:tc>
      </w:tr>
      <w:tr w:rsidRPr="00B803D5" w:rsidR="00ED55FC" w:rsidTr="00477B91" w14:paraId="7FE7989B"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36244B" w:rsidRDefault="00ED55FC" w14:paraId="60A23EE9"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36244B" w:rsidRDefault="00F94833" w14:paraId="4B54665B" w14:textId="47C1C7BB">
            <w:r w:rsidRPr="00F94833">
              <w:rPr>
                <w:bCs/>
                <w:color w:val="000000"/>
              </w:rPr>
              <w:t>D2508036</w:t>
            </w:r>
          </w:p>
        </w:tc>
      </w:tr>
      <w:tr w:rsidRPr="00B803D5" w:rsidR="00ED55FC" w:rsidTr="00477B91" w14:paraId="5958D725"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36244B" w:rsidRDefault="00ED55FC" w14:paraId="72D6738F"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36244B" w:rsidRDefault="00F94833" w14:paraId="281C1B87" w14:textId="5E4AB59E">
            <w:r>
              <w:t>R</w:t>
            </w:r>
            <w:r>
              <w:rPr>
                <w:color w:val="000000"/>
              </w:rPr>
              <w:t>2401018</w:t>
            </w:r>
          </w:p>
        </w:tc>
      </w:tr>
      <w:tr w:rsidRPr="00B803D5" w:rsidR="00ED55FC" w:rsidTr="0036244B" w14:paraId="418AFC8B"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36244B" w:rsidRDefault="00ED55FC" w14:paraId="40427CC2"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36244B" w:rsidRDefault="003F1C48" w14:paraId="51B901E8" w14:textId="529C6D5E">
            <w:r>
              <w:t>ALJ Dugowson</w:t>
            </w:r>
          </w:p>
        </w:tc>
      </w:tr>
      <w:tr w:rsidRPr="00B803D5" w:rsidR="00ED55FC" w:rsidTr="0036244B" w14:paraId="5F4B4F0E"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36244B" w:rsidRDefault="00ED55FC" w14:paraId="0C07437B"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36244B" w:rsidRDefault="00477B91" w14:paraId="0DB47724" w14:textId="56EB9724">
            <w:r w:rsidRPr="00477B91">
              <w:t xml:space="preserve">Southern California Edison Company, San Diego Gas &amp; Electric Company, Bear Valley Electric, Inc., PacifiCorp d.b.a. </w:t>
            </w:r>
            <w:proofErr w:type="spellStart"/>
            <w:r w:rsidRPr="00477B91">
              <w:t>PacificPower</w:t>
            </w:r>
            <w:proofErr w:type="spellEnd"/>
            <w:r w:rsidRPr="00477B91">
              <w:t>, Liberty Utilities, and Pacific Gas and Electric Company</w:t>
            </w:r>
          </w:p>
        </w:tc>
      </w:tr>
    </w:tbl>
    <w:p w:rsidRPr="00B803D5" w:rsidR="00ED55FC" w:rsidP="00A3535F" w:rsidRDefault="00ED55FC" w14:paraId="6724C804" w14:textId="77777777">
      <w:pPr>
        <w:spacing w:before="24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3"/>
        <w:gridCol w:w="1458"/>
        <w:gridCol w:w="1430"/>
        <w:gridCol w:w="1587"/>
        <w:gridCol w:w="1404"/>
        <w:gridCol w:w="2498"/>
      </w:tblGrid>
      <w:tr w:rsidRPr="00B803D5" w:rsidR="00ED55FC" w:rsidTr="0036244B" w14:paraId="6798847C"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091A2BEE"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ED55FC" w:rsidP="0036244B" w:rsidRDefault="00ED55FC" w14:paraId="4C140135" w14:textId="77777777">
            <w:pPr>
              <w:jc w:val="center"/>
              <w:rPr>
                <w:b/>
                <w:bCs/>
              </w:rPr>
            </w:pPr>
            <w:r w:rsidRPr="00B803D5">
              <w:rPr>
                <w:b/>
                <w:bCs/>
              </w:rPr>
              <w:t>Date</w:t>
            </w:r>
          </w:p>
          <w:p w:rsidRPr="00B803D5" w:rsidR="00ED55FC" w:rsidP="0036244B" w:rsidRDefault="00ED55FC" w14:paraId="367F2D7D" w14:textId="77777777">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4800E914"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65FA87D8"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573A52AB"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738244DB" w14:textId="77777777">
            <w:pPr>
              <w:jc w:val="center"/>
              <w:rPr>
                <w:b/>
                <w:bCs/>
              </w:rPr>
            </w:pPr>
            <w:r w:rsidRPr="00B803D5">
              <w:rPr>
                <w:b/>
                <w:bCs/>
              </w:rPr>
              <w:t>Reason Change/Disallowance</w:t>
            </w:r>
          </w:p>
        </w:tc>
      </w:tr>
      <w:tr w:rsidRPr="00B803D5" w:rsidR="00ED55FC" w:rsidTr="00A606C3" w14:paraId="0B2FEEB7"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B803D5" w:rsidR="00ED55FC" w:rsidP="0036244B" w:rsidRDefault="00477B91" w14:paraId="611F7DB5" w14:textId="4EB09A79">
            <w:pPr>
              <w:jc w:val="center"/>
            </w:pPr>
            <w:r w:rsidRPr="00477B91">
              <w:rPr>
                <w:bCs/>
              </w:rPr>
              <w:t>The Utility Reform Network</w:t>
            </w:r>
          </w:p>
        </w:tc>
        <w:tc>
          <w:tcPr>
            <w:tcW w:w="1444" w:type="dxa"/>
            <w:tcBorders>
              <w:top w:val="single" w:color="auto" w:sz="4" w:space="0"/>
              <w:left w:val="single" w:color="auto" w:sz="4" w:space="0"/>
              <w:bottom w:val="single" w:color="auto" w:sz="4" w:space="0"/>
              <w:right w:val="single" w:color="auto" w:sz="4" w:space="0"/>
            </w:tcBorders>
            <w:hideMark/>
          </w:tcPr>
          <w:p w:rsidRPr="00B803D5" w:rsidR="00ED55FC" w:rsidP="0036244B" w:rsidRDefault="001D366B" w14:paraId="102681D7" w14:textId="734D26E1">
            <w:pPr>
              <w:jc w:val="center"/>
            </w:pPr>
            <w:r>
              <w:t xml:space="preserve">October </w:t>
            </w:r>
            <w:r w:rsidR="00F94833">
              <w:t>31</w:t>
            </w:r>
            <w:r w:rsidR="00CA0330">
              <w:t>, 2025</w:t>
            </w:r>
          </w:p>
        </w:tc>
        <w:tc>
          <w:tcPr>
            <w:tcW w:w="1405" w:type="dxa"/>
            <w:tcBorders>
              <w:top w:val="single" w:color="auto" w:sz="4" w:space="0"/>
              <w:left w:val="single" w:color="auto" w:sz="4" w:space="0"/>
              <w:bottom w:val="single" w:color="auto" w:sz="4" w:space="0"/>
              <w:right w:val="single" w:color="auto" w:sz="4" w:space="0"/>
            </w:tcBorders>
            <w:hideMark/>
          </w:tcPr>
          <w:p w:rsidRPr="003452B2" w:rsidR="003452B2" w:rsidP="003452B2" w:rsidRDefault="002D05CE" w14:paraId="16D2CD7B" w14:textId="01819352">
            <w:pPr>
              <w:jc w:val="center"/>
              <w:rPr>
                <w:highlight w:val="yellow"/>
              </w:rPr>
            </w:pPr>
            <w:r w:rsidRPr="002D05CE">
              <w:t>$</w:t>
            </w:r>
            <w:r w:rsidRPr="003452B2" w:rsidR="003452B2">
              <w:t>289,380.00</w:t>
            </w:r>
          </w:p>
          <w:p w:rsidRPr="00B803D5" w:rsidR="00ED55FC" w:rsidP="0036244B" w:rsidRDefault="00ED55FC" w14:paraId="304FDCF7" w14:textId="0092AC8B">
            <w:pPr>
              <w:jc w:val="center"/>
            </w:pPr>
          </w:p>
        </w:tc>
        <w:tc>
          <w:tcPr>
            <w:tcW w:w="1571" w:type="dxa"/>
            <w:tcBorders>
              <w:top w:val="single" w:color="auto" w:sz="4" w:space="0"/>
              <w:left w:val="single" w:color="auto" w:sz="4" w:space="0"/>
              <w:bottom w:val="single" w:color="auto" w:sz="4" w:space="0"/>
              <w:right w:val="single" w:color="auto" w:sz="4" w:space="0"/>
            </w:tcBorders>
            <w:hideMark/>
          </w:tcPr>
          <w:p w:rsidRPr="00B803D5" w:rsidR="00ED55FC" w:rsidP="0036244B" w:rsidRDefault="00CC7DA2" w14:paraId="02DCAAA1" w14:textId="4FF55324">
            <w:pPr>
              <w:jc w:val="center"/>
            </w:pPr>
            <w:r w:rsidRPr="00CC7DA2">
              <w:t>$289,380.00</w:t>
            </w:r>
          </w:p>
        </w:tc>
        <w:tc>
          <w:tcPr>
            <w:tcW w:w="1390" w:type="dxa"/>
            <w:tcBorders>
              <w:top w:val="single" w:color="auto" w:sz="4" w:space="0"/>
              <w:left w:val="single" w:color="auto" w:sz="4" w:space="0"/>
              <w:bottom w:val="single" w:color="auto" w:sz="4" w:space="0"/>
              <w:right w:val="single" w:color="auto" w:sz="4" w:space="0"/>
            </w:tcBorders>
            <w:hideMark/>
          </w:tcPr>
          <w:p w:rsidRPr="00B803D5" w:rsidR="00ED55FC" w:rsidP="0036244B" w:rsidRDefault="00ED55FC" w14:paraId="668A8D1F"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477B91" w:rsidR="00ED55FC" w:rsidP="0036244B" w:rsidRDefault="00477B91" w14:paraId="6C54C5AA" w14:textId="5DE865EB">
            <w:pPr>
              <w:jc w:val="center"/>
            </w:pPr>
            <w:r>
              <w:rPr>
                <w:i/>
                <w:iCs/>
              </w:rPr>
              <w:t xml:space="preserve">See </w:t>
            </w:r>
            <w:r>
              <w:t>Part III.D CPUC Comments, Disallowances and Adjustments</w:t>
            </w:r>
            <w:r w:rsidR="00863563">
              <w:t>.</w:t>
            </w:r>
          </w:p>
        </w:tc>
      </w:tr>
    </w:tbl>
    <w:p w:rsidR="004D2E27" w:rsidP="00C44F68" w:rsidRDefault="004D2E27" w14:paraId="5254F2AA" w14:textId="77777777">
      <w:pPr>
        <w:jc w:val="center"/>
        <w:rPr>
          <w:b/>
          <w:bCs/>
          <w:sz w:val="28"/>
          <w:szCs w:val="28"/>
        </w:rPr>
      </w:pPr>
    </w:p>
    <w:p w:rsidRPr="00B803D5" w:rsidR="00ED55FC" w:rsidP="00DD38F9" w:rsidRDefault="00ED55FC" w14:paraId="1E7567EB" w14:textId="52DBB8FF">
      <w:pPr>
        <w:spacing w:after="240"/>
        <w:jc w:val="center"/>
        <w:rPr>
          <w:b/>
          <w:bCs/>
          <w:sz w:val="28"/>
          <w:szCs w:val="28"/>
        </w:rPr>
      </w:pPr>
      <w:r w:rsidRPr="00B803D5">
        <w:rPr>
          <w:b/>
          <w:bCs/>
          <w:sz w:val="28"/>
          <w:szCs w:val="28"/>
        </w:rPr>
        <w:t>Hourly Fee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ED55FC" w:rsidTr="0036244B" w14:paraId="05ED11F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192063C9"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0AA0DF74"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58A918EA"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ED55FC" w:rsidP="0036244B" w:rsidRDefault="00ED55FC" w14:paraId="6A2DB68D" w14:textId="77777777">
            <w:pPr>
              <w:jc w:val="center"/>
              <w:rPr>
                <w:b/>
                <w:bCs/>
              </w:rPr>
            </w:pPr>
            <w:r w:rsidRPr="00B803D5">
              <w:rPr>
                <w:b/>
                <w:bCs/>
              </w:rPr>
              <w:t>Hourly</w:t>
            </w:r>
          </w:p>
          <w:p w:rsidRPr="00B803D5" w:rsidR="00ED55FC" w:rsidP="0036244B" w:rsidRDefault="00ED55FC" w14:paraId="76C12E7D" w14:textId="77777777">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ED55FC" w:rsidP="0036244B" w:rsidRDefault="00ED55FC" w14:paraId="6C21677F" w14:textId="77777777">
            <w:pPr>
              <w:jc w:val="center"/>
              <w:rPr>
                <w:b/>
                <w:bCs/>
              </w:rPr>
            </w:pPr>
            <w:r w:rsidRPr="00B803D5">
              <w:rPr>
                <w:b/>
                <w:bCs/>
              </w:rPr>
              <w:t>Year Hourly</w:t>
            </w:r>
          </w:p>
          <w:p w:rsidRPr="00B803D5" w:rsidR="00ED55FC" w:rsidP="0036244B" w:rsidRDefault="00ED55FC" w14:paraId="588C572A" w14:textId="77777777">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ED55FC" w:rsidP="0036244B" w:rsidRDefault="00ED55FC" w14:paraId="1AF8D2FB" w14:textId="77777777">
            <w:pPr>
              <w:jc w:val="center"/>
              <w:rPr>
                <w:b/>
                <w:bCs/>
              </w:rPr>
            </w:pPr>
            <w:r w:rsidRPr="00B803D5">
              <w:rPr>
                <w:b/>
                <w:bCs/>
              </w:rPr>
              <w:t>Hourly</w:t>
            </w:r>
          </w:p>
          <w:p w:rsidRPr="00B803D5" w:rsidR="00ED55FC" w:rsidP="0036244B" w:rsidRDefault="00ED55FC" w14:paraId="56C2B02A" w14:textId="77777777">
            <w:pPr>
              <w:jc w:val="center"/>
              <w:rPr>
                <w:b/>
                <w:bCs/>
              </w:rPr>
            </w:pPr>
            <w:r w:rsidRPr="00B803D5">
              <w:rPr>
                <w:b/>
                <w:bCs/>
              </w:rPr>
              <w:t>Fee Adopted</w:t>
            </w:r>
          </w:p>
        </w:tc>
      </w:tr>
      <w:tr w:rsidRPr="00B803D5" w:rsidR="00CC7DA2" w:rsidTr="00A606C3" w14:paraId="71CC94F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57CBB08B" w14:textId="7B6C523C">
            <w:pPr>
              <w:jc w:val="center"/>
              <w:rPr>
                <w:highlight w:val="yellow"/>
                <w:shd w:val="clear" w:color="auto" w:fill="CCFFCC"/>
              </w:rPr>
            </w:pPr>
            <w:r>
              <w:rPr>
                <w:color w:val="000000"/>
              </w:rPr>
              <w:t>Elise</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3C40AE12" w14:textId="42B68C5F">
            <w:pPr>
              <w:jc w:val="center"/>
              <w:rPr>
                <w:highlight w:val="yellow"/>
                <w:shd w:val="clear" w:color="auto" w:fill="CCFFCC"/>
              </w:rPr>
            </w:pPr>
            <w:r>
              <w:rPr>
                <w:color w:val="000000"/>
              </w:rPr>
              <w:t>Torres</w:t>
            </w:r>
          </w:p>
        </w:tc>
        <w:tc>
          <w:tcPr>
            <w:tcW w:w="208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1862BFC2" w14:textId="11D1704C">
            <w:pPr>
              <w:jc w:val="center"/>
              <w:rPr>
                <w:highlight w:val="yellow"/>
                <w:shd w:val="clear" w:color="auto" w:fill="CCFFCC"/>
              </w:rPr>
            </w:pPr>
            <w:r>
              <w:rPr>
                <w:color w:val="000000"/>
              </w:rPr>
              <w:t>Attorney</w:t>
            </w:r>
          </w:p>
        </w:tc>
        <w:tc>
          <w:tcPr>
            <w:tcW w:w="174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1F633970" w14:textId="329231B8">
            <w:pPr>
              <w:jc w:val="center"/>
              <w:rPr>
                <w:highlight w:val="yellow"/>
              </w:rPr>
            </w:pPr>
            <w:r>
              <w:rPr>
                <w:color w:val="000000"/>
              </w:rPr>
              <w:t>$555</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3C9F4DDC" w14:textId="27FF60D7">
            <w:pPr>
              <w:jc w:val="center"/>
              <w:rPr>
                <w:highlight w:val="yellow"/>
              </w:rPr>
            </w:pPr>
            <w:r>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467AD866" w14:textId="79F5DF6E">
            <w:pPr>
              <w:jc w:val="center"/>
              <w:rPr>
                <w:highlight w:val="yellow"/>
              </w:rPr>
            </w:pPr>
            <w:r w:rsidRPr="00A3319E">
              <w:t xml:space="preserve">$555.00 </w:t>
            </w:r>
          </w:p>
        </w:tc>
      </w:tr>
      <w:tr w:rsidRPr="00B803D5" w:rsidR="00CC7DA2" w:rsidTr="00A606C3" w14:paraId="6A76F801"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13422C85" w14:textId="370F20EC">
            <w:pPr>
              <w:jc w:val="center"/>
              <w:rPr>
                <w:highlight w:val="yellow"/>
                <w:shd w:val="clear" w:color="auto" w:fill="CCFFCC"/>
              </w:rPr>
            </w:pPr>
            <w:r>
              <w:rPr>
                <w:color w:val="000000"/>
              </w:rPr>
              <w:t>Elise</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6CB2AC7A" w14:textId="67F80397">
            <w:pPr>
              <w:jc w:val="center"/>
              <w:rPr>
                <w:highlight w:val="yellow"/>
                <w:shd w:val="clear" w:color="auto" w:fill="CCFFCC"/>
              </w:rPr>
            </w:pPr>
            <w:r>
              <w:rPr>
                <w:color w:val="000000"/>
              </w:rPr>
              <w:t>Torres</w:t>
            </w:r>
          </w:p>
        </w:tc>
        <w:tc>
          <w:tcPr>
            <w:tcW w:w="208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1D8FAD13" w14:textId="3925B124">
            <w:pPr>
              <w:jc w:val="center"/>
              <w:rPr>
                <w:highlight w:val="yellow"/>
                <w:shd w:val="clear" w:color="auto" w:fill="CCFFCC"/>
              </w:rPr>
            </w:pPr>
            <w:r>
              <w:rPr>
                <w:color w:val="000000"/>
              </w:rPr>
              <w:t>Attorney</w:t>
            </w:r>
          </w:p>
        </w:tc>
        <w:tc>
          <w:tcPr>
            <w:tcW w:w="174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2BEF62FB" w14:textId="65441F52">
            <w:pPr>
              <w:jc w:val="center"/>
              <w:rPr>
                <w:highlight w:val="yellow"/>
              </w:rPr>
            </w:pPr>
            <w:r>
              <w:rPr>
                <w:color w:val="000000"/>
              </w:rPr>
              <w:t>$600</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19B5100D" w14:textId="1EBAEA70">
            <w:pPr>
              <w:jc w:val="center"/>
              <w:rPr>
                <w:highlight w:val="yellow"/>
              </w:rPr>
            </w:pPr>
            <w:r>
              <w:rPr>
                <w:color w:val="000000"/>
              </w:rPr>
              <w:t>2025</w:t>
            </w:r>
          </w:p>
        </w:tc>
        <w:tc>
          <w:tcPr>
            <w:tcW w:w="1634"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52358688" w14:textId="68896888">
            <w:pPr>
              <w:jc w:val="center"/>
              <w:rPr>
                <w:highlight w:val="yellow"/>
              </w:rPr>
            </w:pPr>
            <w:r w:rsidRPr="00A3319E">
              <w:t xml:space="preserve">$600.00 </w:t>
            </w:r>
          </w:p>
        </w:tc>
      </w:tr>
      <w:tr w:rsidRPr="00B803D5" w:rsidR="00CC7DA2" w:rsidTr="00A606C3" w14:paraId="0659CA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4A5499B2" w14:textId="0A5EB251">
            <w:pPr>
              <w:jc w:val="center"/>
              <w:rPr>
                <w:highlight w:val="yellow"/>
                <w:shd w:val="clear" w:color="auto" w:fill="CCFFCC"/>
              </w:rPr>
            </w:pPr>
            <w:r>
              <w:rPr>
                <w:color w:val="000000"/>
              </w:rPr>
              <w:t>Hayley</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2A991FB3" w14:textId="7C659A8D">
            <w:pPr>
              <w:jc w:val="center"/>
              <w:rPr>
                <w:highlight w:val="yellow"/>
                <w:shd w:val="clear" w:color="auto" w:fill="CCFFCC"/>
              </w:rPr>
            </w:pPr>
            <w:r>
              <w:rPr>
                <w:color w:val="000000"/>
              </w:rPr>
              <w:t>Goodson</w:t>
            </w:r>
          </w:p>
        </w:tc>
        <w:tc>
          <w:tcPr>
            <w:tcW w:w="208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4F61EE4B" w14:textId="1B3A55D9">
            <w:pPr>
              <w:jc w:val="center"/>
              <w:rPr>
                <w:highlight w:val="yellow"/>
                <w:shd w:val="clear" w:color="auto" w:fill="CCFFCC"/>
              </w:rPr>
            </w:pPr>
            <w:r>
              <w:rPr>
                <w:color w:val="000000"/>
              </w:rPr>
              <w:t>Attorney</w:t>
            </w:r>
          </w:p>
        </w:tc>
        <w:tc>
          <w:tcPr>
            <w:tcW w:w="174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7AFF8C08" w14:textId="0FB102DD">
            <w:pPr>
              <w:jc w:val="center"/>
              <w:rPr>
                <w:color w:val="000000"/>
                <w:highlight w:val="yellow"/>
              </w:rPr>
            </w:pPr>
            <w:r>
              <w:rPr>
                <w:color w:val="000000"/>
              </w:rPr>
              <w:t>$680</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38AC187A" w14:textId="4618ABB6">
            <w:pPr>
              <w:jc w:val="center"/>
              <w:rPr>
                <w:color w:val="000000"/>
                <w:highlight w:val="yellow"/>
              </w:rPr>
            </w:pPr>
            <w:r>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3D33C6AE" w14:textId="7A7C270F">
            <w:pPr>
              <w:jc w:val="center"/>
              <w:rPr>
                <w:highlight w:val="yellow"/>
              </w:rPr>
            </w:pPr>
            <w:r w:rsidRPr="00A3319E">
              <w:t xml:space="preserve">$680.00 </w:t>
            </w:r>
          </w:p>
        </w:tc>
      </w:tr>
      <w:tr w:rsidRPr="00B803D5" w:rsidR="00CC7DA2" w:rsidTr="00A606C3" w14:paraId="10D8891C"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3FED7CFA" w14:textId="40EAFAF6">
            <w:pPr>
              <w:jc w:val="center"/>
              <w:rPr>
                <w:highlight w:val="yellow"/>
                <w:shd w:val="clear" w:color="auto" w:fill="CCFFCC"/>
              </w:rPr>
            </w:pPr>
            <w:r>
              <w:rPr>
                <w:color w:val="000000"/>
              </w:rPr>
              <w:t>Isabella</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14E05E76" w14:textId="577B1B1F">
            <w:pPr>
              <w:jc w:val="center"/>
              <w:rPr>
                <w:highlight w:val="yellow"/>
                <w:shd w:val="clear" w:color="auto" w:fill="CCFFCC"/>
              </w:rPr>
            </w:pPr>
            <w:r>
              <w:rPr>
                <w:color w:val="000000"/>
              </w:rPr>
              <w:t>Montoya</w:t>
            </w:r>
          </w:p>
        </w:tc>
        <w:tc>
          <w:tcPr>
            <w:tcW w:w="208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7E948DF6" w14:textId="42E555B6">
            <w:pPr>
              <w:jc w:val="center"/>
              <w:rPr>
                <w:highlight w:val="yellow"/>
                <w:shd w:val="clear" w:color="auto" w:fill="CCFFCC"/>
              </w:rPr>
            </w:pPr>
            <w:r>
              <w:rPr>
                <w:color w:val="000000"/>
              </w:rPr>
              <w:t>Legal Fellow</w:t>
            </w:r>
          </w:p>
        </w:tc>
        <w:tc>
          <w:tcPr>
            <w:tcW w:w="174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2416FFF1" w14:textId="2B91C6CF">
            <w:pPr>
              <w:jc w:val="center"/>
              <w:rPr>
                <w:color w:val="000000"/>
                <w:highlight w:val="yellow"/>
              </w:rPr>
            </w:pPr>
            <w:r>
              <w:rPr>
                <w:color w:val="000000"/>
              </w:rPr>
              <w:t>$210</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216597D8" w14:textId="0BD78904">
            <w:pPr>
              <w:jc w:val="center"/>
              <w:rPr>
                <w:color w:val="000000"/>
                <w:highlight w:val="yellow"/>
              </w:rPr>
            </w:pPr>
            <w:r>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517F0465" w14:textId="07F35BBF">
            <w:pPr>
              <w:jc w:val="center"/>
              <w:rPr>
                <w:highlight w:val="yellow"/>
              </w:rPr>
            </w:pPr>
            <w:r w:rsidRPr="00A3319E">
              <w:t xml:space="preserve">$210.00 </w:t>
            </w:r>
          </w:p>
        </w:tc>
      </w:tr>
      <w:tr w:rsidRPr="00B803D5" w:rsidR="00CC7DA2" w:rsidTr="00A606C3" w14:paraId="15A123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3E80EF57" w14:textId="0B2E2ED4">
            <w:pPr>
              <w:jc w:val="center"/>
              <w:rPr>
                <w:highlight w:val="yellow"/>
                <w:shd w:val="clear" w:color="auto" w:fill="CCFFCC"/>
              </w:rPr>
            </w:pPr>
            <w:r>
              <w:rPr>
                <w:color w:val="000000"/>
              </w:rPr>
              <w:t>Isabella</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736AB7A4" w14:textId="43ABBC54">
            <w:pPr>
              <w:jc w:val="center"/>
              <w:rPr>
                <w:highlight w:val="yellow"/>
                <w:shd w:val="clear" w:color="auto" w:fill="CCFFCC"/>
              </w:rPr>
            </w:pPr>
            <w:r>
              <w:rPr>
                <w:color w:val="000000"/>
              </w:rPr>
              <w:t>Montoya</w:t>
            </w:r>
          </w:p>
        </w:tc>
        <w:tc>
          <w:tcPr>
            <w:tcW w:w="208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60140304" w14:textId="67B7D675">
            <w:pPr>
              <w:jc w:val="center"/>
              <w:rPr>
                <w:highlight w:val="yellow"/>
                <w:shd w:val="clear" w:color="auto" w:fill="CCFFCC"/>
              </w:rPr>
            </w:pPr>
            <w:r>
              <w:rPr>
                <w:color w:val="000000"/>
              </w:rPr>
              <w:t>Legal Fellow</w:t>
            </w:r>
          </w:p>
        </w:tc>
        <w:tc>
          <w:tcPr>
            <w:tcW w:w="174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7AC494C7" w14:textId="4A385F50">
            <w:pPr>
              <w:jc w:val="center"/>
              <w:rPr>
                <w:color w:val="000000"/>
                <w:highlight w:val="yellow"/>
              </w:rPr>
            </w:pPr>
            <w:r>
              <w:rPr>
                <w:color w:val="000000"/>
              </w:rPr>
              <w:t>$230</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628C9ECF" w14:textId="68AF40F7">
            <w:pPr>
              <w:jc w:val="center"/>
              <w:rPr>
                <w:color w:val="000000"/>
                <w:highlight w:val="yellow"/>
              </w:rPr>
            </w:pPr>
            <w:r>
              <w:rPr>
                <w:color w:val="000000"/>
              </w:rPr>
              <w:t>2025</w:t>
            </w:r>
          </w:p>
        </w:tc>
        <w:tc>
          <w:tcPr>
            <w:tcW w:w="1634"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47B5699A" w14:textId="1E135414">
            <w:pPr>
              <w:jc w:val="center"/>
              <w:rPr>
                <w:highlight w:val="yellow"/>
              </w:rPr>
            </w:pPr>
            <w:r w:rsidRPr="00A3319E">
              <w:t xml:space="preserve">$230.00 </w:t>
            </w:r>
          </w:p>
        </w:tc>
      </w:tr>
      <w:tr w:rsidRPr="00B803D5" w:rsidR="00CC7DA2" w:rsidTr="00A606C3" w14:paraId="1195732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507BFF14" w14:textId="3C8FFA88">
            <w:pPr>
              <w:jc w:val="center"/>
              <w:rPr>
                <w:highlight w:val="yellow"/>
                <w:shd w:val="clear" w:color="auto" w:fill="CCFFCC"/>
              </w:rPr>
            </w:pPr>
            <w:r>
              <w:rPr>
                <w:color w:val="000000"/>
              </w:rPr>
              <w:t>Matthew</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3FF58E63" w14:textId="42A7C5A5">
            <w:pPr>
              <w:jc w:val="center"/>
              <w:rPr>
                <w:highlight w:val="yellow"/>
                <w:shd w:val="clear" w:color="auto" w:fill="CCFFCC"/>
              </w:rPr>
            </w:pPr>
            <w:r>
              <w:rPr>
                <w:color w:val="000000"/>
              </w:rPr>
              <w:t>Freedman</w:t>
            </w:r>
          </w:p>
        </w:tc>
        <w:tc>
          <w:tcPr>
            <w:tcW w:w="208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4A6449ED" w14:textId="3AEA4604">
            <w:pPr>
              <w:jc w:val="center"/>
              <w:rPr>
                <w:highlight w:val="yellow"/>
                <w:shd w:val="clear" w:color="auto" w:fill="CCFFCC"/>
              </w:rPr>
            </w:pPr>
            <w:r>
              <w:rPr>
                <w:color w:val="000000"/>
              </w:rPr>
              <w:t>Attorney</w:t>
            </w:r>
          </w:p>
        </w:tc>
        <w:tc>
          <w:tcPr>
            <w:tcW w:w="174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0474DA66" w14:textId="5E7B19A0">
            <w:pPr>
              <w:jc w:val="center"/>
              <w:rPr>
                <w:color w:val="000000"/>
                <w:highlight w:val="yellow"/>
              </w:rPr>
            </w:pPr>
            <w:r>
              <w:rPr>
                <w:color w:val="000000"/>
              </w:rPr>
              <w:t>$740</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11EB319B" w14:textId="28280493">
            <w:pPr>
              <w:jc w:val="center"/>
              <w:rPr>
                <w:color w:val="000000"/>
                <w:highlight w:val="yellow"/>
              </w:rPr>
            </w:pPr>
            <w:r>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06DAC3C8" w14:textId="668D44C0">
            <w:pPr>
              <w:jc w:val="center"/>
              <w:rPr>
                <w:highlight w:val="yellow"/>
              </w:rPr>
            </w:pPr>
            <w:r w:rsidRPr="00A3319E">
              <w:t xml:space="preserve">$740.00 </w:t>
            </w:r>
          </w:p>
        </w:tc>
      </w:tr>
      <w:tr w:rsidRPr="00B803D5" w:rsidR="00CC7DA2" w:rsidTr="00A606C3" w14:paraId="4D2D1C5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133DB9DF" w14:textId="2EDDE75B">
            <w:pPr>
              <w:jc w:val="center"/>
              <w:rPr>
                <w:highlight w:val="yellow"/>
                <w:shd w:val="clear" w:color="auto" w:fill="CCFFCC"/>
              </w:rPr>
            </w:pPr>
            <w:r>
              <w:rPr>
                <w:color w:val="000000"/>
              </w:rPr>
              <w:t>Matthew</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42106B04" w14:textId="5B0733B5">
            <w:pPr>
              <w:jc w:val="center"/>
              <w:rPr>
                <w:highlight w:val="yellow"/>
                <w:shd w:val="clear" w:color="auto" w:fill="CCFFCC"/>
              </w:rPr>
            </w:pPr>
            <w:r>
              <w:rPr>
                <w:color w:val="000000"/>
              </w:rPr>
              <w:t>Freedman</w:t>
            </w:r>
          </w:p>
        </w:tc>
        <w:tc>
          <w:tcPr>
            <w:tcW w:w="208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0AE64B7A" w14:textId="412333E7">
            <w:pPr>
              <w:jc w:val="center"/>
              <w:rPr>
                <w:highlight w:val="yellow"/>
                <w:shd w:val="clear" w:color="auto" w:fill="CCFFCC"/>
              </w:rPr>
            </w:pPr>
            <w:r>
              <w:rPr>
                <w:color w:val="000000"/>
              </w:rPr>
              <w:t>Attorney</w:t>
            </w:r>
          </w:p>
        </w:tc>
        <w:tc>
          <w:tcPr>
            <w:tcW w:w="1748"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3FEA44B0" w14:textId="36E31890">
            <w:pPr>
              <w:jc w:val="center"/>
              <w:rPr>
                <w:highlight w:val="yellow"/>
              </w:rPr>
            </w:pPr>
            <w:r>
              <w:rPr>
                <w:color w:val="000000"/>
              </w:rPr>
              <w:t>$805</w:t>
            </w:r>
          </w:p>
        </w:tc>
        <w:tc>
          <w:tcPr>
            <w:tcW w:w="1725"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1959E4B6" w14:textId="386220B5">
            <w:pPr>
              <w:jc w:val="center"/>
              <w:rPr>
                <w:highlight w:val="yellow"/>
              </w:rPr>
            </w:pPr>
            <w:r>
              <w:rPr>
                <w:color w:val="000000"/>
              </w:rPr>
              <w:t>2025</w:t>
            </w:r>
          </w:p>
        </w:tc>
        <w:tc>
          <w:tcPr>
            <w:tcW w:w="1634" w:type="dxa"/>
            <w:tcBorders>
              <w:top w:val="single" w:color="auto" w:sz="4" w:space="0"/>
              <w:left w:val="single" w:color="auto" w:sz="4" w:space="0"/>
              <w:bottom w:val="single" w:color="auto" w:sz="4" w:space="0"/>
              <w:right w:val="single" w:color="auto" w:sz="4" w:space="0"/>
            </w:tcBorders>
          </w:tcPr>
          <w:p w:rsidRPr="002E49BA" w:rsidR="00CC7DA2" w:rsidP="00CC7DA2" w:rsidRDefault="00CC7DA2" w14:paraId="28A7EC9D" w14:textId="54937083">
            <w:pPr>
              <w:jc w:val="center"/>
              <w:rPr>
                <w:highlight w:val="yellow"/>
              </w:rPr>
            </w:pPr>
            <w:r w:rsidRPr="00A3319E">
              <w:t xml:space="preserve">$805.00 </w:t>
            </w:r>
          </w:p>
        </w:tc>
      </w:tr>
      <w:tr w:rsidRPr="00B803D5" w:rsidR="00CC7DA2" w:rsidTr="00A606C3" w14:paraId="6BC11DE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034526EB" w14:textId="278D970C">
            <w:pPr>
              <w:jc w:val="center"/>
              <w:rPr>
                <w:shd w:val="clear" w:color="auto" w:fill="CCFFCC"/>
              </w:rPr>
            </w:pPr>
            <w:r>
              <w:rPr>
                <w:color w:val="000000"/>
              </w:rPr>
              <w:t>Reina</w:t>
            </w:r>
          </w:p>
        </w:tc>
        <w:tc>
          <w:tcPr>
            <w:tcW w:w="1725"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0EF2A6A5" w14:textId="7DE87249">
            <w:pPr>
              <w:jc w:val="center"/>
              <w:rPr>
                <w:shd w:val="clear" w:color="auto" w:fill="CCFFCC"/>
              </w:rPr>
            </w:pPr>
            <w:proofErr w:type="spellStart"/>
            <w:r>
              <w:rPr>
                <w:color w:val="000000"/>
              </w:rPr>
              <w:t>Yanagiba</w:t>
            </w:r>
            <w:proofErr w:type="spellEnd"/>
          </w:p>
        </w:tc>
        <w:tc>
          <w:tcPr>
            <w:tcW w:w="2088"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0DEFADF0" w14:textId="59754CEF">
            <w:pPr>
              <w:jc w:val="center"/>
              <w:rPr>
                <w:shd w:val="clear" w:color="auto" w:fill="CCFFCC"/>
              </w:rPr>
            </w:pPr>
            <w:r>
              <w:rPr>
                <w:color w:val="000000"/>
              </w:rPr>
              <w:t>Legal Assistant</w:t>
            </w:r>
          </w:p>
        </w:tc>
        <w:tc>
          <w:tcPr>
            <w:tcW w:w="1748"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3EF077D3" w14:textId="041554C1">
            <w:pPr>
              <w:jc w:val="center"/>
            </w:pPr>
            <w:r>
              <w:rPr>
                <w:color w:val="000000"/>
              </w:rPr>
              <w:t>$100</w:t>
            </w:r>
          </w:p>
        </w:tc>
        <w:tc>
          <w:tcPr>
            <w:tcW w:w="1725"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2A31B6DD" w14:textId="4161211E">
            <w:pPr>
              <w:jc w:val="center"/>
            </w:pPr>
            <w:r>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504114A0" w14:textId="3750279C">
            <w:pPr>
              <w:jc w:val="center"/>
            </w:pPr>
            <w:r w:rsidRPr="00A3319E">
              <w:t xml:space="preserve">$100.00 </w:t>
            </w:r>
          </w:p>
        </w:tc>
      </w:tr>
      <w:tr w:rsidRPr="00B803D5" w:rsidR="00CC7DA2" w:rsidTr="00A606C3" w14:paraId="14C7B73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442AA4AC" w14:textId="46404DCC">
            <w:pPr>
              <w:jc w:val="center"/>
              <w:rPr>
                <w:shd w:val="clear" w:color="auto" w:fill="CCFFCC"/>
              </w:rPr>
            </w:pPr>
            <w:r>
              <w:rPr>
                <w:color w:val="000000"/>
              </w:rPr>
              <w:t>Reina</w:t>
            </w:r>
          </w:p>
        </w:tc>
        <w:tc>
          <w:tcPr>
            <w:tcW w:w="1725"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32FC28B6" w14:textId="2BF5530B">
            <w:pPr>
              <w:jc w:val="center"/>
              <w:rPr>
                <w:shd w:val="clear" w:color="auto" w:fill="CCFFCC"/>
              </w:rPr>
            </w:pPr>
            <w:proofErr w:type="spellStart"/>
            <w:r>
              <w:rPr>
                <w:color w:val="000000"/>
              </w:rPr>
              <w:t>Yanagiba</w:t>
            </w:r>
            <w:proofErr w:type="spellEnd"/>
          </w:p>
        </w:tc>
        <w:tc>
          <w:tcPr>
            <w:tcW w:w="2088"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0EB299DF" w14:textId="7D7F8EDB">
            <w:pPr>
              <w:jc w:val="center"/>
              <w:rPr>
                <w:shd w:val="clear" w:color="auto" w:fill="CCFFCC"/>
              </w:rPr>
            </w:pPr>
            <w:r>
              <w:rPr>
                <w:color w:val="000000"/>
              </w:rPr>
              <w:t>Legal Assistant</w:t>
            </w:r>
          </w:p>
        </w:tc>
        <w:tc>
          <w:tcPr>
            <w:tcW w:w="1748"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74C5CBFC" w14:textId="21985ACD">
            <w:pPr>
              <w:jc w:val="center"/>
            </w:pPr>
            <w:r>
              <w:rPr>
                <w:color w:val="000000"/>
              </w:rPr>
              <w:t>$125</w:t>
            </w:r>
          </w:p>
        </w:tc>
        <w:tc>
          <w:tcPr>
            <w:tcW w:w="1725"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632F89CA" w14:textId="6CE02C08">
            <w:pPr>
              <w:jc w:val="center"/>
            </w:pPr>
            <w:r>
              <w:rPr>
                <w:color w:val="000000"/>
              </w:rPr>
              <w:t>2025</w:t>
            </w:r>
          </w:p>
        </w:tc>
        <w:tc>
          <w:tcPr>
            <w:tcW w:w="1634"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31C60557" w14:textId="190C533B">
            <w:pPr>
              <w:jc w:val="center"/>
            </w:pPr>
            <w:r w:rsidRPr="00A3319E">
              <w:t xml:space="preserve">$125.00 </w:t>
            </w:r>
          </w:p>
        </w:tc>
      </w:tr>
      <w:tr w:rsidRPr="00B803D5" w:rsidR="00CC7DA2" w:rsidTr="00A606C3" w14:paraId="27C8D8B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22C32C9A" w14:textId="0D1580F5">
            <w:pPr>
              <w:jc w:val="center"/>
            </w:pPr>
            <w:r>
              <w:rPr>
                <w:color w:val="000000"/>
              </w:rPr>
              <w:t>Sylvie</w:t>
            </w:r>
          </w:p>
        </w:tc>
        <w:tc>
          <w:tcPr>
            <w:tcW w:w="1725"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3492E0B8" w14:textId="0D00FA11">
            <w:pPr>
              <w:jc w:val="center"/>
            </w:pPr>
            <w:r>
              <w:rPr>
                <w:color w:val="000000"/>
              </w:rPr>
              <w:t>Ashford</w:t>
            </w:r>
          </w:p>
        </w:tc>
        <w:tc>
          <w:tcPr>
            <w:tcW w:w="2088"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01C3C558" w14:textId="79862774">
            <w:pPr>
              <w:jc w:val="center"/>
              <w:rPr>
                <w:szCs w:val="26"/>
              </w:rPr>
            </w:pPr>
            <w:r>
              <w:rPr>
                <w:color w:val="000000"/>
              </w:rPr>
              <w:t>Analyst</w:t>
            </w:r>
          </w:p>
        </w:tc>
        <w:tc>
          <w:tcPr>
            <w:tcW w:w="1748"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4E7673EB" w14:textId="2AA47FB5">
            <w:pPr>
              <w:jc w:val="center"/>
            </w:pPr>
            <w:r>
              <w:rPr>
                <w:color w:val="000000"/>
              </w:rPr>
              <w:t>$265</w:t>
            </w:r>
          </w:p>
        </w:tc>
        <w:tc>
          <w:tcPr>
            <w:tcW w:w="1725"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3149EBFF" w14:textId="03C41242">
            <w:pPr>
              <w:jc w:val="center"/>
            </w:pPr>
            <w:r>
              <w:rPr>
                <w:color w:val="000000"/>
              </w:rPr>
              <w:t>2025</w:t>
            </w:r>
          </w:p>
        </w:tc>
        <w:tc>
          <w:tcPr>
            <w:tcW w:w="1634"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7BEF5626" w14:textId="53AF0634">
            <w:pPr>
              <w:jc w:val="center"/>
            </w:pPr>
            <w:r w:rsidRPr="00A3319E">
              <w:t xml:space="preserve">$265.00 </w:t>
            </w:r>
          </w:p>
        </w:tc>
      </w:tr>
      <w:tr w:rsidRPr="00B803D5" w:rsidR="00CC7DA2" w:rsidTr="00A606C3" w14:paraId="35CB6C9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3F61EDE6" w14:textId="13FD16BE">
            <w:pPr>
              <w:jc w:val="center"/>
            </w:pPr>
            <w:r>
              <w:rPr>
                <w:color w:val="000000"/>
              </w:rPr>
              <w:lastRenderedPageBreak/>
              <w:t>Jessica</w:t>
            </w:r>
          </w:p>
        </w:tc>
        <w:tc>
          <w:tcPr>
            <w:tcW w:w="1725"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2AF05F28" w14:textId="6F5E234E">
            <w:pPr>
              <w:jc w:val="center"/>
            </w:pPr>
            <w:r>
              <w:rPr>
                <w:color w:val="000000"/>
              </w:rPr>
              <w:t>Hecht</w:t>
            </w:r>
          </w:p>
        </w:tc>
        <w:tc>
          <w:tcPr>
            <w:tcW w:w="2088"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627F49C3" w14:textId="50767DDA">
            <w:pPr>
              <w:jc w:val="center"/>
              <w:rPr>
                <w:szCs w:val="26"/>
              </w:rPr>
            </w:pPr>
            <w:r>
              <w:rPr>
                <w:color w:val="000000"/>
              </w:rPr>
              <w:t>Expert</w:t>
            </w:r>
            <w:bookmarkStart w:name="_Ref219372475" w:id="2"/>
            <w:r w:rsidR="004D2E27">
              <w:rPr>
                <w:rStyle w:val="FootnoteReference"/>
                <w:color w:val="000000"/>
              </w:rPr>
              <w:footnoteReference w:id="5"/>
            </w:r>
            <w:bookmarkEnd w:id="2"/>
          </w:p>
        </w:tc>
        <w:tc>
          <w:tcPr>
            <w:tcW w:w="1748"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483D9B93" w14:textId="273CB606">
            <w:pPr>
              <w:jc w:val="center"/>
            </w:pPr>
            <w:r>
              <w:rPr>
                <w:color w:val="000000"/>
              </w:rPr>
              <w:t>$750</w:t>
            </w:r>
          </w:p>
        </w:tc>
        <w:tc>
          <w:tcPr>
            <w:tcW w:w="1725"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7E863928" w14:textId="5F1FBC60">
            <w:pPr>
              <w:jc w:val="center"/>
            </w:pPr>
            <w:r>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7E4B9CCD" w14:textId="58220A68">
            <w:pPr>
              <w:jc w:val="center"/>
            </w:pPr>
            <w:r w:rsidRPr="00A3319E">
              <w:t xml:space="preserve">$750.00 </w:t>
            </w:r>
          </w:p>
        </w:tc>
      </w:tr>
      <w:tr w:rsidRPr="00B803D5" w:rsidR="00CC7DA2" w:rsidTr="00A606C3" w14:paraId="0D89705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072F8D6A" w14:textId="5F8A918E">
            <w:pPr>
              <w:jc w:val="center"/>
            </w:pPr>
            <w:r>
              <w:rPr>
                <w:color w:val="000000"/>
              </w:rPr>
              <w:t>Jessica</w:t>
            </w:r>
          </w:p>
        </w:tc>
        <w:tc>
          <w:tcPr>
            <w:tcW w:w="1725"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4650C3BF" w14:textId="61FED6E4">
            <w:pPr>
              <w:jc w:val="center"/>
            </w:pPr>
            <w:r>
              <w:rPr>
                <w:color w:val="000000"/>
              </w:rPr>
              <w:t>Hecht</w:t>
            </w:r>
          </w:p>
        </w:tc>
        <w:tc>
          <w:tcPr>
            <w:tcW w:w="2088"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23723E9F" w14:textId="1D066BE0">
            <w:pPr>
              <w:jc w:val="center"/>
              <w:rPr>
                <w:szCs w:val="26"/>
              </w:rPr>
            </w:pPr>
            <w:r>
              <w:rPr>
                <w:color w:val="000000"/>
              </w:rPr>
              <w:t>Expert</w:t>
            </w:r>
            <w:r w:rsidR="004D2E27">
              <w:rPr>
                <w:color w:val="000000"/>
              </w:rPr>
              <w:fldChar w:fldCharType="begin"/>
            </w:r>
            <w:r w:rsidR="004D2E27">
              <w:rPr>
                <w:color w:val="000000"/>
              </w:rPr>
              <w:instrText xml:space="preserve"> NOTEREF _Ref219372475 \f \h </w:instrText>
            </w:r>
            <w:r w:rsidR="00A606C3">
              <w:rPr>
                <w:color w:val="000000"/>
              </w:rPr>
              <w:instrText xml:space="preserve"> \* MERGEFORMAT </w:instrText>
            </w:r>
            <w:r w:rsidR="004D2E27">
              <w:rPr>
                <w:color w:val="000000"/>
              </w:rPr>
            </w:r>
            <w:r w:rsidR="004D2E27">
              <w:rPr>
                <w:color w:val="000000"/>
              </w:rPr>
              <w:fldChar w:fldCharType="separate"/>
            </w:r>
            <w:r w:rsidRPr="004D2E27" w:rsidR="004D2E27">
              <w:rPr>
                <w:rStyle w:val="FootnoteReference"/>
              </w:rPr>
              <w:t>6</w:t>
            </w:r>
            <w:r w:rsidR="004D2E27">
              <w:rPr>
                <w:color w:val="000000"/>
              </w:rPr>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70D91122" w14:textId="36B2D71A">
            <w:pPr>
              <w:jc w:val="center"/>
            </w:pPr>
            <w:r>
              <w:rPr>
                <w:color w:val="000000"/>
              </w:rPr>
              <w:t>$750</w:t>
            </w:r>
          </w:p>
        </w:tc>
        <w:tc>
          <w:tcPr>
            <w:tcW w:w="1725"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5273281B" w14:textId="05F2D2A5">
            <w:pPr>
              <w:jc w:val="center"/>
            </w:pPr>
            <w:r>
              <w:rPr>
                <w:color w:val="000000"/>
              </w:rPr>
              <w:t>2025</w:t>
            </w:r>
          </w:p>
        </w:tc>
        <w:tc>
          <w:tcPr>
            <w:tcW w:w="1634" w:type="dxa"/>
            <w:tcBorders>
              <w:top w:val="single" w:color="auto" w:sz="4" w:space="0"/>
              <w:left w:val="single" w:color="auto" w:sz="4" w:space="0"/>
              <w:bottom w:val="single" w:color="auto" w:sz="4" w:space="0"/>
              <w:right w:val="single" w:color="auto" w:sz="4" w:space="0"/>
            </w:tcBorders>
          </w:tcPr>
          <w:p w:rsidRPr="00B803D5" w:rsidR="00CC7DA2" w:rsidP="00CC7DA2" w:rsidRDefault="00CC7DA2" w14:paraId="26D67D16" w14:textId="2CF61DAF">
            <w:pPr>
              <w:jc w:val="center"/>
            </w:pPr>
            <w:r w:rsidRPr="00A3319E">
              <w:t xml:space="preserve">$750.00 </w:t>
            </w:r>
          </w:p>
        </w:tc>
      </w:tr>
    </w:tbl>
    <w:p w:rsidR="004D2E27" w:rsidP="00477B91" w:rsidRDefault="004D2E27" w14:paraId="7A98CC1F" w14:textId="77777777">
      <w:pPr>
        <w:jc w:val="center"/>
        <w:rPr>
          <w:b/>
        </w:rPr>
      </w:pPr>
    </w:p>
    <w:p w:rsidRPr="00477B91" w:rsidR="00ED55FC" w:rsidP="00477B91" w:rsidRDefault="00ED55FC" w14:paraId="6F9411A2" w14:textId="51992121">
      <w:pPr>
        <w:jc w:val="center"/>
        <w:rPr>
          <w:b/>
        </w:rPr>
      </w:pPr>
      <w:r w:rsidRPr="00B803D5">
        <w:rPr>
          <w:b/>
        </w:rPr>
        <w:t xml:space="preserve">(END OF </w:t>
      </w:r>
      <w:r w:rsidRPr="00B803D5">
        <w:rPr>
          <w:b/>
          <w:szCs w:val="26"/>
        </w:rPr>
        <w:t>APPENDIX</w:t>
      </w:r>
      <w:r w:rsidRPr="00B803D5">
        <w:rPr>
          <w:b/>
        </w:rPr>
        <w:t>)</w:t>
      </w:r>
    </w:p>
    <w:sectPr w:rsidRPr="00477B91" w:rsidR="00ED55FC" w:rsidSect="00722E66">
      <w:headerReference w:type="default" r:id="rId8"/>
      <w:footerReference w:type="default" r:id="rId9"/>
      <w:footerReference w:type="first" r:id="rId10"/>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B749" w14:textId="77777777" w:rsidR="00D04087" w:rsidRDefault="00D04087" w:rsidP="00625B30">
      <w:r>
        <w:separator/>
      </w:r>
    </w:p>
  </w:endnote>
  <w:endnote w:type="continuationSeparator" w:id="0">
    <w:p w14:paraId="2F505C51" w14:textId="77777777" w:rsidR="00D04087" w:rsidRDefault="00D04087" w:rsidP="0062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673291"/>
      <w:docPartObj>
        <w:docPartGallery w:val="Page Numbers (Bottom of Page)"/>
        <w:docPartUnique/>
      </w:docPartObj>
    </w:sdtPr>
    <w:sdtEndPr>
      <w:rPr>
        <w:noProof/>
      </w:rPr>
    </w:sdtEndPr>
    <w:sdtContent>
      <w:p w14:paraId="66A23E6E" w14:textId="283EF52F" w:rsidR="002B77AB" w:rsidRDefault="002B77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36FE5" w14:textId="77777777" w:rsidR="002B77AB" w:rsidRDefault="002B77AB" w:rsidP="002B77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347333"/>
      <w:docPartObj>
        <w:docPartGallery w:val="Page Numbers (Bottom of Page)"/>
        <w:docPartUnique/>
      </w:docPartObj>
    </w:sdtPr>
    <w:sdtEndPr>
      <w:rPr>
        <w:noProof/>
      </w:rPr>
    </w:sdtEndPr>
    <w:sdtContent>
      <w:p w14:paraId="07DAB8CC" w14:textId="292472E7" w:rsidR="00CF5B54" w:rsidRDefault="00EF2646" w:rsidP="00CF5B54">
        <w:pPr>
          <w:pStyle w:val="Footer"/>
          <w:tabs>
            <w:tab w:val="left" w:pos="1716"/>
          </w:tabs>
        </w:pPr>
        <w:r w:rsidRPr="00EF2646">
          <w:rPr>
            <w:sz w:val="16"/>
            <w:szCs w:val="16"/>
          </w:rPr>
          <w:t>607051657</w:t>
        </w:r>
        <w:r w:rsidR="00CF5B54" w:rsidRPr="00CF5B54">
          <w:rPr>
            <w:sz w:val="16"/>
            <w:szCs w:val="16"/>
          </w:rPr>
          <w:tab/>
        </w:r>
        <w:r w:rsidR="00CF5B54">
          <w:tab/>
        </w:r>
        <w:r w:rsidR="00CF5B54">
          <w:fldChar w:fldCharType="begin"/>
        </w:r>
        <w:r w:rsidR="00CF5B54">
          <w:instrText xml:space="preserve"> PAGE   \* MERGEFORMAT </w:instrText>
        </w:r>
        <w:r w:rsidR="00CF5B54">
          <w:fldChar w:fldCharType="separate"/>
        </w:r>
        <w:r w:rsidR="00CF5B54">
          <w:rPr>
            <w:noProof/>
          </w:rPr>
          <w:t>2</w:t>
        </w:r>
        <w:r w:rsidR="00CF5B54">
          <w:rPr>
            <w:noProof/>
          </w:rPr>
          <w:fldChar w:fldCharType="end"/>
        </w:r>
      </w:p>
    </w:sdtContent>
  </w:sdt>
  <w:p w14:paraId="2CD59278" w14:textId="77777777" w:rsidR="00CF5B54" w:rsidRDefault="00CF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6A6E" w14:textId="77777777" w:rsidR="00D04087" w:rsidRDefault="00D04087" w:rsidP="00625B30">
      <w:r>
        <w:separator/>
      </w:r>
    </w:p>
  </w:footnote>
  <w:footnote w:type="continuationSeparator" w:id="0">
    <w:p w14:paraId="6026E890" w14:textId="77777777" w:rsidR="00D04087" w:rsidRDefault="00D04087" w:rsidP="00625B30">
      <w:r>
        <w:continuationSeparator/>
      </w:r>
    </w:p>
  </w:footnote>
  <w:footnote w:id="1">
    <w:p w14:paraId="53C03841" w14:textId="19CBCABD" w:rsidR="002125D3" w:rsidRDefault="002125D3">
      <w:pPr>
        <w:pStyle w:val="FootnoteText"/>
      </w:pPr>
      <w:r>
        <w:rPr>
          <w:rStyle w:val="FootnoteReference"/>
        </w:rPr>
        <w:footnoteRef/>
      </w:r>
      <w:r>
        <w:t xml:space="preserve"> This proceeding was reassigned to President John Reynolds on March </w:t>
      </w:r>
      <w:r w:rsidR="00115469">
        <w:t>6</w:t>
      </w:r>
      <w:r>
        <w:t>, 2026.</w:t>
      </w:r>
    </w:p>
  </w:footnote>
  <w:footnote w:id="2">
    <w:p w14:paraId="345C0878" w14:textId="77777777" w:rsidR="00625B30" w:rsidRDefault="00625B30" w:rsidP="00625B30">
      <w:pPr>
        <w:pStyle w:val="FootnoteText"/>
      </w:pPr>
      <w:r>
        <w:rPr>
          <w:rStyle w:val="FootnoteReference"/>
          <w:rFonts w:eastAsiaTheme="majorEastAsia"/>
        </w:rPr>
        <w:footnoteRef/>
      </w:r>
      <w:r>
        <w:t xml:space="preserve"> All statutory references are to California Public Utilities Code unless indicated otherwise.</w:t>
      </w:r>
    </w:p>
  </w:footnote>
  <w:footnote w:id="3">
    <w:p w14:paraId="44EC95CB" w14:textId="77777777" w:rsidR="00625B30" w:rsidRPr="00DE3A5D" w:rsidRDefault="00625B30" w:rsidP="00625B30">
      <w:pPr>
        <w:pStyle w:val="FootnoteText"/>
      </w:pPr>
      <w:r w:rsidRPr="00DE3A5D">
        <w:rPr>
          <w:rStyle w:val="FootnoteReference"/>
          <w:rFonts w:eastAsiaTheme="majorEastAsia"/>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rFonts w:eastAsiaTheme="majorEastAsia"/>
            <w:szCs w:val="22"/>
          </w:rPr>
          <w:t>http://members.calbar.ca.gov/fal/MemberSearch/QuickSearch</w:t>
        </w:r>
      </w:hyperlink>
      <w:r>
        <w:rPr>
          <w:color w:val="000000"/>
        </w:rPr>
        <w:t>.</w:t>
      </w:r>
    </w:p>
  </w:footnote>
  <w:footnote w:id="4">
    <w:p w14:paraId="627937D1" w14:textId="50EFC5C3" w:rsidR="003F1C48" w:rsidRDefault="003F1C48">
      <w:pPr>
        <w:pStyle w:val="FootnoteText"/>
      </w:pPr>
      <w:r>
        <w:rPr>
          <w:rStyle w:val="FootnoteReference"/>
        </w:rPr>
        <w:footnoteRef/>
      </w:r>
      <w:r>
        <w:t xml:space="preserve"> </w:t>
      </w:r>
      <w:r w:rsidRPr="003F1C48">
        <w:t xml:space="preserve">Attachments not </w:t>
      </w:r>
      <w:r w:rsidR="001E39D9">
        <w:t>included in</w:t>
      </w:r>
      <w:r w:rsidRPr="003F1C48">
        <w:t xml:space="preserve"> final Decision</w:t>
      </w:r>
      <w:r w:rsidR="00642883">
        <w:t>.</w:t>
      </w:r>
    </w:p>
  </w:footnote>
  <w:footnote w:id="5">
    <w:p w14:paraId="6CC6EA5C" w14:textId="4BBAA219" w:rsidR="004D2E27" w:rsidRDefault="004D2E27">
      <w:pPr>
        <w:pStyle w:val="FootnoteText"/>
      </w:pPr>
      <w:r>
        <w:rPr>
          <w:rStyle w:val="FootnoteReference"/>
        </w:rPr>
        <w:footnoteRef/>
      </w:r>
      <w:r>
        <w:t xml:space="preserve"> Jessica Hecht </w:t>
      </w:r>
      <w:r w:rsidR="00A606C3">
        <w:t>served as</w:t>
      </w:r>
      <w:r>
        <w:t xml:space="preserve"> a consultant</w:t>
      </w:r>
      <w:r w:rsidR="005B14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5873" w14:textId="1BD7640C" w:rsidR="001952EF" w:rsidRPr="001952EF" w:rsidRDefault="001952EF" w:rsidP="001952EF">
    <w:pPr>
      <w:pStyle w:val="Header"/>
    </w:pPr>
    <w:r w:rsidRPr="001952EF">
      <w:t>R.24-01-</w:t>
    </w:r>
    <w:proofErr w:type="gramStart"/>
    <w:r w:rsidRPr="001952EF">
      <w:t xml:space="preserve">018  </w:t>
    </w:r>
    <w:r>
      <w:t>ALJ</w:t>
    </w:r>
    <w:proofErr w:type="gramEnd"/>
    <w:r>
      <w:t>/ADW</w:t>
    </w:r>
    <w:r w:rsidRPr="001952EF">
      <w:t>/vj4</w:t>
    </w:r>
    <w:r w:rsidRPr="001952EF">
      <w:tab/>
    </w:r>
    <w:r w:rsidRPr="001952EF">
      <w:tab/>
    </w:r>
  </w:p>
  <w:p w14:paraId="0B644609" w14:textId="4A4D214D" w:rsidR="001952EF" w:rsidRDefault="001952EF" w:rsidP="00722E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395"/>
    <w:multiLevelType w:val="hybridMultilevel"/>
    <w:tmpl w:val="82AE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436E"/>
    <w:multiLevelType w:val="hybridMultilevel"/>
    <w:tmpl w:val="AD24E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B5E3C"/>
    <w:multiLevelType w:val="hybridMultilevel"/>
    <w:tmpl w:val="ADC6F75C"/>
    <w:lvl w:ilvl="0" w:tplc="AD64528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C6833"/>
    <w:multiLevelType w:val="hybridMultilevel"/>
    <w:tmpl w:val="7B26F8C8"/>
    <w:lvl w:ilvl="0" w:tplc="858E2456">
      <w:start w:val="4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11408"/>
    <w:multiLevelType w:val="hybridMultilevel"/>
    <w:tmpl w:val="0652D32E"/>
    <w:lvl w:ilvl="0" w:tplc="63B8243A">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21BF9"/>
    <w:multiLevelType w:val="hybridMultilevel"/>
    <w:tmpl w:val="3E546F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0D30EF"/>
    <w:multiLevelType w:val="hybridMultilevel"/>
    <w:tmpl w:val="FCC2574C"/>
    <w:lvl w:ilvl="0" w:tplc="432452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B3DF3"/>
    <w:multiLevelType w:val="hybridMultilevel"/>
    <w:tmpl w:val="78C46208"/>
    <w:lvl w:ilvl="0" w:tplc="AD6C7D3A">
      <w:start w:val="4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68F6BF7"/>
    <w:multiLevelType w:val="hybridMultilevel"/>
    <w:tmpl w:val="59D24288"/>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E3EFB"/>
    <w:multiLevelType w:val="hybridMultilevel"/>
    <w:tmpl w:val="DBF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35692"/>
    <w:multiLevelType w:val="hybridMultilevel"/>
    <w:tmpl w:val="C568ABA8"/>
    <w:lvl w:ilvl="0" w:tplc="FFFFFFFF">
      <w:start w:val="1"/>
      <w:numFmt w:val="upp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753109"/>
    <w:multiLevelType w:val="hybridMultilevel"/>
    <w:tmpl w:val="15363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7093550">
    <w:abstractNumId w:val="10"/>
  </w:num>
  <w:num w:numId="2" w16cid:durableId="842936081">
    <w:abstractNumId w:val="12"/>
  </w:num>
  <w:num w:numId="3" w16cid:durableId="1166047990">
    <w:abstractNumId w:val="0"/>
  </w:num>
  <w:num w:numId="4" w16cid:durableId="1920090715">
    <w:abstractNumId w:val="13"/>
  </w:num>
  <w:num w:numId="5" w16cid:durableId="584609159">
    <w:abstractNumId w:val="5"/>
  </w:num>
  <w:num w:numId="6" w16cid:durableId="1685205339">
    <w:abstractNumId w:val="3"/>
  </w:num>
  <w:num w:numId="7" w16cid:durableId="1858957422">
    <w:abstractNumId w:val="14"/>
  </w:num>
  <w:num w:numId="8" w16cid:durableId="2098595014">
    <w:abstractNumId w:val="16"/>
  </w:num>
  <w:num w:numId="9" w16cid:durableId="1312905431">
    <w:abstractNumId w:val="11"/>
  </w:num>
  <w:num w:numId="10" w16cid:durableId="789317941">
    <w:abstractNumId w:val="7"/>
  </w:num>
  <w:num w:numId="11" w16cid:durableId="1544946391">
    <w:abstractNumId w:val="15"/>
  </w:num>
  <w:num w:numId="12" w16cid:durableId="337463431">
    <w:abstractNumId w:val="8"/>
  </w:num>
  <w:num w:numId="13" w16cid:durableId="1694309029">
    <w:abstractNumId w:val="2"/>
  </w:num>
  <w:num w:numId="14" w16cid:durableId="623853103">
    <w:abstractNumId w:val="4"/>
  </w:num>
  <w:num w:numId="15" w16cid:durableId="1567296030">
    <w:abstractNumId w:val="9"/>
  </w:num>
  <w:num w:numId="16" w16cid:durableId="1118985460">
    <w:abstractNumId w:val="1"/>
  </w:num>
  <w:num w:numId="17" w16cid:durableId="567424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30"/>
    <w:rsid w:val="00002EFC"/>
    <w:rsid w:val="00014E70"/>
    <w:rsid w:val="00017C8D"/>
    <w:rsid w:val="000229F7"/>
    <w:rsid w:val="00027D41"/>
    <w:rsid w:val="00037366"/>
    <w:rsid w:val="00042267"/>
    <w:rsid w:val="000472BE"/>
    <w:rsid w:val="00050452"/>
    <w:rsid w:val="00051DEE"/>
    <w:rsid w:val="000531B5"/>
    <w:rsid w:val="00053B78"/>
    <w:rsid w:val="0005528F"/>
    <w:rsid w:val="00057502"/>
    <w:rsid w:val="00061B7B"/>
    <w:rsid w:val="00063B65"/>
    <w:rsid w:val="00064C48"/>
    <w:rsid w:val="00076376"/>
    <w:rsid w:val="00081441"/>
    <w:rsid w:val="0008423A"/>
    <w:rsid w:val="0008779B"/>
    <w:rsid w:val="000A6040"/>
    <w:rsid w:val="000B24C5"/>
    <w:rsid w:val="000B740E"/>
    <w:rsid w:val="000B75F3"/>
    <w:rsid w:val="000C3D71"/>
    <w:rsid w:val="000C472D"/>
    <w:rsid w:val="000C5C66"/>
    <w:rsid w:val="000C72E6"/>
    <w:rsid w:val="000D06F5"/>
    <w:rsid w:val="000D7CEC"/>
    <w:rsid w:val="000E0650"/>
    <w:rsid w:val="000E3832"/>
    <w:rsid w:val="000E61C3"/>
    <w:rsid w:val="000E7E95"/>
    <w:rsid w:val="000F1EB5"/>
    <w:rsid w:val="000F4D3E"/>
    <w:rsid w:val="000F6763"/>
    <w:rsid w:val="00102BEE"/>
    <w:rsid w:val="0010626C"/>
    <w:rsid w:val="0010659E"/>
    <w:rsid w:val="0011058B"/>
    <w:rsid w:val="0011189B"/>
    <w:rsid w:val="001135A6"/>
    <w:rsid w:val="00113ACA"/>
    <w:rsid w:val="00115469"/>
    <w:rsid w:val="00115A08"/>
    <w:rsid w:val="00115C81"/>
    <w:rsid w:val="00120803"/>
    <w:rsid w:val="00125C99"/>
    <w:rsid w:val="00127CE1"/>
    <w:rsid w:val="001308B0"/>
    <w:rsid w:val="001308CA"/>
    <w:rsid w:val="00135350"/>
    <w:rsid w:val="00136EF7"/>
    <w:rsid w:val="00142654"/>
    <w:rsid w:val="0014649A"/>
    <w:rsid w:val="00146921"/>
    <w:rsid w:val="00146AEE"/>
    <w:rsid w:val="0014730D"/>
    <w:rsid w:val="00151352"/>
    <w:rsid w:val="00153ACB"/>
    <w:rsid w:val="00155235"/>
    <w:rsid w:val="00155FE7"/>
    <w:rsid w:val="00173B3D"/>
    <w:rsid w:val="00177739"/>
    <w:rsid w:val="001777FB"/>
    <w:rsid w:val="001779CD"/>
    <w:rsid w:val="00187981"/>
    <w:rsid w:val="001928EB"/>
    <w:rsid w:val="001952EF"/>
    <w:rsid w:val="001965C9"/>
    <w:rsid w:val="001A17D4"/>
    <w:rsid w:val="001A1842"/>
    <w:rsid w:val="001A1F04"/>
    <w:rsid w:val="001A22DA"/>
    <w:rsid w:val="001A27B7"/>
    <w:rsid w:val="001A39BD"/>
    <w:rsid w:val="001A5288"/>
    <w:rsid w:val="001B68C7"/>
    <w:rsid w:val="001C0BC1"/>
    <w:rsid w:val="001C619B"/>
    <w:rsid w:val="001C715F"/>
    <w:rsid w:val="001D19CD"/>
    <w:rsid w:val="001D3413"/>
    <w:rsid w:val="001D366B"/>
    <w:rsid w:val="001D40FC"/>
    <w:rsid w:val="001E2957"/>
    <w:rsid w:val="001E39D9"/>
    <w:rsid w:val="001E4B67"/>
    <w:rsid w:val="001E7560"/>
    <w:rsid w:val="001F0949"/>
    <w:rsid w:val="001F466F"/>
    <w:rsid w:val="001F4885"/>
    <w:rsid w:val="001F67FF"/>
    <w:rsid w:val="00206CA5"/>
    <w:rsid w:val="00207307"/>
    <w:rsid w:val="002124C1"/>
    <w:rsid w:val="002125D3"/>
    <w:rsid w:val="00213F70"/>
    <w:rsid w:val="00214DE6"/>
    <w:rsid w:val="00215555"/>
    <w:rsid w:val="002157EF"/>
    <w:rsid w:val="00222C3F"/>
    <w:rsid w:val="00236210"/>
    <w:rsid w:val="00247E65"/>
    <w:rsid w:val="00254D7C"/>
    <w:rsid w:val="002570D1"/>
    <w:rsid w:val="002631A6"/>
    <w:rsid w:val="00265471"/>
    <w:rsid w:val="00265F10"/>
    <w:rsid w:val="00274E53"/>
    <w:rsid w:val="00282566"/>
    <w:rsid w:val="00282AFA"/>
    <w:rsid w:val="002850F2"/>
    <w:rsid w:val="0028748F"/>
    <w:rsid w:val="00287D33"/>
    <w:rsid w:val="002907FF"/>
    <w:rsid w:val="00296209"/>
    <w:rsid w:val="002A0189"/>
    <w:rsid w:val="002A2F43"/>
    <w:rsid w:val="002A4360"/>
    <w:rsid w:val="002B3AC3"/>
    <w:rsid w:val="002B77AB"/>
    <w:rsid w:val="002C1111"/>
    <w:rsid w:val="002C3397"/>
    <w:rsid w:val="002C39E3"/>
    <w:rsid w:val="002C6972"/>
    <w:rsid w:val="002D05CE"/>
    <w:rsid w:val="002D26AA"/>
    <w:rsid w:val="002D3298"/>
    <w:rsid w:val="002E49BA"/>
    <w:rsid w:val="00300B64"/>
    <w:rsid w:val="003010AC"/>
    <w:rsid w:val="003074B0"/>
    <w:rsid w:val="0031051D"/>
    <w:rsid w:val="00312BD3"/>
    <w:rsid w:val="00316658"/>
    <w:rsid w:val="003207FF"/>
    <w:rsid w:val="00320D40"/>
    <w:rsid w:val="00322DF8"/>
    <w:rsid w:val="00325BF8"/>
    <w:rsid w:val="00336FA5"/>
    <w:rsid w:val="00336FAB"/>
    <w:rsid w:val="00344543"/>
    <w:rsid w:val="00344546"/>
    <w:rsid w:val="003451EC"/>
    <w:rsid w:val="003452B2"/>
    <w:rsid w:val="00345885"/>
    <w:rsid w:val="00345EC1"/>
    <w:rsid w:val="00346D99"/>
    <w:rsid w:val="003471D9"/>
    <w:rsid w:val="00355535"/>
    <w:rsid w:val="00356B19"/>
    <w:rsid w:val="00362410"/>
    <w:rsid w:val="00365F49"/>
    <w:rsid w:val="003727C5"/>
    <w:rsid w:val="00372BBA"/>
    <w:rsid w:val="00373C0C"/>
    <w:rsid w:val="00374F18"/>
    <w:rsid w:val="00381161"/>
    <w:rsid w:val="00386383"/>
    <w:rsid w:val="00386474"/>
    <w:rsid w:val="00387854"/>
    <w:rsid w:val="00390F3C"/>
    <w:rsid w:val="003912DD"/>
    <w:rsid w:val="003937E0"/>
    <w:rsid w:val="0039458D"/>
    <w:rsid w:val="00395C4E"/>
    <w:rsid w:val="00395D8E"/>
    <w:rsid w:val="003A229B"/>
    <w:rsid w:val="003A3D7B"/>
    <w:rsid w:val="003B56FA"/>
    <w:rsid w:val="003D69F8"/>
    <w:rsid w:val="003E1A73"/>
    <w:rsid w:val="003E4D44"/>
    <w:rsid w:val="003F1055"/>
    <w:rsid w:val="003F11CF"/>
    <w:rsid w:val="003F1C48"/>
    <w:rsid w:val="003F6E0D"/>
    <w:rsid w:val="00404668"/>
    <w:rsid w:val="00405634"/>
    <w:rsid w:val="00423845"/>
    <w:rsid w:val="004258ED"/>
    <w:rsid w:val="00427496"/>
    <w:rsid w:val="00427DED"/>
    <w:rsid w:val="004305AB"/>
    <w:rsid w:val="00441DA5"/>
    <w:rsid w:val="004424FF"/>
    <w:rsid w:val="00460B61"/>
    <w:rsid w:val="00461905"/>
    <w:rsid w:val="00472527"/>
    <w:rsid w:val="00477B91"/>
    <w:rsid w:val="00480306"/>
    <w:rsid w:val="00484E77"/>
    <w:rsid w:val="00487C32"/>
    <w:rsid w:val="004911FF"/>
    <w:rsid w:val="00493264"/>
    <w:rsid w:val="004A0097"/>
    <w:rsid w:val="004A2F4D"/>
    <w:rsid w:val="004A3975"/>
    <w:rsid w:val="004B04C7"/>
    <w:rsid w:val="004B118A"/>
    <w:rsid w:val="004B5A19"/>
    <w:rsid w:val="004B66E2"/>
    <w:rsid w:val="004C1F1D"/>
    <w:rsid w:val="004C5FC4"/>
    <w:rsid w:val="004D2E27"/>
    <w:rsid w:val="004D73E9"/>
    <w:rsid w:val="004E762A"/>
    <w:rsid w:val="004F1CE2"/>
    <w:rsid w:val="004F2707"/>
    <w:rsid w:val="004F64A7"/>
    <w:rsid w:val="00507B4E"/>
    <w:rsid w:val="005110BF"/>
    <w:rsid w:val="005150B7"/>
    <w:rsid w:val="005150E7"/>
    <w:rsid w:val="00515484"/>
    <w:rsid w:val="005174F3"/>
    <w:rsid w:val="00521ADE"/>
    <w:rsid w:val="005231B0"/>
    <w:rsid w:val="00524030"/>
    <w:rsid w:val="00524518"/>
    <w:rsid w:val="00531080"/>
    <w:rsid w:val="005356B0"/>
    <w:rsid w:val="00545648"/>
    <w:rsid w:val="0055073D"/>
    <w:rsid w:val="005550C8"/>
    <w:rsid w:val="00556653"/>
    <w:rsid w:val="00563875"/>
    <w:rsid w:val="00563FFF"/>
    <w:rsid w:val="005660A6"/>
    <w:rsid w:val="00576FDA"/>
    <w:rsid w:val="00577B0C"/>
    <w:rsid w:val="00580EF6"/>
    <w:rsid w:val="0058747A"/>
    <w:rsid w:val="005A0878"/>
    <w:rsid w:val="005A1F29"/>
    <w:rsid w:val="005A2AAA"/>
    <w:rsid w:val="005A2FD0"/>
    <w:rsid w:val="005B1431"/>
    <w:rsid w:val="005B2B1A"/>
    <w:rsid w:val="005B3EAA"/>
    <w:rsid w:val="005C2051"/>
    <w:rsid w:val="005C2057"/>
    <w:rsid w:val="005C763F"/>
    <w:rsid w:val="005D2FC5"/>
    <w:rsid w:val="005D4578"/>
    <w:rsid w:val="005D569D"/>
    <w:rsid w:val="005F093E"/>
    <w:rsid w:val="005F1BBF"/>
    <w:rsid w:val="005F3093"/>
    <w:rsid w:val="005F31E5"/>
    <w:rsid w:val="005F3413"/>
    <w:rsid w:val="006001CE"/>
    <w:rsid w:val="00602D70"/>
    <w:rsid w:val="006037FF"/>
    <w:rsid w:val="00606BBC"/>
    <w:rsid w:val="00611579"/>
    <w:rsid w:val="00611B2D"/>
    <w:rsid w:val="00615E7C"/>
    <w:rsid w:val="006209A5"/>
    <w:rsid w:val="00620C66"/>
    <w:rsid w:val="006228B9"/>
    <w:rsid w:val="00625B30"/>
    <w:rsid w:val="00630910"/>
    <w:rsid w:val="00635F51"/>
    <w:rsid w:val="00636533"/>
    <w:rsid w:val="00642081"/>
    <w:rsid w:val="00642883"/>
    <w:rsid w:val="00646E16"/>
    <w:rsid w:val="00650296"/>
    <w:rsid w:val="00650800"/>
    <w:rsid w:val="00650B97"/>
    <w:rsid w:val="00651A70"/>
    <w:rsid w:val="00652D6C"/>
    <w:rsid w:val="00653212"/>
    <w:rsid w:val="00670929"/>
    <w:rsid w:val="00673D35"/>
    <w:rsid w:val="006768C2"/>
    <w:rsid w:val="00680A79"/>
    <w:rsid w:val="006826A1"/>
    <w:rsid w:val="00690269"/>
    <w:rsid w:val="00692638"/>
    <w:rsid w:val="00694BFF"/>
    <w:rsid w:val="006A10DC"/>
    <w:rsid w:val="006A270D"/>
    <w:rsid w:val="006A4772"/>
    <w:rsid w:val="006B05CA"/>
    <w:rsid w:val="006B3047"/>
    <w:rsid w:val="006B406C"/>
    <w:rsid w:val="006C31E0"/>
    <w:rsid w:val="006C3F08"/>
    <w:rsid w:val="006C4DF7"/>
    <w:rsid w:val="006C5282"/>
    <w:rsid w:val="006C5EE3"/>
    <w:rsid w:val="006D0762"/>
    <w:rsid w:val="006D2E5B"/>
    <w:rsid w:val="006D67D6"/>
    <w:rsid w:val="006D708F"/>
    <w:rsid w:val="006E2E3A"/>
    <w:rsid w:val="006E4198"/>
    <w:rsid w:val="006F1313"/>
    <w:rsid w:val="006F450B"/>
    <w:rsid w:val="006F5D5D"/>
    <w:rsid w:val="00700011"/>
    <w:rsid w:val="00706A2D"/>
    <w:rsid w:val="00710707"/>
    <w:rsid w:val="00717128"/>
    <w:rsid w:val="00722E66"/>
    <w:rsid w:val="00734F85"/>
    <w:rsid w:val="0073655B"/>
    <w:rsid w:val="00736DAA"/>
    <w:rsid w:val="00745952"/>
    <w:rsid w:val="00754B8D"/>
    <w:rsid w:val="007559E3"/>
    <w:rsid w:val="00757D76"/>
    <w:rsid w:val="007613E3"/>
    <w:rsid w:val="007627BF"/>
    <w:rsid w:val="00767319"/>
    <w:rsid w:val="00771287"/>
    <w:rsid w:val="00772858"/>
    <w:rsid w:val="007748A9"/>
    <w:rsid w:val="007767B9"/>
    <w:rsid w:val="007775AC"/>
    <w:rsid w:val="007855A6"/>
    <w:rsid w:val="007878D9"/>
    <w:rsid w:val="007A0364"/>
    <w:rsid w:val="007A6CC2"/>
    <w:rsid w:val="007A7D91"/>
    <w:rsid w:val="007B21D5"/>
    <w:rsid w:val="007B4D2D"/>
    <w:rsid w:val="007B7915"/>
    <w:rsid w:val="007C1E14"/>
    <w:rsid w:val="007C40DF"/>
    <w:rsid w:val="007C44E9"/>
    <w:rsid w:val="007D76AD"/>
    <w:rsid w:val="007E14FE"/>
    <w:rsid w:val="007E293F"/>
    <w:rsid w:val="007F09A7"/>
    <w:rsid w:val="007F21E0"/>
    <w:rsid w:val="007F26BF"/>
    <w:rsid w:val="007F3772"/>
    <w:rsid w:val="007F3DA8"/>
    <w:rsid w:val="0080017F"/>
    <w:rsid w:val="00803661"/>
    <w:rsid w:val="00810809"/>
    <w:rsid w:val="008168E2"/>
    <w:rsid w:val="00817062"/>
    <w:rsid w:val="0081749E"/>
    <w:rsid w:val="008315B5"/>
    <w:rsid w:val="008362DC"/>
    <w:rsid w:val="008404FB"/>
    <w:rsid w:val="00841C28"/>
    <w:rsid w:val="0084328B"/>
    <w:rsid w:val="00843CAF"/>
    <w:rsid w:val="008515C0"/>
    <w:rsid w:val="008539F7"/>
    <w:rsid w:val="0086320E"/>
    <w:rsid w:val="00863563"/>
    <w:rsid w:val="00866888"/>
    <w:rsid w:val="00874ED8"/>
    <w:rsid w:val="00875319"/>
    <w:rsid w:val="0087643D"/>
    <w:rsid w:val="00876D25"/>
    <w:rsid w:val="008802C2"/>
    <w:rsid w:val="00880EAA"/>
    <w:rsid w:val="00896B12"/>
    <w:rsid w:val="00897D38"/>
    <w:rsid w:val="008A04CD"/>
    <w:rsid w:val="008A0E12"/>
    <w:rsid w:val="008A10B3"/>
    <w:rsid w:val="008A19C8"/>
    <w:rsid w:val="008A42E6"/>
    <w:rsid w:val="008A4D0D"/>
    <w:rsid w:val="008A5AE4"/>
    <w:rsid w:val="008A5D61"/>
    <w:rsid w:val="008B1140"/>
    <w:rsid w:val="008C4673"/>
    <w:rsid w:val="008C4E61"/>
    <w:rsid w:val="008C688D"/>
    <w:rsid w:val="008D000E"/>
    <w:rsid w:val="008D1F4B"/>
    <w:rsid w:val="008D4F95"/>
    <w:rsid w:val="008D63FA"/>
    <w:rsid w:val="008E0EC9"/>
    <w:rsid w:val="008E1074"/>
    <w:rsid w:val="008E36E0"/>
    <w:rsid w:val="008E4742"/>
    <w:rsid w:val="008F5646"/>
    <w:rsid w:val="008F7111"/>
    <w:rsid w:val="008F7549"/>
    <w:rsid w:val="00901AD9"/>
    <w:rsid w:val="00902954"/>
    <w:rsid w:val="00912C8A"/>
    <w:rsid w:val="00915399"/>
    <w:rsid w:val="00922AB3"/>
    <w:rsid w:val="00932DF7"/>
    <w:rsid w:val="009339CB"/>
    <w:rsid w:val="009344F4"/>
    <w:rsid w:val="00934616"/>
    <w:rsid w:val="00935452"/>
    <w:rsid w:val="0094310E"/>
    <w:rsid w:val="00957442"/>
    <w:rsid w:val="00962621"/>
    <w:rsid w:val="00965D26"/>
    <w:rsid w:val="00967630"/>
    <w:rsid w:val="00970FDD"/>
    <w:rsid w:val="0097254A"/>
    <w:rsid w:val="00973D80"/>
    <w:rsid w:val="00981856"/>
    <w:rsid w:val="009943BD"/>
    <w:rsid w:val="009A396B"/>
    <w:rsid w:val="009A4444"/>
    <w:rsid w:val="009B3A2E"/>
    <w:rsid w:val="009B76F3"/>
    <w:rsid w:val="009B7A68"/>
    <w:rsid w:val="009C39F4"/>
    <w:rsid w:val="009C3F6E"/>
    <w:rsid w:val="009C65CA"/>
    <w:rsid w:val="009C6C3E"/>
    <w:rsid w:val="009C76CB"/>
    <w:rsid w:val="009D55EA"/>
    <w:rsid w:val="009E401B"/>
    <w:rsid w:val="009E52D8"/>
    <w:rsid w:val="009F7665"/>
    <w:rsid w:val="00A02715"/>
    <w:rsid w:val="00A04589"/>
    <w:rsid w:val="00A04E12"/>
    <w:rsid w:val="00A13499"/>
    <w:rsid w:val="00A144C4"/>
    <w:rsid w:val="00A15AB9"/>
    <w:rsid w:val="00A23B2D"/>
    <w:rsid w:val="00A3087B"/>
    <w:rsid w:val="00A30F3F"/>
    <w:rsid w:val="00A35234"/>
    <w:rsid w:val="00A3535F"/>
    <w:rsid w:val="00A40063"/>
    <w:rsid w:val="00A417E9"/>
    <w:rsid w:val="00A42FA0"/>
    <w:rsid w:val="00A439CE"/>
    <w:rsid w:val="00A539E4"/>
    <w:rsid w:val="00A54129"/>
    <w:rsid w:val="00A54C07"/>
    <w:rsid w:val="00A606C3"/>
    <w:rsid w:val="00A60E06"/>
    <w:rsid w:val="00A61953"/>
    <w:rsid w:val="00A66069"/>
    <w:rsid w:val="00A72B83"/>
    <w:rsid w:val="00A73787"/>
    <w:rsid w:val="00A86E73"/>
    <w:rsid w:val="00A87FA5"/>
    <w:rsid w:val="00A90CE6"/>
    <w:rsid w:val="00A94931"/>
    <w:rsid w:val="00AA53E2"/>
    <w:rsid w:val="00AA69EA"/>
    <w:rsid w:val="00AB10DD"/>
    <w:rsid w:val="00AB3E6E"/>
    <w:rsid w:val="00AB5462"/>
    <w:rsid w:val="00AB6B17"/>
    <w:rsid w:val="00AC1367"/>
    <w:rsid w:val="00AD0A1F"/>
    <w:rsid w:val="00AD2218"/>
    <w:rsid w:val="00AE1B96"/>
    <w:rsid w:val="00AE3E48"/>
    <w:rsid w:val="00AE62C2"/>
    <w:rsid w:val="00AE7DF0"/>
    <w:rsid w:val="00AF1C63"/>
    <w:rsid w:val="00AF6E2D"/>
    <w:rsid w:val="00AF73DE"/>
    <w:rsid w:val="00B0396B"/>
    <w:rsid w:val="00B05ABD"/>
    <w:rsid w:val="00B07654"/>
    <w:rsid w:val="00B10DA6"/>
    <w:rsid w:val="00B11C14"/>
    <w:rsid w:val="00B20597"/>
    <w:rsid w:val="00B22CB4"/>
    <w:rsid w:val="00B24175"/>
    <w:rsid w:val="00B264E5"/>
    <w:rsid w:val="00B2653C"/>
    <w:rsid w:val="00B26D33"/>
    <w:rsid w:val="00B27DB6"/>
    <w:rsid w:val="00B3452E"/>
    <w:rsid w:val="00B370D9"/>
    <w:rsid w:val="00B514AB"/>
    <w:rsid w:val="00B5334E"/>
    <w:rsid w:val="00B54436"/>
    <w:rsid w:val="00B73F4D"/>
    <w:rsid w:val="00B748C5"/>
    <w:rsid w:val="00B76D29"/>
    <w:rsid w:val="00B80E2F"/>
    <w:rsid w:val="00B8166A"/>
    <w:rsid w:val="00B871A4"/>
    <w:rsid w:val="00B87C91"/>
    <w:rsid w:val="00B90C54"/>
    <w:rsid w:val="00B915C2"/>
    <w:rsid w:val="00B970C9"/>
    <w:rsid w:val="00BA2446"/>
    <w:rsid w:val="00BA29FD"/>
    <w:rsid w:val="00BA49B5"/>
    <w:rsid w:val="00BA70F3"/>
    <w:rsid w:val="00BB00B2"/>
    <w:rsid w:val="00BC18A8"/>
    <w:rsid w:val="00BC382F"/>
    <w:rsid w:val="00BC3C11"/>
    <w:rsid w:val="00BC6CC1"/>
    <w:rsid w:val="00BD0330"/>
    <w:rsid w:val="00BD04CA"/>
    <w:rsid w:val="00BD0CDF"/>
    <w:rsid w:val="00BD7AE8"/>
    <w:rsid w:val="00BE315C"/>
    <w:rsid w:val="00BE3533"/>
    <w:rsid w:val="00BE4384"/>
    <w:rsid w:val="00BF0985"/>
    <w:rsid w:val="00BF6C03"/>
    <w:rsid w:val="00C00148"/>
    <w:rsid w:val="00C01856"/>
    <w:rsid w:val="00C12481"/>
    <w:rsid w:val="00C12D74"/>
    <w:rsid w:val="00C15FBB"/>
    <w:rsid w:val="00C16173"/>
    <w:rsid w:val="00C203C9"/>
    <w:rsid w:val="00C2237A"/>
    <w:rsid w:val="00C2497B"/>
    <w:rsid w:val="00C252A3"/>
    <w:rsid w:val="00C30706"/>
    <w:rsid w:val="00C4164D"/>
    <w:rsid w:val="00C41CA3"/>
    <w:rsid w:val="00C4246B"/>
    <w:rsid w:val="00C436BE"/>
    <w:rsid w:val="00C44F68"/>
    <w:rsid w:val="00C50837"/>
    <w:rsid w:val="00C53C7E"/>
    <w:rsid w:val="00C561E9"/>
    <w:rsid w:val="00C56418"/>
    <w:rsid w:val="00C65302"/>
    <w:rsid w:val="00C662CF"/>
    <w:rsid w:val="00C67D80"/>
    <w:rsid w:val="00C71BA5"/>
    <w:rsid w:val="00C75C92"/>
    <w:rsid w:val="00C75F31"/>
    <w:rsid w:val="00C776FA"/>
    <w:rsid w:val="00C82E55"/>
    <w:rsid w:val="00C853FA"/>
    <w:rsid w:val="00C934E1"/>
    <w:rsid w:val="00C963DA"/>
    <w:rsid w:val="00CA0330"/>
    <w:rsid w:val="00CA25EB"/>
    <w:rsid w:val="00CA28DD"/>
    <w:rsid w:val="00CB23BB"/>
    <w:rsid w:val="00CB79DF"/>
    <w:rsid w:val="00CC3FB2"/>
    <w:rsid w:val="00CC4BF8"/>
    <w:rsid w:val="00CC7DA2"/>
    <w:rsid w:val="00CD0AFB"/>
    <w:rsid w:val="00CD2E77"/>
    <w:rsid w:val="00CE4BA3"/>
    <w:rsid w:val="00CE4CDE"/>
    <w:rsid w:val="00CF0A97"/>
    <w:rsid w:val="00CF1A6E"/>
    <w:rsid w:val="00CF2375"/>
    <w:rsid w:val="00CF49E4"/>
    <w:rsid w:val="00CF5B54"/>
    <w:rsid w:val="00CF729E"/>
    <w:rsid w:val="00D04087"/>
    <w:rsid w:val="00D04BF8"/>
    <w:rsid w:val="00D10022"/>
    <w:rsid w:val="00D12626"/>
    <w:rsid w:val="00D133FD"/>
    <w:rsid w:val="00D20DA5"/>
    <w:rsid w:val="00D21782"/>
    <w:rsid w:val="00D22B82"/>
    <w:rsid w:val="00D26323"/>
    <w:rsid w:val="00D30178"/>
    <w:rsid w:val="00D30464"/>
    <w:rsid w:val="00D320FC"/>
    <w:rsid w:val="00D363B1"/>
    <w:rsid w:val="00D367AA"/>
    <w:rsid w:val="00D37097"/>
    <w:rsid w:val="00D41714"/>
    <w:rsid w:val="00D42EB9"/>
    <w:rsid w:val="00D477D5"/>
    <w:rsid w:val="00D51778"/>
    <w:rsid w:val="00D5303A"/>
    <w:rsid w:val="00D55111"/>
    <w:rsid w:val="00D56369"/>
    <w:rsid w:val="00D643AF"/>
    <w:rsid w:val="00D6593B"/>
    <w:rsid w:val="00D6671D"/>
    <w:rsid w:val="00D72920"/>
    <w:rsid w:val="00D751C0"/>
    <w:rsid w:val="00D7749A"/>
    <w:rsid w:val="00D83526"/>
    <w:rsid w:val="00D85BB3"/>
    <w:rsid w:val="00D87560"/>
    <w:rsid w:val="00D92FE0"/>
    <w:rsid w:val="00D94DC7"/>
    <w:rsid w:val="00DA1062"/>
    <w:rsid w:val="00DB12AA"/>
    <w:rsid w:val="00DB1894"/>
    <w:rsid w:val="00DB52E2"/>
    <w:rsid w:val="00DB5463"/>
    <w:rsid w:val="00DB7693"/>
    <w:rsid w:val="00DC0343"/>
    <w:rsid w:val="00DC34B1"/>
    <w:rsid w:val="00DC5B7F"/>
    <w:rsid w:val="00DC7CE8"/>
    <w:rsid w:val="00DD38F9"/>
    <w:rsid w:val="00DD3CFB"/>
    <w:rsid w:val="00DD43D1"/>
    <w:rsid w:val="00DD45C6"/>
    <w:rsid w:val="00DE32BA"/>
    <w:rsid w:val="00DF1FD7"/>
    <w:rsid w:val="00DF671F"/>
    <w:rsid w:val="00E00402"/>
    <w:rsid w:val="00E03D82"/>
    <w:rsid w:val="00E07763"/>
    <w:rsid w:val="00E07F8C"/>
    <w:rsid w:val="00E11C67"/>
    <w:rsid w:val="00E12F02"/>
    <w:rsid w:val="00E15607"/>
    <w:rsid w:val="00E2429C"/>
    <w:rsid w:val="00E3006D"/>
    <w:rsid w:val="00E36A7F"/>
    <w:rsid w:val="00E37967"/>
    <w:rsid w:val="00E40F0E"/>
    <w:rsid w:val="00E41252"/>
    <w:rsid w:val="00E42A73"/>
    <w:rsid w:val="00E42E7B"/>
    <w:rsid w:val="00E43CCD"/>
    <w:rsid w:val="00E44719"/>
    <w:rsid w:val="00E44E9E"/>
    <w:rsid w:val="00E50E44"/>
    <w:rsid w:val="00E51812"/>
    <w:rsid w:val="00E56742"/>
    <w:rsid w:val="00E60742"/>
    <w:rsid w:val="00E62F87"/>
    <w:rsid w:val="00E63B24"/>
    <w:rsid w:val="00E65D20"/>
    <w:rsid w:val="00E7125F"/>
    <w:rsid w:val="00E76C2B"/>
    <w:rsid w:val="00E852CB"/>
    <w:rsid w:val="00E93B16"/>
    <w:rsid w:val="00E9475E"/>
    <w:rsid w:val="00E949D6"/>
    <w:rsid w:val="00E9510F"/>
    <w:rsid w:val="00EA146E"/>
    <w:rsid w:val="00EA1B05"/>
    <w:rsid w:val="00EA56ED"/>
    <w:rsid w:val="00EB0399"/>
    <w:rsid w:val="00EB07D3"/>
    <w:rsid w:val="00EB252B"/>
    <w:rsid w:val="00EB302A"/>
    <w:rsid w:val="00EB5783"/>
    <w:rsid w:val="00EC18CA"/>
    <w:rsid w:val="00EC1942"/>
    <w:rsid w:val="00EC31EE"/>
    <w:rsid w:val="00EC3A0E"/>
    <w:rsid w:val="00EC577B"/>
    <w:rsid w:val="00ED3016"/>
    <w:rsid w:val="00ED449C"/>
    <w:rsid w:val="00ED55FC"/>
    <w:rsid w:val="00ED65A1"/>
    <w:rsid w:val="00ED794F"/>
    <w:rsid w:val="00EE2014"/>
    <w:rsid w:val="00EE2365"/>
    <w:rsid w:val="00EE59C5"/>
    <w:rsid w:val="00EE616F"/>
    <w:rsid w:val="00EE62E2"/>
    <w:rsid w:val="00EE6909"/>
    <w:rsid w:val="00EF17C7"/>
    <w:rsid w:val="00EF2646"/>
    <w:rsid w:val="00EF5484"/>
    <w:rsid w:val="00EF69DC"/>
    <w:rsid w:val="00F11521"/>
    <w:rsid w:val="00F1339F"/>
    <w:rsid w:val="00F148AA"/>
    <w:rsid w:val="00F14D79"/>
    <w:rsid w:val="00F151D4"/>
    <w:rsid w:val="00F16A97"/>
    <w:rsid w:val="00F228AC"/>
    <w:rsid w:val="00F22FF8"/>
    <w:rsid w:val="00F5265B"/>
    <w:rsid w:val="00F63F58"/>
    <w:rsid w:val="00F676E0"/>
    <w:rsid w:val="00F7099A"/>
    <w:rsid w:val="00F7194B"/>
    <w:rsid w:val="00F776C8"/>
    <w:rsid w:val="00F84159"/>
    <w:rsid w:val="00F8419A"/>
    <w:rsid w:val="00F85A96"/>
    <w:rsid w:val="00F86F81"/>
    <w:rsid w:val="00F94833"/>
    <w:rsid w:val="00F96DC2"/>
    <w:rsid w:val="00F96F9A"/>
    <w:rsid w:val="00FA06E1"/>
    <w:rsid w:val="00FA3E3E"/>
    <w:rsid w:val="00FB5810"/>
    <w:rsid w:val="00FC7723"/>
    <w:rsid w:val="00FD1ADA"/>
    <w:rsid w:val="00FD5C4F"/>
    <w:rsid w:val="00FE0742"/>
    <w:rsid w:val="00FE1F08"/>
    <w:rsid w:val="00FE673A"/>
    <w:rsid w:val="00FF079A"/>
    <w:rsid w:val="00FF2CCD"/>
    <w:rsid w:val="00FF3051"/>
    <w:rsid w:val="00FF375B"/>
    <w:rsid w:val="00FF3D72"/>
    <w:rsid w:val="00FF6424"/>
    <w:rsid w:val="00FF7122"/>
    <w:rsid w:val="00FF7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24844"/>
  <w15:chartTrackingRefBased/>
  <w15:docId w15:val="{92F937B2-AFA6-3542-8CDF-E44201C6E3C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ED"/>
    <w:rPr>
      <w:rFonts w:ascii="Times New Roman" w:eastAsia="Times New Roman" w:hAnsi="Times New Roman" w:cs="Times New Roman"/>
      <w:kern w:val="0"/>
      <w:lang w:eastAsia="ja-JP"/>
      <w14:ligatures w14:val="none"/>
    </w:rPr>
  </w:style>
  <w:style w:type="paragraph" w:styleId="Heading1">
    <w:name w:val="heading 1"/>
    <w:basedOn w:val="Normal"/>
    <w:next w:val="Normal"/>
    <w:link w:val="Heading1Char"/>
    <w:uiPriority w:val="9"/>
    <w:qFormat/>
    <w:rsid w:val="0062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B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B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B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B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B30"/>
    <w:rPr>
      <w:rFonts w:eastAsiaTheme="majorEastAsia" w:cstheme="majorBidi"/>
      <w:color w:val="272727" w:themeColor="text1" w:themeTint="D8"/>
    </w:rPr>
  </w:style>
  <w:style w:type="paragraph" w:styleId="Title">
    <w:name w:val="Title"/>
    <w:basedOn w:val="Normal"/>
    <w:next w:val="Normal"/>
    <w:link w:val="TitleChar"/>
    <w:uiPriority w:val="10"/>
    <w:qFormat/>
    <w:rsid w:val="00625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B30"/>
    <w:rPr>
      <w:i/>
      <w:iCs/>
      <w:color w:val="404040" w:themeColor="text1" w:themeTint="BF"/>
    </w:rPr>
  </w:style>
  <w:style w:type="paragraph" w:styleId="ListParagraph">
    <w:name w:val="List Paragraph"/>
    <w:basedOn w:val="Normal"/>
    <w:uiPriority w:val="34"/>
    <w:qFormat/>
    <w:rsid w:val="00625B30"/>
    <w:pPr>
      <w:ind w:left="720"/>
      <w:contextualSpacing/>
    </w:pPr>
  </w:style>
  <w:style w:type="character" w:styleId="IntenseEmphasis">
    <w:name w:val="Intense Emphasis"/>
    <w:basedOn w:val="DefaultParagraphFont"/>
    <w:uiPriority w:val="21"/>
    <w:qFormat/>
    <w:rsid w:val="00625B30"/>
    <w:rPr>
      <w:i/>
      <w:iCs/>
      <w:color w:val="0F4761" w:themeColor="accent1" w:themeShade="BF"/>
    </w:rPr>
  </w:style>
  <w:style w:type="paragraph" w:styleId="IntenseQuote">
    <w:name w:val="Intense Quote"/>
    <w:basedOn w:val="Normal"/>
    <w:next w:val="Normal"/>
    <w:link w:val="IntenseQuoteChar"/>
    <w:uiPriority w:val="30"/>
    <w:qFormat/>
    <w:rsid w:val="0062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B30"/>
    <w:rPr>
      <w:i/>
      <w:iCs/>
      <w:color w:val="0F4761" w:themeColor="accent1" w:themeShade="BF"/>
    </w:rPr>
  </w:style>
  <w:style w:type="character" w:styleId="IntenseReference">
    <w:name w:val="Intense Reference"/>
    <w:basedOn w:val="DefaultParagraphFont"/>
    <w:uiPriority w:val="32"/>
    <w:qFormat/>
    <w:rsid w:val="00625B30"/>
    <w:rPr>
      <w:b/>
      <w:bCs/>
      <w:smallCaps/>
      <w:color w:val="0F4761" w:themeColor="accent1" w:themeShade="BF"/>
      <w:spacing w:val="5"/>
    </w:rPr>
  </w:style>
  <w:style w:type="table" w:styleId="TableGrid">
    <w:name w:val="Table Grid"/>
    <w:basedOn w:val="TableNormal"/>
    <w:rsid w:val="00625B30"/>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rsid w:val="00625B30"/>
    <w:pPr>
      <w:keepNext/>
      <w:suppressAutoHyphens/>
      <w:jc w:val="center"/>
    </w:pPr>
    <w:rPr>
      <w:rFonts w:ascii="Helvetica" w:hAnsi="Helvetica"/>
      <w:b/>
      <w:sz w:val="26"/>
      <w:szCs w:val="20"/>
    </w:rPr>
  </w:style>
  <w:style w:type="paragraph" w:styleId="Caption">
    <w:name w:val="caption"/>
    <w:basedOn w:val="Normal"/>
    <w:next w:val="Normal"/>
    <w:uiPriority w:val="35"/>
    <w:unhideWhenUsed/>
    <w:qFormat/>
    <w:rsid w:val="00625B30"/>
    <w:pPr>
      <w:spacing w:after="200"/>
    </w:pPr>
    <w:rPr>
      <w:i/>
      <w:iCs/>
      <w:color w:val="0E2841" w:themeColor="text2"/>
      <w:sz w:val="18"/>
      <w:szCs w:val="18"/>
    </w:rPr>
  </w:style>
  <w:style w:type="paragraph" w:styleId="FootnoteText">
    <w:name w:val="footnote text"/>
    <w:basedOn w:val="Normal"/>
    <w:link w:val="FootnoteTextChar"/>
    <w:uiPriority w:val="99"/>
    <w:rsid w:val="00625B30"/>
    <w:pPr>
      <w:spacing w:after="120"/>
    </w:pPr>
    <w:rPr>
      <w:sz w:val="22"/>
      <w:szCs w:val="20"/>
    </w:rPr>
  </w:style>
  <w:style w:type="character" w:customStyle="1" w:styleId="FootnoteTextChar">
    <w:name w:val="Footnote Text Char"/>
    <w:basedOn w:val="DefaultParagraphFont"/>
    <w:link w:val="FootnoteText"/>
    <w:uiPriority w:val="99"/>
    <w:rsid w:val="00625B30"/>
    <w:rPr>
      <w:rFonts w:ascii="Times New Roman" w:eastAsia="Times New Roman" w:hAnsi="Times New Roman" w:cs="Times New Roman"/>
      <w:kern w:val="0"/>
      <w:sz w:val="22"/>
      <w:szCs w:val="20"/>
      <w14:ligatures w14:val="none"/>
    </w:rPr>
  </w:style>
  <w:style w:type="character" w:styleId="FootnoteReference">
    <w:name w:val="footnote reference"/>
    <w:uiPriority w:val="99"/>
    <w:rsid w:val="00625B30"/>
    <w:rPr>
      <w:vertAlign w:val="superscript"/>
    </w:rPr>
  </w:style>
  <w:style w:type="character" w:styleId="Hyperlink">
    <w:name w:val="Hyperlink"/>
    <w:rsid w:val="00625B30"/>
    <w:rPr>
      <w:color w:val="3754D4"/>
      <w:u w:val="single"/>
    </w:rPr>
  </w:style>
  <w:style w:type="character" w:customStyle="1" w:styleId="standardChar">
    <w:name w:val="standard Char"/>
    <w:link w:val="standard"/>
    <w:locked/>
    <w:rsid w:val="00ED55FC"/>
    <w:rPr>
      <w:rFonts w:ascii="Palatino" w:hAnsi="Palatino"/>
      <w:sz w:val="26"/>
    </w:rPr>
  </w:style>
  <w:style w:type="paragraph" w:customStyle="1" w:styleId="standard">
    <w:name w:val="standard"/>
    <w:basedOn w:val="Normal"/>
    <w:link w:val="standardChar"/>
    <w:rsid w:val="00ED55FC"/>
    <w:pPr>
      <w:spacing w:line="360" w:lineRule="auto"/>
      <w:ind w:firstLine="720"/>
    </w:pPr>
    <w:rPr>
      <w:rFonts w:ascii="Palatino" w:eastAsiaTheme="minorHAnsi" w:hAnsi="Palatino" w:cstheme="minorBidi"/>
      <w:kern w:val="2"/>
      <w:sz w:val="26"/>
      <w14:ligatures w14:val="standardContextual"/>
    </w:rPr>
  </w:style>
  <w:style w:type="paragraph" w:styleId="Header">
    <w:name w:val="header"/>
    <w:basedOn w:val="Normal"/>
    <w:link w:val="HeaderChar"/>
    <w:uiPriority w:val="99"/>
    <w:unhideWhenUsed/>
    <w:rsid w:val="00965D26"/>
    <w:pPr>
      <w:tabs>
        <w:tab w:val="center" w:pos="4680"/>
        <w:tab w:val="right" w:pos="9360"/>
      </w:tabs>
    </w:pPr>
  </w:style>
  <w:style w:type="character" w:customStyle="1" w:styleId="HeaderChar">
    <w:name w:val="Header Char"/>
    <w:basedOn w:val="DefaultParagraphFont"/>
    <w:link w:val="Header"/>
    <w:uiPriority w:val="99"/>
    <w:rsid w:val="00965D2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65D26"/>
    <w:pPr>
      <w:tabs>
        <w:tab w:val="center" w:pos="4680"/>
        <w:tab w:val="right" w:pos="9360"/>
      </w:tabs>
    </w:pPr>
  </w:style>
  <w:style w:type="character" w:customStyle="1" w:styleId="FooterChar">
    <w:name w:val="Footer Char"/>
    <w:basedOn w:val="DefaultParagraphFont"/>
    <w:link w:val="Footer"/>
    <w:uiPriority w:val="99"/>
    <w:rsid w:val="00965D26"/>
    <w:rPr>
      <w:rFonts w:ascii="Times New Roman" w:eastAsia="Times New Roman" w:hAnsi="Times New Roman" w:cs="Times New Roman"/>
      <w:kern w:val="0"/>
      <w14:ligatures w14:val="none"/>
    </w:rPr>
  </w:style>
  <w:style w:type="paragraph" w:styleId="Revision">
    <w:name w:val="Revision"/>
    <w:hidden/>
    <w:uiPriority w:val="99"/>
    <w:semiHidden/>
    <w:rsid w:val="002B3AC3"/>
    <w:rPr>
      <w:rFonts w:ascii="Times New Roman" w:eastAsia="Times New Roman" w:hAnsi="Times New Roman" w:cs="Times New Roman"/>
      <w:kern w:val="0"/>
      <w:lang w:eastAsia="ja-JP"/>
      <w14:ligatures w14:val="none"/>
    </w:rPr>
  </w:style>
  <w:style w:type="character" w:styleId="CommentReference">
    <w:name w:val="annotation reference"/>
    <w:basedOn w:val="DefaultParagraphFont"/>
    <w:uiPriority w:val="99"/>
    <w:semiHidden/>
    <w:unhideWhenUsed/>
    <w:rsid w:val="00146AEE"/>
    <w:rPr>
      <w:sz w:val="16"/>
      <w:szCs w:val="16"/>
    </w:rPr>
  </w:style>
  <w:style w:type="paragraph" w:styleId="CommentText">
    <w:name w:val="annotation text"/>
    <w:basedOn w:val="Normal"/>
    <w:link w:val="CommentTextChar"/>
    <w:uiPriority w:val="99"/>
    <w:unhideWhenUsed/>
    <w:rsid w:val="00146AEE"/>
    <w:rPr>
      <w:sz w:val="20"/>
      <w:szCs w:val="20"/>
    </w:rPr>
  </w:style>
  <w:style w:type="character" w:customStyle="1" w:styleId="CommentTextChar">
    <w:name w:val="Comment Text Char"/>
    <w:basedOn w:val="DefaultParagraphFont"/>
    <w:link w:val="CommentText"/>
    <w:uiPriority w:val="99"/>
    <w:rsid w:val="00146AEE"/>
    <w:rPr>
      <w:rFonts w:ascii="Times New Roman" w:eastAsia="Times New Roman" w:hAnsi="Times New Roman" w:cs="Times New Roman"/>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146AEE"/>
    <w:rPr>
      <w:b/>
      <w:bCs/>
    </w:rPr>
  </w:style>
  <w:style w:type="character" w:customStyle="1" w:styleId="CommentSubjectChar">
    <w:name w:val="Comment Subject Char"/>
    <w:basedOn w:val="CommentTextChar"/>
    <w:link w:val="CommentSubject"/>
    <w:uiPriority w:val="99"/>
    <w:semiHidden/>
    <w:rsid w:val="00146AEE"/>
    <w:rPr>
      <w:rFonts w:ascii="Times New Roman" w:eastAsia="Times New Roman" w:hAnsi="Times New Roman" w:cs="Times New Roman"/>
      <w:b/>
      <w:bCs/>
      <w:kern w:val="0"/>
      <w:sz w:val="20"/>
      <w:szCs w:val="20"/>
      <w:lang w:eastAsia="ja-JP"/>
      <w14:ligatures w14:val="none"/>
    </w:rPr>
  </w:style>
  <w:style w:type="paragraph" w:customStyle="1" w:styleId="p1">
    <w:name w:val="p1"/>
    <w:basedOn w:val="Normal"/>
    <w:rsid w:val="001E7560"/>
    <w:rPr>
      <w:color w:val="000000"/>
      <w:sz w:val="18"/>
      <w:szCs w:val="18"/>
      <w:lang w:eastAsia="zh-CN"/>
    </w:rPr>
  </w:style>
  <w:style w:type="character" w:customStyle="1" w:styleId="apple-converted-space">
    <w:name w:val="apple-converted-space"/>
    <w:basedOn w:val="DefaultParagraphFont"/>
    <w:rsid w:val="00EB07D3"/>
  </w:style>
  <w:style w:type="character" w:customStyle="1" w:styleId="s1">
    <w:name w:val="s1"/>
    <w:basedOn w:val="DefaultParagraphFont"/>
    <w:rsid w:val="00A539E4"/>
    <w:rPr>
      <w:rFonts w:ascii="Helvetica" w:hAnsi="Helvetica" w:hint="default"/>
      <w:sz w:val="13"/>
      <w:szCs w:val="13"/>
    </w:rPr>
  </w:style>
  <w:style w:type="paragraph" w:styleId="NormalWeb">
    <w:name w:val="Normal (Web)"/>
    <w:basedOn w:val="Normal"/>
    <w:uiPriority w:val="99"/>
    <w:unhideWhenUsed/>
    <w:rsid w:val="008E4742"/>
    <w:pPr>
      <w:spacing w:before="100" w:beforeAutospacing="1" w:after="100" w:afterAutospacing="1"/>
    </w:pPr>
    <w:rPr>
      <w:lang w:eastAsia="zh-CN"/>
    </w:rPr>
  </w:style>
  <w:style w:type="character" w:styleId="UnresolvedMention">
    <w:name w:val="Unresolved Mention"/>
    <w:basedOn w:val="DefaultParagraphFont"/>
    <w:uiPriority w:val="99"/>
    <w:semiHidden/>
    <w:unhideWhenUsed/>
    <w:rsid w:val="00A30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889C-B1E4-48C5-9129-B675F5362F3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7300</ap:Words>
  <ap:Characters>41611</ap:Characters>
  <ap:Application>Microsoft Office Word</ap:Application>
  <ap:DocSecurity>0</ap:DocSecurity>
  <ap:Lines>346</ap:Lines>
  <ap:Paragraphs>97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48814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2025-09-25T18:41:00Z</cp:lastPrinted>
  <dcterms:created xsi:type="dcterms:W3CDTF">2026-05-18T11:52:59Z</dcterms:created>
  <dcterms:modified xsi:type="dcterms:W3CDTF">2026-05-18T11:52:59Z</dcterms:modified>
</cp:coreProperties>
</file>