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6D18" w:rsidR="00696D18" w:rsidP="00696D18" w:rsidRDefault="005169D9" w14:paraId="30CD6A54" w14:textId="492AB3D8">
      <w:pPr>
        <w:tabs>
          <w:tab w:val="center" w:pos="4680"/>
          <w:tab w:val="right" w:pos="9360"/>
        </w:tabs>
      </w:pPr>
      <w:r w:rsidRPr="00696D18">
        <w:rPr>
          <w:color w:val="000000"/>
        </w:rPr>
        <w:t>ALJ/CR2/</w:t>
      </w:r>
      <w:proofErr w:type="spellStart"/>
      <w:r w:rsidRPr="00696D18">
        <w:rPr>
          <w:color w:val="000000"/>
        </w:rPr>
        <w:t>vhj</w:t>
      </w:r>
      <w:proofErr w:type="spellEnd"/>
      <w:r w:rsidRPr="00696D18">
        <w:tab/>
      </w:r>
      <w:r w:rsidRPr="00696D18">
        <w:rPr>
          <w:b/>
          <w:bCs/>
        </w:rPr>
        <w:tab/>
      </w:r>
      <w:r w:rsidR="009F32C6">
        <w:rPr>
          <w:b/>
          <w:bCs/>
        </w:rPr>
        <w:t>Date of Issuance 5/19/2026</w:t>
      </w:r>
    </w:p>
    <w:p w:rsidR="009F32C6" w:rsidRDefault="009F32C6" w14:paraId="3985E8B6" w14:textId="77777777">
      <w:pPr>
        <w:suppressAutoHyphens/>
        <w:rPr>
          <w:color w:val="000000"/>
        </w:rPr>
      </w:pPr>
    </w:p>
    <w:p w:rsidR="00D63F44" w:rsidRDefault="00D63F44" w14:paraId="03DC6EDB" w14:textId="77777777">
      <w:pPr>
        <w:suppressAutoHyphens/>
        <w:rPr>
          <w:color w:val="000000"/>
        </w:rPr>
      </w:pPr>
    </w:p>
    <w:p w:rsidRPr="007F620E" w:rsidR="00A92D0B" w:rsidRDefault="00A92D0B" w14:paraId="5BDA9FD4" w14:textId="4BF4C885">
      <w:pPr>
        <w:suppressAutoHyphens/>
        <w:rPr>
          <w:color w:val="000000"/>
        </w:rPr>
      </w:pPr>
      <w:r w:rsidRPr="007F620E">
        <w:rPr>
          <w:color w:val="000000"/>
        </w:rPr>
        <w:t xml:space="preserve">Decision </w:t>
      </w:r>
      <w:r w:rsidRPr="009F32C6" w:rsidR="009F32C6">
        <w:rPr>
          <w:color w:val="000000"/>
        </w:rPr>
        <w:t>26-05-031</w:t>
      </w:r>
      <w:r w:rsidR="009F32C6">
        <w:rPr>
          <w:color w:val="000000"/>
        </w:rPr>
        <w:t xml:space="preserve"> May 14, 2026</w:t>
      </w:r>
    </w:p>
    <w:p w:rsidRPr="007F620E" w:rsidR="00A92D0B" w:rsidRDefault="00A92D0B" w14:paraId="6D327C87" w14:textId="77777777">
      <w:pPr>
        <w:pStyle w:val="titlebar"/>
        <w:rPr>
          <w:rFonts w:ascii="Times New Roman" w:hAnsi="Times New Roman"/>
          <w:color w:val="000000"/>
          <w:sz w:val="24"/>
          <w:szCs w:val="24"/>
        </w:rPr>
      </w:pPr>
    </w:p>
    <w:p w:rsidRPr="007F620E" w:rsidR="00A92D0B" w:rsidRDefault="00A92D0B" w14:paraId="44E03231" w14:textId="77777777">
      <w:pPr>
        <w:pStyle w:val="titlebar"/>
        <w:rPr>
          <w:rFonts w:ascii="Times New Roman" w:hAnsi="Times New Roman"/>
          <w:color w:val="000000"/>
          <w:sz w:val="24"/>
          <w:szCs w:val="24"/>
        </w:rPr>
      </w:pPr>
    </w:p>
    <w:p w:rsidRPr="0057088A" w:rsidR="00A92D0B" w:rsidRDefault="00A92D0B" w14:paraId="67F2520C" w14:textId="77777777">
      <w:pPr>
        <w:pStyle w:val="titlebar"/>
        <w:rPr>
          <w:rFonts w:ascii="Arial" w:hAnsi="Arial"/>
          <w:color w:val="000000"/>
          <w:sz w:val="24"/>
          <w:szCs w:val="24"/>
        </w:rPr>
      </w:pPr>
      <w:r w:rsidRPr="0057088A">
        <w:rPr>
          <w:rFonts w:ascii="Arial" w:hAnsi="Arial"/>
          <w:color w:val="000000"/>
          <w:sz w:val="24"/>
          <w:szCs w:val="24"/>
        </w:rPr>
        <w:t>BEFORE THE PUBLIC UTILITIES COMMISSION OF THE STATE OF CALIFORNIA</w:t>
      </w:r>
    </w:p>
    <w:p w:rsidRPr="007F620E" w:rsidR="00A92D0B" w:rsidRDefault="00A92D0B" w14:paraId="564284CD" w14:textId="77777777">
      <w:pPr>
        <w:suppressAutoHyphens/>
        <w:rPr>
          <w:color w:val="000000"/>
        </w:rPr>
      </w:pPr>
    </w:p>
    <w:tbl>
      <w:tblPr>
        <w:tblW w:w="9828" w:type="dxa"/>
        <w:tblBorders>
          <w:bottom w:val="single" w:color="auto" w:sz="4" w:space="0"/>
          <w:insideH w:val="single" w:color="auto" w:sz="4" w:space="0"/>
          <w:insideV w:val="single" w:color="auto" w:sz="4" w:space="0"/>
        </w:tblBorders>
        <w:tblLayout w:type="fixed"/>
        <w:tblLook w:val="0000" w:firstRow="0" w:lastRow="0" w:firstColumn="0" w:lastColumn="0" w:noHBand="0" w:noVBand="0"/>
      </w:tblPr>
      <w:tblGrid>
        <w:gridCol w:w="5958"/>
        <w:gridCol w:w="3870"/>
      </w:tblGrid>
      <w:tr w:rsidRPr="007F620E" w:rsidR="00A92D0B" w:rsidTr="00196D49" w14:paraId="3942D7B4" w14:textId="77777777">
        <w:tc>
          <w:tcPr>
            <w:tcW w:w="5958" w:type="dxa"/>
          </w:tcPr>
          <w:p w:rsidRPr="005169D9" w:rsidR="005169D9" w:rsidP="005D167C" w:rsidRDefault="0073793B" w14:paraId="47850BD9" w14:textId="310A2FA7">
            <w:pPr>
              <w:tabs>
                <w:tab w:val="left" w:pos="1440"/>
                <w:tab w:val="left" w:pos="3600"/>
              </w:tabs>
            </w:pPr>
            <w:r>
              <w:t>Application of Southern California Edison Company (U338-E) For Authority to Increase Its Authorized Revenues for Electric Service In 2025, Among Other Things, and to Reflect That Increase in Rates.</w:t>
            </w:r>
          </w:p>
        </w:tc>
        <w:tc>
          <w:tcPr>
            <w:tcW w:w="3870" w:type="dxa"/>
            <w:tcBorders>
              <w:top w:val="nil"/>
              <w:bottom w:val="nil"/>
            </w:tcBorders>
            <w:vAlign w:val="center"/>
          </w:tcPr>
          <w:p w:rsidRPr="00413178" w:rsidR="009B3410" w:rsidP="00196D49" w:rsidRDefault="009B3410" w14:paraId="79A82F32" w14:textId="77777777">
            <w:pPr>
              <w:jc w:val="center"/>
            </w:pPr>
            <w:r>
              <w:t>Application 23-05-010</w:t>
            </w:r>
          </w:p>
          <w:p w:rsidRPr="007F620E" w:rsidR="00A92D0B" w:rsidP="00196D49" w:rsidRDefault="009B3410" w14:paraId="4E5DC7CF" w14:textId="442778A4">
            <w:pPr>
              <w:tabs>
                <w:tab w:val="left" w:pos="1440"/>
                <w:tab w:val="left" w:pos="3600"/>
              </w:tabs>
              <w:jc w:val="center"/>
              <w:rPr>
                <w:color w:val="000000"/>
              </w:rPr>
            </w:pPr>
            <w:r>
              <w:t>Filed May 12, 2023</w:t>
            </w:r>
          </w:p>
          <w:p w:rsidRPr="007F620E" w:rsidR="00A92D0B" w:rsidP="009B3410" w:rsidRDefault="00A92D0B" w14:paraId="7EC7277D" w14:textId="77777777">
            <w:pPr>
              <w:jc w:val="right"/>
              <w:rPr>
                <w:color w:val="000000"/>
              </w:rPr>
            </w:pPr>
          </w:p>
        </w:tc>
      </w:tr>
    </w:tbl>
    <w:p w:rsidRPr="007F620E" w:rsidR="00FC72B7" w:rsidRDefault="00FC72B7" w14:paraId="5459E071" w14:textId="77777777">
      <w:pPr>
        <w:jc w:val="center"/>
        <w:rPr>
          <w:b/>
          <w:color w:val="000000"/>
        </w:rPr>
      </w:pPr>
    </w:p>
    <w:p w:rsidRPr="00555518" w:rsidR="00A92D0B" w:rsidP="00555518" w:rsidRDefault="007B70CF" w14:paraId="17BB0C52" w14:textId="4AF4DE0A">
      <w:pPr>
        <w:jc w:val="center"/>
        <w:rPr>
          <w:b/>
        </w:rPr>
      </w:pPr>
      <w:r>
        <w:rPr>
          <w:b/>
        </w:rPr>
        <w:t xml:space="preserve">DECISION GRANTING </w:t>
      </w:r>
      <w:r w:rsidRPr="00691528" w:rsidR="00A92D0B">
        <w:rPr>
          <w:b/>
        </w:rPr>
        <w:t xml:space="preserve">COMPENSATION </w:t>
      </w:r>
      <w:r>
        <w:rPr>
          <w:b/>
        </w:rPr>
        <w:t xml:space="preserve">TO </w:t>
      </w:r>
      <w:r w:rsidR="00555518">
        <w:rPr>
          <w:b/>
          <w:color w:val="000000"/>
        </w:rPr>
        <w:t>CENTER FOR ACCESSIBLE TECHNOLO</w:t>
      </w:r>
      <w:r w:rsidRPr="00EA601E" w:rsidR="00555518">
        <w:rPr>
          <w:b/>
          <w:color w:val="000000"/>
        </w:rPr>
        <w:t>GY</w:t>
      </w:r>
      <w:r w:rsidR="00EA601E">
        <w:rPr>
          <w:b/>
          <w:color w:val="000000"/>
        </w:rPr>
        <w:t xml:space="preserve"> </w:t>
      </w:r>
      <w:r w:rsidRPr="00EA601E">
        <w:rPr>
          <w:b/>
        </w:rPr>
        <w:t>FOR</w:t>
      </w:r>
      <w:r>
        <w:rPr>
          <w:b/>
        </w:rPr>
        <w:t xml:space="preserve"> </w:t>
      </w:r>
      <w:r w:rsidR="00087166">
        <w:rPr>
          <w:b/>
        </w:rPr>
        <w:t xml:space="preserve">SUBSTANTIAL </w:t>
      </w:r>
      <w:r>
        <w:rPr>
          <w:b/>
        </w:rPr>
        <w:t>CONTRIBUTION TO DECISION (D.) 25-09-030</w:t>
      </w:r>
    </w:p>
    <w:p w:rsidRPr="007F620E" w:rsidR="00A92D0B" w:rsidRDefault="00A92D0B" w14:paraId="4BEAFF75" w14:textId="77777777">
      <w:pPr>
        <w:suppressAutoHyphens/>
        <w:rPr>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3971"/>
        <w:gridCol w:w="5389"/>
      </w:tblGrid>
      <w:tr w:rsidRPr="007F620E" w:rsidR="00A92D0B" w:rsidTr="00196D49" w14:paraId="0FE98F62" w14:textId="77777777">
        <w:tc>
          <w:tcPr>
            <w:tcW w:w="3971" w:type="dxa"/>
          </w:tcPr>
          <w:p w:rsidRPr="00691528" w:rsidR="00A92D0B" w:rsidP="00C47A2B" w:rsidRDefault="005A63D4" w14:paraId="11570D4A" w14:textId="494164A9">
            <w:pPr>
              <w:tabs>
                <w:tab w:val="left" w:pos="1620"/>
                <w:tab w:val="right" w:pos="4500"/>
              </w:tabs>
              <w:rPr>
                <w:color w:val="000000"/>
              </w:rPr>
            </w:pPr>
            <w:r w:rsidRPr="007F620E">
              <w:rPr>
                <w:b/>
                <w:color w:val="000000"/>
              </w:rPr>
              <w:t>Intervenor</w:t>
            </w:r>
            <w:r w:rsidRPr="007F620E" w:rsidR="00F63C29">
              <w:rPr>
                <w:b/>
                <w:color w:val="000000"/>
              </w:rPr>
              <w:t>:</w:t>
            </w:r>
            <w:r w:rsidR="00691528">
              <w:rPr>
                <w:b/>
                <w:color w:val="000000"/>
              </w:rPr>
              <w:t xml:space="preserve"> </w:t>
            </w:r>
            <w:r w:rsidRPr="00FA38D4" w:rsidR="00FA38D4">
              <w:rPr>
                <w:bCs/>
                <w:color w:val="000000"/>
              </w:rPr>
              <w:t xml:space="preserve">Center </w:t>
            </w:r>
            <w:r w:rsidR="00FA38D4">
              <w:rPr>
                <w:bCs/>
                <w:color w:val="000000"/>
              </w:rPr>
              <w:t>f</w:t>
            </w:r>
            <w:r w:rsidRPr="00FA38D4" w:rsidR="00FA38D4">
              <w:rPr>
                <w:bCs/>
                <w:color w:val="000000"/>
              </w:rPr>
              <w:t>or Accessible Technology</w:t>
            </w:r>
          </w:p>
        </w:tc>
        <w:tc>
          <w:tcPr>
            <w:tcW w:w="5389" w:type="dxa"/>
          </w:tcPr>
          <w:p w:rsidRPr="007F620E" w:rsidR="00A92D0B" w:rsidP="00C47A2B" w:rsidRDefault="00A92D0B" w14:paraId="53A584EE" w14:textId="6E2B83E5">
            <w:pPr>
              <w:tabs>
                <w:tab w:val="left" w:pos="1872"/>
                <w:tab w:val="right" w:pos="3672"/>
              </w:tabs>
              <w:rPr>
                <w:b/>
                <w:color w:val="000000"/>
              </w:rPr>
            </w:pPr>
            <w:r w:rsidRPr="007F620E">
              <w:rPr>
                <w:b/>
                <w:color w:val="000000"/>
              </w:rPr>
              <w:t>For contribution to D</w:t>
            </w:r>
            <w:r w:rsidRPr="007F620E" w:rsidR="00DE3A5D">
              <w:rPr>
                <w:b/>
                <w:color w:val="000000"/>
              </w:rPr>
              <w:t xml:space="preserve">ecision </w:t>
            </w:r>
            <w:r w:rsidRPr="00196D49" w:rsidR="00DE3A5D">
              <w:rPr>
                <w:bCs/>
                <w:color w:val="000000"/>
              </w:rPr>
              <w:t>(D</w:t>
            </w:r>
            <w:r w:rsidR="00FA68C2">
              <w:rPr>
                <w:b/>
                <w:color w:val="000000"/>
              </w:rPr>
              <w:t>.</w:t>
            </w:r>
            <w:r w:rsidRPr="00196D49" w:rsidR="00196D49">
              <w:rPr>
                <w:bCs/>
                <w:color w:val="000000"/>
              </w:rPr>
              <w:t xml:space="preserve">) </w:t>
            </w:r>
            <w:r w:rsidR="00FA68C2">
              <w:t>25-09-030</w:t>
            </w:r>
          </w:p>
        </w:tc>
      </w:tr>
      <w:tr w:rsidRPr="007F620E" w:rsidR="00A92D0B" w:rsidTr="003B137C" w14:paraId="47003B8E" w14:textId="77777777">
        <w:tc>
          <w:tcPr>
            <w:tcW w:w="3971" w:type="dxa"/>
          </w:tcPr>
          <w:p w:rsidRPr="007F620E" w:rsidR="00A92D0B" w:rsidP="00C47A2B" w:rsidRDefault="00A92D0B" w14:paraId="0E2E4BD1" w14:textId="7F1D300C">
            <w:pPr>
              <w:tabs>
                <w:tab w:val="left" w:pos="1620"/>
                <w:tab w:val="right" w:pos="4500"/>
              </w:tabs>
              <w:rPr>
                <w:b/>
                <w:color w:val="000000"/>
                <w:u w:val="single"/>
              </w:rPr>
            </w:pPr>
            <w:r w:rsidRPr="007F620E">
              <w:rPr>
                <w:b/>
                <w:color w:val="000000"/>
              </w:rPr>
              <w:t>Claimed:</w:t>
            </w:r>
            <w:r w:rsidRPr="007F620E" w:rsidR="00F63C29">
              <w:rPr>
                <w:b/>
                <w:color w:val="000000"/>
              </w:rPr>
              <w:t xml:space="preserve"> </w:t>
            </w:r>
            <w:r w:rsidRPr="00004698" w:rsidR="00FC72B7">
              <w:rPr>
                <w:bCs/>
                <w:color w:val="000000"/>
              </w:rPr>
              <w:t>$</w:t>
            </w:r>
            <w:r w:rsidRPr="00004698" w:rsidR="00FF31F2">
              <w:rPr>
                <w:bCs/>
                <w:color w:val="000000"/>
              </w:rPr>
              <w:t>15,580.75</w:t>
            </w:r>
          </w:p>
        </w:tc>
        <w:tc>
          <w:tcPr>
            <w:tcW w:w="5389" w:type="dxa"/>
            <w:tcBorders>
              <w:bottom w:val="single" w:color="auto" w:sz="4" w:space="0"/>
            </w:tcBorders>
          </w:tcPr>
          <w:p w:rsidRPr="007F620E" w:rsidR="00A92D0B" w:rsidP="00C47A2B" w:rsidRDefault="00A92D0B" w14:paraId="211F40A8" w14:textId="60450037">
            <w:pPr>
              <w:tabs>
                <w:tab w:val="left" w:pos="1872"/>
                <w:tab w:val="right" w:pos="3672"/>
              </w:tabs>
              <w:rPr>
                <w:b/>
                <w:color w:val="000000"/>
                <w:u w:val="single"/>
              </w:rPr>
            </w:pPr>
            <w:r w:rsidRPr="007F620E">
              <w:rPr>
                <w:b/>
                <w:color w:val="000000"/>
              </w:rPr>
              <w:t>Awarded:</w:t>
            </w:r>
            <w:r w:rsidRPr="007F620E" w:rsidR="00FC72B7">
              <w:rPr>
                <w:b/>
                <w:color w:val="000000"/>
              </w:rPr>
              <w:t xml:space="preserve"> </w:t>
            </w:r>
            <w:r w:rsidRPr="003B137C" w:rsidR="003B137C">
              <w:rPr>
                <w:bCs/>
                <w:iCs/>
                <w:color w:val="000000"/>
              </w:rPr>
              <w:t>$11,061.26</w:t>
            </w:r>
          </w:p>
        </w:tc>
      </w:tr>
      <w:tr w:rsidRPr="007F620E" w:rsidR="00A92D0B" w:rsidTr="00196D49" w14:paraId="5C56877D" w14:textId="77777777">
        <w:tc>
          <w:tcPr>
            <w:tcW w:w="3971" w:type="dxa"/>
          </w:tcPr>
          <w:p w:rsidR="00A92D0B" w:rsidP="00C47A2B" w:rsidRDefault="00A92D0B" w14:paraId="2B63AB2D" w14:textId="77777777">
            <w:pPr>
              <w:tabs>
                <w:tab w:val="left" w:pos="3060"/>
                <w:tab w:val="right" w:pos="4500"/>
              </w:tabs>
              <w:rPr>
                <w:b/>
                <w:color w:val="000000"/>
              </w:rPr>
            </w:pPr>
            <w:r w:rsidRPr="007F620E">
              <w:rPr>
                <w:b/>
                <w:color w:val="000000"/>
              </w:rPr>
              <w:t xml:space="preserve">Assigned Commissioner: </w:t>
            </w:r>
          </w:p>
          <w:p w:rsidRPr="00FA38D4" w:rsidR="00CF73E1" w:rsidP="00C47A2B" w:rsidRDefault="00586F45" w14:paraId="6EF99E36" w14:textId="50A063A1">
            <w:pPr>
              <w:tabs>
                <w:tab w:val="left" w:pos="3060"/>
                <w:tab w:val="right" w:pos="4500"/>
              </w:tabs>
              <w:rPr>
                <w:bCs/>
                <w:color w:val="000000"/>
              </w:rPr>
            </w:pPr>
            <w:r w:rsidRPr="00FA38D4">
              <w:rPr>
                <w:bCs/>
                <w:color w:val="000000"/>
              </w:rPr>
              <w:t>Karen Douglas</w:t>
            </w:r>
          </w:p>
        </w:tc>
        <w:tc>
          <w:tcPr>
            <w:tcW w:w="5389" w:type="dxa"/>
          </w:tcPr>
          <w:p w:rsidRPr="002617C4" w:rsidR="00A92D0B" w:rsidP="00C47A2B" w:rsidRDefault="00A92D0B" w14:paraId="1A330234" w14:textId="4C6B95EE">
            <w:pPr>
              <w:tabs>
                <w:tab w:val="left" w:pos="1872"/>
                <w:tab w:val="right" w:pos="3672"/>
              </w:tabs>
              <w:rPr>
                <w:b/>
                <w:color w:val="000000"/>
              </w:rPr>
            </w:pPr>
            <w:r w:rsidRPr="002617C4">
              <w:rPr>
                <w:b/>
                <w:color w:val="000000"/>
              </w:rPr>
              <w:t>Assigned ALJ</w:t>
            </w:r>
            <w:r w:rsidR="00EA601E">
              <w:rPr>
                <w:b/>
                <w:color w:val="000000"/>
              </w:rPr>
              <w:t>s</w:t>
            </w:r>
            <w:r w:rsidRPr="002617C4">
              <w:rPr>
                <w:b/>
                <w:color w:val="000000"/>
              </w:rPr>
              <w:t>:</w:t>
            </w:r>
            <w:r w:rsidRPr="002617C4" w:rsidR="00F63C29">
              <w:rPr>
                <w:b/>
                <w:color w:val="000000"/>
              </w:rPr>
              <w:t xml:space="preserve"> </w:t>
            </w:r>
          </w:p>
          <w:p w:rsidRPr="00FA38D4" w:rsidR="002617C4" w:rsidP="00C47A2B" w:rsidRDefault="002617C4" w14:paraId="79375F78" w14:textId="2EF70F0F">
            <w:pPr>
              <w:tabs>
                <w:tab w:val="left" w:pos="1872"/>
                <w:tab w:val="right" w:pos="3672"/>
              </w:tabs>
              <w:rPr>
                <w:bCs/>
                <w:color w:val="000000"/>
              </w:rPr>
            </w:pPr>
            <w:r w:rsidRPr="00FA38D4">
              <w:rPr>
                <w:bCs/>
                <w:color w:val="000000"/>
              </w:rPr>
              <w:t>Colin Rizzo</w:t>
            </w:r>
            <w:r w:rsidR="00EA601E">
              <w:rPr>
                <w:bCs/>
                <w:color w:val="000000"/>
              </w:rPr>
              <w:t xml:space="preserve"> and</w:t>
            </w:r>
            <w:r w:rsidRPr="00FA38D4" w:rsidR="00586F45">
              <w:rPr>
                <w:bCs/>
                <w:color w:val="000000"/>
              </w:rPr>
              <w:t xml:space="preserve"> Ehren Seybert</w:t>
            </w:r>
          </w:p>
        </w:tc>
      </w:tr>
    </w:tbl>
    <w:p w:rsidR="00691528" w:rsidP="00AD518F" w:rsidRDefault="00A92D0B" w14:paraId="3CEED871" w14:textId="62381001">
      <w:pPr>
        <w:keepNext/>
        <w:spacing w:before="360"/>
        <w:jc w:val="center"/>
        <w:rPr>
          <w:b/>
          <w:color w:val="000000"/>
        </w:rPr>
      </w:pPr>
      <w:r w:rsidRPr="007F620E">
        <w:rPr>
          <w:b/>
          <w:color w:val="000000"/>
        </w:rPr>
        <w:t>PART I</w:t>
      </w:r>
      <w:proofErr w:type="gramStart"/>
      <w:r w:rsidRPr="007F620E">
        <w:rPr>
          <w:b/>
          <w:color w:val="000000"/>
        </w:rPr>
        <w:t>:</w:t>
      </w:r>
      <w:r w:rsidR="008E182E">
        <w:rPr>
          <w:b/>
          <w:color w:val="000000"/>
        </w:rPr>
        <w:t xml:space="preserve">  </w:t>
      </w:r>
      <w:r w:rsidRPr="007F620E">
        <w:rPr>
          <w:b/>
          <w:color w:val="000000"/>
        </w:rPr>
        <w:t>PROCEDURAL</w:t>
      </w:r>
      <w:proofErr w:type="gramEnd"/>
      <w:r w:rsidRPr="007F620E">
        <w:rPr>
          <w:b/>
          <w:color w:val="000000"/>
        </w:rPr>
        <w:t xml:space="preserve"> ISSUES</w:t>
      </w:r>
    </w:p>
    <w:p w:rsidRPr="007F620E" w:rsidR="00A92D0B" w:rsidP="00055843" w:rsidRDefault="00A92D0B" w14:paraId="37AA25BD" w14:textId="77777777">
      <w:pPr>
        <w:keepNext/>
        <w:rPr>
          <w:color w:val="000000"/>
        </w:rPr>
      </w:pP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08"/>
        <w:gridCol w:w="5647"/>
      </w:tblGrid>
      <w:tr w:rsidRPr="007F620E" w:rsidR="00A92D0B" w:rsidTr="005169D9" w14:paraId="3C5C25ED" w14:textId="77777777">
        <w:tc>
          <w:tcPr>
            <w:tcW w:w="3708" w:type="dxa"/>
          </w:tcPr>
          <w:p w:rsidRPr="007F620E" w:rsidR="00A92D0B" w:rsidP="00915118" w:rsidRDefault="00A92D0B" w14:paraId="1576A0A6" w14:textId="77777777">
            <w:pPr>
              <w:rPr>
                <w:b/>
                <w:color w:val="000000"/>
              </w:rPr>
            </w:pPr>
            <w:r w:rsidRPr="007F620E">
              <w:rPr>
                <w:b/>
                <w:color w:val="000000"/>
              </w:rPr>
              <w:t xml:space="preserve">A.  Brief </w:t>
            </w:r>
            <w:r w:rsidRPr="007F620E" w:rsidR="00A319DE">
              <w:rPr>
                <w:b/>
                <w:color w:val="000000"/>
              </w:rPr>
              <w:t>d</w:t>
            </w:r>
            <w:r w:rsidRPr="007F620E">
              <w:rPr>
                <w:b/>
                <w:color w:val="000000"/>
              </w:rPr>
              <w:t xml:space="preserve">escription of Decision: </w:t>
            </w:r>
          </w:p>
        </w:tc>
        <w:tc>
          <w:tcPr>
            <w:tcW w:w="5647" w:type="dxa"/>
          </w:tcPr>
          <w:p w:rsidRPr="007F620E" w:rsidR="00C02649" w:rsidP="00D60AC6" w:rsidRDefault="00BD6783" w14:paraId="67B8ECAA" w14:textId="76E59592">
            <w:pPr>
              <w:rPr>
                <w:color w:val="000000"/>
              </w:rPr>
            </w:pPr>
            <w:r w:rsidRPr="00BD6783">
              <w:rPr>
                <w:color w:val="000000"/>
              </w:rPr>
              <w:t xml:space="preserve">This decision establishes ratepayer funding for </w:t>
            </w:r>
            <w:r w:rsidR="00C95ABD">
              <w:rPr>
                <w:color w:val="000000"/>
              </w:rPr>
              <w:t>SCE</w:t>
            </w:r>
            <w:r w:rsidRPr="00BD6783">
              <w:rPr>
                <w:color w:val="000000"/>
              </w:rPr>
              <w:t xml:space="preserve"> for i</w:t>
            </w:r>
            <w:r w:rsidR="00C95ABD">
              <w:rPr>
                <w:color w:val="000000"/>
              </w:rPr>
              <w:t>ts</w:t>
            </w:r>
            <w:r w:rsidRPr="00BD6783">
              <w:rPr>
                <w:color w:val="000000"/>
              </w:rPr>
              <w:t xml:space="preserve"> </w:t>
            </w:r>
            <w:r w:rsidR="00C95ABD">
              <w:rPr>
                <w:color w:val="000000"/>
              </w:rPr>
              <w:t>up</w:t>
            </w:r>
            <w:r w:rsidRPr="00BD6783">
              <w:rPr>
                <w:color w:val="000000"/>
              </w:rPr>
              <w:t xml:space="preserve">coming General Rate Case cycle and directs </w:t>
            </w:r>
            <w:r w:rsidR="00C95ABD">
              <w:rPr>
                <w:color w:val="000000"/>
              </w:rPr>
              <w:t>SCE</w:t>
            </w:r>
            <w:r w:rsidRPr="00BD6783">
              <w:rPr>
                <w:color w:val="000000"/>
              </w:rPr>
              <w:t xml:space="preserve"> on implementation of various programs and requirements. Among the many issues addressed, the decision </w:t>
            </w:r>
            <w:r w:rsidR="00600BB8">
              <w:rPr>
                <w:color w:val="000000"/>
              </w:rPr>
              <w:t>authorizes and adopts</w:t>
            </w:r>
            <w:r w:rsidRPr="00BD6783">
              <w:rPr>
                <w:color w:val="000000"/>
              </w:rPr>
              <w:t xml:space="preserve"> a </w:t>
            </w:r>
            <w:r w:rsidR="00600BB8">
              <w:rPr>
                <w:color w:val="000000"/>
              </w:rPr>
              <w:t>Joint Proposal</w:t>
            </w:r>
            <w:r w:rsidRPr="00BD6783">
              <w:rPr>
                <w:color w:val="000000"/>
              </w:rPr>
              <w:t xml:space="preserve"> between </w:t>
            </w:r>
            <w:r w:rsidR="00C95ABD">
              <w:rPr>
                <w:color w:val="000000"/>
              </w:rPr>
              <w:t>SCE</w:t>
            </w:r>
            <w:r w:rsidRPr="00BD6783">
              <w:rPr>
                <w:color w:val="000000"/>
              </w:rPr>
              <w:t xml:space="preserve"> and </w:t>
            </w:r>
            <w:proofErr w:type="spellStart"/>
            <w:r w:rsidRPr="00BD6783">
              <w:rPr>
                <w:color w:val="000000"/>
              </w:rPr>
              <w:t>CforAT</w:t>
            </w:r>
            <w:proofErr w:type="spellEnd"/>
            <w:r w:rsidRPr="00BD6783">
              <w:rPr>
                <w:color w:val="000000"/>
              </w:rPr>
              <w:t xml:space="preserve"> </w:t>
            </w:r>
            <w:r w:rsidR="00D60AC6">
              <w:rPr>
                <w:color w:val="000000"/>
              </w:rPr>
              <w:t xml:space="preserve">that </w:t>
            </w:r>
            <w:proofErr w:type="gramStart"/>
            <w:r w:rsidRPr="00BD6783">
              <w:rPr>
                <w:color w:val="000000"/>
              </w:rPr>
              <w:t>addressing</w:t>
            </w:r>
            <w:proofErr w:type="gramEnd"/>
            <w:r w:rsidRPr="00BD6783">
              <w:rPr>
                <w:color w:val="000000"/>
              </w:rPr>
              <w:t xml:space="preserve"> spending to advance accessibility of </w:t>
            </w:r>
            <w:r w:rsidR="00C95ABD">
              <w:rPr>
                <w:color w:val="000000"/>
              </w:rPr>
              <w:t>SCE’s</w:t>
            </w:r>
            <w:r w:rsidRPr="00BD6783">
              <w:rPr>
                <w:color w:val="000000"/>
              </w:rPr>
              <w:t xml:space="preserve"> </w:t>
            </w:r>
            <w:r w:rsidR="00D60AC6">
              <w:rPr>
                <w:color w:val="000000"/>
              </w:rPr>
              <w:t xml:space="preserve">facilities and </w:t>
            </w:r>
            <w:r w:rsidRPr="00BD6783">
              <w:rPr>
                <w:color w:val="000000"/>
              </w:rPr>
              <w:t>services.</w:t>
            </w:r>
          </w:p>
        </w:tc>
      </w:tr>
    </w:tbl>
    <w:p w:rsidRPr="007F620E" w:rsidR="00A92D0B" w:rsidP="00880855" w:rsidRDefault="005A63D4" w14:paraId="2FBF046C" w14:textId="77777777">
      <w:pPr>
        <w:keepNext/>
        <w:numPr>
          <w:ilvl w:val="0"/>
          <w:numId w:val="5"/>
        </w:numPr>
        <w:spacing w:before="240" w:after="240"/>
        <w:rPr>
          <w:b/>
          <w:color w:val="000000"/>
        </w:rPr>
      </w:pPr>
      <w:r w:rsidRPr="007F620E">
        <w:rPr>
          <w:b/>
          <w:color w:val="000000"/>
        </w:rPr>
        <w:t xml:space="preserve">Intervenor </w:t>
      </w:r>
      <w:r w:rsidRPr="007F620E" w:rsidR="00A92D0B">
        <w:rPr>
          <w:b/>
          <w:color w:val="000000"/>
        </w:rPr>
        <w:t xml:space="preserve">must satisfy intervenor compensation </w:t>
      </w:r>
      <w:r w:rsidRPr="007F620E" w:rsidR="00DE3A5D">
        <w:rPr>
          <w:b/>
          <w:color w:val="000000"/>
        </w:rPr>
        <w:t>requirements set forth in Pub. Util.</w:t>
      </w:r>
      <w:r w:rsidRPr="007F620E" w:rsidR="00A92D0B">
        <w:rPr>
          <w:b/>
          <w:color w:val="000000"/>
        </w:rPr>
        <w:t xml:space="preserve"> Code §§ 1801-1812</w:t>
      </w:r>
      <w:r w:rsidR="003B6A1B">
        <w:rPr>
          <w:rStyle w:val="FootnoteReference"/>
          <w:b/>
          <w:color w:val="000000"/>
        </w:rPr>
        <w:footnoteReference w:id="1"/>
      </w:r>
      <w:r w:rsidRPr="007F620E" w:rsidR="00A92D0B">
        <w:rPr>
          <w:b/>
          <w:color w:val="000000"/>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817"/>
        <w:gridCol w:w="2267"/>
        <w:gridCol w:w="2276"/>
      </w:tblGrid>
      <w:tr w:rsidRPr="007F620E" w:rsidR="00A92D0B" w:rsidTr="00F028C8" w14:paraId="640CF70A" w14:textId="77777777">
        <w:trPr>
          <w:tblHeader/>
        </w:trPr>
        <w:tc>
          <w:tcPr>
            <w:tcW w:w="4817" w:type="dxa"/>
            <w:tcBorders>
              <w:bottom w:val="single" w:color="auto" w:sz="4" w:space="0"/>
            </w:tcBorders>
          </w:tcPr>
          <w:p w:rsidRPr="007F620E" w:rsidR="00A92D0B" w:rsidP="00F028C8" w:rsidRDefault="00A92D0B" w14:paraId="409E4D92" w14:textId="77777777">
            <w:pPr>
              <w:tabs>
                <w:tab w:val="left" w:pos="360"/>
              </w:tabs>
              <w:jc w:val="center"/>
              <w:rPr>
                <w:color w:val="000000"/>
              </w:rPr>
            </w:pPr>
          </w:p>
        </w:tc>
        <w:tc>
          <w:tcPr>
            <w:tcW w:w="2267" w:type="dxa"/>
            <w:tcBorders>
              <w:bottom w:val="single" w:color="auto" w:sz="4" w:space="0"/>
            </w:tcBorders>
          </w:tcPr>
          <w:p w:rsidRPr="007F620E" w:rsidR="00A92D0B" w:rsidP="00F028C8" w:rsidRDefault="005A63D4" w14:paraId="1412A3C6" w14:textId="77777777">
            <w:pPr>
              <w:tabs>
                <w:tab w:val="left" w:pos="360"/>
              </w:tabs>
              <w:jc w:val="center"/>
              <w:rPr>
                <w:b/>
                <w:color w:val="000000"/>
              </w:rPr>
            </w:pPr>
            <w:r w:rsidRPr="007F620E">
              <w:rPr>
                <w:b/>
                <w:color w:val="000000"/>
              </w:rPr>
              <w:t>Intervenor</w:t>
            </w:r>
          </w:p>
        </w:tc>
        <w:tc>
          <w:tcPr>
            <w:tcW w:w="2276" w:type="dxa"/>
            <w:tcBorders>
              <w:bottom w:val="single" w:color="auto" w:sz="4" w:space="0"/>
            </w:tcBorders>
          </w:tcPr>
          <w:p w:rsidRPr="007F620E" w:rsidR="00A92D0B" w:rsidP="00F028C8" w:rsidRDefault="00A92D0B" w14:paraId="2A218C38" w14:textId="386C9A6A">
            <w:pPr>
              <w:tabs>
                <w:tab w:val="left" w:pos="360"/>
              </w:tabs>
              <w:jc w:val="center"/>
              <w:rPr>
                <w:b/>
                <w:color w:val="000000"/>
              </w:rPr>
            </w:pPr>
            <w:r w:rsidRPr="007F620E">
              <w:rPr>
                <w:b/>
                <w:color w:val="000000"/>
              </w:rPr>
              <w:t xml:space="preserve">CPUC </w:t>
            </w:r>
            <w:r w:rsidR="0081626F">
              <w:rPr>
                <w:b/>
                <w:color w:val="000000"/>
              </w:rPr>
              <w:t>Verification</w:t>
            </w:r>
          </w:p>
        </w:tc>
      </w:tr>
      <w:tr w:rsidRPr="007F620E" w:rsidR="00A92D0B" w:rsidTr="00CE2BB2" w14:paraId="7D83D00D" w14:textId="77777777">
        <w:trPr>
          <w:trHeight w:val="355"/>
        </w:trPr>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A92D0B" w:rsidP="00F028C8" w:rsidRDefault="00A92D0B" w14:paraId="606E2B66" w14:textId="77777777">
            <w:pPr>
              <w:keepNext/>
              <w:tabs>
                <w:tab w:val="left" w:pos="360"/>
              </w:tabs>
              <w:jc w:val="center"/>
              <w:rPr>
                <w:b/>
              </w:rPr>
            </w:pPr>
            <w:r w:rsidRPr="007F620E">
              <w:rPr>
                <w:b/>
              </w:rPr>
              <w:t>Timely filing of notice of intent to claim compensation (NOI) (§ 1804(a)):</w:t>
            </w:r>
          </w:p>
        </w:tc>
      </w:tr>
      <w:tr w:rsidRPr="007F620E" w:rsidR="00A92D0B" w:rsidTr="00612D72" w14:paraId="160E284A" w14:textId="77777777">
        <w:tc>
          <w:tcPr>
            <w:tcW w:w="4817" w:type="dxa"/>
            <w:tcBorders>
              <w:top w:val="single" w:color="auto" w:sz="4" w:space="0"/>
            </w:tcBorders>
          </w:tcPr>
          <w:p w:rsidRPr="007F620E" w:rsidR="00A92D0B" w:rsidP="00F028C8" w:rsidRDefault="00A92D0B" w14:paraId="44D1876C" w14:textId="478A95F3">
            <w:pPr>
              <w:keepNext/>
              <w:tabs>
                <w:tab w:val="left" w:pos="360"/>
              </w:tabs>
              <w:ind w:left="360" w:hanging="360"/>
              <w:rPr>
                <w:color w:val="000000"/>
              </w:rPr>
            </w:pPr>
            <w:r w:rsidRPr="007F620E">
              <w:rPr>
                <w:color w:val="000000"/>
              </w:rPr>
              <w:t>1.</w:t>
            </w:r>
            <w:r w:rsidR="001E7EE2">
              <w:rPr>
                <w:color w:val="000000"/>
              </w:rPr>
              <w:tab/>
            </w:r>
            <w:r w:rsidRPr="007F620E">
              <w:rPr>
                <w:color w:val="000000"/>
              </w:rPr>
              <w:t>Date of Prehearing Conference:</w:t>
            </w:r>
          </w:p>
        </w:tc>
        <w:tc>
          <w:tcPr>
            <w:tcW w:w="2267" w:type="dxa"/>
            <w:tcBorders>
              <w:top w:val="single" w:color="auto" w:sz="4" w:space="0"/>
            </w:tcBorders>
          </w:tcPr>
          <w:p w:rsidRPr="007F620E" w:rsidR="00A92D0B" w:rsidP="00D60AC6" w:rsidRDefault="009410C7" w14:paraId="35450816" w14:textId="60A7EF0F">
            <w:pPr>
              <w:keepNext/>
              <w:keepLines/>
              <w:tabs>
                <w:tab w:val="left" w:pos="360"/>
              </w:tabs>
              <w:ind w:left="360" w:hanging="360"/>
              <w:jc w:val="center"/>
              <w:rPr>
                <w:color w:val="000000"/>
              </w:rPr>
            </w:pPr>
            <w:r>
              <w:rPr>
                <w:color w:val="000000"/>
              </w:rPr>
              <w:t>July 12, 2023</w:t>
            </w:r>
          </w:p>
        </w:tc>
        <w:tc>
          <w:tcPr>
            <w:tcW w:w="2276" w:type="dxa"/>
            <w:tcBorders>
              <w:top w:val="single" w:color="auto" w:sz="4" w:space="0"/>
            </w:tcBorders>
          </w:tcPr>
          <w:p w:rsidRPr="007F620E" w:rsidR="00A92D0B" w:rsidP="00F028C8" w:rsidRDefault="00612D72" w14:paraId="34540344" w14:textId="3FB6F6AA">
            <w:pPr>
              <w:keepNext/>
              <w:tabs>
                <w:tab w:val="left" w:pos="360"/>
              </w:tabs>
              <w:jc w:val="both"/>
              <w:rPr>
                <w:color w:val="000000"/>
              </w:rPr>
            </w:pPr>
            <w:r>
              <w:rPr>
                <w:color w:val="000000"/>
              </w:rPr>
              <w:t>Verified</w:t>
            </w:r>
          </w:p>
        </w:tc>
      </w:tr>
      <w:tr w:rsidRPr="007F620E" w:rsidR="00CE2BB2" w:rsidTr="00612D72" w14:paraId="24C85564" w14:textId="77777777">
        <w:tc>
          <w:tcPr>
            <w:tcW w:w="4817" w:type="dxa"/>
          </w:tcPr>
          <w:p w:rsidRPr="007F620E" w:rsidR="00CE2BB2" w:rsidP="00CE2BB2" w:rsidRDefault="00CE2BB2" w14:paraId="382C5788" w14:textId="49F0E39E">
            <w:pPr>
              <w:tabs>
                <w:tab w:val="left" w:pos="360"/>
              </w:tabs>
              <w:ind w:left="360" w:hanging="360"/>
              <w:rPr>
                <w:color w:val="000000"/>
              </w:rPr>
            </w:pPr>
            <w:r w:rsidRPr="007F620E">
              <w:rPr>
                <w:color w:val="000000"/>
              </w:rPr>
              <w:t>2.</w:t>
            </w:r>
            <w:r>
              <w:rPr>
                <w:color w:val="000000"/>
              </w:rPr>
              <w:tab/>
            </w:r>
            <w:r w:rsidRPr="007F620E">
              <w:rPr>
                <w:color w:val="000000"/>
              </w:rPr>
              <w:t>Other specified date for NOI:</w:t>
            </w:r>
          </w:p>
        </w:tc>
        <w:tc>
          <w:tcPr>
            <w:tcW w:w="2267" w:type="dxa"/>
          </w:tcPr>
          <w:p w:rsidRPr="007F620E" w:rsidR="00CE2BB2" w:rsidP="00D60AC6" w:rsidRDefault="00CE2BB2" w14:paraId="1826BC2C" w14:textId="509DE048">
            <w:pPr>
              <w:keepNext/>
              <w:keepLines/>
              <w:tabs>
                <w:tab w:val="left" w:pos="360"/>
              </w:tabs>
              <w:ind w:left="360" w:hanging="360"/>
              <w:jc w:val="center"/>
              <w:rPr>
                <w:color w:val="000000"/>
              </w:rPr>
            </w:pPr>
            <w:r>
              <w:rPr>
                <w:color w:val="000000"/>
              </w:rPr>
              <w:t>N/A</w:t>
            </w:r>
          </w:p>
        </w:tc>
        <w:tc>
          <w:tcPr>
            <w:tcW w:w="2276" w:type="dxa"/>
          </w:tcPr>
          <w:p w:rsidRPr="007F620E" w:rsidR="00CE2BB2" w:rsidP="00CE2BB2" w:rsidRDefault="00CE2BB2" w14:paraId="210DAD91" w14:textId="77777777">
            <w:pPr>
              <w:tabs>
                <w:tab w:val="left" w:pos="360"/>
              </w:tabs>
              <w:jc w:val="both"/>
              <w:rPr>
                <w:color w:val="000000"/>
              </w:rPr>
            </w:pPr>
          </w:p>
        </w:tc>
      </w:tr>
      <w:tr w:rsidRPr="007F620E" w:rsidR="00CE2BB2" w:rsidTr="00612D72" w14:paraId="4836EEA6" w14:textId="77777777">
        <w:tc>
          <w:tcPr>
            <w:tcW w:w="4817" w:type="dxa"/>
          </w:tcPr>
          <w:p w:rsidRPr="007F620E" w:rsidR="00CE2BB2" w:rsidP="00CE2BB2" w:rsidRDefault="00CE2BB2" w14:paraId="34809C45" w14:textId="2501A8A3">
            <w:pPr>
              <w:tabs>
                <w:tab w:val="left" w:pos="360"/>
              </w:tabs>
              <w:ind w:left="360" w:hanging="360"/>
              <w:rPr>
                <w:color w:val="000000"/>
              </w:rPr>
            </w:pPr>
            <w:r w:rsidRPr="007F620E">
              <w:rPr>
                <w:color w:val="000000"/>
              </w:rPr>
              <w:t>3.</w:t>
            </w:r>
            <w:r>
              <w:rPr>
                <w:color w:val="000000"/>
              </w:rPr>
              <w:tab/>
            </w:r>
            <w:r w:rsidRPr="007F620E">
              <w:rPr>
                <w:color w:val="000000"/>
              </w:rPr>
              <w:t>Date NOI filed:</w:t>
            </w:r>
          </w:p>
        </w:tc>
        <w:tc>
          <w:tcPr>
            <w:tcW w:w="2267" w:type="dxa"/>
            <w:tcBorders>
              <w:bottom w:val="single" w:color="auto" w:sz="4" w:space="0"/>
            </w:tcBorders>
          </w:tcPr>
          <w:p w:rsidRPr="007F620E" w:rsidR="00CE2BB2" w:rsidP="00D60AC6" w:rsidRDefault="00CE2BB2" w14:paraId="44F7CCB9" w14:textId="171CCF1C">
            <w:pPr>
              <w:keepNext/>
              <w:keepLines/>
              <w:tabs>
                <w:tab w:val="left" w:pos="360"/>
              </w:tabs>
              <w:ind w:left="360" w:hanging="360"/>
              <w:jc w:val="center"/>
              <w:rPr>
                <w:color w:val="000000"/>
              </w:rPr>
            </w:pPr>
            <w:r>
              <w:rPr>
                <w:color w:val="000000"/>
              </w:rPr>
              <w:t>August 8, 2023</w:t>
            </w:r>
          </w:p>
        </w:tc>
        <w:tc>
          <w:tcPr>
            <w:tcW w:w="2276" w:type="dxa"/>
            <w:tcBorders>
              <w:bottom w:val="single" w:color="auto" w:sz="4" w:space="0"/>
            </w:tcBorders>
          </w:tcPr>
          <w:p w:rsidRPr="007F620E" w:rsidR="004972CD" w:rsidP="00CE2BB2" w:rsidRDefault="004972CD" w14:paraId="71759DE3" w14:textId="175039AD">
            <w:pPr>
              <w:tabs>
                <w:tab w:val="left" w:pos="360"/>
              </w:tabs>
              <w:jc w:val="both"/>
              <w:rPr>
                <w:color w:val="000000"/>
              </w:rPr>
            </w:pPr>
            <w:r>
              <w:rPr>
                <w:color w:val="000000"/>
              </w:rPr>
              <w:t>August 9, 2023</w:t>
            </w:r>
          </w:p>
        </w:tc>
      </w:tr>
      <w:tr w:rsidRPr="007F620E" w:rsidR="00CE2BB2" w:rsidTr="00F028C8" w14:paraId="22BBCDE3" w14:textId="77777777">
        <w:tc>
          <w:tcPr>
            <w:tcW w:w="7084" w:type="dxa"/>
            <w:gridSpan w:val="2"/>
            <w:tcBorders>
              <w:bottom w:val="single" w:color="auto" w:sz="4" w:space="0"/>
            </w:tcBorders>
          </w:tcPr>
          <w:p w:rsidRPr="007F620E" w:rsidR="00CE2BB2" w:rsidP="00CE2BB2" w:rsidRDefault="00CE2BB2" w14:paraId="7E6E2068" w14:textId="1D4DD6B8">
            <w:pPr>
              <w:tabs>
                <w:tab w:val="left" w:pos="360"/>
              </w:tabs>
              <w:ind w:left="360" w:hanging="360"/>
              <w:rPr>
                <w:color w:val="000000"/>
              </w:rPr>
            </w:pPr>
            <w:r w:rsidRPr="007F620E">
              <w:rPr>
                <w:color w:val="000000"/>
              </w:rPr>
              <w:lastRenderedPageBreak/>
              <w:t>4.</w:t>
            </w:r>
            <w:r>
              <w:rPr>
                <w:color w:val="000000"/>
              </w:rPr>
              <w:tab/>
            </w:r>
            <w:r w:rsidRPr="007F620E">
              <w:rPr>
                <w:color w:val="000000"/>
              </w:rPr>
              <w:t>Was the NOI timely filed?</w:t>
            </w:r>
          </w:p>
        </w:tc>
        <w:tc>
          <w:tcPr>
            <w:tcW w:w="2276" w:type="dxa"/>
            <w:tcBorders>
              <w:bottom w:val="single" w:color="auto" w:sz="4" w:space="0"/>
            </w:tcBorders>
          </w:tcPr>
          <w:p w:rsidRPr="007F620E" w:rsidR="00CE2BB2" w:rsidP="00CE2BB2" w:rsidRDefault="00013663" w14:paraId="61DE2845" w14:textId="4283E15D">
            <w:pPr>
              <w:tabs>
                <w:tab w:val="left" w:pos="360"/>
              </w:tabs>
              <w:rPr>
                <w:color w:val="000000"/>
              </w:rPr>
            </w:pPr>
            <w:r>
              <w:rPr>
                <w:color w:val="000000"/>
              </w:rPr>
              <w:t>Yes</w:t>
            </w:r>
          </w:p>
        </w:tc>
      </w:tr>
      <w:tr w:rsidRPr="007F620E" w:rsidR="00CE2BB2" w:rsidTr="00F028C8" w14:paraId="4CD7D46A"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00CE2BB2" w:rsidP="00CE2BB2" w:rsidRDefault="00CE2BB2" w14:paraId="003AB151" w14:textId="75841E30">
            <w:pPr>
              <w:keepNext/>
              <w:keepLines/>
              <w:tabs>
                <w:tab w:val="left" w:pos="360"/>
              </w:tabs>
              <w:jc w:val="center"/>
              <w:rPr>
                <w:b/>
                <w:color w:val="000000"/>
              </w:rPr>
            </w:pPr>
            <w:r w:rsidRPr="007F620E">
              <w:rPr>
                <w:b/>
                <w:color w:val="000000"/>
              </w:rPr>
              <w:t>Showing of eligible customer status (§ 1802(b)</w:t>
            </w:r>
            <w:r>
              <w:rPr>
                <w:b/>
                <w:color w:val="000000"/>
              </w:rPr>
              <w:t>)</w:t>
            </w:r>
          </w:p>
          <w:p w:rsidRPr="007F620E" w:rsidR="00CE2BB2" w:rsidP="00CE2BB2" w:rsidRDefault="00CE2BB2" w14:paraId="19D649BF" w14:textId="31FAE647">
            <w:pPr>
              <w:keepNext/>
              <w:keepLines/>
              <w:tabs>
                <w:tab w:val="left" w:pos="360"/>
              </w:tabs>
              <w:jc w:val="center"/>
              <w:rPr>
                <w:b/>
                <w:color w:val="000000"/>
              </w:rPr>
            </w:pPr>
            <w:r w:rsidRPr="007F620E">
              <w:rPr>
                <w:b/>
                <w:color w:val="000000"/>
              </w:rPr>
              <w:t xml:space="preserve"> or eligible local government entity </w:t>
            </w:r>
            <w:r>
              <w:rPr>
                <w:b/>
                <w:color w:val="000000"/>
              </w:rPr>
              <w:t xml:space="preserve">status </w:t>
            </w:r>
            <w:r w:rsidRPr="007F620E">
              <w:rPr>
                <w:b/>
                <w:color w:val="000000"/>
              </w:rPr>
              <w:t>(§§ 1802(d), 1802.4):</w:t>
            </w:r>
          </w:p>
        </w:tc>
      </w:tr>
      <w:tr w:rsidRPr="007F620E" w:rsidR="00CD7DD9" w:rsidTr="00C522D9" w14:paraId="259EC227" w14:textId="77777777">
        <w:tc>
          <w:tcPr>
            <w:tcW w:w="4817" w:type="dxa"/>
            <w:tcBorders>
              <w:top w:val="single" w:color="auto" w:sz="4" w:space="0"/>
            </w:tcBorders>
          </w:tcPr>
          <w:p w:rsidRPr="007F620E" w:rsidR="00CD7DD9" w:rsidP="00CD7DD9" w:rsidRDefault="00CD7DD9" w14:paraId="0EFCD0E9" w14:textId="1A5E3FBE">
            <w:pPr>
              <w:keepNext/>
              <w:keepLines/>
              <w:ind w:left="360" w:hanging="360"/>
              <w:rPr>
                <w:color w:val="000000"/>
              </w:rPr>
            </w:pPr>
            <w:r w:rsidRPr="007F620E">
              <w:rPr>
                <w:color w:val="000000"/>
              </w:rPr>
              <w:t>5.</w:t>
            </w:r>
            <w:r>
              <w:rPr>
                <w:color w:val="000000"/>
              </w:rPr>
              <w:tab/>
            </w:r>
            <w:r w:rsidRPr="007F620E">
              <w:rPr>
                <w:color w:val="000000"/>
              </w:rPr>
              <w:t>Based on ALJ ruling issued in proceeding   number:</w:t>
            </w:r>
          </w:p>
        </w:tc>
        <w:tc>
          <w:tcPr>
            <w:tcW w:w="2267" w:type="dxa"/>
            <w:tcBorders>
              <w:top w:val="single" w:color="auto" w:sz="4" w:space="0"/>
            </w:tcBorders>
          </w:tcPr>
          <w:p w:rsidRPr="007F620E" w:rsidR="00CD7DD9" w:rsidP="00CD7DD9" w:rsidRDefault="00CD7DD9" w14:paraId="13E72B6D" w14:textId="4667148F">
            <w:pPr>
              <w:keepNext/>
              <w:keepLines/>
              <w:tabs>
                <w:tab w:val="left" w:pos="360"/>
              </w:tabs>
              <w:ind w:left="360" w:hanging="360"/>
              <w:rPr>
                <w:color w:val="000000"/>
              </w:rPr>
            </w:pPr>
            <w:r>
              <w:rPr>
                <w:sz w:val="23"/>
                <w:szCs w:val="23"/>
              </w:rPr>
              <w:t>R.22-11-013 (DER Issues)</w:t>
            </w:r>
          </w:p>
        </w:tc>
        <w:tc>
          <w:tcPr>
            <w:tcW w:w="2276" w:type="dxa"/>
            <w:tcBorders>
              <w:top w:val="single" w:color="auto" w:sz="4" w:space="0"/>
            </w:tcBorders>
          </w:tcPr>
          <w:p w:rsidRPr="007F620E" w:rsidR="00CD7DD9" w:rsidP="00CD7DD9" w:rsidRDefault="00F65CFE" w14:paraId="2679B197" w14:textId="5297F13D">
            <w:pPr>
              <w:keepNext/>
              <w:keepLines/>
              <w:tabs>
                <w:tab w:val="left" w:pos="360"/>
              </w:tabs>
              <w:rPr>
                <w:color w:val="000000"/>
              </w:rPr>
            </w:pPr>
            <w:r>
              <w:rPr>
                <w:color w:val="000000"/>
              </w:rPr>
              <w:t>Verified</w:t>
            </w:r>
          </w:p>
        </w:tc>
      </w:tr>
      <w:tr w:rsidRPr="007F620E" w:rsidR="00CD7DD9" w:rsidTr="00C522D9" w14:paraId="4E0FB3B6" w14:textId="77777777">
        <w:tc>
          <w:tcPr>
            <w:tcW w:w="4817" w:type="dxa"/>
          </w:tcPr>
          <w:p w:rsidRPr="007F620E" w:rsidR="00CD7DD9" w:rsidP="00CD7DD9" w:rsidRDefault="00CD7DD9" w14:paraId="568B12E8" w14:textId="6121FC05">
            <w:pPr>
              <w:tabs>
                <w:tab w:val="left" w:pos="360"/>
              </w:tabs>
              <w:ind w:left="360" w:hanging="360"/>
              <w:rPr>
                <w:color w:val="000000"/>
              </w:rPr>
            </w:pPr>
            <w:r w:rsidRPr="007F620E">
              <w:rPr>
                <w:color w:val="000000"/>
              </w:rPr>
              <w:t>6.</w:t>
            </w:r>
            <w:r>
              <w:rPr>
                <w:color w:val="000000"/>
              </w:rPr>
              <w:tab/>
            </w:r>
            <w:r w:rsidRPr="007F620E">
              <w:rPr>
                <w:color w:val="000000"/>
              </w:rPr>
              <w:t>Date of ALJ ruling:</w:t>
            </w:r>
          </w:p>
        </w:tc>
        <w:tc>
          <w:tcPr>
            <w:tcW w:w="2267" w:type="dxa"/>
          </w:tcPr>
          <w:p w:rsidRPr="007F620E" w:rsidR="00CD7DD9" w:rsidP="00CD7DD9" w:rsidRDefault="00005878" w14:paraId="306125B9" w14:textId="49B56BB1">
            <w:pPr>
              <w:tabs>
                <w:tab w:val="left" w:pos="360"/>
              </w:tabs>
              <w:ind w:left="360" w:hanging="360"/>
              <w:rPr>
                <w:color w:val="000000"/>
              </w:rPr>
            </w:pPr>
            <w:r>
              <w:rPr>
                <w:color w:val="000000"/>
              </w:rPr>
              <w:t>6/14/2023</w:t>
            </w:r>
          </w:p>
        </w:tc>
        <w:tc>
          <w:tcPr>
            <w:tcW w:w="2276" w:type="dxa"/>
          </w:tcPr>
          <w:p w:rsidRPr="007F620E" w:rsidR="00CD7DD9" w:rsidP="00CD7DD9" w:rsidRDefault="00264733" w14:paraId="19F10313" w14:textId="28B49BE6">
            <w:pPr>
              <w:tabs>
                <w:tab w:val="left" w:pos="360"/>
              </w:tabs>
              <w:rPr>
                <w:color w:val="000000"/>
              </w:rPr>
            </w:pPr>
            <w:r>
              <w:rPr>
                <w:color w:val="000000"/>
              </w:rPr>
              <w:t>Verified</w:t>
            </w:r>
          </w:p>
        </w:tc>
      </w:tr>
      <w:tr w:rsidRPr="007F620E" w:rsidR="00CD7DD9" w:rsidTr="00C522D9" w14:paraId="7F6C1E54" w14:textId="77777777">
        <w:tc>
          <w:tcPr>
            <w:tcW w:w="4817" w:type="dxa"/>
          </w:tcPr>
          <w:p w:rsidRPr="007F620E" w:rsidR="00CD7DD9" w:rsidP="00CD7DD9" w:rsidRDefault="00CD7DD9" w14:paraId="4B6E35B7" w14:textId="56E59D65">
            <w:pPr>
              <w:tabs>
                <w:tab w:val="left" w:pos="360"/>
              </w:tabs>
              <w:ind w:left="360" w:hanging="360"/>
              <w:rPr>
                <w:color w:val="000000"/>
              </w:rPr>
            </w:pPr>
            <w:r w:rsidRPr="007F620E">
              <w:rPr>
                <w:color w:val="000000"/>
              </w:rPr>
              <w:t>7.</w:t>
            </w:r>
            <w:r>
              <w:rPr>
                <w:color w:val="000000"/>
              </w:rPr>
              <w:tab/>
            </w:r>
            <w:r w:rsidRPr="007F620E">
              <w:rPr>
                <w:color w:val="000000"/>
              </w:rPr>
              <w:t>Based on another CPUC determination (specify):</w:t>
            </w:r>
          </w:p>
        </w:tc>
        <w:tc>
          <w:tcPr>
            <w:tcW w:w="2267" w:type="dxa"/>
            <w:tcBorders>
              <w:bottom w:val="single" w:color="auto" w:sz="4" w:space="0"/>
            </w:tcBorders>
          </w:tcPr>
          <w:p w:rsidRPr="007F620E" w:rsidR="00CD7DD9" w:rsidP="00CD7DD9" w:rsidRDefault="004079EC" w14:paraId="5E0F9D32" w14:textId="4735448B">
            <w:pPr>
              <w:tabs>
                <w:tab w:val="left" w:pos="360"/>
              </w:tabs>
              <w:ind w:left="360" w:hanging="360"/>
              <w:rPr>
                <w:color w:val="000000"/>
              </w:rPr>
            </w:pPr>
            <w:r>
              <w:rPr>
                <w:color w:val="000000"/>
              </w:rPr>
              <w:t>N/A</w:t>
            </w:r>
          </w:p>
        </w:tc>
        <w:tc>
          <w:tcPr>
            <w:tcW w:w="2276" w:type="dxa"/>
            <w:tcBorders>
              <w:bottom w:val="single" w:color="auto" w:sz="4" w:space="0"/>
            </w:tcBorders>
          </w:tcPr>
          <w:p w:rsidRPr="007F620E" w:rsidR="00CD7DD9" w:rsidP="00CD7DD9" w:rsidRDefault="00CD7DD9" w14:paraId="180E80B3" w14:textId="77777777">
            <w:pPr>
              <w:tabs>
                <w:tab w:val="left" w:pos="360"/>
              </w:tabs>
              <w:rPr>
                <w:color w:val="000000"/>
              </w:rPr>
            </w:pPr>
          </w:p>
        </w:tc>
      </w:tr>
      <w:tr w:rsidRPr="007F620E" w:rsidR="00CD7DD9" w:rsidTr="00F028C8" w14:paraId="397CC4AD" w14:textId="77777777">
        <w:tc>
          <w:tcPr>
            <w:tcW w:w="7084" w:type="dxa"/>
            <w:gridSpan w:val="2"/>
            <w:tcBorders>
              <w:bottom w:val="single" w:color="auto" w:sz="4" w:space="0"/>
            </w:tcBorders>
          </w:tcPr>
          <w:p w:rsidRPr="007F620E" w:rsidR="00CD7DD9" w:rsidP="00CD7DD9" w:rsidRDefault="00CD7DD9" w14:paraId="71D46B68" w14:textId="56857D2E">
            <w:pPr>
              <w:tabs>
                <w:tab w:val="left" w:pos="360"/>
              </w:tabs>
              <w:ind w:left="360" w:hanging="360"/>
              <w:rPr>
                <w:color w:val="000000"/>
              </w:rPr>
            </w:pPr>
            <w:r w:rsidRPr="007F620E">
              <w:rPr>
                <w:color w:val="000000"/>
              </w:rPr>
              <w:t>8.</w:t>
            </w:r>
            <w:r>
              <w:rPr>
                <w:color w:val="000000"/>
              </w:rPr>
              <w:tab/>
            </w:r>
            <w:r w:rsidRPr="007F620E">
              <w:rPr>
                <w:color w:val="000000"/>
              </w:rPr>
              <w:t xml:space="preserve">Has the Intervenor demonstrated </w:t>
            </w:r>
            <w:r w:rsidRPr="00ED6B6B">
              <w:t>customer</w:t>
            </w:r>
            <w:r w:rsidRPr="007F620E">
              <w:rPr>
                <w:color w:val="000000"/>
              </w:rPr>
              <w:t xml:space="preserve"> </w:t>
            </w:r>
            <w:r>
              <w:rPr>
                <w:color w:val="000000"/>
              </w:rPr>
              <w:t>status or eligible government entity status</w:t>
            </w:r>
            <w:r w:rsidRPr="007F620E">
              <w:rPr>
                <w:color w:val="000000"/>
              </w:rPr>
              <w:t>?</w:t>
            </w:r>
          </w:p>
        </w:tc>
        <w:tc>
          <w:tcPr>
            <w:tcW w:w="2276" w:type="dxa"/>
            <w:tcBorders>
              <w:bottom w:val="single" w:color="auto" w:sz="4" w:space="0"/>
            </w:tcBorders>
          </w:tcPr>
          <w:p w:rsidRPr="007F620E" w:rsidR="00CD7DD9" w:rsidP="00CD7DD9" w:rsidRDefault="00264733" w14:paraId="7D296E63" w14:textId="0DD8A6CD">
            <w:pPr>
              <w:tabs>
                <w:tab w:val="left" w:pos="360"/>
              </w:tabs>
              <w:rPr>
                <w:color w:val="000000"/>
              </w:rPr>
            </w:pPr>
            <w:r>
              <w:rPr>
                <w:color w:val="000000"/>
              </w:rPr>
              <w:t>Yes</w:t>
            </w:r>
          </w:p>
        </w:tc>
      </w:tr>
      <w:tr w:rsidRPr="007F620E" w:rsidR="00CD7DD9" w:rsidTr="00F028C8" w14:paraId="33231C71"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CD7DD9" w:rsidP="00CD7DD9" w:rsidRDefault="00CD7DD9" w14:paraId="0291EC4E" w14:textId="77777777">
            <w:pPr>
              <w:keepNext/>
              <w:tabs>
                <w:tab w:val="left" w:pos="360"/>
              </w:tabs>
              <w:jc w:val="center"/>
              <w:rPr>
                <w:color w:val="000000"/>
              </w:rPr>
            </w:pPr>
            <w:r w:rsidRPr="007F620E">
              <w:rPr>
                <w:b/>
                <w:color w:val="000000"/>
              </w:rPr>
              <w:t>Showing of “significant financial hardship” (§1802(</w:t>
            </w:r>
            <w:r>
              <w:rPr>
                <w:b/>
                <w:color w:val="000000"/>
              </w:rPr>
              <w:t>h</w:t>
            </w:r>
            <w:r w:rsidRPr="007F620E">
              <w:rPr>
                <w:b/>
                <w:color w:val="000000"/>
              </w:rPr>
              <w:t>) or §1803.1(b))</w:t>
            </w:r>
            <w:r>
              <w:rPr>
                <w:b/>
                <w:color w:val="000000"/>
              </w:rPr>
              <w:t>:</w:t>
            </w:r>
          </w:p>
        </w:tc>
      </w:tr>
      <w:tr w:rsidRPr="007F620E" w:rsidR="00CD7DD9" w:rsidTr="00C522D9" w14:paraId="77F91856" w14:textId="77777777">
        <w:tc>
          <w:tcPr>
            <w:tcW w:w="4817" w:type="dxa"/>
            <w:tcBorders>
              <w:top w:val="single" w:color="auto" w:sz="4" w:space="0"/>
            </w:tcBorders>
          </w:tcPr>
          <w:p w:rsidRPr="007F620E" w:rsidR="00CD7DD9" w:rsidP="00CD7DD9" w:rsidRDefault="00CD7DD9" w14:paraId="6506E60E" w14:textId="7F0FF6A0">
            <w:pPr>
              <w:tabs>
                <w:tab w:val="left" w:pos="315"/>
              </w:tabs>
              <w:ind w:left="360" w:hanging="360"/>
              <w:rPr>
                <w:color w:val="000000"/>
              </w:rPr>
            </w:pPr>
            <w:r w:rsidRPr="007F620E">
              <w:rPr>
                <w:color w:val="000000"/>
              </w:rPr>
              <w:t>9.</w:t>
            </w:r>
            <w:r>
              <w:rPr>
                <w:color w:val="000000"/>
              </w:rPr>
              <w:tab/>
            </w:r>
            <w:r w:rsidRPr="007F620E">
              <w:rPr>
                <w:color w:val="000000"/>
              </w:rPr>
              <w:t>Based on ALJ ruling issued in proceeding number:</w:t>
            </w:r>
          </w:p>
        </w:tc>
        <w:tc>
          <w:tcPr>
            <w:tcW w:w="2267" w:type="dxa"/>
            <w:tcBorders>
              <w:top w:val="single" w:color="auto" w:sz="4" w:space="0"/>
            </w:tcBorders>
          </w:tcPr>
          <w:p w:rsidRPr="00C522D9" w:rsidR="00CD7DD9" w:rsidP="00CD7DD9" w:rsidRDefault="00E81B31" w14:paraId="54B4911C" w14:textId="5FAA1D76">
            <w:pPr>
              <w:tabs>
                <w:tab w:val="left" w:pos="360"/>
              </w:tabs>
              <w:ind w:left="360" w:hanging="360"/>
              <w:rPr>
                <w:bCs/>
                <w:color w:val="000000"/>
              </w:rPr>
            </w:pPr>
            <w:r w:rsidRPr="00C522D9">
              <w:rPr>
                <w:bCs/>
                <w:color w:val="000000"/>
              </w:rPr>
              <w:t>D.25-09-006</w:t>
            </w:r>
          </w:p>
        </w:tc>
        <w:tc>
          <w:tcPr>
            <w:tcW w:w="2276" w:type="dxa"/>
            <w:tcBorders>
              <w:top w:val="single" w:color="auto" w:sz="4" w:space="0"/>
            </w:tcBorders>
          </w:tcPr>
          <w:p w:rsidRPr="007F620E" w:rsidR="00CD7DD9" w:rsidP="00CD7DD9" w:rsidRDefault="00264733" w14:paraId="2E2FB9D6" w14:textId="01C884E2">
            <w:pPr>
              <w:tabs>
                <w:tab w:val="left" w:pos="360"/>
              </w:tabs>
              <w:rPr>
                <w:color w:val="000000"/>
              </w:rPr>
            </w:pPr>
            <w:r>
              <w:rPr>
                <w:color w:val="000000"/>
              </w:rPr>
              <w:t>R.</w:t>
            </w:r>
            <w:r w:rsidR="00C522D9">
              <w:rPr>
                <w:color w:val="000000"/>
              </w:rPr>
              <w:t>22-11-013</w:t>
            </w:r>
          </w:p>
        </w:tc>
      </w:tr>
      <w:tr w:rsidRPr="007F620E" w:rsidR="00CD7DD9" w:rsidTr="00C522D9" w14:paraId="4AD750C1" w14:textId="77777777">
        <w:tc>
          <w:tcPr>
            <w:tcW w:w="4817" w:type="dxa"/>
          </w:tcPr>
          <w:p w:rsidRPr="007F620E" w:rsidR="00CD7DD9" w:rsidP="00CD7DD9" w:rsidRDefault="00CD7DD9" w14:paraId="2A279407" w14:textId="1E831EEE">
            <w:pPr>
              <w:ind w:left="360" w:hanging="360"/>
              <w:rPr>
                <w:color w:val="000000"/>
              </w:rPr>
            </w:pPr>
            <w:r w:rsidRPr="007F620E">
              <w:rPr>
                <w:color w:val="000000"/>
              </w:rPr>
              <w:t>10.</w:t>
            </w:r>
            <w:r>
              <w:rPr>
                <w:color w:val="000000"/>
              </w:rPr>
              <w:tab/>
            </w:r>
            <w:r w:rsidRPr="007F620E">
              <w:rPr>
                <w:color w:val="000000"/>
              </w:rPr>
              <w:t>Date of ALJ ruling:</w:t>
            </w:r>
          </w:p>
        </w:tc>
        <w:tc>
          <w:tcPr>
            <w:tcW w:w="2267" w:type="dxa"/>
          </w:tcPr>
          <w:p w:rsidRPr="007F620E" w:rsidR="00CD7DD9" w:rsidP="00CD7DD9" w:rsidRDefault="00CE63F4" w14:paraId="4B66A2E4" w14:textId="7B673C51">
            <w:pPr>
              <w:tabs>
                <w:tab w:val="left" w:pos="360"/>
              </w:tabs>
              <w:ind w:left="360" w:hanging="360"/>
              <w:rPr>
                <w:color w:val="000000"/>
              </w:rPr>
            </w:pPr>
            <w:r>
              <w:rPr>
                <w:color w:val="000000"/>
              </w:rPr>
              <w:t>25-09-22</w:t>
            </w:r>
          </w:p>
        </w:tc>
        <w:tc>
          <w:tcPr>
            <w:tcW w:w="2276" w:type="dxa"/>
          </w:tcPr>
          <w:p w:rsidRPr="007F620E" w:rsidR="00CD7DD9" w:rsidP="00CD7DD9" w:rsidRDefault="00C522D9" w14:paraId="3B83D035" w14:textId="5B37561B">
            <w:pPr>
              <w:tabs>
                <w:tab w:val="left" w:pos="360"/>
              </w:tabs>
              <w:rPr>
                <w:color w:val="000000"/>
              </w:rPr>
            </w:pPr>
            <w:r>
              <w:rPr>
                <w:color w:val="000000"/>
              </w:rPr>
              <w:t>3/15/2024</w:t>
            </w:r>
          </w:p>
        </w:tc>
      </w:tr>
      <w:tr w:rsidRPr="007F620E" w:rsidR="00CD7DD9" w:rsidTr="00C522D9" w14:paraId="7C183C5E" w14:textId="77777777">
        <w:tc>
          <w:tcPr>
            <w:tcW w:w="4817" w:type="dxa"/>
          </w:tcPr>
          <w:p w:rsidRPr="007F620E" w:rsidR="00CD7DD9" w:rsidP="00CD7DD9" w:rsidRDefault="00CD7DD9" w14:paraId="4141CB3D" w14:textId="2DCA8797">
            <w:pPr>
              <w:ind w:left="360" w:hanging="360"/>
              <w:rPr>
                <w:color w:val="000000"/>
              </w:rPr>
            </w:pPr>
            <w:r w:rsidRPr="007F620E">
              <w:rPr>
                <w:color w:val="000000"/>
              </w:rPr>
              <w:t>11.</w:t>
            </w:r>
            <w:r>
              <w:rPr>
                <w:color w:val="000000"/>
              </w:rPr>
              <w:tab/>
            </w:r>
            <w:r w:rsidRPr="007F620E">
              <w:rPr>
                <w:color w:val="000000"/>
              </w:rPr>
              <w:t>Based on another CPUC determination (specify):</w:t>
            </w:r>
          </w:p>
        </w:tc>
        <w:tc>
          <w:tcPr>
            <w:tcW w:w="2267" w:type="dxa"/>
          </w:tcPr>
          <w:p w:rsidRPr="007F620E" w:rsidR="00CD7DD9" w:rsidP="00CD7DD9" w:rsidRDefault="00D375A1" w14:paraId="141EB5CF" w14:textId="305E8401">
            <w:pPr>
              <w:tabs>
                <w:tab w:val="left" w:pos="360"/>
              </w:tabs>
              <w:ind w:left="360" w:hanging="360"/>
              <w:rPr>
                <w:color w:val="000000"/>
              </w:rPr>
            </w:pPr>
            <w:r>
              <w:rPr>
                <w:color w:val="000000"/>
              </w:rPr>
              <w:t>N/A</w:t>
            </w:r>
          </w:p>
        </w:tc>
        <w:tc>
          <w:tcPr>
            <w:tcW w:w="2276" w:type="dxa"/>
          </w:tcPr>
          <w:p w:rsidRPr="007F620E" w:rsidR="00CD7DD9" w:rsidP="00CD7DD9" w:rsidRDefault="00CD7DD9" w14:paraId="79318715" w14:textId="77777777">
            <w:pPr>
              <w:tabs>
                <w:tab w:val="left" w:pos="360"/>
              </w:tabs>
              <w:rPr>
                <w:color w:val="000000"/>
              </w:rPr>
            </w:pPr>
          </w:p>
        </w:tc>
      </w:tr>
      <w:tr w:rsidRPr="007F620E" w:rsidR="00CD7DD9" w:rsidTr="00F028C8" w14:paraId="4E8D20BF" w14:textId="77777777">
        <w:tc>
          <w:tcPr>
            <w:tcW w:w="7084" w:type="dxa"/>
            <w:gridSpan w:val="2"/>
            <w:tcBorders>
              <w:bottom w:val="single" w:color="auto" w:sz="4" w:space="0"/>
            </w:tcBorders>
          </w:tcPr>
          <w:p w:rsidRPr="007F620E" w:rsidR="00CD7DD9" w:rsidP="00CD7DD9" w:rsidRDefault="00CD7DD9" w14:paraId="48D0D936" w14:textId="6A3DF8B8">
            <w:pPr>
              <w:tabs>
                <w:tab w:val="left" w:pos="360"/>
              </w:tabs>
              <w:ind w:left="360" w:hanging="360"/>
              <w:rPr>
                <w:color w:val="000000"/>
              </w:rPr>
            </w:pPr>
            <w:r>
              <w:rPr>
                <w:color w:val="000000"/>
              </w:rPr>
              <w:t>12</w:t>
            </w:r>
            <w:r w:rsidRPr="007F620E">
              <w:rPr>
                <w:color w:val="000000"/>
              </w:rPr>
              <w:t>.</w:t>
            </w:r>
            <w:r>
              <w:rPr>
                <w:color w:val="000000"/>
              </w:rPr>
              <w:tab/>
            </w:r>
            <w:r w:rsidRPr="007F620E">
              <w:rPr>
                <w:color w:val="000000"/>
              </w:rPr>
              <w:t>Has the Intervenor demonstrated significant financial hardship?</w:t>
            </w:r>
          </w:p>
        </w:tc>
        <w:tc>
          <w:tcPr>
            <w:tcW w:w="2276" w:type="dxa"/>
            <w:tcBorders>
              <w:bottom w:val="single" w:color="auto" w:sz="4" w:space="0"/>
            </w:tcBorders>
          </w:tcPr>
          <w:p w:rsidRPr="007F620E" w:rsidR="00CD7DD9" w:rsidP="00CD7DD9" w:rsidRDefault="00C522D9" w14:paraId="0F29B839" w14:textId="2CB9D001">
            <w:pPr>
              <w:tabs>
                <w:tab w:val="left" w:pos="360"/>
              </w:tabs>
              <w:rPr>
                <w:color w:val="000000"/>
              </w:rPr>
            </w:pPr>
            <w:r>
              <w:rPr>
                <w:color w:val="000000"/>
              </w:rPr>
              <w:t>Yes</w:t>
            </w:r>
          </w:p>
        </w:tc>
      </w:tr>
      <w:tr w:rsidRPr="007F620E" w:rsidR="00CD7DD9" w:rsidTr="00F028C8" w14:paraId="60D4FD5C"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CD7DD9" w:rsidP="00CD7DD9" w:rsidRDefault="00CD7DD9" w14:paraId="172E2884" w14:textId="77777777">
            <w:pPr>
              <w:keepNext/>
              <w:tabs>
                <w:tab w:val="left" w:pos="360"/>
              </w:tabs>
              <w:jc w:val="center"/>
              <w:rPr>
                <w:color w:val="000000"/>
              </w:rPr>
            </w:pPr>
            <w:r w:rsidRPr="007F620E">
              <w:rPr>
                <w:b/>
                <w:color w:val="000000"/>
              </w:rPr>
              <w:t>Timely request for compensation (§ 1804(c)):</w:t>
            </w:r>
          </w:p>
        </w:tc>
      </w:tr>
      <w:tr w:rsidRPr="007F620E" w:rsidR="00CD7DD9" w:rsidTr="0028126B" w14:paraId="3E7938B0" w14:textId="77777777">
        <w:tc>
          <w:tcPr>
            <w:tcW w:w="4817" w:type="dxa"/>
            <w:tcBorders>
              <w:top w:val="single" w:color="auto" w:sz="4" w:space="0"/>
            </w:tcBorders>
          </w:tcPr>
          <w:p w:rsidRPr="007F620E" w:rsidR="00CD7DD9" w:rsidP="00CD7DD9" w:rsidRDefault="00CD7DD9" w14:paraId="66088F1B" w14:textId="2DB4A731">
            <w:pPr>
              <w:keepNext/>
              <w:tabs>
                <w:tab w:val="left" w:pos="612"/>
              </w:tabs>
              <w:ind w:left="360" w:hanging="360"/>
              <w:rPr>
                <w:color w:val="000000"/>
              </w:rPr>
            </w:pPr>
            <w:r w:rsidRPr="007F620E">
              <w:rPr>
                <w:color w:val="000000"/>
              </w:rPr>
              <w:t>13.</w:t>
            </w:r>
            <w:r>
              <w:rPr>
                <w:color w:val="000000"/>
              </w:rPr>
              <w:tab/>
            </w:r>
            <w:r w:rsidRPr="007F620E">
              <w:rPr>
                <w:color w:val="000000"/>
              </w:rPr>
              <w:t>Identify Final Decision:</w:t>
            </w:r>
          </w:p>
        </w:tc>
        <w:tc>
          <w:tcPr>
            <w:tcW w:w="2267" w:type="dxa"/>
            <w:tcBorders>
              <w:top w:val="single" w:color="auto" w:sz="4" w:space="0"/>
            </w:tcBorders>
          </w:tcPr>
          <w:p w:rsidRPr="007F620E" w:rsidR="00CD7DD9" w:rsidP="00CD7DD9" w:rsidRDefault="00492B2F" w14:paraId="7166F318" w14:textId="44F40A42">
            <w:pPr>
              <w:tabs>
                <w:tab w:val="left" w:pos="360"/>
              </w:tabs>
              <w:rPr>
                <w:color w:val="000000"/>
              </w:rPr>
            </w:pPr>
            <w:r>
              <w:t>D.25-09-030</w:t>
            </w:r>
          </w:p>
        </w:tc>
        <w:tc>
          <w:tcPr>
            <w:tcW w:w="2276" w:type="dxa"/>
            <w:tcBorders>
              <w:top w:val="single" w:color="auto" w:sz="4" w:space="0"/>
            </w:tcBorders>
          </w:tcPr>
          <w:p w:rsidRPr="007F620E" w:rsidR="00CD7DD9" w:rsidP="00CD7DD9" w:rsidRDefault="001F5A7A" w14:paraId="1588DC54" w14:textId="4D9144DA">
            <w:pPr>
              <w:tabs>
                <w:tab w:val="left" w:pos="360"/>
              </w:tabs>
              <w:rPr>
                <w:color w:val="000000"/>
              </w:rPr>
            </w:pPr>
            <w:r>
              <w:rPr>
                <w:color w:val="000000"/>
              </w:rPr>
              <w:t>Ver</w:t>
            </w:r>
            <w:r w:rsidR="0028126B">
              <w:rPr>
                <w:color w:val="000000"/>
              </w:rPr>
              <w:t>ified</w:t>
            </w:r>
          </w:p>
        </w:tc>
      </w:tr>
      <w:tr w:rsidRPr="007F620E" w:rsidR="00CD7DD9" w:rsidTr="0028126B" w14:paraId="6360DE59" w14:textId="77777777">
        <w:tc>
          <w:tcPr>
            <w:tcW w:w="4817" w:type="dxa"/>
          </w:tcPr>
          <w:p w:rsidRPr="007F620E" w:rsidR="00CD7DD9" w:rsidP="00CD7DD9" w:rsidRDefault="00CD7DD9" w14:paraId="4B809E4A" w14:textId="4BEED0BB">
            <w:pPr>
              <w:tabs>
                <w:tab w:val="left" w:pos="612"/>
              </w:tabs>
              <w:ind w:left="360" w:hanging="360"/>
              <w:rPr>
                <w:color w:val="000000"/>
              </w:rPr>
            </w:pPr>
            <w:r w:rsidRPr="007F620E">
              <w:rPr>
                <w:color w:val="000000"/>
              </w:rPr>
              <w:t>14.</w:t>
            </w:r>
            <w:r>
              <w:rPr>
                <w:color w:val="000000"/>
              </w:rPr>
              <w:tab/>
            </w:r>
            <w:r w:rsidRPr="007F620E">
              <w:rPr>
                <w:color w:val="000000"/>
              </w:rPr>
              <w:t xml:space="preserve">Date of issuance of Final Order or Decision:    </w:t>
            </w:r>
          </w:p>
        </w:tc>
        <w:tc>
          <w:tcPr>
            <w:tcW w:w="2267" w:type="dxa"/>
          </w:tcPr>
          <w:p w:rsidRPr="007F620E" w:rsidR="00CD7DD9" w:rsidP="00CD7DD9" w:rsidRDefault="005E3155" w14:paraId="20455B5F" w14:textId="2ECECD21">
            <w:pPr>
              <w:tabs>
                <w:tab w:val="left" w:pos="360"/>
              </w:tabs>
              <w:rPr>
                <w:color w:val="000000"/>
              </w:rPr>
            </w:pPr>
            <w:r>
              <w:rPr>
                <w:color w:val="000000"/>
              </w:rPr>
              <w:t xml:space="preserve">September </w:t>
            </w:r>
            <w:r w:rsidR="00AE1215">
              <w:rPr>
                <w:color w:val="000000"/>
              </w:rPr>
              <w:t>25, 2025</w:t>
            </w:r>
          </w:p>
        </w:tc>
        <w:tc>
          <w:tcPr>
            <w:tcW w:w="2276" w:type="dxa"/>
          </w:tcPr>
          <w:p w:rsidRPr="007F620E" w:rsidR="00CD7DD9" w:rsidP="00CD7DD9" w:rsidRDefault="001F5A7A" w14:paraId="1FCF00DD" w14:textId="381374B1">
            <w:pPr>
              <w:tabs>
                <w:tab w:val="left" w:pos="360"/>
              </w:tabs>
              <w:rPr>
                <w:color w:val="000000"/>
              </w:rPr>
            </w:pPr>
            <w:r>
              <w:rPr>
                <w:color w:val="000000"/>
              </w:rPr>
              <w:t>September 23, 2025</w:t>
            </w:r>
          </w:p>
        </w:tc>
      </w:tr>
      <w:tr w:rsidRPr="007F620E" w:rsidR="00CD7DD9" w:rsidTr="0028126B" w14:paraId="723259E3" w14:textId="77777777">
        <w:tc>
          <w:tcPr>
            <w:tcW w:w="4817" w:type="dxa"/>
          </w:tcPr>
          <w:p w:rsidRPr="007F620E" w:rsidR="00CD7DD9" w:rsidP="00CD7DD9" w:rsidRDefault="00CD7DD9" w14:paraId="163EE1CA" w14:textId="2B64EB9E">
            <w:pPr>
              <w:tabs>
                <w:tab w:val="left" w:pos="612"/>
              </w:tabs>
              <w:ind w:left="360" w:hanging="360"/>
              <w:rPr>
                <w:color w:val="000000"/>
              </w:rPr>
            </w:pPr>
            <w:r w:rsidRPr="007F620E">
              <w:rPr>
                <w:color w:val="000000"/>
              </w:rPr>
              <w:t>15.</w:t>
            </w:r>
            <w:r>
              <w:rPr>
                <w:color w:val="000000"/>
              </w:rPr>
              <w:tab/>
            </w:r>
            <w:r w:rsidRPr="007F620E">
              <w:rPr>
                <w:color w:val="000000"/>
              </w:rPr>
              <w:t>File date of compensation request:</w:t>
            </w:r>
          </w:p>
        </w:tc>
        <w:tc>
          <w:tcPr>
            <w:tcW w:w="2267" w:type="dxa"/>
          </w:tcPr>
          <w:p w:rsidRPr="007F620E" w:rsidR="00CD7DD9" w:rsidP="00CD7DD9" w:rsidRDefault="00CD7DD9" w14:paraId="0568B39D" w14:textId="7BC06034">
            <w:pPr>
              <w:tabs>
                <w:tab w:val="left" w:pos="360"/>
              </w:tabs>
              <w:rPr>
                <w:color w:val="000000"/>
              </w:rPr>
            </w:pPr>
            <w:r>
              <w:rPr>
                <w:color w:val="000000"/>
              </w:rPr>
              <w:t>November 24, 2025</w:t>
            </w:r>
          </w:p>
        </w:tc>
        <w:tc>
          <w:tcPr>
            <w:tcW w:w="2276" w:type="dxa"/>
          </w:tcPr>
          <w:p w:rsidRPr="007F620E" w:rsidR="00CD7DD9" w:rsidP="00CD7DD9" w:rsidRDefault="001F5A7A" w14:paraId="1CBF4E7A" w14:textId="4F1B77BD">
            <w:pPr>
              <w:tabs>
                <w:tab w:val="left" w:pos="360"/>
              </w:tabs>
              <w:rPr>
                <w:color w:val="000000"/>
              </w:rPr>
            </w:pPr>
            <w:r>
              <w:rPr>
                <w:color w:val="000000"/>
              </w:rPr>
              <w:t>Verified</w:t>
            </w:r>
          </w:p>
        </w:tc>
      </w:tr>
      <w:tr w:rsidRPr="007F620E" w:rsidR="00CD7DD9" w:rsidTr="00F028C8" w14:paraId="406BCA3A" w14:textId="77777777">
        <w:tc>
          <w:tcPr>
            <w:tcW w:w="7084" w:type="dxa"/>
            <w:gridSpan w:val="2"/>
          </w:tcPr>
          <w:p w:rsidRPr="007F620E" w:rsidR="00CD7DD9" w:rsidP="00CD7DD9" w:rsidRDefault="00CD7DD9" w14:paraId="10AF42D1" w14:textId="67695104">
            <w:pPr>
              <w:tabs>
                <w:tab w:val="left" w:pos="360"/>
              </w:tabs>
              <w:ind w:left="360" w:hanging="360"/>
              <w:rPr>
                <w:color w:val="000000"/>
              </w:rPr>
            </w:pPr>
            <w:proofErr w:type="gramStart"/>
            <w:r w:rsidRPr="007F620E">
              <w:rPr>
                <w:color w:val="000000"/>
              </w:rPr>
              <w:t>16</w:t>
            </w:r>
            <w:r>
              <w:rPr>
                <w:color w:val="000000"/>
              </w:rPr>
              <w:t>.</w:t>
            </w:r>
            <w:r>
              <w:rPr>
                <w:color w:val="000000"/>
              </w:rPr>
              <w:tab/>
            </w:r>
            <w:r w:rsidRPr="007F620E">
              <w:rPr>
                <w:color w:val="000000"/>
              </w:rPr>
              <w:t>Was</w:t>
            </w:r>
            <w:proofErr w:type="gramEnd"/>
            <w:r w:rsidRPr="007F620E">
              <w:rPr>
                <w:color w:val="000000"/>
              </w:rPr>
              <w:t xml:space="preserve"> the request for compensation timely?</w:t>
            </w:r>
          </w:p>
        </w:tc>
        <w:tc>
          <w:tcPr>
            <w:tcW w:w="2276" w:type="dxa"/>
          </w:tcPr>
          <w:p w:rsidRPr="007F620E" w:rsidR="00CD7DD9" w:rsidP="00CD7DD9" w:rsidRDefault="001F5A7A" w14:paraId="2EA30E63" w14:textId="13431638">
            <w:pPr>
              <w:tabs>
                <w:tab w:val="left" w:pos="360"/>
              </w:tabs>
              <w:rPr>
                <w:color w:val="000000"/>
              </w:rPr>
            </w:pPr>
            <w:r>
              <w:rPr>
                <w:color w:val="000000"/>
              </w:rPr>
              <w:t>Yes</w:t>
            </w:r>
          </w:p>
        </w:tc>
      </w:tr>
    </w:tbl>
    <w:p w:rsidRPr="0020768C" w:rsidR="00A92D0B" w:rsidP="00AD518F" w:rsidRDefault="00A92D0B" w14:paraId="45219348" w14:textId="019592B5">
      <w:pPr>
        <w:keepNext/>
        <w:spacing w:before="360"/>
        <w:jc w:val="center"/>
        <w:rPr>
          <w:b/>
          <w:color w:val="000000"/>
        </w:rPr>
      </w:pPr>
      <w:r w:rsidRPr="007F620E">
        <w:rPr>
          <w:b/>
          <w:color w:val="000000"/>
        </w:rPr>
        <w:t>PART II</w:t>
      </w:r>
      <w:proofErr w:type="gramStart"/>
      <w:r w:rsidRPr="007F620E">
        <w:rPr>
          <w:b/>
          <w:color w:val="000000"/>
        </w:rPr>
        <w:t>:</w:t>
      </w:r>
      <w:r w:rsidR="00D1778A">
        <w:rPr>
          <w:b/>
          <w:color w:val="000000"/>
        </w:rPr>
        <w:t xml:space="preserve">  </w:t>
      </w:r>
      <w:r w:rsidRPr="007F620E">
        <w:rPr>
          <w:b/>
          <w:color w:val="000000"/>
        </w:rPr>
        <w:t>SUBSTANTIAL</w:t>
      </w:r>
      <w:proofErr w:type="gramEnd"/>
      <w:r w:rsidRPr="007F620E">
        <w:rPr>
          <w:b/>
          <w:color w:val="000000"/>
        </w:rPr>
        <w:t xml:space="preserve"> CONTRIBUTION</w:t>
      </w:r>
    </w:p>
    <w:p w:rsidRPr="00C02649" w:rsidR="00A92D0B" w:rsidP="005B5B44" w:rsidRDefault="00D075B1" w14:paraId="337CC332" w14:textId="32DFB045">
      <w:pPr>
        <w:keepNext/>
        <w:numPr>
          <w:ilvl w:val="0"/>
          <w:numId w:val="8"/>
        </w:numPr>
        <w:spacing w:before="240" w:after="240"/>
        <w:rPr>
          <w:b/>
          <w:color w:val="000000"/>
        </w:rPr>
      </w:pPr>
      <w:r w:rsidRPr="007F620E">
        <w:rPr>
          <w:b/>
          <w:color w:val="000000"/>
        </w:rPr>
        <w:t xml:space="preserve">Did the </w:t>
      </w:r>
      <w:r w:rsidRPr="007F620E" w:rsidR="005A63D4">
        <w:rPr>
          <w:b/>
          <w:color w:val="000000"/>
        </w:rPr>
        <w:t>Intervenor</w:t>
      </w:r>
      <w:r w:rsidRPr="007F620E">
        <w:rPr>
          <w:b/>
          <w:color w:val="000000"/>
        </w:rPr>
        <w:t xml:space="preserve"> substantially contribute to the final decision</w:t>
      </w:r>
      <w:r w:rsidRPr="007F620E" w:rsidR="00A92D0B">
        <w:rPr>
          <w:b/>
          <w:color w:val="000000"/>
        </w:rPr>
        <w:t xml:space="preserve"> (</w:t>
      </w:r>
      <w:r w:rsidRPr="007F620E" w:rsidR="00A92D0B">
        <w:rPr>
          <w:b/>
          <w:i/>
          <w:color w:val="000000"/>
        </w:rPr>
        <w:t>see</w:t>
      </w:r>
      <w:r w:rsidRPr="007F620E" w:rsidR="00A92D0B">
        <w:rPr>
          <w:b/>
          <w:color w:val="000000"/>
        </w:rPr>
        <w:t xml:space="preserve"> § 1802(</w:t>
      </w:r>
      <w:r w:rsidR="00ED6B6B">
        <w:rPr>
          <w:b/>
          <w:color w:val="000000"/>
        </w:rPr>
        <w:t>j</w:t>
      </w:r>
      <w:r w:rsidRPr="007F620E" w:rsidR="00A92D0B">
        <w:rPr>
          <w:b/>
          <w:color w:val="000000"/>
        </w:rPr>
        <w:t xml:space="preserve">), </w:t>
      </w:r>
      <w:r w:rsidRPr="007F620E" w:rsidR="001E77CF">
        <w:rPr>
          <w:b/>
          <w:color w:val="000000"/>
        </w:rPr>
        <w:br/>
      </w:r>
      <w:r w:rsidRPr="007F620E" w:rsidR="00A92D0B">
        <w:rPr>
          <w:b/>
          <w:color w:val="000000"/>
        </w:rPr>
        <w:t>§ 1803(a)</w:t>
      </w:r>
      <w:r w:rsidRPr="007F620E" w:rsidR="00F30DA8">
        <w:rPr>
          <w:b/>
          <w:color w:val="000000"/>
        </w:rPr>
        <w:t>,</w:t>
      </w:r>
      <w:r w:rsidRPr="007F620E" w:rsidR="00A92D0B">
        <w:rPr>
          <w:b/>
          <w:color w:val="000000"/>
        </w:rPr>
        <w:t xml:space="preserve"> </w:t>
      </w:r>
      <w:r w:rsidR="00ED6B6B">
        <w:rPr>
          <w:b/>
          <w:color w:val="000000"/>
        </w:rPr>
        <w:t xml:space="preserve">1803.1(a) </w:t>
      </w:r>
      <w:r w:rsidRPr="007F620E" w:rsidR="00F30DA8">
        <w:rPr>
          <w:b/>
          <w:color w:val="000000"/>
        </w:rPr>
        <w:t>and</w:t>
      </w:r>
      <w:r w:rsidRPr="007F620E" w:rsidR="00A92D0B">
        <w:rPr>
          <w:b/>
          <w:color w:val="000000"/>
        </w:rPr>
        <w:t xml:space="preserve"> D.98-04-059)</w:t>
      </w:r>
      <w:r w:rsidR="00C02649">
        <w:rPr>
          <w:b/>
          <w:color w:val="000000"/>
        </w:rPr>
        <w:t>:</w:t>
      </w:r>
      <w:r w:rsidRPr="007F620E" w:rsidR="00A92D0B">
        <w:rPr>
          <w:b/>
          <w:color w:val="000000"/>
        </w:rPr>
        <w:t xml:space="preserve">  </w:t>
      </w: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3258"/>
        <w:gridCol w:w="4140"/>
        <w:gridCol w:w="1957"/>
      </w:tblGrid>
      <w:tr w:rsidRPr="007F620E" w:rsidR="00A92D0B" w:rsidTr="005169D9" w14:paraId="67755362" w14:textId="77777777">
        <w:trPr>
          <w:tblHeader/>
        </w:trPr>
        <w:tc>
          <w:tcPr>
            <w:tcW w:w="3258" w:type="dxa"/>
            <w:tcBorders>
              <w:bottom w:val="single" w:color="auto" w:sz="4" w:space="0"/>
            </w:tcBorders>
            <w:shd w:val="pct12" w:color="auto" w:fill="auto"/>
            <w:vAlign w:val="bottom"/>
          </w:tcPr>
          <w:p w:rsidRPr="007F620E" w:rsidR="00A92D0B" w:rsidP="00073262" w:rsidRDefault="00D075B1" w14:paraId="7CE2E5BB" w14:textId="77777777">
            <w:pPr>
              <w:jc w:val="center"/>
              <w:rPr>
                <w:b/>
                <w:color w:val="000000"/>
              </w:rPr>
            </w:pPr>
            <w:r w:rsidRPr="007F620E">
              <w:rPr>
                <w:b/>
                <w:color w:val="000000"/>
              </w:rPr>
              <w:t>Intervenor’s Claimed Contribution(s)</w:t>
            </w:r>
          </w:p>
        </w:tc>
        <w:tc>
          <w:tcPr>
            <w:tcW w:w="4140" w:type="dxa"/>
            <w:tcBorders>
              <w:bottom w:val="single" w:color="auto" w:sz="4" w:space="0"/>
            </w:tcBorders>
            <w:shd w:val="pct12" w:color="auto" w:fill="auto"/>
            <w:vAlign w:val="bottom"/>
          </w:tcPr>
          <w:p w:rsidRPr="007F620E" w:rsidR="00A92D0B" w:rsidP="00073262" w:rsidRDefault="00A92D0B" w14:paraId="2794272E" w14:textId="77777777">
            <w:pPr>
              <w:jc w:val="center"/>
              <w:rPr>
                <w:b/>
                <w:color w:val="000000"/>
              </w:rPr>
            </w:pPr>
            <w:r w:rsidRPr="007F620E">
              <w:rPr>
                <w:b/>
                <w:color w:val="000000"/>
              </w:rPr>
              <w:t xml:space="preserve">Specific References to </w:t>
            </w:r>
            <w:r w:rsidRPr="007F620E" w:rsidR="00D075B1">
              <w:rPr>
                <w:b/>
                <w:color w:val="000000"/>
              </w:rPr>
              <w:t>Intervenor’s Claimed Contribution(s)</w:t>
            </w:r>
          </w:p>
        </w:tc>
        <w:tc>
          <w:tcPr>
            <w:tcW w:w="1957" w:type="dxa"/>
            <w:shd w:val="pct12" w:color="auto" w:fill="auto"/>
            <w:vAlign w:val="bottom"/>
          </w:tcPr>
          <w:p w:rsidRPr="007F620E" w:rsidR="00A92D0B" w:rsidP="00073262" w:rsidRDefault="00D075B1" w14:paraId="79AFC714" w14:textId="77777777">
            <w:pPr>
              <w:jc w:val="center"/>
              <w:rPr>
                <w:b/>
                <w:color w:val="000000"/>
              </w:rPr>
            </w:pPr>
            <w:r w:rsidRPr="007F620E">
              <w:rPr>
                <w:b/>
                <w:color w:val="000000"/>
              </w:rPr>
              <w:t>CPUC Discussion</w:t>
            </w:r>
          </w:p>
        </w:tc>
      </w:tr>
      <w:tr w:rsidRPr="007F620E" w:rsidR="00A92D0B" w:rsidTr="005169D9" w14:paraId="2E691FFC" w14:textId="77777777">
        <w:tc>
          <w:tcPr>
            <w:tcW w:w="3258" w:type="dxa"/>
          </w:tcPr>
          <w:p w:rsidR="00A92D0B" w:rsidP="00073262" w:rsidRDefault="00A92D0B" w14:paraId="54649358" w14:textId="3567BE65">
            <w:pPr>
              <w:rPr>
                <w:color w:val="000000"/>
              </w:rPr>
            </w:pPr>
            <w:r w:rsidRPr="007F620E">
              <w:rPr>
                <w:color w:val="000000"/>
              </w:rPr>
              <w:t>1.</w:t>
            </w:r>
            <w:r w:rsidR="00E25078">
              <w:rPr>
                <w:color w:val="000000"/>
              </w:rPr>
              <w:t xml:space="preserve"> </w:t>
            </w:r>
            <w:proofErr w:type="spellStart"/>
            <w:r w:rsidRPr="0013080F" w:rsidR="0013080F">
              <w:rPr>
                <w:color w:val="000000"/>
              </w:rPr>
              <w:t>CforAT’s</w:t>
            </w:r>
            <w:proofErr w:type="spellEnd"/>
            <w:r w:rsidRPr="0013080F" w:rsidR="0013080F">
              <w:rPr>
                <w:color w:val="000000"/>
              </w:rPr>
              <w:t xml:space="preserve"> participation in this proceeding was extremely limited, focusing only on development of a new Accessibility </w:t>
            </w:r>
            <w:r w:rsidR="00F70EC2">
              <w:rPr>
                <w:color w:val="000000"/>
              </w:rPr>
              <w:t xml:space="preserve">Agreement (in the form of a </w:t>
            </w:r>
            <w:r w:rsidR="00A90619">
              <w:rPr>
                <w:color w:val="000000"/>
              </w:rPr>
              <w:t>Joint Proposal</w:t>
            </w:r>
            <w:r w:rsidR="00F70EC2">
              <w:rPr>
                <w:color w:val="000000"/>
              </w:rPr>
              <w:t>)</w:t>
            </w:r>
            <w:r w:rsidRPr="0013080F" w:rsidR="0013080F">
              <w:rPr>
                <w:color w:val="000000"/>
              </w:rPr>
              <w:t xml:space="preserve"> </w:t>
            </w:r>
            <w:r w:rsidRPr="0013080F" w:rsidR="0013080F">
              <w:rPr>
                <w:color w:val="000000"/>
              </w:rPr>
              <w:lastRenderedPageBreak/>
              <w:t xml:space="preserve">for the new </w:t>
            </w:r>
            <w:r w:rsidR="00AE1F70">
              <w:rPr>
                <w:color w:val="000000"/>
              </w:rPr>
              <w:t>SCE</w:t>
            </w:r>
            <w:r w:rsidRPr="0013080F" w:rsidR="0013080F">
              <w:rPr>
                <w:color w:val="000000"/>
              </w:rPr>
              <w:t xml:space="preserve"> GRC cycle</w:t>
            </w:r>
            <w:r w:rsidR="00F70EC2">
              <w:rPr>
                <w:color w:val="000000"/>
              </w:rPr>
              <w:t xml:space="preserve"> and </w:t>
            </w:r>
            <w:r w:rsidRPr="0013080F" w:rsidR="00F70EC2">
              <w:rPr>
                <w:color w:val="000000"/>
              </w:rPr>
              <w:t xml:space="preserve">implementation of the Accessibility </w:t>
            </w:r>
            <w:r w:rsidR="00F70EC2">
              <w:rPr>
                <w:color w:val="000000"/>
              </w:rPr>
              <w:t xml:space="preserve">Joint Proposal </w:t>
            </w:r>
            <w:r w:rsidRPr="0013080F" w:rsidR="00F70EC2">
              <w:rPr>
                <w:color w:val="000000"/>
              </w:rPr>
              <w:t xml:space="preserve">that was in place </w:t>
            </w:r>
            <w:r w:rsidR="00F70EC2">
              <w:rPr>
                <w:color w:val="000000"/>
              </w:rPr>
              <w:t xml:space="preserve">during the prior cycle, including </w:t>
            </w:r>
            <w:r w:rsidRPr="0013080F" w:rsidR="00F70EC2">
              <w:rPr>
                <w:color w:val="000000"/>
              </w:rPr>
              <w:t xml:space="preserve">while this docket </w:t>
            </w:r>
            <w:r w:rsidR="00F70EC2">
              <w:rPr>
                <w:color w:val="000000"/>
              </w:rPr>
              <w:t>has been open.</w:t>
            </w:r>
            <w:r w:rsidR="000052B5">
              <w:rPr>
                <w:color w:val="000000"/>
              </w:rPr>
              <w:t xml:space="preserve">  This is consistent with work that has been conducted and </w:t>
            </w:r>
            <w:proofErr w:type="gramStart"/>
            <w:r w:rsidR="000052B5">
              <w:rPr>
                <w:color w:val="000000"/>
              </w:rPr>
              <w:t>compensated</w:t>
            </w:r>
            <w:proofErr w:type="gramEnd"/>
            <w:r w:rsidR="000052B5">
              <w:rPr>
                <w:color w:val="000000"/>
              </w:rPr>
              <w:t xml:space="preserve"> in previous GRC cycles.  </w:t>
            </w:r>
          </w:p>
          <w:p w:rsidRPr="007F620E" w:rsidR="00E25078" w:rsidP="00073262" w:rsidRDefault="00E25078" w14:paraId="1B0CC007" w14:textId="77777777">
            <w:pPr>
              <w:rPr>
                <w:color w:val="000000"/>
              </w:rPr>
            </w:pPr>
          </w:p>
        </w:tc>
        <w:tc>
          <w:tcPr>
            <w:tcW w:w="4140" w:type="dxa"/>
          </w:tcPr>
          <w:p w:rsidR="002E4E5E" w:rsidP="00073262" w:rsidRDefault="00140F54" w14:paraId="46A604B7" w14:textId="4F696DFA">
            <w:pPr>
              <w:rPr>
                <w:color w:val="000000"/>
              </w:rPr>
            </w:pPr>
            <w:r>
              <w:rPr>
                <w:color w:val="000000"/>
              </w:rPr>
              <w:lastRenderedPageBreak/>
              <w:t>SCE</w:t>
            </w:r>
            <w:r w:rsidR="002962CA">
              <w:rPr>
                <w:color w:val="000000"/>
              </w:rPr>
              <w:t xml:space="preserve"> submitted testimony </w:t>
            </w:r>
            <w:r>
              <w:rPr>
                <w:color w:val="000000"/>
              </w:rPr>
              <w:t xml:space="preserve">jointly developed with </w:t>
            </w:r>
            <w:proofErr w:type="spellStart"/>
            <w:r>
              <w:rPr>
                <w:color w:val="000000"/>
              </w:rPr>
              <w:t>CforAT</w:t>
            </w:r>
            <w:proofErr w:type="spellEnd"/>
            <w:r>
              <w:rPr>
                <w:color w:val="000000"/>
              </w:rPr>
              <w:t xml:space="preserve"> concerning </w:t>
            </w:r>
            <w:r w:rsidR="008F0DFD">
              <w:rPr>
                <w:color w:val="000000"/>
              </w:rPr>
              <w:t>the Joint Proposal</w:t>
            </w:r>
            <w:r w:rsidR="00663404">
              <w:rPr>
                <w:color w:val="000000"/>
              </w:rPr>
              <w:t>, which address</w:t>
            </w:r>
            <w:r w:rsidR="002E4E5E">
              <w:rPr>
                <w:color w:val="000000"/>
              </w:rPr>
              <w:t xml:space="preserve">es SCE’s spending over the 2025 GRC cycle </w:t>
            </w:r>
            <w:r w:rsidR="008A1298">
              <w:rPr>
                <w:color w:val="000000"/>
              </w:rPr>
              <w:t xml:space="preserve">for activities supporting and enhancing the accessibility of SCE’s facilities, </w:t>
            </w:r>
            <w:r w:rsidR="008A1298">
              <w:rPr>
                <w:color w:val="000000"/>
              </w:rPr>
              <w:lastRenderedPageBreak/>
              <w:t>programs, communications, and services for customers with disabilities</w:t>
            </w:r>
            <w:r w:rsidR="00480CA2">
              <w:rPr>
                <w:color w:val="000000"/>
              </w:rPr>
              <w:t xml:space="preserve">. </w:t>
            </w:r>
          </w:p>
          <w:p w:rsidRPr="007F620E" w:rsidR="00A92D0B" w:rsidP="00073262" w:rsidRDefault="002E4E5E" w14:paraId="532F95D2" w14:textId="4F0BD54E">
            <w:pPr>
              <w:rPr>
                <w:color w:val="000000"/>
              </w:rPr>
            </w:pPr>
            <w:r>
              <w:rPr>
                <w:color w:val="000000"/>
              </w:rPr>
              <w:t>Exhibit SCE</w:t>
            </w:r>
            <w:r w:rsidR="008A1298">
              <w:rPr>
                <w:color w:val="000000"/>
              </w:rPr>
              <w:t>-09.</w:t>
            </w:r>
            <w:r w:rsidR="008B186C">
              <w:rPr>
                <w:color w:val="000000"/>
              </w:rPr>
              <w:t xml:space="preserve">  </w:t>
            </w:r>
            <w:r w:rsidRPr="00BD2166" w:rsidR="008B186C">
              <w:rPr>
                <w:i/>
                <w:iCs/>
                <w:color w:val="000000"/>
              </w:rPr>
              <w:t>See</w:t>
            </w:r>
            <w:r w:rsidR="008B186C">
              <w:rPr>
                <w:color w:val="000000"/>
              </w:rPr>
              <w:t xml:space="preserve"> </w:t>
            </w:r>
            <w:r w:rsidRPr="00BD2166" w:rsidR="008B186C">
              <w:rPr>
                <w:i/>
                <w:iCs/>
                <w:color w:val="000000"/>
              </w:rPr>
              <w:t>also</w:t>
            </w:r>
            <w:r w:rsidR="008B186C">
              <w:rPr>
                <w:color w:val="000000"/>
              </w:rPr>
              <w:t xml:space="preserve"> </w:t>
            </w:r>
            <w:r w:rsidR="00C77FDB">
              <w:rPr>
                <w:color w:val="000000"/>
              </w:rPr>
              <w:t xml:space="preserve">SCE </w:t>
            </w:r>
            <w:r w:rsidR="00BA17E7">
              <w:rPr>
                <w:color w:val="000000"/>
              </w:rPr>
              <w:t>Opening Brief, filed</w:t>
            </w:r>
            <w:r w:rsidR="00A90619">
              <w:rPr>
                <w:color w:val="000000"/>
              </w:rPr>
              <w:t xml:space="preserve"> July 15, 2024</w:t>
            </w:r>
            <w:r w:rsidR="00EE3E10">
              <w:rPr>
                <w:color w:val="000000"/>
              </w:rPr>
              <w:t>, at p</w:t>
            </w:r>
            <w:proofErr w:type="gramStart"/>
            <w:r w:rsidR="00EE3E10">
              <w:rPr>
                <w:color w:val="000000"/>
              </w:rPr>
              <w:t>. 554</w:t>
            </w:r>
            <w:proofErr w:type="gramEnd"/>
            <w:r w:rsidR="00EE3E10">
              <w:rPr>
                <w:color w:val="000000"/>
              </w:rPr>
              <w:t xml:space="preserve"> (discussing the Joint Proposal).  </w:t>
            </w:r>
            <w:r w:rsidR="00F629D9">
              <w:rPr>
                <w:color w:val="000000"/>
              </w:rPr>
              <w:t xml:space="preserve">SCE also met regularly with </w:t>
            </w:r>
            <w:proofErr w:type="spellStart"/>
            <w:r w:rsidR="00F629D9">
              <w:rPr>
                <w:color w:val="000000"/>
              </w:rPr>
              <w:t>CforAT</w:t>
            </w:r>
            <w:proofErr w:type="spellEnd"/>
            <w:r w:rsidR="00F629D9">
              <w:rPr>
                <w:color w:val="000000"/>
              </w:rPr>
              <w:t xml:space="preserve">, consistent with its prior agreement, to discuss ongoing accessibility efforts, which assisted in developing the provisions of the new agreement.  </w:t>
            </w:r>
          </w:p>
        </w:tc>
        <w:tc>
          <w:tcPr>
            <w:tcW w:w="1957" w:type="dxa"/>
          </w:tcPr>
          <w:p w:rsidRPr="007F620E" w:rsidR="00A92D0B" w:rsidP="00073262" w:rsidRDefault="000C4A7D" w14:paraId="63938BDA" w14:textId="0C90A59C">
            <w:pPr>
              <w:rPr>
                <w:color w:val="000000"/>
              </w:rPr>
            </w:pPr>
            <w:r>
              <w:rPr>
                <w:color w:val="000000"/>
              </w:rPr>
              <w:lastRenderedPageBreak/>
              <w:t>Verified</w:t>
            </w:r>
          </w:p>
        </w:tc>
      </w:tr>
      <w:tr w:rsidRPr="007F620E" w:rsidR="00A92D0B" w:rsidTr="005169D9" w14:paraId="4AAA05AE" w14:textId="77777777">
        <w:tc>
          <w:tcPr>
            <w:tcW w:w="3258" w:type="dxa"/>
          </w:tcPr>
          <w:p w:rsidR="00A92D0B" w:rsidP="00073262" w:rsidRDefault="00A92D0B" w14:paraId="31756DBD" w14:textId="4909FF2E">
            <w:pPr>
              <w:rPr>
                <w:color w:val="000000"/>
              </w:rPr>
            </w:pPr>
            <w:r w:rsidRPr="007F620E">
              <w:rPr>
                <w:color w:val="000000"/>
              </w:rPr>
              <w:t>2.</w:t>
            </w:r>
            <w:r w:rsidR="00E25078">
              <w:rPr>
                <w:color w:val="000000"/>
              </w:rPr>
              <w:t xml:space="preserve"> </w:t>
            </w:r>
            <w:r w:rsidR="00004D34">
              <w:rPr>
                <w:color w:val="000000"/>
              </w:rPr>
              <w:t xml:space="preserve">The new Accessibility </w:t>
            </w:r>
            <w:r w:rsidR="00A90619">
              <w:rPr>
                <w:color w:val="000000"/>
              </w:rPr>
              <w:t>Joint Proposal</w:t>
            </w:r>
            <w:r w:rsidR="00004D34">
              <w:rPr>
                <w:color w:val="000000"/>
              </w:rPr>
              <w:t xml:space="preserve"> was negotiated directly between </w:t>
            </w:r>
            <w:proofErr w:type="spellStart"/>
            <w:r w:rsidR="00004D34">
              <w:rPr>
                <w:color w:val="000000"/>
              </w:rPr>
              <w:t>CforAT</w:t>
            </w:r>
            <w:proofErr w:type="spellEnd"/>
            <w:r w:rsidR="00004D34">
              <w:rPr>
                <w:color w:val="000000"/>
              </w:rPr>
              <w:t xml:space="preserve"> and </w:t>
            </w:r>
            <w:r w:rsidR="00D83F00">
              <w:rPr>
                <w:color w:val="000000"/>
              </w:rPr>
              <w:t>SCE</w:t>
            </w:r>
            <w:r w:rsidR="007D0505">
              <w:rPr>
                <w:color w:val="000000"/>
              </w:rPr>
              <w:t>.  No party opposed its adoption, and it was adopted by the Commission</w:t>
            </w:r>
            <w:r w:rsidR="002D1EB0">
              <w:rPr>
                <w:color w:val="000000"/>
              </w:rPr>
              <w:t xml:space="preserve">.  </w:t>
            </w:r>
            <w:r w:rsidR="007D0505">
              <w:rPr>
                <w:color w:val="000000"/>
              </w:rPr>
              <w:t xml:space="preserve"> </w:t>
            </w:r>
          </w:p>
          <w:p w:rsidR="0000623B" w:rsidP="00073262" w:rsidRDefault="0000623B" w14:paraId="33FF699C" w14:textId="77777777">
            <w:pPr>
              <w:rPr>
                <w:color w:val="000000"/>
              </w:rPr>
            </w:pPr>
          </w:p>
          <w:p w:rsidR="0000623B" w:rsidP="00073262" w:rsidRDefault="0000623B" w14:paraId="0E98A872" w14:textId="22404F48">
            <w:pPr>
              <w:rPr>
                <w:color w:val="000000"/>
              </w:rPr>
            </w:pPr>
            <w:r>
              <w:rPr>
                <w:color w:val="000000"/>
              </w:rPr>
              <w:t>D.</w:t>
            </w:r>
            <w:r w:rsidR="00E87154">
              <w:rPr>
                <w:color w:val="000000"/>
              </w:rPr>
              <w:t>25-09-030</w:t>
            </w:r>
            <w:r>
              <w:rPr>
                <w:color w:val="000000"/>
              </w:rPr>
              <w:t xml:space="preserve"> at pp. 8</w:t>
            </w:r>
            <w:r w:rsidR="00523B08">
              <w:rPr>
                <w:color w:val="000000"/>
              </w:rPr>
              <w:t xml:space="preserve">52-853 (authorizing and adopting the Joint Proposal between </w:t>
            </w:r>
            <w:proofErr w:type="spellStart"/>
            <w:r w:rsidR="00523B08">
              <w:rPr>
                <w:color w:val="000000"/>
              </w:rPr>
              <w:t>CforAT</w:t>
            </w:r>
            <w:proofErr w:type="spellEnd"/>
            <w:r w:rsidR="00523B08">
              <w:rPr>
                <w:color w:val="000000"/>
              </w:rPr>
              <w:t xml:space="preserve"> and SCE).  </w:t>
            </w:r>
          </w:p>
          <w:p w:rsidRPr="007F620E" w:rsidR="00E25078" w:rsidP="00073262" w:rsidRDefault="00E25078" w14:paraId="11FCCEB5" w14:textId="77777777">
            <w:pPr>
              <w:rPr>
                <w:color w:val="000000"/>
              </w:rPr>
            </w:pPr>
          </w:p>
        </w:tc>
        <w:tc>
          <w:tcPr>
            <w:tcW w:w="4140" w:type="dxa"/>
          </w:tcPr>
          <w:p w:rsidR="00A92D0B" w:rsidP="00073262" w:rsidRDefault="00EE4275" w14:paraId="3D56D0C8" w14:textId="751A8B24">
            <w:pPr>
              <w:rPr>
                <w:color w:val="000000"/>
              </w:rPr>
            </w:pPr>
            <w:r>
              <w:rPr>
                <w:color w:val="000000"/>
              </w:rPr>
              <w:t xml:space="preserve">Both the current </w:t>
            </w:r>
            <w:r w:rsidR="00654BE9">
              <w:rPr>
                <w:color w:val="000000"/>
              </w:rPr>
              <w:t xml:space="preserve">Joint Proposal and the prior Joint Proposal (adopted in </w:t>
            </w:r>
            <w:r w:rsidR="00C92BEE">
              <w:rPr>
                <w:color w:val="000000"/>
              </w:rPr>
              <w:t>D</w:t>
            </w:r>
            <w:r w:rsidR="00403389">
              <w:rPr>
                <w:color w:val="000000"/>
              </w:rPr>
              <w:t>.21-08-036</w:t>
            </w:r>
            <w:r w:rsidR="00480A5F">
              <w:rPr>
                <w:color w:val="000000"/>
              </w:rPr>
              <w:t>, issued August 20, 2021</w:t>
            </w:r>
            <w:r w:rsidR="00403389">
              <w:rPr>
                <w:color w:val="000000"/>
              </w:rPr>
              <w:t xml:space="preserve"> in A.19-08-013, SCE’s </w:t>
            </w:r>
            <w:r w:rsidR="00C163D7">
              <w:rPr>
                <w:color w:val="000000"/>
              </w:rPr>
              <w:t xml:space="preserve">2021 GRC) </w:t>
            </w:r>
            <w:r w:rsidR="005B1B27">
              <w:rPr>
                <w:color w:val="000000"/>
              </w:rPr>
              <w:t xml:space="preserve">include requirements for SCE </w:t>
            </w:r>
            <w:r w:rsidR="00C507B1">
              <w:rPr>
                <w:color w:val="000000"/>
              </w:rPr>
              <w:t xml:space="preserve">to </w:t>
            </w:r>
            <w:r w:rsidR="00466608">
              <w:rPr>
                <w:color w:val="000000"/>
              </w:rPr>
              <w:t xml:space="preserve">provide annual reports to </w:t>
            </w:r>
            <w:proofErr w:type="spellStart"/>
            <w:r w:rsidR="00466608">
              <w:rPr>
                <w:color w:val="000000"/>
              </w:rPr>
              <w:t>CforAT</w:t>
            </w:r>
            <w:proofErr w:type="spellEnd"/>
            <w:r w:rsidR="00466608">
              <w:rPr>
                <w:color w:val="000000"/>
              </w:rPr>
              <w:t xml:space="preserve"> and any other interested </w:t>
            </w:r>
            <w:r w:rsidR="00A94DE6">
              <w:rPr>
                <w:color w:val="000000"/>
              </w:rPr>
              <w:t xml:space="preserve">parties regarding SCE’s accessibility improvement activities and related spending and to </w:t>
            </w:r>
            <w:r w:rsidR="00C507B1">
              <w:rPr>
                <w:color w:val="000000"/>
              </w:rPr>
              <w:t xml:space="preserve">meet with </w:t>
            </w:r>
            <w:proofErr w:type="spellStart"/>
            <w:r w:rsidR="00C507B1">
              <w:rPr>
                <w:color w:val="000000"/>
              </w:rPr>
              <w:t>CforAT</w:t>
            </w:r>
            <w:proofErr w:type="spellEnd"/>
            <w:r w:rsidR="00C507B1">
              <w:rPr>
                <w:color w:val="000000"/>
              </w:rPr>
              <w:t xml:space="preserve"> annually </w:t>
            </w:r>
            <w:r w:rsidR="00CD7608">
              <w:rPr>
                <w:color w:val="000000"/>
              </w:rPr>
              <w:t xml:space="preserve">regarding planned accessibility improvement activities for the upcoming year.  Exhibit SCE-09 at pp. 2-3; </w:t>
            </w:r>
            <w:r w:rsidR="001348E4">
              <w:rPr>
                <w:color w:val="000000"/>
              </w:rPr>
              <w:t xml:space="preserve">D.21-08-036 </w:t>
            </w:r>
            <w:r w:rsidR="00E52A01">
              <w:rPr>
                <w:color w:val="000000"/>
              </w:rPr>
              <w:t xml:space="preserve">at pp. 551-552 </w:t>
            </w:r>
            <w:r w:rsidR="001348E4">
              <w:rPr>
                <w:color w:val="000000"/>
              </w:rPr>
              <w:t xml:space="preserve">(discussing Joint Proposal adopted for </w:t>
            </w:r>
            <w:r w:rsidR="00E52A01">
              <w:rPr>
                <w:color w:val="000000"/>
              </w:rPr>
              <w:t xml:space="preserve">SCE’s 2021 GRC).  </w:t>
            </w:r>
          </w:p>
          <w:p w:rsidR="00C163D7" w:rsidP="00073262" w:rsidRDefault="00C163D7" w14:paraId="447F8039" w14:textId="77777777">
            <w:pPr>
              <w:rPr>
                <w:color w:val="000000"/>
              </w:rPr>
            </w:pPr>
          </w:p>
          <w:p w:rsidR="00C163D7" w:rsidP="00073262" w:rsidRDefault="00C163D7" w14:paraId="7E20ECED" w14:textId="77777777">
            <w:pPr>
              <w:rPr>
                <w:color w:val="000000"/>
              </w:rPr>
            </w:pPr>
            <w:r>
              <w:rPr>
                <w:color w:val="000000"/>
              </w:rPr>
              <w:t xml:space="preserve">The Commission has regularly </w:t>
            </w:r>
            <w:r w:rsidR="00CC3984">
              <w:rPr>
                <w:color w:val="000000"/>
              </w:rPr>
              <w:t xml:space="preserve">compensated </w:t>
            </w:r>
            <w:proofErr w:type="spellStart"/>
            <w:r w:rsidR="00CC3984">
              <w:rPr>
                <w:color w:val="000000"/>
              </w:rPr>
              <w:t>CforAT</w:t>
            </w:r>
            <w:proofErr w:type="spellEnd"/>
            <w:r w:rsidR="00CC3984">
              <w:rPr>
                <w:color w:val="000000"/>
              </w:rPr>
              <w:t xml:space="preserve"> for its reasonable participation in these annual meetings</w:t>
            </w:r>
            <w:r w:rsidR="000914A8">
              <w:rPr>
                <w:color w:val="000000"/>
              </w:rPr>
              <w:t xml:space="preserve">.  </w:t>
            </w:r>
          </w:p>
          <w:p w:rsidRPr="007F620E" w:rsidR="00950A92" w:rsidP="00073262" w:rsidRDefault="0081706B" w14:paraId="2A92A629" w14:textId="117694C4">
            <w:pPr>
              <w:rPr>
                <w:color w:val="000000"/>
              </w:rPr>
            </w:pPr>
            <w:r w:rsidRPr="0081706B">
              <w:rPr>
                <w:i/>
                <w:iCs/>
                <w:color w:val="000000"/>
              </w:rPr>
              <w:t>See</w:t>
            </w:r>
            <w:r>
              <w:rPr>
                <w:color w:val="000000"/>
              </w:rPr>
              <w:t xml:space="preserve">, </w:t>
            </w:r>
            <w:r w:rsidRPr="0081706B">
              <w:rPr>
                <w:i/>
                <w:iCs/>
                <w:color w:val="000000"/>
              </w:rPr>
              <w:t>e.g.</w:t>
            </w:r>
            <w:r>
              <w:rPr>
                <w:color w:val="000000"/>
              </w:rPr>
              <w:t xml:space="preserve">, </w:t>
            </w:r>
            <w:r w:rsidR="00950A92">
              <w:rPr>
                <w:color w:val="000000"/>
              </w:rPr>
              <w:t>D.</w:t>
            </w:r>
            <w:r w:rsidR="006C2134">
              <w:rPr>
                <w:color w:val="000000"/>
              </w:rPr>
              <w:t xml:space="preserve">22-08-048, issued August 26, </w:t>
            </w:r>
            <w:proofErr w:type="gramStart"/>
            <w:r w:rsidR="006C2134">
              <w:rPr>
                <w:color w:val="000000"/>
              </w:rPr>
              <w:t>2022</w:t>
            </w:r>
            <w:proofErr w:type="gramEnd"/>
            <w:r w:rsidR="006C2134">
              <w:rPr>
                <w:color w:val="000000"/>
              </w:rPr>
              <w:t xml:space="preserve"> in A.19-08-013, at pp. </w:t>
            </w:r>
            <w:r w:rsidR="00950A92">
              <w:rPr>
                <w:color w:val="000000"/>
              </w:rPr>
              <w:t xml:space="preserve"> </w:t>
            </w:r>
            <w:r w:rsidR="006C2134">
              <w:rPr>
                <w:color w:val="000000"/>
              </w:rPr>
              <w:t>5-9</w:t>
            </w:r>
            <w:r w:rsidR="00950A92">
              <w:rPr>
                <w:color w:val="000000"/>
              </w:rPr>
              <w:t xml:space="preserve"> (awarding compensation for all time spent </w:t>
            </w:r>
            <w:r w:rsidR="006C2134">
              <w:rPr>
                <w:color w:val="000000"/>
              </w:rPr>
              <w:t xml:space="preserve">in annual meetings </w:t>
            </w:r>
            <w:r w:rsidR="001A26AC">
              <w:rPr>
                <w:color w:val="000000"/>
              </w:rPr>
              <w:t xml:space="preserve">with SCE </w:t>
            </w:r>
            <w:r w:rsidR="006C2134">
              <w:rPr>
                <w:color w:val="000000"/>
              </w:rPr>
              <w:t xml:space="preserve">and reviewing </w:t>
            </w:r>
            <w:r w:rsidR="001A26AC">
              <w:rPr>
                <w:color w:val="000000"/>
              </w:rPr>
              <w:t xml:space="preserve">SCE’s </w:t>
            </w:r>
            <w:r w:rsidR="006C2134">
              <w:rPr>
                <w:color w:val="000000"/>
              </w:rPr>
              <w:t xml:space="preserve">annual reports); </w:t>
            </w:r>
            <w:r>
              <w:rPr>
                <w:color w:val="000000"/>
              </w:rPr>
              <w:t>D.</w:t>
            </w:r>
            <w:r w:rsidR="00BB1E5A">
              <w:rPr>
                <w:color w:val="000000"/>
              </w:rPr>
              <w:t>18-08-010</w:t>
            </w:r>
            <w:r w:rsidR="00786989">
              <w:rPr>
                <w:color w:val="000000"/>
              </w:rPr>
              <w:t>, issued A</w:t>
            </w:r>
            <w:r w:rsidR="00D62CD6">
              <w:rPr>
                <w:color w:val="000000"/>
              </w:rPr>
              <w:t xml:space="preserve">ugust 13, </w:t>
            </w:r>
            <w:proofErr w:type="gramStart"/>
            <w:r w:rsidR="00D62CD6">
              <w:rPr>
                <w:color w:val="000000"/>
              </w:rPr>
              <w:t>2018</w:t>
            </w:r>
            <w:proofErr w:type="gramEnd"/>
            <w:r w:rsidR="00D62CD6">
              <w:rPr>
                <w:color w:val="000000"/>
              </w:rPr>
              <w:t xml:space="preserve"> in A.15-09-001,</w:t>
            </w:r>
            <w:r w:rsidR="00BB1E5A">
              <w:rPr>
                <w:color w:val="000000"/>
              </w:rPr>
              <w:t xml:space="preserve"> at pp. 6, 9 </w:t>
            </w:r>
            <w:r w:rsidR="005123E4">
              <w:rPr>
                <w:color w:val="000000"/>
              </w:rPr>
              <w:t xml:space="preserve">(granting compensation to </w:t>
            </w:r>
            <w:proofErr w:type="spellStart"/>
            <w:r w:rsidR="005123E4">
              <w:rPr>
                <w:color w:val="000000"/>
              </w:rPr>
              <w:t>CforAT</w:t>
            </w:r>
            <w:proofErr w:type="spellEnd"/>
            <w:r w:rsidR="005123E4">
              <w:rPr>
                <w:color w:val="000000"/>
              </w:rPr>
              <w:t xml:space="preserve"> for its work in PG&amp;E’s </w:t>
            </w:r>
            <w:r w:rsidR="001872FD">
              <w:rPr>
                <w:color w:val="000000"/>
              </w:rPr>
              <w:t>2017 GRC, including implementation of accessibility commitments</w:t>
            </w:r>
            <w:r w:rsidR="00385681">
              <w:rPr>
                <w:color w:val="000000"/>
              </w:rPr>
              <w:t xml:space="preserve">).  </w:t>
            </w:r>
            <w:r w:rsidRPr="00385681" w:rsidR="00385681">
              <w:rPr>
                <w:color w:val="000000"/>
              </w:rPr>
              <w:t xml:space="preserve">While the Commission disallowed some hours regarding the annual review as duplicative, it accepted </w:t>
            </w:r>
            <w:r w:rsidRPr="00385681" w:rsidR="00385681">
              <w:rPr>
                <w:color w:val="000000"/>
              </w:rPr>
              <w:lastRenderedPageBreak/>
              <w:t xml:space="preserve">the overall work participating in such activities as appropriate. </w:t>
            </w:r>
            <w:r w:rsidRPr="00385681" w:rsidR="00385681">
              <w:rPr>
                <w:i/>
                <w:iCs/>
                <w:color w:val="000000"/>
              </w:rPr>
              <w:t>Id.</w:t>
            </w:r>
            <w:r w:rsidRPr="00385681" w:rsidR="00385681">
              <w:rPr>
                <w:color w:val="000000"/>
              </w:rPr>
              <w:t xml:space="preserve"> at p. 6 and p. 9.</w:t>
            </w:r>
            <w:r w:rsidR="001872FD">
              <w:rPr>
                <w:color w:val="000000"/>
              </w:rPr>
              <w:t xml:space="preserve"> </w:t>
            </w:r>
          </w:p>
        </w:tc>
        <w:tc>
          <w:tcPr>
            <w:tcW w:w="1957" w:type="dxa"/>
          </w:tcPr>
          <w:p w:rsidRPr="007F620E" w:rsidR="00A92D0B" w:rsidP="00073262" w:rsidRDefault="000C4A7D" w14:paraId="56FD3368" w14:textId="15DA1691">
            <w:pPr>
              <w:rPr>
                <w:color w:val="000000"/>
              </w:rPr>
            </w:pPr>
            <w:r>
              <w:rPr>
                <w:color w:val="000000"/>
              </w:rPr>
              <w:lastRenderedPageBreak/>
              <w:t>Verified</w:t>
            </w:r>
          </w:p>
        </w:tc>
      </w:tr>
      <w:tr w:rsidRPr="007F620E" w:rsidR="00691528" w:rsidTr="005169D9" w14:paraId="36FF786B" w14:textId="77777777">
        <w:tc>
          <w:tcPr>
            <w:tcW w:w="3258" w:type="dxa"/>
          </w:tcPr>
          <w:p w:rsidR="00691528" w:rsidP="00073262" w:rsidRDefault="00691528" w14:paraId="00FFAC2D" w14:textId="1306C2ED">
            <w:pPr>
              <w:rPr>
                <w:color w:val="000000"/>
              </w:rPr>
            </w:pPr>
            <w:r>
              <w:rPr>
                <w:color w:val="000000"/>
              </w:rPr>
              <w:t>3.</w:t>
            </w:r>
            <w:r w:rsidR="00E25078">
              <w:rPr>
                <w:color w:val="000000"/>
              </w:rPr>
              <w:t xml:space="preserve"> </w:t>
            </w:r>
            <w:r w:rsidRPr="00553538" w:rsidR="00553538">
              <w:rPr>
                <w:color w:val="000000"/>
              </w:rPr>
              <w:t xml:space="preserve">The Accessibility </w:t>
            </w:r>
            <w:r w:rsidR="00A90619">
              <w:rPr>
                <w:color w:val="000000"/>
              </w:rPr>
              <w:t xml:space="preserve">Joint Proposal </w:t>
            </w:r>
            <w:r w:rsidRPr="00553538" w:rsidR="00553538">
              <w:rPr>
                <w:color w:val="000000"/>
              </w:rPr>
              <w:t xml:space="preserve">continues the ongoing commitment by </w:t>
            </w:r>
            <w:r w:rsidR="00553538">
              <w:rPr>
                <w:color w:val="000000"/>
              </w:rPr>
              <w:t>SCE</w:t>
            </w:r>
            <w:r w:rsidRPr="00553538" w:rsidR="00553538">
              <w:rPr>
                <w:color w:val="000000"/>
              </w:rPr>
              <w:t xml:space="preserve"> to meet annually with </w:t>
            </w:r>
            <w:proofErr w:type="spellStart"/>
            <w:r w:rsidRPr="00553538" w:rsidR="00553538">
              <w:rPr>
                <w:color w:val="000000"/>
              </w:rPr>
              <w:t>CforAT</w:t>
            </w:r>
            <w:proofErr w:type="spellEnd"/>
            <w:r w:rsidRPr="00553538" w:rsidR="00553538">
              <w:rPr>
                <w:color w:val="000000"/>
              </w:rPr>
              <w:t xml:space="preserve"> to discuss its accessibility spending for the past year and prioritize spending plans for the next year. It is appropriate for </w:t>
            </w:r>
            <w:proofErr w:type="spellStart"/>
            <w:r w:rsidRPr="00553538" w:rsidR="00553538">
              <w:rPr>
                <w:color w:val="000000"/>
              </w:rPr>
              <w:t>CforAT</w:t>
            </w:r>
            <w:proofErr w:type="spellEnd"/>
            <w:r w:rsidRPr="00553538" w:rsidR="00553538">
              <w:rPr>
                <w:color w:val="000000"/>
              </w:rPr>
              <w:t xml:space="preserve"> to participate in these meetings (which are open to other interested parties) in conjunction with ensuring that </w:t>
            </w:r>
            <w:r w:rsidR="00553538">
              <w:rPr>
                <w:color w:val="000000"/>
              </w:rPr>
              <w:t xml:space="preserve">SCE meets its accessibility obligations.  </w:t>
            </w:r>
          </w:p>
          <w:p w:rsidRPr="007F620E" w:rsidR="00E25078" w:rsidP="00073262" w:rsidRDefault="00E25078" w14:paraId="77A8C970" w14:textId="77777777">
            <w:pPr>
              <w:rPr>
                <w:color w:val="000000"/>
              </w:rPr>
            </w:pPr>
          </w:p>
        </w:tc>
        <w:tc>
          <w:tcPr>
            <w:tcW w:w="4140" w:type="dxa"/>
          </w:tcPr>
          <w:p w:rsidRPr="007F620E" w:rsidR="00691528" w:rsidP="00073262" w:rsidRDefault="00F629D9" w14:paraId="2144B6BD" w14:textId="733AE466">
            <w:pPr>
              <w:rPr>
                <w:color w:val="000000"/>
              </w:rPr>
            </w:pPr>
            <w:r>
              <w:rPr>
                <w:color w:val="000000"/>
              </w:rPr>
              <w:t xml:space="preserve">While not specifically noted in the Decision, the regular meetings inform </w:t>
            </w:r>
            <w:r w:rsidR="00FD44EF">
              <w:rPr>
                <w:color w:val="000000"/>
              </w:rPr>
              <w:t xml:space="preserve">negotiations for subsequent agreements and ensure that the funds allocated for accessibility efforts are spent appropriately.  </w:t>
            </w:r>
          </w:p>
        </w:tc>
        <w:tc>
          <w:tcPr>
            <w:tcW w:w="1957" w:type="dxa"/>
          </w:tcPr>
          <w:p w:rsidRPr="007F620E" w:rsidR="00691528" w:rsidP="00073262" w:rsidRDefault="00AD3759" w14:paraId="64233D9C" w14:textId="6B8AD61A">
            <w:pPr>
              <w:rPr>
                <w:color w:val="000000"/>
              </w:rPr>
            </w:pPr>
            <w:r>
              <w:rPr>
                <w:color w:val="000000"/>
              </w:rPr>
              <w:t>Verified</w:t>
            </w:r>
          </w:p>
        </w:tc>
      </w:tr>
    </w:tbl>
    <w:p w:rsidRPr="007F620E" w:rsidR="00A92D0B" w:rsidP="005B5B44" w:rsidRDefault="00A92D0B" w14:paraId="0D4BCD3A" w14:textId="77777777">
      <w:pPr>
        <w:keepNext/>
        <w:numPr>
          <w:ilvl w:val="0"/>
          <w:numId w:val="8"/>
        </w:numPr>
        <w:spacing w:before="240" w:after="240"/>
        <w:rPr>
          <w:b/>
          <w:color w:val="000000"/>
        </w:rPr>
      </w:pPr>
      <w:r w:rsidRPr="007F620E">
        <w:rPr>
          <w:b/>
          <w:color w:val="000000"/>
        </w:rPr>
        <w:t xml:space="preserve">Duplication of Effort (§ 1801.3(f) </w:t>
      </w:r>
      <w:r w:rsidRPr="007F620E" w:rsidR="00F30DA8">
        <w:rPr>
          <w:b/>
          <w:color w:val="000000"/>
        </w:rPr>
        <w:t xml:space="preserve">and § </w:t>
      </w:r>
      <w:r w:rsidR="0022302F">
        <w:rPr>
          <w:b/>
          <w:color w:val="000000"/>
        </w:rPr>
        <w:t>1802.5)</w:t>
      </w:r>
      <w:r w:rsidR="00C02649">
        <w:rPr>
          <w:b/>
          <w:color w:val="000000"/>
        </w:rPr>
        <w:t>:</w:t>
      </w: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6048"/>
        <w:gridCol w:w="1710"/>
        <w:gridCol w:w="1597"/>
      </w:tblGrid>
      <w:tr w:rsidRPr="007F620E" w:rsidR="00A92D0B" w:rsidTr="005169D9" w14:paraId="76F3266C" w14:textId="77777777">
        <w:trPr>
          <w:tblHeader/>
        </w:trPr>
        <w:tc>
          <w:tcPr>
            <w:tcW w:w="6048" w:type="dxa"/>
            <w:shd w:val="clear" w:color="auto" w:fill="D9D9D9" w:themeFill="background1" w:themeFillShade="D9"/>
          </w:tcPr>
          <w:p w:rsidRPr="007F620E" w:rsidR="00A92D0B" w:rsidP="00073262" w:rsidRDefault="00A92D0B" w14:paraId="300CEDBC" w14:textId="77777777">
            <w:pPr>
              <w:keepNext/>
              <w:keepLines/>
              <w:rPr>
                <w:color w:val="000000"/>
              </w:rPr>
            </w:pPr>
          </w:p>
        </w:tc>
        <w:tc>
          <w:tcPr>
            <w:tcW w:w="1710" w:type="dxa"/>
            <w:tcBorders>
              <w:bottom w:val="single" w:color="auto" w:sz="4" w:space="0"/>
            </w:tcBorders>
            <w:shd w:val="clear" w:color="auto" w:fill="D9D9D9" w:themeFill="background1" w:themeFillShade="D9"/>
          </w:tcPr>
          <w:p w:rsidRPr="007F620E" w:rsidR="00A92D0B" w:rsidP="00073262" w:rsidRDefault="005A63D4" w14:paraId="7B091096" w14:textId="77777777">
            <w:pPr>
              <w:keepNext/>
              <w:keepLines/>
              <w:jc w:val="center"/>
              <w:rPr>
                <w:b/>
                <w:color w:val="000000"/>
              </w:rPr>
            </w:pPr>
            <w:r w:rsidRPr="007F620E">
              <w:rPr>
                <w:b/>
                <w:color w:val="000000"/>
              </w:rPr>
              <w:t>Interveno</w:t>
            </w:r>
            <w:r w:rsidRPr="007F620E" w:rsidR="00204E3A">
              <w:rPr>
                <w:b/>
                <w:color w:val="000000"/>
              </w:rPr>
              <w:t>r</w:t>
            </w:r>
            <w:r w:rsidRPr="007F620E">
              <w:rPr>
                <w:b/>
                <w:color w:val="000000"/>
              </w:rPr>
              <w:t xml:space="preserve">’s </w:t>
            </w:r>
            <w:r w:rsidRPr="007F620E" w:rsidR="00D075B1">
              <w:rPr>
                <w:b/>
                <w:color w:val="000000"/>
              </w:rPr>
              <w:t>Assertion</w:t>
            </w:r>
          </w:p>
        </w:tc>
        <w:tc>
          <w:tcPr>
            <w:tcW w:w="1597" w:type="dxa"/>
            <w:shd w:val="clear" w:color="auto" w:fill="D9D9D9" w:themeFill="background1" w:themeFillShade="D9"/>
          </w:tcPr>
          <w:p w:rsidRPr="007F620E" w:rsidR="00A92D0B" w:rsidP="00073262" w:rsidRDefault="00A92D0B" w14:paraId="25CE5081" w14:textId="77777777">
            <w:pPr>
              <w:keepNext/>
              <w:keepLines/>
              <w:jc w:val="center"/>
              <w:rPr>
                <w:b/>
                <w:color w:val="000000"/>
              </w:rPr>
            </w:pPr>
            <w:r w:rsidRPr="007F620E">
              <w:rPr>
                <w:b/>
                <w:color w:val="000000"/>
              </w:rPr>
              <w:t xml:space="preserve">CPUC </w:t>
            </w:r>
            <w:r w:rsidRPr="007F620E" w:rsidR="00D075B1">
              <w:rPr>
                <w:b/>
                <w:color w:val="000000"/>
              </w:rPr>
              <w:t>Discussion</w:t>
            </w:r>
          </w:p>
        </w:tc>
      </w:tr>
      <w:tr w:rsidRPr="007F620E" w:rsidR="00A92D0B" w:rsidTr="005169D9" w14:paraId="24A12BE1" w14:textId="77777777">
        <w:tc>
          <w:tcPr>
            <w:tcW w:w="6048" w:type="dxa"/>
          </w:tcPr>
          <w:p w:rsidRPr="007F620E" w:rsidR="00A92D0B" w:rsidP="00073262" w:rsidRDefault="00A92D0B" w14:paraId="6915FAF6" w14:textId="0F2788AA">
            <w:pPr>
              <w:keepLines/>
              <w:ind w:left="360" w:hanging="360"/>
              <w:rPr>
                <w:b/>
                <w:color w:val="000000"/>
              </w:rPr>
            </w:pPr>
            <w:r w:rsidRPr="007F620E">
              <w:rPr>
                <w:b/>
                <w:color w:val="000000"/>
              </w:rPr>
              <w:t>a.</w:t>
            </w:r>
            <w:r w:rsidRPr="007F620E">
              <w:rPr>
                <w:b/>
                <w:color w:val="000000"/>
              </w:rPr>
              <w:tab/>
            </w:r>
            <w:r w:rsidRPr="007F620E">
              <w:rPr>
                <w:b/>
              </w:rPr>
              <w:t xml:space="preserve">Was </w:t>
            </w:r>
            <w:r w:rsidRPr="009E48E4">
              <w:rPr>
                <w:b/>
              </w:rPr>
              <w:t xml:space="preserve">the </w:t>
            </w:r>
            <w:r w:rsidRPr="009E48E4" w:rsidR="009E48E4">
              <w:rPr>
                <w:b/>
                <w:color w:val="000000"/>
                <w:sz w:val="22"/>
                <w:szCs w:val="22"/>
              </w:rPr>
              <w:t>Public Advocate</w:t>
            </w:r>
            <w:r w:rsidR="00621A7C">
              <w:rPr>
                <w:b/>
                <w:color w:val="000000"/>
                <w:sz w:val="22"/>
                <w:szCs w:val="22"/>
              </w:rPr>
              <w:t>’</w:t>
            </w:r>
            <w:r w:rsidRPr="009E48E4" w:rsidR="009E48E4">
              <w:rPr>
                <w:b/>
                <w:color w:val="000000"/>
                <w:sz w:val="22"/>
                <w:szCs w:val="22"/>
              </w:rPr>
              <w:t>s Office of the Public Utilities Commission</w:t>
            </w:r>
            <w:r w:rsidRPr="009E48E4" w:rsidR="009E48E4">
              <w:rPr>
                <w:b/>
              </w:rPr>
              <w:t xml:space="preserve"> </w:t>
            </w:r>
            <w:r w:rsidRPr="00B55D78">
              <w:rPr>
                <w:b/>
                <w:color w:val="000000"/>
                <w:sz w:val="22"/>
                <w:szCs w:val="22"/>
              </w:rPr>
              <w:t>(</w:t>
            </w:r>
            <w:r w:rsidRPr="00B55D78" w:rsidR="00B55D78">
              <w:rPr>
                <w:b/>
                <w:color w:val="000000"/>
                <w:sz w:val="22"/>
                <w:szCs w:val="22"/>
              </w:rPr>
              <w:t>Cal Advocates</w:t>
            </w:r>
            <w:r w:rsidRPr="007F620E">
              <w:rPr>
                <w:b/>
              </w:rPr>
              <w:t>) a party to the proceeding</w:t>
            </w:r>
            <w:r w:rsidRPr="007F620E">
              <w:rPr>
                <w:b/>
                <w:color w:val="000000"/>
              </w:rPr>
              <w:t>?</w:t>
            </w:r>
          </w:p>
        </w:tc>
        <w:tc>
          <w:tcPr>
            <w:tcW w:w="1710" w:type="dxa"/>
          </w:tcPr>
          <w:p w:rsidRPr="00E25078" w:rsidR="00A92D0B" w:rsidP="00073262" w:rsidRDefault="00716CFC" w14:paraId="0B49A7C8" w14:textId="7EC4279A">
            <w:pPr>
              <w:keepNext/>
              <w:keepLines/>
              <w:rPr>
                <w:color w:val="000000"/>
              </w:rPr>
            </w:pPr>
            <w:r>
              <w:rPr>
                <w:color w:val="000000"/>
              </w:rPr>
              <w:t xml:space="preserve">Yes </w:t>
            </w:r>
          </w:p>
        </w:tc>
        <w:tc>
          <w:tcPr>
            <w:tcW w:w="1597" w:type="dxa"/>
          </w:tcPr>
          <w:p w:rsidRPr="00E25078" w:rsidR="00A92D0B" w:rsidP="00073262" w:rsidRDefault="00243040" w14:paraId="23B6532A" w14:textId="22ED34BC">
            <w:pPr>
              <w:keepNext/>
              <w:keepLines/>
              <w:rPr>
                <w:color w:val="000000"/>
              </w:rPr>
            </w:pPr>
            <w:r>
              <w:rPr>
                <w:color w:val="000000"/>
              </w:rPr>
              <w:t>Verified</w:t>
            </w:r>
          </w:p>
        </w:tc>
      </w:tr>
      <w:tr w:rsidRPr="007F620E" w:rsidR="00A92D0B" w:rsidTr="005169D9" w14:paraId="3317BD71" w14:textId="77777777">
        <w:tc>
          <w:tcPr>
            <w:tcW w:w="6048" w:type="dxa"/>
          </w:tcPr>
          <w:p w:rsidRPr="007F620E" w:rsidR="00A92D0B" w:rsidP="00073262" w:rsidRDefault="00A92D0B" w14:paraId="561D245D" w14:textId="77777777">
            <w:pPr>
              <w:tabs>
                <w:tab w:val="left" w:pos="360"/>
              </w:tabs>
              <w:ind w:left="360" w:hanging="360"/>
              <w:rPr>
                <w:b/>
                <w:color w:val="000000"/>
              </w:rPr>
            </w:pPr>
            <w:r w:rsidRPr="007F620E">
              <w:rPr>
                <w:b/>
                <w:color w:val="000000"/>
              </w:rPr>
              <w:t>b.</w:t>
            </w:r>
            <w:r w:rsidRPr="007F620E">
              <w:rPr>
                <w:b/>
                <w:color w:val="000000"/>
              </w:rPr>
              <w:tab/>
              <w:t xml:space="preserve">Were there other parties to </w:t>
            </w:r>
            <w:proofErr w:type="gramStart"/>
            <w:r w:rsidRPr="007F620E">
              <w:rPr>
                <w:b/>
                <w:color w:val="000000"/>
              </w:rPr>
              <w:t>the proceeding</w:t>
            </w:r>
            <w:proofErr w:type="gramEnd"/>
            <w:r w:rsidRPr="007F620E">
              <w:rPr>
                <w:b/>
                <w:color w:val="000000"/>
              </w:rPr>
              <w:t xml:space="preserve"> with positions </w:t>
            </w:r>
            <w:proofErr w:type="gramStart"/>
            <w:r w:rsidRPr="007F620E">
              <w:rPr>
                <w:b/>
                <w:color w:val="000000"/>
              </w:rPr>
              <w:t>similar to</w:t>
            </w:r>
            <w:proofErr w:type="gramEnd"/>
            <w:r w:rsidRPr="007F620E">
              <w:rPr>
                <w:b/>
                <w:color w:val="000000"/>
              </w:rPr>
              <w:t xml:space="preserve"> yours? </w:t>
            </w:r>
          </w:p>
        </w:tc>
        <w:tc>
          <w:tcPr>
            <w:tcW w:w="1710" w:type="dxa"/>
          </w:tcPr>
          <w:p w:rsidRPr="00E25078" w:rsidR="00A92D0B" w:rsidP="00073262" w:rsidRDefault="0004573E" w14:paraId="3708E485" w14:textId="38ABDC8B">
            <w:pPr>
              <w:rPr>
                <w:color w:val="000000"/>
              </w:rPr>
            </w:pPr>
            <w:r>
              <w:rPr>
                <w:color w:val="000000"/>
              </w:rPr>
              <w:t xml:space="preserve">No </w:t>
            </w:r>
          </w:p>
        </w:tc>
        <w:tc>
          <w:tcPr>
            <w:tcW w:w="1597" w:type="dxa"/>
          </w:tcPr>
          <w:p w:rsidRPr="00E25078" w:rsidR="00A92D0B" w:rsidP="00073262" w:rsidRDefault="00243040" w14:paraId="6B3388E6" w14:textId="2FA19DDF">
            <w:pPr>
              <w:rPr>
                <w:color w:val="000000"/>
              </w:rPr>
            </w:pPr>
            <w:r>
              <w:rPr>
                <w:color w:val="000000"/>
              </w:rPr>
              <w:t>Noted</w:t>
            </w:r>
          </w:p>
        </w:tc>
      </w:tr>
      <w:tr w:rsidRPr="007F620E" w:rsidR="00A92D0B" w:rsidTr="005169D9" w14:paraId="0A51B7D4" w14:textId="77777777">
        <w:tc>
          <w:tcPr>
            <w:tcW w:w="7758" w:type="dxa"/>
            <w:gridSpan w:val="2"/>
          </w:tcPr>
          <w:p w:rsidR="00A92D0B" w:rsidP="00073262" w:rsidRDefault="00A92D0B" w14:paraId="30CB6275" w14:textId="7D63B4F2">
            <w:pPr>
              <w:ind w:left="360" w:hanging="360"/>
              <w:rPr>
                <w:color w:val="000000"/>
              </w:rPr>
            </w:pPr>
            <w:proofErr w:type="gramStart"/>
            <w:r w:rsidRPr="00E25078">
              <w:rPr>
                <w:b/>
                <w:color w:val="000000"/>
              </w:rPr>
              <w:t>c.</w:t>
            </w:r>
            <w:r w:rsidRPr="00E25078">
              <w:rPr>
                <w:b/>
                <w:color w:val="000000"/>
              </w:rPr>
              <w:tab/>
              <w:t>If</w:t>
            </w:r>
            <w:proofErr w:type="gramEnd"/>
            <w:r w:rsidRPr="00E25078">
              <w:rPr>
                <w:b/>
                <w:color w:val="000000"/>
              </w:rPr>
              <w:t xml:space="preserve"> so, provide name of other parties:</w:t>
            </w:r>
            <w:r w:rsidRPr="00E25078" w:rsidR="00E25078">
              <w:rPr>
                <w:color w:val="000000"/>
              </w:rPr>
              <w:t xml:space="preserve"> </w:t>
            </w:r>
          </w:p>
          <w:p w:rsidRPr="00E25078" w:rsidR="0004573E" w:rsidP="00954CC5" w:rsidRDefault="0004573E" w14:paraId="7A6EA7F2" w14:textId="75401412">
            <w:pPr>
              <w:ind w:left="360" w:right="360" w:hanging="30"/>
              <w:rPr>
                <w:color w:val="000000"/>
              </w:rPr>
            </w:pPr>
            <w:r>
              <w:rPr>
                <w:color w:val="000000"/>
              </w:rPr>
              <w:t xml:space="preserve">While other parties advocated for the interests of consumers generally, and while no party opposed the positions advocated by </w:t>
            </w:r>
            <w:proofErr w:type="spellStart"/>
            <w:r>
              <w:rPr>
                <w:color w:val="000000"/>
              </w:rPr>
              <w:t>CforAT</w:t>
            </w:r>
            <w:proofErr w:type="spellEnd"/>
            <w:r>
              <w:rPr>
                <w:color w:val="000000"/>
              </w:rPr>
              <w:t>, no other party had a focus on accessibility concerns for customers with disabilities.</w:t>
            </w:r>
          </w:p>
          <w:p w:rsidRPr="00E25078" w:rsidR="00A92D0B" w:rsidP="001950B4" w:rsidRDefault="00A92D0B" w14:paraId="0919176B" w14:textId="77777777">
            <w:pPr>
              <w:rPr>
                <w:color w:val="000000"/>
              </w:rPr>
            </w:pPr>
          </w:p>
        </w:tc>
        <w:tc>
          <w:tcPr>
            <w:tcW w:w="1597" w:type="dxa"/>
          </w:tcPr>
          <w:p w:rsidRPr="00E25078" w:rsidR="00A92D0B" w:rsidP="00073262" w:rsidRDefault="00243040" w14:paraId="22A40B49" w14:textId="1B2DBBD1">
            <w:pPr>
              <w:rPr>
                <w:color w:val="000000"/>
              </w:rPr>
            </w:pPr>
            <w:r>
              <w:rPr>
                <w:color w:val="000000"/>
              </w:rPr>
              <w:t>Noted</w:t>
            </w:r>
          </w:p>
        </w:tc>
      </w:tr>
      <w:tr w:rsidRPr="007F620E" w:rsidR="00A92D0B" w:rsidTr="005169D9" w14:paraId="744830F5" w14:textId="77777777">
        <w:tc>
          <w:tcPr>
            <w:tcW w:w="7758" w:type="dxa"/>
            <w:gridSpan w:val="2"/>
          </w:tcPr>
          <w:p w:rsidRPr="00E25078" w:rsidR="00A92D0B" w:rsidP="00073262" w:rsidRDefault="00A92D0B" w14:paraId="7C05FE5A" w14:textId="7521972E">
            <w:pPr>
              <w:tabs>
                <w:tab w:val="left" w:pos="360"/>
              </w:tabs>
              <w:ind w:left="360" w:hanging="360"/>
              <w:rPr>
                <w:color w:val="000000"/>
              </w:rPr>
            </w:pPr>
            <w:r w:rsidRPr="00E25078">
              <w:rPr>
                <w:b/>
                <w:color w:val="000000"/>
              </w:rPr>
              <w:t>d.</w:t>
            </w:r>
            <w:r w:rsidRPr="00E25078">
              <w:rPr>
                <w:b/>
                <w:color w:val="000000"/>
              </w:rPr>
              <w:tab/>
            </w:r>
            <w:r w:rsidRPr="00E25078" w:rsidR="00D075B1">
              <w:rPr>
                <w:b/>
                <w:color w:val="000000"/>
              </w:rPr>
              <w:t xml:space="preserve">Intervenor’s </w:t>
            </w:r>
            <w:r w:rsidRPr="00E25078" w:rsidR="00A319DE">
              <w:rPr>
                <w:b/>
                <w:color w:val="000000"/>
              </w:rPr>
              <w:t>c</w:t>
            </w:r>
            <w:r w:rsidRPr="00E25078" w:rsidR="00D075B1">
              <w:rPr>
                <w:b/>
                <w:color w:val="000000"/>
              </w:rPr>
              <w:t xml:space="preserve">laim of </w:t>
            </w:r>
            <w:r w:rsidRPr="00E25078" w:rsidR="00A319DE">
              <w:rPr>
                <w:b/>
                <w:color w:val="000000"/>
              </w:rPr>
              <w:t>n</w:t>
            </w:r>
            <w:r w:rsidRPr="00E25078" w:rsidR="00D075B1">
              <w:rPr>
                <w:b/>
                <w:color w:val="000000"/>
              </w:rPr>
              <w:t>on-</w:t>
            </w:r>
            <w:r w:rsidRPr="00E25078" w:rsidR="00A319DE">
              <w:rPr>
                <w:b/>
                <w:color w:val="000000"/>
              </w:rPr>
              <w:t>d</w:t>
            </w:r>
            <w:r w:rsidRPr="00E25078" w:rsidR="00D075B1">
              <w:rPr>
                <w:b/>
                <w:color w:val="000000"/>
              </w:rPr>
              <w:t>uplication:</w:t>
            </w:r>
            <w:r w:rsidRPr="00E25078" w:rsidR="00E25078">
              <w:rPr>
                <w:color w:val="000000"/>
              </w:rPr>
              <w:t xml:space="preserve"> </w:t>
            </w:r>
          </w:p>
          <w:p w:rsidRPr="00E25078" w:rsidR="00691528" w:rsidP="00954CC5" w:rsidRDefault="007E7139" w14:paraId="0CFBC7B2" w14:textId="25D81178">
            <w:pPr>
              <w:ind w:left="360" w:right="360" w:hanging="30"/>
              <w:rPr>
                <w:color w:val="000000"/>
              </w:rPr>
            </w:pPr>
            <w:r w:rsidRPr="007E7139">
              <w:rPr>
                <w:color w:val="000000"/>
              </w:rPr>
              <w:t xml:space="preserve">As stated above, there were multiple parties representing the interests of consumers in this proceeding, but there were no other parties addressing disability access issues or examining how </w:t>
            </w:r>
            <w:r>
              <w:rPr>
                <w:color w:val="000000"/>
              </w:rPr>
              <w:t>SCE</w:t>
            </w:r>
            <w:r w:rsidRPr="007E7139">
              <w:rPr>
                <w:color w:val="000000"/>
              </w:rPr>
              <w:t xml:space="preserve"> ensures that its services and communications are accessible. This was the focus of </w:t>
            </w:r>
            <w:proofErr w:type="spellStart"/>
            <w:r w:rsidRPr="007E7139">
              <w:rPr>
                <w:color w:val="000000"/>
              </w:rPr>
              <w:t>CforAT’s</w:t>
            </w:r>
            <w:proofErr w:type="spellEnd"/>
            <w:r w:rsidRPr="007E7139">
              <w:rPr>
                <w:color w:val="000000"/>
              </w:rPr>
              <w:t xml:space="preserve"> participation. Because no other party addressed this issue, there was no duplication of effort.</w:t>
            </w:r>
          </w:p>
          <w:p w:rsidRPr="00E25078" w:rsidR="00A92D0B" w:rsidP="00073262" w:rsidRDefault="00A92D0B" w14:paraId="3228BB07" w14:textId="77777777">
            <w:pPr>
              <w:tabs>
                <w:tab w:val="left" w:pos="360"/>
              </w:tabs>
              <w:ind w:left="360" w:hanging="360"/>
              <w:rPr>
                <w:color w:val="000000"/>
              </w:rPr>
            </w:pPr>
          </w:p>
        </w:tc>
        <w:tc>
          <w:tcPr>
            <w:tcW w:w="1597" w:type="dxa"/>
          </w:tcPr>
          <w:p w:rsidRPr="00E25078" w:rsidR="00A92D0B" w:rsidP="00073262" w:rsidRDefault="00243040" w14:paraId="5F9BBA55" w14:textId="6EBB57BE">
            <w:pPr>
              <w:tabs>
                <w:tab w:val="left" w:pos="360"/>
              </w:tabs>
              <w:ind w:left="360" w:hanging="360"/>
              <w:rPr>
                <w:color w:val="000000"/>
              </w:rPr>
            </w:pPr>
            <w:r>
              <w:rPr>
                <w:color w:val="000000"/>
              </w:rPr>
              <w:lastRenderedPageBreak/>
              <w:t>Noted</w:t>
            </w:r>
          </w:p>
        </w:tc>
      </w:tr>
    </w:tbl>
    <w:p w:rsidRPr="003B6A1B" w:rsidR="00A92D0B" w:rsidP="0020768C" w:rsidRDefault="00A92D0B" w14:paraId="48FE39F8" w14:textId="11547679">
      <w:pPr>
        <w:keepNext/>
        <w:tabs>
          <w:tab w:val="left" w:pos="1260"/>
        </w:tabs>
        <w:spacing w:before="480"/>
        <w:ind w:left="1267" w:hanging="1267"/>
        <w:jc w:val="center"/>
        <w:rPr>
          <w:i/>
          <w:color w:val="000000"/>
          <w:u w:val="single"/>
        </w:rPr>
      </w:pPr>
      <w:r w:rsidRPr="007F620E">
        <w:rPr>
          <w:b/>
          <w:color w:val="000000"/>
        </w:rPr>
        <w:t>PART III</w:t>
      </w:r>
      <w:proofErr w:type="gramStart"/>
      <w:r w:rsidRPr="007F620E">
        <w:rPr>
          <w:b/>
          <w:color w:val="000000"/>
        </w:rPr>
        <w:t>:</w:t>
      </w:r>
      <w:r w:rsidR="00D1778A">
        <w:rPr>
          <w:b/>
          <w:color w:val="000000"/>
        </w:rPr>
        <w:t xml:space="preserve">  </w:t>
      </w:r>
      <w:r w:rsidRPr="007F620E">
        <w:rPr>
          <w:b/>
          <w:color w:val="000000"/>
        </w:rPr>
        <w:t>REASONABLENESS</w:t>
      </w:r>
      <w:proofErr w:type="gramEnd"/>
      <w:r w:rsidRPr="007F620E">
        <w:rPr>
          <w:b/>
          <w:color w:val="000000"/>
        </w:rPr>
        <w:t xml:space="preserve"> OF REQUESTED COMPENSATION</w:t>
      </w:r>
    </w:p>
    <w:p w:rsidRPr="007F620E" w:rsidR="00A92D0B" w:rsidP="005B5B44" w:rsidRDefault="00A92D0B" w14:paraId="6F74DAE2" w14:textId="77777777">
      <w:pPr>
        <w:keepNext/>
        <w:numPr>
          <w:ilvl w:val="0"/>
          <w:numId w:val="9"/>
        </w:numPr>
        <w:spacing w:before="240" w:after="240"/>
        <w:rPr>
          <w:b/>
          <w:color w:val="000000"/>
        </w:rPr>
      </w:pPr>
      <w:r w:rsidRPr="007F620E">
        <w:rPr>
          <w:b/>
          <w:color w:val="000000"/>
        </w:rPr>
        <w:t xml:space="preserve">General Claim of Reasonableness </w:t>
      </w:r>
      <w:r w:rsidRPr="007F620E" w:rsidR="00F30DA8">
        <w:rPr>
          <w:b/>
          <w:color w:val="000000"/>
        </w:rPr>
        <w:t xml:space="preserve">(§ </w:t>
      </w:r>
      <w:r w:rsidRPr="007F620E">
        <w:rPr>
          <w:b/>
          <w:color w:val="000000"/>
        </w:rPr>
        <w:t xml:space="preserve">1801 </w:t>
      </w:r>
      <w:r w:rsidRPr="007F620E" w:rsidR="00F30DA8">
        <w:rPr>
          <w:b/>
          <w:color w:val="000000"/>
        </w:rPr>
        <w:t>and §</w:t>
      </w:r>
      <w:r w:rsidR="0022302F">
        <w:rPr>
          <w:b/>
          <w:color w:val="000000"/>
        </w:rPr>
        <w:t xml:space="preserve"> 1806)</w:t>
      </w:r>
      <w:r w:rsidR="00C02649">
        <w:rPr>
          <w:b/>
          <w:color w:val="000000"/>
        </w:rPr>
        <w:t>:</w:t>
      </w: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7488"/>
        <w:gridCol w:w="1867"/>
      </w:tblGrid>
      <w:tr w:rsidRPr="007F620E" w:rsidR="00FE3BAE" w:rsidTr="005169D9" w14:paraId="4078AC87" w14:textId="77777777">
        <w:trPr>
          <w:tblHeader/>
        </w:trPr>
        <w:tc>
          <w:tcPr>
            <w:tcW w:w="7488" w:type="dxa"/>
            <w:tcBorders>
              <w:bottom w:val="single" w:color="auto" w:sz="4" w:space="0"/>
            </w:tcBorders>
            <w:shd w:val="clear" w:color="auto" w:fill="D9D9D9" w:themeFill="background1" w:themeFillShade="D9"/>
          </w:tcPr>
          <w:p w:rsidRPr="007F620E" w:rsidR="00FE3BAE" w:rsidP="00EC6387" w:rsidRDefault="00FE3BAE" w14:paraId="70FDF5DA" w14:textId="77777777">
            <w:pPr>
              <w:rPr>
                <w:b/>
                <w:color w:val="000000"/>
              </w:rPr>
            </w:pPr>
          </w:p>
        </w:tc>
        <w:tc>
          <w:tcPr>
            <w:tcW w:w="1867" w:type="dxa"/>
            <w:shd w:val="clear" w:color="auto" w:fill="D9D9D9" w:themeFill="background1" w:themeFillShade="D9"/>
          </w:tcPr>
          <w:p w:rsidRPr="00FE3BAE" w:rsidR="00FE3BAE" w:rsidP="00EC6387" w:rsidRDefault="00FE3BAE" w14:paraId="59CD9FCF" w14:textId="77777777">
            <w:pPr>
              <w:rPr>
                <w:color w:val="000000"/>
              </w:rPr>
            </w:pPr>
            <w:r w:rsidRPr="007F620E">
              <w:rPr>
                <w:b/>
                <w:color w:val="000000"/>
              </w:rPr>
              <w:t>CPUC Discussion</w:t>
            </w:r>
          </w:p>
        </w:tc>
      </w:tr>
      <w:tr w:rsidRPr="007F620E" w:rsidR="00FE3BAE" w:rsidTr="005169D9" w14:paraId="5708510E" w14:textId="77777777">
        <w:tc>
          <w:tcPr>
            <w:tcW w:w="7488" w:type="dxa"/>
            <w:tcBorders>
              <w:bottom w:val="single" w:color="auto" w:sz="4" w:space="0"/>
            </w:tcBorders>
          </w:tcPr>
          <w:p w:rsidRPr="00E25078" w:rsidR="00FE3BAE" w:rsidP="00EC6387" w:rsidRDefault="00FE3BAE" w14:paraId="707F9932" w14:textId="24B1B5E0">
            <w:pPr>
              <w:rPr>
                <w:color w:val="000000"/>
              </w:rPr>
            </w:pPr>
            <w:r w:rsidRPr="007F620E">
              <w:rPr>
                <w:b/>
                <w:color w:val="000000"/>
              </w:rPr>
              <w:t>a. Intervenor’s claim of cost reasonableness:</w:t>
            </w:r>
            <w:r w:rsidRPr="00E25078" w:rsidR="00E25078">
              <w:rPr>
                <w:color w:val="000000"/>
              </w:rPr>
              <w:t xml:space="preserve"> </w:t>
            </w:r>
          </w:p>
          <w:p w:rsidRPr="00691528" w:rsidR="00691528" w:rsidP="00EC6387" w:rsidRDefault="00691528" w14:paraId="6A25116A" w14:textId="77777777">
            <w:pPr>
              <w:rPr>
                <w:color w:val="000000"/>
              </w:rPr>
            </w:pPr>
          </w:p>
          <w:p w:rsidR="00324723" w:rsidP="00EC6387" w:rsidRDefault="00B82A76" w14:paraId="7AFE0E57" w14:textId="717325C0">
            <w:pPr>
              <w:rPr>
                <w:color w:val="000000"/>
              </w:rPr>
            </w:pPr>
            <w:r w:rsidRPr="00B82A76">
              <w:rPr>
                <w:color w:val="000000"/>
              </w:rPr>
              <w:t xml:space="preserve">The only substantive issues addressed by </w:t>
            </w:r>
            <w:proofErr w:type="spellStart"/>
            <w:r w:rsidRPr="00B82A76">
              <w:rPr>
                <w:color w:val="000000"/>
              </w:rPr>
              <w:t>CforAT</w:t>
            </w:r>
            <w:proofErr w:type="spellEnd"/>
            <w:r w:rsidRPr="00B82A76">
              <w:rPr>
                <w:color w:val="000000"/>
              </w:rPr>
              <w:t xml:space="preserve"> were those focused on the unique needs of people with disabilities, including ongoing efforts to institutionalize </w:t>
            </w:r>
            <w:r>
              <w:rPr>
                <w:color w:val="000000"/>
              </w:rPr>
              <w:t>SCE’s</w:t>
            </w:r>
            <w:r w:rsidRPr="00B82A76">
              <w:rPr>
                <w:color w:val="000000"/>
              </w:rPr>
              <w:t xml:space="preserve"> commitment to effectively serving customers with disabilities via improved physical access to its services and facilities and communication access for disabled customers who cannot access information presented in standard formats. These issues were within the scope of the </w:t>
            </w:r>
            <w:proofErr w:type="gramStart"/>
            <w:r w:rsidRPr="00B82A76">
              <w:rPr>
                <w:color w:val="000000"/>
              </w:rPr>
              <w:t>proceeding</w:t>
            </w:r>
            <w:proofErr w:type="gramEnd"/>
            <w:r w:rsidRPr="00B82A76">
              <w:rPr>
                <w:color w:val="000000"/>
              </w:rPr>
              <w:t xml:space="preserve"> and built on agreements reached in prior GRC cycles. The </w:t>
            </w:r>
            <w:r>
              <w:rPr>
                <w:color w:val="000000"/>
              </w:rPr>
              <w:t>Joint Proposal</w:t>
            </w:r>
            <w:r w:rsidRPr="00B82A76">
              <w:rPr>
                <w:color w:val="000000"/>
              </w:rPr>
              <w:t xml:space="preserve"> developed by </w:t>
            </w:r>
            <w:r>
              <w:rPr>
                <w:color w:val="000000"/>
              </w:rPr>
              <w:t xml:space="preserve">SCE </w:t>
            </w:r>
            <w:r w:rsidRPr="00B82A76">
              <w:rPr>
                <w:color w:val="000000"/>
              </w:rPr>
              <w:t xml:space="preserve">and </w:t>
            </w:r>
            <w:proofErr w:type="spellStart"/>
            <w:r w:rsidRPr="00B82A76">
              <w:rPr>
                <w:color w:val="000000"/>
              </w:rPr>
              <w:t>CforAT</w:t>
            </w:r>
            <w:proofErr w:type="spellEnd"/>
            <w:r w:rsidRPr="00B82A76">
              <w:rPr>
                <w:color w:val="000000"/>
              </w:rPr>
              <w:t xml:space="preserve"> was not contested by any party and was adopted in the final decision.</w:t>
            </w:r>
          </w:p>
          <w:p w:rsidR="00324723" w:rsidP="00EC6387" w:rsidRDefault="00324723" w14:paraId="63E8C3FA" w14:textId="77777777">
            <w:pPr>
              <w:rPr>
                <w:color w:val="000000"/>
              </w:rPr>
            </w:pPr>
          </w:p>
          <w:p w:rsidR="00324723" w:rsidP="00EC6387" w:rsidRDefault="00B82A76" w14:paraId="6FA20AED" w14:textId="059E4847">
            <w:pPr>
              <w:rPr>
                <w:color w:val="000000"/>
              </w:rPr>
            </w:pPr>
            <w:r w:rsidRPr="00B82A76">
              <w:rPr>
                <w:color w:val="000000"/>
              </w:rPr>
              <w:t xml:space="preserve"> In addition to the work to develop the joint proposal, </w:t>
            </w:r>
            <w:proofErr w:type="spellStart"/>
            <w:r w:rsidRPr="00B82A76">
              <w:rPr>
                <w:color w:val="000000"/>
              </w:rPr>
              <w:t>CforAT</w:t>
            </w:r>
            <w:proofErr w:type="spellEnd"/>
            <w:r w:rsidRPr="00B82A76">
              <w:rPr>
                <w:color w:val="000000"/>
              </w:rPr>
              <w:t xml:space="preserve"> monitored the ongoing work by </w:t>
            </w:r>
            <w:r w:rsidR="00324723">
              <w:rPr>
                <w:color w:val="000000"/>
              </w:rPr>
              <w:t>SCE</w:t>
            </w:r>
            <w:r w:rsidRPr="00B82A76">
              <w:rPr>
                <w:color w:val="000000"/>
              </w:rPr>
              <w:t xml:space="preserve"> required by the prior </w:t>
            </w:r>
            <w:r w:rsidR="00C66871">
              <w:rPr>
                <w:color w:val="000000"/>
              </w:rPr>
              <w:t>Joint Proposal</w:t>
            </w:r>
            <w:r w:rsidRPr="00B82A76">
              <w:rPr>
                <w:color w:val="000000"/>
              </w:rPr>
              <w:t xml:space="preserve"> negotiated in the prior GRC and approved by the Commission. </w:t>
            </w:r>
            <w:proofErr w:type="spellStart"/>
            <w:r w:rsidRPr="00B82A76">
              <w:rPr>
                <w:color w:val="000000"/>
              </w:rPr>
              <w:t>CforAT</w:t>
            </w:r>
            <w:proofErr w:type="spellEnd"/>
            <w:r w:rsidRPr="00B82A76">
              <w:rPr>
                <w:color w:val="000000"/>
              </w:rPr>
              <w:t xml:space="preserve"> also appropriately monitored the ongoing progress of the overall proceeding overall proceeding. </w:t>
            </w:r>
          </w:p>
          <w:p w:rsidR="00666A20" w:rsidP="00EC6387" w:rsidRDefault="00666A20" w14:paraId="0875C922" w14:textId="77777777">
            <w:pPr>
              <w:rPr>
                <w:color w:val="000000"/>
              </w:rPr>
            </w:pPr>
          </w:p>
          <w:p w:rsidRPr="003D4455" w:rsidR="00FE3BAE" w:rsidP="00EC6387" w:rsidRDefault="00B82A76" w14:paraId="2B1A1242" w14:textId="0BC6A2BB">
            <w:pPr>
              <w:rPr>
                <w:color w:val="000000"/>
              </w:rPr>
            </w:pPr>
            <w:r w:rsidRPr="00B82A76">
              <w:rPr>
                <w:color w:val="000000"/>
              </w:rPr>
              <w:t xml:space="preserve">Given the results obtained for </w:t>
            </w:r>
            <w:proofErr w:type="spellStart"/>
            <w:r w:rsidRPr="00B82A76">
              <w:rPr>
                <w:color w:val="000000"/>
              </w:rPr>
              <w:t>CforAT’s</w:t>
            </w:r>
            <w:proofErr w:type="spellEnd"/>
            <w:r w:rsidRPr="00B82A76">
              <w:rPr>
                <w:color w:val="000000"/>
              </w:rPr>
              <w:t xml:space="preserve"> constituency and the fact that these results were part of an extended GRC proceeding, </w:t>
            </w:r>
            <w:proofErr w:type="spellStart"/>
            <w:r w:rsidRPr="00B82A76">
              <w:rPr>
                <w:color w:val="000000"/>
              </w:rPr>
              <w:t>CforAT’s</w:t>
            </w:r>
            <w:proofErr w:type="spellEnd"/>
            <w:r w:rsidRPr="00B82A76">
              <w:rPr>
                <w:color w:val="000000"/>
              </w:rPr>
              <w:t xml:space="preserve"> costs were modest and reasonable.</w:t>
            </w:r>
            <w:r w:rsidR="00666A20">
              <w:rPr>
                <w:color w:val="000000"/>
              </w:rPr>
              <w:t xml:space="preserve">  Specifically, </w:t>
            </w:r>
            <w:proofErr w:type="spellStart"/>
            <w:r w:rsidR="00666A20">
              <w:rPr>
                <w:color w:val="000000"/>
              </w:rPr>
              <w:t>CforAT’s</w:t>
            </w:r>
            <w:proofErr w:type="spellEnd"/>
            <w:r w:rsidR="00666A20">
              <w:rPr>
                <w:color w:val="000000"/>
              </w:rPr>
              <w:t xml:space="preserve"> costs </w:t>
            </w:r>
            <w:r w:rsidR="00321534">
              <w:rPr>
                <w:color w:val="000000"/>
              </w:rPr>
              <w:t xml:space="preserve">total a small fraction of the funding specifically allocated for the benefit of </w:t>
            </w:r>
            <w:proofErr w:type="spellStart"/>
            <w:r w:rsidR="00321534">
              <w:rPr>
                <w:color w:val="000000"/>
              </w:rPr>
              <w:t>CforAT’s</w:t>
            </w:r>
            <w:proofErr w:type="spellEnd"/>
            <w:r w:rsidR="00321534">
              <w:rPr>
                <w:color w:val="000000"/>
              </w:rPr>
              <w:t xml:space="preserve"> constituency in the GRC.  </w:t>
            </w:r>
          </w:p>
        </w:tc>
        <w:tc>
          <w:tcPr>
            <w:tcW w:w="1867" w:type="dxa"/>
          </w:tcPr>
          <w:p w:rsidRPr="00FE3BAE" w:rsidR="00FE3BAE" w:rsidP="00EC6387" w:rsidRDefault="00243040" w14:paraId="223B4665" w14:textId="60DF52E2">
            <w:pPr>
              <w:rPr>
                <w:color w:val="000000"/>
              </w:rPr>
            </w:pPr>
            <w:r>
              <w:rPr>
                <w:color w:val="000000"/>
              </w:rPr>
              <w:t>Noted</w:t>
            </w:r>
          </w:p>
        </w:tc>
      </w:tr>
      <w:tr w:rsidRPr="007F620E" w:rsidR="00FE3BAE" w:rsidTr="005169D9" w14:paraId="5548029C" w14:textId="77777777">
        <w:tc>
          <w:tcPr>
            <w:tcW w:w="7488" w:type="dxa"/>
          </w:tcPr>
          <w:p w:rsidRPr="00E25078" w:rsidR="00FE3BAE" w:rsidP="00EC6387" w:rsidRDefault="00FE3BAE" w14:paraId="751A610C" w14:textId="509B1715">
            <w:pPr>
              <w:rPr>
                <w:color w:val="000000"/>
              </w:rPr>
            </w:pPr>
            <w:r w:rsidRPr="007F620E">
              <w:rPr>
                <w:b/>
                <w:color w:val="000000"/>
              </w:rPr>
              <w:t>b. Reasonableness of hours claimed:</w:t>
            </w:r>
            <w:r w:rsidRPr="00E25078" w:rsidR="00E25078">
              <w:rPr>
                <w:color w:val="000000"/>
              </w:rPr>
              <w:t xml:space="preserve"> </w:t>
            </w:r>
          </w:p>
          <w:p w:rsidR="00FE3BAE" w:rsidP="00EC6387" w:rsidRDefault="00FE3BAE" w14:paraId="1009F6D5" w14:textId="77777777">
            <w:pPr>
              <w:rPr>
                <w:color w:val="000000"/>
              </w:rPr>
            </w:pPr>
          </w:p>
          <w:p w:rsidR="00321534" w:rsidP="00EC6387" w:rsidRDefault="000E0DAD" w14:paraId="4A179059" w14:textId="7E543517">
            <w:pPr>
              <w:rPr>
                <w:color w:val="000000"/>
              </w:rPr>
            </w:pPr>
            <w:r w:rsidRPr="000E0DAD">
              <w:rPr>
                <w:color w:val="000000"/>
              </w:rPr>
              <w:t xml:space="preserve">The total amount of time claimed by </w:t>
            </w:r>
            <w:proofErr w:type="spellStart"/>
            <w:r w:rsidRPr="000E0DAD">
              <w:rPr>
                <w:color w:val="000000"/>
              </w:rPr>
              <w:t>CforAT</w:t>
            </w:r>
            <w:proofErr w:type="spellEnd"/>
            <w:r w:rsidRPr="000E0DAD">
              <w:rPr>
                <w:color w:val="000000"/>
              </w:rPr>
              <w:t xml:space="preserve"> is modest and reasonable given the scope and length of this proceeding. </w:t>
            </w:r>
            <w:proofErr w:type="spellStart"/>
            <w:r w:rsidRPr="000E0DAD">
              <w:rPr>
                <w:color w:val="000000"/>
              </w:rPr>
              <w:t>CforAT</w:t>
            </w:r>
            <w:proofErr w:type="spellEnd"/>
            <w:r w:rsidRPr="000E0DAD">
              <w:rPr>
                <w:color w:val="000000"/>
              </w:rPr>
              <w:t xml:space="preserve"> focused on developing the new </w:t>
            </w:r>
            <w:r w:rsidR="00EE19A6">
              <w:rPr>
                <w:color w:val="000000"/>
              </w:rPr>
              <w:t>Joint Proposal</w:t>
            </w:r>
            <w:r w:rsidRPr="000E0DAD">
              <w:rPr>
                <w:color w:val="000000"/>
              </w:rPr>
              <w:t xml:space="preserve"> and monitoring work done under the prior </w:t>
            </w:r>
            <w:r w:rsidR="00B07567">
              <w:rPr>
                <w:color w:val="000000"/>
              </w:rPr>
              <w:t>Joint Proposal</w:t>
            </w:r>
            <w:r w:rsidRPr="000E0DAD">
              <w:rPr>
                <w:color w:val="000000"/>
              </w:rPr>
              <w:t>, with limited and appropriate work to monitor the ongoing progress of the overall proceeding.</w:t>
            </w:r>
          </w:p>
          <w:p w:rsidR="00C077D9" w:rsidP="00EC6387" w:rsidRDefault="00C077D9" w14:paraId="457D3B2F" w14:textId="77777777">
            <w:pPr>
              <w:rPr>
                <w:color w:val="000000"/>
              </w:rPr>
            </w:pPr>
          </w:p>
          <w:p w:rsidR="00C077D9" w:rsidP="00EC6387" w:rsidRDefault="00C077D9" w14:paraId="6E8B8505" w14:textId="51967078">
            <w:pPr>
              <w:rPr>
                <w:color w:val="000000"/>
              </w:rPr>
            </w:pPr>
            <w:proofErr w:type="spellStart"/>
            <w:r>
              <w:rPr>
                <w:color w:val="000000"/>
              </w:rPr>
              <w:t>CforAT’s</w:t>
            </w:r>
            <w:proofErr w:type="spellEnd"/>
            <w:r>
              <w:rPr>
                <w:color w:val="000000"/>
              </w:rPr>
              <w:t xml:space="preserve"> Legal Director, Melissa Kasnitz, has worked regularly with SCE and other IOUs overseeing development and implementation of accessibility commitments.  She was appropriately assisted in this work by </w:t>
            </w:r>
            <w:proofErr w:type="spellStart"/>
            <w:r>
              <w:rPr>
                <w:color w:val="000000"/>
              </w:rPr>
              <w:lastRenderedPageBreak/>
              <w:t>CforAT’s</w:t>
            </w:r>
            <w:proofErr w:type="spellEnd"/>
            <w:r>
              <w:rPr>
                <w:color w:val="000000"/>
              </w:rPr>
              <w:t xml:space="preserve"> Policy Analyst, Kate Woodford, who has experience </w:t>
            </w:r>
            <w:proofErr w:type="gramStart"/>
            <w:r>
              <w:rPr>
                <w:color w:val="000000"/>
              </w:rPr>
              <w:t>in</w:t>
            </w:r>
            <w:r w:rsidR="00233EB6">
              <w:rPr>
                <w:color w:val="000000"/>
              </w:rPr>
              <w:t xml:space="preserve"> work</w:t>
            </w:r>
            <w:proofErr w:type="gramEnd"/>
            <w:r w:rsidR="00233EB6">
              <w:rPr>
                <w:color w:val="000000"/>
              </w:rPr>
              <w:t xml:space="preserve"> with utility reports and commitments, and whose billing rate is substantially lower than that of Ms. </w:t>
            </w:r>
            <w:proofErr w:type="spellStart"/>
            <w:r w:rsidR="00233EB6">
              <w:rPr>
                <w:color w:val="000000"/>
              </w:rPr>
              <w:t>Kasnitz</w:t>
            </w:r>
            <w:proofErr w:type="spellEnd"/>
            <w:r w:rsidR="00233EB6">
              <w:rPr>
                <w:color w:val="000000"/>
              </w:rPr>
              <w:t xml:space="preserve">.  </w:t>
            </w:r>
          </w:p>
          <w:p w:rsidR="00C077D9" w:rsidP="00EC6387" w:rsidRDefault="00C077D9" w14:paraId="7AC38B27" w14:textId="77777777">
            <w:pPr>
              <w:rPr>
                <w:color w:val="000000"/>
              </w:rPr>
            </w:pPr>
          </w:p>
          <w:p w:rsidR="00321534" w:rsidP="00EC6387" w:rsidRDefault="00233EB6" w14:paraId="56C67DD4" w14:textId="08328F3A">
            <w:pPr>
              <w:rPr>
                <w:color w:val="000000"/>
              </w:rPr>
            </w:pPr>
            <w:r>
              <w:rPr>
                <w:color w:val="000000"/>
              </w:rPr>
              <w:t>Additionally, m</w:t>
            </w:r>
            <w:r w:rsidR="00BE5F8D">
              <w:rPr>
                <w:color w:val="000000"/>
              </w:rPr>
              <w:t xml:space="preserve">uch of the work preparing this compensation request was delegated to junior Staff Attorney Rachel Sweetnam, whose billing rate is </w:t>
            </w:r>
            <w:r>
              <w:rPr>
                <w:color w:val="000000"/>
              </w:rPr>
              <w:t xml:space="preserve">also </w:t>
            </w:r>
            <w:r w:rsidR="00BE5F8D">
              <w:rPr>
                <w:color w:val="000000"/>
              </w:rPr>
              <w:t xml:space="preserve">substantially lower than that of </w:t>
            </w:r>
            <w:r>
              <w:rPr>
                <w:color w:val="000000"/>
              </w:rPr>
              <w:t>Ms.</w:t>
            </w:r>
            <w:r w:rsidR="00BE5F8D">
              <w:rPr>
                <w:color w:val="000000"/>
              </w:rPr>
              <w:t xml:space="preserve"> </w:t>
            </w:r>
            <w:proofErr w:type="spellStart"/>
            <w:r w:rsidR="00BE5F8D">
              <w:rPr>
                <w:color w:val="000000"/>
              </w:rPr>
              <w:t>Kasnit</w:t>
            </w:r>
            <w:r>
              <w:rPr>
                <w:color w:val="000000"/>
              </w:rPr>
              <w:t>z</w:t>
            </w:r>
            <w:proofErr w:type="spellEnd"/>
            <w:r w:rsidR="00BE5F8D">
              <w:rPr>
                <w:color w:val="000000"/>
              </w:rPr>
              <w:t xml:space="preserve">.  This delegation of work, with appropriate review by Ms. </w:t>
            </w:r>
            <w:proofErr w:type="spellStart"/>
            <w:r w:rsidR="00BE5F8D">
              <w:rPr>
                <w:color w:val="000000"/>
              </w:rPr>
              <w:t>Kasnitz</w:t>
            </w:r>
            <w:proofErr w:type="spellEnd"/>
            <w:r w:rsidR="00BE5F8D">
              <w:rPr>
                <w:color w:val="000000"/>
              </w:rPr>
              <w:t>, was efficient</w:t>
            </w:r>
            <w:r w:rsidR="00C077D9">
              <w:rPr>
                <w:color w:val="000000"/>
              </w:rPr>
              <w:t xml:space="preserve"> and appropriate.  </w:t>
            </w:r>
          </w:p>
          <w:p w:rsidRPr="007F620E" w:rsidR="00691528" w:rsidP="00EC6387" w:rsidRDefault="00691528" w14:paraId="694F0B63" w14:textId="77777777">
            <w:pPr>
              <w:rPr>
                <w:color w:val="000000"/>
              </w:rPr>
            </w:pPr>
          </w:p>
        </w:tc>
        <w:tc>
          <w:tcPr>
            <w:tcW w:w="1867" w:type="dxa"/>
          </w:tcPr>
          <w:p w:rsidRPr="007F620E" w:rsidR="00FE3BAE" w:rsidP="00EC6387" w:rsidRDefault="00243040" w14:paraId="1874D625" w14:textId="275D90FE">
            <w:pPr>
              <w:rPr>
                <w:color w:val="000000"/>
              </w:rPr>
            </w:pPr>
            <w:r>
              <w:rPr>
                <w:color w:val="000000"/>
              </w:rPr>
              <w:lastRenderedPageBreak/>
              <w:t>Noted</w:t>
            </w:r>
          </w:p>
        </w:tc>
      </w:tr>
      <w:tr w:rsidRPr="007F620E" w:rsidR="00FE3BAE" w:rsidTr="005169D9" w14:paraId="3FD38B74" w14:textId="77777777">
        <w:tc>
          <w:tcPr>
            <w:tcW w:w="7488" w:type="dxa"/>
          </w:tcPr>
          <w:p w:rsidRPr="00E25078" w:rsidR="00FE3BAE" w:rsidP="00EC6387" w:rsidRDefault="00FE3BAE" w14:paraId="46990B37" w14:textId="569E5E0F">
            <w:pPr>
              <w:rPr>
                <w:color w:val="000000"/>
              </w:rPr>
            </w:pPr>
            <w:r w:rsidRPr="007F620E">
              <w:rPr>
                <w:b/>
                <w:color w:val="000000"/>
              </w:rPr>
              <w:t>c. Allocation of hours by issue:</w:t>
            </w:r>
            <w:r w:rsidRPr="00E25078" w:rsidR="00E25078">
              <w:rPr>
                <w:color w:val="000000"/>
              </w:rPr>
              <w:t xml:space="preserve"> </w:t>
            </w:r>
          </w:p>
          <w:p w:rsidR="00FE3BAE" w:rsidP="00EC6387" w:rsidRDefault="00FE3BAE" w14:paraId="78501013" w14:textId="77777777">
            <w:pPr>
              <w:rPr>
                <w:color w:val="000000"/>
              </w:rPr>
            </w:pPr>
          </w:p>
          <w:p w:rsidRPr="001950B4" w:rsidR="006765F0" w:rsidP="001950B4" w:rsidRDefault="00547FE7" w14:paraId="59BC03FB" w14:textId="26ECD0B8">
            <w:pPr>
              <w:jc w:val="center"/>
              <w:rPr>
                <w:b/>
                <w:bCs/>
                <w:color w:val="000000"/>
              </w:rPr>
            </w:pPr>
            <w:proofErr w:type="spellStart"/>
            <w:r w:rsidRPr="001950B4">
              <w:rPr>
                <w:b/>
                <w:bCs/>
                <w:color w:val="000000"/>
              </w:rPr>
              <w:t>Kasnitz</w:t>
            </w:r>
            <w:proofErr w:type="spellEnd"/>
            <w:r w:rsidRPr="001950B4">
              <w:rPr>
                <w:b/>
                <w:bCs/>
                <w:color w:val="000000"/>
              </w:rPr>
              <w:t xml:space="preserve"> Time </w:t>
            </w:r>
            <w:r w:rsidRPr="001950B4" w:rsidR="00C90BC1">
              <w:rPr>
                <w:b/>
                <w:bCs/>
                <w:color w:val="000000"/>
              </w:rPr>
              <w:t>–</w:t>
            </w:r>
            <w:r w:rsidRPr="001950B4">
              <w:rPr>
                <w:b/>
                <w:bCs/>
                <w:color w:val="000000"/>
              </w:rPr>
              <w:t xml:space="preserve"> </w:t>
            </w:r>
            <w:r w:rsidRPr="001950B4" w:rsidR="00C90BC1">
              <w:rPr>
                <w:b/>
                <w:bCs/>
                <w:color w:val="000000"/>
              </w:rPr>
              <w:t>2023</w:t>
            </w:r>
            <w:r w:rsidR="003F3C91">
              <w:rPr>
                <w:b/>
                <w:bCs/>
                <w:color w:val="000000"/>
              </w:rPr>
              <w:t xml:space="preserve"> (6.3 hour</w:t>
            </w:r>
            <w:r w:rsidR="00F9454C">
              <w:rPr>
                <w:b/>
                <w:bCs/>
                <w:color w:val="000000"/>
              </w:rPr>
              <w:t>s</w:t>
            </w:r>
            <w:r w:rsidR="003F3C91">
              <w:rPr>
                <w:b/>
                <w:bCs/>
                <w:color w:val="000000"/>
              </w:rPr>
              <w:t xml:space="preserve"> total)</w:t>
            </w:r>
          </w:p>
          <w:p w:rsidRPr="001950B4" w:rsidR="00C90BC1" w:rsidP="00EC6387" w:rsidRDefault="00C90BC1" w14:paraId="235E46D1" w14:textId="77777777">
            <w:pPr>
              <w:rPr>
                <w:b/>
                <w:bCs/>
                <w:color w:val="000000"/>
              </w:rPr>
            </w:pPr>
          </w:p>
          <w:p w:rsidR="00AC50EB" w:rsidP="00EC6387" w:rsidRDefault="00AC50EB" w14:paraId="406B80E5" w14:textId="4CA0F2AB">
            <w:pPr>
              <w:rPr>
                <w:b/>
                <w:bCs/>
                <w:color w:val="000000"/>
              </w:rPr>
            </w:pPr>
            <w:r>
              <w:rPr>
                <w:b/>
                <w:bCs/>
                <w:color w:val="000000"/>
              </w:rPr>
              <w:t>Agreement</w:t>
            </w:r>
            <w:proofErr w:type="gramStart"/>
            <w:r>
              <w:rPr>
                <w:b/>
                <w:bCs/>
                <w:color w:val="000000"/>
              </w:rPr>
              <w:t xml:space="preserve">:  </w:t>
            </w:r>
            <w:r w:rsidR="003E1693">
              <w:rPr>
                <w:b/>
                <w:bCs/>
                <w:color w:val="000000"/>
              </w:rPr>
              <w:t>4.3</w:t>
            </w:r>
            <w:proofErr w:type="gramEnd"/>
            <w:r w:rsidR="003E1693">
              <w:rPr>
                <w:b/>
                <w:bCs/>
                <w:color w:val="000000"/>
              </w:rPr>
              <w:t xml:space="preserve"> hours</w:t>
            </w:r>
            <w:r w:rsidR="00832586">
              <w:rPr>
                <w:b/>
                <w:bCs/>
                <w:color w:val="000000"/>
              </w:rPr>
              <w:t xml:space="preserve"> (68%)</w:t>
            </w:r>
          </w:p>
          <w:p w:rsidRPr="00AC50EB" w:rsidR="00AC50EB" w:rsidP="00EC6387" w:rsidRDefault="00AC50EB" w14:paraId="6ED3140E" w14:textId="75AD4A67">
            <w:pPr>
              <w:rPr>
                <w:color w:val="000000"/>
              </w:rPr>
            </w:pPr>
            <w:r>
              <w:rPr>
                <w:color w:val="000000"/>
              </w:rPr>
              <w:t>The issue area designated “Agreement” includes all time spent negotiating the Joint Testimony memorializing the SCE Accessibility Agreement for the new GRC cycle.</w:t>
            </w:r>
          </w:p>
          <w:p w:rsidR="00AC50EB" w:rsidP="00EC6387" w:rsidRDefault="00AC50EB" w14:paraId="39F1DAEA" w14:textId="77777777">
            <w:pPr>
              <w:rPr>
                <w:b/>
                <w:bCs/>
                <w:color w:val="000000"/>
              </w:rPr>
            </w:pPr>
          </w:p>
          <w:p w:rsidR="00C90BC1" w:rsidP="00EC6387" w:rsidRDefault="00C90BC1" w14:paraId="1C0C6246" w14:textId="2A5A7290">
            <w:pPr>
              <w:rPr>
                <w:color w:val="000000"/>
              </w:rPr>
            </w:pPr>
            <w:r w:rsidRPr="001950B4">
              <w:rPr>
                <w:b/>
                <w:bCs/>
                <w:color w:val="000000"/>
              </w:rPr>
              <w:t>General Participation</w:t>
            </w:r>
            <w:r>
              <w:rPr>
                <w:color w:val="000000"/>
              </w:rPr>
              <w:t xml:space="preserve">: </w:t>
            </w:r>
            <w:r w:rsidRPr="003E1693" w:rsidR="003E1693">
              <w:rPr>
                <w:b/>
                <w:bCs/>
                <w:color w:val="000000"/>
              </w:rPr>
              <w:t>2.0 hours</w:t>
            </w:r>
            <w:r w:rsidR="0099148F">
              <w:rPr>
                <w:b/>
                <w:bCs/>
                <w:color w:val="000000"/>
              </w:rPr>
              <w:t xml:space="preserve"> (32%)</w:t>
            </w:r>
          </w:p>
          <w:p w:rsidR="00932672" w:rsidP="00EC6387" w:rsidRDefault="00932672" w14:paraId="71DEB467" w14:textId="4B719FC2">
            <w:pPr>
              <w:rPr>
                <w:color w:val="000000"/>
              </w:rPr>
            </w:pPr>
            <w:r w:rsidRPr="00932672">
              <w:rPr>
                <w:color w:val="000000"/>
              </w:rPr>
              <w:t>The issue are</w:t>
            </w:r>
            <w:r w:rsidR="00AC50EB">
              <w:rPr>
                <w:color w:val="000000"/>
              </w:rPr>
              <w:t>a</w:t>
            </w:r>
            <w:r w:rsidRPr="00932672">
              <w:rPr>
                <w:color w:val="000000"/>
              </w:rPr>
              <w:t xml:space="preserve"> designated “General Participation” includes all time spent monitoring the progress of the overall proceeding, including participation at the PHC and other necessary procedural steps.</w:t>
            </w:r>
          </w:p>
          <w:p w:rsidRPr="00691528" w:rsidR="00E41F50" w:rsidP="00EC6387" w:rsidRDefault="00E41F50" w14:paraId="3C00A709" w14:textId="77777777">
            <w:pPr>
              <w:rPr>
                <w:color w:val="000000"/>
              </w:rPr>
            </w:pPr>
          </w:p>
          <w:p w:rsidR="00691528" w:rsidP="00EC6387" w:rsidRDefault="00691528" w14:paraId="75C3B04D" w14:textId="77777777">
            <w:pPr>
              <w:rPr>
                <w:color w:val="000000"/>
              </w:rPr>
            </w:pPr>
          </w:p>
          <w:p w:rsidR="0006016C" w:rsidP="0006016C" w:rsidRDefault="0006016C" w14:paraId="6D23F48F" w14:textId="1A5E18DF">
            <w:pPr>
              <w:jc w:val="center"/>
              <w:rPr>
                <w:b/>
                <w:bCs/>
                <w:color w:val="000000"/>
              </w:rPr>
            </w:pPr>
            <w:r>
              <w:rPr>
                <w:b/>
                <w:bCs/>
                <w:color w:val="000000"/>
              </w:rPr>
              <w:t>Woodford Time – 2023</w:t>
            </w:r>
            <w:r w:rsidR="00F9454C">
              <w:rPr>
                <w:b/>
                <w:bCs/>
                <w:color w:val="000000"/>
              </w:rPr>
              <w:t xml:space="preserve"> (1.6 hours total)</w:t>
            </w:r>
          </w:p>
          <w:p w:rsidR="0006016C" w:rsidP="0006016C" w:rsidRDefault="0006016C" w14:paraId="46662A33" w14:textId="77777777">
            <w:pPr>
              <w:jc w:val="center"/>
              <w:rPr>
                <w:b/>
                <w:bCs/>
                <w:color w:val="000000"/>
              </w:rPr>
            </w:pPr>
          </w:p>
          <w:p w:rsidR="0006016C" w:rsidP="00A57857" w:rsidRDefault="00A57857" w14:paraId="03F87927" w14:textId="1EA22A0C">
            <w:pPr>
              <w:rPr>
                <w:b/>
                <w:bCs/>
                <w:color w:val="000000"/>
              </w:rPr>
            </w:pPr>
            <w:r>
              <w:rPr>
                <w:b/>
                <w:bCs/>
                <w:color w:val="000000"/>
              </w:rPr>
              <w:t>Accessibility:</w:t>
            </w:r>
            <w:r w:rsidR="00D83ED8">
              <w:rPr>
                <w:b/>
                <w:bCs/>
                <w:color w:val="000000"/>
              </w:rPr>
              <w:t xml:space="preserve"> 0.2 hours</w:t>
            </w:r>
            <w:r w:rsidR="0099148F">
              <w:rPr>
                <w:b/>
                <w:bCs/>
                <w:color w:val="000000"/>
              </w:rPr>
              <w:t xml:space="preserve"> </w:t>
            </w:r>
            <w:r w:rsidR="00E41F50">
              <w:rPr>
                <w:b/>
                <w:bCs/>
                <w:color w:val="000000"/>
              </w:rPr>
              <w:t>(1</w:t>
            </w:r>
            <w:r w:rsidR="00D85358">
              <w:rPr>
                <w:b/>
                <w:bCs/>
                <w:color w:val="000000"/>
              </w:rPr>
              <w:t>2</w:t>
            </w:r>
            <w:r w:rsidR="00E41F50">
              <w:rPr>
                <w:b/>
                <w:bCs/>
                <w:color w:val="000000"/>
              </w:rPr>
              <w:t>%)</w:t>
            </w:r>
          </w:p>
          <w:p w:rsidRPr="004E72BF" w:rsidR="00A57857" w:rsidP="00A57857" w:rsidRDefault="004E72BF" w14:paraId="3223C08F" w14:textId="28D61B05">
            <w:pPr>
              <w:rPr>
                <w:color w:val="000000"/>
              </w:rPr>
            </w:pPr>
            <w:r>
              <w:rPr>
                <w:color w:val="000000"/>
              </w:rPr>
              <w:t>T</w:t>
            </w:r>
            <w:r w:rsidRPr="00E013A7">
              <w:rPr>
                <w:color w:val="000000"/>
              </w:rPr>
              <w:t xml:space="preserve">he issue area designated “Accessibility includes all work negotiating the </w:t>
            </w:r>
            <w:r>
              <w:rPr>
                <w:color w:val="000000"/>
              </w:rPr>
              <w:t>Joint Proposal</w:t>
            </w:r>
            <w:r w:rsidRPr="00E013A7">
              <w:rPr>
                <w:color w:val="000000"/>
              </w:rPr>
              <w:t xml:space="preserve"> addressing </w:t>
            </w:r>
            <w:r>
              <w:rPr>
                <w:color w:val="000000"/>
              </w:rPr>
              <w:t>SCE</w:t>
            </w:r>
            <w:r w:rsidRPr="00E013A7">
              <w:rPr>
                <w:color w:val="000000"/>
              </w:rPr>
              <w:t>’s commitments to provide accessible service to its customers with disabilities as well as time spent monitoring its implementation of new and existing accessibility commitments.</w:t>
            </w:r>
          </w:p>
          <w:p w:rsidR="004E72BF" w:rsidP="00A57857" w:rsidRDefault="004E72BF" w14:paraId="5634EB48" w14:textId="77777777">
            <w:pPr>
              <w:rPr>
                <w:b/>
                <w:bCs/>
                <w:color w:val="000000"/>
              </w:rPr>
            </w:pPr>
          </w:p>
          <w:p w:rsidR="00A57857" w:rsidP="00A57857" w:rsidRDefault="00A57857" w14:paraId="0B8E1503" w14:textId="3512A439">
            <w:pPr>
              <w:rPr>
                <w:b/>
                <w:bCs/>
                <w:color w:val="000000"/>
              </w:rPr>
            </w:pPr>
            <w:r>
              <w:rPr>
                <w:b/>
                <w:bCs/>
                <w:color w:val="000000"/>
              </w:rPr>
              <w:t>Agreement:</w:t>
            </w:r>
            <w:r w:rsidR="00D83ED8">
              <w:rPr>
                <w:b/>
                <w:bCs/>
                <w:color w:val="000000"/>
              </w:rPr>
              <w:t xml:space="preserve"> 1.4 hours</w:t>
            </w:r>
            <w:r w:rsidR="00D85358">
              <w:rPr>
                <w:b/>
                <w:bCs/>
                <w:color w:val="000000"/>
              </w:rPr>
              <w:t xml:space="preserve"> (88%)</w:t>
            </w:r>
          </w:p>
          <w:p w:rsidR="00B327A2" w:rsidP="00A57857" w:rsidRDefault="00B327A2" w14:paraId="5FFF8771" w14:textId="77777777">
            <w:pPr>
              <w:rPr>
                <w:b/>
                <w:bCs/>
                <w:color w:val="000000"/>
              </w:rPr>
            </w:pPr>
          </w:p>
          <w:p w:rsidR="00B327A2" w:rsidP="00A57857" w:rsidRDefault="00B327A2" w14:paraId="24802F83" w14:textId="77777777">
            <w:pPr>
              <w:rPr>
                <w:b/>
                <w:bCs/>
                <w:color w:val="000000"/>
              </w:rPr>
            </w:pPr>
          </w:p>
          <w:p w:rsidRPr="001950B4" w:rsidR="00C90BC1" w:rsidP="0006016C" w:rsidRDefault="00C90BC1" w14:paraId="08B61C30" w14:textId="00C9925B">
            <w:pPr>
              <w:jc w:val="center"/>
              <w:rPr>
                <w:b/>
                <w:bCs/>
                <w:color w:val="000000"/>
              </w:rPr>
            </w:pPr>
            <w:proofErr w:type="spellStart"/>
            <w:r w:rsidRPr="001950B4">
              <w:rPr>
                <w:b/>
                <w:bCs/>
                <w:color w:val="000000"/>
              </w:rPr>
              <w:t>Kasnitz</w:t>
            </w:r>
            <w:proofErr w:type="spellEnd"/>
            <w:r w:rsidRPr="001950B4">
              <w:rPr>
                <w:b/>
                <w:bCs/>
                <w:color w:val="000000"/>
              </w:rPr>
              <w:t xml:space="preserve"> Time</w:t>
            </w:r>
            <w:r w:rsidRPr="001950B4" w:rsidR="00E3602F">
              <w:rPr>
                <w:b/>
                <w:bCs/>
                <w:color w:val="000000"/>
              </w:rPr>
              <w:t xml:space="preserve"> – 2024</w:t>
            </w:r>
            <w:r w:rsidR="00FB60E0">
              <w:rPr>
                <w:b/>
                <w:bCs/>
                <w:color w:val="000000"/>
              </w:rPr>
              <w:t xml:space="preserve"> (</w:t>
            </w:r>
            <w:r w:rsidR="00AA7721">
              <w:rPr>
                <w:b/>
                <w:bCs/>
                <w:color w:val="000000"/>
              </w:rPr>
              <w:t>1</w:t>
            </w:r>
            <w:r w:rsidR="00FB60E0">
              <w:rPr>
                <w:b/>
                <w:bCs/>
                <w:color w:val="000000"/>
              </w:rPr>
              <w:t>.7 hours total)</w:t>
            </w:r>
          </w:p>
          <w:p w:rsidR="00E3602F" w:rsidP="00EC6387" w:rsidRDefault="00E3602F" w14:paraId="15EEEFE5" w14:textId="77777777">
            <w:pPr>
              <w:rPr>
                <w:color w:val="000000"/>
              </w:rPr>
            </w:pPr>
          </w:p>
          <w:p w:rsidR="00E3602F" w:rsidP="00EC6387" w:rsidRDefault="00B53791" w14:paraId="013DBFEF" w14:textId="36429EF3">
            <w:pPr>
              <w:rPr>
                <w:b/>
                <w:bCs/>
                <w:color w:val="000000"/>
              </w:rPr>
            </w:pPr>
            <w:r>
              <w:rPr>
                <w:b/>
                <w:bCs/>
                <w:color w:val="000000"/>
              </w:rPr>
              <w:t>Accessibility</w:t>
            </w:r>
            <w:r w:rsidRPr="001950B4" w:rsidR="00E3602F">
              <w:rPr>
                <w:b/>
                <w:bCs/>
                <w:color w:val="000000"/>
              </w:rPr>
              <w:t xml:space="preserve">: </w:t>
            </w:r>
            <w:r w:rsidR="00AA7721">
              <w:rPr>
                <w:b/>
                <w:bCs/>
                <w:color w:val="000000"/>
              </w:rPr>
              <w:t>1</w:t>
            </w:r>
            <w:r w:rsidR="00FB60E0">
              <w:rPr>
                <w:b/>
                <w:bCs/>
                <w:color w:val="000000"/>
              </w:rPr>
              <w:t>.7 hours (100%)</w:t>
            </w:r>
          </w:p>
          <w:p w:rsidR="00B8719B" w:rsidP="00EC6387" w:rsidRDefault="00B8719B" w14:paraId="2A101D2E" w14:textId="77777777">
            <w:pPr>
              <w:rPr>
                <w:b/>
                <w:bCs/>
                <w:color w:val="000000"/>
              </w:rPr>
            </w:pPr>
          </w:p>
          <w:p w:rsidRPr="001950B4" w:rsidR="00233EB6" w:rsidP="00EC6387" w:rsidRDefault="00233EB6" w14:paraId="15FE2543" w14:textId="77777777">
            <w:pPr>
              <w:rPr>
                <w:b/>
                <w:bCs/>
                <w:color w:val="000000"/>
              </w:rPr>
            </w:pPr>
          </w:p>
          <w:p w:rsidRPr="00A57857" w:rsidR="00E3602F" w:rsidP="00EC6387" w:rsidRDefault="00E3602F" w14:paraId="0295CE26" w14:textId="77777777">
            <w:pPr>
              <w:rPr>
                <w:b/>
                <w:bCs/>
                <w:color w:val="000000"/>
              </w:rPr>
            </w:pPr>
          </w:p>
          <w:p w:rsidRPr="001950B4" w:rsidR="00E3602F" w:rsidP="001950B4" w:rsidRDefault="00227921" w14:paraId="0618D4D4" w14:textId="2A112793">
            <w:pPr>
              <w:jc w:val="center"/>
              <w:rPr>
                <w:b/>
                <w:bCs/>
                <w:color w:val="000000"/>
              </w:rPr>
            </w:pPr>
            <w:r w:rsidRPr="001950B4">
              <w:rPr>
                <w:b/>
                <w:bCs/>
                <w:color w:val="000000"/>
              </w:rPr>
              <w:t>Woodford Time -2024</w:t>
            </w:r>
            <w:r w:rsidR="00B327A2">
              <w:rPr>
                <w:b/>
                <w:bCs/>
                <w:color w:val="000000"/>
              </w:rPr>
              <w:t xml:space="preserve"> (4.7 hours total)</w:t>
            </w:r>
          </w:p>
          <w:p w:rsidRPr="00B8719B" w:rsidR="00EC3EBE" w:rsidP="00EC6387" w:rsidRDefault="00EC3EBE" w14:paraId="5FF81285" w14:textId="77777777">
            <w:pPr>
              <w:rPr>
                <w:b/>
                <w:bCs/>
                <w:color w:val="000000"/>
              </w:rPr>
            </w:pPr>
          </w:p>
          <w:p w:rsidR="00EC3EBE" w:rsidP="00EC6387" w:rsidRDefault="00EC3EBE" w14:paraId="19828864" w14:textId="2E193DDA">
            <w:pPr>
              <w:rPr>
                <w:b/>
                <w:bCs/>
                <w:color w:val="000000"/>
              </w:rPr>
            </w:pPr>
            <w:r w:rsidRPr="00B8719B">
              <w:rPr>
                <w:b/>
                <w:bCs/>
                <w:color w:val="000000"/>
              </w:rPr>
              <w:lastRenderedPageBreak/>
              <w:t xml:space="preserve">Accessibility: </w:t>
            </w:r>
            <w:r w:rsidRPr="00B8719B" w:rsidR="00B327A2">
              <w:rPr>
                <w:b/>
                <w:bCs/>
                <w:color w:val="000000"/>
              </w:rPr>
              <w:t>4.7 hours (100%)</w:t>
            </w:r>
          </w:p>
          <w:p w:rsidRPr="00233EB6" w:rsidR="00233EB6" w:rsidP="00EC6387" w:rsidRDefault="00233EB6" w14:paraId="0EC2D3E6" w14:textId="77777777">
            <w:pPr>
              <w:rPr>
                <w:b/>
                <w:bCs/>
                <w:color w:val="000000"/>
              </w:rPr>
            </w:pPr>
          </w:p>
          <w:p w:rsidR="00C077D9" w:rsidP="00EC6387" w:rsidRDefault="00C077D9" w14:paraId="6331FB8B" w14:textId="77777777">
            <w:pPr>
              <w:rPr>
                <w:color w:val="000000"/>
              </w:rPr>
            </w:pPr>
          </w:p>
          <w:p w:rsidRPr="001950B4" w:rsidR="00CD6A1A" w:rsidP="001950B4" w:rsidRDefault="00CD6A1A" w14:paraId="72F697A0" w14:textId="597EA4E4">
            <w:pPr>
              <w:jc w:val="center"/>
              <w:rPr>
                <w:b/>
                <w:bCs/>
                <w:color w:val="000000"/>
              </w:rPr>
            </w:pPr>
            <w:proofErr w:type="spellStart"/>
            <w:r w:rsidRPr="001950B4">
              <w:rPr>
                <w:b/>
                <w:bCs/>
                <w:color w:val="000000"/>
              </w:rPr>
              <w:t>Kasnitz</w:t>
            </w:r>
            <w:proofErr w:type="spellEnd"/>
            <w:r w:rsidRPr="001950B4">
              <w:rPr>
                <w:b/>
                <w:bCs/>
                <w:color w:val="000000"/>
              </w:rPr>
              <w:t xml:space="preserve"> Time – 2025</w:t>
            </w:r>
            <w:r w:rsidR="00B8719B">
              <w:rPr>
                <w:b/>
                <w:bCs/>
                <w:color w:val="000000"/>
              </w:rPr>
              <w:t xml:space="preserve"> (4.7 hours total)</w:t>
            </w:r>
          </w:p>
          <w:p w:rsidR="00B05DB3" w:rsidP="00EC6387" w:rsidRDefault="00B05DB3" w14:paraId="4B720C98" w14:textId="27AC19DD">
            <w:pPr>
              <w:rPr>
                <w:color w:val="000000"/>
              </w:rPr>
            </w:pPr>
          </w:p>
          <w:p w:rsidR="00042348" w:rsidP="00EC6387" w:rsidRDefault="00042348" w14:paraId="7B429914" w14:textId="4CF2D10C">
            <w:pPr>
              <w:rPr>
                <w:b/>
                <w:bCs/>
                <w:color w:val="000000"/>
              </w:rPr>
            </w:pPr>
            <w:r>
              <w:rPr>
                <w:b/>
                <w:bCs/>
                <w:color w:val="000000"/>
              </w:rPr>
              <w:t>Accessibility:</w:t>
            </w:r>
            <w:r w:rsidR="00975FD2">
              <w:rPr>
                <w:b/>
                <w:bCs/>
                <w:color w:val="000000"/>
              </w:rPr>
              <w:t xml:space="preserve"> 2.1 hours</w:t>
            </w:r>
            <w:r w:rsidR="00D85358">
              <w:rPr>
                <w:b/>
                <w:bCs/>
                <w:color w:val="000000"/>
              </w:rPr>
              <w:t xml:space="preserve"> </w:t>
            </w:r>
            <w:r w:rsidR="00D77F53">
              <w:rPr>
                <w:b/>
                <w:bCs/>
                <w:color w:val="000000"/>
              </w:rPr>
              <w:t>(45%)</w:t>
            </w:r>
          </w:p>
          <w:p w:rsidR="00042348" w:rsidP="00EC6387" w:rsidRDefault="00042348" w14:paraId="6AD37CA5" w14:textId="77777777">
            <w:pPr>
              <w:rPr>
                <w:b/>
                <w:bCs/>
                <w:color w:val="000000"/>
              </w:rPr>
            </w:pPr>
          </w:p>
          <w:p w:rsidR="00B05DB3" w:rsidP="00EC6387" w:rsidRDefault="00B05DB3" w14:paraId="2837E129" w14:textId="44DBDD42">
            <w:pPr>
              <w:rPr>
                <w:b/>
                <w:bCs/>
                <w:color w:val="000000"/>
              </w:rPr>
            </w:pPr>
            <w:r w:rsidRPr="001950B4">
              <w:rPr>
                <w:b/>
                <w:bCs/>
                <w:color w:val="000000"/>
              </w:rPr>
              <w:t xml:space="preserve">General Participation: </w:t>
            </w:r>
            <w:r w:rsidR="00055F46">
              <w:rPr>
                <w:b/>
                <w:bCs/>
                <w:color w:val="000000"/>
              </w:rPr>
              <w:t>2.6 hours</w:t>
            </w:r>
            <w:r w:rsidR="00D77F53">
              <w:rPr>
                <w:b/>
                <w:bCs/>
                <w:color w:val="000000"/>
              </w:rPr>
              <w:t xml:space="preserve"> (55%)</w:t>
            </w:r>
          </w:p>
          <w:p w:rsidRPr="001950B4" w:rsidR="00233EB6" w:rsidP="00EC6387" w:rsidRDefault="00233EB6" w14:paraId="571D39E3" w14:textId="77777777">
            <w:pPr>
              <w:rPr>
                <w:b/>
                <w:bCs/>
                <w:color w:val="000000"/>
              </w:rPr>
            </w:pPr>
          </w:p>
          <w:p w:rsidR="00CD6A1A" w:rsidP="00EC6387" w:rsidRDefault="00CD6A1A" w14:paraId="70C35C07" w14:textId="77777777">
            <w:pPr>
              <w:rPr>
                <w:color w:val="000000"/>
              </w:rPr>
            </w:pPr>
          </w:p>
          <w:p w:rsidRPr="001950B4" w:rsidR="00CD6A1A" w:rsidP="001950B4" w:rsidRDefault="00CD6A1A" w14:paraId="6D890710" w14:textId="3E446550">
            <w:pPr>
              <w:jc w:val="center"/>
              <w:rPr>
                <w:b/>
                <w:bCs/>
                <w:color w:val="000000"/>
              </w:rPr>
            </w:pPr>
            <w:r w:rsidRPr="001950B4">
              <w:rPr>
                <w:b/>
                <w:bCs/>
                <w:color w:val="000000"/>
              </w:rPr>
              <w:t>Woodford Time – 2025</w:t>
            </w:r>
            <w:r w:rsidR="00055F46">
              <w:rPr>
                <w:b/>
                <w:bCs/>
                <w:color w:val="000000"/>
              </w:rPr>
              <w:t xml:space="preserve"> (6.7 hours)</w:t>
            </w:r>
          </w:p>
          <w:p w:rsidR="00227921" w:rsidP="00EC6387" w:rsidRDefault="00227921" w14:paraId="5F4A71BC" w14:textId="77777777">
            <w:pPr>
              <w:rPr>
                <w:color w:val="000000"/>
              </w:rPr>
            </w:pPr>
          </w:p>
          <w:p w:rsidRPr="00042348" w:rsidR="00227921" w:rsidP="00EC6387" w:rsidRDefault="00042348" w14:paraId="3285939A" w14:textId="47155901">
            <w:pPr>
              <w:rPr>
                <w:b/>
                <w:bCs/>
                <w:color w:val="000000"/>
              </w:rPr>
            </w:pPr>
            <w:r w:rsidRPr="00042348">
              <w:rPr>
                <w:b/>
                <w:bCs/>
                <w:color w:val="000000"/>
              </w:rPr>
              <w:t>Accessibility:</w:t>
            </w:r>
            <w:r w:rsidR="00055F46">
              <w:rPr>
                <w:b/>
                <w:bCs/>
                <w:color w:val="000000"/>
              </w:rPr>
              <w:t xml:space="preserve"> 6.7 hours (100%)</w:t>
            </w:r>
          </w:p>
        </w:tc>
        <w:tc>
          <w:tcPr>
            <w:tcW w:w="1867" w:type="dxa"/>
          </w:tcPr>
          <w:p w:rsidRPr="007F620E" w:rsidR="00FE3BAE" w:rsidP="00EC6387" w:rsidRDefault="00243040" w14:paraId="497C4799" w14:textId="74BAA50F">
            <w:pPr>
              <w:rPr>
                <w:color w:val="000000"/>
              </w:rPr>
            </w:pPr>
            <w:r>
              <w:rPr>
                <w:color w:val="000000"/>
              </w:rPr>
              <w:lastRenderedPageBreak/>
              <w:t>Noted</w:t>
            </w:r>
          </w:p>
        </w:tc>
      </w:tr>
    </w:tbl>
    <w:p w:rsidRPr="007F620E" w:rsidR="00A92D0B" w:rsidP="005B5B44" w:rsidRDefault="00A92D0B" w14:paraId="710BC7D6" w14:textId="77777777">
      <w:pPr>
        <w:keepNext/>
        <w:numPr>
          <w:ilvl w:val="0"/>
          <w:numId w:val="9"/>
        </w:numPr>
        <w:spacing w:before="240" w:after="240"/>
        <w:rPr>
          <w:b/>
          <w:color w:val="000000"/>
        </w:rPr>
      </w:pPr>
      <w:r w:rsidRPr="007F620E">
        <w:rPr>
          <w:b/>
          <w:color w:val="000000"/>
        </w:rPr>
        <w:t xml:space="preserve">Specific </w:t>
      </w:r>
      <w:proofErr w:type="gramStart"/>
      <w:r w:rsidRPr="007F620E">
        <w:rPr>
          <w:b/>
          <w:color w:val="000000"/>
        </w:rPr>
        <w:t>Claim</w:t>
      </w:r>
      <w:r w:rsidR="00C02649">
        <w:rPr>
          <w:b/>
          <w:color w:val="000000"/>
        </w:rPr>
        <w:t>:</w:t>
      </w:r>
      <w:r w:rsidRPr="007F620E" w:rsidR="00D075B1">
        <w:rPr>
          <w:b/>
          <w:color w:val="000000"/>
        </w:rPr>
        <w:t>*</w:t>
      </w:r>
      <w:proofErr w:type="gramEnd"/>
    </w:p>
    <w:tbl>
      <w:tblPr>
        <w:tblW w:w="11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89"/>
        <w:gridCol w:w="821"/>
        <w:gridCol w:w="382"/>
        <w:gridCol w:w="453"/>
        <w:gridCol w:w="1080"/>
        <w:gridCol w:w="376"/>
        <w:gridCol w:w="1244"/>
        <w:gridCol w:w="1047"/>
        <w:gridCol w:w="286"/>
        <w:gridCol w:w="955"/>
        <w:gridCol w:w="1146"/>
        <w:gridCol w:w="1881"/>
      </w:tblGrid>
      <w:tr w:rsidRPr="007F620E" w:rsidR="00A92D0B" w:rsidTr="00EC6387" w14:paraId="780664A2" w14:textId="77777777">
        <w:trPr>
          <w:tblHeader/>
          <w:jc w:val="center"/>
        </w:trPr>
        <w:tc>
          <w:tcPr>
            <w:tcW w:w="7178" w:type="dxa"/>
            <w:gridSpan w:val="9"/>
            <w:tcBorders>
              <w:bottom w:val="single" w:color="auto" w:sz="4" w:space="0"/>
              <w:right w:val="single" w:color="auto" w:sz="24" w:space="0"/>
            </w:tcBorders>
          </w:tcPr>
          <w:p w:rsidRPr="007F620E" w:rsidR="00A92D0B" w:rsidP="00DE3A5D" w:rsidRDefault="00A92D0B" w14:paraId="6BFE54DA" w14:textId="77777777">
            <w:pPr>
              <w:keepNext/>
              <w:keepLines/>
              <w:spacing w:before="60" w:after="60"/>
              <w:jc w:val="center"/>
              <w:rPr>
                <w:b/>
                <w:smallCaps/>
                <w:color w:val="000000"/>
              </w:rPr>
            </w:pPr>
            <w:r w:rsidRPr="007F620E">
              <w:rPr>
                <w:b/>
                <w:smallCaps/>
                <w:color w:val="000000"/>
              </w:rPr>
              <w:t>Claimed</w:t>
            </w:r>
          </w:p>
        </w:tc>
        <w:tc>
          <w:tcPr>
            <w:tcW w:w="3982" w:type="dxa"/>
            <w:gridSpan w:val="3"/>
            <w:tcBorders>
              <w:left w:val="single" w:color="auto" w:sz="24" w:space="0"/>
              <w:bottom w:val="single" w:color="auto" w:sz="4" w:space="0"/>
            </w:tcBorders>
          </w:tcPr>
          <w:p w:rsidRPr="007F620E" w:rsidR="00A92D0B" w:rsidP="00DE3A5D" w:rsidRDefault="00A92D0B" w14:paraId="170A0FA1" w14:textId="77777777">
            <w:pPr>
              <w:keepNext/>
              <w:keepLines/>
              <w:spacing w:before="60" w:after="60"/>
              <w:jc w:val="center"/>
              <w:rPr>
                <w:b/>
                <w:smallCaps/>
                <w:color w:val="000000"/>
              </w:rPr>
            </w:pPr>
            <w:r w:rsidRPr="007F620E">
              <w:rPr>
                <w:b/>
                <w:smallCaps/>
                <w:color w:val="000000"/>
              </w:rPr>
              <w:t>CPUC Award</w:t>
            </w:r>
          </w:p>
        </w:tc>
      </w:tr>
      <w:tr w:rsidRPr="007F620E" w:rsidR="00A92D0B" w:rsidTr="00EC6387" w14:paraId="0F5B6CAA"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7F620E" w:rsidR="00A92D0B" w:rsidP="00DE3A5D" w:rsidRDefault="00A92D0B" w14:paraId="284F9031" w14:textId="77777777">
            <w:pPr>
              <w:keepNext/>
              <w:keepLines/>
              <w:spacing w:before="60" w:after="60"/>
              <w:jc w:val="center"/>
              <w:rPr>
                <w:b/>
              </w:rPr>
            </w:pPr>
            <w:r w:rsidRPr="007F620E">
              <w:rPr>
                <w:b/>
              </w:rPr>
              <w:t>ATTORNEY, EXPERT, AND ADVOCATE FEES</w:t>
            </w:r>
          </w:p>
        </w:tc>
      </w:tr>
      <w:tr w:rsidRPr="00260518" w:rsidR="00A92D0B" w:rsidTr="004852BA" w14:paraId="5A70C962" w14:textId="77777777">
        <w:trPr>
          <w:jc w:val="center"/>
        </w:trPr>
        <w:tc>
          <w:tcPr>
            <w:tcW w:w="1489" w:type="dxa"/>
            <w:tcBorders>
              <w:top w:val="single" w:color="auto" w:sz="4" w:space="0"/>
              <w:bottom w:val="single" w:color="auto" w:sz="4" w:space="0"/>
            </w:tcBorders>
            <w:vAlign w:val="bottom"/>
          </w:tcPr>
          <w:p w:rsidRPr="00260518" w:rsidR="00A92D0B" w:rsidP="003B6A1B" w:rsidRDefault="00A92D0B" w14:paraId="41646676" w14:textId="77777777">
            <w:pPr>
              <w:keepNext/>
              <w:keepLines/>
              <w:spacing w:before="60" w:after="60"/>
              <w:jc w:val="center"/>
              <w:rPr>
                <w:b/>
                <w:color w:val="000000"/>
                <w:sz w:val="22"/>
                <w:szCs w:val="22"/>
              </w:rPr>
            </w:pPr>
            <w:r w:rsidRPr="00260518">
              <w:rPr>
                <w:b/>
                <w:color w:val="000000"/>
                <w:sz w:val="22"/>
                <w:szCs w:val="22"/>
              </w:rPr>
              <w:t>Item</w:t>
            </w:r>
          </w:p>
        </w:tc>
        <w:tc>
          <w:tcPr>
            <w:tcW w:w="821" w:type="dxa"/>
            <w:tcBorders>
              <w:top w:val="single" w:color="auto" w:sz="4" w:space="0"/>
              <w:bottom w:val="single" w:color="auto" w:sz="4" w:space="0"/>
            </w:tcBorders>
            <w:vAlign w:val="bottom"/>
          </w:tcPr>
          <w:p w:rsidRPr="00260518" w:rsidR="00A92D0B" w:rsidP="003B6A1B" w:rsidRDefault="00A92D0B" w14:paraId="43BB9941" w14:textId="77777777">
            <w:pPr>
              <w:keepNext/>
              <w:keepLines/>
              <w:spacing w:before="60" w:after="60"/>
              <w:jc w:val="center"/>
              <w:rPr>
                <w:b/>
                <w:color w:val="000000"/>
                <w:sz w:val="22"/>
                <w:szCs w:val="22"/>
              </w:rPr>
            </w:pPr>
            <w:r w:rsidRPr="00260518">
              <w:rPr>
                <w:b/>
                <w:color w:val="000000"/>
                <w:sz w:val="22"/>
                <w:szCs w:val="22"/>
              </w:rPr>
              <w:t>Year</w:t>
            </w:r>
          </w:p>
        </w:tc>
        <w:tc>
          <w:tcPr>
            <w:tcW w:w="835" w:type="dxa"/>
            <w:gridSpan w:val="2"/>
            <w:tcBorders>
              <w:top w:val="single" w:color="auto" w:sz="4" w:space="0"/>
              <w:bottom w:val="single" w:color="auto" w:sz="4" w:space="0"/>
            </w:tcBorders>
            <w:vAlign w:val="bottom"/>
          </w:tcPr>
          <w:p w:rsidRPr="00260518" w:rsidR="00A92D0B" w:rsidP="003B6A1B" w:rsidRDefault="00A92D0B" w14:paraId="0EF32B08" w14:textId="77777777">
            <w:pPr>
              <w:keepNext/>
              <w:keepLines/>
              <w:spacing w:before="60" w:after="60"/>
              <w:jc w:val="center"/>
              <w:rPr>
                <w:b/>
                <w:color w:val="000000"/>
                <w:sz w:val="22"/>
                <w:szCs w:val="22"/>
              </w:rPr>
            </w:pPr>
            <w:r w:rsidRPr="00260518">
              <w:rPr>
                <w:b/>
                <w:color w:val="000000"/>
                <w:sz w:val="22"/>
                <w:szCs w:val="22"/>
              </w:rPr>
              <w:t>Hours</w:t>
            </w:r>
          </w:p>
        </w:tc>
        <w:tc>
          <w:tcPr>
            <w:tcW w:w="1080" w:type="dxa"/>
            <w:tcBorders>
              <w:top w:val="single" w:color="auto" w:sz="4" w:space="0"/>
              <w:bottom w:val="single" w:color="auto" w:sz="4" w:space="0"/>
            </w:tcBorders>
            <w:vAlign w:val="bottom"/>
          </w:tcPr>
          <w:p w:rsidRPr="00260518" w:rsidR="00A92D0B" w:rsidP="003B6A1B" w:rsidRDefault="00A92D0B" w14:paraId="21C69246" w14:textId="77777777">
            <w:pPr>
              <w:keepNext/>
              <w:keepLines/>
              <w:spacing w:before="60" w:after="60"/>
              <w:jc w:val="center"/>
              <w:rPr>
                <w:b/>
                <w:color w:val="000000"/>
                <w:sz w:val="22"/>
                <w:szCs w:val="22"/>
              </w:rPr>
            </w:pPr>
            <w:r w:rsidRPr="00260518">
              <w:rPr>
                <w:b/>
                <w:color w:val="000000"/>
                <w:sz w:val="22"/>
                <w:szCs w:val="22"/>
              </w:rPr>
              <w:t>Rate</w:t>
            </w:r>
            <w:r w:rsidRPr="00260518" w:rsidR="00E3786F">
              <w:rPr>
                <w:b/>
                <w:color w:val="000000"/>
                <w:sz w:val="22"/>
                <w:szCs w:val="22"/>
              </w:rPr>
              <w:t xml:space="preserve"> $</w:t>
            </w:r>
          </w:p>
        </w:tc>
        <w:tc>
          <w:tcPr>
            <w:tcW w:w="1620" w:type="dxa"/>
            <w:gridSpan w:val="2"/>
            <w:tcBorders>
              <w:top w:val="single" w:color="auto" w:sz="4" w:space="0"/>
              <w:bottom w:val="single" w:color="auto" w:sz="4" w:space="0"/>
              <w:right w:val="single" w:color="auto" w:sz="4" w:space="0"/>
            </w:tcBorders>
            <w:vAlign w:val="bottom"/>
          </w:tcPr>
          <w:p w:rsidRPr="00260518" w:rsidR="00A92D0B" w:rsidP="003B6A1B" w:rsidRDefault="00A92D0B" w14:paraId="59E63C07" w14:textId="77777777">
            <w:pPr>
              <w:keepNext/>
              <w:keepLines/>
              <w:spacing w:before="60" w:after="60"/>
              <w:jc w:val="center"/>
              <w:rPr>
                <w:b/>
                <w:color w:val="000000"/>
                <w:sz w:val="22"/>
                <w:szCs w:val="22"/>
              </w:rPr>
            </w:pPr>
            <w:r w:rsidRPr="00260518">
              <w:rPr>
                <w:b/>
                <w:color w:val="000000"/>
                <w:sz w:val="22"/>
                <w:szCs w:val="22"/>
              </w:rPr>
              <w:t>Basis for Rate*</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260518" w:rsidR="00A92D0B" w:rsidP="003B6A1B" w:rsidRDefault="00A92D0B" w14:paraId="7099C603" w14:textId="77777777">
            <w:pPr>
              <w:keepNext/>
              <w:keepLines/>
              <w:spacing w:before="60" w:after="60"/>
              <w:jc w:val="center"/>
              <w:rPr>
                <w:b/>
                <w:color w:val="000000"/>
                <w:sz w:val="22"/>
                <w:szCs w:val="22"/>
              </w:rPr>
            </w:pPr>
            <w:r w:rsidRPr="00260518">
              <w:rPr>
                <w:b/>
                <w:color w:val="000000"/>
                <w:sz w:val="22"/>
                <w:szCs w:val="22"/>
              </w:rPr>
              <w:t>Total $</w:t>
            </w:r>
          </w:p>
        </w:tc>
        <w:tc>
          <w:tcPr>
            <w:tcW w:w="955" w:type="dxa"/>
            <w:tcBorders>
              <w:top w:val="single" w:color="auto" w:sz="4" w:space="0"/>
              <w:left w:val="single" w:color="auto" w:sz="4" w:space="0"/>
            </w:tcBorders>
            <w:vAlign w:val="bottom"/>
          </w:tcPr>
          <w:p w:rsidRPr="00260518" w:rsidR="00A92D0B" w:rsidP="003B6A1B" w:rsidRDefault="00A92D0B" w14:paraId="564E4964" w14:textId="77777777">
            <w:pPr>
              <w:keepNext/>
              <w:keepLines/>
              <w:spacing w:before="60" w:after="60"/>
              <w:jc w:val="center"/>
              <w:rPr>
                <w:b/>
                <w:color w:val="000000"/>
                <w:sz w:val="22"/>
                <w:szCs w:val="22"/>
              </w:rPr>
            </w:pPr>
            <w:r w:rsidRPr="00260518">
              <w:rPr>
                <w:b/>
                <w:color w:val="000000"/>
                <w:sz w:val="22"/>
                <w:szCs w:val="22"/>
              </w:rPr>
              <w:t>Hours</w:t>
            </w:r>
          </w:p>
        </w:tc>
        <w:tc>
          <w:tcPr>
            <w:tcW w:w="1146" w:type="dxa"/>
            <w:tcBorders>
              <w:top w:val="single" w:color="auto" w:sz="4" w:space="0"/>
            </w:tcBorders>
            <w:vAlign w:val="bottom"/>
          </w:tcPr>
          <w:p w:rsidRPr="00260518" w:rsidR="00A92D0B" w:rsidP="003B6A1B" w:rsidRDefault="00A92D0B" w14:paraId="1462552D" w14:textId="77777777">
            <w:pPr>
              <w:keepNext/>
              <w:keepLines/>
              <w:spacing w:before="60" w:after="60"/>
              <w:jc w:val="center"/>
              <w:rPr>
                <w:b/>
                <w:color w:val="000000"/>
                <w:sz w:val="22"/>
                <w:szCs w:val="22"/>
              </w:rPr>
            </w:pPr>
            <w:r w:rsidRPr="00260518">
              <w:rPr>
                <w:b/>
                <w:color w:val="000000"/>
                <w:sz w:val="22"/>
                <w:szCs w:val="22"/>
              </w:rPr>
              <w:t>Rate</w:t>
            </w:r>
            <w:r w:rsidRPr="00260518" w:rsidR="00E3786F">
              <w:rPr>
                <w:b/>
                <w:color w:val="000000"/>
                <w:sz w:val="22"/>
                <w:szCs w:val="22"/>
              </w:rPr>
              <w:t xml:space="preserve"> $</w:t>
            </w:r>
          </w:p>
        </w:tc>
        <w:tc>
          <w:tcPr>
            <w:tcW w:w="1881" w:type="dxa"/>
            <w:tcBorders>
              <w:top w:val="single" w:color="auto" w:sz="4" w:space="0"/>
            </w:tcBorders>
            <w:vAlign w:val="bottom"/>
          </w:tcPr>
          <w:p w:rsidRPr="00260518" w:rsidR="00A92D0B" w:rsidP="003B6A1B" w:rsidRDefault="00A92D0B" w14:paraId="1B6A5CA4" w14:textId="77777777">
            <w:pPr>
              <w:keepNext/>
              <w:keepLines/>
              <w:spacing w:before="60" w:after="60"/>
              <w:jc w:val="center"/>
              <w:rPr>
                <w:b/>
                <w:color w:val="000000"/>
                <w:sz w:val="22"/>
                <w:szCs w:val="22"/>
              </w:rPr>
            </w:pPr>
            <w:r w:rsidRPr="00260518">
              <w:rPr>
                <w:b/>
                <w:color w:val="000000"/>
                <w:sz w:val="22"/>
                <w:szCs w:val="22"/>
              </w:rPr>
              <w:t>Total $</w:t>
            </w:r>
          </w:p>
        </w:tc>
      </w:tr>
      <w:tr w:rsidRPr="007F620E" w:rsidR="00A92D0B" w:rsidTr="002830E5" w14:paraId="62E8A168" w14:textId="77777777">
        <w:trPr>
          <w:jc w:val="center"/>
        </w:trPr>
        <w:tc>
          <w:tcPr>
            <w:tcW w:w="1489" w:type="dxa"/>
          </w:tcPr>
          <w:p w:rsidRPr="007F620E" w:rsidR="00A92D0B" w:rsidP="00A92D0B" w:rsidRDefault="00C15775" w14:paraId="33EA8B38" w14:textId="2D5C7612">
            <w:pPr>
              <w:spacing w:before="60" w:after="60"/>
              <w:rPr>
                <w:color w:val="000000"/>
              </w:rPr>
            </w:pPr>
            <w:r>
              <w:rPr>
                <w:color w:val="000000"/>
              </w:rPr>
              <w:t xml:space="preserve">Melissa W. </w:t>
            </w:r>
            <w:proofErr w:type="spellStart"/>
            <w:r>
              <w:rPr>
                <w:color w:val="000000"/>
              </w:rPr>
              <w:t>Kasnitz</w:t>
            </w:r>
            <w:proofErr w:type="spellEnd"/>
          </w:p>
        </w:tc>
        <w:tc>
          <w:tcPr>
            <w:tcW w:w="821" w:type="dxa"/>
          </w:tcPr>
          <w:p w:rsidRPr="007F620E" w:rsidR="00A92D0B" w:rsidP="00AF61A9" w:rsidRDefault="00C15775" w14:paraId="47EBBC49" w14:textId="39E31F92">
            <w:pPr>
              <w:spacing w:before="60" w:after="60"/>
              <w:jc w:val="center"/>
              <w:rPr>
                <w:color w:val="000000"/>
              </w:rPr>
            </w:pPr>
            <w:r>
              <w:rPr>
                <w:color w:val="000000"/>
              </w:rPr>
              <w:t>2023</w:t>
            </w:r>
          </w:p>
        </w:tc>
        <w:tc>
          <w:tcPr>
            <w:tcW w:w="835" w:type="dxa"/>
            <w:gridSpan w:val="2"/>
          </w:tcPr>
          <w:p w:rsidRPr="007F620E" w:rsidR="00A92D0B" w:rsidP="00AF61A9" w:rsidRDefault="00D77782" w14:paraId="39A3074C" w14:textId="37534133">
            <w:pPr>
              <w:spacing w:before="60" w:after="60"/>
              <w:jc w:val="center"/>
              <w:rPr>
                <w:color w:val="000000"/>
              </w:rPr>
            </w:pPr>
            <w:r>
              <w:rPr>
                <w:color w:val="000000"/>
              </w:rPr>
              <w:t>6.3</w:t>
            </w:r>
          </w:p>
        </w:tc>
        <w:tc>
          <w:tcPr>
            <w:tcW w:w="1080" w:type="dxa"/>
          </w:tcPr>
          <w:p w:rsidRPr="007F620E" w:rsidR="00A92D0B" w:rsidP="006069B5" w:rsidRDefault="00C1691A" w14:paraId="3E5BD317" w14:textId="1BDAAEBD">
            <w:pPr>
              <w:spacing w:before="60" w:after="60"/>
              <w:jc w:val="center"/>
              <w:rPr>
                <w:color w:val="000000"/>
              </w:rPr>
            </w:pPr>
            <w:r>
              <w:rPr>
                <w:color w:val="000000"/>
              </w:rPr>
              <w:t>$ 715</w:t>
            </w:r>
          </w:p>
        </w:tc>
        <w:tc>
          <w:tcPr>
            <w:tcW w:w="1620" w:type="dxa"/>
            <w:gridSpan w:val="2"/>
            <w:tcBorders>
              <w:right w:val="single" w:color="auto" w:sz="4" w:space="0"/>
            </w:tcBorders>
          </w:tcPr>
          <w:p w:rsidRPr="007F620E" w:rsidR="00A92D0B" w:rsidP="00CC10AF" w:rsidRDefault="008B5783" w14:paraId="63BDE315" w14:textId="78CD8B08">
            <w:pPr>
              <w:spacing w:before="60" w:after="60"/>
              <w:rPr>
                <w:color w:val="000000"/>
              </w:rPr>
            </w:pPr>
            <w:r w:rsidRPr="00A634EE">
              <w:t xml:space="preserve">D.24-06-018 </w:t>
            </w:r>
          </w:p>
        </w:tc>
        <w:tc>
          <w:tcPr>
            <w:tcW w:w="1333" w:type="dxa"/>
            <w:gridSpan w:val="2"/>
            <w:tcBorders>
              <w:top w:val="single" w:color="auto" w:sz="4" w:space="0"/>
              <w:left w:val="single" w:color="auto" w:sz="4" w:space="0"/>
              <w:bottom w:val="single" w:color="auto" w:sz="4" w:space="0"/>
              <w:right w:val="single" w:color="auto" w:sz="24" w:space="0"/>
            </w:tcBorders>
          </w:tcPr>
          <w:p w:rsidRPr="007F620E" w:rsidR="00A92D0B" w:rsidP="00B17005" w:rsidRDefault="008F178D" w14:paraId="06BD92A5" w14:textId="44FD0233">
            <w:pPr>
              <w:spacing w:before="60" w:after="60"/>
              <w:jc w:val="right"/>
              <w:rPr>
                <w:color w:val="000000"/>
              </w:rPr>
            </w:pPr>
            <w:r>
              <w:rPr>
                <w:color w:val="000000"/>
              </w:rPr>
              <w:t>$ 4,504.50</w:t>
            </w:r>
          </w:p>
        </w:tc>
        <w:tc>
          <w:tcPr>
            <w:tcW w:w="955" w:type="dxa"/>
            <w:tcBorders>
              <w:left w:val="single" w:color="auto" w:sz="4" w:space="0"/>
            </w:tcBorders>
          </w:tcPr>
          <w:p w:rsidRPr="007F620E" w:rsidR="00A92D0B" w:rsidP="00AF61A9" w:rsidRDefault="00A8115B" w14:paraId="31AF7AA4" w14:textId="173CC882">
            <w:pPr>
              <w:spacing w:before="60" w:after="60"/>
              <w:jc w:val="center"/>
              <w:rPr>
                <w:color w:val="000000"/>
              </w:rPr>
            </w:pPr>
            <w:r>
              <w:rPr>
                <w:color w:val="000000"/>
              </w:rPr>
              <w:t>5.55 [3]</w:t>
            </w:r>
          </w:p>
        </w:tc>
        <w:tc>
          <w:tcPr>
            <w:tcW w:w="1146" w:type="dxa"/>
          </w:tcPr>
          <w:p w:rsidRPr="007F620E" w:rsidR="00A92D0B" w:rsidP="00AF61A9" w:rsidRDefault="004C7C8B" w14:paraId="3400AFFC" w14:textId="779CF6FA">
            <w:pPr>
              <w:spacing w:before="60" w:after="60"/>
              <w:jc w:val="right"/>
              <w:rPr>
                <w:color w:val="000000"/>
              </w:rPr>
            </w:pPr>
            <w:r>
              <w:rPr>
                <w:color w:val="000000"/>
              </w:rPr>
              <w:t>$715.00</w:t>
            </w:r>
          </w:p>
        </w:tc>
        <w:tc>
          <w:tcPr>
            <w:tcW w:w="1881" w:type="dxa"/>
          </w:tcPr>
          <w:p w:rsidRPr="007F620E" w:rsidR="00A92D0B" w:rsidP="00B17005" w:rsidRDefault="00ED471E" w14:paraId="196C1830" w14:textId="24F736FC">
            <w:pPr>
              <w:spacing w:before="60" w:after="60"/>
              <w:jc w:val="right"/>
              <w:rPr>
                <w:color w:val="000000"/>
              </w:rPr>
            </w:pPr>
            <w:r>
              <w:rPr>
                <w:color w:val="000000"/>
              </w:rPr>
              <w:t>$3,968.25</w:t>
            </w:r>
          </w:p>
        </w:tc>
      </w:tr>
      <w:tr w:rsidRPr="007F620E" w:rsidR="00A92D0B" w:rsidTr="002830E5" w14:paraId="5BF6A154" w14:textId="77777777">
        <w:trPr>
          <w:jc w:val="center"/>
        </w:trPr>
        <w:tc>
          <w:tcPr>
            <w:tcW w:w="1489" w:type="dxa"/>
          </w:tcPr>
          <w:p w:rsidRPr="007F620E" w:rsidR="00A92D0B" w:rsidP="003B6A1B" w:rsidRDefault="00C15775" w14:paraId="118506EC" w14:textId="6334F41A">
            <w:pPr>
              <w:spacing w:before="60" w:after="60"/>
              <w:rPr>
                <w:color w:val="000000"/>
              </w:rPr>
            </w:pPr>
            <w:r>
              <w:rPr>
                <w:color w:val="000000"/>
              </w:rPr>
              <w:t xml:space="preserve">Melissa W. </w:t>
            </w:r>
            <w:proofErr w:type="spellStart"/>
            <w:r>
              <w:rPr>
                <w:color w:val="000000"/>
              </w:rPr>
              <w:t>Kasnitz</w:t>
            </w:r>
            <w:proofErr w:type="spellEnd"/>
          </w:p>
        </w:tc>
        <w:tc>
          <w:tcPr>
            <w:tcW w:w="821" w:type="dxa"/>
          </w:tcPr>
          <w:p w:rsidRPr="007F620E" w:rsidR="00A92D0B" w:rsidP="00AF61A9" w:rsidRDefault="00C15775" w14:paraId="3767540B" w14:textId="0F852171">
            <w:pPr>
              <w:spacing w:before="60" w:after="60"/>
              <w:jc w:val="center"/>
              <w:rPr>
                <w:color w:val="000000"/>
              </w:rPr>
            </w:pPr>
            <w:r>
              <w:rPr>
                <w:color w:val="000000"/>
              </w:rPr>
              <w:t>2024</w:t>
            </w:r>
          </w:p>
        </w:tc>
        <w:tc>
          <w:tcPr>
            <w:tcW w:w="835" w:type="dxa"/>
            <w:gridSpan w:val="2"/>
          </w:tcPr>
          <w:p w:rsidRPr="007F620E" w:rsidR="00A92D0B" w:rsidP="00AF61A9" w:rsidRDefault="008F178D" w14:paraId="120FE857" w14:textId="45F8C629">
            <w:pPr>
              <w:spacing w:before="60" w:after="60"/>
              <w:jc w:val="center"/>
              <w:rPr>
                <w:color w:val="000000"/>
              </w:rPr>
            </w:pPr>
            <w:r>
              <w:rPr>
                <w:color w:val="000000"/>
              </w:rPr>
              <w:t>1.7</w:t>
            </w:r>
          </w:p>
        </w:tc>
        <w:tc>
          <w:tcPr>
            <w:tcW w:w="1080" w:type="dxa"/>
          </w:tcPr>
          <w:p w:rsidRPr="007F620E" w:rsidR="00A92D0B" w:rsidP="006069B5" w:rsidRDefault="00872ACD" w14:paraId="075109E1" w14:textId="0B2FE941">
            <w:pPr>
              <w:spacing w:before="60" w:after="60"/>
              <w:jc w:val="center"/>
              <w:rPr>
                <w:color w:val="000000"/>
              </w:rPr>
            </w:pPr>
            <w:r>
              <w:rPr>
                <w:color w:val="000000"/>
              </w:rPr>
              <w:t>$ 735</w:t>
            </w:r>
          </w:p>
        </w:tc>
        <w:tc>
          <w:tcPr>
            <w:tcW w:w="1620" w:type="dxa"/>
            <w:gridSpan w:val="2"/>
            <w:tcBorders>
              <w:right w:val="single" w:color="auto" w:sz="4" w:space="0"/>
            </w:tcBorders>
          </w:tcPr>
          <w:p w:rsidRPr="007F620E" w:rsidR="00A92D0B" w:rsidP="00CC10AF" w:rsidRDefault="00872ACD" w14:paraId="4AF4C006" w14:textId="481409A7">
            <w:pPr>
              <w:spacing w:before="60" w:after="60"/>
              <w:rPr>
                <w:color w:val="000000"/>
              </w:rPr>
            </w:pPr>
            <w:r w:rsidRPr="00A634EE">
              <w:t>D.24-10-028</w:t>
            </w:r>
          </w:p>
        </w:tc>
        <w:tc>
          <w:tcPr>
            <w:tcW w:w="1333" w:type="dxa"/>
            <w:gridSpan w:val="2"/>
            <w:tcBorders>
              <w:top w:val="single" w:color="auto" w:sz="4" w:space="0"/>
              <w:left w:val="single" w:color="auto" w:sz="4" w:space="0"/>
              <w:bottom w:val="single" w:color="auto" w:sz="4" w:space="0"/>
              <w:right w:val="single" w:color="auto" w:sz="24" w:space="0"/>
            </w:tcBorders>
          </w:tcPr>
          <w:p w:rsidRPr="007F620E" w:rsidR="00A92D0B" w:rsidP="00B17005" w:rsidRDefault="008F178D" w14:paraId="2A77845E" w14:textId="67755C9A">
            <w:pPr>
              <w:spacing w:before="60" w:after="60"/>
              <w:jc w:val="right"/>
              <w:rPr>
                <w:color w:val="000000"/>
              </w:rPr>
            </w:pPr>
            <w:r>
              <w:rPr>
                <w:color w:val="000000"/>
              </w:rPr>
              <w:t>$ 1,249.50</w:t>
            </w:r>
          </w:p>
        </w:tc>
        <w:tc>
          <w:tcPr>
            <w:tcW w:w="955" w:type="dxa"/>
            <w:tcBorders>
              <w:left w:val="single" w:color="auto" w:sz="4" w:space="0"/>
            </w:tcBorders>
          </w:tcPr>
          <w:p w:rsidRPr="007F620E" w:rsidR="00A92D0B" w:rsidP="00AF61A9" w:rsidRDefault="009A13D9" w14:paraId="461DC9FD" w14:textId="2FB92F1B">
            <w:pPr>
              <w:spacing w:before="60" w:after="60"/>
              <w:jc w:val="center"/>
              <w:rPr>
                <w:color w:val="000000"/>
              </w:rPr>
            </w:pPr>
            <w:r>
              <w:rPr>
                <w:color w:val="000000"/>
              </w:rPr>
              <w:t>1.20 [3]</w:t>
            </w:r>
          </w:p>
        </w:tc>
        <w:tc>
          <w:tcPr>
            <w:tcW w:w="1146" w:type="dxa"/>
          </w:tcPr>
          <w:p w:rsidRPr="007F620E" w:rsidR="00A92D0B" w:rsidP="00AF61A9" w:rsidRDefault="004C7C8B" w14:paraId="7FDABF74" w14:textId="19E27DEF">
            <w:pPr>
              <w:spacing w:before="60" w:after="60"/>
              <w:jc w:val="right"/>
              <w:rPr>
                <w:color w:val="000000"/>
              </w:rPr>
            </w:pPr>
            <w:r>
              <w:rPr>
                <w:color w:val="000000"/>
              </w:rPr>
              <w:t>$7</w:t>
            </w:r>
            <w:r w:rsidR="005F27D5">
              <w:rPr>
                <w:color w:val="000000"/>
              </w:rPr>
              <w:t>35.00</w:t>
            </w:r>
          </w:p>
        </w:tc>
        <w:tc>
          <w:tcPr>
            <w:tcW w:w="1881" w:type="dxa"/>
          </w:tcPr>
          <w:p w:rsidRPr="007F620E" w:rsidR="00A92D0B" w:rsidP="00B17005" w:rsidRDefault="006504F4" w14:paraId="05EFCF76" w14:textId="52438518">
            <w:pPr>
              <w:spacing w:before="60" w:after="60"/>
              <w:jc w:val="right"/>
              <w:rPr>
                <w:color w:val="000000"/>
              </w:rPr>
            </w:pPr>
            <w:r>
              <w:rPr>
                <w:color w:val="000000"/>
              </w:rPr>
              <w:t>$882.00</w:t>
            </w:r>
          </w:p>
        </w:tc>
      </w:tr>
      <w:tr w:rsidRPr="007F620E" w:rsidR="007F6FEB" w:rsidTr="002830E5" w14:paraId="38E0B4EA" w14:textId="77777777">
        <w:trPr>
          <w:jc w:val="center"/>
        </w:trPr>
        <w:tc>
          <w:tcPr>
            <w:tcW w:w="1489" w:type="dxa"/>
          </w:tcPr>
          <w:p w:rsidRPr="007F620E" w:rsidR="007F6FEB" w:rsidP="007F6FEB" w:rsidRDefault="007F6FEB" w14:paraId="1F980DF3" w14:textId="65C1CFDB">
            <w:pPr>
              <w:spacing w:before="60" w:after="60"/>
              <w:rPr>
                <w:color w:val="000000"/>
              </w:rPr>
            </w:pPr>
            <w:r>
              <w:rPr>
                <w:color w:val="000000"/>
              </w:rPr>
              <w:t xml:space="preserve">Melissa W. </w:t>
            </w:r>
            <w:proofErr w:type="spellStart"/>
            <w:r>
              <w:rPr>
                <w:color w:val="000000"/>
              </w:rPr>
              <w:t>Kasnitz</w:t>
            </w:r>
            <w:proofErr w:type="spellEnd"/>
          </w:p>
        </w:tc>
        <w:tc>
          <w:tcPr>
            <w:tcW w:w="821" w:type="dxa"/>
          </w:tcPr>
          <w:p w:rsidRPr="007F620E" w:rsidR="007F6FEB" w:rsidP="007F6FEB" w:rsidRDefault="007F6FEB" w14:paraId="275BF57A" w14:textId="3F2C6666">
            <w:pPr>
              <w:spacing w:before="60" w:after="60"/>
              <w:jc w:val="center"/>
              <w:rPr>
                <w:color w:val="000000"/>
              </w:rPr>
            </w:pPr>
            <w:r>
              <w:rPr>
                <w:color w:val="000000"/>
              </w:rPr>
              <w:t>2025</w:t>
            </w:r>
          </w:p>
        </w:tc>
        <w:tc>
          <w:tcPr>
            <w:tcW w:w="835" w:type="dxa"/>
            <w:gridSpan w:val="2"/>
          </w:tcPr>
          <w:p w:rsidRPr="007F620E" w:rsidR="007F6FEB" w:rsidP="007F6FEB" w:rsidRDefault="00F91832" w14:paraId="0DE506C4" w14:textId="320C2162">
            <w:pPr>
              <w:spacing w:before="60" w:after="60"/>
              <w:jc w:val="center"/>
              <w:rPr>
                <w:color w:val="000000"/>
              </w:rPr>
            </w:pPr>
            <w:r>
              <w:rPr>
                <w:color w:val="000000"/>
              </w:rPr>
              <w:t>4.7</w:t>
            </w:r>
          </w:p>
        </w:tc>
        <w:tc>
          <w:tcPr>
            <w:tcW w:w="1080" w:type="dxa"/>
          </w:tcPr>
          <w:p w:rsidRPr="007F620E" w:rsidR="007F6FEB" w:rsidP="006069B5" w:rsidRDefault="007F6FEB" w14:paraId="26413E95" w14:textId="00BA790B">
            <w:pPr>
              <w:spacing w:before="60" w:after="60"/>
              <w:jc w:val="center"/>
              <w:rPr>
                <w:color w:val="000000"/>
              </w:rPr>
            </w:pPr>
            <w:r>
              <w:rPr>
                <w:color w:val="000000"/>
              </w:rPr>
              <w:t>$ 7</w:t>
            </w:r>
            <w:r w:rsidR="002E4F66">
              <w:rPr>
                <w:color w:val="000000"/>
              </w:rPr>
              <w:t>55</w:t>
            </w:r>
          </w:p>
        </w:tc>
        <w:tc>
          <w:tcPr>
            <w:tcW w:w="1620" w:type="dxa"/>
            <w:gridSpan w:val="2"/>
            <w:tcBorders>
              <w:right w:val="single" w:color="auto" w:sz="4" w:space="0"/>
            </w:tcBorders>
          </w:tcPr>
          <w:p w:rsidRPr="007F620E" w:rsidR="007F6FEB" w:rsidP="007F6FEB" w:rsidRDefault="007E2A8D" w14:paraId="300AA881" w14:textId="5820AE5A">
            <w:pPr>
              <w:spacing w:before="60" w:after="60"/>
              <w:rPr>
                <w:color w:val="000000"/>
              </w:rPr>
            </w:pPr>
            <w:r>
              <w:t>D.25-10-060</w:t>
            </w:r>
          </w:p>
        </w:tc>
        <w:tc>
          <w:tcPr>
            <w:tcW w:w="1333" w:type="dxa"/>
            <w:gridSpan w:val="2"/>
            <w:tcBorders>
              <w:top w:val="single" w:color="auto" w:sz="4" w:space="0"/>
              <w:left w:val="single" w:color="auto" w:sz="4" w:space="0"/>
              <w:bottom w:val="single" w:color="auto" w:sz="4" w:space="0"/>
              <w:right w:val="single" w:color="auto" w:sz="24" w:space="0"/>
            </w:tcBorders>
          </w:tcPr>
          <w:p w:rsidRPr="007F620E" w:rsidR="007F6FEB" w:rsidP="007F6FEB" w:rsidRDefault="00F91832" w14:paraId="23EF368E" w14:textId="3C9440EB">
            <w:pPr>
              <w:spacing w:before="60" w:after="60"/>
              <w:jc w:val="right"/>
              <w:rPr>
                <w:color w:val="000000"/>
              </w:rPr>
            </w:pPr>
            <w:r>
              <w:rPr>
                <w:color w:val="000000"/>
              </w:rPr>
              <w:t>$ 3,548.50</w:t>
            </w:r>
          </w:p>
        </w:tc>
        <w:tc>
          <w:tcPr>
            <w:tcW w:w="955" w:type="dxa"/>
            <w:tcBorders>
              <w:left w:val="single" w:color="auto" w:sz="4" w:space="0"/>
            </w:tcBorders>
          </w:tcPr>
          <w:p w:rsidRPr="007F620E" w:rsidR="007F6FEB" w:rsidP="007F6FEB" w:rsidRDefault="00593526" w14:paraId="2B0CA953" w14:textId="7B3AECEC">
            <w:pPr>
              <w:spacing w:before="60" w:after="60"/>
              <w:jc w:val="center"/>
              <w:rPr>
                <w:color w:val="000000"/>
              </w:rPr>
            </w:pPr>
            <w:r>
              <w:rPr>
                <w:color w:val="000000"/>
              </w:rPr>
              <w:t>2.35 [3</w:t>
            </w:r>
            <w:r w:rsidR="0007626C">
              <w:rPr>
                <w:color w:val="000000"/>
              </w:rPr>
              <w:t>, 4</w:t>
            </w:r>
            <w:r>
              <w:rPr>
                <w:color w:val="000000"/>
              </w:rPr>
              <w:t>]</w:t>
            </w:r>
          </w:p>
        </w:tc>
        <w:tc>
          <w:tcPr>
            <w:tcW w:w="1146" w:type="dxa"/>
          </w:tcPr>
          <w:p w:rsidRPr="007F620E" w:rsidR="007F6FEB" w:rsidP="007F6FEB" w:rsidRDefault="005F27D5" w14:paraId="1FC8906C" w14:textId="08C63392">
            <w:pPr>
              <w:spacing w:before="60" w:after="60"/>
              <w:jc w:val="right"/>
              <w:rPr>
                <w:color w:val="000000"/>
              </w:rPr>
            </w:pPr>
            <w:r>
              <w:rPr>
                <w:color w:val="000000"/>
              </w:rPr>
              <w:t>$755.00</w:t>
            </w:r>
          </w:p>
        </w:tc>
        <w:tc>
          <w:tcPr>
            <w:tcW w:w="1881" w:type="dxa"/>
          </w:tcPr>
          <w:p w:rsidRPr="007F620E" w:rsidR="007F6FEB" w:rsidP="007F6FEB" w:rsidRDefault="006504F4" w14:paraId="6C594CB5" w14:textId="589732A4">
            <w:pPr>
              <w:spacing w:before="60" w:after="60"/>
              <w:jc w:val="right"/>
              <w:rPr>
                <w:color w:val="000000"/>
              </w:rPr>
            </w:pPr>
            <w:r>
              <w:rPr>
                <w:color w:val="000000"/>
              </w:rPr>
              <w:t>$1,774.25</w:t>
            </w:r>
          </w:p>
        </w:tc>
      </w:tr>
      <w:tr w:rsidRPr="007F620E" w:rsidR="00484096" w:rsidTr="002830E5" w14:paraId="06D62EB9" w14:textId="77777777">
        <w:trPr>
          <w:jc w:val="center"/>
        </w:trPr>
        <w:tc>
          <w:tcPr>
            <w:tcW w:w="1489" w:type="dxa"/>
          </w:tcPr>
          <w:p w:rsidR="00484096" w:rsidP="007F6FEB" w:rsidRDefault="00484096" w14:paraId="25CFBCA9" w14:textId="42BF0FB1">
            <w:pPr>
              <w:spacing w:before="60" w:after="60"/>
              <w:rPr>
                <w:color w:val="000000"/>
              </w:rPr>
            </w:pPr>
            <w:r>
              <w:rPr>
                <w:color w:val="000000"/>
              </w:rPr>
              <w:t>Kate Woodford</w:t>
            </w:r>
          </w:p>
        </w:tc>
        <w:tc>
          <w:tcPr>
            <w:tcW w:w="821" w:type="dxa"/>
          </w:tcPr>
          <w:p w:rsidR="00484096" w:rsidP="007F6FEB" w:rsidRDefault="00484096" w14:paraId="2D85683A" w14:textId="587ABCDE">
            <w:pPr>
              <w:spacing w:before="60" w:after="60"/>
              <w:jc w:val="center"/>
              <w:rPr>
                <w:color w:val="000000"/>
              </w:rPr>
            </w:pPr>
            <w:r>
              <w:rPr>
                <w:color w:val="000000"/>
              </w:rPr>
              <w:t>2023</w:t>
            </w:r>
          </w:p>
        </w:tc>
        <w:tc>
          <w:tcPr>
            <w:tcW w:w="835" w:type="dxa"/>
            <w:gridSpan w:val="2"/>
          </w:tcPr>
          <w:p w:rsidRPr="007F620E" w:rsidR="00484096" w:rsidP="007F6FEB" w:rsidRDefault="006069B5" w14:paraId="71FC41D3" w14:textId="46BEBCB3">
            <w:pPr>
              <w:spacing w:before="60" w:after="60"/>
              <w:jc w:val="center"/>
              <w:rPr>
                <w:color w:val="000000"/>
              </w:rPr>
            </w:pPr>
            <w:r>
              <w:rPr>
                <w:color w:val="000000"/>
              </w:rPr>
              <w:t>1.6</w:t>
            </w:r>
          </w:p>
        </w:tc>
        <w:tc>
          <w:tcPr>
            <w:tcW w:w="1080" w:type="dxa"/>
          </w:tcPr>
          <w:p w:rsidR="00484096" w:rsidP="006069B5" w:rsidRDefault="006069B5" w14:paraId="757623CD" w14:textId="2F3AA063">
            <w:pPr>
              <w:spacing w:before="60" w:after="60"/>
              <w:jc w:val="center"/>
              <w:rPr>
                <w:color w:val="000000"/>
              </w:rPr>
            </w:pPr>
            <w:r>
              <w:rPr>
                <w:color w:val="000000"/>
              </w:rPr>
              <w:t>$ 280</w:t>
            </w:r>
          </w:p>
        </w:tc>
        <w:tc>
          <w:tcPr>
            <w:tcW w:w="1620" w:type="dxa"/>
            <w:gridSpan w:val="2"/>
            <w:tcBorders>
              <w:right w:val="single" w:color="auto" w:sz="4" w:space="0"/>
            </w:tcBorders>
          </w:tcPr>
          <w:p w:rsidR="00484096" w:rsidP="007F6FEB" w:rsidRDefault="00B52E30" w14:paraId="50485BBE" w14:textId="282312BA">
            <w:pPr>
              <w:spacing w:before="60" w:after="60"/>
              <w:rPr>
                <w:color w:val="000000"/>
              </w:rPr>
            </w:pPr>
            <w:r>
              <w:rPr>
                <w:color w:val="000000"/>
              </w:rPr>
              <w:t>D.24-06-020</w:t>
            </w:r>
          </w:p>
        </w:tc>
        <w:tc>
          <w:tcPr>
            <w:tcW w:w="1333" w:type="dxa"/>
            <w:gridSpan w:val="2"/>
            <w:tcBorders>
              <w:top w:val="single" w:color="auto" w:sz="4" w:space="0"/>
              <w:left w:val="single" w:color="auto" w:sz="4" w:space="0"/>
              <w:bottom w:val="single" w:color="auto" w:sz="4" w:space="0"/>
              <w:right w:val="single" w:color="auto" w:sz="24" w:space="0"/>
            </w:tcBorders>
          </w:tcPr>
          <w:p w:rsidRPr="007F620E" w:rsidR="00484096" w:rsidP="007F6FEB" w:rsidRDefault="00A84A43" w14:paraId="02F47400" w14:textId="5C69A9E1">
            <w:pPr>
              <w:spacing w:before="60" w:after="60"/>
              <w:jc w:val="right"/>
              <w:rPr>
                <w:color w:val="000000"/>
              </w:rPr>
            </w:pPr>
            <w:r>
              <w:rPr>
                <w:color w:val="000000"/>
              </w:rPr>
              <w:t>$ 448.00</w:t>
            </w:r>
          </w:p>
        </w:tc>
        <w:tc>
          <w:tcPr>
            <w:tcW w:w="955" w:type="dxa"/>
            <w:tcBorders>
              <w:left w:val="single" w:color="auto" w:sz="4" w:space="0"/>
            </w:tcBorders>
          </w:tcPr>
          <w:p w:rsidRPr="007F620E" w:rsidR="00484096" w:rsidP="007F6FEB" w:rsidRDefault="00593526" w14:paraId="7712CDA8" w14:textId="35CBFD2A">
            <w:pPr>
              <w:spacing w:before="60" w:after="60"/>
              <w:jc w:val="center"/>
              <w:rPr>
                <w:color w:val="000000"/>
              </w:rPr>
            </w:pPr>
            <w:r>
              <w:rPr>
                <w:color w:val="000000"/>
              </w:rPr>
              <w:t xml:space="preserve">1.00 </w:t>
            </w:r>
            <w:r w:rsidR="00ED471E">
              <w:rPr>
                <w:color w:val="000000"/>
              </w:rPr>
              <w:t>[3]</w:t>
            </w:r>
          </w:p>
        </w:tc>
        <w:tc>
          <w:tcPr>
            <w:tcW w:w="1146" w:type="dxa"/>
          </w:tcPr>
          <w:p w:rsidRPr="007F620E" w:rsidR="00484096" w:rsidP="007F6FEB" w:rsidRDefault="00960500" w14:paraId="2768A5F0" w14:textId="296A54C2">
            <w:pPr>
              <w:spacing w:before="60" w:after="60"/>
              <w:jc w:val="right"/>
              <w:rPr>
                <w:color w:val="000000"/>
              </w:rPr>
            </w:pPr>
            <w:r>
              <w:rPr>
                <w:color w:val="000000"/>
              </w:rPr>
              <w:t>$280.00</w:t>
            </w:r>
          </w:p>
        </w:tc>
        <w:tc>
          <w:tcPr>
            <w:tcW w:w="1881" w:type="dxa"/>
          </w:tcPr>
          <w:p w:rsidRPr="007F620E" w:rsidR="00484096" w:rsidP="007F6FEB" w:rsidRDefault="006504F4" w14:paraId="74B2B4FC" w14:textId="51DD45D2">
            <w:pPr>
              <w:spacing w:before="60" w:after="60"/>
              <w:jc w:val="right"/>
              <w:rPr>
                <w:color w:val="000000"/>
              </w:rPr>
            </w:pPr>
            <w:r>
              <w:rPr>
                <w:color w:val="000000"/>
              </w:rPr>
              <w:t>$280.00</w:t>
            </w:r>
          </w:p>
        </w:tc>
      </w:tr>
      <w:tr w:rsidRPr="007F620E" w:rsidR="007F6FEB" w:rsidTr="002830E5" w14:paraId="78FC5ECE" w14:textId="77777777">
        <w:trPr>
          <w:jc w:val="center"/>
        </w:trPr>
        <w:tc>
          <w:tcPr>
            <w:tcW w:w="1489" w:type="dxa"/>
          </w:tcPr>
          <w:p w:rsidRPr="007F620E" w:rsidR="007F6FEB" w:rsidP="007F6FEB" w:rsidRDefault="007F6FEB" w14:paraId="1F8943E9" w14:textId="3FC71E5E">
            <w:pPr>
              <w:spacing w:before="60" w:after="60"/>
              <w:rPr>
                <w:color w:val="000000"/>
              </w:rPr>
            </w:pPr>
            <w:r>
              <w:rPr>
                <w:color w:val="000000"/>
              </w:rPr>
              <w:t>Kate Woodford</w:t>
            </w:r>
          </w:p>
        </w:tc>
        <w:tc>
          <w:tcPr>
            <w:tcW w:w="821" w:type="dxa"/>
          </w:tcPr>
          <w:p w:rsidRPr="007F620E" w:rsidR="007F6FEB" w:rsidP="007F6FEB" w:rsidRDefault="007F6FEB" w14:paraId="6FFEFF62" w14:textId="59F187C5">
            <w:pPr>
              <w:spacing w:before="60" w:after="60"/>
              <w:jc w:val="center"/>
              <w:rPr>
                <w:color w:val="000000"/>
              </w:rPr>
            </w:pPr>
            <w:r>
              <w:rPr>
                <w:color w:val="000000"/>
              </w:rPr>
              <w:t>2024</w:t>
            </w:r>
          </w:p>
        </w:tc>
        <w:tc>
          <w:tcPr>
            <w:tcW w:w="835" w:type="dxa"/>
            <w:gridSpan w:val="2"/>
          </w:tcPr>
          <w:p w:rsidRPr="007F620E" w:rsidR="007F6FEB" w:rsidP="007F6FEB" w:rsidRDefault="00A84A43" w14:paraId="24984638" w14:textId="42B3A786">
            <w:pPr>
              <w:spacing w:before="60" w:after="60"/>
              <w:jc w:val="center"/>
              <w:rPr>
                <w:color w:val="000000"/>
              </w:rPr>
            </w:pPr>
            <w:r>
              <w:rPr>
                <w:color w:val="000000"/>
              </w:rPr>
              <w:t>4.7</w:t>
            </w:r>
          </w:p>
        </w:tc>
        <w:tc>
          <w:tcPr>
            <w:tcW w:w="1080" w:type="dxa"/>
          </w:tcPr>
          <w:p w:rsidRPr="007F620E" w:rsidR="007F6FEB" w:rsidP="006069B5" w:rsidRDefault="0059268F" w14:paraId="00CA9050" w14:textId="1D05A550">
            <w:pPr>
              <w:spacing w:before="60" w:after="60"/>
              <w:jc w:val="center"/>
              <w:rPr>
                <w:color w:val="000000"/>
              </w:rPr>
            </w:pPr>
            <w:r>
              <w:rPr>
                <w:color w:val="000000"/>
              </w:rPr>
              <w:t>$ 290</w:t>
            </w:r>
          </w:p>
        </w:tc>
        <w:tc>
          <w:tcPr>
            <w:tcW w:w="1620" w:type="dxa"/>
            <w:gridSpan w:val="2"/>
            <w:tcBorders>
              <w:right w:val="single" w:color="auto" w:sz="4" w:space="0"/>
            </w:tcBorders>
          </w:tcPr>
          <w:p w:rsidRPr="007F620E" w:rsidR="007F6FEB" w:rsidP="007F6FEB" w:rsidRDefault="00115117" w14:paraId="760F08DA" w14:textId="2CECF2B1">
            <w:pPr>
              <w:spacing w:before="60" w:after="60"/>
              <w:rPr>
                <w:color w:val="000000"/>
              </w:rPr>
            </w:pPr>
            <w:r>
              <w:rPr>
                <w:color w:val="000000"/>
              </w:rPr>
              <w:t>See below</w:t>
            </w:r>
            <w:r w:rsidR="00FE32C6">
              <w:rPr>
                <w:color w:val="000000"/>
              </w:rPr>
              <w:t xml:space="preserve"> </w:t>
            </w:r>
          </w:p>
        </w:tc>
        <w:tc>
          <w:tcPr>
            <w:tcW w:w="1333" w:type="dxa"/>
            <w:gridSpan w:val="2"/>
            <w:tcBorders>
              <w:top w:val="single" w:color="auto" w:sz="4" w:space="0"/>
              <w:left w:val="single" w:color="auto" w:sz="4" w:space="0"/>
              <w:bottom w:val="single" w:color="auto" w:sz="4" w:space="0"/>
              <w:right w:val="single" w:color="auto" w:sz="24" w:space="0"/>
            </w:tcBorders>
          </w:tcPr>
          <w:p w:rsidRPr="007F620E" w:rsidR="007F6FEB" w:rsidP="007F6FEB" w:rsidRDefault="00EF1AF6" w14:paraId="39D39174" w14:textId="206C13ED">
            <w:pPr>
              <w:spacing w:before="60" w:after="60"/>
              <w:jc w:val="right"/>
              <w:rPr>
                <w:color w:val="000000"/>
              </w:rPr>
            </w:pPr>
            <w:r>
              <w:rPr>
                <w:color w:val="000000"/>
              </w:rPr>
              <w:t>$ 1,363.00</w:t>
            </w:r>
          </w:p>
        </w:tc>
        <w:tc>
          <w:tcPr>
            <w:tcW w:w="955" w:type="dxa"/>
            <w:tcBorders>
              <w:left w:val="single" w:color="auto" w:sz="4" w:space="0"/>
            </w:tcBorders>
          </w:tcPr>
          <w:p w:rsidRPr="007F620E" w:rsidR="007F6FEB" w:rsidP="007F6FEB" w:rsidRDefault="009A13D9" w14:paraId="047FD0B5" w14:textId="45C09622">
            <w:pPr>
              <w:spacing w:before="60" w:after="60"/>
              <w:jc w:val="center"/>
              <w:rPr>
                <w:color w:val="000000"/>
              </w:rPr>
            </w:pPr>
            <w:r>
              <w:rPr>
                <w:color w:val="000000"/>
              </w:rPr>
              <w:t>4.20 [3]</w:t>
            </w:r>
          </w:p>
        </w:tc>
        <w:tc>
          <w:tcPr>
            <w:tcW w:w="1146" w:type="dxa"/>
          </w:tcPr>
          <w:p w:rsidRPr="007F620E" w:rsidR="007F6FEB" w:rsidP="007F6FEB" w:rsidRDefault="00B86F89" w14:paraId="367660C2" w14:textId="72D48479">
            <w:pPr>
              <w:spacing w:before="60" w:after="60"/>
              <w:jc w:val="right"/>
              <w:rPr>
                <w:color w:val="000000"/>
              </w:rPr>
            </w:pPr>
            <w:r>
              <w:rPr>
                <w:color w:val="000000"/>
              </w:rPr>
              <w:t>$290.00</w:t>
            </w:r>
          </w:p>
        </w:tc>
        <w:tc>
          <w:tcPr>
            <w:tcW w:w="1881" w:type="dxa"/>
          </w:tcPr>
          <w:p w:rsidRPr="007F620E" w:rsidR="007F6FEB" w:rsidP="007F6FEB" w:rsidRDefault="00CE65E3" w14:paraId="766AC45F" w14:textId="7CAFB803">
            <w:pPr>
              <w:spacing w:before="60" w:after="60"/>
              <w:jc w:val="right"/>
              <w:rPr>
                <w:color w:val="000000"/>
              </w:rPr>
            </w:pPr>
            <w:r>
              <w:rPr>
                <w:color w:val="000000"/>
              </w:rPr>
              <w:t>$1,218.00</w:t>
            </w:r>
          </w:p>
        </w:tc>
      </w:tr>
      <w:tr w:rsidRPr="007F620E" w:rsidR="007F6FEB" w:rsidTr="002830E5" w14:paraId="4E698889" w14:textId="77777777">
        <w:trPr>
          <w:jc w:val="center"/>
        </w:trPr>
        <w:tc>
          <w:tcPr>
            <w:tcW w:w="1489" w:type="dxa"/>
          </w:tcPr>
          <w:p w:rsidRPr="007F620E" w:rsidR="007F6FEB" w:rsidP="007F6FEB" w:rsidRDefault="007F6FEB" w14:paraId="04CDED11" w14:textId="340CCB2C">
            <w:pPr>
              <w:spacing w:before="60" w:after="60"/>
              <w:rPr>
                <w:color w:val="000000"/>
              </w:rPr>
            </w:pPr>
            <w:r>
              <w:rPr>
                <w:color w:val="000000"/>
              </w:rPr>
              <w:t>Kate Woodford</w:t>
            </w:r>
          </w:p>
        </w:tc>
        <w:tc>
          <w:tcPr>
            <w:tcW w:w="821" w:type="dxa"/>
          </w:tcPr>
          <w:p w:rsidRPr="007F620E" w:rsidR="007F6FEB" w:rsidP="007F6FEB" w:rsidRDefault="007F6FEB" w14:paraId="6B0C4BC3" w14:textId="37A5AE9E">
            <w:pPr>
              <w:spacing w:before="60" w:after="60"/>
              <w:jc w:val="center"/>
              <w:rPr>
                <w:color w:val="000000"/>
              </w:rPr>
            </w:pPr>
            <w:r>
              <w:rPr>
                <w:color w:val="000000"/>
              </w:rPr>
              <w:t>2025</w:t>
            </w:r>
          </w:p>
        </w:tc>
        <w:tc>
          <w:tcPr>
            <w:tcW w:w="835" w:type="dxa"/>
            <w:gridSpan w:val="2"/>
          </w:tcPr>
          <w:p w:rsidRPr="007F620E" w:rsidR="007F6FEB" w:rsidP="007F6FEB" w:rsidRDefault="00C324F5" w14:paraId="51C36695" w14:textId="5863B8DC">
            <w:pPr>
              <w:spacing w:before="60" w:after="60"/>
              <w:jc w:val="center"/>
              <w:rPr>
                <w:color w:val="000000"/>
              </w:rPr>
            </w:pPr>
            <w:r>
              <w:rPr>
                <w:color w:val="000000"/>
              </w:rPr>
              <w:t>6.7</w:t>
            </w:r>
          </w:p>
        </w:tc>
        <w:tc>
          <w:tcPr>
            <w:tcW w:w="1080" w:type="dxa"/>
          </w:tcPr>
          <w:p w:rsidRPr="007F620E" w:rsidR="007F6FEB" w:rsidP="006069B5" w:rsidRDefault="0059268F" w14:paraId="50434DF3" w14:textId="6BBCB6CF">
            <w:pPr>
              <w:spacing w:before="60" w:after="60"/>
              <w:jc w:val="center"/>
              <w:rPr>
                <w:color w:val="000000"/>
              </w:rPr>
            </w:pPr>
            <w:r>
              <w:rPr>
                <w:color w:val="000000"/>
              </w:rPr>
              <w:t>$ 380</w:t>
            </w:r>
          </w:p>
        </w:tc>
        <w:tc>
          <w:tcPr>
            <w:tcW w:w="1620" w:type="dxa"/>
            <w:gridSpan w:val="2"/>
            <w:tcBorders>
              <w:right w:val="single" w:color="auto" w:sz="4" w:space="0"/>
            </w:tcBorders>
          </w:tcPr>
          <w:p w:rsidRPr="007F620E" w:rsidR="007F6FEB" w:rsidP="007F6FEB" w:rsidRDefault="00115117" w14:paraId="41124BBA" w14:textId="091DA7AC">
            <w:pPr>
              <w:spacing w:before="60" w:after="60"/>
              <w:rPr>
                <w:color w:val="000000"/>
              </w:rPr>
            </w:pPr>
            <w:r>
              <w:rPr>
                <w:color w:val="000000"/>
              </w:rPr>
              <w:t>See below</w:t>
            </w:r>
            <w:r w:rsidR="00FE32C6">
              <w:rPr>
                <w:color w:val="000000"/>
              </w:rPr>
              <w:t xml:space="preserve"> </w:t>
            </w:r>
          </w:p>
        </w:tc>
        <w:tc>
          <w:tcPr>
            <w:tcW w:w="1333" w:type="dxa"/>
            <w:gridSpan w:val="2"/>
            <w:tcBorders>
              <w:top w:val="single" w:color="auto" w:sz="4" w:space="0"/>
              <w:left w:val="single" w:color="auto" w:sz="4" w:space="0"/>
              <w:bottom w:val="single" w:color="auto" w:sz="4" w:space="0"/>
              <w:right w:val="single" w:color="auto" w:sz="24" w:space="0"/>
            </w:tcBorders>
          </w:tcPr>
          <w:p w:rsidRPr="007F620E" w:rsidR="007F6FEB" w:rsidP="007F6FEB" w:rsidRDefault="00C324F5" w14:paraId="75F00059" w14:textId="4750AE86">
            <w:pPr>
              <w:spacing w:before="60" w:after="60"/>
              <w:jc w:val="right"/>
              <w:rPr>
                <w:color w:val="000000"/>
              </w:rPr>
            </w:pPr>
            <w:r>
              <w:rPr>
                <w:color w:val="000000"/>
              </w:rPr>
              <w:t>$ 2,546.00</w:t>
            </w:r>
          </w:p>
        </w:tc>
        <w:tc>
          <w:tcPr>
            <w:tcW w:w="955" w:type="dxa"/>
            <w:tcBorders>
              <w:left w:val="single" w:color="auto" w:sz="4" w:space="0"/>
            </w:tcBorders>
          </w:tcPr>
          <w:p w:rsidRPr="007F620E" w:rsidR="007F6FEB" w:rsidP="007F6FEB" w:rsidRDefault="00ED471E" w14:paraId="134A581C" w14:textId="0F72A8D6">
            <w:pPr>
              <w:spacing w:before="60" w:after="60"/>
              <w:jc w:val="center"/>
              <w:rPr>
                <w:color w:val="000000"/>
              </w:rPr>
            </w:pPr>
            <w:r>
              <w:rPr>
                <w:color w:val="000000"/>
              </w:rPr>
              <w:t>5.85 [3]</w:t>
            </w:r>
          </w:p>
        </w:tc>
        <w:tc>
          <w:tcPr>
            <w:tcW w:w="1146" w:type="dxa"/>
          </w:tcPr>
          <w:p w:rsidRPr="007F620E" w:rsidR="007F6FEB" w:rsidP="007F6FEB" w:rsidRDefault="00374E7B" w14:paraId="2622F4BA" w14:textId="119CA1B3">
            <w:pPr>
              <w:spacing w:before="60" w:after="60"/>
              <w:jc w:val="right"/>
              <w:rPr>
                <w:color w:val="000000"/>
              </w:rPr>
            </w:pPr>
            <w:r>
              <w:rPr>
                <w:color w:val="000000"/>
              </w:rPr>
              <w:t>$</w:t>
            </w:r>
            <w:r w:rsidR="00E931BC">
              <w:rPr>
                <w:color w:val="000000"/>
              </w:rPr>
              <w:t>300</w:t>
            </w:r>
            <w:r>
              <w:rPr>
                <w:color w:val="000000"/>
              </w:rPr>
              <w:t xml:space="preserve">.00 </w:t>
            </w:r>
            <w:r w:rsidR="00042E34">
              <w:rPr>
                <w:color w:val="000000"/>
              </w:rPr>
              <w:t>[1]</w:t>
            </w:r>
          </w:p>
        </w:tc>
        <w:tc>
          <w:tcPr>
            <w:tcW w:w="1881" w:type="dxa"/>
          </w:tcPr>
          <w:p w:rsidRPr="007F620E" w:rsidR="007F6FEB" w:rsidP="007F6FEB" w:rsidRDefault="00CE65E3" w14:paraId="26135325" w14:textId="7B131559">
            <w:pPr>
              <w:spacing w:before="60" w:after="60"/>
              <w:jc w:val="right"/>
              <w:rPr>
                <w:color w:val="000000"/>
              </w:rPr>
            </w:pPr>
            <w:r>
              <w:rPr>
                <w:color w:val="000000"/>
              </w:rPr>
              <w:t>$1,</w:t>
            </w:r>
            <w:r w:rsidR="001931D2">
              <w:rPr>
                <w:color w:val="000000"/>
              </w:rPr>
              <w:t>755.00</w:t>
            </w:r>
          </w:p>
        </w:tc>
      </w:tr>
      <w:tr w:rsidRPr="007F620E" w:rsidR="007F6FEB" w:rsidTr="00EC6387" w14:paraId="1B237C11" w14:textId="77777777">
        <w:trPr>
          <w:jc w:val="center"/>
        </w:trPr>
        <w:tc>
          <w:tcPr>
            <w:tcW w:w="7178" w:type="dxa"/>
            <w:gridSpan w:val="9"/>
            <w:tcBorders>
              <w:bottom w:val="single" w:color="auto" w:sz="4" w:space="0"/>
              <w:right w:val="single" w:color="auto" w:sz="24" w:space="0"/>
            </w:tcBorders>
            <w:vAlign w:val="bottom"/>
          </w:tcPr>
          <w:p w:rsidRPr="00374FD1" w:rsidR="007F6FEB" w:rsidP="007F6FEB" w:rsidRDefault="007F6FEB" w14:paraId="2ECB6744" w14:textId="62A68576">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sidR="00F305E6">
              <w:rPr>
                <w:b/>
                <w:i/>
                <w:color w:val="000000"/>
              </w:rPr>
              <w:t xml:space="preserve"> 13,</w:t>
            </w:r>
            <w:r w:rsidR="00E977D2">
              <w:rPr>
                <w:b/>
                <w:i/>
                <w:color w:val="000000"/>
              </w:rPr>
              <w:t>659.50</w:t>
            </w:r>
          </w:p>
        </w:tc>
        <w:tc>
          <w:tcPr>
            <w:tcW w:w="3982" w:type="dxa"/>
            <w:gridSpan w:val="3"/>
            <w:tcBorders>
              <w:left w:val="single" w:color="auto" w:sz="24" w:space="0"/>
              <w:bottom w:val="single" w:color="auto" w:sz="4" w:space="0"/>
            </w:tcBorders>
            <w:vAlign w:val="bottom"/>
          </w:tcPr>
          <w:p w:rsidRPr="007F620E" w:rsidR="007F6FEB" w:rsidP="007F6FEB" w:rsidRDefault="007F6FEB" w14:paraId="4C4556E5" w14:textId="670B29CE">
            <w:pPr>
              <w:tabs>
                <w:tab w:val="left" w:pos="957"/>
              </w:tabs>
              <w:spacing w:before="60" w:after="60"/>
              <w:ind w:right="162"/>
              <w:jc w:val="right"/>
              <w:rPr>
                <w:color w:val="000000"/>
              </w:rPr>
            </w:pPr>
            <w:r w:rsidRPr="007F620E">
              <w:rPr>
                <w:b/>
                <w:i/>
                <w:color w:val="000000"/>
              </w:rPr>
              <w:t xml:space="preserve">Subtotal: </w:t>
            </w:r>
            <w:r w:rsidRPr="00A41019">
              <w:rPr>
                <w:b/>
                <w:i/>
                <w:iCs/>
                <w:color w:val="000000"/>
              </w:rPr>
              <w:t>$</w:t>
            </w:r>
            <w:r w:rsidR="001931D2">
              <w:rPr>
                <w:b/>
                <w:i/>
                <w:iCs/>
                <w:color w:val="000000"/>
              </w:rPr>
              <w:t>9,877.50</w:t>
            </w:r>
          </w:p>
        </w:tc>
      </w:tr>
      <w:tr w:rsidRPr="007F620E" w:rsidR="007F6FEB" w:rsidTr="00EC6387" w14:paraId="4F8FAF05"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7F620E" w:rsidR="007F6FEB" w:rsidP="007F6FEB" w:rsidRDefault="007F6FEB" w14:paraId="41FE304C" w14:textId="77777777">
            <w:pPr>
              <w:keepNext/>
              <w:spacing w:before="60" w:after="60"/>
              <w:jc w:val="center"/>
              <w:rPr>
                <w:color w:val="000000"/>
              </w:rPr>
            </w:pPr>
            <w:r w:rsidRPr="007F620E">
              <w:rPr>
                <w:b/>
                <w:color w:val="000000"/>
              </w:rPr>
              <w:t xml:space="preserve">INTERVENOR COMPENSATION CLAIM </w:t>
            </w:r>
            <w:proofErr w:type="gramStart"/>
            <w:r w:rsidRPr="007F620E">
              <w:rPr>
                <w:b/>
                <w:color w:val="000000"/>
              </w:rPr>
              <w:t xml:space="preserve">PREPARATION </w:t>
            </w:r>
            <w:r w:rsidRPr="007F620E">
              <w:rPr>
                <w:b/>
                <w:smallCaps/>
                <w:color w:val="000000"/>
              </w:rPr>
              <w:t xml:space="preserve"> *</w:t>
            </w:r>
            <w:proofErr w:type="gramEnd"/>
            <w:r w:rsidRPr="007F620E">
              <w:rPr>
                <w:b/>
                <w:smallCaps/>
                <w:color w:val="000000"/>
              </w:rPr>
              <w:t>*</w:t>
            </w:r>
          </w:p>
        </w:tc>
      </w:tr>
      <w:tr w:rsidRPr="00260518" w:rsidR="007F6FEB" w:rsidTr="004852BA" w14:paraId="48B3E535" w14:textId="77777777">
        <w:trPr>
          <w:jc w:val="center"/>
        </w:trPr>
        <w:tc>
          <w:tcPr>
            <w:tcW w:w="1489" w:type="dxa"/>
            <w:tcBorders>
              <w:top w:val="single" w:color="auto" w:sz="4" w:space="0"/>
              <w:bottom w:val="single" w:color="auto" w:sz="4" w:space="0"/>
            </w:tcBorders>
            <w:vAlign w:val="bottom"/>
          </w:tcPr>
          <w:p w:rsidRPr="00260518" w:rsidR="007F6FEB" w:rsidP="007F6FEB" w:rsidRDefault="007F6FEB" w14:paraId="563A43BB" w14:textId="77777777">
            <w:pPr>
              <w:keepNext/>
              <w:spacing w:before="60" w:after="60"/>
              <w:jc w:val="center"/>
              <w:rPr>
                <w:b/>
                <w:color w:val="000000"/>
                <w:sz w:val="22"/>
                <w:szCs w:val="22"/>
              </w:rPr>
            </w:pPr>
            <w:r w:rsidRPr="00260518">
              <w:rPr>
                <w:b/>
                <w:color w:val="000000"/>
                <w:sz w:val="22"/>
                <w:szCs w:val="22"/>
              </w:rPr>
              <w:t>Item</w:t>
            </w:r>
          </w:p>
        </w:tc>
        <w:tc>
          <w:tcPr>
            <w:tcW w:w="821" w:type="dxa"/>
            <w:tcBorders>
              <w:top w:val="single" w:color="auto" w:sz="4" w:space="0"/>
              <w:bottom w:val="single" w:color="auto" w:sz="4" w:space="0"/>
            </w:tcBorders>
            <w:vAlign w:val="bottom"/>
          </w:tcPr>
          <w:p w:rsidRPr="00260518" w:rsidR="007F6FEB" w:rsidP="007F6FEB" w:rsidRDefault="007F6FEB" w14:paraId="144552E0" w14:textId="77777777">
            <w:pPr>
              <w:keepNext/>
              <w:spacing w:before="60" w:after="60"/>
              <w:jc w:val="center"/>
              <w:rPr>
                <w:b/>
                <w:color w:val="000000"/>
                <w:sz w:val="22"/>
                <w:szCs w:val="22"/>
              </w:rPr>
            </w:pPr>
            <w:r w:rsidRPr="00260518">
              <w:rPr>
                <w:b/>
                <w:color w:val="000000"/>
                <w:sz w:val="22"/>
                <w:szCs w:val="22"/>
              </w:rPr>
              <w:t>Year</w:t>
            </w:r>
          </w:p>
        </w:tc>
        <w:tc>
          <w:tcPr>
            <w:tcW w:w="835" w:type="dxa"/>
            <w:gridSpan w:val="2"/>
            <w:tcBorders>
              <w:top w:val="single" w:color="auto" w:sz="4" w:space="0"/>
              <w:bottom w:val="single" w:color="auto" w:sz="4" w:space="0"/>
            </w:tcBorders>
            <w:vAlign w:val="bottom"/>
          </w:tcPr>
          <w:p w:rsidRPr="00260518" w:rsidR="007F6FEB" w:rsidP="007F6FEB" w:rsidRDefault="007F6FEB" w14:paraId="42890B1B" w14:textId="77777777">
            <w:pPr>
              <w:keepNext/>
              <w:spacing w:before="60" w:after="60"/>
              <w:jc w:val="center"/>
              <w:rPr>
                <w:b/>
                <w:color w:val="000000"/>
                <w:sz w:val="22"/>
                <w:szCs w:val="22"/>
              </w:rPr>
            </w:pPr>
            <w:r w:rsidRPr="00260518">
              <w:rPr>
                <w:b/>
                <w:color w:val="000000"/>
                <w:sz w:val="22"/>
                <w:szCs w:val="22"/>
              </w:rPr>
              <w:t>Hours</w:t>
            </w:r>
          </w:p>
        </w:tc>
        <w:tc>
          <w:tcPr>
            <w:tcW w:w="1080" w:type="dxa"/>
            <w:tcBorders>
              <w:top w:val="single" w:color="auto" w:sz="4" w:space="0"/>
              <w:bottom w:val="single" w:color="auto" w:sz="4" w:space="0"/>
            </w:tcBorders>
            <w:vAlign w:val="bottom"/>
          </w:tcPr>
          <w:p w:rsidRPr="00260518" w:rsidR="007F6FEB" w:rsidP="007F6FEB" w:rsidRDefault="007F6FEB" w14:paraId="1E7BD956" w14:textId="243077B9">
            <w:pPr>
              <w:keepNext/>
              <w:spacing w:before="60" w:after="60"/>
              <w:jc w:val="center"/>
              <w:rPr>
                <w:b/>
                <w:color w:val="000000"/>
                <w:sz w:val="22"/>
                <w:szCs w:val="22"/>
              </w:rPr>
            </w:pPr>
            <w:r w:rsidRPr="00260518">
              <w:rPr>
                <w:b/>
                <w:color w:val="000000"/>
                <w:sz w:val="22"/>
                <w:szCs w:val="22"/>
              </w:rPr>
              <w:t>Rate $</w:t>
            </w:r>
          </w:p>
        </w:tc>
        <w:tc>
          <w:tcPr>
            <w:tcW w:w="1620" w:type="dxa"/>
            <w:gridSpan w:val="2"/>
            <w:tcBorders>
              <w:top w:val="single" w:color="auto" w:sz="4" w:space="0"/>
              <w:bottom w:val="single" w:color="auto" w:sz="4" w:space="0"/>
              <w:right w:val="single" w:color="auto" w:sz="4" w:space="0"/>
            </w:tcBorders>
            <w:vAlign w:val="bottom"/>
          </w:tcPr>
          <w:p w:rsidRPr="00260518" w:rsidR="007F6FEB" w:rsidP="007F6FEB" w:rsidRDefault="007F6FEB" w14:paraId="104D7982" w14:textId="77777777">
            <w:pPr>
              <w:keepNext/>
              <w:spacing w:before="60" w:after="60"/>
              <w:jc w:val="center"/>
              <w:rPr>
                <w:b/>
                <w:color w:val="000000"/>
                <w:sz w:val="22"/>
                <w:szCs w:val="22"/>
              </w:rPr>
            </w:pPr>
            <w:r w:rsidRPr="00260518">
              <w:rPr>
                <w:b/>
                <w:color w:val="000000"/>
                <w:sz w:val="22"/>
                <w:szCs w:val="22"/>
              </w:rPr>
              <w:t>Basis for Rate*</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260518" w:rsidR="007F6FEB" w:rsidP="007F6FEB" w:rsidRDefault="007F6FEB" w14:paraId="073B2BB9" w14:textId="77777777">
            <w:pPr>
              <w:keepNext/>
              <w:spacing w:before="60" w:after="60"/>
              <w:jc w:val="center"/>
              <w:rPr>
                <w:b/>
                <w:color w:val="000000"/>
                <w:sz w:val="22"/>
                <w:szCs w:val="22"/>
              </w:rPr>
            </w:pPr>
            <w:r w:rsidRPr="00260518">
              <w:rPr>
                <w:b/>
                <w:color w:val="000000"/>
                <w:sz w:val="22"/>
                <w:szCs w:val="22"/>
              </w:rPr>
              <w:t>Total $</w:t>
            </w:r>
          </w:p>
        </w:tc>
        <w:tc>
          <w:tcPr>
            <w:tcW w:w="955" w:type="dxa"/>
            <w:tcBorders>
              <w:top w:val="single" w:color="auto" w:sz="4" w:space="0"/>
              <w:left w:val="single" w:color="auto" w:sz="4" w:space="0"/>
            </w:tcBorders>
            <w:vAlign w:val="bottom"/>
          </w:tcPr>
          <w:p w:rsidRPr="00260518" w:rsidR="007F6FEB" w:rsidP="007F6FEB" w:rsidRDefault="007F6FEB" w14:paraId="0409143B" w14:textId="77777777">
            <w:pPr>
              <w:keepNext/>
              <w:spacing w:before="60" w:after="60"/>
              <w:jc w:val="center"/>
              <w:rPr>
                <w:b/>
                <w:color w:val="000000"/>
                <w:sz w:val="22"/>
                <w:szCs w:val="22"/>
              </w:rPr>
            </w:pPr>
            <w:r w:rsidRPr="00260518">
              <w:rPr>
                <w:b/>
                <w:color w:val="000000"/>
                <w:sz w:val="22"/>
                <w:szCs w:val="22"/>
              </w:rPr>
              <w:t>Hours</w:t>
            </w:r>
          </w:p>
        </w:tc>
        <w:tc>
          <w:tcPr>
            <w:tcW w:w="1146" w:type="dxa"/>
            <w:tcBorders>
              <w:top w:val="single" w:color="auto" w:sz="4" w:space="0"/>
            </w:tcBorders>
            <w:vAlign w:val="bottom"/>
          </w:tcPr>
          <w:p w:rsidRPr="00260518" w:rsidR="007F6FEB" w:rsidP="007F6FEB" w:rsidRDefault="007F6FEB" w14:paraId="6B59BB80" w14:textId="2C791D8E">
            <w:pPr>
              <w:keepNext/>
              <w:spacing w:before="60" w:after="60"/>
              <w:jc w:val="center"/>
              <w:rPr>
                <w:b/>
                <w:color w:val="000000"/>
                <w:sz w:val="22"/>
                <w:szCs w:val="22"/>
              </w:rPr>
            </w:pPr>
            <w:r w:rsidRPr="00260518">
              <w:rPr>
                <w:b/>
                <w:color w:val="000000"/>
                <w:sz w:val="22"/>
                <w:szCs w:val="22"/>
              </w:rPr>
              <w:t xml:space="preserve">Rate </w:t>
            </w:r>
            <w:r>
              <w:rPr>
                <w:b/>
                <w:color w:val="000000"/>
                <w:sz w:val="22"/>
                <w:szCs w:val="22"/>
              </w:rPr>
              <w:t>$</w:t>
            </w:r>
          </w:p>
        </w:tc>
        <w:tc>
          <w:tcPr>
            <w:tcW w:w="1881" w:type="dxa"/>
            <w:tcBorders>
              <w:top w:val="single" w:color="auto" w:sz="4" w:space="0"/>
            </w:tcBorders>
            <w:vAlign w:val="bottom"/>
          </w:tcPr>
          <w:p w:rsidRPr="00260518" w:rsidR="007F6FEB" w:rsidP="007F6FEB" w:rsidRDefault="007F6FEB" w14:paraId="6C7B13CF" w14:textId="77777777">
            <w:pPr>
              <w:keepNext/>
              <w:spacing w:before="60" w:after="60"/>
              <w:jc w:val="center"/>
              <w:rPr>
                <w:b/>
                <w:color w:val="000000"/>
                <w:sz w:val="22"/>
                <w:szCs w:val="22"/>
              </w:rPr>
            </w:pPr>
            <w:r w:rsidRPr="00260518">
              <w:rPr>
                <w:b/>
                <w:color w:val="000000"/>
                <w:sz w:val="22"/>
                <w:szCs w:val="22"/>
              </w:rPr>
              <w:t>Total $</w:t>
            </w:r>
          </w:p>
        </w:tc>
      </w:tr>
      <w:tr w:rsidRPr="007F620E" w:rsidR="007F6FEB" w:rsidTr="001A2FAB" w14:paraId="25086E67" w14:textId="77777777">
        <w:trPr>
          <w:jc w:val="center"/>
        </w:trPr>
        <w:tc>
          <w:tcPr>
            <w:tcW w:w="1489" w:type="dxa"/>
          </w:tcPr>
          <w:p w:rsidRPr="007F620E" w:rsidR="007F6FEB" w:rsidP="007F6FEB" w:rsidRDefault="00FF4A89" w14:paraId="386D0995" w14:textId="2CE50B61">
            <w:pPr>
              <w:spacing w:before="60" w:after="60"/>
              <w:rPr>
                <w:color w:val="000000"/>
              </w:rPr>
            </w:pPr>
            <w:r>
              <w:rPr>
                <w:color w:val="000000"/>
              </w:rPr>
              <w:t>Meli</w:t>
            </w:r>
            <w:r w:rsidR="002E0F71">
              <w:rPr>
                <w:color w:val="000000"/>
              </w:rPr>
              <w:t xml:space="preserve">ssa W. </w:t>
            </w:r>
            <w:proofErr w:type="spellStart"/>
            <w:r w:rsidR="002E0F71">
              <w:rPr>
                <w:color w:val="000000"/>
              </w:rPr>
              <w:t>Kasnitz</w:t>
            </w:r>
            <w:proofErr w:type="spellEnd"/>
            <w:r w:rsidR="002E0F71">
              <w:rPr>
                <w:color w:val="000000"/>
              </w:rPr>
              <w:t xml:space="preserve"> </w:t>
            </w:r>
          </w:p>
        </w:tc>
        <w:tc>
          <w:tcPr>
            <w:tcW w:w="821" w:type="dxa"/>
          </w:tcPr>
          <w:p w:rsidRPr="007F620E" w:rsidR="007F6FEB" w:rsidP="007F6FEB" w:rsidRDefault="002E0F71" w14:paraId="4A155F1D" w14:textId="6FABDD75">
            <w:pPr>
              <w:spacing w:before="60" w:after="60"/>
              <w:jc w:val="center"/>
              <w:rPr>
                <w:color w:val="000000"/>
              </w:rPr>
            </w:pPr>
            <w:r>
              <w:rPr>
                <w:color w:val="000000"/>
              </w:rPr>
              <w:t xml:space="preserve">2023 </w:t>
            </w:r>
          </w:p>
        </w:tc>
        <w:tc>
          <w:tcPr>
            <w:tcW w:w="835" w:type="dxa"/>
            <w:gridSpan w:val="2"/>
          </w:tcPr>
          <w:p w:rsidRPr="007F620E" w:rsidR="007F6FEB" w:rsidP="007F6FEB" w:rsidRDefault="006D50EC" w14:paraId="30EEA80A" w14:textId="34CCA4D0">
            <w:pPr>
              <w:spacing w:before="60" w:after="60"/>
              <w:jc w:val="center"/>
              <w:rPr>
                <w:color w:val="000000"/>
              </w:rPr>
            </w:pPr>
            <w:r>
              <w:rPr>
                <w:color w:val="000000"/>
              </w:rPr>
              <w:t>1</w:t>
            </w:r>
          </w:p>
        </w:tc>
        <w:tc>
          <w:tcPr>
            <w:tcW w:w="1080" w:type="dxa"/>
          </w:tcPr>
          <w:p w:rsidRPr="007F620E" w:rsidR="007F6FEB" w:rsidP="007F6FEB" w:rsidRDefault="004852BA" w14:paraId="4EB14C91" w14:textId="0F31B733">
            <w:pPr>
              <w:spacing w:before="60" w:after="60"/>
              <w:rPr>
                <w:color w:val="000000"/>
              </w:rPr>
            </w:pPr>
            <w:r>
              <w:rPr>
                <w:color w:val="000000"/>
              </w:rPr>
              <w:t>$ 357.50</w:t>
            </w:r>
          </w:p>
        </w:tc>
        <w:tc>
          <w:tcPr>
            <w:tcW w:w="1620" w:type="dxa"/>
            <w:gridSpan w:val="2"/>
            <w:tcBorders>
              <w:right w:val="single" w:color="auto" w:sz="4" w:space="0"/>
            </w:tcBorders>
          </w:tcPr>
          <w:p w:rsidRPr="007F620E" w:rsidR="007F6FEB" w:rsidP="007F6FEB" w:rsidRDefault="00CB4348" w14:paraId="02D334B7" w14:textId="72D9981E">
            <w:pPr>
              <w:spacing w:before="60" w:after="60"/>
              <w:rPr>
                <w:color w:val="000000"/>
              </w:rPr>
            </w:pPr>
            <w:r>
              <w:rPr>
                <w:color w:val="000000"/>
              </w:rPr>
              <w:t xml:space="preserve">½ 2023 awarded rate </w:t>
            </w:r>
          </w:p>
        </w:tc>
        <w:tc>
          <w:tcPr>
            <w:tcW w:w="1333" w:type="dxa"/>
            <w:gridSpan w:val="2"/>
            <w:tcBorders>
              <w:top w:val="single" w:color="auto" w:sz="4" w:space="0"/>
              <w:left w:val="single" w:color="auto" w:sz="4" w:space="0"/>
              <w:bottom w:val="single" w:color="auto" w:sz="4" w:space="0"/>
              <w:right w:val="single" w:color="auto" w:sz="24" w:space="0"/>
            </w:tcBorders>
          </w:tcPr>
          <w:p w:rsidRPr="007F620E" w:rsidR="007F6FEB" w:rsidP="007F6FEB" w:rsidRDefault="004852BA" w14:paraId="7B9A0261" w14:textId="27F06FEC">
            <w:pPr>
              <w:spacing w:before="60" w:after="60"/>
              <w:jc w:val="right"/>
              <w:rPr>
                <w:color w:val="000000"/>
              </w:rPr>
            </w:pPr>
            <w:r>
              <w:rPr>
                <w:color w:val="000000"/>
              </w:rPr>
              <w:t>$ 357.50</w:t>
            </w:r>
          </w:p>
        </w:tc>
        <w:tc>
          <w:tcPr>
            <w:tcW w:w="955" w:type="dxa"/>
            <w:tcBorders>
              <w:left w:val="single" w:color="auto" w:sz="4" w:space="0"/>
              <w:right w:val="single" w:color="auto" w:sz="4" w:space="0"/>
            </w:tcBorders>
          </w:tcPr>
          <w:p w:rsidRPr="007F620E" w:rsidR="007F6FEB" w:rsidP="007F6FEB" w:rsidRDefault="00CE65E3" w14:paraId="5E5A4264" w14:textId="2E3BF406">
            <w:pPr>
              <w:spacing w:before="60" w:after="60"/>
              <w:rPr>
                <w:color w:val="000000"/>
              </w:rPr>
            </w:pPr>
            <w:r>
              <w:rPr>
                <w:color w:val="000000"/>
              </w:rPr>
              <w:t>1.00</w:t>
            </w:r>
          </w:p>
        </w:tc>
        <w:tc>
          <w:tcPr>
            <w:tcW w:w="1146" w:type="dxa"/>
            <w:tcBorders>
              <w:left w:val="single" w:color="auto" w:sz="4" w:space="0"/>
            </w:tcBorders>
          </w:tcPr>
          <w:p w:rsidRPr="007F620E" w:rsidR="007F6FEB" w:rsidP="007F6FEB" w:rsidRDefault="005F27D5" w14:paraId="47B1F089" w14:textId="38B0E79B">
            <w:pPr>
              <w:spacing w:before="60" w:after="60"/>
              <w:jc w:val="right"/>
              <w:rPr>
                <w:color w:val="000000"/>
              </w:rPr>
            </w:pPr>
            <w:r>
              <w:rPr>
                <w:color w:val="000000"/>
              </w:rPr>
              <w:t>$357.50</w:t>
            </w:r>
          </w:p>
        </w:tc>
        <w:tc>
          <w:tcPr>
            <w:tcW w:w="1881" w:type="dxa"/>
          </w:tcPr>
          <w:p w:rsidRPr="007F620E" w:rsidR="007F6FEB" w:rsidP="007F6FEB" w:rsidRDefault="00CE65E3" w14:paraId="10659B6D" w14:textId="348A10AA">
            <w:pPr>
              <w:spacing w:before="60" w:after="60"/>
              <w:jc w:val="right"/>
              <w:rPr>
                <w:color w:val="000000"/>
              </w:rPr>
            </w:pPr>
            <w:r>
              <w:rPr>
                <w:color w:val="000000"/>
              </w:rPr>
              <w:t>$357.50</w:t>
            </w:r>
          </w:p>
        </w:tc>
      </w:tr>
      <w:tr w:rsidRPr="007F620E" w:rsidR="007F6FEB" w:rsidTr="001A2FAB" w14:paraId="7AB9EF54" w14:textId="77777777">
        <w:trPr>
          <w:jc w:val="center"/>
        </w:trPr>
        <w:tc>
          <w:tcPr>
            <w:tcW w:w="1489" w:type="dxa"/>
          </w:tcPr>
          <w:p w:rsidRPr="007F620E" w:rsidR="002E0F71" w:rsidP="007F6FEB" w:rsidRDefault="002E0F71" w14:paraId="4F803C09" w14:textId="22C4D9CF">
            <w:pPr>
              <w:spacing w:before="60" w:after="60"/>
              <w:rPr>
                <w:color w:val="000000"/>
              </w:rPr>
            </w:pPr>
            <w:r>
              <w:rPr>
                <w:color w:val="000000"/>
              </w:rPr>
              <w:lastRenderedPageBreak/>
              <w:t xml:space="preserve">Melissa W. </w:t>
            </w:r>
            <w:proofErr w:type="spellStart"/>
            <w:r>
              <w:rPr>
                <w:color w:val="000000"/>
              </w:rPr>
              <w:t>Kasnitz</w:t>
            </w:r>
            <w:proofErr w:type="spellEnd"/>
            <w:r>
              <w:rPr>
                <w:color w:val="000000"/>
              </w:rPr>
              <w:t xml:space="preserve"> </w:t>
            </w:r>
          </w:p>
        </w:tc>
        <w:tc>
          <w:tcPr>
            <w:tcW w:w="821" w:type="dxa"/>
          </w:tcPr>
          <w:p w:rsidRPr="007F620E" w:rsidR="007F6FEB" w:rsidP="007F6FEB" w:rsidRDefault="002E0F71" w14:paraId="058BFE37" w14:textId="626B37BF">
            <w:pPr>
              <w:spacing w:before="60" w:after="60"/>
              <w:jc w:val="center"/>
              <w:rPr>
                <w:color w:val="000000"/>
              </w:rPr>
            </w:pPr>
            <w:r>
              <w:rPr>
                <w:color w:val="000000"/>
              </w:rPr>
              <w:t xml:space="preserve">2025 </w:t>
            </w:r>
          </w:p>
        </w:tc>
        <w:tc>
          <w:tcPr>
            <w:tcW w:w="835" w:type="dxa"/>
            <w:gridSpan w:val="2"/>
          </w:tcPr>
          <w:p w:rsidRPr="007F620E" w:rsidR="007F6FEB" w:rsidP="007F6FEB" w:rsidRDefault="004D6163" w14:paraId="66A42865" w14:textId="69464515">
            <w:pPr>
              <w:spacing w:before="60" w:after="60"/>
              <w:jc w:val="center"/>
              <w:rPr>
                <w:color w:val="000000"/>
              </w:rPr>
            </w:pPr>
            <w:r>
              <w:rPr>
                <w:color w:val="000000"/>
              </w:rPr>
              <w:t>1.5</w:t>
            </w:r>
          </w:p>
        </w:tc>
        <w:tc>
          <w:tcPr>
            <w:tcW w:w="1080" w:type="dxa"/>
          </w:tcPr>
          <w:p w:rsidRPr="007F620E" w:rsidR="007F6FEB" w:rsidP="007F6FEB" w:rsidRDefault="00903745" w14:paraId="42AE8F2C" w14:textId="112E73AB">
            <w:pPr>
              <w:spacing w:before="60" w:after="60"/>
              <w:rPr>
                <w:color w:val="000000"/>
              </w:rPr>
            </w:pPr>
            <w:r>
              <w:rPr>
                <w:color w:val="000000"/>
              </w:rPr>
              <w:t>$</w:t>
            </w:r>
            <w:r w:rsidR="004D6163">
              <w:rPr>
                <w:color w:val="000000"/>
              </w:rPr>
              <w:t xml:space="preserve"> 377.50</w:t>
            </w:r>
          </w:p>
        </w:tc>
        <w:tc>
          <w:tcPr>
            <w:tcW w:w="1620" w:type="dxa"/>
            <w:gridSpan w:val="2"/>
            <w:tcBorders>
              <w:right w:val="single" w:color="auto" w:sz="4" w:space="0"/>
            </w:tcBorders>
          </w:tcPr>
          <w:p w:rsidRPr="007F620E" w:rsidR="007F6FEB" w:rsidP="007F6FEB" w:rsidRDefault="00C66E87" w14:paraId="3DB754B7" w14:textId="34677374">
            <w:pPr>
              <w:spacing w:before="60" w:after="60"/>
              <w:rPr>
                <w:color w:val="000000"/>
              </w:rPr>
            </w:pPr>
            <w:r>
              <w:t xml:space="preserve">½ 2025 </w:t>
            </w:r>
            <w:r w:rsidR="004D45A0">
              <w:t xml:space="preserve">awarded </w:t>
            </w:r>
            <w:r>
              <w:t xml:space="preserve">rate </w:t>
            </w:r>
          </w:p>
        </w:tc>
        <w:tc>
          <w:tcPr>
            <w:tcW w:w="1333" w:type="dxa"/>
            <w:gridSpan w:val="2"/>
            <w:tcBorders>
              <w:top w:val="single" w:color="auto" w:sz="4" w:space="0"/>
              <w:left w:val="single" w:color="auto" w:sz="4" w:space="0"/>
              <w:bottom w:val="single" w:color="auto" w:sz="4" w:space="0"/>
              <w:right w:val="single" w:color="auto" w:sz="24" w:space="0"/>
            </w:tcBorders>
          </w:tcPr>
          <w:p w:rsidRPr="007F620E" w:rsidR="007F6FEB" w:rsidP="007F6FEB" w:rsidRDefault="00EB4ACF" w14:paraId="3D39C021" w14:textId="0D5EA586">
            <w:pPr>
              <w:spacing w:before="60" w:after="60"/>
              <w:jc w:val="right"/>
              <w:rPr>
                <w:color w:val="000000"/>
              </w:rPr>
            </w:pPr>
            <w:r>
              <w:rPr>
                <w:color w:val="000000"/>
              </w:rPr>
              <w:t>$ 566.25</w:t>
            </w:r>
          </w:p>
        </w:tc>
        <w:tc>
          <w:tcPr>
            <w:tcW w:w="955" w:type="dxa"/>
            <w:tcBorders>
              <w:left w:val="single" w:color="auto" w:sz="4" w:space="0"/>
              <w:right w:val="single" w:color="auto" w:sz="4" w:space="0"/>
            </w:tcBorders>
          </w:tcPr>
          <w:p w:rsidRPr="007F620E" w:rsidR="007F6FEB" w:rsidP="007F6FEB" w:rsidRDefault="005B1356" w14:paraId="6B8C8F0C" w14:textId="5E4E0E04">
            <w:pPr>
              <w:spacing w:before="60" w:after="60"/>
              <w:rPr>
                <w:color w:val="000000"/>
              </w:rPr>
            </w:pPr>
            <w:r>
              <w:rPr>
                <w:color w:val="000000"/>
              </w:rPr>
              <w:t>0.75 [</w:t>
            </w:r>
            <w:r w:rsidR="005F4A01">
              <w:rPr>
                <w:color w:val="000000"/>
              </w:rPr>
              <w:t>5</w:t>
            </w:r>
            <w:r>
              <w:rPr>
                <w:color w:val="000000"/>
              </w:rPr>
              <w:t>]</w:t>
            </w:r>
          </w:p>
        </w:tc>
        <w:tc>
          <w:tcPr>
            <w:tcW w:w="1146" w:type="dxa"/>
            <w:tcBorders>
              <w:left w:val="single" w:color="auto" w:sz="4" w:space="0"/>
            </w:tcBorders>
          </w:tcPr>
          <w:p w:rsidRPr="007F620E" w:rsidR="007F6FEB" w:rsidP="007F6FEB" w:rsidRDefault="00375419" w14:paraId="0A58B021" w14:textId="79EA4815">
            <w:pPr>
              <w:spacing w:before="60" w:after="60"/>
              <w:jc w:val="right"/>
              <w:rPr>
                <w:color w:val="000000"/>
              </w:rPr>
            </w:pPr>
            <w:r>
              <w:rPr>
                <w:color w:val="000000"/>
              </w:rPr>
              <w:t>$377.50</w:t>
            </w:r>
          </w:p>
        </w:tc>
        <w:tc>
          <w:tcPr>
            <w:tcW w:w="1881" w:type="dxa"/>
          </w:tcPr>
          <w:p w:rsidRPr="007F620E" w:rsidR="007F6FEB" w:rsidP="007F6FEB" w:rsidRDefault="00A03A45" w14:paraId="0769A3B4" w14:textId="50149C50">
            <w:pPr>
              <w:spacing w:before="60" w:after="60"/>
              <w:jc w:val="right"/>
              <w:rPr>
                <w:color w:val="000000"/>
              </w:rPr>
            </w:pPr>
            <w:r>
              <w:rPr>
                <w:color w:val="000000"/>
              </w:rPr>
              <w:t>$</w:t>
            </w:r>
            <w:r w:rsidR="00441A17">
              <w:rPr>
                <w:color w:val="000000"/>
              </w:rPr>
              <w:t>283</w:t>
            </w:r>
            <w:r w:rsidR="00D85D17">
              <w:rPr>
                <w:color w:val="000000"/>
              </w:rPr>
              <w:t>.</w:t>
            </w:r>
            <w:r w:rsidR="00441A17">
              <w:rPr>
                <w:color w:val="000000"/>
              </w:rPr>
              <w:t>13</w:t>
            </w:r>
          </w:p>
        </w:tc>
      </w:tr>
      <w:tr w:rsidRPr="007F620E" w:rsidR="002E0F71" w:rsidTr="001A2FAB" w14:paraId="33FE1406" w14:textId="77777777">
        <w:trPr>
          <w:jc w:val="center"/>
        </w:trPr>
        <w:tc>
          <w:tcPr>
            <w:tcW w:w="1489" w:type="dxa"/>
          </w:tcPr>
          <w:p w:rsidR="002E0F71" w:rsidP="009E59F4" w:rsidRDefault="002E0F71" w14:paraId="1F0987EA" w14:textId="2D7E9520">
            <w:pPr>
              <w:keepNext/>
              <w:spacing w:before="60" w:after="60"/>
              <w:rPr>
                <w:color w:val="000000"/>
              </w:rPr>
            </w:pPr>
            <w:r>
              <w:rPr>
                <w:color w:val="000000"/>
              </w:rPr>
              <w:t xml:space="preserve">Rachel Sweetnam </w:t>
            </w:r>
          </w:p>
        </w:tc>
        <w:tc>
          <w:tcPr>
            <w:tcW w:w="821" w:type="dxa"/>
          </w:tcPr>
          <w:p w:rsidR="002E0F71" w:rsidP="009E59F4" w:rsidRDefault="002E0F71" w14:paraId="4BAFD5ED" w14:textId="365B681C">
            <w:pPr>
              <w:keepNext/>
              <w:spacing w:before="60" w:after="60"/>
              <w:jc w:val="center"/>
              <w:rPr>
                <w:color w:val="000000"/>
              </w:rPr>
            </w:pPr>
            <w:r>
              <w:rPr>
                <w:color w:val="000000"/>
              </w:rPr>
              <w:t xml:space="preserve">2025 </w:t>
            </w:r>
          </w:p>
        </w:tc>
        <w:tc>
          <w:tcPr>
            <w:tcW w:w="835" w:type="dxa"/>
            <w:gridSpan w:val="2"/>
          </w:tcPr>
          <w:p w:rsidRPr="007F620E" w:rsidR="002E0F71" w:rsidP="009E59F4" w:rsidRDefault="00215EEE" w14:paraId="33AECE99" w14:textId="39929CA6">
            <w:pPr>
              <w:keepNext/>
              <w:spacing w:before="60" w:after="60"/>
              <w:jc w:val="center"/>
              <w:rPr>
                <w:color w:val="000000"/>
              </w:rPr>
            </w:pPr>
            <w:r>
              <w:rPr>
                <w:color w:val="000000"/>
              </w:rPr>
              <w:t>5.7</w:t>
            </w:r>
          </w:p>
        </w:tc>
        <w:tc>
          <w:tcPr>
            <w:tcW w:w="1080" w:type="dxa"/>
          </w:tcPr>
          <w:p w:rsidRPr="007F620E" w:rsidR="002E0F71" w:rsidP="009E59F4" w:rsidRDefault="008105C7" w14:paraId="543893D4" w14:textId="25CFDBFA">
            <w:pPr>
              <w:keepNext/>
              <w:spacing w:before="60" w:after="60"/>
              <w:rPr>
                <w:color w:val="000000"/>
              </w:rPr>
            </w:pPr>
            <w:r>
              <w:rPr>
                <w:color w:val="000000"/>
              </w:rPr>
              <w:t>$</w:t>
            </w:r>
            <w:r w:rsidR="00334BD7">
              <w:rPr>
                <w:color w:val="000000"/>
              </w:rPr>
              <w:t xml:space="preserve"> </w:t>
            </w:r>
            <w:r>
              <w:rPr>
                <w:color w:val="000000"/>
              </w:rPr>
              <w:t>175</w:t>
            </w:r>
          </w:p>
        </w:tc>
        <w:tc>
          <w:tcPr>
            <w:tcW w:w="1620" w:type="dxa"/>
            <w:gridSpan w:val="2"/>
            <w:tcBorders>
              <w:right w:val="single" w:color="auto" w:sz="4" w:space="0"/>
            </w:tcBorders>
          </w:tcPr>
          <w:p w:rsidRPr="007F620E" w:rsidR="002E0F71" w:rsidP="009E59F4" w:rsidRDefault="00C66E87" w14:paraId="198C1A76" w14:textId="39DF3D97">
            <w:pPr>
              <w:keepNext/>
              <w:spacing w:before="60" w:after="60"/>
              <w:rPr>
                <w:color w:val="000000"/>
              </w:rPr>
            </w:pPr>
            <w:r>
              <w:rPr>
                <w:color w:val="000000"/>
              </w:rPr>
              <w:t xml:space="preserve">½ 2025 rate </w:t>
            </w:r>
            <w:r w:rsidR="00CF59FA">
              <w:rPr>
                <w:color w:val="000000"/>
              </w:rPr>
              <w:t>(awarded in D.25-10-060)</w:t>
            </w:r>
          </w:p>
        </w:tc>
        <w:tc>
          <w:tcPr>
            <w:tcW w:w="1333" w:type="dxa"/>
            <w:gridSpan w:val="2"/>
            <w:tcBorders>
              <w:top w:val="single" w:color="auto" w:sz="4" w:space="0"/>
              <w:left w:val="single" w:color="auto" w:sz="4" w:space="0"/>
              <w:bottom w:val="single" w:color="auto" w:sz="4" w:space="0"/>
              <w:right w:val="single" w:color="auto" w:sz="24" w:space="0"/>
            </w:tcBorders>
          </w:tcPr>
          <w:p w:rsidRPr="007F620E" w:rsidR="002E0F71" w:rsidP="009E59F4" w:rsidRDefault="00A540D8" w14:paraId="2EDFF0AB" w14:textId="11F70028">
            <w:pPr>
              <w:keepNext/>
              <w:spacing w:before="60" w:after="60"/>
              <w:jc w:val="right"/>
              <w:rPr>
                <w:color w:val="000000"/>
              </w:rPr>
            </w:pPr>
            <w:r>
              <w:rPr>
                <w:color w:val="000000"/>
              </w:rPr>
              <w:t>$ 997.50</w:t>
            </w:r>
          </w:p>
        </w:tc>
        <w:tc>
          <w:tcPr>
            <w:tcW w:w="955" w:type="dxa"/>
            <w:tcBorders>
              <w:left w:val="single" w:color="auto" w:sz="4" w:space="0"/>
              <w:right w:val="single" w:color="auto" w:sz="4" w:space="0"/>
            </w:tcBorders>
          </w:tcPr>
          <w:p w:rsidRPr="007F620E" w:rsidR="002E0F71" w:rsidP="009E59F4" w:rsidRDefault="0030199E" w14:paraId="602094C1" w14:textId="0EFBCDC5">
            <w:pPr>
              <w:keepNext/>
              <w:spacing w:before="60" w:after="60"/>
              <w:rPr>
                <w:color w:val="000000"/>
              </w:rPr>
            </w:pPr>
            <w:r>
              <w:rPr>
                <w:color w:val="000000"/>
              </w:rPr>
              <w:t>3.95 [</w:t>
            </w:r>
            <w:r w:rsidR="005F4A01">
              <w:rPr>
                <w:color w:val="000000"/>
              </w:rPr>
              <w:t>5</w:t>
            </w:r>
            <w:r>
              <w:rPr>
                <w:color w:val="000000"/>
              </w:rPr>
              <w:t>]</w:t>
            </w:r>
          </w:p>
        </w:tc>
        <w:tc>
          <w:tcPr>
            <w:tcW w:w="1146" w:type="dxa"/>
            <w:tcBorders>
              <w:left w:val="single" w:color="auto" w:sz="4" w:space="0"/>
            </w:tcBorders>
          </w:tcPr>
          <w:p w:rsidRPr="007F620E" w:rsidR="002E0F71" w:rsidP="009E59F4" w:rsidRDefault="00CE13EE" w14:paraId="5CF798A3" w14:textId="6AAD9049">
            <w:pPr>
              <w:keepNext/>
              <w:spacing w:before="60" w:after="60"/>
              <w:jc w:val="right"/>
              <w:rPr>
                <w:color w:val="000000"/>
              </w:rPr>
            </w:pPr>
            <w:r>
              <w:rPr>
                <w:color w:val="000000"/>
              </w:rPr>
              <w:t>$137.50</w:t>
            </w:r>
            <w:r w:rsidR="005C566B">
              <w:rPr>
                <w:color w:val="000000"/>
              </w:rPr>
              <w:t xml:space="preserve"> </w:t>
            </w:r>
            <w:r w:rsidR="00620702">
              <w:rPr>
                <w:color w:val="000000"/>
              </w:rPr>
              <w:t>[</w:t>
            </w:r>
            <w:r w:rsidR="00087166">
              <w:rPr>
                <w:color w:val="000000"/>
              </w:rPr>
              <w:t>2</w:t>
            </w:r>
            <w:r w:rsidR="00620702">
              <w:rPr>
                <w:color w:val="000000"/>
              </w:rPr>
              <w:t>]</w:t>
            </w:r>
          </w:p>
        </w:tc>
        <w:tc>
          <w:tcPr>
            <w:tcW w:w="1881" w:type="dxa"/>
          </w:tcPr>
          <w:p w:rsidRPr="007F620E" w:rsidR="002E0F71" w:rsidP="009E59F4" w:rsidRDefault="00B452D6" w14:paraId="21A78DF7" w14:textId="27ABF2A9">
            <w:pPr>
              <w:keepNext/>
              <w:spacing w:before="60" w:after="60"/>
              <w:jc w:val="right"/>
              <w:rPr>
                <w:color w:val="000000"/>
              </w:rPr>
            </w:pPr>
            <w:r>
              <w:rPr>
                <w:color w:val="000000"/>
              </w:rPr>
              <w:t>$543.13</w:t>
            </w:r>
          </w:p>
        </w:tc>
      </w:tr>
      <w:tr w:rsidRPr="007F620E" w:rsidR="007F6FEB" w:rsidTr="00EC6387" w14:paraId="266CEDD5" w14:textId="77777777">
        <w:trPr>
          <w:jc w:val="center"/>
        </w:trPr>
        <w:tc>
          <w:tcPr>
            <w:tcW w:w="7178" w:type="dxa"/>
            <w:gridSpan w:val="9"/>
            <w:tcBorders>
              <w:bottom w:val="single" w:color="auto" w:sz="4" w:space="0"/>
              <w:right w:val="single" w:color="auto" w:sz="24" w:space="0"/>
            </w:tcBorders>
            <w:vAlign w:val="bottom"/>
          </w:tcPr>
          <w:p w:rsidRPr="00374FD1" w:rsidR="007F6FEB" w:rsidP="009E59F4" w:rsidRDefault="007F6FEB" w14:paraId="4A1F5988" w14:textId="11FBAE6D">
            <w:pPr>
              <w:keepNext/>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sidR="00AF6197">
              <w:rPr>
                <w:b/>
                <w:i/>
                <w:color w:val="000000"/>
              </w:rPr>
              <w:t xml:space="preserve"> 1,921.25</w:t>
            </w:r>
          </w:p>
        </w:tc>
        <w:tc>
          <w:tcPr>
            <w:tcW w:w="3982" w:type="dxa"/>
            <w:gridSpan w:val="3"/>
            <w:tcBorders>
              <w:left w:val="single" w:color="auto" w:sz="24" w:space="0"/>
              <w:bottom w:val="single" w:color="auto" w:sz="4" w:space="0"/>
            </w:tcBorders>
            <w:vAlign w:val="bottom"/>
          </w:tcPr>
          <w:p w:rsidRPr="00374FD1" w:rsidR="007F6FEB" w:rsidP="009E59F4" w:rsidRDefault="007F6FEB" w14:paraId="2FBAA587" w14:textId="49EF604D">
            <w:pPr>
              <w:keepNext/>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sidR="00B452D6">
              <w:rPr>
                <w:b/>
                <w:i/>
                <w:color w:val="000000"/>
              </w:rPr>
              <w:t>1,</w:t>
            </w:r>
            <w:r w:rsidR="004C6722">
              <w:rPr>
                <w:b/>
                <w:i/>
                <w:color w:val="000000"/>
              </w:rPr>
              <w:t>183</w:t>
            </w:r>
            <w:r w:rsidR="005103B8">
              <w:rPr>
                <w:b/>
                <w:i/>
                <w:color w:val="000000"/>
              </w:rPr>
              <w:t>.76</w:t>
            </w:r>
          </w:p>
        </w:tc>
      </w:tr>
      <w:tr w:rsidRPr="007F620E" w:rsidR="007F6FEB" w:rsidTr="00EC6387" w14:paraId="06E7371A" w14:textId="77777777">
        <w:trPr>
          <w:jc w:val="center"/>
        </w:trPr>
        <w:tc>
          <w:tcPr>
            <w:tcW w:w="7178" w:type="dxa"/>
            <w:gridSpan w:val="9"/>
            <w:tcBorders>
              <w:top w:val="single" w:color="auto" w:sz="4" w:space="0"/>
              <w:bottom w:val="single" w:color="auto" w:sz="4" w:space="0"/>
              <w:right w:val="single" w:color="auto" w:sz="24" w:space="0"/>
            </w:tcBorders>
            <w:shd w:val="clear" w:color="auto" w:fill="E6E6E6"/>
            <w:vAlign w:val="bottom"/>
          </w:tcPr>
          <w:p w:rsidRPr="00FE3BAE" w:rsidR="007F6FEB" w:rsidP="007F6FEB" w:rsidRDefault="007F6FEB" w14:paraId="11B3B704" w14:textId="490CAC3C">
            <w:pPr>
              <w:tabs>
                <w:tab w:val="left" w:pos="957"/>
              </w:tabs>
              <w:spacing w:before="60" w:after="60"/>
              <w:ind w:right="72"/>
              <w:jc w:val="right"/>
              <w:rPr>
                <w:b/>
                <w:color w:val="000000"/>
              </w:rPr>
            </w:pPr>
            <w:r w:rsidRPr="00374FD1">
              <w:rPr>
                <w:b/>
                <w:i/>
                <w:color w:val="000000"/>
              </w:rPr>
              <w:t>TOTAL REQUEST: $</w:t>
            </w:r>
            <w:r w:rsidR="00FF31F2">
              <w:rPr>
                <w:b/>
                <w:i/>
                <w:color w:val="000000"/>
              </w:rPr>
              <w:t xml:space="preserve"> 15,580.75</w:t>
            </w:r>
          </w:p>
        </w:tc>
        <w:tc>
          <w:tcPr>
            <w:tcW w:w="3982" w:type="dxa"/>
            <w:gridSpan w:val="3"/>
            <w:tcBorders>
              <w:left w:val="single" w:color="auto" w:sz="24" w:space="0"/>
            </w:tcBorders>
            <w:shd w:val="clear" w:color="auto" w:fill="E6E6E6"/>
            <w:vAlign w:val="bottom"/>
          </w:tcPr>
          <w:p w:rsidRPr="00FE3BAE" w:rsidR="007F6FEB" w:rsidP="007F6FEB" w:rsidRDefault="007F6FEB" w14:paraId="3680D139" w14:textId="5E2D9DC3">
            <w:pPr>
              <w:tabs>
                <w:tab w:val="left" w:pos="957"/>
              </w:tabs>
              <w:spacing w:before="60" w:after="60"/>
              <w:ind w:right="72"/>
              <w:jc w:val="right"/>
              <w:rPr>
                <w:b/>
                <w:color w:val="000000"/>
              </w:rPr>
            </w:pPr>
            <w:r w:rsidRPr="00374FD1">
              <w:rPr>
                <w:b/>
                <w:i/>
                <w:color w:val="000000"/>
              </w:rPr>
              <w:t>TOTAL AWARD: $</w:t>
            </w:r>
            <w:r w:rsidR="005103B8">
              <w:rPr>
                <w:b/>
                <w:i/>
                <w:color w:val="000000"/>
              </w:rPr>
              <w:t>11,061.26</w:t>
            </w:r>
          </w:p>
        </w:tc>
      </w:tr>
      <w:tr w:rsidRPr="007F620E" w:rsidR="007F6FEB" w:rsidTr="00EC6387" w14:paraId="6A909BC1" w14:textId="77777777">
        <w:trPr>
          <w:jc w:val="center"/>
        </w:trPr>
        <w:tc>
          <w:tcPr>
            <w:tcW w:w="11160" w:type="dxa"/>
            <w:gridSpan w:val="12"/>
            <w:tcBorders>
              <w:top w:val="single" w:color="auto" w:sz="4" w:space="0"/>
              <w:bottom w:val="single" w:color="auto" w:sz="4" w:space="0"/>
            </w:tcBorders>
          </w:tcPr>
          <w:p w:rsidRPr="007F620E" w:rsidR="007F6FEB" w:rsidP="007F6FEB" w:rsidRDefault="007F6FEB" w14:paraId="6F39872E" w14:textId="77777777">
            <w:pPr>
              <w:spacing w:before="60" w:after="60"/>
              <w:rPr>
                <w:color w:val="000000"/>
              </w:rPr>
            </w:pPr>
            <w:r w:rsidRPr="007F620E">
              <w:rPr>
                <w:color w:val="000000"/>
              </w:rPr>
              <w:t xml:space="preserve">  *We remind all intervenors that Commission staff may audit </w:t>
            </w:r>
            <w:r>
              <w:t>the records and books of the intervenors to the extent necessary to verify the basis for the award (§1804(d)).  I</w:t>
            </w:r>
            <w:r w:rsidRPr="007F620E">
              <w:rPr>
                <w:color w:val="000000"/>
              </w:rPr>
              <w:t xml:space="preserve">ntervenors must make and retain adequate accounting and other documentation to support all claims for intervenor compensation.  Intervenor’s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 </w:t>
            </w:r>
          </w:p>
          <w:p w:rsidRPr="007F620E" w:rsidR="007F6FEB" w:rsidP="007F6FEB" w:rsidRDefault="007F6FEB" w14:paraId="0D03EC65" w14:textId="77777777">
            <w:pPr>
              <w:spacing w:before="60" w:after="60"/>
              <w:rPr>
                <w:color w:val="000000"/>
              </w:rPr>
            </w:pPr>
            <w:r w:rsidRPr="007F620E">
              <w:rPr>
                <w:color w:val="000000"/>
              </w:rPr>
              <w:t xml:space="preserve">**Travel and Reasonable Claim preparation time </w:t>
            </w:r>
            <w:r>
              <w:rPr>
                <w:color w:val="000000"/>
              </w:rPr>
              <w:t xml:space="preserve">are </w:t>
            </w:r>
            <w:r w:rsidRPr="007F620E">
              <w:rPr>
                <w:color w:val="000000"/>
              </w:rPr>
              <w:t>typically compensated at ½ of preparer’s normal hourly rate</w:t>
            </w:r>
            <w:r w:rsidRPr="007F620E" w:rsidDel="00D075B1">
              <w:rPr>
                <w:color w:val="000000"/>
              </w:rPr>
              <w:t xml:space="preserve"> </w:t>
            </w:r>
          </w:p>
        </w:tc>
      </w:tr>
      <w:tr w:rsidRPr="007F620E" w:rsidR="007F6FEB" w:rsidTr="00EC6387" w14:paraId="458B01A4"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7F6FEB" w:rsidP="007F6FEB" w:rsidRDefault="007F6FEB" w14:paraId="48B43CBD" w14:textId="77777777">
            <w:pPr>
              <w:keepNext/>
              <w:spacing w:before="60" w:after="60"/>
              <w:jc w:val="center"/>
              <w:rPr>
                <w:b/>
                <w:smallCaps/>
                <w:color w:val="000000"/>
              </w:rPr>
            </w:pPr>
            <w:r w:rsidRPr="007F620E">
              <w:rPr>
                <w:b/>
                <w:smallCaps/>
                <w:color w:val="000000"/>
              </w:rPr>
              <w:t>ATTORNEY INFORMATION</w:t>
            </w:r>
          </w:p>
        </w:tc>
      </w:tr>
      <w:tr w:rsidRPr="00C16981" w:rsidR="007F6FEB" w:rsidTr="00EC6387" w14:paraId="790C92C0" w14:textId="77777777">
        <w:trPr>
          <w:trHeight w:val="173"/>
          <w:jc w:val="center"/>
        </w:trPr>
        <w:tc>
          <w:tcPr>
            <w:tcW w:w="2692" w:type="dxa"/>
            <w:gridSpan w:val="3"/>
            <w:tcBorders>
              <w:top w:val="single" w:color="auto" w:sz="4" w:space="0"/>
              <w:bottom w:val="single" w:color="auto" w:sz="4" w:space="0"/>
            </w:tcBorders>
            <w:shd w:val="clear" w:color="auto" w:fill="FFFFFF"/>
            <w:vAlign w:val="bottom"/>
          </w:tcPr>
          <w:p w:rsidRPr="00C16981" w:rsidR="007F6FEB" w:rsidP="007F6FEB" w:rsidRDefault="007F6FEB" w14:paraId="00CAC866" w14:textId="77777777">
            <w:pPr>
              <w:keepNext/>
              <w:keepLines/>
              <w:spacing w:before="60" w:after="60"/>
              <w:jc w:val="center"/>
              <w:rPr>
                <w:b/>
                <w:color w:val="000000"/>
                <w:sz w:val="22"/>
                <w:szCs w:val="22"/>
              </w:rPr>
            </w:pPr>
            <w:r w:rsidRPr="00C16981">
              <w:rPr>
                <w:b/>
                <w:sz w:val="22"/>
                <w:szCs w:val="22"/>
              </w:rPr>
              <w:t>Attorney</w:t>
            </w:r>
          </w:p>
        </w:tc>
        <w:tc>
          <w:tcPr>
            <w:tcW w:w="1909" w:type="dxa"/>
            <w:gridSpan w:val="3"/>
            <w:tcBorders>
              <w:top w:val="single" w:color="auto" w:sz="4" w:space="0"/>
              <w:bottom w:val="single" w:color="auto" w:sz="4" w:space="0"/>
            </w:tcBorders>
            <w:shd w:val="clear" w:color="auto" w:fill="FFFFFF"/>
            <w:vAlign w:val="bottom"/>
          </w:tcPr>
          <w:p w:rsidRPr="00C16981" w:rsidR="007F6FEB" w:rsidP="007F6FEB" w:rsidRDefault="007F6FEB" w14:paraId="7E76A008" w14:textId="77777777">
            <w:pPr>
              <w:keepNext/>
              <w:keepLines/>
              <w:spacing w:before="60" w:after="60"/>
              <w:jc w:val="center"/>
              <w:rPr>
                <w:b/>
                <w:color w:val="000000"/>
                <w:sz w:val="22"/>
                <w:szCs w:val="22"/>
              </w:rPr>
            </w:pPr>
            <w:r w:rsidRPr="00C16981">
              <w:rPr>
                <w:b/>
                <w:sz w:val="22"/>
                <w:szCs w:val="22"/>
              </w:rPr>
              <w:t>Date Admitted to CA BAR</w:t>
            </w:r>
            <w:r w:rsidRPr="00C16981">
              <w:rPr>
                <w:rStyle w:val="FootnoteReference"/>
                <w:b/>
                <w:sz w:val="22"/>
                <w:szCs w:val="22"/>
              </w:rPr>
              <w:footnoteReference w:id="2"/>
            </w:r>
          </w:p>
        </w:tc>
        <w:tc>
          <w:tcPr>
            <w:tcW w:w="2291" w:type="dxa"/>
            <w:gridSpan w:val="2"/>
            <w:tcBorders>
              <w:top w:val="single" w:color="auto" w:sz="4" w:space="0"/>
              <w:bottom w:val="single" w:color="auto" w:sz="4" w:space="0"/>
            </w:tcBorders>
            <w:shd w:val="clear" w:color="auto" w:fill="FFFFFF"/>
            <w:vAlign w:val="bottom"/>
          </w:tcPr>
          <w:p w:rsidRPr="00C16981" w:rsidR="007F6FEB" w:rsidP="007F6FEB" w:rsidRDefault="007F6FEB" w14:paraId="27E64ED7" w14:textId="77777777">
            <w:pPr>
              <w:keepNext/>
              <w:keepLines/>
              <w:spacing w:before="60" w:after="60"/>
              <w:jc w:val="center"/>
              <w:rPr>
                <w:b/>
                <w:color w:val="000000"/>
                <w:sz w:val="22"/>
                <w:szCs w:val="22"/>
              </w:rPr>
            </w:pPr>
            <w:r w:rsidRPr="00C16981">
              <w:rPr>
                <w:b/>
                <w:sz w:val="22"/>
                <w:szCs w:val="22"/>
              </w:rPr>
              <w:t>Member Number</w:t>
            </w:r>
          </w:p>
        </w:tc>
        <w:tc>
          <w:tcPr>
            <w:tcW w:w="4268" w:type="dxa"/>
            <w:gridSpan w:val="4"/>
            <w:tcBorders>
              <w:top w:val="single" w:color="auto" w:sz="4" w:space="0"/>
              <w:bottom w:val="single" w:color="auto" w:sz="4" w:space="0"/>
            </w:tcBorders>
            <w:shd w:val="clear" w:color="auto" w:fill="FFFFFF"/>
            <w:vAlign w:val="bottom"/>
          </w:tcPr>
          <w:p w:rsidRPr="00C16981" w:rsidR="007F6FEB" w:rsidP="007F6FEB" w:rsidRDefault="007F6FEB" w14:paraId="496B5DC1" w14:textId="77777777">
            <w:pPr>
              <w:keepNext/>
              <w:keepLines/>
              <w:spacing w:before="60" w:after="60"/>
              <w:jc w:val="center"/>
              <w:rPr>
                <w:b/>
                <w:sz w:val="22"/>
                <w:szCs w:val="22"/>
              </w:rPr>
            </w:pPr>
            <w:r w:rsidRPr="00C16981">
              <w:rPr>
                <w:b/>
                <w:sz w:val="22"/>
                <w:szCs w:val="22"/>
              </w:rPr>
              <w:t>Actions Affecting Eligibility (Yes/No?)</w:t>
            </w:r>
          </w:p>
          <w:p w:rsidRPr="00C16981" w:rsidR="007F6FEB" w:rsidP="007F6FEB" w:rsidRDefault="007F6FEB" w14:paraId="36F8922D" w14:textId="77777777">
            <w:pPr>
              <w:keepNext/>
              <w:keepLines/>
              <w:spacing w:before="60" w:after="60"/>
              <w:jc w:val="center"/>
              <w:rPr>
                <w:b/>
                <w:color w:val="000000"/>
                <w:sz w:val="22"/>
                <w:szCs w:val="22"/>
              </w:rPr>
            </w:pPr>
            <w:r w:rsidRPr="00C16981">
              <w:rPr>
                <w:b/>
                <w:sz w:val="22"/>
                <w:szCs w:val="22"/>
              </w:rPr>
              <w:t>If “Yes”, attach explanation</w:t>
            </w:r>
          </w:p>
        </w:tc>
      </w:tr>
      <w:tr w:rsidRPr="007F620E" w:rsidR="007F6FEB" w:rsidTr="00A03A45" w14:paraId="4DC5EE9B" w14:textId="77777777">
        <w:trPr>
          <w:trHeight w:val="172"/>
          <w:jc w:val="center"/>
        </w:trPr>
        <w:tc>
          <w:tcPr>
            <w:tcW w:w="2692" w:type="dxa"/>
            <w:gridSpan w:val="3"/>
            <w:tcBorders>
              <w:top w:val="single" w:color="auto" w:sz="4" w:space="0"/>
              <w:bottom w:val="single" w:color="auto" w:sz="4" w:space="0"/>
            </w:tcBorders>
          </w:tcPr>
          <w:p w:rsidRPr="007F620E" w:rsidR="007F6FEB" w:rsidP="007F6FEB" w:rsidRDefault="00B5117C" w14:paraId="7266B7BF" w14:textId="6E8B5EBC">
            <w:pPr>
              <w:keepLines/>
              <w:spacing w:before="60" w:after="60"/>
              <w:jc w:val="center"/>
              <w:rPr>
                <w:color w:val="000000"/>
              </w:rPr>
            </w:pPr>
            <w:r>
              <w:rPr>
                <w:color w:val="000000"/>
              </w:rPr>
              <w:t xml:space="preserve">Melissa W. </w:t>
            </w:r>
            <w:proofErr w:type="spellStart"/>
            <w:r>
              <w:rPr>
                <w:color w:val="000000"/>
              </w:rPr>
              <w:t>Kasnitz</w:t>
            </w:r>
            <w:proofErr w:type="spellEnd"/>
            <w:r>
              <w:rPr>
                <w:color w:val="000000"/>
              </w:rPr>
              <w:t xml:space="preserve"> </w:t>
            </w:r>
          </w:p>
        </w:tc>
        <w:tc>
          <w:tcPr>
            <w:tcW w:w="1909" w:type="dxa"/>
            <w:gridSpan w:val="3"/>
            <w:tcBorders>
              <w:top w:val="single" w:color="auto" w:sz="4" w:space="0"/>
              <w:bottom w:val="single" w:color="auto" w:sz="4" w:space="0"/>
            </w:tcBorders>
          </w:tcPr>
          <w:p w:rsidRPr="007F620E" w:rsidR="007F6FEB" w:rsidP="007F6FEB" w:rsidRDefault="00A16BAC" w14:paraId="69A41F15" w14:textId="010E8DC4">
            <w:pPr>
              <w:keepLines/>
              <w:spacing w:before="60" w:after="60"/>
              <w:jc w:val="center"/>
              <w:rPr>
                <w:color w:val="000000"/>
              </w:rPr>
            </w:pPr>
            <w:r>
              <w:rPr>
                <w:color w:val="000000"/>
              </w:rPr>
              <w:t xml:space="preserve">1992 </w:t>
            </w:r>
          </w:p>
        </w:tc>
        <w:tc>
          <w:tcPr>
            <w:tcW w:w="2291" w:type="dxa"/>
            <w:gridSpan w:val="2"/>
            <w:tcBorders>
              <w:top w:val="single" w:color="auto" w:sz="4" w:space="0"/>
              <w:bottom w:val="single" w:color="auto" w:sz="4" w:space="0"/>
            </w:tcBorders>
          </w:tcPr>
          <w:p w:rsidRPr="007F620E" w:rsidR="007F6FEB" w:rsidP="007F6FEB" w:rsidRDefault="00A16BAC" w14:paraId="58495CD7" w14:textId="01C8B2EA">
            <w:pPr>
              <w:keepLines/>
              <w:spacing w:before="60" w:after="60"/>
              <w:jc w:val="center"/>
              <w:rPr>
                <w:color w:val="000000"/>
              </w:rPr>
            </w:pPr>
            <w:r>
              <w:rPr>
                <w:color w:val="000000"/>
              </w:rPr>
              <w:t>162679</w:t>
            </w:r>
          </w:p>
        </w:tc>
        <w:tc>
          <w:tcPr>
            <w:tcW w:w="4268" w:type="dxa"/>
            <w:gridSpan w:val="4"/>
            <w:tcBorders>
              <w:top w:val="single" w:color="auto" w:sz="4" w:space="0"/>
              <w:bottom w:val="single" w:color="auto" w:sz="4" w:space="0"/>
            </w:tcBorders>
          </w:tcPr>
          <w:p w:rsidRPr="007F620E" w:rsidR="007F6FEB" w:rsidP="007F6FEB" w:rsidRDefault="00A16BAC" w14:paraId="117B99BF" w14:textId="72E2B8F8">
            <w:pPr>
              <w:keepLines/>
              <w:spacing w:before="60" w:after="60"/>
              <w:jc w:val="center"/>
              <w:rPr>
                <w:color w:val="000000"/>
              </w:rPr>
            </w:pPr>
            <w:r>
              <w:rPr>
                <w:color w:val="000000"/>
              </w:rPr>
              <w:t>No</w:t>
            </w:r>
          </w:p>
        </w:tc>
      </w:tr>
      <w:tr w:rsidRPr="007F620E" w:rsidR="007F6FEB" w:rsidTr="00A03A45" w14:paraId="5D036E2E" w14:textId="77777777">
        <w:trPr>
          <w:trHeight w:val="172"/>
          <w:jc w:val="center"/>
        </w:trPr>
        <w:tc>
          <w:tcPr>
            <w:tcW w:w="2692" w:type="dxa"/>
            <w:gridSpan w:val="3"/>
            <w:tcBorders>
              <w:top w:val="single" w:color="auto" w:sz="4" w:space="0"/>
              <w:bottom w:val="single" w:color="auto" w:sz="4" w:space="0"/>
            </w:tcBorders>
          </w:tcPr>
          <w:p w:rsidRPr="007F620E" w:rsidR="007F6FEB" w:rsidP="007F6FEB" w:rsidRDefault="002E0F71" w14:paraId="3D5F8F51" w14:textId="38BD984E">
            <w:pPr>
              <w:spacing w:before="60" w:after="60"/>
              <w:jc w:val="center"/>
              <w:rPr>
                <w:color w:val="000000"/>
              </w:rPr>
            </w:pPr>
            <w:r>
              <w:rPr>
                <w:color w:val="000000"/>
              </w:rPr>
              <w:t xml:space="preserve">Rachel Sweetnam </w:t>
            </w:r>
          </w:p>
        </w:tc>
        <w:tc>
          <w:tcPr>
            <w:tcW w:w="1909" w:type="dxa"/>
            <w:gridSpan w:val="3"/>
            <w:tcBorders>
              <w:top w:val="single" w:color="auto" w:sz="4" w:space="0"/>
              <w:bottom w:val="single" w:color="auto" w:sz="4" w:space="0"/>
            </w:tcBorders>
          </w:tcPr>
          <w:p w:rsidRPr="007F620E" w:rsidR="007F6FEB" w:rsidP="007F6FEB" w:rsidRDefault="00A16BAC" w14:paraId="1609FC8E" w14:textId="7900685D">
            <w:pPr>
              <w:spacing w:before="60" w:after="60"/>
              <w:jc w:val="center"/>
              <w:rPr>
                <w:color w:val="000000"/>
              </w:rPr>
            </w:pPr>
            <w:r>
              <w:rPr>
                <w:color w:val="000000"/>
              </w:rPr>
              <w:t>2023</w:t>
            </w:r>
          </w:p>
        </w:tc>
        <w:tc>
          <w:tcPr>
            <w:tcW w:w="2291" w:type="dxa"/>
            <w:gridSpan w:val="2"/>
            <w:tcBorders>
              <w:top w:val="single" w:color="auto" w:sz="4" w:space="0"/>
              <w:bottom w:val="single" w:color="auto" w:sz="4" w:space="0"/>
            </w:tcBorders>
          </w:tcPr>
          <w:p w:rsidRPr="007F620E" w:rsidR="007F6FEB" w:rsidP="007F6FEB" w:rsidRDefault="00814A84" w14:paraId="182A9D2B" w14:textId="11DB5706">
            <w:pPr>
              <w:spacing w:before="60" w:after="60"/>
              <w:jc w:val="center"/>
              <w:rPr>
                <w:color w:val="000000"/>
              </w:rPr>
            </w:pPr>
            <w:r>
              <w:rPr>
                <w:color w:val="000000"/>
              </w:rPr>
              <w:t>350075</w:t>
            </w:r>
          </w:p>
        </w:tc>
        <w:tc>
          <w:tcPr>
            <w:tcW w:w="4268" w:type="dxa"/>
            <w:gridSpan w:val="4"/>
            <w:tcBorders>
              <w:top w:val="single" w:color="auto" w:sz="4" w:space="0"/>
              <w:bottom w:val="single" w:color="auto" w:sz="4" w:space="0"/>
            </w:tcBorders>
          </w:tcPr>
          <w:p w:rsidRPr="007F620E" w:rsidR="007F6FEB" w:rsidP="007F6FEB" w:rsidRDefault="00814A84" w14:paraId="35DC3C56" w14:textId="52139922">
            <w:pPr>
              <w:spacing w:before="60" w:after="60"/>
              <w:jc w:val="center"/>
              <w:rPr>
                <w:color w:val="000000"/>
              </w:rPr>
            </w:pPr>
            <w:r>
              <w:rPr>
                <w:color w:val="000000"/>
              </w:rPr>
              <w:t>No</w:t>
            </w:r>
          </w:p>
        </w:tc>
      </w:tr>
    </w:tbl>
    <w:p w:rsidRPr="003B6A1B" w:rsidR="00A92D0B" w:rsidP="002F2976" w:rsidRDefault="00A92D0B" w14:paraId="04BC309E" w14:textId="78F06A29">
      <w:pPr>
        <w:keepNext/>
        <w:numPr>
          <w:ilvl w:val="0"/>
          <w:numId w:val="9"/>
        </w:numPr>
        <w:spacing w:before="240" w:after="240"/>
        <w:rPr>
          <w:b/>
          <w:i/>
          <w:color w:val="000000"/>
          <w:u w:val="single"/>
        </w:rPr>
      </w:pPr>
      <w:r w:rsidRPr="005B5B44">
        <w:rPr>
          <w:b/>
          <w:color w:val="000000"/>
        </w:rPr>
        <w:t>Attachments</w:t>
      </w:r>
      <w:r w:rsidRPr="007F620E">
        <w:rPr>
          <w:b/>
        </w:rPr>
        <w:t xml:space="preserve"> Documenting Specific Claim and Comments on Part III</w:t>
      </w:r>
      <w:r w:rsidR="00C02649">
        <w:rPr>
          <w:b/>
        </w:rPr>
        <w:t>:</w:t>
      </w:r>
      <w:r w:rsidR="001A2FAB">
        <w:rPr>
          <w:rStyle w:val="FootnoteReference"/>
          <w:b/>
        </w:rPr>
        <w:footnoteReference w:id="3"/>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795"/>
        <w:gridCol w:w="7565"/>
      </w:tblGrid>
      <w:tr w:rsidRPr="007F620E" w:rsidR="00A92D0B" w:rsidTr="001A3CF3" w14:paraId="0C2B760A" w14:textId="77777777">
        <w:trPr>
          <w:tblHeader/>
        </w:trPr>
        <w:tc>
          <w:tcPr>
            <w:tcW w:w="1795" w:type="dxa"/>
            <w:shd w:val="clear" w:color="auto" w:fill="D9D9D9" w:themeFill="background1" w:themeFillShade="D9"/>
            <w:vAlign w:val="bottom"/>
          </w:tcPr>
          <w:p w:rsidRPr="007F620E" w:rsidR="00A92D0B" w:rsidP="001A3CF3" w:rsidRDefault="00A92D0B" w14:paraId="42A1D838" w14:textId="77777777">
            <w:pPr>
              <w:tabs>
                <w:tab w:val="left" w:pos="1260"/>
              </w:tabs>
              <w:jc w:val="center"/>
              <w:rPr>
                <w:b/>
                <w:color w:val="000000"/>
              </w:rPr>
            </w:pPr>
            <w:r w:rsidRPr="007F620E">
              <w:rPr>
                <w:b/>
                <w:color w:val="000000"/>
              </w:rPr>
              <w:t xml:space="preserve">Attachment or </w:t>
            </w:r>
            <w:proofErr w:type="gramStart"/>
            <w:r w:rsidRPr="007F620E">
              <w:rPr>
                <w:b/>
                <w:color w:val="000000"/>
              </w:rPr>
              <w:t>Comment  #</w:t>
            </w:r>
            <w:proofErr w:type="gramEnd"/>
          </w:p>
        </w:tc>
        <w:tc>
          <w:tcPr>
            <w:tcW w:w="7565" w:type="dxa"/>
            <w:tcBorders>
              <w:bottom w:val="single" w:color="auto" w:sz="4" w:space="0"/>
            </w:tcBorders>
            <w:shd w:val="clear" w:color="auto" w:fill="D9D9D9" w:themeFill="background1" w:themeFillShade="D9"/>
            <w:vAlign w:val="bottom"/>
          </w:tcPr>
          <w:p w:rsidRPr="007F620E" w:rsidR="00A92D0B" w:rsidP="001A3CF3" w:rsidRDefault="00A92D0B" w14:paraId="55F0A65F" w14:textId="77777777">
            <w:pPr>
              <w:tabs>
                <w:tab w:val="left" w:pos="1260"/>
              </w:tabs>
              <w:jc w:val="center"/>
              <w:rPr>
                <w:b/>
                <w:color w:val="000000"/>
              </w:rPr>
            </w:pPr>
            <w:r w:rsidRPr="007F620E">
              <w:rPr>
                <w:b/>
                <w:color w:val="000000"/>
              </w:rPr>
              <w:t>Description/Comment</w:t>
            </w:r>
          </w:p>
        </w:tc>
      </w:tr>
      <w:tr w:rsidRPr="007F620E" w:rsidR="00A92D0B" w:rsidTr="00374E7B" w14:paraId="71F47148" w14:textId="77777777">
        <w:tc>
          <w:tcPr>
            <w:tcW w:w="1795" w:type="dxa"/>
            <w:tcBorders>
              <w:bottom w:val="single" w:color="auto" w:sz="4" w:space="0"/>
            </w:tcBorders>
          </w:tcPr>
          <w:p w:rsidRPr="007F620E" w:rsidR="00A92D0B" w:rsidP="001A3CF3" w:rsidRDefault="00A92D0B" w14:paraId="7A5C03D8" w14:textId="77777777">
            <w:pPr>
              <w:tabs>
                <w:tab w:val="left" w:pos="1260"/>
              </w:tabs>
              <w:rPr>
                <w:color w:val="000000"/>
              </w:rPr>
            </w:pPr>
            <w:r w:rsidRPr="007F620E">
              <w:rPr>
                <w:color w:val="000000"/>
              </w:rPr>
              <w:t>1</w:t>
            </w:r>
          </w:p>
        </w:tc>
        <w:tc>
          <w:tcPr>
            <w:tcW w:w="7565" w:type="dxa"/>
            <w:tcBorders>
              <w:bottom w:val="single" w:color="auto" w:sz="4" w:space="0"/>
            </w:tcBorders>
          </w:tcPr>
          <w:p w:rsidRPr="001C0DD1" w:rsidR="00A92D0B" w:rsidP="001A3CF3" w:rsidRDefault="00A92D0B" w14:paraId="370C67BC" w14:textId="77777777">
            <w:pPr>
              <w:tabs>
                <w:tab w:val="left" w:pos="1260"/>
              </w:tabs>
              <w:rPr>
                <w:color w:val="000000"/>
              </w:rPr>
            </w:pPr>
            <w:r w:rsidRPr="001C0DD1">
              <w:rPr>
                <w:color w:val="000000"/>
              </w:rPr>
              <w:t>Certificate of Service</w:t>
            </w:r>
          </w:p>
        </w:tc>
      </w:tr>
    </w:tbl>
    <w:p w:rsidRPr="007F620E" w:rsidR="00A92D0B" w:rsidP="005B5B44" w:rsidRDefault="00A92D0B" w14:paraId="0D8B7003" w14:textId="51C82473">
      <w:pPr>
        <w:keepNext/>
        <w:numPr>
          <w:ilvl w:val="0"/>
          <w:numId w:val="9"/>
        </w:numPr>
        <w:spacing w:before="240" w:after="240"/>
        <w:rPr>
          <w:b/>
          <w:color w:val="000000"/>
        </w:rPr>
      </w:pPr>
      <w:r w:rsidRPr="007F620E">
        <w:rPr>
          <w:b/>
          <w:color w:val="000000"/>
        </w:rPr>
        <w:t xml:space="preserve">CPUC </w:t>
      </w:r>
      <w:r w:rsidR="008C09F7">
        <w:rPr>
          <w:b/>
          <w:color w:val="000000"/>
        </w:rPr>
        <w:t xml:space="preserve">Comments, </w:t>
      </w:r>
      <w:r w:rsidRPr="007F620E">
        <w:rPr>
          <w:b/>
          <w:color w:val="000000"/>
        </w:rPr>
        <w:t>Disallowances</w:t>
      </w:r>
      <w:r w:rsidR="008C09F7">
        <w:rPr>
          <w:b/>
          <w:color w:val="000000"/>
        </w:rPr>
        <w:t>,</w:t>
      </w:r>
      <w:r w:rsidRPr="007F620E" w:rsidR="00D075B1">
        <w:rPr>
          <w:b/>
          <w:color w:val="000000"/>
        </w:rPr>
        <w:t xml:space="preserve"> </w:t>
      </w:r>
      <w:r w:rsidRPr="007F620E" w:rsidR="00A319DE">
        <w:rPr>
          <w:b/>
          <w:color w:val="000000"/>
        </w:rPr>
        <w:t>and</w:t>
      </w:r>
      <w:r w:rsidRPr="007F620E" w:rsidR="00D075B1">
        <w:rPr>
          <w:b/>
          <w:color w:val="000000"/>
        </w:rPr>
        <w:t xml:space="preserve"> </w:t>
      </w:r>
      <w:r w:rsidRPr="007F620E">
        <w:rPr>
          <w:b/>
          <w:color w:val="000000"/>
        </w:rPr>
        <w:t>Adjustments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603"/>
        <w:gridCol w:w="7757"/>
      </w:tblGrid>
      <w:tr w:rsidRPr="007F620E" w:rsidR="00A92D0B" w:rsidTr="002B09DE" w14:paraId="52CD0603" w14:textId="77777777">
        <w:trPr>
          <w:tblHeader/>
        </w:trPr>
        <w:tc>
          <w:tcPr>
            <w:tcW w:w="1603" w:type="dxa"/>
            <w:shd w:val="pct12" w:color="auto" w:fill="auto"/>
          </w:tcPr>
          <w:p w:rsidRPr="007F620E" w:rsidR="00A92D0B" w:rsidP="00EB64CF" w:rsidRDefault="00072C81" w14:paraId="3954EC4C" w14:textId="77777777">
            <w:pPr>
              <w:tabs>
                <w:tab w:val="left" w:pos="1440"/>
              </w:tabs>
              <w:jc w:val="center"/>
              <w:rPr>
                <w:b/>
                <w:color w:val="000000"/>
              </w:rPr>
            </w:pPr>
            <w:r w:rsidRPr="007F620E">
              <w:rPr>
                <w:b/>
                <w:color w:val="000000"/>
              </w:rPr>
              <w:t>Item</w:t>
            </w:r>
          </w:p>
        </w:tc>
        <w:tc>
          <w:tcPr>
            <w:tcW w:w="7757" w:type="dxa"/>
            <w:shd w:val="pct12" w:color="auto" w:fill="auto"/>
          </w:tcPr>
          <w:p w:rsidRPr="007F620E" w:rsidR="00A92D0B" w:rsidP="00EB64CF" w:rsidRDefault="00A92D0B" w14:paraId="09F9E4D9" w14:textId="77777777">
            <w:pPr>
              <w:tabs>
                <w:tab w:val="left" w:pos="1440"/>
              </w:tabs>
              <w:jc w:val="center"/>
              <w:rPr>
                <w:b/>
                <w:color w:val="000000"/>
              </w:rPr>
            </w:pPr>
            <w:r w:rsidRPr="007F620E">
              <w:rPr>
                <w:b/>
                <w:color w:val="000000"/>
              </w:rPr>
              <w:t>Reason</w:t>
            </w:r>
          </w:p>
        </w:tc>
      </w:tr>
      <w:tr w:rsidRPr="007F620E" w:rsidR="00A92D0B" w:rsidTr="002B09DE" w14:paraId="69DEE01C" w14:textId="77777777">
        <w:tc>
          <w:tcPr>
            <w:tcW w:w="1603" w:type="dxa"/>
          </w:tcPr>
          <w:p w:rsidRPr="007F620E" w:rsidR="00A92D0B" w:rsidP="00EB64CF" w:rsidRDefault="00042E34" w14:paraId="1E6C8F3D" w14:textId="65F957EC">
            <w:pPr>
              <w:tabs>
                <w:tab w:val="left" w:pos="1440"/>
              </w:tabs>
              <w:rPr>
                <w:color w:val="000000"/>
              </w:rPr>
            </w:pPr>
            <w:r>
              <w:rPr>
                <w:color w:val="000000"/>
              </w:rPr>
              <w:t>[1] Woodford’s 2025 Hourly Rate</w:t>
            </w:r>
          </w:p>
        </w:tc>
        <w:tc>
          <w:tcPr>
            <w:tcW w:w="7757" w:type="dxa"/>
          </w:tcPr>
          <w:p w:rsidRPr="007F620E" w:rsidR="00A92D0B" w:rsidP="00EB64CF" w:rsidRDefault="00AD6F08" w14:paraId="45BFCB16" w14:textId="252FB65B">
            <w:pPr>
              <w:tabs>
                <w:tab w:val="left" w:pos="1440"/>
              </w:tabs>
              <w:rPr>
                <w:color w:val="000000"/>
              </w:rPr>
            </w:pPr>
            <w:r>
              <w:rPr>
                <w:color w:val="000000"/>
              </w:rPr>
              <w:t>D</w:t>
            </w:r>
            <w:r w:rsidR="00562DD5">
              <w:rPr>
                <w:color w:val="000000"/>
              </w:rPr>
              <w:t xml:space="preserve">.25-07-028 adopted a 2024 hourly rate of $290.00 for Woodford. In Part III.B, </w:t>
            </w:r>
            <w:proofErr w:type="spellStart"/>
            <w:r w:rsidR="00562DD5">
              <w:rPr>
                <w:color w:val="000000"/>
              </w:rPr>
              <w:t>CforAT</w:t>
            </w:r>
            <w:proofErr w:type="spellEnd"/>
            <w:r w:rsidR="00562DD5">
              <w:rPr>
                <w:color w:val="000000"/>
              </w:rPr>
              <w:t xml:space="preserve"> requested an hourly rate of $</w:t>
            </w:r>
            <w:r w:rsidR="0037065A">
              <w:rPr>
                <w:color w:val="000000"/>
              </w:rPr>
              <w:t>380</w:t>
            </w:r>
            <w:r w:rsidR="00562DD5">
              <w:rPr>
                <w:color w:val="000000"/>
              </w:rPr>
              <w:t xml:space="preserve">.00 </w:t>
            </w:r>
            <w:r w:rsidR="00AD0925">
              <w:rPr>
                <w:color w:val="000000"/>
              </w:rPr>
              <w:t xml:space="preserve">but provides insufficient support for the </w:t>
            </w:r>
            <w:r w:rsidR="00C06170">
              <w:rPr>
                <w:color w:val="000000"/>
              </w:rPr>
              <w:t xml:space="preserve">requested </w:t>
            </w:r>
            <w:r w:rsidR="00AD0925">
              <w:rPr>
                <w:color w:val="000000"/>
              </w:rPr>
              <w:t>increase</w:t>
            </w:r>
            <w:r w:rsidR="00C06170">
              <w:rPr>
                <w:color w:val="000000"/>
              </w:rPr>
              <w:t xml:space="preserve">. We therefore apply the </w:t>
            </w:r>
            <w:r w:rsidR="009C378B">
              <w:rPr>
                <w:color w:val="000000"/>
              </w:rPr>
              <w:t xml:space="preserve">3.46% escalation from Resolution ALJ-393 </w:t>
            </w:r>
            <w:r w:rsidR="00ED0C91">
              <w:rPr>
                <w:color w:val="000000"/>
              </w:rPr>
              <w:t>to establish</w:t>
            </w:r>
            <w:r w:rsidR="009C378B">
              <w:rPr>
                <w:color w:val="000000"/>
              </w:rPr>
              <w:t xml:space="preserve"> a 2025 hourly rate of $300.00</w:t>
            </w:r>
            <w:r w:rsidR="00693CE2">
              <w:rPr>
                <w:color w:val="000000"/>
              </w:rPr>
              <w:t>.</w:t>
            </w:r>
          </w:p>
        </w:tc>
      </w:tr>
      <w:tr w:rsidRPr="007F620E" w:rsidR="00A92D0B" w:rsidTr="00D1379A" w14:paraId="52155EFC" w14:textId="77777777">
        <w:trPr>
          <w:cantSplit/>
        </w:trPr>
        <w:tc>
          <w:tcPr>
            <w:tcW w:w="1603" w:type="dxa"/>
          </w:tcPr>
          <w:p w:rsidRPr="007F620E" w:rsidR="00A92D0B" w:rsidP="00EB64CF" w:rsidRDefault="002C3FB8" w14:paraId="26487933" w14:textId="5B3F094D">
            <w:pPr>
              <w:tabs>
                <w:tab w:val="left" w:pos="1440"/>
              </w:tabs>
              <w:rPr>
                <w:color w:val="000000"/>
              </w:rPr>
            </w:pPr>
            <w:r>
              <w:rPr>
                <w:color w:val="000000"/>
              </w:rPr>
              <w:lastRenderedPageBreak/>
              <w:t>[2] Sweetnam’s 2025 Intervenor Compensation Claim Preparation Hourly Rate</w:t>
            </w:r>
          </w:p>
        </w:tc>
        <w:tc>
          <w:tcPr>
            <w:tcW w:w="7757" w:type="dxa"/>
          </w:tcPr>
          <w:p w:rsidRPr="007F620E" w:rsidR="002E0A59" w:rsidP="00EB64CF" w:rsidRDefault="00A93864" w14:paraId="455E6A00" w14:textId="70208FE6">
            <w:pPr>
              <w:tabs>
                <w:tab w:val="left" w:pos="1440"/>
              </w:tabs>
              <w:rPr>
                <w:color w:val="000000"/>
              </w:rPr>
            </w:pPr>
            <w:r>
              <w:rPr>
                <w:color w:val="000000"/>
              </w:rPr>
              <w:t>D</w:t>
            </w:r>
            <w:r w:rsidR="007F0148">
              <w:rPr>
                <w:color w:val="000000"/>
              </w:rPr>
              <w:t xml:space="preserve">.25-10-060 </w:t>
            </w:r>
            <w:r w:rsidR="002E0A59">
              <w:rPr>
                <w:color w:val="000000"/>
              </w:rPr>
              <w:t>adopted</w:t>
            </w:r>
            <w:r w:rsidR="007F0148">
              <w:rPr>
                <w:color w:val="000000"/>
              </w:rPr>
              <w:t xml:space="preserve"> a 2025 hourly rate of $275.00 for Sweetnam. </w:t>
            </w:r>
            <w:r w:rsidR="002E0A59">
              <w:rPr>
                <w:color w:val="000000"/>
              </w:rPr>
              <w:t>We apply one-half of Sweetnam’s 2025 adopted rate of $275.00 for a</w:t>
            </w:r>
            <w:r w:rsidR="008F6D13">
              <w:rPr>
                <w:color w:val="000000"/>
              </w:rPr>
              <w:t>n intervenor compensation claim preparation rate of $137.50.</w:t>
            </w:r>
          </w:p>
        </w:tc>
      </w:tr>
      <w:tr w:rsidRPr="007F620E" w:rsidR="008F6D13" w:rsidTr="002B09DE" w14:paraId="711E3FC8" w14:textId="77777777">
        <w:tc>
          <w:tcPr>
            <w:tcW w:w="1603" w:type="dxa"/>
          </w:tcPr>
          <w:p w:rsidR="008F6D13" w:rsidP="00EB64CF" w:rsidRDefault="008F6D13" w14:paraId="297BD936" w14:textId="5D8088BE">
            <w:pPr>
              <w:tabs>
                <w:tab w:val="left" w:pos="1440"/>
              </w:tabs>
              <w:rPr>
                <w:color w:val="000000"/>
              </w:rPr>
            </w:pPr>
            <w:r>
              <w:rPr>
                <w:color w:val="000000"/>
              </w:rPr>
              <w:t>[3]</w:t>
            </w:r>
            <w:r w:rsidR="0085343B">
              <w:rPr>
                <w:color w:val="000000"/>
              </w:rPr>
              <w:t xml:space="preserve"> </w:t>
            </w:r>
            <w:r w:rsidR="005F4A01">
              <w:rPr>
                <w:color w:val="000000"/>
              </w:rPr>
              <w:t xml:space="preserve">Internal </w:t>
            </w:r>
            <w:r w:rsidR="00B4242A">
              <w:rPr>
                <w:color w:val="000000"/>
              </w:rPr>
              <w:t xml:space="preserve">Duplication </w:t>
            </w:r>
          </w:p>
        </w:tc>
        <w:tc>
          <w:tcPr>
            <w:tcW w:w="7757" w:type="dxa"/>
          </w:tcPr>
          <w:p w:rsidRPr="009A649F" w:rsidR="009A649F" w:rsidP="009A649F" w:rsidRDefault="009A649F" w14:paraId="02A67FD0" w14:textId="79F49D11">
            <w:pPr>
              <w:tabs>
                <w:tab w:val="left" w:pos="1440"/>
              </w:tabs>
              <w:rPr>
                <w:color w:val="000000"/>
              </w:rPr>
            </w:pPr>
            <w:r w:rsidRPr="009A649F">
              <w:rPr>
                <w:color w:val="000000"/>
              </w:rPr>
              <w:t xml:space="preserve">The Commission compensates intervenors for reasonable and efficient participation that contributes to the development of the record and aids in decision-making. However, we find that </w:t>
            </w:r>
            <w:proofErr w:type="spellStart"/>
            <w:r>
              <w:rPr>
                <w:color w:val="000000"/>
              </w:rPr>
              <w:t>CforAT</w:t>
            </w:r>
            <w:r w:rsidRPr="009A649F">
              <w:rPr>
                <w:color w:val="000000"/>
              </w:rPr>
              <w:t>'s</w:t>
            </w:r>
            <w:proofErr w:type="spellEnd"/>
            <w:r w:rsidRPr="009A649F">
              <w:rPr>
                <w:color w:val="000000"/>
              </w:rPr>
              <w:t xml:space="preserve"> claimed hours reflect a significant duplication of effort. Specifically, multiple </w:t>
            </w:r>
            <w:proofErr w:type="gramStart"/>
            <w:r w:rsidRPr="009A649F">
              <w:rPr>
                <w:color w:val="000000"/>
              </w:rPr>
              <w:t>representatives—</w:t>
            </w:r>
            <w:proofErr w:type="gramEnd"/>
            <w:r w:rsidRPr="009A649F">
              <w:rPr>
                <w:color w:val="000000"/>
              </w:rPr>
              <w:t>whether attorneys or experts—worked on the same issues, attended the same meetings, hearings, or workshops, and participated in activities where only one representative would have been sufficient, given the relative simplicity or limited scope of the issues involved.</w:t>
            </w:r>
          </w:p>
          <w:p w:rsidRPr="009A649F" w:rsidR="009A649F" w:rsidP="009A649F" w:rsidRDefault="009A649F" w14:paraId="4881F693" w14:textId="77777777">
            <w:pPr>
              <w:tabs>
                <w:tab w:val="left" w:pos="1440"/>
              </w:tabs>
              <w:rPr>
                <w:color w:val="000000"/>
              </w:rPr>
            </w:pPr>
          </w:p>
          <w:p w:rsidR="008F6D13" w:rsidP="009A649F" w:rsidRDefault="009A649F" w14:paraId="372A10DC" w14:textId="77777777">
            <w:pPr>
              <w:tabs>
                <w:tab w:val="left" w:pos="1440"/>
              </w:tabs>
              <w:rPr>
                <w:color w:val="000000"/>
              </w:rPr>
            </w:pPr>
            <w:r w:rsidRPr="009A649F">
              <w:rPr>
                <w:color w:val="000000"/>
              </w:rPr>
              <w:t xml:space="preserve">This level of staffing resulted in unnecessary, redundant, and inefficient participation that did not provide added value to the proceeding. Accordingly, we find that the involvement of multiple representatives in these instances was not justified and resulted in excessive hours. As a result, we reduce the claim by </w:t>
            </w:r>
            <w:r w:rsidR="00BB50B0">
              <w:rPr>
                <w:color w:val="000000"/>
              </w:rPr>
              <w:t>4.05</w:t>
            </w:r>
            <w:r w:rsidRPr="009A649F">
              <w:rPr>
                <w:color w:val="000000"/>
              </w:rPr>
              <w:t xml:space="preserve"> hours to ensure that only reasonable and non-duplicative efforts are compensated</w:t>
            </w:r>
            <w:r w:rsidR="007843A3">
              <w:rPr>
                <w:color w:val="000000"/>
              </w:rPr>
              <w:t>, which breaks down as follows:</w:t>
            </w:r>
          </w:p>
          <w:p w:rsidR="007843A3" w:rsidP="009A649F" w:rsidRDefault="007843A3" w14:paraId="16C81AB6" w14:textId="77777777">
            <w:pPr>
              <w:tabs>
                <w:tab w:val="left" w:pos="1440"/>
              </w:tabs>
              <w:rPr>
                <w:color w:val="000000"/>
              </w:rPr>
            </w:pPr>
          </w:p>
          <w:p w:rsidR="007843A3" w:rsidP="007843A3" w:rsidRDefault="007843A3" w14:paraId="7D3A9F1C" w14:textId="009C2938">
            <w:pPr>
              <w:pStyle w:val="ListBullet"/>
            </w:pPr>
            <w:proofErr w:type="spellStart"/>
            <w:r>
              <w:t>Kasnitz</w:t>
            </w:r>
            <w:proofErr w:type="spellEnd"/>
            <w:r>
              <w:t xml:space="preserve"> 2023:</w:t>
            </w:r>
            <w:r w:rsidR="00FE69B5">
              <w:t xml:space="preserve"> 0.75 hours reduced</w:t>
            </w:r>
          </w:p>
          <w:p w:rsidR="007843A3" w:rsidP="007843A3" w:rsidRDefault="007843A3" w14:paraId="296FE298" w14:textId="6BC46E5F">
            <w:pPr>
              <w:pStyle w:val="ListBullet"/>
            </w:pPr>
            <w:proofErr w:type="spellStart"/>
            <w:r>
              <w:t>Kasnitz</w:t>
            </w:r>
            <w:proofErr w:type="spellEnd"/>
            <w:r>
              <w:t xml:space="preserve"> 2024</w:t>
            </w:r>
            <w:r w:rsidR="00A91078">
              <w:t xml:space="preserve">: </w:t>
            </w:r>
            <w:r w:rsidR="00FE69B5">
              <w:t>0.50 hours reduced</w:t>
            </w:r>
          </w:p>
          <w:p w:rsidR="00A91078" w:rsidP="007843A3" w:rsidRDefault="00A91078" w14:paraId="5DD71CFC" w14:textId="61CAEB93">
            <w:pPr>
              <w:pStyle w:val="ListBullet"/>
            </w:pPr>
            <w:proofErr w:type="spellStart"/>
            <w:r>
              <w:t>Kasnitz</w:t>
            </w:r>
            <w:proofErr w:type="spellEnd"/>
            <w:r>
              <w:t xml:space="preserve"> 2025:</w:t>
            </w:r>
            <w:r w:rsidR="00FE69B5">
              <w:t xml:space="preserve"> 0.85 hours reduced</w:t>
            </w:r>
          </w:p>
          <w:p w:rsidR="00A91078" w:rsidP="007843A3" w:rsidRDefault="00A91078" w14:paraId="0AB14809" w14:textId="46CAAA5D">
            <w:pPr>
              <w:pStyle w:val="ListBullet"/>
            </w:pPr>
            <w:r>
              <w:t>Woodford 2023:</w:t>
            </w:r>
            <w:r w:rsidR="00FE69B5">
              <w:t xml:space="preserve"> </w:t>
            </w:r>
            <w:r w:rsidR="003D6CFD">
              <w:t>0.60 hours reduced</w:t>
            </w:r>
          </w:p>
          <w:p w:rsidR="00A91078" w:rsidP="007843A3" w:rsidRDefault="00A91078" w14:paraId="3DB30004" w14:textId="5AB7CAE8">
            <w:pPr>
              <w:pStyle w:val="ListBullet"/>
            </w:pPr>
            <w:r>
              <w:t xml:space="preserve">Woodford 2024: </w:t>
            </w:r>
            <w:r w:rsidR="003D6CFD">
              <w:t>0.50 hours reduced</w:t>
            </w:r>
          </w:p>
          <w:p w:rsidRPr="00293CE3" w:rsidR="005B1356" w:rsidP="005F4A01" w:rsidRDefault="00A91078" w14:paraId="0F48A63E" w14:textId="60482AC3">
            <w:pPr>
              <w:pStyle w:val="ListBullet"/>
            </w:pPr>
            <w:r>
              <w:t xml:space="preserve">Woodford 2025: </w:t>
            </w:r>
            <w:r w:rsidR="005845A2">
              <w:t>0.85 hours reduced</w:t>
            </w:r>
          </w:p>
        </w:tc>
      </w:tr>
      <w:tr w:rsidRPr="007F620E" w:rsidR="0020744D" w:rsidTr="002B09DE" w14:paraId="7C1FAB60" w14:textId="77777777">
        <w:tc>
          <w:tcPr>
            <w:tcW w:w="1603" w:type="dxa"/>
          </w:tcPr>
          <w:p w:rsidR="0020744D" w:rsidP="00EB64CF" w:rsidRDefault="0020744D" w14:paraId="3F48C391" w14:textId="6FB5DE46">
            <w:pPr>
              <w:tabs>
                <w:tab w:val="left" w:pos="1440"/>
              </w:tabs>
              <w:rPr>
                <w:color w:val="000000"/>
              </w:rPr>
            </w:pPr>
            <w:r>
              <w:rPr>
                <w:color w:val="000000"/>
              </w:rPr>
              <w:t>[</w:t>
            </w:r>
            <w:r w:rsidR="005F4A01">
              <w:rPr>
                <w:color w:val="000000"/>
              </w:rPr>
              <w:t>4</w:t>
            </w:r>
            <w:r>
              <w:rPr>
                <w:color w:val="000000"/>
              </w:rPr>
              <w:t>] Excessive General Partici</w:t>
            </w:r>
            <w:r w:rsidR="009D795D">
              <w:rPr>
                <w:color w:val="000000"/>
              </w:rPr>
              <w:t>p</w:t>
            </w:r>
            <w:r>
              <w:rPr>
                <w:color w:val="000000"/>
              </w:rPr>
              <w:t>ation</w:t>
            </w:r>
          </w:p>
        </w:tc>
        <w:tc>
          <w:tcPr>
            <w:tcW w:w="7757" w:type="dxa"/>
          </w:tcPr>
          <w:p w:rsidR="005F4A01" w:rsidP="005F4A01" w:rsidRDefault="005F4A01" w14:paraId="68CE7104" w14:textId="738C9B24">
            <w:pPr>
              <w:pStyle w:val="ListBullet"/>
              <w:numPr>
                <w:ilvl w:val="0"/>
                <w:numId w:val="0"/>
              </w:numPr>
            </w:pPr>
            <w:r w:rsidRPr="00293CE3">
              <w:t>Per the Intervenor Compensation Program Guide</w:t>
            </w:r>
            <w:r w:rsidR="00ED0C91">
              <w:t xml:space="preserve"> at</w:t>
            </w:r>
            <w:r w:rsidRPr="00293CE3">
              <w:t xml:space="preserve"> 26, timesheet records should not excessively categorize work under </w:t>
            </w:r>
            <w:r w:rsidR="006C07E0">
              <w:t>“</w:t>
            </w:r>
            <w:r w:rsidRPr="00293CE3">
              <w:t>General</w:t>
            </w:r>
            <w:r w:rsidR="006C07E0">
              <w:t>”</w:t>
            </w:r>
            <w:r w:rsidRPr="00293CE3">
              <w:t xml:space="preserve"> participation. Normally</w:t>
            </w:r>
            <w:r w:rsidR="009D795D">
              <w:t>,</w:t>
            </w:r>
            <w:r w:rsidRPr="00293CE3">
              <w:t xml:space="preserve"> </w:t>
            </w:r>
            <w:r w:rsidR="009D795D">
              <w:t>i</w:t>
            </w:r>
            <w:r w:rsidRPr="00293CE3">
              <w:t xml:space="preserve">ntervenors may use the General Participation category for preliminary preparation and analysis required to gain general knowledge of a proceeding, however, this should not be a significant portion of the representative’s time.  Most professional work can be, and must be tied to specific, substantive issues in the </w:t>
            </w:r>
            <w:proofErr w:type="gramStart"/>
            <w:r w:rsidRPr="00293CE3">
              <w:t>proceeding</w:t>
            </w:r>
            <w:proofErr w:type="gramEnd"/>
            <w:r w:rsidRPr="00293CE3">
              <w:t xml:space="preserve">.  In this case, the timesheet records show that </w:t>
            </w:r>
            <w:proofErr w:type="spellStart"/>
            <w:r>
              <w:t>Kasnitz</w:t>
            </w:r>
            <w:proofErr w:type="spellEnd"/>
            <w:r w:rsidRPr="00293CE3">
              <w:t xml:space="preserve"> dedicated </w:t>
            </w:r>
            <w:r>
              <w:t xml:space="preserve">4.60 hours, or over a third </w:t>
            </w:r>
            <w:r w:rsidRPr="00293CE3">
              <w:t xml:space="preserve">of </w:t>
            </w:r>
            <w:r>
              <w:t>Kaznitz’s</w:t>
            </w:r>
            <w:r w:rsidRPr="00293CE3">
              <w:t xml:space="preserve"> total time</w:t>
            </w:r>
            <w:r>
              <w:t>,</w:t>
            </w:r>
            <w:r w:rsidRPr="00293CE3">
              <w:t xml:space="preserve"> to general participation. We find this amount excessive. </w:t>
            </w:r>
          </w:p>
          <w:p w:rsidR="005F4A01" w:rsidP="005F4A01" w:rsidRDefault="005F4A01" w14:paraId="52D28430" w14:textId="77777777">
            <w:pPr>
              <w:pStyle w:val="ListBullet"/>
              <w:numPr>
                <w:ilvl w:val="0"/>
                <w:numId w:val="0"/>
              </w:numPr>
            </w:pPr>
          </w:p>
          <w:p w:rsidR="0020744D" w:rsidP="005F4A01" w:rsidRDefault="005F4A01" w14:paraId="658360A6" w14:textId="71260831">
            <w:pPr>
              <w:tabs>
                <w:tab w:val="left" w:pos="1440"/>
              </w:tabs>
              <w:rPr>
                <w:color w:val="000000"/>
                <w:u w:val="single"/>
              </w:rPr>
            </w:pPr>
            <w:r>
              <w:t xml:space="preserve">We find the 2.00 hours </w:t>
            </w:r>
            <w:proofErr w:type="spellStart"/>
            <w:r>
              <w:t>Kasnitz</w:t>
            </w:r>
            <w:proofErr w:type="spellEnd"/>
            <w:r>
              <w:t xml:space="preserve"> spent in 2023 attending the prehearing conference and reviewing the scoping memo to be reasonable. However, we find the 2.60 hours of </w:t>
            </w:r>
            <w:proofErr w:type="spellStart"/>
            <w:r>
              <w:t>Kasnitz’s</w:t>
            </w:r>
            <w:proofErr w:type="spellEnd"/>
            <w:r>
              <w:t xml:space="preserve"> general participation in 2025 to be excessive. </w:t>
            </w:r>
            <w:r w:rsidRPr="00293CE3">
              <w:lastRenderedPageBreak/>
              <w:t xml:space="preserve">Accordingly, we are reducing </w:t>
            </w:r>
            <w:r>
              <w:t xml:space="preserve">1.50 hours of </w:t>
            </w:r>
            <w:proofErr w:type="spellStart"/>
            <w:r>
              <w:t>Kasnitz’s</w:t>
            </w:r>
            <w:proofErr w:type="spellEnd"/>
            <w:r>
              <w:t xml:space="preserve"> 2025</w:t>
            </w:r>
            <w:r w:rsidRPr="00293CE3">
              <w:t xml:space="preserve"> general participation hours because they were not adequately linked to specific issues or shown to have contributed meaningfully to the Commission’s decision-making process.</w:t>
            </w:r>
          </w:p>
        </w:tc>
      </w:tr>
      <w:tr w:rsidRPr="007F620E" w:rsidR="0020744D" w:rsidTr="002B09DE" w14:paraId="31DCB17C" w14:textId="77777777">
        <w:tc>
          <w:tcPr>
            <w:tcW w:w="1603" w:type="dxa"/>
          </w:tcPr>
          <w:p w:rsidR="0020744D" w:rsidP="00EB64CF" w:rsidRDefault="0020744D" w14:paraId="324734F6" w14:textId="7D21E3D9">
            <w:pPr>
              <w:tabs>
                <w:tab w:val="left" w:pos="1440"/>
              </w:tabs>
              <w:rPr>
                <w:color w:val="000000"/>
              </w:rPr>
            </w:pPr>
            <w:r>
              <w:rPr>
                <w:color w:val="000000"/>
              </w:rPr>
              <w:lastRenderedPageBreak/>
              <w:t>[</w:t>
            </w:r>
            <w:r w:rsidR="005F4A01">
              <w:rPr>
                <w:color w:val="000000"/>
              </w:rPr>
              <w:t>5</w:t>
            </w:r>
            <w:r>
              <w:rPr>
                <w:color w:val="000000"/>
              </w:rPr>
              <w:t>] Claim Preparation Reduction</w:t>
            </w:r>
          </w:p>
        </w:tc>
        <w:tc>
          <w:tcPr>
            <w:tcW w:w="7757" w:type="dxa"/>
          </w:tcPr>
          <w:p w:rsidRPr="003511D4" w:rsidR="0020744D" w:rsidP="0020744D" w:rsidRDefault="0020744D" w14:paraId="0CD50F4A" w14:textId="77777777">
            <w:pPr>
              <w:pStyle w:val="ListBullet"/>
              <w:numPr>
                <w:ilvl w:val="0"/>
                <w:numId w:val="0"/>
              </w:numPr>
              <w:rPr>
                <w:u w:val="single"/>
              </w:rPr>
            </w:pPr>
            <w:r>
              <w:rPr>
                <w:u w:val="single"/>
              </w:rPr>
              <w:t>Excessive Hours Preparing This Request for Compensation</w:t>
            </w:r>
          </w:p>
          <w:p w:rsidR="0020744D" w:rsidP="0020744D" w:rsidRDefault="0020744D" w14:paraId="64B84E37" w14:textId="77777777">
            <w:pPr>
              <w:pStyle w:val="ListBullet"/>
              <w:numPr>
                <w:ilvl w:val="0"/>
                <w:numId w:val="0"/>
              </w:numPr>
            </w:pPr>
            <w:proofErr w:type="spellStart"/>
            <w:r>
              <w:t>CforAT</w:t>
            </w:r>
            <w:proofErr w:type="spellEnd"/>
            <w:r>
              <w:t xml:space="preserve"> claimed 7.20 hours for preparation of the intervenor compensation request. While the claim was detailed, well-organized, and generally compliant with Commission requirements, we find the preparation hours excessive given the scope of issues and overall scale of the request.</w:t>
            </w:r>
          </w:p>
          <w:p w:rsidR="0020744D" w:rsidP="0020744D" w:rsidRDefault="0020744D" w14:paraId="0D9D8700" w14:textId="77777777">
            <w:pPr>
              <w:pStyle w:val="ListBullet"/>
              <w:numPr>
                <w:ilvl w:val="0"/>
                <w:numId w:val="0"/>
              </w:numPr>
              <w:ind w:left="360" w:hanging="360"/>
            </w:pPr>
          </w:p>
          <w:p w:rsidR="0020744D" w:rsidP="0020744D" w:rsidRDefault="0020744D" w14:paraId="6F50B781" w14:textId="77777777">
            <w:pPr>
              <w:pStyle w:val="ListBullet"/>
              <w:numPr>
                <w:ilvl w:val="0"/>
                <w:numId w:val="0"/>
              </w:numPr>
            </w:pPr>
            <w:proofErr w:type="spellStart"/>
            <w:r>
              <w:t>CforAT</w:t>
            </w:r>
            <w:proofErr w:type="spellEnd"/>
            <w:r>
              <w:t xml:space="preserve"> has significant experience practicing before the Commission and preparing similar claims, and we would expect greater efficiency in compiling this request. Additionally, </w:t>
            </w:r>
            <w:proofErr w:type="spellStart"/>
            <w:r>
              <w:t>CforAT</w:t>
            </w:r>
            <w:proofErr w:type="spellEnd"/>
            <w:r>
              <w:t xml:space="preserve"> did not provide a rationale explaining why this </w:t>
            </w:r>
            <w:proofErr w:type="gramStart"/>
            <w:r>
              <w:t>particular claim</w:t>
            </w:r>
            <w:proofErr w:type="gramEnd"/>
            <w:r>
              <w:t>—smaller in scale than some of their previous submissions—required this level of effort.</w:t>
            </w:r>
          </w:p>
          <w:p w:rsidR="0020744D" w:rsidP="0020744D" w:rsidRDefault="0020744D" w14:paraId="069CCC06" w14:textId="77777777">
            <w:pPr>
              <w:pStyle w:val="ListBullet"/>
              <w:numPr>
                <w:ilvl w:val="0"/>
                <w:numId w:val="0"/>
              </w:numPr>
              <w:ind w:left="360" w:hanging="360"/>
            </w:pPr>
          </w:p>
          <w:p w:rsidR="0020744D" w:rsidP="0020744D" w:rsidRDefault="0020744D" w14:paraId="484BB4E8" w14:textId="77777777">
            <w:pPr>
              <w:pStyle w:val="ListBullet"/>
              <w:numPr>
                <w:ilvl w:val="0"/>
                <w:numId w:val="0"/>
              </w:numPr>
            </w:pPr>
            <w:r>
              <w:t>Accordingly, we reduce the claimed hours by 2.50 hours, awarding 4.70 hours for claim preparation, which we break down below. This adjustment better reflects the complexity and scale of the request.</w:t>
            </w:r>
          </w:p>
          <w:p w:rsidR="0020744D" w:rsidP="0020744D" w:rsidRDefault="0020744D" w14:paraId="1B680100" w14:textId="77777777">
            <w:pPr>
              <w:pStyle w:val="ListBullet"/>
              <w:numPr>
                <w:ilvl w:val="0"/>
                <w:numId w:val="0"/>
              </w:numPr>
            </w:pPr>
          </w:p>
          <w:p w:rsidR="006C07E0" w:rsidP="006C07E0" w:rsidRDefault="0020744D" w14:paraId="04C46F98" w14:textId="77777777">
            <w:pPr>
              <w:pStyle w:val="ListBullet"/>
            </w:pPr>
            <w:proofErr w:type="spellStart"/>
            <w:r>
              <w:t>Kasnitz’s</w:t>
            </w:r>
            <w:proofErr w:type="spellEnd"/>
            <w:r>
              <w:t xml:space="preserve"> 2025 Claim Preparation: 0.75 hours reduced</w:t>
            </w:r>
          </w:p>
          <w:p w:rsidRPr="006C07E0" w:rsidR="0020744D" w:rsidP="006C07E0" w:rsidRDefault="0020744D" w14:paraId="70C788EC" w14:textId="10937A38">
            <w:pPr>
              <w:pStyle w:val="ListBullet"/>
            </w:pPr>
            <w:r>
              <w:t>Sweetnam’s 2025 Claim Preparation: 1.75 hours reduced</w:t>
            </w:r>
          </w:p>
        </w:tc>
      </w:tr>
    </w:tbl>
    <w:p w:rsidRPr="007F620E" w:rsidR="00A92D0B" w:rsidP="00FA2396" w:rsidRDefault="00A92D0B" w14:paraId="18E9D359" w14:textId="6CF07914">
      <w:pPr>
        <w:keepNext/>
        <w:tabs>
          <w:tab w:val="left" w:pos="1260"/>
        </w:tabs>
        <w:spacing w:before="360"/>
        <w:jc w:val="center"/>
        <w:rPr>
          <w:b/>
          <w:color w:val="000000"/>
        </w:rPr>
      </w:pPr>
      <w:r w:rsidRPr="007F620E">
        <w:rPr>
          <w:b/>
          <w:color w:val="000000"/>
        </w:rPr>
        <w:t>PART IV</w:t>
      </w:r>
      <w:proofErr w:type="gramStart"/>
      <w:r w:rsidRPr="007F620E">
        <w:rPr>
          <w:b/>
          <w:color w:val="000000"/>
        </w:rPr>
        <w:t>:</w:t>
      </w:r>
      <w:r w:rsidR="00D1778A">
        <w:rPr>
          <w:b/>
          <w:color w:val="000000"/>
        </w:rPr>
        <w:t xml:space="preserve">  </w:t>
      </w:r>
      <w:r w:rsidRPr="007F620E">
        <w:rPr>
          <w:b/>
          <w:color w:val="000000"/>
        </w:rPr>
        <w:t>OPPOSITIONS</w:t>
      </w:r>
      <w:proofErr w:type="gramEnd"/>
      <w:r w:rsidRPr="007F620E">
        <w:rPr>
          <w:b/>
          <w:color w:val="000000"/>
        </w:rPr>
        <w:t xml:space="preserve"> AND COMMENTS</w:t>
      </w:r>
    </w:p>
    <w:p w:rsidR="00D1778A" w:rsidP="00575494" w:rsidRDefault="00A92D0B" w14:paraId="4E460EA0" w14:textId="77777777">
      <w:pPr>
        <w:keepNext/>
        <w:tabs>
          <w:tab w:val="left" w:pos="1260"/>
        </w:tabs>
        <w:ind w:left="1267" w:hanging="1267"/>
        <w:jc w:val="center"/>
        <w:rPr>
          <w:b/>
          <w:color w:val="000000"/>
        </w:rPr>
      </w:pPr>
      <w:r w:rsidRPr="007F620E">
        <w:rPr>
          <w:b/>
          <w:color w:val="000000"/>
        </w:rPr>
        <w:t>Within 30 days after service of this Claim, Commission Staff</w:t>
      </w:r>
    </w:p>
    <w:p w:rsidRPr="007F620E" w:rsidR="00A92D0B" w:rsidP="00575494" w:rsidRDefault="00F20061" w14:paraId="5D5DC317" w14:textId="6B3AEA94">
      <w:pPr>
        <w:keepNext/>
        <w:tabs>
          <w:tab w:val="left" w:pos="1260"/>
        </w:tabs>
        <w:spacing w:after="240"/>
        <w:ind w:left="1267" w:hanging="1267"/>
        <w:jc w:val="center"/>
        <w:rPr>
          <w:b/>
          <w:color w:val="000000"/>
        </w:rPr>
      </w:pPr>
      <w:r>
        <w:rPr>
          <w:b/>
          <w:color w:val="000000"/>
        </w:rPr>
        <w:t xml:space="preserve"> </w:t>
      </w:r>
      <w:r w:rsidRPr="007F620E" w:rsidR="00A92D0B">
        <w:rPr>
          <w:b/>
          <w:color w:val="000000"/>
        </w:rPr>
        <w:t>or any other party may file a response to the Claim (</w:t>
      </w:r>
      <w:r w:rsidRPr="007F620E" w:rsidR="00A92D0B">
        <w:rPr>
          <w:b/>
          <w:i/>
          <w:color w:val="000000"/>
        </w:rPr>
        <w:t>see</w:t>
      </w:r>
      <w:r w:rsidRPr="007F620E" w:rsidR="00A92D0B">
        <w:rPr>
          <w:b/>
          <w:color w:val="000000"/>
        </w:rPr>
        <w:t xml:space="preserve"> § 1804(c))</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6"/>
        <w:gridCol w:w="2024"/>
      </w:tblGrid>
      <w:tr w:rsidRPr="007F620E" w:rsidR="00A92D0B" w:rsidTr="005A3018" w14:paraId="46A51699" w14:textId="77777777">
        <w:tc>
          <w:tcPr>
            <w:tcW w:w="7336" w:type="dxa"/>
          </w:tcPr>
          <w:p w:rsidRPr="007F620E" w:rsidR="00A92D0B" w:rsidP="005A3018" w:rsidRDefault="00A92D0B" w14:paraId="607B1FB9" w14:textId="639D7800">
            <w:pPr>
              <w:ind w:left="360" w:hanging="360"/>
              <w:rPr>
                <w:color w:val="000000"/>
              </w:rPr>
            </w:pPr>
            <w:r w:rsidRPr="007F620E">
              <w:rPr>
                <w:b/>
                <w:color w:val="000000"/>
              </w:rPr>
              <w:t>A.</w:t>
            </w:r>
            <w:r w:rsidR="005A3018">
              <w:rPr>
                <w:b/>
                <w:color w:val="000000"/>
              </w:rPr>
              <w:tab/>
            </w:r>
            <w:r w:rsidRPr="007F620E">
              <w:rPr>
                <w:b/>
                <w:color w:val="000000"/>
              </w:rPr>
              <w:t>Opposition:  Did any party oppose the Claim?</w:t>
            </w:r>
          </w:p>
        </w:tc>
        <w:tc>
          <w:tcPr>
            <w:tcW w:w="2024" w:type="dxa"/>
          </w:tcPr>
          <w:p w:rsidRPr="007F620E" w:rsidR="00A92D0B" w:rsidP="005A3018" w:rsidRDefault="00243040" w14:paraId="6E7CD931" w14:textId="52F587B5">
            <w:pPr>
              <w:rPr>
                <w:color w:val="000000"/>
              </w:rPr>
            </w:pPr>
            <w:r>
              <w:rPr>
                <w:color w:val="000000"/>
              </w:rPr>
              <w:t>No</w:t>
            </w:r>
          </w:p>
        </w:tc>
      </w:tr>
      <w:tr w:rsidRPr="007F620E" w:rsidR="00A92D0B" w:rsidTr="00243040" w14:paraId="7A0D8740" w14:textId="77777777">
        <w:tc>
          <w:tcPr>
            <w:tcW w:w="7338" w:type="dxa"/>
          </w:tcPr>
          <w:p w:rsidRPr="007F620E" w:rsidR="00A92D0B" w:rsidP="005A3018" w:rsidRDefault="00A92D0B" w14:paraId="37D28D8D" w14:textId="4DD2F575">
            <w:pPr>
              <w:ind w:left="360" w:hanging="360"/>
              <w:rPr>
                <w:color w:val="000000"/>
              </w:rPr>
            </w:pPr>
            <w:r w:rsidRPr="007F620E">
              <w:rPr>
                <w:b/>
                <w:color w:val="000000"/>
              </w:rPr>
              <w:t>B.</w:t>
            </w:r>
            <w:r w:rsidR="005A3018">
              <w:rPr>
                <w:b/>
                <w:color w:val="000000"/>
              </w:rPr>
              <w:tab/>
            </w:r>
            <w:r w:rsidRPr="007F620E">
              <w:rPr>
                <w:b/>
                <w:color w:val="000000"/>
              </w:rPr>
              <w:t>Comment Period</w:t>
            </w:r>
            <w:proofErr w:type="gramStart"/>
            <w:r w:rsidRPr="007F620E">
              <w:rPr>
                <w:b/>
                <w:color w:val="000000"/>
              </w:rPr>
              <w:t>:  Was</w:t>
            </w:r>
            <w:proofErr w:type="gramEnd"/>
            <w:r w:rsidRPr="007F620E">
              <w:rPr>
                <w:b/>
                <w:color w:val="000000"/>
              </w:rPr>
              <w:t xml:space="preserve"> the 30-day comment period waived (</w:t>
            </w:r>
            <w:r w:rsidRPr="007F620E">
              <w:rPr>
                <w:b/>
                <w:i/>
                <w:color w:val="000000"/>
              </w:rPr>
              <w:t>see</w:t>
            </w:r>
            <w:r w:rsidR="00A60203">
              <w:rPr>
                <w:b/>
                <w:color w:val="000000"/>
              </w:rPr>
              <w:t> </w:t>
            </w:r>
            <w:r w:rsidRPr="007F620E">
              <w:rPr>
                <w:b/>
                <w:color w:val="000000"/>
              </w:rPr>
              <w:t>Rule 14.6(</w:t>
            </w:r>
            <w:r w:rsidRPr="007F620E" w:rsidR="00963EEF">
              <w:rPr>
                <w:b/>
                <w:color w:val="000000"/>
              </w:rPr>
              <w:t>c</w:t>
            </w:r>
            <w:r w:rsidRPr="007F620E">
              <w:rPr>
                <w:b/>
                <w:color w:val="000000"/>
              </w:rPr>
              <w:t>)(6))?</w:t>
            </w:r>
          </w:p>
        </w:tc>
        <w:tc>
          <w:tcPr>
            <w:tcW w:w="2022" w:type="dxa"/>
          </w:tcPr>
          <w:p w:rsidRPr="007F620E" w:rsidR="00A92D0B" w:rsidP="00DE3A5D" w:rsidRDefault="0095722B" w14:paraId="238D2D3F" w14:textId="19802526">
            <w:pPr>
              <w:keepNext/>
              <w:keepLines/>
              <w:spacing w:after="240"/>
              <w:rPr>
                <w:color w:val="000000"/>
              </w:rPr>
            </w:pPr>
            <w:r>
              <w:rPr>
                <w:color w:val="000000"/>
              </w:rPr>
              <w:t>Yes</w:t>
            </w:r>
          </w:p>
        </w:tc>
      </w:tr>
    </w:tbl>
    <w:p w:rsidRPr="007F620E" w:rsidR="00A92D0B" w:rsidP="00FA2396" w:rsidRDefault="00A92D0B" w14:paraId="186E115A" w14:textId="77777777">
      <w:pPr>
        <w:keepNext/>
        <w:spacing w:before="360" w:after="240"/>
        <w:jc w:val="center"/>
        <w:rPr>
          <w:b/>
          <w:color w:val="000000"/>
          <w:u w:val="single"/>
        </w:rPr>
      </w:pPr>
      <w:r w:rsidRPr="007F620E">
        <w:rPr>
          <w:b/>
          <w:color w:val="000000"/>
          <w:u w:val="single"/>
        </w:rPr>
        <w:t>FINDINGS OF FACT</w:t>
      </w:r>
    </w:p>
    <w:p w:rsidRPr="007F620E" w:rsidR="00A92D0B" w:rsidRDefault="00B50689" w14:paraId="7772A9DC" w14:textId="0ADCE93E">
      <w:pPr>
        <w:numPr>
          <w:ilvl w:val="0"/>
          <w:numId w:val="3"/>
        </w:numPr>
        <w:tabs>
          <w:tab w:val="num" w:pos="540"/>
        </w:tabs>
        <w:ind w:left="540" w:hanging="540"/>
      </w:pPr>
      <w:r w:rsidRPr="006D5809">
        <w:rPr>
          <w:bCs/>
          <w:color w:val="000000"/>
        </w:rPr>
        <w:t xml:space="preserve">Center </w:t>
      </w:r>
      <w:r>
        <w:rPr>
          <w:bCs/>
          <w:color w:val="000000"/>
        </w:rPr>
        <w:t>f</w:t>
      </w:r>
      <w:r w:rsidRPr="006D5809">
        <w:rPr>
          <w:bCs/>
          <w:color w:val="000000"/>
        </w:rPr>
        <w:t>or Accessible Technology</w:t>
      </w:r>
      <w:r w:rsidRPr="007F620E">
        <w:t xml:space="preserve"> </w:t>
      </w:r>
      <w:r w:rsidRPr="007F620E" w:rsidR="00A92D0B">
        <w:t>has made a substantia</w:t>
      </w:r>
      <w:r w:rsidRPr="007F620E" w:rsidR="00DE3A5D">
        <w:t>l contribution to D</w:t>
      </w:r>
      <w:r w:rsidR="00E012B8">
        <w:t>.25-09-030</w:t>
      </w:r>
      <w:r w:rsidRPr="007F620E" w:rsidR="00A92D0B">
        <w:t>.</w:t>
      </w:r>
    </w:p>
    <w:p w:rsidRPr="007F620E" w:rsidR="00A92D0B" w:rsidRDefault="00A92D0B" w14:paraId="04EB50FD" w14:textId="55E47254">
      <w:pPr>
        <w:numPr>
          <w:ilvl w:val="0"/>
          <w:numId w:val="3"/>
        </w:numPr>
        <w:tabs>
          <w:tab w:val="num" w:pos="540"/>
        </w:tabs>
        <w:spacing w:before="240"/>
      </w:pPr>
      <w:r w:rsidRPr="007F620E">
        <w:t>The requested hourly rates for</w:t>
      </w:r>
      <w:r w:rsidR="003B6A1B">
        <w:t xml:space="preserve"> </w:t>
      </w:r>
      <w:r w:rsidRPr="005C566B" w:rsidR="005C566B">
        <w:rPr>
          <w:bCs/>
          <w:color w:val="000000"/>
        </w:rPr>
        <w:t>Center for Accessible Technology</w:t>
      </w:r>
      <w:r w:rsidRPr="005C566B" w:rsidR="005C566B">
        <w:rPr>
          <w:bCs/>
        </w:rPr>
        <w:t>’s</w:t>
      </w:r>
      <w:r w:rsidRPr="007F620E" w:rsidR="005C566B">
        <w:t xml:space="preserve"> </w:t>
      </w:r>
      <w:r w:rsidRPr="007F620E">
        <w:t>representatives,</w:t>
      </w:r>
      <w:r w:rsidR="003B5EAC">
        <w:t xml:space="preserve"> </w:t>
      </w:r>
      <w:r w:rsidRPr="007F620E">
        <w:t>as adjusted herein, are comparable to market rates paid to experts and advocates having comparable training and experience and offering similar services.</w:t>
      </w:r>
    </w:p>
    <w:p w:rsidRPr="007F620E" w:rsidR="00A92D0B" w:rsidRDefault="00A92D0B" w14:paraId="528EBB52" w14:textId="622CCB48">
      <w:pPr>
        <w:numPr>
          <w:ilvl w:val="0"/>
          <w:numId w:val="3"/>
        </w:numPr>
        <w:tabs>
          <w:tab w:val="num" w:pos="540"/>
        </w:tabs>
        <w:spacing w:before="240"/>
      </w:pPr>
      <w:r w:rsidRPr="007F620E">
        <w:t>The claimed costs and expenses,</w:t>
      </w:r>
      <w:r w:rsidR="003B5EAC">
        <w:t xml:space="preserve"> </w:t>
      </w:r>
      <w:r w:rsidRPr="007F620E">
        <w:t xml:space="preserve">as adjusted herein, are reasonable and commensurate with the work performed. </w:t>
      </w:r>
    </w:p>
    <w:p w:rsidRPr="007F620E" w:rsidR="00A92D0B" w:rsidRDefault="00A92D0B" w14:paraId="48B52895" w14:textId="6C667C81">
      <w:pPr>
        <w:numPr>
          <w:ilvl w:val="0"/>
          <w:numId w:val="3"/>
        </w:numPr>
        <w:tabs>
          <w:tab w:val="num" w:pos="540"/>
        </w:tabs>
        <w:spacing w:before="240"/>
      </w:pPr>
      <w:r w:rsidRPr="007F620E">
        <w:t xml:space="preserve">The total of reasonable </w:t>
      </w:r>
      <w:r w:rsidRPr="007F620E" w:rsidR="003C608A">
        <w:t xml:space="preserve">compensation </w:t>
      </w:r>
      <w:r w:rsidRPr="007F620E">
        <w:t xml:space="preserve">is </w:t>
      </w:r>
      <w:r w:rsidRPr="00004698" w:rsidR="00004698">
        <w:t>$11,061.26</w:t>
      </w:r>
      <w:r w:rsidR="00004698">
        <w:t>.</w:t>
      </w:r>
    </w:p>
    <w:p w:rsidRPr="007F620E" w:rsidR="00A92D0B" w:rsidP="00FA2396" w:rsidRDefault="00A92D0B" w14:paraId="5C773C3F" w14:textId="77777777">
      <w:pPr>
        <w:keepNext/>
        <w:spacing w:before="360" w:after="240"/>
        <w:jc w:val="center"/>
        <w:rPr>
          <w:b/>
          <w:color w:val="000000"/>
          <w:u w:val="single"/>
        </w:rPr>
      </w:pPr>
      <w:r w:rsidRPr="007F620E">
        <w:rPr>
          <w:b/>
          <w:color w:val="000000"/>
          <w:u w:val="single"/>
        </w:rPr>
        <w:lastRenderedPageBreak/>
        <w:t>CONCLUSION OF LAW</w:t>
      </w:r>
    </w:p>
    <w:p w:rsidRPr="007F620E" w:rsidR="00A92D0B" w:rsidP="00575494" w:rsidRDefault="00A92D0B" w14:paraId="654F2C27" w14:textId="500524FC">
      <w:pPr>
        <w:numPr>
          <w:ilvl w:val="0"/>
          <w:numId w:val="10"/>
        </w:numPr>
        <w:spacing w:before="240"/>
        <w:rPr>
          <w:color w:val="000000"/>
        </w:rPr>
      </w:pPr>
      <w:r w:rsidRPr="00575494">
        <w:t>The</w:t>
      </w:r>
      <w:r w:rsidRPr="007F620E">
        <w:rPr>
          <w:color w:val="000000"/>
        </w:rPr>
        <w:t xml:space="preserve"> Claim, with any adjustment set forth above, satisfies</w:t>
      </w:r>
      <w:r w:rsidRPr="007F620E" w:rsidR="00DE3A5D">
        <w:rPr>
          <w:color w:val="000000"/>
        </w:rPr>
        <w:t xml:space="preserve"> all requirements of Pub. Util.</w:t>
      </w:r>
      <w:r w:rsidRPr="007F620E">
        <w:rPr>
          <w:color w:val="000000"/>
        </w:rPr>
        <w:t xml:space="preserve"> Code §§ 1801-1812.</w:t>
      </w:r>
    </w:p>
    <w:p w:rsidRPr="007F620E" w:rsidR="00A92D0B" w:rsidP="00FA2396" w:rsidRDefault="00A92D0B" w14:paraId="0E2503A5" w14:textId="77777777">
      <w:pPr>
        <w:keepNext/>
        <w:spacing w:before="360" w:after="240"/>
        <w:jc w:val="center"/>
        <w:rPr>
          <w:b/>
          <w:color w:val="000000"/>
          <w:u w:val="single"/>
        </w:rPr>
      </w:pPr>
      <w:r w:rsidRPr="007F620E">
        <w:rPr>
          <w:b/>
          <w:color w:val="000000"/>
          <w:u w:val="single"/>
        </w:rPr>
        <w:t>ORDER</w:t>
      </w:r>
    </w:p>
    <w:p w:rsidRPr="007F620E" w:rsidR="00A92D0B" w:rsidP="00CE057B" w:rsidRDefault="005C566B" w14:paraId="33FB4E15" w14:textId="3CD12813">
      <w:pPr>
        <w:keepNext/>
        <w:numPr>
          <w:ilvl w:val="0"/>
          <w:numId w:val="4"/>
        </w:numPr>
        <w:tabs>
          <w:tab w:val="clear" w:pos="900"/>
          <w:tab w:val="num" w:pos="540"/>
        </w:tabs>
        <w:ind w:left="547" w:hanging="547"/>
        <w:rPr>
          <w:color w:val="000000"/>
        </w:rPr>
      </w:pPr>
      <w:r w:rsidRPr="005C566B">
        <w:rPr>
          <w:bCs/>
          <w:color w:val="000000"/>
        </w:rPr>
        <w:t xml:space="preserve">Center </w:t>
      </w:r>
      <w:r>
        <w:rPr>
          <w:bCs/>
          <w:color w:val="000000"/>
        </w:rPr>
        <w:t>f</w:t>
      </w:r>
      <w:r w:rsidRPr="005C566B">
        <w:rPr>
          <w:bCs/>
          <w:color w:val="000000"/>
        </w:rPr>
        <w:t>or Accessible Technology</w:t>
      </w:r>
      <w:r w:rsidRPr="00FE3BAE">
        <w:t xml:space="preserve"> </w:t>
      </w:r>
      <w:r w:rsidR="00831652">
        <w:t>is</w:t>
      </w:r>
      <w:r w:rsidRPr="00FE3BAE" w:rsidR="00FE3BAE">
        <w:t xml:space="preserve"> </w:t>
      </w:r>
      <w:r w:rsidRPr="00FE3BAE" w:rsidR="00A92D0B">
        <w:rPr>
          <w:color w:val="000000"/>
        </w:rPr>
        <w:t xml:space="preserve">awarded </w:t>
      </w:r>
      <w:r w:rsidRPr="00004698" w:rsidR="00004698">
        <w:rPr>
          <w:color w:val="000000"/>
        </w:rPr>
        <w:t>$11,061.26</w:t>
      </w:r>
      <w:r w:rsidR="00004698">
        <w:rPr>
          <w:color w:val="000000"/>
        </w:rPr>
        <w:t>.</w:t>
      </w:r>
    </w:p>
    <w:p w:rsidR="00A92D0B" w:rsidRDefault="00A92D0B" w14:paraId="4AEF5671" w14:textId="37A00070">
      <w:pPr>
        <w:numPr>
          <w:ilvl w:val="0"/>
          <w:numId w:val="4"/>
        </w:numPr>
        <w:tabs>
          <w:tab w:val="clear" w:pos="900"/>
          <w:tab w:val="num" w:pos="540"/>
        </w:tabs>
        <w:spacing w:before="240"/>
        <w:ind w:left="547" w:hanging="547"/>
      </w:pPr>
      <w:r w:rsidRPr="007F620E">
        <w:t xml:space="preserve">Within 30 days of the effective date of this decision, </w:t>
      </w:r>
      <w:r w:rsidR="00243040">
        <w:t>Southern California Edison Company</w:t>
      </w:r>
      <w:r w:rsidRPr="007F620E" w:rsidR="00243040">
        <w:t xml:space="preserve"> </w:t>
      </w:r>
      <w:r w:rsidRPr="007F620E">
        <w:t xml:space="preserve">shall pay </w:t>
      </w:r>
      <w:r w:rsidRPr="00243040" w:rsidR="00243040">
        <w:t xml:space="preserve">Center for Accessible Technology </w:t>
      </w:r>
      <w:r w:rsidRPr="00243040">
        <w:t>the total award.</w:t>
      </w:r>
      <w:r w:rsidRPr="007F620E">
        <w:t xml:space="preserve"> Payment of the award </w:t>
      </w:r>
      <w:r w:rsidRPr="00831652">
        <w:t>shall</w:t>
      </w:r>
      <w:r w:rsidRPr="007F620E">
        <w:t xml:space="preserve"> include</w:t>
      </w:r>
      <w:r w:rsidRPr="007F620E" w:rsidR="004E3939">
        <w:t xml:space="preserve"> compound </w:t>
      </w:r>
      <w:r w:rsidRPr="007F620E">
        <w:t xml:space="preserve">interest at the rate earned on prime, three-month </w:t>
      </w:r>
      <w:r w:rsidRPr="007F620E" w:rsidR="00214B22">
        <w:t xml:space="preserve">non-financial </w:t>
      </w:r>
      <w:r w:rsidRPr="007F620E">
        <w:t>commercial paper as reported in Federal Reserve Statistical Release H.15, beginning</w:t>
      </w:r>
      <w:r w:rsidRPr="007F620E" w:rsidR="00357F1A">
        <w:t xml:space="preserve"> </w:t>
      </w:r>
      <w:r w:rsidR="002F26C2">
        <w:t>February 7, 2026</w:t>
      </w:r>
      <w:r w:rsidRPr="007F620E" w:rsidR="00357F1A">
        <w:t xml:space="preserve">, </w:t>
      </w:r>
      <w:r w:rsidRPr="007F620E">
        <w:t>the 75</w:t>
      </w:r>
      <w:r w:rsidRPr="007F620E">
        <w:rPr>
          <w:vertAlign w:val="superscript"/>
        </w:rPr>
        <w:t>th</w:t>
      </w:r>
      <w:r w:rsidRPr="007F620E">
        <w:t xml:space="preserve"> day after the filing of </w:t>
      </w:r>
      <w:r w:rsidRPr="002F26C2" w:rsidR="002F26C2">
        <w:t>Center for Accessible Technology’s</w:t>
      </w:r>
      <w:r w:rsidRPr="003B6A1B" w:rsidR="002F26C2">
        <w:rPr>
          <w:b/>
        </w:rPr>
        <w:t xml:space="preserve"> </w:t>
      </w:r>
      <w:r w:rsidRPr="007F620E">
        <w:t>request, and continuing until full payment is made.</w:t>
      </w:r>
    </w:p>
    <w:p w:rsidRPr="007F620E" w:rsidR="00A92D0B" w:rsidP="00DE3A5D" w:rsidRDefault="00A92D0B" w14:paraId="5AD40C95" w14:textId="3277F44A">
      <w:pPr>
        <w:keepNext/>
        <w:keepLines/>
        <w:numPr>
          <w:ilvl w:val="0"/>
          <w:numId w:val="4"/>
        </w:numPr>
        <w:tabs>
          <w:tab w:val="clear" w:pos="900"/>
          <w:tab w:val="num" w:pos="540"/>
        </w:tabs>
        <w:spacing w:before="240"/>
        <w:ind w:left="547" w:hanging="547"/>
      </w:pPr>
      <w:r w:rsidRPr="007F620E">
        <w:t>The comment period for today’s decision is</w:t>
      </w:r>
      <w:r w:rsidR="005C566B">
        <w:t xml:space="preserve"> </w:t>
      </w:r>
      <w:r w:rsidRPr="007F620E">
        <w:t>waived.</w:t>
      </w:r>
    </w:p>
    <w:p w:rsidRPr="007F620E" w:rsidR="00A92D0B" w:rsidP="00467E65" w:rsidRDefault="00A92D0B" w14:paraId="13F3A0AD" w14:textId="77777777">
      <w:pPr>
        <w:keepNext/>
        <w:keepLines/>
        <w:spacing w:before="240"/>
        <w:ind w:left="547"/>
        <w:rPr>
          <w:color w:val="000000"/>
        </w:rPr>
      </w:pPr>
      <w:r w:rsidRPr="007F620E">
        <w:rPr>
          <w:color w:val="000000"/>
        </w:rPr>
        <w:t>This decision is effective today.</w:t>
      </w:r>
    </w:p>
    <w:p w:rsidR="00A92D0B" w:rsidP="00357623" w:rsidRDefault="00A92D0B" w14:paraId="0467B995" w14:textId="08D7DB5A">
      <w:pPr>
        <w:keepNext/>
        <w:keepLines/>
        <w:spacing w:before="240"/>
        <w:ind w:left="547"/>
        <w:rPr>
          <w:color w:val="000000"/>
        </w:rPr>
      </w:pPr>
      <w:r w:rsidRPr="007F620E">
        <w:rPr>
          <w:color w:val="000000"/>
        </w:rPr>
        <w:t xml:space="preserve">Dated </w:t>
      </w:r>
      <w:r w:rsidR="009F32C6">
        <w:rPr>
          <w:color w:val="000000"/>
        </w:rPr>
        <w:t>May 14, 2026,</w:t>
      </w:r>
      <w:r w:rsidRPr="007F620E">
        <w:rPr>
          <w:color w:val="000000"/>
        </w:rPr>
        <w:t xml:space="preserve"> at San Francisco, California.</w:t>
      </w:r>
    </w:p>
    <w:p w:rsidRPr="00D4008E" w:rsidR="00D4008E" w:rsidP="00D4008E" w:rsidRDefault="00D4008E" w14:paraId="3415E0F7" w14:textId="77777777">
      <w:pPr>
        <w:keepNext/>
        <w:keepLines/>
        <w:autoSpaceDE w:val="0"/>
        <w:autoSpaceDN w:val="0"/>
        <w:adjustRightInd w:val="0"/>
        <w:ind w:left="4320"/>
        <w:jc w:val="both"/>
      </w:pPr>
    </w:p>
    <w:p w:rsidRPr="00D4008E" w:rsidR="00D4008E" w:rsidP="00D4008E" w:rsidRDefault="00D4008E" w14:paraId="46642119" w14:textId="77777777">
      <w:pPr>
        <w:autoSpaceDE w:val="0"/>
        <w:autoSpaceDN w:val="0"/>
        <w:adjustRightInd w:val="0"/>
        <w:ind w:left="4320" w:firstLine="720"/>
        <w:jc w:val="both"/>
      </w:pPr>
      <w:r w:rsidRPr="00D4008E">
        <w:t>JOHN REYNOLDS</w:t>
      </w:r>
    </w:p>
    <w:p w:rsidRPr="00D4008E" w:rsidR="00D4008E" w:rsidP="00D4008E" w:rsidRDefault="00D4008E" w14:paraId="0A568CDC" w14:textId="0DCED63F">
      <w:pPr>
        <w:autoSpaceDE w:val="0"/>
        <w:autoSpaceDN w:val="0"/>
        <w:adjustRightInd w:val="0"/>
        <w:ind w:left="720" w:firstLine="720"/>
        <w:jc w:val="both"/>
      </w:pPr>
      <w:r w:rsidRPr="00D4008E">
        <w:tab/>
      </w:r>
      <w:r w:rsidRPr="00D4008E">
        <w:tab/>
      </w:r>
      <w:r w:rsidRPr="00D4008E">
        <w:tab/>
      </w:r>
      <w:r w:rsidRPr="00D4008E">
        <w:tab/>
      </w:r>
      <w:r w:rsidRPr="00D4008E">
        <w:tab/>
        <w:t xml:space="preserve">               President</w:t>
      </w:r>
    </w:p>
    <w:p w:rsidRPr="00D4008E" w:rsidR="00D4008E" w:rsidP="00D4008E" w:rsidRDefault="00D4008E" w14:paraId="3566800E" w14:textId="77777777">
      <w:pPr>
        <w:autoSpaceDE w:val="0"/>
        <w:autoSpaceDN w:val="0"/>
        <w:adjustRightInd w:val="0"/>
        <w:ind w:left="4320" w:firstLine="720"/>
        <w:jc w:val="both"/>
      </w:pPr>
      <w:r w:rsidRPr="00D4008E">
        <w:t>DARCIE L. HOUCK</w:t>
      </w:r>
    </w:p>
    <w:p w:rsidRPr="00D4008E" w:rsidR="00D4008E" w:rsidP="00D4008E" w:rsidRDefault="00D4008E" w14:paraId="384B7267" w14:textId="77777777">
      <w:pPr>
        <w:autoSpaceDE w:val="0"/>
        <w:autoSpaceDN w:val="0"/>
        <w:adjustRightInd w:val="0"/>
        <w:ind w:left="4320" w:firstLine="720"/>
        <w:jc w:val="both"/>
        <w:rPr>
          <w:color w:val="000000"/>
        </w:rPr>
      </w:pPr>
      <w:r w:rsidRPr="00D4008E">
        <w:rPr>
          <w:color w:val="000000"/>
        </w:rPr>
        <w:t>KAREN DOUGLAS</w:t>
      </w:r>
    </w:p>
    <w:p w:rsidRPr="00D4008E" w:rsidR="00D4008E" w:rsidP="00D4008E" w:rsidRDefault="00D4008E" w14:paraId="4170A0AD" w14:textId="77777777">
      <w:pPr>
        <w:autoSpaceDE w:val="0"/>
        <w:autoSpaceDN w:val="0"/>
        <w:adjustRightInd w:val="0"/>
        <w:ind w:left="4320" w:firstLine="720"/>
        <w:jc w:val="both"/>
      </w:pPr>
      <w:r w:rsidRPr="00D4008E">
        <w:t>CHRISTINE HARADA</w:t>
      </w:r>
    </w:p>
    <w:p w:rsidRPr="00D4008E" w:rsidR="00D4008E" w:rsidP="00D4008E" w:rsidRDefault="00D4008E" w14:paraId="18D0DCB9" w14:textId="77777777">
      <w:pPr>
        <w:autoSpaceDE w:val="0"/>
        <w:autoSpaceDN w:val="0"/>
        <w:adjustRightInd w:val="0"/>
        <w:ind w:left="5040" w:firstLine="720"/>
        <w:jc w:val="both"/>
      </w:pPr>
      <w:r w:rsidRPr="00D4008E">
        <w:t xml:space="preserve">            Commissioners</w:t>
      </w:r>
    </w:p>
    <w:p w:rsidRPr="00D4008E" w:rsidR="00D4008E" w:rsidP="00D4008E" w:rsidRDefault="00D4008E" w14:paraId="1FB070D0" w14:textId="77777777">
      <w:pPr>
        <w:pStyle w:val="standard"/>
        <w:keepNext/>
        <w:keepLines/>
        <w:ind w:left="720"/>
        <w:rPr>
          <w:rFonts w:ascii="Times New Roman" w:hAnsi="Times New Roman"/>
          <w:sz w:val="24"/>
          <w:szCs w:val="24"/>
        </w:rPr>
      </w:pPr>
    </w:p>
    <w:p w:rsidRPr="007F620E" w:rsidR="00A92D0B" w:rsidP="00D4008E" w:rsidRDefault="00D4008E" w14:paraId="1A474D77" w14:textId="3226DAA3">
      <w:pPr>
        <w:keepNext/>
        <w:keepLines/>
        <w:autoSpaceDE w:val="0"/>
        <w:autoSpaceDN w:val="0"/>
        <w:adjustRightInd w:val="0"/>
        <w:ind w:left="5100"/>
      </w:pPr>
      <w:r w:rsidRPr="00D4008E">
        <w:t>Commissioner Matthew Baker recused himself from this agenda item and was not part of the quorum in its consideration.</w:t>
      </w:r>
    </w:p>
    <w:p w:rsidR="00FE3BAE" w:rsidRDefault="00FE3BAE" w14:paraId="3C739AE2" w14:textId="71F3AFC8"/>
    <w:p w:rsidR="006B7228" w:rsidRDefault="006B7228" w14:paraId="37D74F32" w14:textId="77777777">
      <w:pPr>
        <w:sectPr w:rsidR="006B7228" w:rsidSect="006B722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fmt="numberInDash" w:start="1"/>
          <w:cols w:space="720"/>
          <w:titlePg/>
          <w:docGrid w:linePitch="360"/>
        </w:sectPr>
      </w:pPr>
    </w:p>
    <w:p w:rsidRPr="00B803D5" w:rsidR="00FE3BAE" w:rsidP="00FE3BAE" w:rsidRDefault="00FE3BAE" w14:paraId="7A1C7043" w14:textId="77777777">
      <w:pPr>
        <w:pStyle w:val="standard"/>
        <w:ind w:firstLine="0"/>
        <w:jc w:val="center"/>
        <w:rPr>
          <w:rFonts w:ascii="Times New Roman" w:hAnsi="Times New Roman"/>
          <w:b/>
          <w:szCs w:val="26"/>
        </w:rPr>
      </w:pPr>
      <w:r w:rsidRPr="00B803D5">
        <w:rPr>
          <w:rFonts w:ascii="Times New Roman" w:hAnsi="Times New Roman"/>
          <w:b/>
          <w:szCs w:val="26"/>
        </w:rPr>
        <w:lastRenderedPageBreak/>
        <w:t>APPENDIX</w:t>
      </w:r>
    </w:p>
    <w:p w:rsidRPr="00F7579D" w:rsidR="00FE3BAE" w:rsidP="00F7579D" w:rsidRDefault="00FE3BAE" w14:paraId="300BB274" w14:textId="77777777">
      <w:pPr>
        <w:pStyle w:val="standard"/>
        <w:ind w:firstLine="0"/>
        <w:jc w:val="center"/>
        <w:rPr>
          <w:rFonts w:ascii="Times New Roman" w:hAnsi="Times New Roman"/>
          <w:b/>
          <w:bCs/>
        </w:rPr>
      </w:pPr>
      <w:r w:rsidRPr="00F7579D">
        <w:rPr>
          <w:rFonts w:ascii="Times New Roman" w:hAnsi="Times New Roman"/>
          <w:b/>
          <w:bCs/>
          <w:sz w:val="28"/>
          <w:szCs w:val="28"/>
        </w:rPr>
        <w:t>Compensation Decision Summary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905"/>
        <w:gridCol w:w="3767"/>
        <w:gridCol w:w="2497"/>
        <w:gridCol w:w="1271"/>
      </w:tblGrid>
      <w:tr w:rsidRPr="00B803D5" w:rsidR="00FE3BAE" w:rsidTr="00F862A9" w14:paraId="062C592A"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4BC9C636" w14:textId="77777777">
            <w:pPr>
              <w:rPr>
                <w:b/>
                <w:bCs/>
              </w:rPr>
            </w:pPr>
            <w:r w:rsidRPr="00F7579D">
              <w:rPr>
                <w:b/>
                <w:bCs/>
              </w:rPr>
              <w:t>Compensation Decision:</w:t>
            </w:r>
          </w:p>
        </w:tc>
        <w:tc>
          <w:tcPr>
            <w:tcW w:w="3735" w:type="dxa"/>
            <w:tcBorders>
              <w:top w:val="single" w:color="auto" w:sz="4" w:space="0"/>
              <w:left w:val="single" w:color="auto" w:sz="4" w:space="0"/>
              <w:bottom w:val="single" w:color="auto" w:sz="4" w:space="0"/>
              <w:right w:val="single" w:color="auto" w:sz="4" w:space="0"/>
            </w:tcBorders>
          </w:tcPr>
          <w:p w:rsidRPr="00B803D5" w:rsidR="00FE3BAE" w:rsidP="00A23C17" w:rsidRDefault="009F32C6" w14:paraId="16C5D6B1" w14:textId="091D24A6">
            <w:r w:rsidRPr="009F32C6">
              <w:t>D2605031</w:t>
            </w:r>
          </w:p>
        </w:tc>
        <w:tc>
          <w:tcPr>
            <w:tcW w:w="2475" w:type="dxa"/>
            <w:tcBorders>
              <w:top w:val="single" w:color="auto" w:sz="4" w:space="0"/>
              <w:left w:val="single" w:color="auto" w:sz="4" w:space="0"/>
              <w:bottom w:val="single" w:color="auto" w:sz="4" w:space="0"/>
              <w:right w:val="single" w:color="auto" w:sz="4" w:space="0"/>
            </w:tcBorders>
            <w:hideMark/>
          </w:tcPr>
          <w:p w:rsidRPr="006B0BC7" w:rsidR="00FE3BAE" w:rsidP="00A23C17" w:rsidRDefault="00FE3BAE" w14:paraId="3ECA0C4F" w14:textId="77777777">
            <w:pPr>
              <w:rPr>
                <w:b/>
                <w:bCs/>
              </w:rPr>
            </w:pPr>
            <w:r w:rsidRPr="006B0BC7">
              <w:rPr>
                <w:b/>
                <w:bCs/>
              </w:rPr>
              <w:t xml:space="preserve">Modifies Decision? </w:t>
            </w:r>
          </w:p>
        </w:tc>
        <w:tc>
          <w:tcPr>
            <w:tcW w:w="1260" w:type="dxa"/>
            <w:tcBorders>
              <w:top w:val="single" w:color="auto" w:sz="4" w:space="0"/>
              <w:left w:val="single" w:color="auto" w:sz="4" w:space="0"/>
              <w:bottom w:val="single" w:color="auto" w:sz="4" w:space="0"/>
              <w:right w:val="single" w:color="auto" w:sz="4" w:space="0"/>
            </w:tcBorders>
          </w:tcPr>
          <w:p w:rsidRPr="00B803D5" w:rsidR="00FE3BAE" w:rsidP="00A23C17" w:rsidRDefault="00930F7B" w14:paraId="6846FB87" w14:textId="723DF64B">
            <w:pPr>
              <w:jc w:val="center"/>
            </w:pPr>
            <w:r>
              <w:t>No</w:t>
            </w:r>
          </w:p>
        </w:tc>
      </w:tr>
      <w:tr w:rsidRPr="00B803D5" w:rsidR="00FE3BAE" w:rsidTr="00973493" w14:paraId="3E0218AD"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6E65620B" w14:textId="77777777">
            <w:pPr>
              <w:rPr>
                <w:b/>
                <w:bCs/>
              </w:rPr>
            </w:pPr>
            <w:r w:rsidRPr="00F7579D">
              <w:rPr>
                <w:b/>
                <w:bCs/>
              </w:rPr>
              <w:t>Contribution Decision(s):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E012B8" w14:paraId="426F2C45" w14:textId="18BC63D3">
            <w:r>
              <w:t>D2509030</w:t>
            </w:r>
          </w:p>
        </w:tc>
      </w:tr>
      <w:tr w:rsidRPr="00B803D5" w:rsidR="00FE3BAE" w:rsidTr="00973493" w14:paraId="2808C576"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717974DE" w14:textId="77777777">
            <w:pPr>
              <w:rPr>
                <w:b/>
                <w:bCs/>
              </w:rPr>
            </w:pPr>
            <w:r w:rsidRPr="00F7579D">
              <w:rPr>
                <w:b/>
                <w:bCs/>
              </w:rPr>
              <w:t>Proceeding(s):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B5117C" w14:paraId="5B85688D" w14:textId="0B7B0172">
            <w:r>
              <w:t>A2305010</w:t>
            </w:r>
          </w:p>
        </w:tc>
      </w:tr>
      <w:tr w:rsidRPr="00B803D5" w:rsidR="00FE3BAE" w:rsidTr="00F862A9" w14:paraId="66779179"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738C0A58" w14:textId="77777777">
            <w:pPr>
              <w:rPr>
                <w:b/>
                <w:bCs/>
              </w:rPr>
            </w:pPr>
            <w:r w:rsidRPr="00F7579D">
              <w:rPr>
                <w:b/>
                <w:bCs/>
              </w:rPr>
              <w:t>Author:</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2F26C2" w14:paraId="5E75C0F0" w14:textId="6B19B548">
            <w:r>
              <w:t xml:space="preserve">ALJ </w:t>
            </w:r>
            <w:r w:rsidRPr="00FA38D4">
              <w:rPr>
                <w:bCs/>
                <w:color w:val="000000"/>
              </w:rPr>
              <w:t>Colin Rizzo</w:t>
            </w:r>
            <w:r>
              <w:rPr>
                <w:bCs/>
                <w:color w:val="000000"/>
              </w:rPr>
              <w:t xml:space="preserve"> and ALJ</w:t>
            </w:r>
            <w:r w:rsidRPr="00FA38D4">
              <w:rPr>
                <w:bCs/>
                <w:color w:val="000000"/>
              </w:rPr>
              <w:t xml:space="preserve"> Ehren Seybert</w:t>
            </w:r>
          </w:p>
        </w:tc>
      </w:tr>
      <w:tr w:rsidRPr="00B803D5" w:rsidR="00FE3BAE" w:rsidTr="00F862A9" w14:paraId="305F69F4" w14:textId="77777777">
        <w:trPr>
          <w:trHeight w:val="27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1414CA71" w14:textId="77777777">
            <w:pPr>
              <w:rPr>
                <w:b/>
                <w:bCs/>
              </w:rPr>
            </w:pPr>
            <w:r w:rsidRPr="00F7579D">
              <w:rPr>
                <w:b/>
                <w:bCs/>
              </w:rPr>
              <w:t>Payer(s):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510998" w:rsidRDefault="00510998" w14:paraId="7CA711B6" w14:textId="7C8950C4">
            <w:r>
              <w:t>Southern California Edison Company</w:t>
            </w:r>
          </w:p>
        </w:tc>
      </w:tr>
    </w:tbl>
    <w:p w:rsidRPr="00B803D5" w:rsidR="00FE3BAE" w:rsidP="00CE057B" w:rsidRDefault="00FE3BAE" w14:paraId="7F0236A2" w14:textId="77777777">
      <w:pPr>
        <w:spacing w:before="480" w:after="240"/>
        <w:jc w:val="center"/>
        <w:rPr>
          <w:b/>
          <w:bCs/>
          <w:sz w:val="28"/>
          <w:szCs w:val="28"/>
        </w:rPr>
      </w:pPr>
      <w:r w:rsidRPr="00B803D5">
        <w:rPr>
          <w:b/>
          <w:bCs/>
          <w:sz w:val="28"/>
          <w:szCs w:val="28"/>
        </w:rPr>
        <w:t>Intervenor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066"/>
        <w:gridCol w:w="1460"/>
        <w:gridCol w:w="1420"/>
        <w:gridCol w:w="1588"/>
        <w:gridCol w:w="1405"/>
        <w:gridCol w:w="2501"/>
      </w:tblGrid>
      <w:tr w:rsidRPr="00B803D5" w:rsidR="00FE3BAE" w:rsidTr="00F862A9" w14:paraId="6CDB318E" w14:textId="77777777">
        <w:trPr>
          <w:jc w:val="center"/>
        </w:trPr>
        <w:tc>
          <w:tcPr>
            <w:tcW w:w="2043"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2578F35B" w14:textId="77777777">
            <w:pPr>
              <w:jc w:val="center"/>
              <w:rPr>
                <w:b/>
                <w:bCs/>
              </w:rPr>
            </w:pPr>
            <w:r w:rsidRPr="00B803D5">
              <w:rPr>
                <w:b/>
                <w:bCs/>
              </w:rPr>
              <w:t>Intervenor</w:t>
            </w:r>
          </w:p>
        </w:tc>
        <w:tc>
          <w:tcPr>
            <w:tcW w:w="1444"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81626F" w14:paraId="1A2BF295" w14:textId="77777777">
            <w:pPr>
              <w:jc w:val="center"/>
              <w:rPr>
                <w:b/>
                <w:bCs/>
              </w:rPr>
            </w:pPr>
            <w:r w:rsidRPr="00B803D5">
              <w:rPr>
                <w:b/>
                <w:bCs/>
              </w:rPr>
              <w:t>Date</w:t>
            </w:r>
          </w:p>
          <w:p w:rsidRPr="00B803D5" w:rsidR="00FE3BAE" w:rsidP="00CE057B" w:rsidRDefault="0081626F" w14:paraId="2C1C9DC3" w14:textId="2305FDF8">
            <w:pPr>
              <w:jc w:val="center"/>
              <w:rPr>
                <w:b/>
                <w:bCs/>
              </w:rPr>
            </w:pPr>
            <w:r w:rsidRPr="00B803D5">
              <w:rPr>
                <w:b/>
                <w:bCs/>
              </w:rPr>
              <w:t>Claim Filed</w:t>
            </w:r>
          </w:p>
        </w:tc>
        <w:tc>
          <w:tcPr>
            <w:tcW w:w="1405"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60DD020D" w14:textId="77777777">
            <w:pPr>
              <w:jc w:val="center"/>
              <w:rPr>
                <w:b/>
                <w:bCs/>
              </w:rPr>
            </w:pPr>
            <w:r w:rsidRPr="00B803D5">
              <w:rPr>
                <w:b/>
                <w:bCs/>
              </w:rPr>
              <w:t>Amount Requested</w:t>
            </w:r>
          </w:p>
        </w:tc>
        <w:tc>
          <w:tcPr>
            <w:tcW w:w="1571"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19A4A01D" w14:textId="77777777">
            <w:pPr>
              <w:jc w:val="center"/>
              <w:rPr>
                <w:b/>
                <w:bCs/>
              </w:rPr>
            </w:pPr>
            <w:r w:rsidRPr="00B803D5">
              <w:rPr>
                <w:b/>
                <w:bCs/>
              </w:rPr>
              <w:t>Amount Awarded</w:t>
            </w:r>
          </w:p>
        </w:tc>
        <w:tc>
          <w:tcPr>
            <w:tcW w:w="1390"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5B9F47E2" w14:textId="77777777">
            <w:pPr>
              <w:jc w:val="center"/>
              <w:rPr>
                <w:b/>
                <w:bCs/>
              </w:rPr>
            </w:pPr>
            <w:r w:rsidRPr="00B803D5">
              <w:rPr>
                <w:b/>
                <w:bCs/>
              </w:rPr>
              <w:t>Multiplier?</w:t>
            </w:r>
          </w:p>
        </w:tc>
        <w:tc>
          <w:tcPr>
            <w:tcW w:w="2474"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089590A8" w14:textId="77777777">
            <w:pPr>
              <w:jc w:val="center"/>
              <w:rPr>
                <w:b/>
                <w:bCs/>
              </w:rPr>
            </w:pPr>
            <w:r w:rsidRPr="00B803D5">
              <w:rPr>
                <w:b/>
                <w:bCs/>
              </w:rPr>
              <w:t>Reason Change/Disallowance</w:t>
            </w:r>
          </w:p>
        </w:tc>
      </w:tr>
      <w:tr w:rsidRPr="00B803D5" w:rsidR="00FE3BAE" w:rsidTr="00973493" w14:paraId="080524E3" w14:textId="77777777">
        <w:trPr>
          <w:trHeight w:val="872"/>
          <w:jc w:val="center"/>
        </w:trPr>
        <w:tc>
          <w:tcPr>
            <w:tcW w:w="2043" w:type="dxa"/>
            <w:tcBorders>
              <w:top w:val="single" w:color="auto" w:sz="4" w:space="0"/>
              <w:left w:val="single" w:color="auto" w:sz="4" w:space="0"/>
              <w:bottom w:val="single" w:color="auto" w:sz="4" w:space="0"/>
              <w:right w:val="single" w:color="auto" w:sz="4" w:space="0"/>
            </w:tcBorders>
            <w:hideMark/>
          </w:tcPr>
          <w:p w:rsidRPr="00973493" w:rsidR="00FE3BAE" w:rsidP="00A033F7" w:rsidRDefault="00973493" w14:paraId="3008FB17" w14:textId="1C44303A">
            <w:pPr>
              <w:rPr>
                <w:bCs/>
              </w:rPr>
            </w:pPr>
            <w:r w:rsidRPr="00973493">
              <w:rPr>
                <w:bCs/>
                <w:color w:val="000000"/>
              </w:rPr>
              <w:t xml:space="preserve">Center </w:t>
            </w:r>
            <w:r>
              <w:rPr>
                <w:bCs/>
                <w:color w:val="000000"/>
              </w:rPr>
              <w:t>f</w:t>
            </w:r>
            <w:r w:rsidRPr="00973493">
              <w:rPr>
                <w:bCs/>
                <w:color w:val="000000"/>
              </w:rPr>
              <w:t>or Accessible Technology</w:t>
            </w:r>
          </w:p>
        </w:tc>
        <w:tc>
          <w:tcPr>
            <w:tcW w:w="1444" w:type="dxa"/>
            <w:tcBorders>
              <w:top w:val="single" w:color="auto" w:sz="4" w:space="0"/>
              <w:left w:val="single" w:color="auto" w:sz="4" w:space="0"/>
              <w:bottom w:val="single" w:color="auto" w:sz="4" w:space="0"/>
              <w:right w:val="single" w:color="auto" w:sz="4" w:space="0"/>
            </w:tcBorders>
            <w:hideMark/>
          </w:tcPr>
          <w:p w:rsidRPr="00B803D5" w:rsidR="00FE3BAE" w:rsidP="00B24330" w:rsidRDefault="00B24330" w14:paraId="63956769" w14:textId="5C7F065A">
            <w:r>
              <w:t>November 24, 2025</w:t>
            </w:r>
          </w:p>
        </w:tc>
        <w:tc>
          <w:tcPr>
            <w:tcW w:w="1405" w:type="dxa"/>
            <w:tcBorders>
              <w:top w:val="single" w:color="auto" w:sz="4" w:space="0"/>
              <w:left w:val="single" w:color="auto" w:sz="4" w:space="0"/>
              <w:bottom w:val="single" w:color="auto" w:sz="4" w:space="0"/>
              <w:right w:val="single" w:color="auto" w:sz="4" w:space="0"/>
            </w:tcBorders>
            <w:hideMark/>
          </w:tcPr>
          <w:p w:rsidRPr="005C566B" w:rsidR="00FE3BAE" w:rsidP="00A23C17" w:rsidRDefault="00FF31F2" w14:paraId="75AD20FA" w14:textId="012B584C">
            <w:pPr>
              <w:jc w:val="center"/>
              <w:rPr>
                <w:bCs/>
                <w:iCs/>
              </w:rPr>
            </w:pPr>
            <w:r w:rsidRPr="005C566B">
              <w:rPr>
                <w:bCs/>
                <w:iCs/>
                <w:color w:val="000000"/>
              </w:rPr>
              <w:t>$15,580.75</w:t>
            </w:r>
          </w:p>
        </w:tc>
        <w:tc>
          <w:tcPr>
            <w:tcW w:w="1571" w:type="dxa"/>
            <w:tcBorders>
              <w:top w:val="single" w:color="auto" w:sz="4" w:space="0"/>
              <w:left w:val="single" w:color="auto" w:sz="4" w:space="0"/>
              <w:bottom w:val="single" w:color="auto" w:sz="4" w:space="0"/>
              <w:right w:val="single" w:color="auto" w:sz="4" w:space="0"/>
            </w:tcBorders>
            <w:hideMark/>
          </w:tcPr>
          <w:p w:rsidRPr="00B803D5" w:rsidR="00FE3BAE" w:rsidP="00A23C17" w:rsidRDefault="00004698" w14:paraId="0DD6FE00" w14:textId="23801810">
            <w:pPr>
              <w:jc w:val="center"/>
            </w:pPr>
            <w:r w:rsidRPr="00004698">
              <w:t>$11,061.26</w:t>
            </w:r>
          </w:p>
        </w:tc>
        <w:tc>
          <w:tcPr>
            <w:tcW w:w="1390" w:type="dxa"/>
            <w:tcBorders>
              <w:top w:val="single" w:color="auto" w:sz="4" w:space="0"/>
              <w:left w:val="single" w:color="auto" w:sz="4" w:space="0"/>
              <w:bottom w:val="single" w:color="auto" w:sz="4" w:space="0"/>
              <w:right w:val="single" w:color="auto" w:sz="4" w:space="0"/>
            </w:tcBorders>
            <w:hideMark/>
          </w:tcPr>
          <w:p w:rsidRPr="00B803D5" w:rsidR="00FE3BAE" w:rsidP="00A23C17" w:rsidRDefault="00FE3BAE" w14:paraId="0BDAFE20" w14:textId="77777777">
            <w:pPr>
              <w:jc w:val="center"/>
            </w:pPr>
            <w:r w:rsidRPr="00B803D5">
              <w:t>N/A</w:t>
            </w:r>
          </w:p>
        </w:tc>
        <w:tc>
          <w:tcPr>
            <w:tcW w:w="2474" w:type="dxa"/>
            <w:tcBorders>
              <w:top w:val="single" w:color="auto" w:sz="4" w:space="0"/>
              <w:left w:val="single" w:color="auto" w:sz="4" w:space="0"/>
              <w:bottom w:val="single" w:color="auto" w:sz="4" w:space="0"/>
              <w:right w:val="single" w:color="auto" w:sz="4" w:space="0"/>
            </w:tcBorders>
            <w:hideMark/>
          </w:tcPr>
          <w:p w:rsidRPr="00B803D5" w:rsidR="00FE3BAE" w:rsidP="00A23C17" w:rsidRDefault="000D2ED9" w14:paraId="6B53C6F9" w14:textId="19179507">
            <w:pPr>
              <w:jc w:val="center"/>
            </w:pPr>
            <w:r w:rsidRPr="000B48C7">
              <w:rPr>
                <w:i/>
                <w:iCs/>
              </w:rPr>
              <w:t>See</w:t>
            </w:r>
            <w:r w:rsidRPr="000B48C7">
              <w:t xml:space="preserve"> Part III.D CPUC Comments, Disallowances and Adjustments</w:t>
            </w:r>
          </w:p>
        </w:tc>
      </w:tr>
    </w:tbl>
    <w:p w:rsidRPr="00B803D5" w:rsidR="00FE3BAE" w:rsidP="00CE057B" w:rsidRDefault="0022302F" w14:paraId="2841210B" w14:textId="77777777">
      <w:pPr>
        <w:spacing w:before="480" w:after="240"/>
        <w:jc w:val="center"/>
        <w:rPr>
          <w:b/>
          <w:bCs/>
          <w:sz w:val="28"/>
          <w:szCs w:val="28"/>
        </w:rPr>
      </w:pPr>
      <w:r w:rsidRPr="00B803D5">
        <w:rPr>
          <w:b/>
          <w:bCs/>
          <w:sz w:val="28"/>
          <w:szCs w:val="28"/>
        </w:rPr>
        <w:t>Hourly Fee</w:t>
      </w:r>
      <w:r w:rsidRPr="00B803D5" w:rsidR="00FE3BAE">
        <w:rPr>
          <w:b/>
          <w:bCs/>
          <w:sz w:val="28"/>
          <w:szCs w:val="28"/>
        </w:rPr>
        <w:t xml:space="preserve">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520"/>
        <w:gridCol w:w="1725"/>
        <w:gridCol w:w="2088"/>
        <w:gridCol w:w="1748"/>
        <w:gridCol w:w="1725"/>
        <w:gridCol w:w="1634"/>
      </w:tblGrid>
      <w:tr w:rsidRPr="00B803D5" w:rsidR="00C02649" w:rsidTr="00950FA3" w14:paraId="7CF2F0CA"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3B6A1B" w14:paraId="61500303" w14:textId="77777777">
            <w:pPr>
              <w:jc w:val="center"/>
              <w:rPr>
                <w:b/>
                <w:bCs/>
              </w:rPr>
            </w:pPr>
            <w:r w:rsidRPr="00B803D5">
              <w:rPr>
                <w:b/>
                <w:bCs/>
              </w:rPr>
              <w:t>First Name</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3B6A1B" w14:paraId="55908486" w14:textId="77777777">
            <w:pPr>
              <w:jc w:val="center"/>
              <w:rPr>
                <w:b/>
                <w:bCs/>
              </w:rPr>
            </w:pPr>
            <w:r w:rsidRPr="00B803D5">
              <w:rPr>
                <w:b/>
                <w:bCs/>
              </w:rPr>
              <w:t>Last Name</w:t>
            </w:r>
          </w:p>
        </w:tc>
        <w:tc>
          <w:tcPr>
            <w:tcW w:w="2088"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171EBF" w14:paraId="2438DAE1" w14:textId="77777777">
            <w:pPr>
              <w:ind w:left="12" w:firstLine="12"/>
              <w:jc w:val="center"/>
              <w:rPr>
                <w:b/>
                <w:bCs/>
              </w:rPr>
            </w:pPr>
            <w:r w:rsidRPr="00B803D5">
              <w:rPr>
                <w:b/>
                <w:bCs/>
              </w:rPr>
              <w:t>Attorney, Expert, or Advocate</w:t>
            </w:r>
          </w:p>
        </w:tc>
        <w:tc>
          <w:tcPr>
            <w:tcW w:w="1748"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30FCBD16" w14:textId="77777777">
            <w:pPr>
              <w:jc w:val="center"/>
              <w:rPr>
                <w:b/>
                <w:bCs/>
              </w:rPr>
            </w:pPr>
            <w:r w:rsidRPr="00B803D5">
              <w:rPr>
                <w:b/>
                <w:bCs/>
              </w:rPr>
              <w:t>Hourly</w:t>
            </w:r>
          </w:p>
          <w:p w:rsidRPr="00B803D5" w:rsidR="003B6A1B" w:rsidP="00CE057B" w:rsidRDefault="003B6A1B" w14:paraId="3431A72E" w14:textId="15E5EE89">
            <w:pPr>
              <w:jc w:val="center"/>
              <w:rPr>
                <w:b/>
                <w:bCs/>
              </w:rPr>
            </w:pPr>
            <w:r w:rsidRPr="00B803D5">
              <w:rPr>
                <w:b/>
                <w:bCs/>
              </w:rPr>
              <w:t>Fee Requested</w:t>
            </w:r>
          </w:p>
        </w:tc>
        <w:tc>
          <w:tcPr>
            <w:tcW w:w="1725"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27A4F1D1" w14:textId="77777777">
            <w:pPr>
              <w:jc w:val="center"/>
              <w:rPr>
                <w:b/>
                <w:bCs/>
              </w:rPr>
            </w:pPr>
            <w:r w:rsidRPr="00B803D5">
              <w:rPr>
                <w:b/>
                <w:bCs/>
              </w:rPr>
              <w:t>Year Hourly</w:t>
            </w:r>
          </w:p>
          <w:p w:rsidRPr="00B803D5" w:rsidR="003B6A1B" w:rsidP="00CE057B" w:rsidRDefault="003B6A1B" w14:paraId="6FE76773" w14:textId="7DDDAF05">
            <w:pPr>
              <w:jc w:val="center"/>
              <w:rPr>
                <w:b/>
                <w:bCs/>
              </w:rPr>
            </w:pPr>
            <w:r w:rsidRPr="00B803D5">
              <w:rPr>
                <w:b/>
                <w:bCs/>
              </w:rPr>
              <w:t>Fee Requested</w:t>
            </w:r>
          </w:p>
        </w:tc>
        <w:tc>
          <w:tcPr>
            <w:tcW w:w="1634"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08CD8CFB" w14:textId="50A63D11">
            <w:pPr>
              <w:jc w:val="center"/>
              <w:rPr>
                <w:b/>
                <w:bCs/>
              </w:rPr>
            </w:pPr>
            <w:r w:rsidRPr="00B803D5">
              <w:rPr>
                <w:b/>
                <w:bCs/>
              </w:rPr>
              <w:t>Hourly</w:t>
            </w:r>
          </w:p>
          <w:p w:rsidRPr="00B803D5" w:rsidR="003B6A1B" w:rsidP="00CE057B" w:rsidRDefault="003B6A1B" w14:paraId="1B789B85" w14:textId="3C9059B0">
            <w:pPr>
              <w:jc w:val="center"/>
              <w:rPr>
                <w:b/>
                <w:bCs/>
              </w:rPr>
            </w:pPr>
            <w:r w:rsidRPr="00B803D5">
              <w:rPr>
                <w:b/>
                <w:bCs/>
              </w:rPr>
              <w:t>Fee Adopted</w:t>
            </w:r>
          </w:p>
        </w:tc>
      </w:tr>
      <w:tr w:rsidRPr="00B803D5" w:rsidR="00C02649" w:rsidTr="003B137C" w14:paraId="1211B948"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3B137C" w:rsidR="003B6A1B" w:rsidP="00A23C17" w:rsidRDefault="00F87309" w14:paraId="0F0C6D6C" w14:textId="74DF51A9">
            <w:pPr>
              <w:jc w:val="center"/>
            </w:pPr>
            <w:r w:rsidRPr="003B137C">
              <w:t xml:space="preserve">Melissa </w:t>
            </w:r>
          </w:p>
        </w:tc>
        <w:tc>
          <w:tcPr>
            <w:tcW w:w="1725" w:type="dxa"/>
            <w:tcBorders>
              <w:top w:val="single" w:color="auto" w:sz="4" w:space="0"/>
              <w:left w:val="single" w:color="auto" w:sz="4" w:space="0"/>
              <w:bottom w:val="single" w:color="auto" w:sz="4" w:space="0"/>
              <w:right w:val="single" w:color="auto" w:sz="4" w:space="0"/>
            </w:tcBorders>
          </w:tcPr>
          <w:p w:rsidRPr="003B137C" w:rsidR="003B6A1B" w:rsidP="00A23C17" w:rsidRDefault="00F87309" w14:paraId="6ACE7B68" w14:textId="28358EA7">
            <w:pPr>
              <w:jc w:val="center"/>
            </w:pPr>
            <w:proofErr w:type="spellStart"/>
            <w:r w:rsidRPr="003B137C">
              <w:t>Kasnitz</w:t>
            </w:r>
            <w:proofErr w:type="spellEnd"/>
            <w:r w:rsidRPr="003B137C">
              <w:t xml:space="preserve"> </w:t>
            </w:r>
          </w:p>
        </w:tc>
        <w:tc>
          <w:tcPr>
            <w:tcW w:w="2088" w:type="dxa"/>
            <w:tcBorders>
              <w:top w:val="single" w:color="auto" w:sz="4" w:space="0"/>
              <w:left w:val="single" w:color="auto" w:sz="4" w:space="0"/>
              <w:bottom w:val="single" w:color="auto" w:sz="4" w:space="0"/>
              <w:right w:val="single" w:color="auto" w:sz="4" w:space="0"/>
            </w:tcBorders>
          </w:tcPr>
          <w:p w:rsidRPr="003B137C" w:rsidR="003B6A1B" w:rsidP="00A23C17" w:rsidRDefault="003C7956" w14:paraId="0E61474F" w14:textId="0EC6BC37">
            <w:pPr>
              <w:jc w:val="center"/>
            </w:pPr>
            <w:r w:rsidRPr="003B137C">
              <w:t xml:space="preserve">Attorney </w:t>
            </w:r>
          </w:p>
        </w:tc>
        <w:tc>
          <w:tcPr>
            <w:tcW w:w="1748" w:type="dxa"/>
            <w:tcBorders>
              <w:top w:val="single" w:color="auto" w:sz="4" w:space="0"/>
              <w:left w:val="single" w:color="auto" w:sz="4" w:space="0"/>
              <w:bottom w:val="single" w:color="auto" w:sz="4" w:space="0"/>
              <w:right w:val="single" w:color="auto" w:sz="4" w:space="0"/>
            </w:tcBorders>
          </w:tcPr>
          <w:p w:rsidRPr="00B803D5" w:rsidR="003B6A1B" w:rsidP="00A23C17" w:rsidRDefault="009B32EF" w14:paraId="44F9655C" w14:textId="49EAF3AD">
            <w:pPr>
              <w:jc w:val="center"/>
            </w:pPr>
            <w:r>
              <w:t>$715</w:t>
            </w:r>
          </w:p>
        </w:tc>
        <w:tc>
          <w:tcPr>
            <w:tcW w:w="1725" w:type="dxa"/>
            <w:tcBorders>
              <w:top w:val="single" w:color="auto" w:sz="4" w:space="0"/>
              <w:left w:val="single" w:color="auto" w:sz="4" w:space="0"/>
              <w:bottom w:val="single" w:color="auto" w:sz="4" w:space="0"/>
              <w:right w:val="single" w:color="auto" w:sz="4" w:space="0"/>
            </w:tcBorders>
          </w:tcPr>
          <w:p w:rsidRPr="00B803D5" w:rsidR="003B6A1B" w:rsidP="00A23C17" w:rsidRDefault="00642EDC" w14:paraId="2EB25516" w14:textId="38B82468">
            <w:pPr>
              <w:jc w:val="center"/>
            </w:pPr>
            <w:r>
              <w:t xml:space="preserve">2023 </w:t>
            </w:r>
          </w:p>
        </w:tc>
        <w:tc>
          <w:tcPr>
            <w:tcW w:w="1634" w:type="dxa"/>
            <w:tcBorders>
              <w:top w:val="single" w:color="auto" w:sz="4" w:space="0"/>
              <w:left w:val="single" w:color="auto" w:sz="4" w:space="0"/>
              <w:bottom w:val="single" w:color="auto" w:sz="4" w:space="0"/>
              <w:right w:val="single" w:color="auto" w:sz="4" w:space="0"/>
            </w:tcBorders>
          </w:tcPr>
          <w:p w:rsidRPr="00B803D5" w:rsidR="003B6A1B" w:rsidP="00A23C17" w:rsidRDefault="004C7C8B" w14:paraId="0A76FE98" w14:textId="3AF1D244">
            <w:pPr>
              <w:jc w:val="center"/>
            </w:pPr>
            <w:r>
              <w:t>$715.00</w:t>
            </w:r>
          </w:p>
        </w:tc>
      </w:tr>
      <w:tr w:rsidRPr="00B803D5" w:rsidR="00C02649" w:rsidTr="003B137C" w14:paraId="23CC0A9F"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3B137C" w:rsidR="003B6A1B" w:rsidP="00A23C17" w:rsidRDefault="00F87309" w14:paraId="4CFDAB24" w14:textId="1903299D">
            <w:pPr>
              <w:jc w:val="center"/>
            </w:pPr>
            <w:r w:rsidRPr="003B137C">
              <w:t xml:space="preserve">Melissa </w:t>
            </w:r>
          </w:p>
        </w:tc>
        <w:tc>
          <w:tcPr>
            <w:tcW w:w="1725" w:type="dxa"/>
            <w:tcBorders>
              <w:top w:val="single" w:color="auto" w:sz="4" w:space="0"/>
              <w:left w:val="single" w:color="auto" w:sz="4" w:space="0"/>
              <w:bottom w:val="single" w:color="auto" w:sz="4" w:space="0"/>
              <w:right w:val="single" w:color="auto" w:sz="4" w:space="0"/>
            </w:tcBorders>
          </w:tcPr>
          <w:p w:rsidRPr="003B137C" w:rsidR="003B6A1B" w:rsidP="00A23C17" w:rsidRDefault="00F87309" w14:paraId="3A9B4F75" w14:textId="78784BD1">
            <w:pPr>
              <w:jc w:val="center"/>
            </w:pPr>
            <w:proofErr w:type="spellStart"/>
            <w:r w:rsidRPr="003B137C">
              <w:t>Kasnitz</w:t>
            </w:r>
            <w:proofErr w:type="spellEnd"/>
            <w:r w:rsidRPr="003B137C">
              <w:t xml:space="preserve"> </w:t>
            </w:r>
          </w:p>
        </w:tc>
        <w:tc>
          <w:tcPr>
            <w:tcW w:w="2088" w:type="dxa"/>
            <w:tcBorders>
              <w:top w:val="single" w:color="auto" w:sz="4" w:space="0"/>
              <w:left w:val="single" w:color="auto" w:sz="4" w:space="0"/>
              <w:bottom w:val="single" w:color="auto" w:sz="4" w:space="0"/>
              <w:right w:val="single" w:color="auto" w:sz="4" w:space="0"/>
            </w:tcBorders>
          </w:tcPr>
          <w:p w:rsidRPr="003B137C" w:rsidR="003B6A1B" w:rsidP="00A23C17" w:rsidRDefault="003C7956" w14:paraId="73440B00" w14:textId="0F68E0DC">
            <w:pPr>
              <w:jc w:val="center"/>
            </w:pPr>
            <w:r w:rsidRPr="003B137C">
              <w:t>Attorney</w:t>
            </w:r>
          </w:p>
        </w:tc>
        <w:tc>
          <w:tcPr>
            <w:tcW w:w="1748" w:type="dxa"/>
            <w:tcBorders>
              <w:top w:val="single" w:color="auto" w:sz="4" w:space="0"/>
              <w:left w:val="single" w:color="auto" w:sz="4" w:space="0"/>
              <w:bottom w:val="single" w:color="auto" w:sz="4" w:space="0"/>
              <w:right w:val="single" w:color="auto" w:sz="4" w:space="0"/>
            </w:tcBorders>
          </w:tcPr>
          <w:p w:rsidRPr="00B803D5" w:rsidR="003B6A1B" w:rsidP="00A23C17" w:rsidRDefault="007D10BF" w14:paraId="1466F47E" w14:textId="113F9CB0">
            <w:pPr>
              <w:jc w:val="center"/>
            </w:pPr>
            <w:r>
              <w:t>$</w:t>
            </w:r>
            <w:r w:rsidR="009B32EF">
              <w:t>735</w:t>
            </w:r>
          </w:p>
        </w:tc>
        <w:tc>
          <w:tcPr>
            <w:tcW w:w="1725" w:type="dxa"/>
            <w:tcBorders>
              <w:top w:val="single" w:color="auto" w:sz="4" w:space="0"/>
              <w:left w:val="single" w:color="auto" w:sz="4" w:space="0"/>
              <w:bottom w:val="single" w:color="auto" w:sz="4" w:space="0"/>
              <w:right w:val="single" w:color="auto" w:sz="4" w:space="0"/>
            </w:tcBorders>
          </w:tcPr>
          <w:p w:rsidRPr="00B803D5" w:rsidR="003B6A1B" w:rsidP="00A23C17" w:rsidRDefault="00642EDC" w14:paraId="4CBE320E" w14:textId="55717369">
            <w:pPr>
              <w:jc w:val="center"/>
            </w:pPr>
            <w:r>
              <w:t xml:space="preserve">2024 </w:t>
            </w:r>
          </w:p>
        </w:tc>
        <w:tc>
          <w:tcPr>
            <w:tcW w:w="1634" w:type="dxa"/>
            <w:tcBorders>
              <w:top w:val="single" w:color="auto" w:sz="4" w:space="0"/>
              <w:left w:val="single" w:color="auto" w:sz="4" w:space="0"/>
              <w:bottom w:val="single" w:color="auto" w:sz="4" w:space="0"/>
              <w:right w:val="single" w:color="auto" w:sz="4" w:space="0"/>
            </w:tcBorders>
          </w:tcPr>
          <w:p w:rsidRPr="00B803D5" w:rsidR="003B6A1B" w:rsidP="00A23C17" w:rsidRDefault="004C7C8B" w14:paraId="37932A57" w14:textId="50D9AD27">
            <w:pPr>
              <w:jc w:val="center"/>
            </w:pPr>
            <w:r>
              <w:t>$735.00</w:t>
            </w:r>
          </w:p>
        </w:tc>
      </w:tr>
      <w:tr w:rsidRPr="00B803D5" w:rsidR="00C02649" w:rsidTr="003B137C" w14:paraId="4C519B49"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3B137C" w:rsidR="003B6A1B" w:rsidP="00A23C17" w:rsidRDefault="00642EDC" w14:paraId="65C04662" w14:textId="2602F0AD">
            <w:pPr>
              <w:jc w:val="center"/>
            </w:pPr>
            <w:r w:rsidRPr="003B137C">
              <w:t xml:space="preserve">Melissa </w:t>
            </w:r>
          </w:p>
        </w:tc>
        <w:tc>
          <w:tcPr>
            <w:tcW w:w="1725" w:type="dxa"/>
            <w:tcBorders>
              <w:top w:val="single" w:color="auto" w:sz="4" w:space="0"/>
              <w:left w:val="single" w:color="auto" w:sz="4" w:space="0"/>
              <w:bottom w:val="single" w:color="auto" w:sz="4" w:space="0"/>
              <w:right w:val="single" w:color="auto" w:sz="4" w:space="0"/>
            </w:tcBorders>
          </w:tcPr>
          <w:p w:rsidRPr="003B137C" w:rsidR="003B6A1B" w:rsidP="00A23C17" w:rsidRDefault="00642EDC" w14:paraId="1C590887" w14:textId="3C858E11">
            <w:pPr>
              <w:jc w:val="center"/>
            </w:pPr>
            <w:proofErr w:type="spellStart"/>
            <w:r w:rsidRPr="003B137C">
              <w:t>Kasnitz</w:t>
            </w:r>
            <w:proofErr w:type="spellEnd"/>
            <w:r w:rsidRPr="003B137C">
              <w:t xml:space="preserve"> </w:t>
            </w:r>
          </w:p>
        </w:tc>
        <w:tc>
          <w:tcPr>
            <w:tcW w:w="2088" w:type="dxa"/>
            <w:tcBorders>
              <w:top w:val="single" w:color="auto" w:sz="4" w:space="0"/>
              <w:left w:val="single" w:color="auto" w:sz="4" w:space="0"/>
              <w:bottom w:val="single" w:color="auto" w:sz="4" w:space="0"/>
              <w:right w:val="single" w:color="auto" w:sz="4" w:space="0"/>
            </w:tcBorders>
          </w:tcPr>
          <w:p w:rsidRPr="003B137C" w:rsidR="003B6A1B" w:rsidP="00A23C17" w:rsidRDefault="003C7956" w14:paraId="1EA8DE3D" w14:textId="45871F41">
            <w:pPr>
              <w:jc w:val="center"/>
            </w:pPr>
            <w:r w:rsidRPr="003B137C">
              <w:t>Attorney</w:t>
            </w:r>
          </w:p>
        </w:tc>
        <w:tc>
          <w:tcPr>
            <w:tcW w:w="1748" w:type="dxa"/>
            <w:tcBorders>
              <w:top w:val="single" w:color="auto" w:sz="4" w:space="0"/>
              <w:left w:val="single" w:color="auto" w:sz="4" w:space="0"/>
              <w:bottom w:val="single" w:color="auto" w:sz="4" w:space="0"/>
              <w:right w:val="single" w:color="auto" w:sz="4" w:space="0"/>
            </w:tcBorders>
          </w:tcPr>
          <w:p w:rsidRPr="00B803D5" w:rsidR="003B6A1B" w:rsidP="00A23C17" w:rsidRDefault="007D10BF" w14:paraId="4F6290AB" w14:textId="3622E7D0">
            <w:pPr>
              <w:jc w:val="center"/>
            </w:pPr>
            <w:r>
              <w:t>$</w:t>
            </w:r>
            <w:r w:rsidR="00317B1C">
              <w:t>755</w:t>
            </w:r>
          </w:p>
        </w:tc>
        <w:tc>
          <w:tcPr>
            <w:tcW w:w="1725" w:type="dxa"/>
            <w:tcBorders>
              <w:top w:val="single" w:color="auto" w:sz="4" w:space="0"/>
              <w:left w:val="single" w:color="auto" w:sz="4" w:space="0"/>
              <w:bottom w:val="single" w:color="auto" w:sz="4" w:space="0"/>
              <w:right w:val="single" w:color="auto" w:sz="4" w:space="0"/>
            </w:tcBorders>
          </w:tcPr>
          <w:p w:rsidRPr="00B803D5" w:rsidR="003B6A1B" w:rsidP="00A23C17" w:rsidRDefault="00FA6DFD" w14:paraId="1354C70A" w14:textId="630A26C3">
            <w:pPr>
              <w:jc w:val="center"/>
            </w:pPr>
            <w:r>
              <w:t xml:space="preserve">2025 </w:t>
            </w:r>
          </w:p>
        </w:tc>
        <w:tc>
          <w:tcPr>
            <w:tcW w:w="1634" w:type="dxa"/>
            <w:tcBorders>
              <w:top w:val="single" w:color="auto" w:sz="4" w:space="0"/>
              <w:left w:val="single" w:color="auto" w:sz="4" w:space="0"/>
              <w:bottom w:val="single" w:color="auto" w:sz="4" w:space="0"/>
              <w:right w:val="single" w:color="auto" w:sz="4" w:space="0"/>
            </w:tcBorders>
          </w:tcPr>
          <w:p w:rsidRPr="00B803D5" w:rsidR="003B6A1B" w:rsidP="00A23C17" w:rsidRDefault="004C7C8B" w14:paraId="36649915" w14:textId="7A9CB32E">
            <w:pPr>
              <w:jc w:val="center"/>
            </w:pPr>
            <w:r>
              <w:t>$755.00</w:t>
            </w:r>
          </w:p>
        </w:tc>
      </w:tr>
      <w:tr w:rsidRPr="00B803D5" w:rsidR="00C02649" w:rsidTr="003B137C" w14:paraId="6C04DB40"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3B137C" w:rsidR="003B6A1B" w:rsidP="00A23C17" w:rsidRDefault="00FA6DFD" w14:paraId="71BF257F" w14:textId="120C24B4">
            <w:pPr>
              <w:jc w:val="center"/>
            </w:pPr>
            <w:r w:rsidRPr="003B137C">
              <w:t xml:space="preserve">Kate </w:t>
            </w:r>
          </w:p>
        </w:tc>
        <w:tc>
          <w:tcPr>
            <w:tcW w:w="1725" w:type="dxa"/>
            <w:tcBorders>
              <w:top w:val="single" w:color="auto" w:sz="4" w:space="0"/>
              <w:left w:val="single" w:color="auto" w:sz="4" w:space="0"/>
              <w:bottom w:val="single" w:color="auto" w:sz="4" w:space="0"/>
              <w:right w:val="single" w:color="auto" w:sz="4" w:space="0"/>
            </w:tcBorders>
          </w:tcPr>
          <w:p w:rsidRPr="003B137C" w:rsidR="003B6A1B" w:rsidP="00A23C17" w:rsidRDefault="00A00F6C" w14:paraId="4D0E5B24" w14:textId="685D2D29">
            <w:pPr>
              <w:jc w:val="center"/>
            </w:pPr>
            <w:r w:rsidRPr="003B137C">
              <w:t xml:space="preserve">Woodford </w:t>
            </w:r>
          </w:p>
        </w:tc>
        <w:tc>
          <w:tcPr>
            <w:tcW w:w="2088" w:type="dxa"/>
            <w:tcBorders>
              <w:top w:val="single" w:color="auto" w:sz="4" w:space="0"/>
              <w:left w:val="single" w:color="auto" w:sz="4" w:space="0"/>
              <w:bottom w:val="single" w:color="auto" w:sz="4" w:space="0"/>
              <w:right w:val="single" w:color="auto" w:sz="4" w:space="0"/>
            </w:tcBorders>
          </w:tcPr>
          <w:p w:rsidRPr="003B137C" w:rsidR="003B6A1B" w:rsidP="00A23C17" w:rsidRDefault="003C7956" w14:paraId="3ACB6465" w14:textId="69AF4625">
            <w:pPr>
              <w:jc w:val="center"/>
            </w:pPr>
            <w:r w:rsidRPr="003B137C">
              <w:t xml:space="preserve">Advocate </w:t>
            </w:r>
          </w:p>
        </w:tc>
        <w:tc>
          <w:tcPr>
            <w:tcW w:w="1748" w:type="dxa"/>
            <w:tcBorders>
              <w:top w:val="single" w:color="auto" w:sz="4" w:space="0"/>
              <w:left w:val="single" w:color="auto" w:sz="4" w:space="0"/>
              <w:bottom w:val="single" w:color="auto" w:sz="4" w:space="0"/>
              <w:right w:val="single" w:color="auto" w:sz="4" w:space="0"/>
            </w:tcBorders>
          </w:tcPr>
          <w:p w:rsidRPr="00B803D5" w:rsidR="003B6A1B" w:rsidP="00A23C17" w:rsidRDefault="007D10BF" w14:paraId="27D75B3F" w14:textId="431ED2B3">
            <w:pPr>
              <w:jc w:val="center"/>
            </w:pPr>
            <w:r>
              <w:t>$290</w:t>
            </w:r>
          </w:p>
        </w:tc>
        <w:tc>
          <w:tcPr>
            <w:tcW w:w="1725" w:type="dxa"/>
            <w:tcBorders>
              <w:top w:val="single" w:color="auto" w:sz="4" w:space="0"/>
              <w:left w:val="single" w:color="auto" w:sz="4" w:space="0"/>
              <w:bottom w:val="single" w:color="auto" w:sz="4" w:space="0"/>
              <w:right w:val="single" w:color="auto" w:sz="4" w:space="0"/>
            </w:tcBorders>
          </w:tcPr>
          <w:p w:rsidRPr="00B803D5" w:rsidR="003B6A1B" w:rsidP="00A23C17" w:rsidRDefault="00A00F6C" w14:paraId="0BD45097" w14:textId="53DFD834">
            <w:pPr>
              <w:jc w:val="center"/>
            </w:pPr>
            <w:r>
              <w:t xml:space="preserve">2024 </w:t>
            </w:r>
          </w:p>
        </w:tc>
        <w:tc>
          <w:tcPr>
            <w:tcW w:w="1634" w:type="dxa"/>
            <w:tcBorders>
              <w:top w:val="single" w:color="auto" w:sz="4" w:space="0"/>
              <w:left w:val="single" w:color="auto" w:sz="4" w:space="0"/>
              <w:bottom w:val="single" w:color="auto" w:sz="4" w:space="0"/>
              <w:right w:val="single" w:color="auto" w:sz="4" w:space="0"/>
            </w:tcBorders>
          </w:tcPr>
          <w:p w:rsidRPr="00B803D5" w:rsidR="003B6A1B" w:rsidP="00A23C17" w:rsidRDefault="005C566B" w14:paraId="6B245605" w14:textId="25F0CA90">
            <w:pPr>
              <w:jc w:val="center"/>
            </w:pPr>
            <w:r>
              <w:t>$290.00</w:t>
            </w:r>
          </w:p>
        </w:tc>
      </w:tr>
      <w:tr w:rsidRPr="00B803D5" w:rsidR="00C02649" w:rsidTr="003B137C" w14:paraId="474E258F"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3B137C" w:rsidR="003B6A1B" w:rsidP="00A23C17" w:rsidRDefault="00A00F6C" w14:paraId="115C1393" w14:textId="077A1190">
            <w:pPr>
              <w:jc w:val="center"/>
            </w:pPr>
            <w:r w:rsidRPr="003B137C">
              <w:t xml:space="preserve">Kate </w:t>
            </w:r>
          </w:p>
        </w:tc>
        <w:tc>
          <w:tcPr>
            <w:tcW w:w="1725" w:type="dxa"/>
            <w:tcBorders>
              <w:top w:val="single" w:color="auto" w:sz="4" w:space="0"/>
              <w:left w:val="single" w:color="auto" w:sz="4" w:space="0"/>
              <w:bottom w:val="single" w:color="auto" w:sz="4" w:space="0"/>
              <w:right w:val="single" w:color="auto" w:sz="4" w:space="0"/>
            </w:tcBorders>
          </w:tcPr>
          <w:p w:rsidRPr="003B137C" w:rsidR="003B6A1B" w:rsidP="00A23C17" w:rsidRDefault="00A00F6C" w14:paraId="1467A27B" w14:textId="2E5383C6">
            <w:pPr>
              <w:jc w:val="center"/>
            </w:pPr>
            <w:r w:rsidRPr="003B137C">
              <w:t xml:space="preserve">Woodford </w:t>
            </w:r>
          </w:p>
        </w:tc>
        <w:tc>
          <w:tcPr>
            <w:tcW w:w="2088" w:type="dxa"/>
            <w:tcBorders>
              <w:top w:val="single" w:color="auto" w:sz="4" w:space="0"/>
              <w:left w:val="single" w:color="auto" w:sz="4" w:space="0"/>
              <w:bottom w:val="single" w:color="auto" w:sz="4" w:space="0"/>
              <w:right w:val="single" w:color="auto" w:sz="4" w:space="0"/>
            </w:tcBorders>
          </w:tcPr>
          <w:p w:rsidRPr="003B137C" w:rsidR="003B6A1B" w:rsidP="00A23C17" w:rsidRDefault="003C7956" w14:paraId="66D10560" w14:textId="0CD2A8BB">
            <w:pPr>
              <w:jc w:val="center"/>
            </w:pPr>
            <w:r w:rsidRPr="003B137C">
              <w:t xml:space="preserve">Advocate </w:t>
            </w:r>
          </w:p>
        </w:tc>
        <w:tc>
          <w:tcPr>
            <w:tcW w:w="1748" w:type="dxa"/>
            <w:tcBorders>
              <w:top w:val="single" w:color="auto" w:sz="4" w:space="0"/>
              <w:left w:val="single" w:color="auto" w:sz="4" w:space="0"/>
              <w:bottom w:val="single" w:color="auto" w:sz="4" w:space="0"/>
              <w:right w:val="single" w:color="auto" w:sz="4" w:space="0"/>
            </w:tcBorders>
          </w:tcPr>
          <w:p w:rsidRPr="00B803D5" w:rsidR="003B6A1B" w:rsidP="00A23C17" w:rsidRDefault="007D10BF" w14:paraId="7BC812A8" w14:textId="0D212557">
            <w:pPr>
              <w:jc w:val="center"/>
            </w:pPr>
            <w:r>
              <w:t>$380</w:t>
            </w:r>
          </w:p>
        </w:tc>
        <w:tc>
          <w:tcPr>
            <w:tcW w:w="1725" w:type="dxa"/>
            <w:tcBorders>
              <w:top w:val="single" w:color="auto" w:sz="4" w:space="0"/>
              <w:left w:val="single" w:color="auto" w:sz="4" w:space="0"/>
              <w:bottom w:val="single" w:color="auto" w:sz="4" w:space="0"/>
              <w:right w:val="single" w:color="auto" w:sz="4" w:space="0"/>
            </w:tcBorders>
          </w:tcPr>
          <w:p w:rsidRPr="00B803D5" w:rsidR="003B6A1B" w:rsidP="00A23C17" w:rsidRDefault="00A00F6C" w14:paraId="4580AE9E" w14:textId="09486ECA">
            <w:pPr>
              <w:jc w:val="center"/>
            </w:pPr>
            <w:r>
              <w:t xml:space="preserve">2025 </w:t>
            </w:r>
          </w:p>
        </w:tc>
        <w:tc>
          <w:tcPr>
            <w:tcW w:w="1634" w:type="dxa"/>
            <w:tcBorders>
              <w:top w:val="single" w:color="auto" w:sz="4" w:space="0"/>
              <w:left w:val="single" w:color="auto" w:sz="4" w:space="0"/>
              <w:bottom w:val="single" w:color="auto" w:sz="4" w:space="0"/>
              <w:right w:val="single" w:color="auto" w:sz="4" w:space="0"/>
            </w:tcBorders>
          </w:tcPr>
          <w:p w:rsidRPr="00B803D5" w:rsidR="003B6A1B" w:rsidP="00A23C17" w:rsidRDefault="005C566B" w14:paraId="74B7B957" w14:textId="68E45A4B">
            <w:pPr>
              <w:jc w:val="center"/>
            </w:pPr>
            <w:r>
              <w:t>$300.00</w:t>
            </w:r>
          </w:p>
        </w:tc>
      </w:tr>
      <w:tr w:rsidRPr="00B803D5" w:rsidR="00C02649" w:rsidTr="003B137C" w14:paraId="0DC4129D"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3B137C" w:rsidR="003B6A1B" w:rsidP="00A23C17" w:rsidRDefault="00A00F6C" w14:paraId="1C03A89B" w14:textId="5BB3587C">
            <w:pPr>
              <w:jc w:val="center"/>
            </w:pPr>
            <w:r w:rsidRPr="003B137C">
              <w:t xml:space="preserve">Rachel </w:t>
            </w:r>
          </w:p>
        </w:tc>
        <w:tc>
          <w:tcPr>
            <w:tcW w:w="1725" w:type="dxa"/>
            <w:tcBorders>
              <w:top w:val="single" w:color="auto" w:sz="4" w:space="0"/>
              <w:left w:val="single" w:color="auto" w:sz="4" w:space="0"/>
              <w:bottom w:val="single" w:color="auto" w:sz="4" w:space="0"/>
              <w:right w:val="single" w:color="auto" w:sz="4" w:space="0"/>
            </w:tcBorders>
          </w:tcPr>
          <w:p w:rsidRPr="003B137C" w:rsidR="003B6A1B" w:rsidP="00A23C17" w:rsidRDefault="00A00F6C" w14:paraId="53680AFD" w14:textId="7401CD6D">
            <w:pPr>
              <w:jc w:val="center"/>
            </w:pPr>
            <w:r w:rsidRPr="003B137C">
              <w:t xml:space="preserve">Sweetnam </w:t>
            </w:r>
          </w:p>
        </w:tc>
        <w:tc>
          <w:tcPr>
            <w:tcW w:w="2088" w:type="dxa"/>
            <w:tcBorders>
              <w:top w:val="single" w:color="auto" w:sz="4" w:space="0"/>
              <w:left w:val="single" w:color="auto" w:sz="4" w:space="0"/>
              <w:bottom w:val="single" w:color="auto" w:sz="4" w:space="0"/>
              <w:right w:val="single" w:color="auto" w:sz="4" w:space="0"/>
            </w:tcBorders>
          </w:tcPr>
          <w:p w:rsidRPr="003B137C" w:rsidR="003B6A1B" w:rsidP="00A23C17" w:rsidRDefault="003C7956" w14:paraId="597A6D17" w14:textId="6BC6D774">
            <w:pPr>
              <w:jc w:val="center"/>
            </w:pPr>
            <w:r w:rsidRPr="003B137C">
              <w:t>Attorney</w:t>
            </w:r>
          </w:p>
        </w:tc>
        <w:tc>
          <w:tcPr>
            <w:tcW w:w="1748" w:type="dxa"/>
            <w:tcBorders>
              <w:top w:val="single" w:color="auto" w:sz="4" w:space="0"/>
              <w:left w:val="single" w:color="auto" w:sz="4" w:space="0"/>
              <w:bottom w:val="single" w:color="auto" w:sz="4" w:space="0"/>
              <w:right w:val="single" w:color="auto" w:sz="4" w:space="0"/>
            </w:tcBorders>
          </w:tcPr>
          <w:p w:rsidRPr="00B803D5" w:rsidR="003B6A1B" w:rsidP="00A23C17" w:rsidRDefault="006C20D2" w14:paraId="48B7FBBF" w14:textId="7EC2335C">
            <w:pPr>
              <w:jc w:val="center"/>
            </w:pPr>
            <w:r>
              <w:t>$</w:t>
            </w:r>
            <w:r w:rsidR="00317B1C">
              <w:t>275</w:t>
            </w:r>
          </w:p>
        </w:tc>
        <w:tc>
          <w:tcPr>
            <w:tcW w:w="1725" w:type="dxa"/>
            <w:tcBorders>
              <w:top w:val="single" w:color="auto" w:sz="4" w:space="0"/>
              <w:left w:val="single" w:color="auto" w:sz="4" w:space="0"/>
              <w:bottom w:val="single" w:color="auto" w:sz="4" w:space="0"/>
              <w:right w:val="single" w:color="auto" w:sz="4" w:space="0"/>
            </w:tcBorders>
          </w:tcPr>
          <w:p w:rsidRPr="00B803D5" w:rsidR="003B6A1B" w:rsidP="00A23C17" w:rsidRDefault="00A00F6C" w14:paraId="5541B9E8" w14:textId="04CDE23E">
            <w:pPr>
              <w:jc w:val="center"/>
            </w:pPr>
            <w:r>
              <w:t xml:space="preserve">2025 </w:t>
            </w:r>
          </w:p>
        </w:tc>
        <w:tc>
          <w:tcPr>
            <w:tcW w:w="1634" w:type="dxa"/>
            <w:tcBorders>
              <w:top w:val="single" w:color="auto" w:sz="4" w:space="0"/>
              <w:left w:val="single" w:color="auto" w:sz="4" w:space="0"/>
              <w:bottom w:val="single" w:color="auto" w:sz="4" w:space="0"/>
              <w:right w:val="single" w:color="auto" w:sz="4" w:space="0"/>
            </w:tcBorders>
          </w:tcPr>
          <w:p w:rsidRPr="00B803D5" w:rsidR="003B6A1B" w:rsidP="00A23C17" w:rsidRDefault="005C566B" w14:paraId="5585EC38" w14:textId="43CAB29B">
            <w:pPr>
              <w:jc w:val="center"/>
            </w:pPr>
            <w:r>
              <w:t>$</w:t>
            </w:r>
            <w:r w:rsidR="003B137C">
              <w:t>275.00</w:t>
            </w:r>
          </w:p>
        </w:tc>
      </w:tr>
    </w:tbl>
    <w:p w:rsidR="0022302F" w:rsidP="00FE3BAE" w:rsidRDefault="0022302F" w14:paraId="330D3693" w14:textId="77777777">
      <w:pPr>
        <w:spacing w:line="360" w:lineRule="auto"/>
        <w:rPr>
          <w:b/>
        </w:rPr>
      </w:pPr>
    </w:p>
    <w:p w:rsidR="0022302F" w:rsidP="00FE3BAE" w:rsidRDefault="0022302F" w14:paraId="1CF37A00" w14:textId="77777777">
      <w:pPr>
        <w:spacing w:line="360" w:lineRule="auto"/>
        <w:rPr>
          <w:b/>
        </w:rPr>
      </w:pPr>
    </w:p>
    <w:p w:rsidR="0022302F" w:rsidP="00FE3BAE" w:rsidRDefault="0022302F" w14:paraId="439C0840" w14:textId="77777777">
      <w:pPr>
        <w:spacing w:line="360" w:lineRule="auto"/>
        <w:rPr>
          <w:b/>
        </w:rPr>
      </w:pPr>
    </w:p>
    <w:p w:rsidRPr="00B803D5" w:rsidR="00FE3BAE" w:rsidP="00FE3BAE" w:rsidRDefault="00FE3BAE" w14:paraId="53F54635" w14:textId="77777777">
      <w:pPr>
        <w:jc w:val="center"/>
      </w:pPr>
      <w:r w:rsidRPr="00B803D5">
        <w:rPr>
          <w:b/>
        </w:rPr>
        <w:t xml:space="preserve">(END OF </w:t>
      </w:r>
      <w:r w:rsidRPr="00B803D5">
        <w:rPr>
          <w:b/>
          <w:szCs w:val="26"/>
        </w:rPr>
        <w:t>APPENDIX</w:t>
      </w:r>
      <w:r w:rsidRPr="00B803D5">
        <w:rPr>
          <w:b/>
        </w:rPr>
        <w:t>)</w:t>
      </w:r>
    </w:p>
    <w:sectPr w:rsidRPr="00B803D5" w:rsidR="00FE3BAE" w:rsidSect="006B7228">
      <w:footerReference w:type="default" r:id="rId17"/>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915C7" w14:textId="77777777" w:rsidR="00AD49FA" w:rsidRDefault="00AD49FA" w:rsidP="00885956">
      <w:r>
        <w:separator/>
      </w:r>
    </w:p>
  </w:endnote>
  <w:endnote w:type="continuationSeparator" w:id="0">
    <w:p w14:paraId="383F6BE0" w14:textId="77777777" w:rsidR="00AD49FA" w:rsidRDefault="00AD49FA" w:rsidP="0088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Segoe UI Historic"/>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A89C" w14:textId="77777777" w:rsidR="00963411" w:rsidRDefault="00963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570652"/>
      <w:docPartObj>
        <w:docPartGallery w:val="Page Numbers (Bottom of Page)"/>
        <w:docPartUnique/>
      </w:docPartObj>
    </w:sdtPr>
    <w:sdtEndPr>
      <w:rPr>
        <w:noProof/>
      </w:rPr>
    </w:sdtEndPr>
    <w:sdtContent>
      <w:p w14:paraId="28A020F4" w14:textId="3FB6E185" w:rsidR="003B6A1B" w:rsidRDefault="003B6A1B" w:rsidP="00880855">
        <w:pPr>
          <w:pStyle w:val="Footer"/>
          <w:jc w:val="center"/>
        </w:pPr>
        <w:r>
          <w:fldChar w:fldCharType="begin"/>
        </w:r>
        <w:r>
          <w:instrText xml:space="preserve"> PAGE   \* MERGEFORMAT </w:instrText>
        </w:r>
        <w:r>
          <w:fldChar w:fldCharType="separate"/>
        </w:r>
        <w:r w:rsidR="0055228B">
          <w:rPr>
            <w:noProof/>
          </w:rPr>
          <w:t>- 1 -</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F7D5D" w14:textId="07FD8F51" w:rsidR="00CF1129" w:rsidRDefault="00CF1129">
    <w:pPr>
      <w:pStyle w:val="Footer"/>
      <w:jc w:val="center"/>
    </w:pPr>
  </w:p>
  <w:p w14:paraId="042F3718" w14:textId="00F8C8BA" w:rsidR="006516A8" w:rsidRDefault="00963411" w:rsidP="006516A8">
    <w:pPr>
      <w:pStyle w:val="Footer"/>
    </w:pPr>
    <w:r w:rsidRPr="00963411">
      <w:rPr>
        <w:rFonts w:ascii="Book Antiqua" w:hAnsi="Book Antiqua"/>
        <w:sz w:val="16"/>
        <w:szCs w:val="16"/>
      </w:rPr>
      <w:t>607080095</w:t>
    </w:r>
    <w:r w:rsidR="006516A8" w:rsidRPr="006516A8">
      <w:t xml:space="preserve"> </w:t>
    </w:r>
    <w:sdt>
      <w:sdtPr>
        <w:id w:val="132999334"/>
        <w:docPartObj>
          <w:docPartGallery w:val="Page Numbers (Bottom of Page)"/>
          <w:docPartUnique/>
        </w:docPartObj>
      </w:sdtPr>
      <w:sdtEndPr>
        <w:rPr>
          <w:noProof/>
        </w:rPr>
      </w:sdtEndPr>
      <w:sdtContent>
        <w:r w:rsidR="006516A8">
          <w:tab/>
        </w:r>
        <w:r w:rsidR="006516A8">
          <w:fldChar w:fldCharType="begin"/>
        </w:r>
        <w:r w:rsidR="006516A8">
          <w:instrText xml:space="preserve"> PAGE   \* MERGEFORMAT </w:instrText>
        </w:r>
        <w:r w:rsidR="006516A8">
          <w:fldChar w:fldCharType="separate"/>
        </w:r>
        <w:r w:rsidR="006516A8">
          <w:t>- 1 -</w:t>
        </w:r>
        <w:r w:rsidR="006516A8">
          <w:rPr>
            <w:noProof/>
          </w:rPr>
          <w:fldChar w:fldCharType="end"/>
        </w:r>
      </w:sdtContent>
    </w:sdt>
  </w:p>
  <w:p w14:paraId="2B494C2D" w14:textId="22614BB1" w:rsidR="00CF1129" w:rsidRPr="006516A8" w:rsidRDefault="00CF1129">
    <w:pPr>
      <w:pStyle w:val="Footer"/>
      <w:rPr>
        <w:rFonts w:ascii="Book Antiqua" w:hAnsi="Book Antiqua"/>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DD96" w14:textId="7A4B1371" w:rsidR="00435C30" w:rsidRDefault="00435C30" w:rsidP="008808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F88C8" w14:textId="77777777" w:rsidR="00AD49FA" w:rsidRDefault="00AD49FA" w:rsidP="00885956">
      <w:r>
        <w:separator/>
      </w:r>
    </w:p>
  </w:footnote>
  <w:footnote w:type="continuationSeparator" w:id="0">
    <w:p w14:paraId="7D8E5793" w14:textId="77777777" w:rsidR="00AD49FA" w:rsidRDefault="00AD49FA" w:rsidP="00885956">
      <w:r>
        <w:continuationSeparator/>
      </w:r>
    </w:p>
  </w:footnote>
  <w:footnote w:id="1">
    <w:p w14:paraId="7CAF0DDD" w14:textId="77777777" w:rsidR="003B6A1B" w:rsidRDefault="003B6A1B">
      <w:pPr>
        <w:pStyle w:val="FootnoteText"/>
      </w:pPr>
      <w:r>
        <w:rPr>
          <w:rStyle w:val="FootnoteReference"/>
        </w:rPr>
        <w:footnoteRef/>
      </w:r>
      <w:r>
        <w:t xml:space="preserve"> All statutory references are to California Public Utilities Code unless indicated otherwise.</w:t>
      </w:r>
    </w:p>
  </w:footnote>
  <w:footnote w:id="2">
    <w:p w14:paraId="2A44723A" w14:textId="64842A4C" w:rsidR="007F6FEB" w:rsidRPr="00DE3A5D" w:rsidRDefault="007F6FEB" w:rsidP="00A86489">
      <w:pPr>
        <w:pStyle w:val="FootnoteText"/>
      </w:pPr>
      <w:r w:rsidRPr="00DE3A5D">
        <w:rPr>
          <w:rStyle w:val="FootnoteReference"/>
          <w:sz w:val="20"/>
        </w:rPr>
        <w:footnoteRef/>
      </w:r>
      <w:r w:rsidRPr="00DE3A5D">
        <w:t xml:space="preserve"> This information may be </w:t>
      </w:r>
      <w:r w:rsidRPr="00DE3A5D">
        <w:rPr>
          <w:color w:val="000000"/>
        </w:rPr>
        <w:t>obtain</w:t>
      </w:r>
      <w:r>
        <w:rPr>
          <w:color w:val="000000"/>
        </w:rPr>
        <w:t xml:space="preserve">ed through the State Bar of California’s website at </w:t>
      </w:r>
      <w:hyperlink r:id="rId1" w:history="1">
        <w:r w:rsidRPr="00A86489">
          <w:rPr>
            <w:rStyle w:val="Hyperlink"/>
            <w:szCs w:val="22"/>
          </w:rPr>
          <w:t>http://members.calbar.ca.gov/fal/MemberSearch/QuickSearch</w:t>
        </w:r>
      </w:hyperlink>
      <w:r>
        <w:rPr>
          <w:color w:val="000000"/>
        </w:rPr>
        <w:t>.</w:t>
      </w:r>
    </w:p>
  </w:footnote>
  <w:footnote w:id="3">
    <w:p w14:paraId="40F103AF" w14:textId="4D28A520" w:rsidR="001A2FAB" w:rsidRDefault="001A2FAB">
      <w:pPr>
        <w:pStyle w:val="FootnoteText"/>
      </w:pPr>
      <w:r>
        <w:rPr>
          <w:rStyle w:val="FootnoteReference"/>
        </w:rPr>
        <w:footnoteRef/>
      </w:r>
      <w:r>
        <w:t xml:space="preserve"> Attachments are not included in the final </w:t>
      </w:r>
      <w:r w:rsidR="00007AC9">
        <w:t>D</w:t>
      </w:r>
      <w:r>
        <w:t>ecision.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2E271" w14:textId="77777777" w:rsidR="00963411" w:rsidRDefault="009634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89BA" w14:textId="6B901A85" w:rsidR="002939E9" w:rsidRPr="002939E9" w:rsidRDefault="002939E9" w:rsidP="00665216">
    <w:pPr>
      <w:pStyle w:val="Header"/>
      <w:tabs>
        <w:tab w:val="left" w:pos="3540"/>
        <w:tab w:val="left" w:pos="7956"/>
      </w:tabs>
      <w:rPr>
        <w:b/>
        <w:bCs/>
      </w:rPr>
    </w:pPr>
    <w:r>
      <w:t>A.23-05-</w:t>
    </w:r>
    <w:proofErr w:type="gramStart"/>
    <w:r>
      <w:t>010  ALJ</w:t>
    </w:r>
    <w:proofErr w:type="gramEnd"/>
    <w:r>
      <w:t>/CR2/</w:t>
    </w:r>
    <w:proofErr w:type="spellStart"/>
    <w:r>
      <w:t>vhj</w:t>
    </w:r>
    <w:proofErr w:type="spellEnd"/>
    <w:r>
      <w:t xml:space="preserve"> </w:t>
    </w:r>
    <w:r>
      <w:tab/>
    </w:r>
    <w:r>
      <w:tab/>
    </w:r>
    <w:r>
      <w:tab/>
    </w:r>
    <w:r w:rsidR="0066521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2AD69" w14:textId="77777777" w:rsidR="00963411" w:rsidRDefault="00963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E210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9B5AE7"/>
    <w:multiLevelType w:val="hybridMultilevel"/>
    <w:tmpl w:val="2892EF34"/>
    <w:lvl w:ilvl="0" w:tplc="7B3657A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B2577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2F0203"/>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2504B9E"/>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568F6BF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EE0BC7"/>
    <w:multiLevelType w:val="hybridMultilevel"/>
    <w:tmpl w:val="17C8B27A"/>
    <w:lvl w:ilvl="0" w:tplc="0409000F">
      <w:start w:val="1"/>
      <w:numFmt w:val="decimal"/>
      <w:lvlText w:val="%1."/>
      <w:lvlJc w:val="left"/>
      <w:pPr>
        <w:tabs>
          <w:tab w:val="num" w:pos="1620"/>
        </w:tabs>
        <w:ind w:left="1620" w:hanging="360"/>
      </w:pPr>
    </w:lvl>
    <w:lvl w:ilvl="1" w:tplc="A2982BDA">
      <w:start w:val="1"/>
      <w:numFmt w:val="upp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9" w15:restartNumberingAfterBreak="0">
    <w:nsid w:val="778737B1"/>
    <w:multiLevelType w:val="hybridMultilevel"/>
    <w:tmpl w:val="6E5AF590"/>
    <w:lvl w:ilvl="0" w:tplc="58ECDC58">
      <w:start w:val="1"/>
      <w:numFmt w:val="upperLetter"/>
      <w:lvlText w:val="%1."/>
      <w:lvlJc w:val="left"/>
      <w:pPr>
        <w:tabs>
          <w:tab w:val="num" w:pos="900"/>
        </w:tabs>
        <w:ind w:left="900" w:hanging="360"/>
      </w:pPr>
      <w:rPr>
        <w:rFonts w:hint="default"/>
        <w:i w:val="0"/>
      </w:rPr>
    </w:lvl>
    <w:lvl w:ilvl="1" w:tplc="EC9EF088">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A8179A5"/>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6431786">
    <w:abstractNumId w:val="9"/>
  </w:num>
  <w:num w:numId="2" w16cid:durableId="296566636">
    <w:abstractNumId w:val="1"/>
  </w:num>
  <w:num w:numId="3" w16cid:durableId="2098595014">
    <w:abstractNumId w:val="10"/>
  </w:num>
  <w:num w:numId="4" w16cid:durableId="1312905431">
    <w:abstractNumId w:val="6"/>
  </w:num>
  <w:num w:numId="5" w16cid:durableId="417093550">
    <w:abstractNumId w:val="4"/>
  </w:num>
  <w:num w:numId="6" w16cid:durableId="1486429129">
    <w:abstractNumId w:val="8"/>
  </w:num>
  <w:num w:numId="7" w16cid:durableId="258221757">
    <w:abstractNumId w:val="5"/>
  </w:num>
  <w:num w:numId="8" w16cid:durableId="842936081">
    <w:abstractNumId w:val="7"/>
  </w:num>
  <w:num w:numId="9" w16cid:durableId="1685205339">
    <w:abstractNumId w:val="2"/>
  </w:num>
  <w:num w:numId="10" w16cid:durableId="789317941">
    <w:abstractNumId w:val="3"/>
  </w:num>
  <w:num w:numId="11" w16cid:durableId="132522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83"/>
    <w:rsid w:val="000009D6"/>
    <w:rsid w:val="00003A49"/>
    <w:rsid w:val="00004698"/>
    <w:rsid w:val="00004D34"/>
    <w:rsid w:val="000052B5"/>
    <w:rsid w:val="00005878"/>
    <w:rsid w:val="0000623B"/>
    <w:rsid w:val="00007AC9"/>
    <w:rsid w:val="00013663"/>
    <w:rsid w:val="00025BD9"/>
    <w:rsid w:val="00026A15"/>
    <w:rsid w:val="00034492"/>
    <w:rsid w:val="00036F54"/>
    <w:rsid w:val="00042348"/>
    <w:rsid w:val="00042E34"/>
    <w:rsid w:val="0004573E"/>
    <w:rsid w:val="00045A2F"/>
    <w:rsid w:val="0005538D"/>
    <w:rsid w:val="00055843"/>
    <w:rsid w:val="00055F46"/>
    <w:rsid w:val="0006016C"/>
    <w:rsid w:val="00072C81"/>
    <w:rsid w:val="00073262"/>
    <w:rsid w:val="0007626C"/>
    <w:rsid w:val="00087166"/>
    <w:rsid w:val="000914A8"/>
    <w:rsid w:val="000968DF"/>
    <w:rsid w:val="000971C0"/>
    <w:rsid w:val="000C4A7D"/>
    <w:rsid w:val="000D2ED9"/>
    <w:rsid w:val="000D6CA0"/>
    <w:rsid w:val="000D6DF8"/>
    <w:rsid w:val="000E0DAD"/>
    <w:rsid w:val="000E41D9"/>
    <w:rsid w:val="000E6ABD"/>
    <w:rsid w:val="000F595C"/>
    <w:rsid w:val="000F7670"/>
    <w:rsid w:val="00100995"/>
    <w:rsid w:val="0010480F"/>
    <w:rsid w:val="00110D89"/>
    <w:rsid w:val="00115117"/>
    <w:rsid w:val="00121334"/>
    <w:rsid w:val="00123103"/>
    <w:rsid w:val="00125492"/>
    <w:rsid w:val="0013080F"/>
    <w:rsid w:val="0013338D"/>
    <w:rsid w:val="001346EB"/>
    <w:rsid w:val="001348E4"/>
    <w:rsid w:val="00140F54"/>
    <w:rsid w:val="00141A4E"/>
    <w:rsid w:val="00150DA7"/>
    <w:rsid w:val="00151AA8"/>
    <w:rsid w:val="00152F94"/>
    <w:rsid w:val="00171EBF"/>
    <w:rsid w:val="00175865"/>
    <w:rsid w:val="00180E8C"/>
    <w:rsid w:val="001868B6"/>
    <w:rsid w:val="001872FD"/>
    <w:rsid w:val="00190119"/>
    <w:rsid w:val="001931D2"/>
    <w:rsid w:val="001950B4"/>
    <w:rsid w:val="001962EB"/>
    <w:rsid w:val="00196D49"/>
    <w:rsid w:val="001A0105"/>
    <w:rsid w:val="001A26AC"/>
    <w:rsid w:val="001A2FAB"/>
    <w:rsid w:val="001A3CF3"/>
    <w:rsid w:val="001B4565"/>
    <w:rsid w:val="001C0DD1"/>
    <w:rsid w:val="001C21AE"/>
    <w:rsid w:val="001D3ED2"/>
    <w:rsid w:val="001D5DAB"/>
    <w:rsid w:val="001E162A"/>
    <w:rsid w:val="001E77CF"/>
    <w:rsid w:val="001E7EE2"/>
    <w:rsid w:val="001F238E"/>
    <w:rsid w:val="001F5A7A"/>
    <w:rsid w:val="001F675C"/>
    <w:rsid w:val="00204E3A"/>
    <w:rsid w:val="0020744D"/>
    <w:rsid w:val="0020768C"/>
    <w:rsid w:val="00212E10"/>
    <w:rsid w:val="00214B22"/>
    <w:rsid w:val="00215EEE"/>
    <w:rsid w:val="00217224"/>
    <w:rsid w:val="0022302F"/>
    <w:rsid w:val="00227921"/>
    <w:rsid w:val="00230392"/>
    <w:rsid w:val="00233EB6"/>
    <w:rsid w:val="002415DC"/>
    <w:rsid w:val="00243040"/>
    <w:rsid w:val="002466F8"/>
    <w:rsid w:val="002530B2"/>
    <w:rsid w:val="00256F00"/>
    <w:rsid w:val="00260518"/>
    <w:rsid w:val="002617C4"/>
    <w:rsid w:val="00264333"/>
    <w:rsid w:val="00264733"/>
    <w:rsid w:val="00270E2E"/>
    <w:rsid w:val="00273208"/>
    <w:rsid w:val="0028126B"/>
    <w:rsid w:val="002830E5"/>
    <w:rsid w:val="002939E9"/>
    <w:rsid w:val="00293CE3"/>
    <w:rsid w:val="002962CA"/>
    <w:rsid w:val="002A19EF"/>
    <w:rsid w:val="002A2478"/>
    <w:rsid w:val="002A6C07"/>
    <w:rsid w:val="002B09DE"/>
    <w:rsid w:val="002B53F2"/>
    <w:rsid w:val="002C087C"/>
    <w:rsid w:val="002C3FB8"/>
    <w:rsid w:val="002D1EB0"/>
    <w:rsid w:val="002D21CA"/>
    <w:rsid w:val="002D53AA"/>
    <w:rsid w:val="002D5893"/>
    <w:rsid w:val="002E0A59"/>
    <w:rsid w:val="002E0F71"/>
    <w:rsid w:val="002E3054"/>
    <w:rsid w:val="002E4E5E"/>
    <w:rsid w:val="002E4F66"/>
    <w:rsid w:val="002E58AC"/>
    <w:rsid w:val="002E5F83"/>
    <w:rsid w:val="002E77D8"/>
    <w:rsid w:val="002F26C2"/>
    <w:rsid w:val="002F2976"/>
    <w:rsid w:val="0030199E"/>
    <w:rsid w:val="00303C2B"/>
    <w:rsid w:val="00317B1C"/>
    <w:rsid w:val="00321534"/>
    <w:rsid w:val="003225E2"/>
    <w:rsid w:val="00324723"/>
    <w:rsid w:val="00334BD7"/>
    <w:rsid w:val="003501DD"/>
    <w:rsid w:val="0035111B"/>
    <w:rsid w:val="003511D4"/>
    <w:rsid w:val="00357623"/>
    <w:rsid w:val="00357F1A"/>
    <w:rsid w:val="00360ADB"/>
    <w:rsid w:val="0037065A"/>
    <w:rsid w:val="00374E7B"/>
    <w:rsid w:val="00374FD1"/>
    <w:rsid w:val="00375419"/>
    <w:rsid w:val="00377884"/>
    <w:rsid w:val="00380703"/>
    <w:rsid w:val="00384A26"/>
    <w:rsid w:val="00385681"/>
    <w:rsid w:val="003874B3"/>
    <w:rsid w:val="00397207"/>
    <w:rsid w:val="003B137C"/>
    <w:rsid w:val="003B1782"/>
    <w:rsid w:val="003B3935"/>
    <w:rsid w:val="003B5EAC"/>
    <w:rsid w:val="003B6A1B"/>
    <w:rsid w:val="003C608A"/>
    <w:rsid w:val="003C7956"/>
    <w:rsid w:val="003D359B"/>
    <w:rsid w:val="003D4455"/>
    <w:rsid w:val="003D6CFD"/>
    <w:rsid w:val="003D71FA"/>
    <w:rsid w:val="003E052B"/>
    <w:rsid w:val="003E1693"/>
    <w:rsid w:val="003E1E8B"/>
    <w:rsid w:val="003E34FD"/>
    <w:rsid w:val="003F3C91"/>
    <w:rsid w:val="00403389"/>
    <w:rsid w:val="004079EC"/>
    <w:rsid w:val="00435C30"/>
    <w:rsid w:val="004405BF"/>
    <w:rsid w:val="00441A17"/>
    <w:rsid w:val="00451124"/>
    <w:rsid w:val="004534E7"/>
    <w:rsid w:val="00453590"/>
    <w:rsid w:val="0046248A"/>
    <w:rsid w:val="00466608"/>
    <w:rsid w:val="00467E65"/>
    <w:rsid w:val="00480A5F"/>
    <w:rsid w:val="00480BF6"/>
    <w:rsid w:val="00480CA2"/>
    <w:rsid w:val="00484096"/>
    <w:rsid w:val="004840D2"/>
    <w:rsid w:val="004852BA"/>
    <w:rsid w:val="00492B2F"/>
    <w:rsid w:val="004972CD"/>
    <w:rsid w:val="004A6FD4"/>
    <w:rsid w:val="004B2E82"/>
    <w:rsid w:val="004B3299"/>
    <w:rsid w:val="004C0961"/>
    <w:rsid w:val="004C39A1"/>
    <w:rsid w:val="004C6722"/>
    <w:rsid w:val="004C7C8B"/>
    <w:rsid w:val="004D45A0"/>
    <w:rsid w:val="004D6163"/>
    <w:rsid w:val="004D6B6D"/>
    <w:rsid w:val="004D7288"/>
    <w:rsid w:val="004D779D"/>
    <w:rsid w:val="004E0395"/>
    <w:rsid w:val="004E3939"/>
    <w:rsid w:val="004E3D93"/>
    <w:rsid w:val="004E72BF"/>
    <w:rsid w:val="00503123"/>
    <w:rsid w:val="005103B8"/>
    <w:rsid w:val="00510998"/>
    <w:rsid w:val="005123E4"/>
    <w:rsid w:val="00512879"/>
    <w:rsid w:val="005169D9"/>
    <w:rsid w:val="00516CE7"/>
    <w:rsid w:val="00517947"/>
    <w:rsid w:val="005215EF"/>
    <w:rsid w:val="00521B86"/>
    <w:rsid w:val="00523B08"/>
    <w:rsid w:val="00527FDB"/>
    <w:rsid w:val="00533373"/>
    <w:rsid w:val="005372BE"/>
    <w:rsid w:val="00542661"/>
    <w:rsid w:val="00547145"/>
    <w:rsid w:val="00547FE7"/>
    <w:rsid w:val="00551967"/>
    <w:rsid w:val="0055228B"/>
    <w:rsid w:val="00553538"/>
    <w:rsid w:val="00555518"/>
    <w:rsid w:val="00562DD5"/>
    <w:rsid w:val="0056366C"/>
    <w:rsid w:val="0057088A"/>
    <w:rsid w:val="0057354C"/>
    <w:rsid w:val="00575494"/>
    <w:rsid w:val="00583406"/>
    <w:rsid w:val="005845A2"/>
    <w:rsid w:val="00586F45"/>
    <w:rsid w:val="005912FA"/>
    <w:rsid w:val="0059268F"/>
    <w:rsid w:val="0059289A"/>
    <w:rsid w:val="00593526"/>
    <w:rsid w:val="005A3018"/>
    <w:rsid w:val="005A53F1"/>
    <w:rsid w:val="005A54E4"/>
    <w:rsid w:val="005A5E83"/>
    <w:rsid w:val="005A63D4"/>
    <w:rsid w:val="005A65C2"/>
    <w:rsid w:val="005B1356"/>
    <w:rsid w:val="005B1B27"/>
    <w:rsid w:val="005B5B44"/>
    <w:rsid w:val="005C327F"/>
    <w:rsid w:val="005C566B"/>
    <w:rsid w:val="005D167C"/>
    <w:rsid w:val="005E3155"/>
    <w:rsid w:val="005E6A2C"/>
    <w:rsid w:val="005F27D5"/>
    <w:rsid w:val="005F4A01"/>
    <w:rsid w:val="005F4D82"/>
    <w:rsid w:val="00600BB8"/>
    <w:rsid w:val="006069B5"/>
    <w:rsid w:val="00612D72"/>
    <w:rsid w:val="00620702"/>
    <w:rsid w:val="00621A7C"/>
    <w:rsid w:val="00631A7D"/>
    <w:rsid w:val="006403E3"/>
    <w:rsid w:val="00642EDC"/>
    <w:rsid w:val="006504F4"/>
    <w:rsid w:val="0065087E"/>
    <w:rsid w:val="006516A8"/>
    <w:rsid w:val="00652DEA"/>
    <w:rsid w:val="00654BE9"/>
    <w:rsid w:val="00660D7E"/>
    <w:rsid w:val="00663404"/>
    <w:rsid w:val="006637D2"/>
    <w:rsid w:val="00664505"/>
    <w:rsid w:val="00665216"/>
    <w:rsid w:val="00666A20"/>
    <w:rsid w:val="00670223"/>
    <w:rsid w:val="00671CAE"/>
    <w:rsid w:val="00673595"/>
    <w:rsid w:val="00673EB1"/>
    <w:rsid w:val="006765F0"/>
    <w:rsid w:val="00691528"/>
    <w:rsid w:val="00692738"/>
    <w:rsid w:val="00693CE2"/>
    <w:rsid w:val="00696D18"/>
    <w:rsid w:val="006A21A0"/>
    <w:rsid w:val="006A7272"/>
    <w:rsid w:val="006B0BC7"/>
    <w:rsid w:val="006B5B68"/>
    <w:rsid w:val="006B7228"/>
    <w:rsid w:val="006B7375"/>
    <w:rsid w:val="006C07E0"/>
    <w:rsid w:val="006C20D2"/>
    <w:rsid w:val="006C2134"/>
    <w:rsid w:val="006C4678"/>
    <w:rsid w:val="006C50B4"/>
    <w:rsid w:val="006C6A8B"/>
    <w:rsid w:val="006D1BE0"/>
    <w:rsid w:val="006D4B0E"/>
    <w:rsid w:val="006D50EC"/>
    <w:rsid w:val="006D5809"/>
    <w:rsid w:val="006D67C9"/>
    <w:rsid w:val="006F108D"/>
    <w:rsid w:val="006F433D"/>
    <w:rsid w:val="006F6C8B"/>
    <w:rsid w:val="00701FFB"/>
    <w:rsid w:val="00703D5A"/>
    <w:rsid w:val="007056FC"/>
    <w:rsid w:val="0071216B"/>
    <w:rsid w:val="00716B8E"/>
    <w:rsid w:val="00716CFC"/>
    <w:rsid w:val="0072062A"/>
    <w:rsid w:val="0073793B"/>
    <w:rsid w:val="0074620B"/>
    <w:rsid w:val="00757B44"/>
    <w:rsid w:val="00763797"/>
    <w:rsid w:val="00766F45"/>
    <w:rsid w:val="00780C7B"/>
    <w:rsid w:val="007843A3"/>
    <w:rsid w:val="00786989"/>
    <w:rsid w:val="00786CAD"/>
    <w:rsid w:val="00797067"/>
    <w:rsid w:val="00797876"/>
    <w:rsid w:val="007A3FCC"/>
    <w:rsid w:val="007B70CF"/>
    <w:rsid w:val="007C1B69"/>
    <w:rsid w:val="007C1E8C"/>
    <w:rsid w:val="007D0505"/>
    <w:rsid w:val="007D10BF"/>
    <w:rsid w:val="007E2A8D"/>
    <w:rsid w:val="007E7139"/>
    <w:rsid w:val="007E71C3"/>
    <w:rsid w:val="007F0148"/>
    <w:rsid w:val="007F620E"/>
    <w:rsid w:val="007F6CF5"/>
    <w:rsid w:val="007F6FEB"/>
    <w:rsid w:val="00802101"/>
    <w:rsid w:val="00802701"/>
    <w:rsid w:val="008105C7"/>
    <w:rsid w:val="00811DB1"/>
    <w:rsid w:val="00814A84"/>
    <w:rsid w:val="00815F1F"/>
    <w:rsid w:val="0081626F"/>
    <w:rsid w:val="0081706B"/>
    <w:rsid w:val="00820E6A"/>
    <w:rsid w:val="00831652"/>
    <w:rsid w:val="00832586"/>
    <w:rsid w:val="0083350A"/>
    <w:rsid w:val="0083442F"/>
    <w:rsid w:val="0085343B"/>
    <w:rsid w:val="00853BEE"/>
    <w:rsid w:val="00854856"/>
    <w:rsid w:val="00855FD7"/>
    <w:rsid w:val="008575C9"/>
    <w:rsid w:val="008607C5"/>
    <w:rsid w:val="00872ACD"/>
    <w:rsid w:val="008749CF"/>
    <w:rsid w:val="00880855"/>
    <w:rsid w:val="008844B6"/>
    <w:rsid w:val="00885956"/>
    <w:rsid w:val="00886869"/>
    <w:rsid w:val="008A1298"/>
    <w:rsid w:val="008B186C"/>
    <w:rsid w:val="008B5783"/>
    <w:rsid w:val="008B67E2"/>
    <w:rsid w:val="008C09F7"/>
    <w:rsid w:val="008C2208"/>
    <w:rsid w:val="008E182E"/>
    <w:rsid w:val="008E3450"/>
    <w:rsid w:val="008E4336"/>
    <w:rsid w:val="008F0DFD"/>
    <w:rsid w:val="008F178D"/>
    <w:rsid w:val="008F2AFF"/>
    <w:rsid w:val="008F6D13"/>
    <w:rsid w:val="00903745"/>
    <w:rsid w:val="009042D7"/>
    <w:rsid w:val="009067D3"/>
    <w:rsid w:val="00914C2B"/>
    <w:rsid w:val="00915118"/>
    <w:rsid w:val="00925FAB"/>
    <w:rsid w:val="00930F7B"/>
    <w:rsid w:val="00932672"/>
    <w:rsid w:val="00934469"/>
    <w:rsid w:val="009410C7"/>
    <w:rsid w:val="00950A92"/>
    <w:rsid w:val="00950FA3"/>
    <w:rsid w:val="00954CC5"/>
    <w:rsid w:val="0095722B"/>
    <w:rsid w:val="00960500"/>
    <w:rsid w:val="00963411"/>
    <w:rsid w:val="00963EEF"/>
    <w:rsid w:val="00973493"/>
    <w:rsid w:val="00975FD2"/>
    <w:rsid w:val="00984FC2"/>
    <w:rsid w:val="0099148F"/>
    <w:rsid w:val="009A13D9"/>
    <w:rsid w:val="009A62F6"/>
    <w:rsid w:val="009A649F"/>
    <w:rsid w:val="009B32EF"/>
    <w:rsid w:val="009B3410"/>
    <w:rsid w:val="009C378B"/>
    <w:rsid w:val="009D795D"/>
    <w:rsid w:val="009E48E4"/>
    <w:rsid w:val="009E59F4"/>
    <w:rsid w:val="009F32C6"/>
    <w:rsid w:val="00A00F6C"/>
    <w:rsid w:val="00A033F7"/>
    <w:rsid w:val="00A03A45"/>
    <w:rsid w:val="00A0572D"/>
    <w:rsid w:val="00A0679F"/>
    <w:rsid w:val="00A07A96"/>
    <w:rsid w:val="00A12CB9"/>
    <w:rsid w:val="00A16BAC"/>
    <w:rsid w:val="00A23930"/>
    <w:rsid w:val="00A24E91"/>
    <w:rsid w:val="00A319DE"/>
    <w:rsid w:val="00A33435"/>
    <w:rsid w:val="00A41019"/>
    <w:rsid w:val="00A540D8"/>
    <w:rsid w:val="00A57857"/>
    <w:rsid w:val="00A60203"/>
    <w:rsid w:val="00A67E89"/>
    <w:rsid w:val="00A71D4A"/>
    <w:rsid w:val="00A75D2D"/>
    <w:rsid w:val="00A8115B"/>
    <w:rsid w:val="00A84A43"/>
    <w:rsid w:val="00A8511E"/>
    <w:rsid w:val="00A86489"/>
    <w:rsid w:val="00A86988"/>
    <w:rsid w:val="00A90619"/>
    <w:rsid w:val="00A91078"/>
    <w:rsid w:val="00A910F1"/>
    <w:rsid w:val="00A92D0B"/>
    <w:rsid w:val="00A93864"/>
    <w:rsid w:val="00A94DE6"/>
    <w:rsid w:val="00AA1740"/>
    <w:rsid w:val="00AA7721"/>
    <w:rsid w:val="00AB2F7F"/>
    <w:rsid w:val="00AB3510"/>
    <w:rsid w:val="00AC05D8"/>
    <w:rsid w:val="00AC50EB"/>
    <w:rsid w:val="00AC5A4B"/>
    <w:rsid w:val="00AD0925"/>
    <w:rsid w:val="00AD3759"/>
    <w:rsid w:val="00AD49FA"/>
    <w:rsid w:val="00AD518F"/>
    <w:rsid w:val="00AD5797"/>
    <w:rsid w:val="00AD6F08"/>
    <w:rsid w:val="00AD742A"/>
    <w:rsid w:val="00AE1215"/>
    <w:rsid w:val="00AE1F70"/>
    <w:rsid w:val="00AE429F"/>
    <w:rsid w:val="00AE6488"/>
    <w:rsid w:val="00AF31A3"/>
    <w:rsid w:val="00AF6197"/>
    <w:rsid w:val="00AF61A9"/>
    <w:rsid w:val="00B00BCD"/>
    <w:rsid w:val="00B03003"/>
    <w:rsid w:val="00B05DB3"/>
    <w:rsid w:val="00B07567"/>
    <w:rsid w:val="00B1593B"/>
    <w:rsid w:val="00B17005"/>
    <w:rsid w:val="00B24330"/>
    <w:rsid w:val="00B30F84"/>
    <w:rsid w:val="00B312DA"/>
    <w:rsid w:val="00B31565"/>
    <w:rsid w:val="00B327A2"/>
    <w:rsid w:val="00B40AC8"/>
    <w:rsid w:val="00B4242A"/>
    <w:rsid w:val="00B452D6"/>
    <w:rsid w:val="00B50689"/>
    <w:rsid w:val="00B5117C"/>
    <w:rsid w:val="00B5154D"/>
    <w:rsid w:val="00B51C2B"/>
    <w:rsid w:val="00B51F03"/>
    <w:rsid w:val="00B52E30"/>
    <w:rsid w:val="00B53791"/>
    <w:rsid w:val="00B54991"/>
    <w:rsid w:val="00B55CCD"/>
    <w:rsid w:val="00B55D78"/>
    <w:rsid w:val="00B62AC0"/>
    <w:rsid w:val="00B66CF5"/>
    <w:rsid w:val="00B803D5"/>
    <w:rsid w:val="00B82A76"/>
    <w:rsid w:val="00B86F89"/>
    <w:rsid w:val="00B8719B"/>
    <w:rsid w:val="00BA17E7"/>
    <w:rsid w:val="00BA548C"/>
    <w:rsid w:val="00BB1E5A"/>
    <w:rsid w:val="00BB49BB"/>
    <w:rsid w:val="00BB50B0"/>
    <w:rsid w:val="00BC524D"/>
    <w:rsid w:val="00BD2166"/>
    <w:rsid w:val="00BD6783"/>
    <w:rsid w:val="00BE45D0"/>
    <w:rsid w:val="00BE5F8D"/>
    <w:rsid w:val="00BF2F45"/>
    <w:rsid w:val="00C02649"/>
    <w:rsid w:val="00C0471D"/>
    <w:rsid w:val="00C06170"/>
    <w:rsid w:val="00C077D9"/>
    <w:rsid w:val="00C1360D"/>
    <w:rsid w:val="00C13B3F"/>
    <w:rsid w:val="00C15775"/>
    <w:rsid w:val="00C163D7"/>
    <w:rsid w:val="00C1691A"/>
    <w:rsid w:val="00C16981"/>
    <w:rsid w:val="00C268D7"/>
    <w:rsid w:val="00C324F5"/>
    <w:rsid w:val="00C372E0"/>
    <w:rsid w:val="00C402D7"/>
    <w:rsid w:val="00C47A2B"/>
    <w:rsid w:val="00C507B1"/>
    <w:rsid w:val="00C522D9"/>
    <w:rsid w:val="00C66871"/>
    <w:rsid w:val="00C66E87"/>
    <w:rsid w:val="00C705F6"/>
    <w:rsid w:val="00C742D7"/>
    <w:rsid w:val="00C765A2"/>
    <w:rsid w:val="00C77FDB"/>
    <w:rsid w:val="00C80771"/>
    <w:rsid w:val="00C8304F"/>
    <w:rsid w:val="00C87071"/>
    <w:rsid w:val="00C8763C"/>
    <w:rsid w:val="00C90BC1"/>
    <w:rsid w:val="00C92BEE"/>
    <w:rsid w:val="00C95ABD"/>
    <w:rsid w:val="00CB4348"/>
    <w:rsid w:val="00CC10AF"/>
    <w:rsid w:val="00CC1780"/>
    <w:rsid w:val="00CC3984"/>
    <w:rsid w:val="00CC4B40"/>
    <w:rsid w:val="00CD6886"/>
    <w:rsid w:val="00CD6A1A"/>
    <w:rsid w:val="00CD7608"/>
    <w:rsid w:val="00CD7D17"/>
    <w:rsid w:val="00CD7DD9"/>
    <w:rsid w:val="00CE057B"/>
    <w:rsid w:val="00CE13EE"/>
    <w:rsid w:val="00CE2BB2"/>
    <w:rsid w:val="00CE63F4"/>
    <w:rsid w:val="00CE65E3"/>
    <w:rsid w:val="00CE73BE"/>
    <w:rsid w:val="00CF1129"/>
    <w:rsid w:val="00CF59FA"/>
    <w:rsid w:val="00CF73E1"/>
    <w:rsid w:val="00D075B1"/>
    <w:rsid w:val="00D10372"/>
    <w:rsid w:val="00D1379A"/>
    <w:rsid w:val="00D15470"/>
    <w:rsid w:val="00D1778A"/>
    <w:rsid w:val="00D26495"/>
    <w:rsid w:val="00D27D5F"/>
    <w:rsid w:val="00D30039"/>
    <w:rsid w:val="00D30C4F"/>
    <w:rsid w:val="00D36884"/>
    <w:rsid w:val="00D36927"/>
    <w:rsid w:val="00D375A1"/>
    <w:rsid w:val="00D4008E"/>
    <w:rsid w:val="00D56BCA"/>
    <w:rsid w:val="00D60AC6"/>
    <w:rsid w:val="00D62CD6"/>
    <w:rsid w:val="00D63F44"/>
    <w:rsid w:val="00D67244"/>
    <w:rsid w:val="00D74F4E"/>
    <w:rsid w:val="00D750EB"/>
    <w:rsid w:val="00D75107"/>
    <w:rsid w:val="00D77782"/>
    <w:rsid w:val="00D77F53"/>
    <w:rsid w:val="00D82158"/>
    <w:rsid w:val="00D83ED8"/>
    <w:rsid w:val="00D83F00"/>
    <w:rsid w:val="00D84F94"/>
    <w:rsid w:val="00D85358"/>
    <w:rsid w:val="00D85D17"/>
    <w:rsid w:val="00D8769E"/>
    <w:rsid w:val="00DA2764"/>
    <w:rsid w:val="00DA3AEE"/>
    <w:rsid w:val="00DC5D2F"/>
    <w:rsid w:val="00DC5EA4"/>
    <w:rsid w:val="00DC64BB"/>
    <w:rsid w:val="00DC6AD6"/>
    <w:rsid w:val="00DD3C9C"/>
    <w:rsid w:val="00DD52BB"/>
    <w:rsid w:val="00DD5BD1"/>
    <w:rsid w:val="00DE088F"/>
    <w:rsid w:val="00DE3A5D"/>
    <w:rsid w:val="00E00990"/>
    <w:rsid w:val="00E00FCE"/>
    <w:rsid w:val="00E012B8"/>
    <w:rsid w:val="00E013A7"/>
    <w:rsid w:val="00E01D8F"/>
    <w:rsid w:val="00E15DC3"/>
    <w:rsid w:val="00E17B34"/>
    <w:rsid w:val="00E21EA5"/>
    <w:rsid w:val="00E25078"/>
    <w:rsid w:val="00E3602F"/>
    <w:rsid w:val="00E3786F"/>
    <w:rsid w:val="00E40140"/>
    <w:rsid w:val="00E41F50"/>
    <w:rsid w:val="00E522D7"/>
    <w:rsid w:val="00E52992"/>
    <w:rsid w:val="00E52A01"/>
    <w:rsid w:val="00E60942"/>
    <w:rsid w:val="00E66FE7"/>
    <w:rsid w:val="00E75E09"/>
    <w:rsid w:val="00E775D0"/>
    <w:rsid w:val="00E81881"/>
    <w:rsid w:val="00E81B31"/>
    <w:rsid w:val="00E87154"/>
    <w:rsid w:val="00E931BC"/>
    <w:rsid w:val="00E9366A"/>
    <w:rsid w:val="00E959A0"/>
    <w:rsid w:val="00E977D2"/>
    <w:rsid w:val="00EA601E"/>
    <w:rsid w:val="00EB0DBA"/>
    <w:rsid w:val="00EB1887"/>
    <w:rsid w:val="00EB4ACF"/>
    <w:rsid w:val="00EB64CF"/>
    <w:rsid w:val="00EC3EBE"/>
    <w:rsid w:val="00EC6387"/>
    <w:rsid w:val="00ED0C91"/>
    <w:rsid w:val="00ED26C2"/>
    <w:rsid w:val="00ED471E"/>
    <w:rsid w:val="00ED6B6B"/>
    <w:rsid w:val="00EE19A6"/>
    <w:rsid w:val="00EE3E10"/>
    <w:rsid w:val="00EE4275"/>
    <w:rsid w:val="00EF1AF6"/>
    <w:rsid w:val="00EF67CF"/>
    <w:rsid w:val="00F028C8"/>
    <w:rsid w:val="00F04904"/>
    <w:rsid w:val="00F124FE"/>
    <w:rsid w:val="00F20061"/>
    <w:rsid w:val="00F2318C"/>
    <w:rsid w:val="00F26371"/>
    <w:rsid w:val="00F2682B"/>
    <w:rsid w:val="00F305E6"/>
    <w:rsid w:val="00F30DA8"/>
    <w:rsid w:val="00F34C1F"/>
    <w:rsid w:val="00F3772B"/>
    <w:rsid w:val="00F47E87"/>
    <w:rsid w:val="00F629D9"/>
    <w:rsid w:val="00F63C29"/>
    <w:rsid w:val="00F64D2B"/>
    <w:rsid w:val="00F650AE"/>
    <w:rsid w:val="00F65CFE"/>
    <w:rsid w:val="00F70EC2"/>
    <w:rsid w:val="00F7579D"/>
    <w:rsid w:val="00F81778"/>
    <w:rsid w:val="00F862A9"/>
    <w:rsid w:val="00F87309"/>
    <w:rsid w:val="00F90F81"/>
    <w:rsid w:val="00F91832"/>
    <w:rsid w:val="00F9454C"/>
    <w:rsid w:val="00FA2396"/>
    <w:rsid w:val="00FA38D4"/>
    <w:rsid w:val="00FA3F59"/>
    <w:rsid w:val="00FA4732"/>
    <w:rsid w:val="00FA68C2"/>
    <w:rsid w:val="00FA6DFD"/>
    <w:rsid w:val="00FB473A"/>
    <w:rsid w:val="00FB60E0"/>
    <w:rsid w:val="00FC27DA"/>
    <w:rsid w:val="00FC3AF0"/>
    <w:rsid w:val="00FC72B7"/>
    <w:rsid w:val="00FC7E5D"/>
    <w:rsid w:val="00FD44EF"/>
    <w:rsid w:val="00FD688E"/>
    <w:rsid w:val="00FD6EA4"/>
    <w:rsid w:val="00FE32C6"/>
    <w:rsid w:val="00FE3BAE"/>
    <w:rsid w:val="00FE69B5"/>
    <w:rsid w:val="00FF31F2"/>
    <w:rsid w:val="00FF4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995AA"/>
  <w15:docId w15:val="{6ADFB979-61DF-41C8-9798-199001DDB076}"/>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pPr>
      <w:keepNext/>
      <w:suppressAutoHyphens/>
      <w:jc w:val="center"/>
    </w:pPr>
    <w:rPr>
      <w:rFonts w:ascii="Helvetica" w:hAnsi="Helvetica"/>
      <w:b/>
      <w:sz w:val="26"/>
      <w:szCs w:val="20"/>
    </w:rPr>
  </w:style>
  <w:style w:type="character" w:styleId="Hyperlink">
    <w:name w:val="Hyperlink"/>
    <w:rsid w:val="00885956"/>
    <w:rPr>
      <w:color w:val="3754D4"/>
      <w:u w:val="single"/>
    </w:rPr>
  </w:style>
  <w:style w:type="paragraph" w:styleId="FootnoteText">
    <w:name w:val="footnote text"/>
    <w:basedOn w:val="Normal"/>
    <w:link w:val="FootnoteTextChar"/>
    <w:uiPriority w:val="99"/>
    <w:rsid w:val="00A86489"/>
    <w:pPr>
      <w:spacing w:after="120"/>
    </w:pPr>
    <w:rPr>
      <w:sz w:val="22"/>
      <w:szCs w:val="20"/>
    </w:rPr>
  </w:style>
  <w:style w:type="character" w:customStyle="1" w:styleId="FootnoteTextChar">
    <w:name w:val="Footnote Text Char"/>
    <w:basedOn w:val="DefaultParagraphFont"/>
    <w:link w:val="FootnoteText"/>
    <w:uiPriority w:val="99"/>
    <w:rsid w:val="00A86489"/>
    <w:rPr>
      <w:sz w:val="22"/>
    </w:rPr>
  </w:style>
  <w:style w:type="character" w:styleId="FootnoteReference">
    <w:name w:val="footnote reference"/>
    <w:uiPriority w:val="99"/>
    <w:rsid w:val="00885956"/>
    <w:rPr>
      <w:vertAlign w:val="superscript"/>
    </w:rPr>
  </w:style>
  <w:style w:type="paragraph" w:styleId="ListParagraph">
    <w:name w:val="List Paragraph"/>
    <w:basedOn w:val="Normal"/>
    <w:uiPriority w:val="34"/>
    <w:qFormat/>
    <w:rsid w:val="00885956"/>
    <w:pPr>
      <w:ind w:left="720"/>
    </w:pPr>
    <w:rPr>
      <w:rFonts w:ascii="Calibri" w:eastAsia="Calibri" w:hAnsi="Calibri"/>
      <w:sz w:val="22"/>
      <w:szCs w:val="22"/>
    </w:rPr>
  </w:style>
  <w:style w:type="character" w:styleId="FollowedHyperlink">
    <w:name w:val="FollowedHyperlink"/>
    <w:rsid w:val="00885956"/>
    <w:rPr>
      <w:color w:val="800080"/>
      <w:u w:val="single"/>
    </w:rPr>
  </w:style>
  <w:style w:type="paragraph" w:styleId="Header">
    <w:name w:val="header"/>
    <w:basedOn w:val="Normal"/>
    <w:link w:val="HeaderChar"/>
    <w:uiPriority w:val="99"/>
    <w:rsid w:val="00B00BCD"/>
    <w:pPr>
      <w:tabs>
        <w:tab w:val="center" w:pos="4680"/>
        <w:tab w:val="right" w:pos="9360"/>
      </w:tabs>
    </w:pPr>
  </w:style>
  <w:style w:type="character" w:customStyle="1" w:styleId="HeaderChar">
    <w:name w:val="Header Char"/>
    <w:link w:val="Header"/>
    <w:uiPriority w:val="99"/>
    <w:rsid w:val="00B00BCD"/>
    <w:rPr>
      <w:sz w:val="24"/>
      <w:szCs w:val="24"/>
    </w:rPr>
  </w:style>
  <w:style w:type="paragraph" w:styleId="Footer">
    <w:name w:val="footer"/>
    <w:basedOn w:val="Normal"/>
    <w:link w:val="FooterChar"/>
    <w:uiPriority w:val="99"/>
    <w:rsid w:val="00B00BCD"/>
    <w:pPr>
      <w:tabs>
        <w:tab w:val="center" w:pos="4680"/>
        <w:tab w:val="right" w:pos="9360"/>
      </w:tabs>
    </w:pPr>
  </w:style>
  <w:style w:type="character" w:customStyle="1" w:styleId="FooterChar">
    <w:name w:val="Footer Char"/>
    <w:link w:val="Footer"/>
    <w:uiPriority w:val="99"/>
    <w:rsid w:val="00B00BCD"/>
    <w:rPr>
      <w:sz w:val="24"/>
      <w:szCs w:val="24"/>
    </w:rPr>
  </w:style>
  <w:style w:type="paragraph" w:styleId="BalloonText">
    <w:name w:val="Balloon Text"/>
    <w:basedOn w:val="Normal"/>
    <w:link w:val="BalloonTextChar"/>
    <w:rsid w:val="00B00BCD"/>
    <w:rPr>
      <w:rFonts w:ascii="Tahoma" w:hAnsi="Tahoma" w:cs="Tahoma"/>
      <w:sz w:val="16"/>
      <w:szCs w:val="16"/>
    </w:rPr>
  </w:style>
  <w:style w:type="character" w:customStyle="1" w:styleId="BalloonTextChar">
    <w:name w:val="Balloon Text Char"/>
    <w:link w:val="BalloonText"/>
    <w:rsid w:val="00B00BCD"/>
    <w:rPr>
      <w:rFonts w:ascii="Tahoma" w:hAnsi="Tahoma" w:cs="Tahoma"/>
      <w:sz w:val="16"/>
      <w:szCs w:val="16"/>
    </w:rPr>
  </w:style>
  <w:style w:type="paragraph" w:styleId="Revision">
    <w:name w:val="Revision"/>
    <w:hidden/>
    <w:uiPriority w:val="99"/>
    <w:semiHidden/>
    <w:rsid w:val="00B55CCD"/>
    <w:rPr>
      <w:sz w:val="24"/>
      <w:szCs w:val="24"/>
    </w:rPr>
  </w:style>
  <w:style w:type="character" w:styleId="CommentReference">
    <w:name w:val="annotation reference"/>
    <w:rsid w:val="00963EEF"/>
    <w:rPr>
      <w:sz w:val="16"/>
      <w:szCs w:val="16"/>
    </w:rPr>
  </w:style>
  <w:style w:type="paragraph" w:styleId="CommentText">
    <w:name w:val="annotation text"/>
    <w:basedOn w:val="Normal"/>
    <w:link w:val="CommentTextChar"/>
    <w:rsid w:val="00963EEF"/>
    <w:rPr>
      <w:sz w:val="20"/>
      <w:szCs w:val="20"/>
    </w:rPr>
  </w:style>
  <w:style w:type="character" w:customStyle="1" w:styleId="CommentTextChar">
    <w:name w:val="Comment Text Char"/>
    <w:basedOn w:val="DefaultParagraphFont"/>
    <w:link w:val="CommentText"/>
    <w:rsid w:val="00963EEF"/>
  </w:style>
  <w:style w:type="paragraph" w:styleId="CommentSubject">
    <w:name w:val="annotation subject"/>
    <w:basedOn w:val="CommentText"/>
    <w:next w:val="CommentText"/>
    <w:link w:val="CommentSubjectChar"/>
    <w:rsid w:val="00963EEF"/>
    <w:rPr>
      <w:b/>
      <w:bCs/>
    </w:rPr>
  </w:style>
  <w:style w:type="character" w:customStyle="1" w:styleId="CommentSubjectChar">
    <w:name w:val="Comment Subject Char"/>
    <w:link w:val="CommentSubject"/>
    <w:rsid w:val="00963EEF"/>
    <w:rPr>
      <w:b/>
      <w:bCs/>
    </w:rPr>
  </w:style>
  <w:style w:type="character" w:styleId="PlaceholderText">
    <w:name w:val="Placeholder Text"/>
    <w:uiPriority w:val="99"/>
    <w:semiHidden/>
    <w:rsid w:val="00BE45D0"/>
    <w:rPr>
      <w:color w:val="808080"/>
    </w:rPr>
  </w:style>
  <w:style w:type="character" w:customStyle="1" w:styleId="standardChar">
    <w:name w:val="standard Char"/>
    <w:link w:val="standard"/>
    <w:locked/>
    <w:rsid w:val="00FE3BAE"/>
    <w:rPr>
      <w:rFonts w:ascii="Palatino" w:hAnsi="Palatino"/>
      <w:sz w:val="26"/>
    </w:rPr>
  </w:style>
  <w:style w:type="paragraph" w:customStyle="1" w:styleId="standard">
    <w:name w:val="standard"/>
    <w:basedOn w:val="Normal"/>
    <w:link w:val="standardChar"/>
    <w:rsid w:val="00FE3BAE"/>
    <w:pPr>
      <w:spacing w:line="360" w:lineRule="auto"/>
      <w:ind w:firstLine="720"/>
    </w:pPr>
    <w:rPr>
      <w:rFonts w:ascii="Palatino" w:hAnsi="Palatino"/>
      <w:sz w:val="26"/>
      <w:szCs w:val="20"/>
    </w:rPr>
  </w:style>
  <w:style w:type="paragraph" w:styleId="NormalWeb">
    <w:name w:val="Normal (Web)"/>
    <w:basedOn w:val="Normal"/>
    <w:uiPriority w:val="99"/>
    <w:unhideWhenUsed/>
    <w:rsid w:val="009E48E4"/>
    <w:rPr>
      <w:rFonts w:eastAsiaTheme="minorHAnsi"/>
    </w:rPr>
  </w:style>
  <w:style w:type="paragraph" w:styleId="ListBullet">
    <w:name w:val="List Bullet"/>
    <w:basedOn w:val="Normal"/>
    <w:unhideWhenUsed/>
    <w:rsid w:val="007843A3"/>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42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members.calbar.ca.gov/fal/MemberSearch/Quic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5987ab-1253-4937-a592-955ea085928f">
      <Terms xmlns="http://schemas.microsoft.com/office/infopath/2007/PartnerControls"/>
    </lcf76f155ced4ddcb4097134ff3c332f>
    <TaxCatchAll xmlns="483fb265-a13f-401d-81d2-b87eeda79e8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94473EFE75C149821E3AC31BCECFBF" ma:contentTypeVersion="15" ma:contentTypeDescription="Create a new document." ma:contentTypeScope="" ma:versionID="19140f3b17fb5093ff3a0d586d6d98f9">
  <xsd:schema xmlns:xsd="http://www.w3.org/2001/XMLSchema" xmlns:xs="http://www.w3.org/2001/XMLSchema" xmlns:p="http://schemas.microsoft.com/office/2006/metadata/properties" xmlns:ns2="ea5987ab-1253-4937-a592-955ea085928f" xmlns:ns3="483fb265-a13f-401d-81d2-b87eeda79e8c" targetNamespace="http://schemas.microsoft.com/office/2006/metadata/properties" ma:root="true" ma:fieldsID="4fd228de14e97efb91706735f85e0530" ns2:_="" ns3:_="">
    <xsd:import namespace="ea5987ab-1253-4937-a592-955ea085928f"/>
    <xsd:import namespace="483fb265-a13f-401d-81d2-b87eeda79e8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987ab-1253-4937-a592-955ea0859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c74b6b4-4e4f-4ab2-a580-813493e010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fb265-a13f-401d-81d2-b87eeda79e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eace881-e354-4283-80c0-989b14300974}" ma:internalName="TaxCatchAll" ma:showField="CatchAllData" ma:web="483fb265-a13f-401d-81d2-b87eeda79e8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E6F08-6CDD-4D99-B3B9-5F73094F5F76}">
  <ds:schemaRefs>
    <ds:schemaRef ds:uri="http://schemas.microsoft.com/office/2006/metadata/properties"/>
    <ds:schemaRef ds:uri="http://schemas.microsoft.com/office/infopath/2007/PartnerControls"/>
    <ds:schemaRef ds:uri="ea5987ab-1253-4937-a592-955ea085928f"/>
    <ds:schemaRef ds:uri="483fb265-a13f-401d-81d2-b87eeda79e8c"/>
  </ds:schemaRefs>
</ds:datastoreItem>
</file>

<file path=customXml/itemProps2.xml><?xml version="1.0" encoding="utf-8"?>
<ds:datastoreItem xmlns:ds="http://schemas.openxmlformats.org/officeDocument/2006/customXml" ds:itemID="{2B95AEC6-974B-41BE-8C8B-4E6F6B14B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987ab-1253-4937-a592-955ea085928f"/>
    <ds:schemaRef ds:uri="483fb265-a13f-401d-81d2-b87eeda79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43E0EE-396B-4E8B-9A28-11831F2B0FF2}">
  <ds:schemaRefs>
    <ds:schemaRef ds:uri="http://schemas.microsoft.com/sharepoint/v3/contenttype/forms"/>
  </ds:schemaRefs>
</ds:datastoreItem>
</file>

<file path=customXml/itemProps4.xml><?xml version="1.0" encoding="utf-8"?>
<ds:datastoreItem xmlns:ds="http://schemas.openxmlformats.org/officeDocument/2006/customXml" ds:itemID="{3B46AF57-A618-47D2-81A6-4DCC377A891E}">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12</ap:Pages>
  <ap:Words>2960</ap:Words>
  <ap:Characters>16872</ap:Characters>
  <ap:Application>Microsoft Office Word</ap:Application>
  <ap:DocSecurity>0</ap:DocSecurity>
  <ap:Lines>140</ap:Lines>
  <ap:Paragraphs>39</ap:Paragraphs>
  <ap:ScaleCrop>false</ap:ScaleCrop>
  <ap:HeadingPairs>
    <vt:vector baseType="variant" size="2">
      <vt:variant>
        <vt:lpstr>Title</vt:lpstr>
      </vt:variant>
      <vt:variant>
        <vt:i4>1</vt:i4>
      </vt:variant>
    </vt:vector>
  </ap:HeadingPairs>
  <ap:TitlesOfParts>
    <vt:vector baseType="lpstr" size="1">
      <vt:lpstr>Icomp Claim Form</vt:lpstr>
    </vt:vector>
  </ap:TitlesOfParts>
  <ap:Company/>
  <ap:LinksUpToDate>false</ap:LinksUpToDate>
  <ap:CharactersWithSpaces>19793</ap:CharactersWithSpaces>
  <ap:SharedDoc>false</ap:SharedDoc>
  <ap:HyperlinkBase/>
  <ap:HLinks>
    <vt:vector baseType="variant" size="12">
      <vt:variant>
        <vt:i4>2031738</vt:i4>
      </vt:variant>
      <vt:variant>
        <vt:i4>0</vt:i4>
      </vt:variant>
      <vt:variant>
        <vt:i4>0</vt:i4>
      </vt:variant>
      <vt:variant>
        <vt:i4>5</vt:i4>
      </vt:variant>
      <vt:variant>
        <vt:lpwstr>mailto:Icompcoordinator@cpuc.ca.gov</vt:lpwstr>
      </vt:variant>
      <vt:variant>
        <vt:lpwstr/>
      </vt:variant>
      <vt:variant>
        <vt:i4>5963790</vt:i4>
      </vt:variant>
      <vt:variant>
        <vt:i4>0</vt:i4>
      </vt:variant>
      <vt:variant>
        <vt:i4>0</vt:i4>
      </vt:variant>
      <vt:variant>
        <vt:i4>5</vt:i4>
      </vt:variant>
      <vt:variant>
        <vt:lpwstr>http://members.calbar.ca.gov/fal/MemberSearch/QuickSearch</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2013-07-15T17:59:00Z</cp:lastPrinted>
  <dcterms:created xsi:type="dcterms:W3CDTF">2026-05-19T09:00:22Z</dcterms:created>
  <dcterms:modified xsi:type="dcterms:W3CDTF">2026-05-19T09:00:22Z</dcterms:modified>
</cp:coreProperties>
</file>